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16F" w:rsidRDefault="00A7616F" w:rsidP="00A7616F"/>
    <w:p w:rsidR="00A7616F" w:rsidRDefault="00A7616F" w:rsidP="00A7616F"/>
    <w:p w:rsidR="00A7616F" w:rsidRDefault="00A7616F" w:rsidP="00A7616F"/>
    <w:p w:rsidR="00A7616F" w:rsidRDefault="00A7616F" w:rsidP="00A7616F"/>
    <w:p w:rsidR="00A7616F" w:rsidRDefault="00A7616F" w:rsidP="00A7616F"/>
    <w:p w:rsidR="00A7616F" w:rsidRDefault="00A7616F" w:rsidP="00A7616F"/>
    <w:p w:rsidR="000C30AF" w:rsidRDefault="000C30AF" w:rsidP="00A7616F"/>
    <w:p w:rsidR="00A7616F" w:rsidRDefault="00A7616F" w:rsidP="00A7616F"/>
    <w:p w:rsidR="00A7616F" w:rsidRPr="003B44EF" w:rsidRDefault="002E1ED6" w:rsidP="00FD4301">
      <w:pPr>
        <w:spacing w:after="0" w:line="240" w:lineRule="auto"/>
        <w:jc w:val="left"/>
        <w:rPr>
          <w:rFonts w:eastAsia="Calibri" w:cs="Times New Roman"/>
          <w:color w:val="31849B"/>
          <w:sz w:val="100"/>
          <w:szCs w:val="100"/>
          <w:lang w:val="nl-BE"/>
        </w:rPr>
      </w:pPr>
      <w:r w:rsidRPr="003B44EF">
        <w:rPr>
          <w:rFonts w:eastAsia="Calibri" w:cs="Times New Roman"/>
          <w:color w:val="31849B"/>
          <w:sz w:val="100"/>
          <w:szCs w:val="100"/>
          <w:lang w:val="nl-BE"/>
        </w:rPr>
        <w:t xml:space="preserve">Van </w:t>
      </w:r>
      <w:r w:rsidR="00FD4301" w:rsidRPr="003B44EF">
        <w:rPr>
          <w:rFonts w:eastAsia="Calibri" w:cs="Times New Roman"/>
          <w:color w:val="31849B"/>
          <w:sz w:val="100"/>
          <w:szCs w:val="100"/>
          <w:lang w:val="nl-BE"/>
        </w:rPr>
        <w:t>V</w:t>
      </w:r>
      <w:r w:rsidR="000C30AF" w:rsidRPr="003B44EF">
        <w:rPr>
          <w:rFonts w:eastAsia="Calibri" w:cs="Times New Roman"/>
          <w:color w:val="31849B"/>
          <w:sz w:val="100"/>
          <w:szCs w:val="100"/>
          <w:lang w:val="nl-BE"/>
        </w:rPr>
        <w:t>oervy</w:t>
      </w:r>
      <w:r w:rsidR="00FD4301" w:rsidRPr="003B44EF">
        <w:rPr>
          <w:rFonts w:eastAsia="Calibri" w:cs="Times New Roman"/>
          <w:color w:val="31849B"/>
          <w:sz w:val="100"/>
          <w:szCs w:val="100"/>
          <w:lang w:val="nl-BE"/>
        </w:rPr>
        <w:t>nsteren</w:t>
      </w:r>
      <w:r w:rsidRPr="003B44EF">
        <w:rPr>
          <w:rFonts w:eastAsia="Calibri" w:cs="Times New Roman"/>
          <w:color w:val="31849B"/>
          <w:sz w:val="100"/>
          <w:szCs w:val="100"/>
          <w:lang w:val="nl-BE"/>
        </w:rPr>
        <w:t xml:space="preserve"> tot Vleeshuys</w:t>
      </w:r>
    </w:p>
    <w:p w:rsidR="00A7616F" w:rsidRPr="0096338A" w:rsidRDefault="00A7616F" w:rsidP="00EA12F5">
      <w:pPr>
        <w:spacing w:after="0" w:line="240" w:lineRule="auto"/>
        <w:rPr>
          <w:rFonts w:eastAsia="Calibri" w:cs="Times New Roman"/>
          <w:sz w:val="40"/>
          <w:lang w:val="nl-BE"/>
        </w:rPr>
      </w:pPr>
    </w:p>
    <w:p w:rsidR="00A7616F" w:rsidRPr="0096338A" w:rsidRDefault="00402D2E" w:rsidP="00FD4301">
      <w:pPr>
        <w:spacing w:after="0" w:line="240" w:lineRule="auto"/>
        <w:rPr>
          <w:rFonts w:eastAsia="Calibri" w:cs="Times New Roman"/>
          <w:sz w:val="48"/>
          <w:szCs w:val="48"/>
          <w:lang w:val="nl-BE"/>
        </w:rPr>
      </w:pPr>
      <w:r w:rsidRPr="0096338A">
        <w:rPr>
          <w:rFonts w:eastAsia="Calibri" w:cs="Times New Roman"/>
          <w:color w:val="000000"/>
          <w:sz w:val="48"/>
          <w:szCs w:val="48"/>
          <w:lang w:val="nl-BE"/>
        </w:rPr>
        <w:t>Open en gesloten deuren voor vrouwen in de laatmiddeleeuwse Leuvense ambachtenwereld</w:t>
      </w: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spacing w:after="0" w:line="240" w:lineRule="auto"/>
        <w:rPr>
          <w:rFonts w:ascii="Arial" w:eastAsia="Calibri" w:hAnsi="Arial" w:cs="Arial"/>
          <w:lang w:val="nl-BE"/>
        </w:rPr>
      </w:pPr>
    </w:p>
    <w:p w:rsidR="00A7616F" w:rsidRPr="0096338A" w:rsidRDefault="00A7616F" w:rsidP="00A7616F">
      <w:pPr>
        <w:autoSpaceDE w:val="0"/>
        <w:autoSpaceDN w:val="0"/>
        <w:adjustRightInd w:val="0"/>
        <w:spacing w:after="0" w:line="240" w:lineRule="auto"/>
        <w:ind w:right="-2"/>
        <w:jc w:val="right"/>
        <w:rPr>
          <w:rFonts w:ascii="HelveticaNeueLTStd-Md" w:eastAsia="Calibri" w:hAnsi="HelveticaNeueLTStd-Md" w:cs="HelveticaNeueLTStd-Md"/>
          <w:b/>
          <w:bCs/>
          <w:color w:val="231F20"/>
          <w:sz w:val="28"/>
          <w:szCs w:val="28"/>
          <w:lang w:val="nl-BE"/>
        </w:rPr>
      </w:pPr>
    </w:p>
    <w:p w:rsidR="000C30AF" w:rsidRPr="0096338A" w:rsidRDefault="000C30AF" w:rsidP="00A7616F">
      <w:pPr>
        <w:autoSpaceDE w:val="0"/>
        <w:autoSpaceDN w:val="0"/>
        <w:adjustRightInd w:val="0"/>
        <w:spacing w:after="0" w:line="240" w:lineRule="auto"/>
        <w:ind w:right="-2"/>
        <w:jc w:val="right"/>
        <w:rPr>
          <w:rFonts w:ascii="HelveticaNeueLTStd-Md" w:eastAsia="Calibri" w:hAnsi="HelveticaNeueLTStd-Md" w:cs="HelveticaNeueLTStd-Md"/>
          <w:b/>
          <w:bCs/>
          <w:color w:val="231F20"/>
          <w:sz w:val="28"/>
          <w:szCs w:val="28"/>
          <w:lang w:val="nl-BE"/>
        </w:rPr>
      </w:pPr>
    </w:p>
    <w:p w:rsidR="00A7616F" w:rsidRPr="0096338A" w:rsidRDefault="00A7616F" w:rsidP="00A7616F">
      <w:pPr>
        <w:autoSpaceDE w:val="0"/>
        <w:autoSpaceDN w:val="0"/>
        <w:adjustRightInd w:val="0"/>
        <w:spacing w:after="0" w:line="240" w:lineRule="auto"/>
        <w:ind w:right="-2"/>
        <w:jc w:val="right"/>
        <w:rPr>
          <w:rFonts w:ascii="HelveticaNeueLTStd-Md" w:eastAsia="Calibri" w:hAnsi="HelveticaNeueLTStd-Md" w:cs="HelveticaNeueLTStd-Md"/>
          <w:b/>
          <w:bCs/>
          <w:color w:val="231F20"/>
          <w:sz w:val="28"/>
          <w:szCs w:val="28"/>
          <w:lang w:val="nl-BE"/>
        </w:rPr>
      </w:pPr>
    </w:p>
    <w:p w:rsidR="00A7616F" w:rsidRPr="0096338A" w:rsidRDefault="00A7616F" w:rsidP="00A7616F">
      <w:pPr>
        <w:autoSpaceDE w:val="0"/>
        <w:autoSpaceDN w:val="0"/>
        <w:adjustRightInd w:val="0"/>
        <w:spacing w:after="0" w:line="240" w:lineRule="auto"/>
        <w:ind w:right="-2"/>
        <w:jc w:val="right"/>
        <w:rPr>
          <w:rFonts w:ascii="HelveticaNeueLTStd-Md" w:eastAsia="Calibri" w:hAnsi="HelveticaNeueLTStd-Md" w:cs="HelveticaNeueLTStd-Md"/>
          <w:b/>
          <w:bCs/>
          <w:color w:val="231F20"/>
          <w:sz w:val="28"/>
          <w:szCs w:val="28"/>
          <w:lang w:val="nl-BE"/>
        </w:rPr>
      </w:pPr>
      <w:r w:rsidRPr="0096338A">
        <w:rPr>
          <w:rFonts w:ascii="HelveticaNeueLTStd-Md" w:eastAsia="Calibri" w:hAnsi="HelveticaNeueLTStd-Md" w:cs="HelveticaNeueLTStd-Md"/>
          <w:b/>
          <w:bCs/>
          <w:color w:val="231F20"/>
          <w:sz w:val="28"/>
          <w:szCs w:val="28"/>
          <w:lang w:val="nl-BE"/>
        </w:rPr>
        <w:t>Nena Vandeweerdt</w:t>
      </w:r>
    </w:p>
    <w:p w:rsidR="00A7616F" w:rsidRPr="0096338A" w:rsidRDefault="00A7616F" w:rsidP="00A7616F">
      <w:pPr>
        <w:autoSpaceDE w:val="0"/>
        <w:autoSpaceDN w:val="0"/>
        <w:adjustRightInd w:val="0"/>
        <w:spacing w:after="0" w:line="240" w:lineRule="auto"/>
        <w:ind w:right="-2"/>
        <w:jc w:val="right"/>
        <w:rPr>
          <w:rFonts w:ascii="HelveticaNeueLTStd-Md" w:eastAsia="Calibri" w:hAnsi="HelveticaNeueLTStd-Md" w:cs="HelveticaNeueLTStd-Md"/>
          <w:b/>
          <w:bCs/>
          <w:color w:val="231F20"/>
          <w:sz w:val="28"/>
          <w:szCs w:val="28"/>
          <w:lang w:val="nl-BE"/>
        </w:rPr>
      </w:pPr>
    </w:p>
    <w:p w:rsidR="00A7616F" w:rsidRPr="0096338A" w:rsidRDefault="00A7616F"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r w:rsidRPr="0096338A">
        <w:rPr>
          <w:rFonts w:ascii="HelveticaNeueLTStd-Roman" w:eastAsia="Calibri" w:hAnsi="HelveticaNeueLTStd-Roman" w:cs="HelveticaNeueLTStd-Roman"/>
          <w:color w:val="231F20"/>
          <w:szCs w:val="24"/>
          <w:lang w:val="nl-BE"/>
        </w:rPr>
        <w:t>Masterproef aangeboden binnen de opleiding</w:t>
      </w:r>
    </w:p>
    <w:p w:rsidR="00A7616F" w:rsidRPr="0096338A" w:rsidRDefault="00A7616F"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r w:rsidRPr="0096338A">
        <w:rPr>
          <w:rFonts w:ascii="HelveticaNeueLTStd-Roman" w:eastAsia="Calibri" w:hAnsi="HelveticaNeueLTStd-Roman" w:cs="HelveticaNeueLTStd-Roman"/>
          <w:color w:val="231F20"/>
          <w:szCs w:val="24"/>
          <w:lang w:val="nl-BE"/>
        </w:rPr>
        <w:t>master in de Geschiedenis</w:t>
      </w:r>
    </w:p>
    <w:p w:rsidR="00A7616F" w:rsidRPr="0096338A" w:rsidRDefault="00A7616F"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p>
    <w:p w:rsidR="00A7616F" w:rsidRPr="0096338A" w:rsidRDefault="00A7616F"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r w:rsidRPr="0096338A">
        <w:rPr>
          <w:rFonts w:ascii="HelveticaNeueLTStd-Roman" w:eastAsia="Calibri" w:hAnsi="HelveticaNeueLTStd-Roman" w:cs="HelveticaNeueLTStd-Roman"/>
          <w:color w:val="231F20"/>
          <w:szCs w:val="24"/>
          <w:lang w:val="nl-BE"/>
        </w:rPr>
        <w:t>Promotor prof. dr. Jelle Haemers</w:t>
      </w:r>
    </w:p>
    <w:p w:rsidR="00A7616F" w:rsidRPr="0096338A" w:rsidRDefault="00A7616F"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p>
    <w:p w:rsidR="00A7616F" w:rsidRPr="0096338A" w:rsidRDefault="00264D14"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lang w:val="nl-BE"/>
        </w:rPr>
      </w:pPr>
      <w:r>
        <w:rPr>
          <w:rFonts w:ascii="HelveticaNeueLTStd-Roman" w:eastAsia="Calibri" w:hAnsi="HelveticaNeueLTStd-Roman" w:cs="HelveticaNeueLTStd-Roman"/>
          <w:color w:val="231F20"/>
          <w:szCs w:val="24"/>
          <w:lang w:val="nl-BE"/>
        </w:rPr>
        <w:t>Academiejaar 2015 – 2016.</w:t>
      </w:r>
    </w:p>
    <w:p w:rsidR="00A7616F" w:rsidRPr="0096338A" w:rsidRDefault="00735853" w:rsidP="00A7616F">
      <w:pPr>
        <w:autoSpaceDE w:val="0"/>
        <w:autoSpaceDN w:val="0"/>
        <w:adjustRightInd w:val="0"/>
        <w:spacing w:after="0" w:line="240" w:lineRule="auto"/>
        <w:ind w:right="-2"/>
        <w:jc w:val="right"/>
        <w:rPr>
          <w:rFonts w:ascii="HelveticaNeueLTStd-Roman" w:eastAsia="Calibri" w:hAnsi="HelveticaNeueLTStd-Roman" w:cs="HelveticaNeueLTStd-Roman"/>
          <w:color w:val="231F20"/>
          <w:szCs w:val="24"/>
        </w:rPr>
        <w:sectPr w:rsidR="00A7616F" w:rsidRPr="0096338A" w:rsidSect="00567346">
          <w:headerReference w:type="default" r:id="rId9"/>
          <w:footerReference w:type="default" r:id="rId10"/>
          <w:pgSz w:w="11906" w:h="16838"/>
          <w:pgMar w:top="1417" w:right="1417" w:bottom="1417" w:left="1417" w:header="708" w:footer="708" w:gutter="0"/>
          <w:cols w:space="708"/>
          <w:docGrid w:linePitch="360"/>
        </w:sectPr>
      </w:pPr>
      <w:r>
        <w:rPr>
          <w:rFonts w:ascii="HelveticaNeueLTStd-Roman" w:eastAsia="Calibri" w:hAnsi="HelveticaNeueLTStd-Roman" w:cs="HelveticaNeueLTStd-Roman"/>
          <w:color w:val="231F20"/>
          <w:szCs w:val="24"/>
          <w:lang w:val="nl-BE"/>
        </w:rPr>
        <w:t>192 837</w:t>
      </w:r>
      <w:r w:rsidR="00A7616F" w:rsidRPr="0096338A">
        <w:rPr>
          <w:rFonts w:ascii="HelveticaNeueLTStd-Roman" w:eastAsia="Calibri" w:hAnsi="HelveticaNeueLTStd-Roman" w:cs="HelveticaNeueLTStd-Roman"/>
          <w:color w:val="231F20"/>
          <w:szCs w:val="24"/>
        </w:rPr>
        <w:t xml:space="preserve"> tekens</w:t>
      </w:r>
    </w:p>
    <w:p w:rsidR="00A7616F" w:rsidRPr="0096338A" w:rsidRDefault="00A7616F" w:rsidP="00A7616F"/>
    <w:p w:rsidR="00A7616F" w:rsidRPr="0096338A" w:rsidRDefault="00A7616F" w:rsidP="00A7616F">
      <w:pPr>
        <w:pStyle w:val="Kop1"/>
      </w:pPr>
      <w:r w:rsidRPr="0096338A">
        <w:br w:type="page"/>
      </w:r>
    </w:p>
    <w:p w:rsidR="00A7616F" w:rsidRPr="0096338A" w:rsidRDefault="00A7616F" w:rsidP="00A7616F">
      <w:pPr>
        <w:spacing w:after="200" w:line="276" w:lineRule="auto"/>
        <w:jc w:val="left"/>
        <w:sectPr w:rsidR="00A7616F" w:rsidRPr="0096338A" w:rsidSect="00567346">
          <w:headerReference w:type="default" r:id="rId11"/>
          <w:footerReference w:type="default" r:id="rId12"/>
          <w:type w:val="continuous"/>
          <w:pgSz w:w="11906" w:h="16838"/>
          <w:pgMar w:top="1417" w:right="1417" w:bottom="1417" w:left="1417" w:header="708" w:footer="708" w:gutter="0"/>
          <w:cols w:space="708"/>
          <w:docGrid w:linePitch="360"/>
        </w:sectPr>
      </w:pPr>
    </w:p>
    <w:p w:rsidR="00A7616F" w:rsidRPr="0096338A" w:rsidRDefault="00A7616F" w:rsidP="00A7616F">
      <w:pPr>
        <w:spacing w:after="200" w:line="276" w:lineRule="auto"/>
        <w:jc w:val="left"/>
      </w:pPr>
    </w:p>
    <w:sdt>
      <w:sdtPr>
        <w:rPr>
          <w:rFonts w:ascii="Times New Roman" w:eastAsiaTheme="minorHAnsi" w:hAnsi="Times New Roman" w:cstheme="minorBidi"/>
          <w:b w:val="0"/>
          <w:bCs w:val="0"/>
          <w:color w:val="auto"/>
          <w:sz w:val="24"/>
          <w:szCs w:val="22"/>
          <w:u w:val="none"/>
          <w:lang w:eastAsia="en-US"/>
        </w:rPr>
        <w:id w:val="-94789930"/>
        <w:docPartObj>
          <w:docPartGallery w:val="Table of Contents"/>
          <w:docPartUnique/>
        </w:docPartObj>
      </w:sdtPr>
      <w:sdtEndPr/>
      <w:sdtContent>
        <w:p w:rsidR="00A7616F" w:rsidRPr="0096338A" w:rsidRDefault="00A7616F" w:rsidP="00BE2EE9">
          <w:pPr>
            <w:pStyle w:val="Kopvaninhoudsopgave"/>
          </w:pPr>
          <w:r w:rsidRPr="0096338A">
            <w:t>Inhoud</w:t>
          </w:r>
          <w:r w:rsidR="003036C6" w:rsidRPr="0096338A">
            <w:t>sopgave</w:t>
          </w:r>
        </w:p>
        <w:p w:rsidR="00BE2EE9" w:rsidRDefault="00A7616F" w:rsidP="00BE2EE9">
          <w:pPr>
            <w:pStyle w:val="Inhopg1"/>
            <w:tabs>
              <w:tab w:val="right" w:leader="dot" w:pos="9062"/>
            </w:tabs>
            <w:spacing w:line="276" w:lineRule="auto"/>
            <w:rPr>
              <w:rFonts w:asciiTheme="minorHAnsi" w:eastAsiaTheme="minorEastAsia" w:hAnsiTheme="minorHAnsi"/>
              <w:noProof/>
              <w:sz w:val="22"/>
              <w:lang w:eastAsia="nl-NL"/>
            </w:rPr>
          </w:pPr>
          <w:r w:rsidRPr="0096338A">
            <w:fldChar w:fldCharType="begin"/>
          </w:r>
          <w:r w:rsidRPr="0096338A">
            <w:instrText xml:space="preserve"> TOC \o "1-3" \h \z \u </w:instrText>
          </w:r>
          <w:r w:rsidRPr="0096338A">
            <w:fldChar w:fldCharType="separate"/>
          </w:r>
          <w:hyperlink w:anchor="_Toc452371437" w:history="1">
            <w:r w:rsidR="00BE2EE9" w:rsidRPr="004D67F0">
              <w:rPr>
                <w:rStyle w:val="Hyperlink"/>
                <w:noProof/>
              </w:rPr>
              <w:t>Inleiding</w:t>
            </w:r>
            <w:r w:rsidR="00BE2EE9">
              <w:rPr>
                <w:noProof/>
                <w:webHidden/>
              </w:rPr>
              <w:tab/>
            </w:r>
            <w:r w:rsidR="00BE2EE9">
              <w:rPr>
                <w:noProof/>
                <w:webHidden/>
              </w:rPr>
              <w:fldChar w:fldCharType="begin"/>
            </w:r>
            <w:r w:rsidR="00BE2EE9">
              <w:rPr>
                <w:noProof/>
                <w:webHidden/>
              </w:rPr>
              <w:instrText xml:space="preserve"> PAGEREF _Toc452371437 \h </w:instrText>
            </w:r>
            <w:r w:rsidR="00BE2EE9">
              <w:rPr>
                <w:noProof/>
                <w:webHidden/>
              </w:rPr>
            </w:r>
            <w:r w:rsidR="00BE2EE9">
              <w:rPr>
                <w:noProof/>
                <w:webHidden/>
              </w:rPr>
              <w:fldChar w:fldCharType="separate"/>
            </w:r>
            <w:r w:rsidR="00421AE8">
              <w:rPr>
                <w:noProof/>
                <w:webHidden/>
              </w:rPr>
              <w:t>2</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38" w:history="1">
            <w:r w:rsidR="00BE2EE9" w:rsidRPr="004D67F0">
              <w:rPr>
                <w:rStyle w:val="Hyperlink"/>
                <w:noProof/>
              </w:rPr>
              <w:t>1. Leuven en haar bewoners in de vijftiende eeuw: de kernfamilie als spil</w:t>
            </w:r>
            <w:r w:rsidR="00BE2EE9">
              <w:rPr>
                <w:noProof/>
                <w:webHidden/>
              </w:rPr>
              <w:tab/>
            </w:r>
            <w:r w:rsidR="00BE2EE9">
              <w:rPr>
                <w:noProof/>
                <w:webHidden/>
              </w:rPr>
              <w:fldChar w:fldCharType="begin"/>
            </w:r>
            <w:r w:rsidR="00BE2EE9">
              <w:rPr>
                <w:noProof/>
                <w:webHidden/>
              </w:rPr>
              <w:instrText xml:space="preserve"> PAGEREF _Toc452371438 \h </w:instrText>
            </w:r>
            <w:r w:rsidR="00BE2EE9">
              <w:rPr>
                <w:noProof/>
                <w:webHidden/>
              </w:rPr>
            </w:r>
            <w:r w:rsidR="00BE2EE9">
              <w:rPr>
                <w:noProof/>
                <w:webHidden/>
              </w:rPr>
              <w:fldChar w:fldCharType="separate"/>
            </w:r>
            <w:r w:rsidR="00421AE8">
              <w:rPr>
                <w:noProof/>
                <w:webHidden/>
              </w:rPr>
              <w:t>11</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39" w:history="1">
            <w:r w:rsidR="00BE2EE9" w:rsidRPr="004D67F0">
              <w:rPr>
                <w:rStyle w:val="Hyperlink"/>
                <w:noProof/>
              </w:rPr>
              <w:t>2. Gezellen en hun leefwereld: de werking van de ambachten in de vijftiende eeuw</w:t>
            </w:r>
            <w:r w:rsidR="00BE2EE9">
              <w:rPr>
                <w:noProof/>
                <w:webHidden/>
              </w:rPr>
              <w:tab/>
            </w:r>
            <w:r w:rsidR="00BE2EE9">
              <w:rPr>
                <w:noProof/>
                <w:webHidden/>
              </w:rPr>
              <w:fldChar w:fldCharType="begin"/>
            </w:r>
            <w:r w:rsidR="00BE2EE9">
              <w:rPr>
                <w:noProof/>
                <w:webHidden/>
              </w:rPr>
              <w:instrText xml:space="preserve"> PAGEREF _Toc452371439 \h </w:instrText>
            </w:r>
            <w:r w:rsidR="00BE2EE9">
              <w:rPr>
                <w:noProof/>
                <w:webHidden/>
              </w:rPr>
            </w:r>
            <w:r w:rsidR="00BE2EE9">
              <w:rPr>
                <w:noProof/>
                <w:webHidden/>
              </w:rPr>
              <w:fldChar w:fldCharType="separate"/>
            </w:r>
            <w:r w:rsidR="00421AE8">
              <w:rPr>
                <w:noProof/>
                <w:webHidden/>
              </w:rPr>
              <w:t>15</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40" w:history="1">
            <w:r w:rsidR="00BE2EE9" w:rsidRPr="004D67F0">
              <w:rPr>
                <w:rStyle w:val="Hyperlink"/>
                <w:noProof/>
              </w:rPr>
              <w:t>3. Vrouwen en de ambachtenwereld</w:t>
            </w:r>
            <w:r w:rsidR="00BE2EE9">
              <w:rPr>
                <w:noProof/>
                <w:webHidden/>
              </w:rPr>
              <w:tab/>
            </w:r>
            <w:r w:rsidR="00BE2EE9">
              <w:rPr>
                <w:noProof/>
                <w:webHidden/>
              </w:rPr>
              <w:fldChar w:fldCharType="begin"/>
            </w:r>
            <w:r w:rsidR="00BE2EE9">
              <w:rPr>
                <w:noProof/>
                <w:webHidden/>
              </w:rPr>
              <w:instrText xml:space="preserve"> PAGEREF _Toc452371440 \h </w:instrText>
            </w:r>
            <w:r w:rsidR="00BE2EE9">
              <w:rPr>
                <w:noProof/>
                <w:webHidden/>
              </w:rPr>
            </w:r>
            <w:r w:rsidR="00BE2EE9">
              <w:rPr>
                <w:noProof/>
                <w:webHidden/>
              </w:rPr>
              <w:fldChar w:fldCharType="separate"/>
            </w:r>
            <w:r w:rsidR="00421AE8">
              <w:rPr>
                <w:noProof/>
                <w:webHidden/>
              </w:rPr>
              <w:t>18</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41" w:history="1">
            <w:r w:rsidR="00BE2EE9" w:rsidRPr="004D67F0">
              <w:rPr>
                <w:rStyle w:val="Hyperlink"/>
                <w:noProof/>
              </w:rPr>
              <w:t>3.1 Het statuut van de vrouw in de late middeleeuwen</w:t>
            </w:r>
            <w:r w:rsidR="00BE2EE9">
              <w:rPr>
                <w:noProof/>
                <w:webHidden/>
              </w:rPr>
              <w:tab/>
            </w:r>
            <w:r w:rsidR="00BE2EE9">
              <w:rPr>
                <w:noProof/>
                <w:webHidden/>
              </w:rPr>
              <w:fldChar w:fldCharType="begin"/>
            </w:r>
            <w:r w:rsidR="00BE2EE9">
              <w:rPr>
                <w:noProof/>
                <w:webHidden/>
              </w:rPr>
              <w:instrText xml:space="preserve"> PAGEREF _Toc452371441 \h </w:instrText>
            </w:r>
            <w:r w:rsidR="00BE2EE9">
              <w:rPr>
                <w:noProof/>
                <w:webHidden/>
              </w:rPr>
            </w:r>
            <w:r w:rsidR="00BE2EE9">
              <w:rPr>
                <w:noProof/>
                <w:webHidden/>
              </w:rPr>
              <w:fldChar w:fldCharType="separate"/>
            </w:r>
            <w:r w:rsidR="00421AE8">
              <w:rPr>
                <w:noProof/>
                <w:webHidden/>
              </w:rPr>
              <w:t>18</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42" w:history="1">
            <w:r w:rsidR="00BE2EE9" w:rsidRPr="004D67F0">
              <w:rPr>
                <w:rStyle w:val="Hyperlink"/>
                <w:noProof/>
              </w:rPr>
              <w:t>3.2 De invloed van familiale status op de toegang tot de ambachten</w:t>
            </w:r>
            <w:r w:rsidR="00BE2EE9">
              <w:rPr>
                <w:noProof/>
                <w:webHidden/>
              </w:rPr>
              <w:tab/>
            </w:r>
            <w:r w:rsidR="00BE2EE9">
              <w:rPr>
                <w:noProof/>
                <w:webHidden/>
              </w:rPr>
              <w:fldChar w:fldCharType="begin"/>
            </w:r>
            <w:r w:rsidR="00BE2EE9">
              <w:rPr>
                <w:noProof/>
                <w:webHidden/>
              </w:rPr>
              <w:instrText xml:space="preserve"> PAGEREF _Toc452371442 \h </w:instrText>
            </w:r>
            <w:r w:rsidR="00BE2EE9">
              <w:rPr>
                <w:noProof/>
                <w:webHidden/>
              </w:rPr>
            </w:r>
            <w:r w:rsidR="00BE2EE9">
              <w:rPr>
                <w:noProof/>
                <w:webHidden/>
              </w:rPr>
              <w:fldChar w:fldCharType="separate"/>
            </w:r>
            <w:r w:rsidR="00421AE8">
              <w:rPr>
                <w:noProof/>
                <w:webHidden/>
              </w:rPr>
              <w:t>20</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43" w:history="1">
            <w:r w:rsidR="00BE2EE9" w:rsidRPr="004D67F0">
              <w:rPr>
                <w:rStyle w:val="Hyperlink"/>
                <w:noProof/>
              </w:rPr>
              <w:t>3.2.1 Het Leuvense ambachtswezen en de mogelijkheden voor vrouwen</w:t>
            </w:r>
            <w:r w:rsidR="00BE2EE9">
              <w:rPr>
                <w:noProof/>
                <w:webHidden/>
              </w:rPr>
              <w:tab/>
            </w:r>
            <w:r w:rsidR="00BE2EE9">
              <w:rPr>
                <w:noProof/>
                <w:webHidden/>
              </w:rPr>
              <w:fldChar w:fldCharType="begin"/>
            </w:r>
            <w:r w:rsidR="00BE2EE9">
              <w:rPr>
                <w:noProof/>
                <w:webHidden/>
              </w:rPr>
              <w:instrText xml:space="preserve"> PAGEREF _Toc452371443 \h </w:instrText>
            </w:r>
            <w:r w:rsidR="00BE2EE9">
              <w:rPr>
                <w:noProof/>
                <w:webHidden/>
              </w:rPr>
            </w:r>
            <w:r w:rsidR="00BE2EE9">
              <w:rPr>
                <w:noProof/>
                <w:webHidden/>
              </w:rPr>
              <w:fldChar w:fldCharType="separate"/>
            </w:r>
            <w:r w:rsidR="00421AE8">
              <w:rPr>
                <w:noProof/>
                <w:webHidden/>
              </w:rPr>
              <w:t>21</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44" w:history="1">
            <w:r w:rsidR="00BE2EE9" w:rsidRPr="004D67F0">
              <w:rPr>
                <w:rStyle w:val="Hyperlink"/>
                <w:noProof/>
                <w:lang w:val="en-GB"/>
              </w:rPr>
              <w:t>3.2.2 Alleenstaande vrouwen en de ambachten</w:t>
            </w:r>
            <w:r w:rsidR="00BE2EE9">
              <w:rPr>
                <w:noProof/>
                <w:webHidden/>
              </w:rPr>
              <w:tab/>
            </w:r>
            <w:r w:rsidR="00BE2EE9">
              <w:rPr>
                <w:noProof/>
                <w:webHidden/>
              </w:rPr>
              <w:fldChar w:fldCharType="begin"/>
            </w:r>
            <w:r w:rsidR="00BE2EE9">
              <w:rPr>
                <w:noProof/>
                <w:webHidden/>
              </w:rPr>
              <w:instrText xml:space="preserve"> PAGEREF _Toc452371444 \h </w:instrText>
            </w:r>
            <w:r w:rsidR="00BE2EE9">
              <w:rPr>
                <w:noProof/>
                <w:webHidden/>
              </w:rPr>
            </w:r>
            <w:r w:rsidR="00BE2EE9">
              <w:rPr>
                <w:noProof/>
                <w:webHidden/>
              </w:rPr>
              <w:fldChar w:fldCharType="separate"/>
            </w:r>
            <w:r w:rsidR="00421AE8">
              <w:rPr>
                <w:noProof/>
                <w:webHidden/>
              </w:rPr>
              <w:t>29</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45" w:history="1">
            <w:r w:rsidR="00BE2EE9" w:rsidRPr="004D67F0">
              <w:rPr>
                <w:rStyle w:val="Hyperlink"/>
                <w:noProof/>
              </w:rPr>
              <w:t>3.2.3 Getrouwde vrouwen en de ambachten: onafhankelijk of deel van de ‘family production unit’?</w:t>
            </w:r>
            <w:r w:rsidR="00BE2EE9">
              <w:rPr>
                <w:noProof/>
                <w:webHidden/>
              </w:rPr>
              <w:tab/>
            </w:r>
            <w:r w:rsidR="00BE2EE9">
              <w:rPr>
                <w:noProof/>
                <w:webHidden/>
              </w:rPr>
              <w:fldChar w:fldCharType="begin"/>
            </w:r>
            <w:r w:rsidR="00BE2EE9">
              <w:rPr>
                <w:noProof/>
                <w:webHidden/>
              </w:rPr>
              <w:instrText xml:space="preserve"> PAGEREF _Toc452371445 \h </w:instrText>
            </w:r>
            <w:r w:rsidR="00BE2EE9">
              <w:rPr>
                <w:noProof/>
                <w:webHidden/>
              </w:rPr>
            </w:r>
            <w:r w:rsidR="00BE2EE9">
              <w:rPr>
                <w:noProof/>
                <w:webHidden/>
              </w:rPr>
              <w:fldChar w:fldCharType="separate"/>
            </w:r>
            <w:r w:rsidR="00421AE8">
              <w:rPr>
                <w:noProof/>
                <w:webHidden/>
              </w:rPr>
              <w:t>36</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46" w:history="1">
            <w:r w:rsidR="00BE2EE9" w:rsidRPr="004D67F0">
              <w:rPr>
                <w:rStyle w:val="Hyperlink"/>
                <w:noProof/>
              </w:rPr>
              <w:t>3.3 Vrouwen in de marge: werken buiten het ambacht</w:t>
            </w:r>
            <w:r w:rsidR="00BE2EE9">
              <w:rPr>
                <w:noProof/>
                <w:webHidden/>
              </w:rPr>
              <w:tab/>
            </w:r>
            <w:r w:rsidR="00BE2EE9">
              <w:rPr>
                <w:noProof/>
                <w:webHidden/>
              </w:rPr>
              <w:fldChar w:fldCharType="begin"/>
            </w:r>
            <w:r w:rsidR="00BE2EE9">
              <w:rPr>
                <w:noProof/>
                <w:webHidden/>
              </w:rPr>
              <w:instrText xml:space="preserve"> PAGEREF _Toc452371446 \h </w:instrText>
            </w:r>
            <w:r w:rsidR="00BE2EE9">
              <w:rPr>
                <w:noProof/>
                <w:webHidden/>
              </w:rPr>
            </w:r>
            <w:r w:rsidR="00BE2EE9">
              <w:rPr>
                <w:noProof/>
                <w:webHidden/>
              </w:rPr>
              <w:fldChar w:fldCharType="separate"/>
            </w:r>
            <w:r w:rsidR="00421AE8">
              <w:rPr>
                <w:noProof/>
                <w:webHidden/>
              </w:rPr>
              <w:t>40</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47" w:history="1">
            <w:r w:rsidR="00BE2EE9" w:rsidRPr="004D67F0">
              <w:rPr>
                <w:rStyle w:val="Hyperlink"/>
                <w:noProof/>
              </w:rPr>
              <w:t>3.4 Gebeten door tijd: de veronderstelde maatschappelijke verandering en haar oorzaken</w:t>
            </w:r>
            <w:r w:rsidR="00BE2EE9">
              <w:rPr>
                <w:noProof/>
                <w:webHidden/>
              </w:rPr>
              <w:tab/>
            </w:r>
            <w:r w:rsidR="00BE2EE9">
              <w:rPr>
                <w:noProof/>
                <w:webHidden/>
              </w:rPr>
              <w:fldChar w:fldCharType="begin"/>
            </w:r>
            <w:r w:rsidR="00BE2EE9">
              <w:rPr>
                <w:noProof/>
                <w:webHidden/>
              </w:rPr>
              <w:instrText xml:space="preserve"> PAGEREF _Toc452371447 \h </w:instrText>
            </w:r>
            <w:r w:rsidR="00BE2EE9">
              <w:rPr>
                <w:noProof/>
                <w:webHidden/>
              </w:rPr>
            </w:r>
            <w:r w:rsidR="00BE2EE9">
              <w:rPr>
                <w:noProof/>
                <w:webHidden/>
              </w:rPr>
              <w:fldChar w:fldCharType="separate"/>
            </w:r>
            <w:r w:rsidR="00421AE8">
              <w:rPr>
                <w:noProof/>
                <w:webHidden/>
              </w:rPr>
              <w:t>48</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48" w:history="1">
            <w:r w:rsidR="00BE2EE9" w:rsidRPr="004D67F0">
              <w:rPr>
                <w:rStyle w:val="Hyperlink"/>
                <w:noProof/>
              </w:rPr>
              <w:t>3.4.1 De uiteenlopende chronologie in de geschiedschrijving</w:t>
            </w:r>
            <w:r w:rsidR="00BE2EE9">
              <w:rPr>
                <w:noProof/>
                <w:webHidden/>
              </w:rPr>
              <w:tab/>
            </w:r>
            <w:r w:rsidR="00BE2EE9">
              <w:rPr>
                <w:noProof/>
                <w:webHidden/>
              </w:rPr>
              <w:fldChar w:fldCharType="begin"/>
            </w:r>
            <w:r w:rsidR="00BE2EE9">
              <w:rPr>
                <w:noProof/>
                <w:webHidden/>
              </w:rPr>
              <w:instrText xml:space="preserve"> PAGEREF _Toc452371448 \h </w:instrText>
            </w:r>
            <w:r w:rsidR="00BE2EE9">
              <w:rPr>
                <w:noProof/>
                <w:webHidden/>
              </w:rPr>
            </w:r>
            <w:r w:rsidR="00BE2EE9">
              <w:rPr>
                <w:noProof/>
                <w:webHidden/>
              </w:rPr>
              <w:fldChar w:fldCharType="separate"/>
            </w:r>
            <w:r w:rsidR="00421AE8">
              <w:rPr>
                <w:noProof/>
                <w:webHidden/>
              </w:rPr>
              <w:t>49</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49" w:history="1">
            <w:r w:rsidR="00BE2EE9" w:rsidRPr="004D67F0">
              <w:rPr>
                <w:rStyle w:val="Hyperlink"/>
                <w:noProof/>
              </w:rPr>
              <w:t>3.4.2 Reflecties over de ‘decline-thesis’ en mogelijke oorzaken</w:t>
            </w:r>
            <w:r w:rsidR="00BE2EE9">
              <w:rPr>
                <w:noProof/>
                <w:webHidden/>
              </w:rPr>
              <w:tab/>
            </w:r>
            <w:r w:rsidR="00BE2EE9">
              <w:rPr>
                <w:noProof/>
                <w:webHidden/>
              </w:rPr>
              <w:fldChar w:fldCharType="begin"/>
            </w:r>
            <w:r w:rsidR="00BE2EE9">
              <w:rPr>
                <w:noProof/>
                <w:webHidden/>
              </w:rPr>
              <w:instrText xml:space="preserve"> PAGEREF _Toc452371449 \h </w:instrText>
            </w:r>
            <w:r w:rsidR="00BE2EE9">
              <w:rPr>
                <w:noProof/>
                <w:webHidden/>
              </w:rPr>
            </w:r>
            <w:r w:rsidR="00BE2EE9">
              <w:rPr>
                <w:noProof/>
                <w:webHidden/>
              </w:rPr>
              <w:fldChar w:fldCharType="separate"/>
            </w:r>
            <w:r w:rsidR="00421AE8">
              <w:rPr>
                <w:noProof/>
                <w:webHidden/>
              </w:rPr>
              <w:t>53</w:t>
            </w:r>
            <w:r w:rsidR="00BE2EE9">
              <w:rPr>
                <w:noProof/>
                <w:webHidden/>
              </w:rPr>
              <w:fldChar w:fldCharType="end"/>
            </w:r>
          </w:hyperlink>
        </w:p>
        <w:p w:rsidR="00BE2EE9" w:rsidRDefault="00045E97" w:rsidP="00BE2EE9">
          <w:pPr>
            <w:pStyle w:val="Inhopg3"/>
            <w:rPr>
              <w:rFonts w:asciiTheme="minorHAnsi" w:eastAsiaTheme="minorEastAsia" w:hAnsiTheme="minorHAnsi"/>
              <w:noProof/>
              <w:sz w:val="22"/>
              <w:lang w:eastAsia="nl-NL"/>
            </w:rPr>
          </w:pPr>
          <w:hyperlink w:anchor="_Toc452371450" w:history="1">
            <w:r w:rsidR="00BE2EE9" w:rsidRPr="004D67F0">
              <w:rPr>
                <w:rStyle w:val="Hyperlink"/>
                <w:noProof/>
              </w:rPr>
              <w:t>3.4.3 De Leuvense markt: een plaats voor nuance</w:t>
            </w:r>
            <w:r w:rsidR="00BE2EE9">
              <w:rPr>
                <w:noProof/>
                <w:webHidden/>
              </w:rPr>
              <w:tab/>
            </w:r>
            <w:r w:rsidR="00BE2EE9">
              <w:rPr>
                <w:noProof/>
                <w:webHidden/>
              </w:rPr>
              <w:fldChar w:fldCharType="begin"/>
            </w:r>
            <w:r w:rsidR="00BE2EE9">
              <w:rPr>
                <w:noProof/>
                <w:webHidden/>
              </w:rPr>
              <w:instrText xml:space="preserve"> PAGEREF _Toc452371450 \h </w:instrText>
            </w:r>
            <w:r w:rsidR="00BE2EE9">
              <w:rPr>
                <w:noProof/>
                <w:webHidden/>
              </w:rPr>
            </w:r>
            <w:r w:rsidR="00BE2EE9">
              <w:rPr>
                <w:noProof/>
                <w:webHidden/>
              </w:rPr>
              <w:fldChar w:fldCharType="separate"/>
            </w:r>
            <w:r w:rsidR="00421AE8">
              <w:rPr>
                <w:noProof/>
                <w:webHidden/>
              </w:rPr>
              <w:t>58</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51" w:history="1">
            <w:r w:rsidR="00BE2EE9" w:rsidRPr="004D67F0">
              <w:rPr>
                <w:rStyle w:val="Hyperlink"/>
                <w:noProof/>
              </w:rPr>
              <w:t>4. Een nieuwe stap in het prille onderzoek: gender en de Leuvense marktruimte</w:t>
            </w:r>
            <w:r w:rsidR="00BE2EE9">
              <w:rPr>
                <w:noProof/>
                <w:webHidden/>
              </w:rPr>
              <w:tab/>
            </w:r>
            <w:r w:rsidR="00BE2EE9">
              <w:rPr>
                <w:noProof/>
                <w:webHidden/>
              </w:rPr>
              <w:fldChar w:fldCharType="begin"/>
            </w:r>
            <w:r w:rsidR="00BE2EE9">
              <w:rPr>
                <w:noProof/>
                <w:webHidden/>
              </w:rPr>
              <w:instrText xml:space="preserve"> PAGEREF _Toc452371451 \h </w:instrText>
            </w:r>
            <w:r w:rsidR="00BE2EE9">
              <w:rPr>
                <w:noProof/>
                <w:webHidden/>
              </w:rPr>
            </w:r>
            <w:r w:rsidR="00BE2EE9">
              <w:rPr>
                <w:noProof/>
                <w:webHidden/>
              </w:rPr>
              <w:fldChar w:fldCharType="separate"/>
            </w:r>
            <w:r w:rsidR="00421AE8">
              <w:rPr>
                <w:noProof/>
                <w:webHidden/>
              </w:rPr>
              <w:t>63</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2" w:history="1">
            <w:r w:rsidR="00BE2EE9" w:rsidRPr="004D67F0">
              <w:rPr>
                <w:rStyle w:val="Hyperlink"/>
                <w:noProof/>
              </w:rPr>
              <w:t>4.1 Het concept ‘ruimte’ en de middeleeuwse stad</w:t>
            </w:r>
            <w:r w:rsidR="00BE2EE9">
              <w:rPr>
                <w:noProof/>
                <w:webHidden/>
              </w:rPr>
              <w:tab/>
            </w:r>
            <w:r w:rsidR="00BE2EE9">
              <w:rPr>
                <w:noProof/>
                <w:webHidden/>
              </w:rPr>
              <w:fldChar w:fldCharType="begin"/>
            </w:r>
            <w:r w:rsidR="00BE2EE9">
              <w:rPr>
                <w:noProof/>
                <w:webHidden/>
              </w:rPr>
              <w:instrText xml:space="preserve"> PAGEREF _Toc452371452 \h </w:instrText>
            </w:r>
            <w:r w:rsidR="00BE2EE9">
              <w:rPr>
                <w:noProof/>
                <w:webHidden/>
              </w:rPr>
            </w:r>
            <w:r w:rsidR="00BE2EE9">
              <w:rPr>
                <w:noProof/>
                <w:webHidden/>
              </w:rPr>
              <w:fldChar w:fldCharType="separate"/>
            </w:r>
            <w:r w:rsidR="00421AE8">
              <w:rPr>
                <w:noProof/>
                <w:webHidden/>
              </w:rPr>
              <w:t>64</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3" w:history="1">
            <w:r w:rsidR="00BE2EE9" w:rsidRPr="004D67F0">
              <w:rPr>
                <w:rStyle w:val="Hyperlink"/>
                <w:noProof/>
              </w:rPr>
              <w:t>4.2 Genderverdeling in de stad? De vage scheiding tussen publieke en private ruimten</w:t>
            </w:r>
            <w:r w:rsidR="00BE2EE9">
              <w:rPr>
                <w:noProof/>
                <w:webHidden/>
              </w:rPr>
              <w:tab/>
            </w:r>
            <w:r w:rsidR="00BE2EE9">
              <w:rPr>
                <w:noProof/>
                <w:webHidden/>
              </w:rPr>
              <w:fldChar w:fldCharType="begin"/>
            </w:r>
            <w:r w:rsidR="00BE2EE9">
              <w:rPr>
                <w:noProof/>
                <w:webHidden/>
              </w:rPr>
              <w:instrText xml:space="preserve"> PAGEREF _Toc452371453 \h </w:instrText>
            </w:r>
            <w:r w:rsidR="00BE2EE9">
              <w:rPr>
                <w:noProof/>
                <w:webHidden/>
              </w:rPr>
            </w:r>
            <w:r w:rsidR="00BE2EE9">
              <w:rPr>
                <w:noProof/>
                <w:webHidden/>
              </w:rPr>
              <w:fldChar w:fldCharType="separate"/>
            </w:r>
            <w:r w:rsidR="00421AE8">
              <w:rPr>
                <w:noProof/>
                <w:webHidden/>
              </w:rPr>
              <w:t>67</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4" w:history="1">
            <w:r w:rsidR="00BE2EE9" w:rsidRPr="004D67F0">
              <w:rPr>
                <w:rStyle w:val="Hyperlink"/>
                <w:noProof/>
              </w:rPr>
              <w:t>4.3 De Leuvense markthallen en de actieradius van vrouwen</w:t>
            </w:r>
            <w:r w:rsidR="00BE2EE9">
              <w:rPr>
                <w:noProof/>
                <w:webHidden/>
              </w:rPr>
              <w:tab/>
            </w:r>
            <w:r w:rsidR="00BE2EE9">
              <w:rPr>
                <w:noProof/>
                <w:webHidden/>
              </w:rPr>
              <w:fldChar w:fldCharType="begin"/>
            </w:r>
            <w:r w:rsidR="00BE2EE9">
              <w:rPr>
                <w:noProof/>
                <w:webHidden/>
              </w:rPr>
              <w:instrText xml:space="preserve"> PAGEREF _Toc452371454 \h </w:instrText>
            </w:r>
            <w:r w:rsidR="00BE2EE9">
              <w:rPr>
                <w:noProof/>
                <w:webHidden/>
              </w:rPr>
            </w:r>
            <w:r w:rsidR="00BE2EE9">
              <w:rPr>
                <w:noProof/>
                <w:webHidden/>
              </w:rPr>
              <w:fldChar w:fldCharType="separate"/>
            </w:r>
            <w:r w:rsidR="00421AE8">
              <w:rPr>
                <w:noProof/>
                <w:webHidden/>
              </w:rPr>
              <w:t>72</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5" w:history="1">
            <w:r w:rsidR="00BE2EE9" w:rsidRPr="004D67F0">
              <w:rPr>
                <w:rStyle w:val="Hyperlink"/>
                <w:noProof/>
              </w:rPr>
              <w:t>4.4 Vrouwen in het geheel van de Leuvense marktruimte</w:t>
            </w:r>
            <w:r w:rsidR="00BE2EE9">
              <w:rPr>
                <w:noProof/>
                <w:webHidden/>
              </w:rPr>
              <w:tab/>
            </w:r>
            <w:r w:rsidR="00BE2EE9">
              <w:rPr>
                <w:noProof/>
                <w:webHidden/>
              </w:rPr>
              <w:fldChar w:fldCharType="begin"/>
            </w:r>
            <w:r w:rsidR="00BE2EE9">
              <w:rPr>
                <w:noProof/>
                <w:webHidden/>
              </w:rPr>
              <w:instrText xml:space="preserve"> PAGEREF _Toc452371455 \h </w:instrText>
            </w:r>
            <w:r w:rsidR="00BE2EE9">
              <w:rPr>
                <w:noProof/>
                <w:webHidden/>
              </w:rPr>
            </w:r>
            <w:r w:rsidR="00BE2EE9">
              <w:rPr>
                <w:noProof/>
                <w:webHidden/>
              </w:rPr>
              <w:fldChar w:fldCharType="separate"/>
            </w:r>
            <w:r w:rsidR="00421AE8">
              <w:rPr>
                <w:noProof/>
                <w:webHidden/>
              </w:rPr>
              <w:t>78</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56" w:history="1">
            <w:r w:rsidR="00BE2EE9" w:rsidRPr="004D67F0">
              <w:rPr>
                <w:rStyle w:val="Hyperlink"/>
                <w:noProof/>
              </w:rPr>
              <w:t>Slotbeschouwingen</w:t>
            </w:r>
            <w:r w:rsidR="00BE2EE9">
              <w:rPr>
                <w:noProof/>
                <w:webHidden/>
              </w:rPr>
              <w:tab/>
            </w:r>
            <w:r w:rsidR="00BE2EE9">
              <w:rPr>
                <w:noProof/>
                <w:webHidden/>
              </w:rPr>
              <w:fldChar w:fldCharType="begin"/>
            </w:r>
            <w:r w:rsidR="00BE2EE9">
              <w:rPr>
                <w:noProof/>
                <w:webHidden/>
              </w:rPr>
              <w:instrText xml:space="preserve"> PAGEREF _Toc452371456 \h </w:instrText>
            </w:r>
            <w:r w:rsidR="00BE2EE9">
              <w:rPr>
                <w:noProof/>
                <w:webHidden/>
              </w:rPr>
            </w:r>
            <w:r w:rsidR="00BE2EE9">
              <w:rPr>
                <w:noProof/>
                <w:webHidden/>
              </w:rPr>
              <w:fldChar w:fldCharType="separate"/>
            </w:r>
            <w:r w:rsidR="00421AE8">
              <w:rPr>
                <w:noProof/>
                <w:webHidden/>
              </w:rPr>
              <w:t>82</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57" w:history="1">
            <w:r w:rsidR="00BE2EE9" w:rsidRPr="004D67F0">
              <w:rPr>
                <w:rStyle w:val="Hyperlink"/>
                <w:noProof/>
              </w:rPr>
              <w:t>Bibliografie</w:t>
            </w:r>
            <w:r w:rsidR="00BE2EE9">
              <w:rPr>
                <w:noProof/>
                <w:webHidden/>
              </w:rPr>
              <w:tab/>
            </w:r>
            <w:r w:rsidR="00BE2EE9">
              <w:rPr>
                <w:noProof/>
                <w:webHidden/>
              </w:rPr>
              <w:fldChar w:fldCharType="begin"/>
            </w:r>
            <w:r w:rsidR="00BE2EE9">
              <w:rPr>
                <w:noProof/>
                <w:webHidden/>
              </w:rPr>
              <w:instrText xml:space="preserve"> PAGEREF _Toc452371457 \h </w:instrText>
            </w:r>
            <w:r w:rsidR="00BE2EE9">
              <w:rPr>
                <w:noProof/>
                <w:webHidden/>
              </w:rPr>
            </w:r>
            <w:r w:rsidR="00BE2EE9">
              <w:rPr>
                <w:noProof/>
                <w:webHidden/>
              </w:rPr>
              <w:fldChar w:fldCharType="separate"/>
            </w:r>
            <w:r w:rsidR="00421AE8">
              <w:rPr>
                <w:noProof/>
                <w:webHidden/>
              </w:rPr>
              <w:t>86</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8" w:history="1">
            <w:r w:rsidR="00BE2EE9" w:rsidRPr="004D67F0">
              <w:rPr>
                <w:rStyle w:val="Hyperlink"/>
                <w:noProof/>
              </w:rPr>
              <w:t>Bronnen</w:t>
            </w:r>
            <w:r w:rsidR="00BE2EE9">
              <w:rPr>
                <w:noProof/>
                <w:webHidden/>
              </w:rPr>
              <w:tab/>
            </w:r>
            <w:r w:rsidR="00BE2EE9">
              <w:rPr>
                <w:noProof/>
                <w:webHidden/>
              </w:rPr>
              <w:fldChar w:fldCharType="begin"/>
            </w:r>
            <w:r w:rsidR="00BE2EE9">
              <w:rPr>
                <w:noProof/>
                <w:webHidden/>
              </w:rPr>
              <w:instrText xml:space="preserve"> PAGEREF _Toc452371458 \h </w:instrText>
            </w:r>
            <w:r w:rsidR="00BE2EE9">
              <w:rPr>
                <w:noProof/>
                <w:webHidden/>
              </w:rPr>
            </w:r>
            <w:r w:rsidR="00BE2EE9">
              <w:rPr>
                <w:noProof/>
                <w:webHidden/>
              </w:rPr>
              <w:fldChar w:fldCharType="separate"/>
            </w:r>
            <w:r w:rsidR="00421AE8">
              <w:rPr>
                <w:noProof/>
                <w:webHidden/>
              </w:rPr>
              <w:t>86</w:t>
            </w:r>
            <w:r w:rsidR="00BE2EE9">
              <w:rPr>
                <w:noProof/>
                <w:webHidden/>
              </w:rPr>
              <w:fldChar w:fldCharType="end"/>
            </w:r>
          </w:hyperlink>
        </w:p>
        <w:p w:rsidR="00BE2EE9" w:rsidRDefault="00045E97" w:rsidP="00BE2EE9">
          <w:pPr>
            <w:pStyle w:val="Inhopg2"/>
            <w:spacing w:line="276" w:lineRule="auto"/>
            <w:rPr>
              <w:rFonts w:asciiTheme="minorHAnsi" w:eastAsiaTheme="minorEastAsia" w:hAnsiTheme="minorHAnsi"/>
              <w:noProof/>
              <w:sz w:val="22"/>
              <w:lang w:eastAsia="nl-NL"/>
            </w:rPr>
          </w:pPr>
          <w:hyperlink w:anchor="_Toc452371459" w:history="1">
            <w:r w:rsidR="00BE2EE9" w:rsidRPr="004D67F0">
              <w:rPr>
                <w:rStyle w:val="Hyperlink"/>
                <w:noProof/>
              </w:rPr>
              <w:t>Literatuur</w:t>
            </w:r>
            <w:r w:rsidR="00BE2EE9">
              <w:rPr>
                <w:noProof/>
                <w:webHidden/>
              </w:rPr>
              <w:tab/>
            </w:r>
            <w:r w:rsidR="00BE2EE9">
              <w:rPr>
                <w:noProof/>
                <w:webHidden/>
              </w:rPr>
              <w:fldChar w:fldCharType="begin"/>
            </w:r>
            <w:r w:rsidR="00BE2EE9">
              <w:rPr>
                <w:noProof/>
                <w:webHidden/>
              </w:rPr>
              <w:instrText xml:space="preserve"> PAGEREF _Toc452371459 \h </w:instrText>
            </w:r>
            <w:r w:rsidR="00BE2EE9">
              <w:rPr>
                <w:noProof/>
                <w:webHidden/>
              </w:rPr>
            </w:r>
            <w:r w:rsidR="00BE2EE9">
              <w:rPr>
                <w:noProof/>
                <w:webHidden/>
              </w:rPr>
              <w:fldChar w:fldCharType="separate"/>
            </w:r>
            <w:r w:rsidR="00421AE8">
              <w:rPr>
                <w:noProof/>
                <w:webHidden/>
              </w:rPr>
              <w:t>90</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60" w:history="1">
            <w:r w:rsidR="00BE2EE9" w:rsidRPr="004D67F0">
              <w:rPr>
                <w:rStyle w:val="Hyperlink"/>
                <w:noProof/>
              </w:rPr>
              <w:t>Bijlagen</w:t>
            </w:r>
            <w:r w:rsidR="00BE2EE9">
              <w:rPr>
                <w:noProof/>
                <w:webHidden/>
              </w:rPr>
              <w:tab/>
            </w:r>
            <w:r w:rsidR="00BE2EE9">
              <w:rPr>
                <w:noProof/>
                <w:webHidden/>
              </w:rPr>
              <w:fldChar w:fldCharType="begin"/>
            </w:r>
            <w:r w:rsidR="00BE2EE9">
              <w:rPr>
                <w:noProof/>
                <w:webHidden/>
              </w:rPr>
              <w:instrText xml:space="preserve"> PAGEREF _Toc452371460 \h </w:instrText>
            </w:r>
            <w:r w:rsidR="00BE2EE9">
              <w:rPr>
                <w:noProof/>
                <w:webHidden/>
              </w:rPr>
            </w:r>
            <w:r w:rsidR="00BE2EE9">
              <w:rPr>
                <w:noProof/>
                <w:webHidden/>
              </w:rPr>
              <w:fldChar w:fldCharType="separate"/>
            </w:r>
            <w:r w:rsidR="00421AE8">
              <w:rPr>
                <w:noProof/>
                <w:webHidden/>
              </w:rPr>
              <w:t>95</w:t>
            </w:r>
            <w:r w:rsidR="00BE2EE9">
              <w:rPr>
                <w:noProof/>
                <w:webHidden/>
              </w:rPr>
              <w:fldChar w:fldCharType="end"/>
            </w:r>
          </w:hyperlink>
        </w:p>
        <w:p w:rsidR="00BE2EE9" w:rsidRDefault="00045E97" w:rsidP="00BE2EE9">
          <w:pPr>
            <w:pStyle w:val="Inhopg1"/>
            <w:tabs>
              <w:tab w:val="right" w:leader="dot" w:pos="9062"/>
            </w:tabs>
            <w:spacing w:line="276" w:lineRule="auto"/>
            <w:rPr>
              <w:rFonts w:asciiTheme="minorHAnsi" w:eastAsiaTheme="minorEastAsia" w:hAnsiTheme="minorHAnsi"/>
              <w:noProof/>
              <w:sz w:val="22"/>
              <w:lang w:eastAsia="nl-NL"/>
            </w:rPr>
          </w:pPr>
          <w:hyperlink w:anchor="_Toc452371461" w:history="1">
            <w:r w:rsidR="00BE2EE9" w:rsidRPr="004D67F0">
              <w:rPr>
                <w:rStyle w:val="Hyperlink"/>
                <w:noProof/>
                <w:lang w:val="en-GB"/>
              </w:rPr>
              <w:t>Summary</w:t>
            </w:r>
            <w:r w:rsidR="00BE2EE9">
              <w:rPr>
                <w:noProof/>
                <w:webHidden/>
              </w:rPr>
              <w:tab/>
            </w:r>
            <w:r w:rsidR="00BE2EE9">
              <w:rPr>
                <w:noProof/>
                <w:webHidden/>
              </w:rPr>
              <w:fldChar w:fldCharType="begin"/>
            </w:r>
            <w:r w:rsidR="00BE2EE9">
              <w:rPr>
                <w:noProof/>
                <w:webHidden/>
              </w:rPr>
              <w:instrText xml:space="preserve"> PAGEREF _Toc452371461 \h </w:instrText>
            </w:r>
            <w:r w:rsidR="00BE2EE9">
              <w:rPr>
                <w:noProof/>
                <w:webHidden/>
              </w:rPr>
            </w:r>
            <w:r w:rsidR="00BE2EE9">
              <w:rPr>
                <w:noProof/>
                <w:webHidden/>
              </w:rPr>
              <w:fldChar w:fldCharType="separate"/>
            </w:r>
            <w:r w:rsidR="00421AE8">
              <w:rPr>
                <w:noProof/>
                <w:webHidden/>
              </w:rPr>
              <w:t>98</w:t>
            </w:r>
            <w:r w:rsidR="00BE2EE9">
              <w:rPr>
                <w:noProof/>
                <w:webHidden/>
              </w:rPr>
              <w:fldChar w:fldCharType="end"/>
            </w:r>
          </w:hyperlink>
        </w:p>
        <w:p w:rsidR="000B1CF9" w:rsidRPr="0096338A" w:rsidRDefault="00A7616F" w:rsidP="00BE2EE9">
          <w:pPr>
            <w:spacing w:line="276" w:lineRule="auto"/>
          </w:pPr>
          <w:r w:rsidRPr="0096338A">
            <w:rPr>
              <w:b/>
              <w:bCs/>
            </w:rPr>
            <w:fldChar w:fldCharType="end"/>
          </w:r>
        </w:p>
      </w:sdtContent>
    </w:sdt>
    <w:p w:rsidR="003F03BB" w:rsidRPr="0096338A" w:rsidRDefault="003F03BB" w:rsidP="003F03BB">
      <w:pPr>
        <w:pStyle w:val="Kop1"/>
      </w:pPr>
      <w:bookmarkStart w:id="0" w:name="_Toc450927385"/>
      <w:bookmarkStart w:id="1" w:name="_Toc452371437"/>
      <w:bookmarkStart w:id="2" w:name="_Toc449350931"/>
      <w:r w:rsidRPr="0096338A">
        <w:lastRenderedPageBreak/>
        <w:t>Inleiding</w:t>
      </w:r>
      <w:bookmarkEnd w:id="0"/>
      <w:bookmarkEnd w:id="1"/>
    </w:p>
    <w:p w:rsidR="003F03BB" w:rsidRPr="0096338A" w:rsidRDefault="003F03BB" w:rsidP="003F03BB">
      <w:pPr>
        <w:ind w:left="708"/>
        <w:rPr>
          <w:i/>
        </w:rPr>
      </w:pPr>
      <w:r w:rsidRPr="0096338A">
        <w:rPr>
          <w:i/>
        </w:rPr>
        <w:t>Item dat nyemant bynnen Lovene met nachte noch voere der zonnen, noch nae der zonnen bynnen Loven in de Dijle, noch in ander watere vesschen en sal […].</w:t>
      </w:r>
      <w:r w:rsidRPr="0096338A">
        <w:rPr>
          <w:rStyle w:val="Voetnootmarkering"/>
        </w:rPr>
        <w:footnoteReference w:id="1"/>
      </w:r>
    </w:p>
    <w:p w:rsidR="003F03BB" w:rsidRPr="0096338A" w:rsidRDefault="003F03BB" w:rsidP="003F03BB">
      <w:pPr>
        <w:rPr>
          <w:rFonts w:cs="Times New Roman"/>
          <w:szCs w:val="24"/>
        </w:rPr>
      </w:pPr>
      <w:r w:rsidRPr="0096338A">
        <w:rPr>
          <w:rFonts w:cs="Times New Roman"/>
          <w:szCs w:val="24"/>
        </w:rPr>
        <w:t>De stad wordt al eeuwen beschouwd als baken van moderniteit en beschaving en is daarmee ook steeds het onderwerp van veelzijdig historisch onderzoek. Een tijdsperiode die hierbij reeds heel wat discussie deed oplaaien is de late middeleeuwen. Het staat buiten kijf dat steden in deze periode enorme verschuivingen ondergingen. In het graafschap Vlaanderen bijvoorbeeld, resulteerde het belangenconflict tussen de graaf en de Franse koning – waarvan de bekende Guldensporenslag een manifestatie was – in een herziening van de politieke beslissingsmacht, waarbij meer bevoegdheden aan de ambachten werden toevertrouwd. Ook andere steden dan de grote Vlaamse centra kenden gedurende de veertiende eeuw processen van metamorfose.</w:t>
      </w:r>
      <w:r w:rsidRPr="0096338A">
        <w:rPr>
          <w:rStyle w:val="Voetnootmarkering"/>
          <w:rFonts w:cs="Times New Roman"/>
          <w:szCs w:val="24"/>
        </w:rPr>
        <w:footnoteReference w:id="2"/>
      </w:r>
      <w:r w:rsidRPr="0096338A">
        <w:rPr>
          <w:rFonts w:cs="Times New Roman"/>
          <w:szCs w:val="24"/>
        </w:rPr>
        <w:t xml:space="preserve"> Leuven, de Brabantse stad aan de meanderende Dijle, was één van die opvallende steden in transitie. Als gevolg van een conflict in de tweede helft van de veertiende eeuw, verkregen de ambachten in Leuven een uitzonderlijke politieke i</w:t>
      </w:r>
      <w:r w:rsidR="00EC0A1A" w:rsidRPr="0096338A">
        <w:rPr>
          <w:rFonts w:cs="Times New Roman"/>
          <w:szCs w:val="24"/>
        </w:rPr>
        <w:t>nspraak. De corporatie bepaalde</w:t>
      </w:r>
      <w:r w:rsidRPr="0096338A">
        <w:rPr>
          <w:rFonts w:cs="Times New Roman"/>
          <w:szCs w:val="24"/>
        </w:rPr>
        <w:t xml:space="preserve"> eveneens grotendeels het economische leven in de stad – een situatie die zich zeker niet beperkte tot Leuven.</w:t>
      </w:r>
      <w:r w:rsidRPr="0096338A">
        <w:rPr>
          <w:rStyle w:val="Voetnootmarkering"/>
          <w:rFonts w:cs="Times New Roman"/>
          <w:szCs w:val="24"/>
        </w:rPr>
        <w:footnoteReference w:id="3"/>
      </w:r>
      <w:r w:rsidRPr="0096338A">
        <w:rPr>
          <w:rFonts w:cs="Times New Roman"/>
          <w:szCs w:val="24"/>
        </w:rPr>
        <w:t xml:space="preserve"> De politieke conflicten van de ambachten in de Nederlanden vormden regelmatig het onderwerp van eerdere studies. De laatste jaren focussen historici zich echter op de groep die minder betrokken waren in die strubbelingen tussen belangrijke machtshebbers. De geschiedenis van de gewone ambachtsman kreeg meer aandacht, maar heeft eveneens een aanvulling nodig, namelijk </w:t>
      </w:r>
      <w:r w:rsidR="00EC0A1A" w:rsidRPr="0096338A">
        <w:rPr>
          <w:rFonts w:cs="Times New Roman"/>
          <w:szCs w:val="24"/>
        </w:rPr>
        <w:t>door</w:t>
      </w:r>
      <w:r w:rsidRPr="0096338A">
        <w:rPr>
          <w:rFonts w:cs="Times New Roman"/>
          <w:szCs w:val="24"/>
        </w:rPr>
        <w:t xml:space="preserve"> onderzoek naar de gewone vrouw in de dagdagelijkse ambachtenwereld.</w:t>
      </w:r>
    </w:p>
    <w:p w:rsidR="003F03BB" w:rsidRPr="0096338A" w:rsidRDefault="003F03BB" w:rsidP="003F03BB">
      <w:pPr>
        <w:rPr>
          <w:rFonts w:cs="Times New Roman"/>
          <w:szCs w:val="24"/>
        </w:rPr>
      </w:pPr>
      <w:r w:rsidRPr="0096338A">
        <w:rPr>
          <w:rFonts w:cs="Times New Roman"/>
          <w:szCs w:val="24"/>
        </w:rPr>
        <w:tab/>
        <w:t xml:space="preserve">De studie naar vrouwen in de ambachten kent een trage, maar lange voorgeschiedenis. In 1847 schreef Karl Bücher </w:t>
      </w:r>
      <w:r w:rsidRPr="0096338A">
        <w:rPr>
          <w:rFonts w:cs="Times New Roman"/>
          <w:i/>
          <w:szCs w:val="24"/>
        </w:rPr>
        <w:t>Die Frauenfrage im Mittelalter</w:t>
      </w:r>
      <w:r w:rsidRPr="0096338A">
        <w:rPr>
          <w:rFonts w:cs="Times New Roman"/>
          <w:szCs w:val="24"/>
        </w:rPr>
        <w:t>, waarmee hij de eerste was die het thema van vrouwen in de middeleeuwse ambachtenwereld bestudeerde. Hij stelde dat vrouwen de mogelijkheid hadden deel te nemen aan alle ambachten die ze fysiek aankonden.</w:t>
      </w:r>
      <w:r w:rsidRPr="0096338A">
        <w:rPr>
          <w:rStyle w:val="Voetnootmarkering"/>
          <w:rFonts w:cs="Times New Roman"/>
          <w:szCs w:val="24"/>
        </w:rPr>
        <w:footnoteReference w:id="4"/>
      </w:r>
      <w:r w:rsidRPr="0096338A">
        <w:rPr>
          <w:rFonts w:cs="Times New Roman"/>
          <w:szCs w:val="24"/>
        </w:rPr>
        <w:t xml:space="preserve"> Die visie werd bevestigd in een studie van Alice Clark in 1919, die stelde dat de late middeleeuwen een soort van Gouden Tijd was voor de toegang van vrouwen tot de ambachten. Ze verklaart die toegankelijkheid aan de hand van de betrokkenheid van het </w:t>
      </w:r>
      <w:r w:rsidRPr="0096338A">
        <w:rPr>
          <w:rFonts w:cs="Times New Roman"/>
          <w:szCs w:val="24"/>
        </w:rPr>
        <w:lastRenderedPageBreak/>
        <w:t>huishouden bij de ambachten, waarover later meer.</w:t>
      </w:r>
      <w:r w:rsidRPr="0096338A">
        <w:rPr>
          <w:rStyle w:val="Voetnootmarkering"/>
          <w:rFonts w:cs="Times New Roman"/>
          <w:szCs w:val="24"/>
        </w:rPr>
        <w:footnoteReference w:id="5"/>
      </w:r>
      <w:r w:rsidRPr="0096338A">
        <w:rPr>
          <w:rFonts w:cs="Times New Roman"/>
          <w:szCs w:val="24"/>
        </w:rPr>
        <w:t xml:space="preserve"> Dit positief beeld over genderverdeling bleef echter geen stand houden. </w:t>
      </w:r>
      <w:r w:rsidRPr="005F4F43">
        <w:rPr>
          <w:rFonts w:cs="Times New Roman"/>
          <w:szCs w:val="24"/>
          <w:lang w:val="fr-FR"/>
        </w:rPr>
        <w:t xml:space="preserve">In 1962 schreef John Gilissen </w:t>
      </w:r>
      <w:r w:rsidRPr="005F4F43">
        <w:rPr>
          <w:i/>
          <w:lang w:val="fr-FR"/>
        </w:rPr>
        <w:t>Le statut de la femme dans l’ancien droit belge</w:t>
      </w:r>
      <w:r w:rsidRPr="005F4F43">
        <w:rPr>
          <w:lang w:val="fr-FR"/>
        </w:rPr>
        <w:t xml:space="preserve">. </w:t>
      </w:r>
      <w:r w:rsidRPr="0096338A">
        <w:t>Hoewel hij niet louter op de ambachten focuste en de Leuvense casus volledig achterwege liet, was zijn visie minder optimistisch. Zo stelde hij bijvoorbeeld dat de vrouw als juridisch onbekwaam tot handelen werd beschouwd en zeker geen ondernemingsvrijheid had.</w:t>
      </w:r>
      <w:r w:rsidRPr="0096338A">
        <w:rPr>
          <w:rStyle w:val="Voetnootmarkering"/>
        </w:rPr>
        <w:footnoteReference w:id="6"/>
      </w:r>
      <w:r w:rsidRPr="0096338A">
        <w:rPr>
          <w:rFonts w:cs="Times New Roman"/>
          <w:szCs w:val="24"/>
        </w:rPr>
        <w:t xml:space="preserve"> Het onderzoek naar vrouwen in de corporaties bleef echter beperkt tot enkele studies. Het merendeel van de vroege studies over de middeleeuwse ambachten liet de vrouw volledig achterwege. Joosen Verhavert was in 1940 bijvoorbeeld de pionier in het onderzoek naar de Leuvense ambachten. Hoewel zijn veelomvattende studie duidelijk verwijst naar het uitgebreide bronnenbestand dat hij gebruikte, lijkt hij de groep vrouwen die in de ambachten zaten over het hoofd te zien.</w:t>
      </w:r>
      <w:r w:rsidRPr="0096338A">
        <w:rPr>
          <w:rStyle w:val="Voetnootmarkering"/>
          <w:rFonts w:cs="Times New Roman"/>
          <w:szCs w:val="24"/>
        </w:rPr>
        <w:footnoteReference w:id="7"/>
      </w:r>
      <w:r w:rsidRPr="0096338A">
        <w:rPr>
          <w:rFonts w:cs="Times New Roman"/>
          <w:szCs w:val="24"/>
        </w:rPr>
        <w:t xml:space="preserve"> </w:t>
      </w:r>
    </w:p>
    <w:p w:rsidR="003F03BB" w:rsidRPr="0096338A" w:rsidRDefault="003F03BB" w:rsidP="003F03BB">
      <w:r w:rsidRPr="0096338A">
        <w:rPr>
          <w:rFonts w:cs="Times New Roman"/>
          <w:szCs w:val="24"/>
        </w:rPr>
        <w:tab/>
        <w:t xml:space="preserve">Vanaf de jaren 1980 kregen de genderstudies echter vernieuwde aandacht en verschenen er meer historici die zich op dit thema focusten. Martha Howell geldt hierbij ongetwijfeld als meest voorname onderzoekster voor deze scriptie naar vrouwen in de ambachten. In </w:t>
      </w:r>
      <w:r w:rsidRPr="0096338A">
        <w:rPr>
          <w:i/>
        </w:rPr>
        <w:t xml:space="preserve">Women, Production, and Patriarchy in Late Medieval Cities </w:t>
      </w:r>
      <w:r w:rsidRPr="0096338A">
        <w:t>stelt ze dat vrouwen doorheen de middeleeuwen inderdaad veel toegang hadden tot de beroepswereld, maar dit niet individueel verkregen. Vrouwen opereerden in de ambachtenwereld als leden van het instituut van de familie, namelijk in partnerschap met de echtgenoot of als plaatsvervangende leider van het gezin als weduwe. De alleenstaande vrouw zou volgens haar studie buiten dit toegankelijk arbeidskader vallen en zou meer moeilijkheden ondervonden hebben. Dit onderzoek betreffende de Leuvense situatie zal hierover dan toch tot</w:t>
      </w:r>
      <w:r w:rsidR="00BA7FAB">
        <w:t xml:space="preserve"> een genuanceerde conclusie </w:t>
      </w:r>
      <w:r w:rsidRPr="0096338A">
        <w:t>komen.</w:t>
      </w:r>
      <w:r w:rsidRPr="0096338A">
        <w:rPr>
          <w:rStyle w:val="Voetnootmarkering"/>
        </w:rPr>
        <w:footnoteReference w:id="8"/>
      </w:r>
      <w:r w:rsidRPr="0096338A">
        <w:t xml:space="preserve"> </w:t>
      </w:r>
      <w:r w:rsidR="00EC0A1A" w:rsidRPr="0096338A">
        <w:t xml:space="preserve">Ook Maryanne Kowaleski en Judith Benner behouden de dubbele houding die uit Howells werk naar voor komt. Hoewel de ambachten </w:t>
      </w:r>
      <w:r w:rsidR="007F5F06" w:rsidRPr="0096338A">
        <w:t>vrouwen toelieten, bleven ze een beperkende kant opleggen.</w:t>
      </w:r>
      <w:r w:rsidR="007F5F06" w:rsidRPr="0096338A">
        <w:rPr>
          <w:rStyle w:val="Voetnootmarkering"/>
        </w:rPr>
        <w:footnoteReference w:id="9"/>
      </w:r>
      <w:r w:rsidR="00EC0A1A" w:rsidRPr="0096338A">
        <w:t xml:space="preserve"> </w:t>
      </w:r>
      <w:r w:rsidRPr="0096338A">
        <w:t xml:space="preserve">De bundel </w:t>
      </w:r>
      <w:r w:rsidRPr="0096338A">
        <w:rPr>
          <w:i/>
        </w:rPr>
        <w:t xml:space="preserve">Women and Work in Preindustrial Europe </w:t>
      </w:r>
      <w:r w:rsidRPr="0096338A">
        <w:t xml:space="preserve">die Barbara Hanawalt in 1986 uitgaf, weerspiegelt uitstekend de tendens in het genderonderzoek van die jaren. De studies tonen steeds aan dat de vrouw wel degelijk mogelijkheden had en spreken zelfs over ambachten die uit louter vrouwen bestonden. Toch </w:t>
      </w:r>
      <w:r w:rsidRPr="0096338A">
        <w:lastRenderedPageBreak/>
        <w:t>wordt de ondernemingsvrijheid van de vrouw steeds in connectie gebracht met de activiteiten van een man.</w:t>
      </w:r>
      <w:r w:rsidRPr="0096338A">
        <w:rPr>
          <w:rStyle w:val="Voetnootmarkering"/>
        </w:rPr>
        <w:footnoteReference w:id="10"/>
      </w:r>
    </w:p>
    <w:p w:rsidR="003F03BB" w:rsidRPr="0096338A" w:rsidRDefault="003F03BB" w:rsidP="003F03BB">
      <w:r w:rsidRPr="0096338A">
        <w:tab/>
        <w:t>Het laatste decennium kregen de gegevens uit studies terug een meer egalistisch karakter. De mogelijkheden van de vrouw kregen meer aandacht en er ontstond een geschiedenis van kansen. Shennan Hutton bracht belangrijke inzichten voor deze studie aan.</w:t>
      </w:r>
      <w:r w:rsidR="005D600F" w:rsidRPr="0096338A">
        <w:rPr>
          <w:rStyle w:val="Voetnootmarkering"/>
        </w:rPr>
        <w:footnoteReference w:id="11"/>
      </w:r>
      <w:r w:rsidRPr="0096338A">
        <w:t xml:space="preserve"> In haar onderzoek naar vrouwen in Gent stelt ze dat vrouwen in de Vlaamse stad nog meer dan elders in Europa als handelaars optraden. Daarenboven zouden ze minder afhankelijk zijn van een mannelijk kader en konden ze dus zelfstandig posities van hogere status innemen.</w:t>
      </w:r>
      <w:r w:rsidRPr="0096338A">
        <w:rPr>
          <w:rStyle w:val="Voetnootmarkering"/>
        </w:rPr>
        <w:footnoteReference w:id="12"/>
      </w:r>
      <w:r w:rsidRPr="0096338A">
        <w:t xml:space="preserve"> Hoewel ze in een recentere studie haar haar benadering verbreedde, concentreerde Hutton zich echter voornamelijk op de juridische acties die vrouwen konden ondernemen en minder op de toegang die vrouwen tot de ambachten hadden.</w:t>
      </w:r>
      <w:r w:rsidRPr="0096338A">
        <w:rPr>
          <w:rStyle w:val="Voetnootmarkering"/>
        </w:rPr>
        <w:footnoteReference w:id="13"/>
      </w:r>
      <w:r w:rsidRPr="0096338A">
        <w:t xml:space="preserve"> Haar positieve kijk op de beschrijving van een geschiedenis van kansen, beïnvloedde dit onderzoek en haar werk wordt steeds als referentiepunt gebruikt doorheen de scriptie. Ze is echter niet de enige historica die de gendergeschiedschrijving van de laatste jaren vormgaf. Een belangrijke invalshoek in dit onderzoek is te vinden in het werk van Ellen Kittell. Haar focus op discours bij de studie van sociale geschiedenis leverde eveneens belangrijke inzichten op. Kittell volgt de meer positieve visie die het onderzoek de laatste jaren kleurt. Ze gebruikt echter, net als dit onderzoek, laatmiddeleeuwse wetteksten, waaraan Hutton veelal voorbij gaat. De verwoording in die teksten laat veronderstellen dat vrouwen in de veertiende eeuw een grote rol konden spelen in het publieke leven en de ambachtenwereld.</w:t>
      </w:r>
    </w:p>
    <w:p w:rsidR="003F03BB" w:rsidRPr="0096338A" w:rsidRDefault="003F03BB" w:rsidP="003F03BB">
      <w:r w:rsidRPr="0096338A">
        <w:tab/>
        <w:t xml:space="preserve">De mogelijkheden die vrouwen in de economische wereld hadden, lijken volgens historici echter beperkter in de laatste eeuwen van de middeleeuwen. Hoewel geschiedschrijvers uit de laatste decennia een ander of genuanceerder geluid laten horen, zijn de meeste onderzoekers het eens over een verandering in de positie van de vrouw in die laatmiddeleeuwse periode. De vrouw zou steeds meer in de private sfeer zijn gedrukt en haar ondernemingsvrijheid in de ambachtenwereld ondervond sterke beperkingen. Die theorie wordt door Claire Crowston de </w:t>
      </w:r>
      <w:r w:rsidR="00E8163A">
        <w:t>‘</w:t>
      </w:r>
      <w:r w:rsidRPr="00E8163A">
        <w:t>decline-thesis</w:t>
      </w:r>
      <w:r w:rsidR="00E8163A">
        <w:t>’</w:t>
      </w:r>
      <w:r w:rsidRPr="0096338A">
        <w:rPr>
          <w:i/>
        </w:rPr>
        <w:t xml:space="preserve"> </w:t>
      </w:r>
      <w:r w:rsidRPr="0096338A">
        <w:t xml:space="preserve">genoemd; een term die in dit onderzoek verder aan bod komt. Niet alle onderzoekers nemen die stelling vandaag zonder meer aan. Een </w:t>
      </w:r>
      <w:r w:rsidRPr="0096338A">
        <w:lastRenderedPageBreak/>
        <w:t>belangrijke bedenking die dit onderzoek ook onderstreept</w:t>
      </w:r>
      <w:r w:rsidRPr="0096338A">
        <w:rPr>
          <w:rStyle w:val="Verwijzingopmerking"/>
        </w:rPr>
        <w:t xml:space="preserve">, </w:t>
      </w:r>
      <w:r w:rsidRPr="0096338A">
        <w:t>werd gemaakt door Crowston.</w:t>
      </w:r>
      <w:r w:rsidRPr="0096338A">
        <w:rPr>
          <w:rStyle w:val="Voetnootmarkering"/>
        </w:rPr>
        <w:footnoteReference w:id="14"/>
      </w:r>
      <w:r w:rsidRPr="0096338A">
        <w:t xml:space="preserve"> Nog recenter ligt ook de idee van de achtergestelde positie van alleenstaande vrouwen onder vuur, zij het in onderzoek naar de vroegmoderne periode.</w:t>
      </w:r>
      <w:r w:rsidRPr="0096338A">
        <w:rPr>
          <w:rStyle w:val="Voetnootmarkering"/>
        </w:rPr>
        <w:footnoteReference w:id="15"/>
      </w:r>
      <w:r w:rsidRPr="0096338A">
        <w:t xml:space="preserve"> Deze studie zal eveneens ingaan op deze sceptische tendens, hoewel de gebruikte bronnen geen optimaal beeld kunnen opleveren. </w:t>
      </w:r>
    </w:p>
    <w:p w:rsidR="007F5F06" w:rsidRPr="0096338A" w:rsidRDefault="003F03BB" w:rsidP="003F03BB">
      <w:r w:rsidRPr="0096338A">
        <w:tab/>
        <w:t xml:space="preserve">Waar genderhistorici zich reeds in beperkte mate bezighielden met de rol van vrouwen in de ambachten, krijgt het thema in het totaalbeeld van de historiografie echter weinig aandacht. </w:t>
      </w:r>
      <w:r w:rsidRPr="0096338A">
        <w:rPr>
          <w:lang w:val="en-GB"/>
        </w:rPr>
        <w:t>“For the moment, gender in the guilds remains largely a non-issue for most historians of the corporate system.”</w:t>
      </w:r>
      <w:r w:rsidRPr="0096338A">
        <w:rPr>
          <w:rStyle w:val="Voetnootmarkering"/>
        </w:rPr>
        <w:footnoteReference w:id="16"/>
      </w:r>
      <w:r w:rsidRPr="0096338A">
        <w:rPr>
          <w:lang w:val="en-GB"/>
        </w:rPr>
        <w:t xml:space="preserve"> </w:t>
      </w:r>
      <w:r w:rsidRPr="0096338A">
        <w:t xml:space="preserve">Dit onderzoek zal trachten de lacune in de historiografie op te vullen. Een precieze studie van Leuvense ordonnanties en ambachtenstatuten uit – voornamelijk – de vijftiende eeuw, probeert te beschrijven in welke mate vrouwen in de ambachtenwereld konden opereren. Daarbij kijkt de studie naar het aantal ambachten waartoe vrouwen toegang hadden en de aard ervan. Dit is echter niet het enige punt van focus in een studie naar vrouwen in de ambachtenwereld. Het is namelijk eveneens belangrijk te onderzoeken of vrouwen belemmering kenden bij de toegang tot of het lidmaatschap van de ambachtenwereld. De stadseconomie kende meer beroepen dan enkel de erkende ambachten, maar dit onderzoek kiest bewust voor de beperkte focus. Enerzijds gebeurt dit uit noodzaak, het bronnenbestand laat niet toe om de hele Leuvense beroepenwereld te onderzoeken. Anderzijds laat de focus toe om het onderzoek zo diep mogelijk uit te spitten, waardoor nieuwe bevindingen aan het licht kunnen komen. Leuven fungeert hierbij als uiterst interessante casus. De Brabantse stad kende in de vijftiende eeuw nog weinig internationale handel. Dit laatste is echter net waar genderhistorici zich steeds op focusten. De veelvuldige studies naar de lakennijverheid in Gent vormen hier bijvoorbeeld een illustratie van. De ambachten hadden in Leuven een uitzonderlijk grote politieke macht, wat het onderzoek naar Leuven een extra dimensie geeft. </w:t>
      </w:r>
    </w:p>
    <w:p w:rsidR="007F5F06" w:rsidRPr="0096338A" w:rsidRDefault="007F5F06" w:rsidP="003F03BB">
      <w:r w:rsidRPr="0096338A">
        <w:tab/>
        <w:t xml:space="preserve">Op basis van de voornoemde aspecten kwam deze scriptie tot de onderzoeksvraag: “In welke mate was de middeleeuwse markt gedurende de vijftiende eeuw in Leuven gegenderd en </w:t>
      </w:r>
      <w:r w:rsidR="005D600F" w:rsidRPr="0096338A">
        <w:t>waarom</w:t>
      </w:r>
      <w:r w:rsidRPr="0096338A">
        <w:t xml:space="preserve">?” Hierbij ligt een brede focus op de toegang die vrouwen in </w:t>
      </w:r>
      <w:r w:rsidR="005D600F" w:rsidRPr="0096338A">
        <w:t>de Brabantse</w:t>
      </w:r>
      <w:r w:rsidRPr="0096338A">
        <w:t xml:space="preserve"> stad hadden tot de ambachtenwereld. Het onderzoek toont namelijk aan dat de Leuvense markt een grote actieradius vrij liet voor vrouwen binnen de beroepsgroeperingen. Dit was echter niet de </w:t>
      </w:r>
      <w:r w:rsidRPr="0096338A">
        <w:lastRenderedPageBreak/>
        <w:t xml:space="preserve">enige plaats waar vrouwen speelruimte kregen. Door de studie van elk aspect van de Leuvense ambachten en de </w:t>
      </w:r>
      <w:r w:rsidR="005D600F" w:rsidRPr="0096338A">
        <w:t xml:space="preserve">economische </w:t>
      </w:r>
      <w:r w:rsidRPr="0096338A">
        <w:t xml:space="preserve">wereld er omheen tracht deze scriptie dus te verklaren </w:t>
      </w:r>
      <w:r w:rsidR="005D600F" w:rsidRPr="0096338A">
        <w:t>welke elementen genderverschillen in de stadseconomie kunnen verklaren</w:t>
      </w:r>
      <w:r w:rsidRPr="0096338A">
        <w:t>.</w:t>
      </w:r>
    </w:p>
    <w:p w:rsidR="003F03BB" w:rsidRPr="0096338A" w:rsidRDefault="003F03BB" w:rsidP="007F5F06">
      <w:pPr>
        <w:ind w:firstLine="708"/>
      </w:pPr>
      <w:r w:rsidRPr="0096338A">
        <w:t>Aan de hand van een vergelijking tussen de Gentse genderregelingen en die in Leuven kan dus worden afgeleid of de situatie in de grote Vlaamse stad karakteristiek was voor de Nederlanden of niet. Hierbij gaat deze studie uit van de hypothese dat vrouwen in de Leuvense ambachtenwereld meer vrijheid hadden dan in de Gentse tegenhanger. Zoals onder andere Howell stelt, was de internationale markt niet toegankelijk voor vrouwen. De langeafstandshandel ging gepaard met een politieke betrokkenheid die de vrouw niet had. Haar rol als huisvrouw liet evenmin een combinatie toe met internationale handel.</w:t>
      </w:r>
      <w:r w:rsidRPr="0096338A">
        <w:rPr>
          <w:rStyle w:val="Voetnootmarkering"/>
        </w:rPr>
        <w:footnoteReference w:id="17"/>
      </w:r>
      <w:r w:rsidRPr="0096338A">
        <w:t xml:space="preserve"> Daarenboven stond de reputatie van vrouwen op het spel wanneer ze interageerden met de buitenlandse handelaars.</w:t>
      </w:r>
      <w:r w:rsidRPr="0096338A">
        <w:rPr>
          <w:rStyle w:val="Voetnootmarkering"/>
        </w:rPr>
        <w:footnoteReference w:id="18"/>
      </w:r>
      <w:r w:rsidRPr="0096338A">
        <w:t xml:space="preserve"> De afwezigheid van dit type van handel in Leuven doet daarom veronderstellen dat de vrouw er meer bewegingsvrijheid had dan in steden met een internationaal karakter. </w:t>
      </w:r>
    </w:p>
    <w:p w:rsidR="003F03BB" w:rsidRPr="0096338A" w:rsidRDefault="003F03BB" w:rsidP="003F03BB">
      <w:pPr>
        <w:ind w:firstLine="708"/>
        <w:rPr>
          <w:rFonts w:cs="Times New Roman"/>
          <w:szCs w:val="24"/>
        </w:rPr>
      </w:pPr>
      <w:r w:rsidRPr="0096338A">
        <w:rPr>
          <w:rFonts w:cs="Times New Roman"/>
          <w:szCs w:val="24"/>
        </w:rPr>
        <w:t xml:space="preserve">Ondanks het verlies van veel Leuvens bronnenmateriaal door de vernietiging van de universiteitsbibliotheek, bevat het stadsarchief nog steeds belangrijke laatmiddeleeuwse normatieve bronnen. De stadsordonnanties en ambachtsregulering die de stadsraad opstelden, zullen voor dit onderzoek de rol van de vrouw in het Leuvense ambacht aangeven. Hoewel het normatieve karakter van de gebruikte bronnen enkele moeilijkheden oplevert, waarover later meer, bieden ze een interessante onderzoeksmogelijkheid. Ten eerste is het thema van vrouwen in de ambachten, zoals reeds gesteld, voor Leuven niet eerder onderzocht. Een normatief kader schetsen is dus noodzakelijk vóór het onderzoek kan worden verdergezet en dit maakt de neergeschreven wetteksten tot uiterst geschikte bronnen. Daarnaast laat het gebruik van het Middelnederlands, de volkstaal, toe gendergerelateerde formuleringen te identificeren, zoals Ellen Kittell en Kurt Queller doen in hun artikel </w:t>
      </w:r>
      <w:r w:rsidRPr="0096338A">
        <w:rPr>
          <w:rFonts w:cs="Times New Roman"/>
          <w:i/>
          <w:szCs w:val="24"/>
        </w:rPr>
        <w:t>"Whether man or woman": Gender Inclusivity in the Town Ordinances of Medieval Douai</w:t>
      </w:r>
      <w:r w:rsidRPr="0096338A">
        <w:rPr>
          <w:rFonts w:cs="Times New Roman"/>
          <w:szCs w:val="24"/>
        </w:rPr>
        <w:t>.</w:t>
      </w:r>
      <w:r w:rsidRPr="0096338A">
        <w:rPr>
          <w:rStyle w:val="Voetnootmarkering"/>
          <w:rFonts w:cs="Times New Roman"/>
          <w:szCs w:val="24"/>
        </w:rPr>
        <w:footnoteReference w:id="19"/>
      </w:r>
      <w:r w:rsidRPr="0096338A">
        <w:rPr>
          <w:rFonts w:cs="Times New Roman"/>
          <w:szCs w:val="24"/>
        </w:rPr>
        <w:t xml:space="preserve"> Deze formuleringen zullen eveneens een licht werpen op het genderonderscheid in het middeleeuwse Leuven en dit aspect van het onderzoek zal dus eveneens vernieuwing brengen in verder historisch onderzoek. De twee brontypes zijn daarenboven, zoals Verhavert in 1940 </w:t>
      </w:r>
      <w:r w:rsidRPr="0096338A">
        <w:rPr>
          <w:rFonts w:cs="Times New Roman"/>
          <w:szCs w:val="24"/>
        </w:rPr>
        <w:lastRenderedPageBreak/>
        <w:t>al aangaf, betrouwbaar.</w:t>
      </w:r>
      <w:r w:rsidRPr="0096338A">
        <w:rPr>
          <w:rStyle w:val="Voetnootmarkering"/>
          <w:rFonts w:cs="Times New Roman"/>
          <w:szCs w:val="24"/>
        </w:rPr>
        <w:footnoteReference w:id="20"/>
      </w:r>
      <w:r w:rsidRPr="0096338A">
        <w:rPr>
          <w:rFonts w:cs="Times New Roman"/>
          <w:szCs w:val="24"/>
        </w:rPr>
        <w:t xml:space="preserve"> Het gaat om kopieën van de originele ordonnanties en ambachtskeuren die meestal ook een nauwkeurige datering kennen. De herhaling van kopieën in de verschillende boeken versterkt eveneens de stelling dat het om een waarheidsgetrouwe bron gaat. Dat de stadsraad de beslissingen uitvaardigde, betekent e</w:t>
      </w:r>
      <w:r w:rsidR="0087111C" w:rsidRPr="0096338A">
        <w:rPr>
          <w:rFonts w:cs="Times New Roman"/>
          <w:szCs w:val="24"/>
        </w:rPr>
        <w:t>chter niet dat ze steeds gehoor kregen</w:t>
      </w:r>
      <w:r w:rsidRPr="0096338A">
        <w:rPr>
          <w:rFonts w:cs="Times New Roman"/>
          <w:szCs w:val="24"/>
        </w:rPr>
        <w:t>.</w:t>
      </w:r>
      <w:r w:rsidRPr="0096338A">
        <w:rPr>
          <w:rStyle w:val="Voetnootmarkering"/>
          <w:rFonts w:cs="Times New Roman"/>
          <w:szCs w:val="24"/>
        </w:rPr>
        <w:footnoteReference w:id="21"/>
      </w:r>
      <w:r w:rsidRPr="0096338A">
        <w:rPr>
          <w:rFonts w:cs="Times New Roman"/>
          <w:szCs w:val="24"/>
        </w:rPr>
        <w:t xml:space="preserve"> Daarenboven wijst de creatie van een bepaalde beslissing er vaak op dat de praktijken die verboden of gereguleerd werden ook daadwerkelijk bestonden. Die twee elementen zijn belangrijk bij de analyse van de bronnen en de poging om de onderzoeksvraag te beantwoorden. </w:t>
      </w:r>
    </w:p>
    <w:p w:rsidR="003F03BB" w:rsidRPr="0096338A" w:rsidRDefault="003F03BB" w:rsidP="003F03BB">
      <w:pPr>
        <w:ind w:firstLine="708"/>
        <w:rPr>
          <w:rFonts w:cs="Times New Roman"/>
          <w:szCs w:val="24"/>
        </w:rPr>
      </w:pPr>
      <w:r w:rsidRPr="0096338A">
        <w:rPr>
          <w:rFonts w:cs="Times New Roman"/>
          <w:szCs w:val="24"/>
        </w:rPr>
        <w:t>Hoewel de stadsordonnanties en ambachtsreguleringen interessant onderzoek opleveren, krijgt dit onderzoek evenwel te maken met enkele hindernissen. Ten eerste is het niet mogelijk een kwantitatieve studie te voeren naar het aandeel van vrouwen binnen de verschillende ambachten. De ordonnanties bewijzen wel dat er vrouwen binnen de corporaties opereerden, maar om hoeveel vrouwen het dan ging is op basis van deze bronnen onmogelijk te achterhalen. Ten tweede laten de normatieve bronnen niet toe de sociale en familiale status van vrouwen binnen de corporaties te achterhalen en geven ze evenmin meer informatie over de identiteit van de vrouwen. Een beperkte hoeveelheid praktijkbronnen die verzeild geraakten in de ordonnantieboeken geven wel een indruk, maar hun aantal is te gering om sluitende conclusies te kunnen trekken. Howell gebruikt in haar studie naar vrouwen in de Leidense economische wereld eveneens de normatieve bronnen voor de stad in de veertiende eeuw. Ze wijst op dezelfde pijnpunten die dergelijke geschriften bevatten, maar kan de lacunes opvullen aan de hand van andere brontypes. Het beperkte Leuvense bronnenbestand laat echter niet toe dit te doen, wat verder onderzoek in de weg staat. Ten slotte maakt het onderzoek geen onderscheid tussen lidmaatschap van het economische deel van een ambacht en dat van de religieus-caritatieve functie.</w:t>
      </w:r>
      <w:r w:rsidRPr="0096338A">
        <w:rPr>
          <w:rStyle w:val="Voetnootmarkering"/>
          <w:rFonts w:cs="Times New Roman"/>
          <w:szCs w:val="24"/>
        </w:rPr>
        <w:footnoteReference w:id="22"/>
      </w:r>
      <w:r w:rsidRPr="0096338A">
        <w:rPr>
          <w:rFonts w:cs="Times New Roman"/>
          <w:szCs w:val="24"/>
        </w:rPr>
        <w:t xml:space="preserve"> De ambachten beïnvloedden namelijk meer dan enkel het productie– en handelsaspec</w:t>
      </w:r>
      <w:r w:rsidR="0087111C" w:rsidRPr="0096338A">
        <w:rPr>
          <w:rFonts w:cs="Times New Roman"/>
          <w:szCs w:val="24"/>
        </w:rPr>
        <w:t>t van de stadseconomie, maar gingen</w:t>
      </w:r>
      <w:r w:rsidRPr="0096338A">
        <w:rPr>
          <w:rFonts w:cs="Times New Roman"/>
          <w:szCs w:val="24"/>
        </w:rPr>
        <w:t xml:space="preserve"> ook over het caritatieve aspect. De stadsordonnanties en ambachtsregels laten niet toe een onderscheid te maken tussen de twee i</w:t>
      </w:r>
      <w:r w:rsidR="0087111C" w:rsidRPr="0096338A">
        <w:rPr>
          <w:rFonts w:cs="Times New Roman"/>
          <w:szCs w:val="24"/>
        </w:rPr>
        <w:t>nstituties</w:t>
      </w:r>
      <w:r w:rsidRPr="0096338A">
        <w:rPr>
          <w:rFonts w:cs="Times New Roman"/>
          <w:szCs w:val="24"/>
        </w:rPr>
        <w:t xml:space="preserve">. Daarbij leverde, zoals Sheilagh Ogilvie aantoonde, </w:t>
      </w:r>
      <w:r w:rsidRPr="0096338A">
        <w:rPr>
          <w:rFonts w:cs="Times New Roman"/>
          <w:szCs w:val="24"/>
        </w:rPr>
        <w:lastRenderedPageBreak/>
        <w:t>lidmaatschap bij eender welk aspect van het ambachtsleven een bepaalde status op.</w:t>
      </w:r>
      <w:r w:rsidRPr="0096338A">
        <w:rPr>
          <w:rStyle w:val="Voetnootmarkering"/>
          <w:rFonts w:cs="Times New Roman"/>
          <w:szCs w:val="24"/>
        </w:rPr>
        <w:footnoteReference w:id="23"/>
      </w:r>
      <w:r w:rsidRPr="0096338A">
        <w:rPr>
          <w:rFonts w:cs="Times New Roman"/>
          <w:szCs w:val="24"/>
        </w:rPr>
        <w:t xml:space="preserve"> Dat vrouwen erbij mochten, impliceert dus hoe dan ook een bepaalde vrijheid.</w:t>
      </w:r>
    </w:p>
    <w:p w:rsidR="003F03BB" w:rsidRPr="0096338A" w:rsidRDefault="003F03BB" w:rsidP="003F03BB">
      <w:pPr>
        <w:ind w:firstLine="708"/>
        <w:rPr>
          <w:rFonts w:cs="Times New Roman"/>
          <w:szCs w:val="24"/>
        </w:rPr>
      </w:pPr>
      <w:r w:rsidRPr="0096338A">
        <w:rPr>
          <w:rFonts w:cs="Times New Roman"/>
          <w:szCs w:val="24"/>
        </w:rPr>
        <w:t>De selectiecriteria voor dit onderzoek naar vrouwen in de Leuvense ambachtenwereld zijn niet zeer streng. De beperking in het bronnenbestand van de stad wijst automatisch richting de stadsordonnanties, waar de ambachtskeuren bijkomen, al gaat het hierbij voornamel</w:t>
      </w:r>
      <w:r w:rsidR="0087111C" w:rsidRPr="0096338A">
        <w:rPr>
          <w:rFonts w:cs="Times New Roman"/>
          <w:szCs w:val="24"/>
        </w:rPr>
        <w:t xml:space="preserve">ijk om kopieën. Hoewel het </w:t>
      </w:r>
      <w:r w:rsidRPr="0096338A">
        <w:rPr>
          <w:rFonts w:cs="Times New Roman"/>
          <w:szCs w:val="24"/>
        </w:rPr>
        <w:t>zeer omvangrijke bronnen</w:t>
      </w:r>
      <w:r w:rsidR="0087111C" w:rsidRPr="0096338A">
        <w:rPr>
          <w:rFonts w:cs="Times New Roman"/>
          <w:szCs w:val="24"/>
        </w:rPr>
        <w:t xml:space="preserve"> zijn</w:t>
      </w:r>
      <w:r w:rsidRPr="0096338A">
        <w:rPr>
          <w:rFonts w:cs="Times New Roman"/>
          <w:szCs w:val="24"/>
        </w:rPr>
        <w:t xml:space="preserve">, is slechts een gering aantal akten geschikt voor het beoogde onderzoek. In de ordonnantieboeken zijn de beslissingen die over de ambachten handelden een eerste zoekcriterium. Binnen die regulering tellen voornamelijk de beslissingen die informatie bieden over vrouwen in de ambachten. Dit neemt echter niet weg dat ook andere ordonnanties gebruikt worden, aangezien de informatie over vrouwen in de ambachten aanvulling behoeft </w:t>
      </w:r>
      <w:r w:rsidR="0087111C" w:rsidRPr="0096338A">
        <w:rPr>
          <w:rFonts w:cs="Times New Roman"/>
          <w:szCs w:val="24"/>
        </w:rPr>
        <w:t>van</w:t>
      </w:r>
      <w:r w:rsidRPr="0096338A">
        <w:rPr>
          <w:rFonts w:cs="Times New Roman"/>
          <w:szCs w:val="24"/>
        </w:rPr>
        <w:t xml:space="preserve"> regulering binnen de corporaties in het algemeen. Bij de ambachtsstatuten is het weliswaar niet nodig om beslissingen over een ambacht uit te sorteren, maar blijft het andere selectiecriterium, namelijk beslissing met betrekking tot genderregelingen, eveneens van toepassing. Op deze manier beschikt dit onderzoek over een lijst van</w:t>
      </w:r>
      <w:r w:rsidR="0087111C" w:rsidRPr="0096338A">
        <w:rPr>
          <w:rFonts w:cs="Times New Roman"/>
          <w:szCs w:val="24"/>
        </w:rPr>
        <w:t xml:space="preserve"> </w:t>
      </w:r>
      <w:r w:rsidRPr="0096338A">
        <w:rPr>
          <w:rFonts w:cs="Times New Roman"/>
          <w:szCs w:val="24"/>
        </w:rPr>
        <w:t>ordonnanties die op zijn minst de aanwezigheid van vrouwen in de ambachten bevestigen.</w:t>
      </w:r>
      <w:r w:rsidRPr="0096338A">
        <w:rPr>
          <w:rStyle w:val="Voetnootmarkering"/>
          <w:rFonts w:cs="Times New Roman"/>
          <w:szCs w:val="24"/>
        </w:rPr>
        <w:footnoteReference w:id="24"/>
      </w:r>
      <w:r w:rsidRPr="0096338A">
        <w:rPr>
          <w:rFonts w:cs="Times New Roman"/>
          <w:szCs w:val="24"/>
        </w:rPr>
        <w:t xml:space="preserve"> De relevantie van deze akten gaat van het louter vernoemen van de aanwezigheid van vrouwen in de ambachten, tot specifieke gendergerichte wetgeving. Hoewel deze laatste bronnen waardevoller zijn voor dit onderzoek, is het eveneens belangrijk de bronnen die minder bruikbare informatie bevatten niet uit te sluiten. Het onderzoek naar de rol van de vrouw in de Leuvense ambachten is namelijk onbestaand en het is dus nodig alle mogelijke bronnen te betrekken.</w:t>
      </w:r>
    </w:p>
    <w:p w:rsidR="003F03BB" w:rsidRPr="0096338A" w:rsidRDefault="003F03BB" w:rsidP="003F03BB">
      <w:pPr>
        <w:ind w:firstLine="708"/>
        <w:rPr>
          <w:rFonts w:cs="Times New Roman"/>
          <w:szCs w:val="24"/>
        </w:rPr>
      </w:pPr>
      <w:r w:rsidRPr="0096338A">
        <w:rPr>
          <w:rFonts w:cs="Times New Roman"/>
          <w:szCs w:val="24"/>
        </w:rPr>
        <w:t xml:space="preserve">De zoektocht naar bronnen impliceert natuurlijk de toepassing van een geschikte methode om alle gegevens en de eventuele verbanden ertussen tot hun recht te laten komen. De beperking in het aantal bronnen vraagt namelijk de optimale benutting van alle informatie. De overzichtelijkheid die een databank biedt, zorgt voor een goede kennis van alle beslissingen. Een permanent proces van </w:t>
      </w:r>
      <w:r w:rsidR="0087111C" w:rsidRPr="0096338A">
        <w:rPr>
          <w:rFonts w:cs="Times New Roman"/>
          <w:szCs w:val="24"/>
        </w:rPr>
        <w:t>wisselwerking</w:t>
      </w:r>
      <w:r w:rsidRPr="0096338A">
        <w:rPr>
          <w:rFonts w:cs="Times New Roman"/>
          <w:szCs w:val="24"/>
        </w:rPr>
        <w:t xml:space="preserve"> tussen de literatuur en de inhoudelijke analyse toont steeds de verschillen tussen de Leuvense situatie en de genderindeling in de andere steden. Niet enkel de inhoud van de ordonnanties is echter van belang. Zoals eerder vermeld, levert een discoursanalyse eveneens significante resultaten. Het belang van vrouwen in de marktwereld buiten de ambachten blijkt bijvoorbeeld sterk uit het taalgebruik van de stadsraad. Via die methoden draagt dit onderzoek niet enkel bij aan de Leuvense </w:t>
      </w:r>
      <w:r w:rsidRPr="0096338A">
        <w:rPr>
          <w:rFonts w:cs="Times New Roman"/>
          <w:szCs w:val="24"/>
        </w:rPr>
        <w:lastRenderedPageBreak/>
        <w:t>gendergeschiedenis. Ten eerste tonen de gevoelige verschillen tussen de Leuvense situatie en die van andere steden dat een herdenking over gendergeschiedenis in de Nederlanden nodig is. Daarnaast draagt een onderzoek naar vrouwen in de ambachten niet enkel bij tot een geschiedenis van de beroepsgroeperingen, het is ook relevant voor de hele stadsgeschiedenis. Zoals Steven Epstein reeds stelde, beantwoordt een gendergeschiedenis van de ambachten ook vragen over het stadsleven, aangezien de ambachten er een zeer voorname plaats in</w:t>
      </w:r>
      <w:r w:rsidR="0087111C" w:rsidRPr="0096338A">
        <w:rPr>
          <w:rFonts w:cs="Times New Roman"/>
          <w:szCs w:val="24"/>
        </w:rPr>
        <w:t xml:space="preserve"> </w:t>
      </w:r>
      <w:r w:rsidRPr="0096338A">
        <w:rPr>
          <w:rFonts w:cs="Times New Roman"/>
          <w:szCs w:val="24"/>
        </w:rPr>
        <w:t>namen.</w:t>
      </w:r>
      <w:r w:rsidRPr="0096338A">
        <w:rPr>
          <w:rStyle w:val="Voetnootmarkering"/>
          <w:rFonts w:cs="Times New Roman"/>
          <w:szCs w:val="24"/>
        </w:rPr>
        <w:footnoteReference w:id="25"/>
      </w:r>
    </w:p>
    <w:p w:rsidR="00096976" w:rsidRPr="0096338A" w:rsidRDefault="003F03BB" w:rsidP="003F03BB">
      <w:pPr>
        <w:ind w:firstLine="708"/>
        <w:rPr>
          <w:rFonts w:cs="Times New Roman"/>
          <w:szCs w:val="24"/>
        </w:rPr>
      </w:pPr>
      <w:r w:rsidRPr="0096338A">
        <w:rPr>
          <w:rFonts w:cs="Times New Roman"/>
          <w:szCs w:val="24"/>
        </w:rPr>
        <w:t>Om alle aspecten van de aanwezigheid van vrouwen in de Leuvense ambachtenwereld weer te geven, is een precieze opbouw van dit onderzoek van belang. Na een beperkte schets van de context, behandelt</w:t>
      </w:r>
      <w:r w:rsidR="0087111C" w:rsidRPr="0096338A">
        <w:rPr>
          <w:rFonts w:cs="Times New Roman"/>
          <w:szCs w:val="24"/>
        </w:rPr>
        <w:t xml:space="preserve"> hoofdstuk drie zeer concreet een belangrijke deelvraag van dit onderzoek</w:t>
      </w:r>
      <w:r w:rsidRPr="0096338A">
        <w:rPr>
          <w:rFonts w:cs="Times New Roman"/>
          <w:szCs w:val="24"/>
        </w:rPr>
        <w:t xml:space="preserve">: welke </w:t>
      </w:r>
      <w:r w:rsidR="00096976" w:rsidRPr="0096338A">
        <w:rPr>
          <w:rFonts w:cs="Times New Roman"/>
          <w:szCs w:val="24"/>
        </w:rPr>
        <w:t>posities konden</w:t>
      </w:r>
      <w:r w:rsidRPr="0096338A">
        <w:rPr>
          <w:rFonts w:cs="Times New Roman"/>
          <w:szCs w:val="24"/>
        </w:rPr>
        <w:t xml:space="preserve"> vrouwen in Leuven doorheen de vijftiende eeuw in de ambachtenwereld</w:t>
      </w:r>
      <w:r w:rsidR="00096976" w:rsidRPr="0096338A">
        <w:rPr>
          <w:rFonts w:cs="Times New Roman"/>
          <w:szCs w:val="24"/>
        </w:rPr>
        <w:t xml:space="preserve"> innemen</w:t>
      </w:r>
      <w:r w:rsidRPr="0096338A">
        <w:rPr>
          <w:rFonts w:cs="Times New Roman"/>
          <w:szCs w:val="24"/>
        </w:rPr>
        <w:t xml:space="preserve">? Een eerste paragraaf handelt over de toegang die vrouwen hadden binnen de corporaties zelf. Hierbij is die paragraaf (cfr. 3.2) onderverdeeld volgens het verschil in familiale status van de vrouw, nadat de vrouwelijke toegang in het algemeen is besproken. Een tweede deel schetst de rol van de werkende vrouw buiten de ambachten. Vrouwen deden namelijk vaak het werk van de ambachten, zonder lidmaatschap bij de corporatie. Een onderzoek naar gender in de ambachtenwereld moet dit element dus steeds in rekenschap nemen. Een derde onderdeel onderzoekt de </w:t>
      </w:r>
      <w:r w:rsidR="00E8163A">
        <w:rPr>
          <w:rFonts w:cs="Times New Roman"/>
          <w:szCs w:val="24"/>
        </w:rPr>
        <w:t>‘</w:t>
      </w:r>
      <w:r w:rsidR="00E8163A" w:rsidRPr="00E8163A">
        <w:rPr>
          <w:rFonts w:cs="Times New Roman"/>
          <w:szCs w:val="24"/>
        </w:rPr>
        <w:t>decline-thesis</w:t>
      </w:r>
      <w:r w:rsidR="00E8163A">
        <w:rPr>
          <w:rFonts w:cs="Times New Roman"/>
          <w:szCs w:val="24"/>
        </w:rPr>
        <w:t>’</w:t>
      </w:r>
      <w:r w:rsidRPr="0096338A">
        <w:rPr>
          <w:rFonts w:cs="Times New Roman"/>
          <w:i/>
          <w:szCs w:val="24"/>
        </w:rPr>
        <w:t xml:space="preserve"> </w:t>
      </w:r>
      <w:r w:rsidRPr="0096338A">
        <w:rPr>
          <w:rFonts w:cs="Times New Roman"/>
          <w:szCs w:val="24"/>
        </w:rPr>
        <w:t>in de Leuvense ambachtenwereld en zal een nuancering van die these bepleiten</w:t>
      </w:r>
      <w:r w:rsidR="00096976" w:rsidRPr="0096338A">
        <w:rPr>
          <w:rFonts w:cs="Times New Roman"/>
          <w:szCs w:val="24"/>
        </w:rPr>
        <w:t>. De onderzoek stelt een hertekening voor van de assumpties dat vrouwen in de late middeleeuwen steeds minder publieke posities konden innemen. Toch ligt in dit thema ook het antwoord van een ander aspect van de onderzoeksvraag. De reden dat vrouwen ook in Leuven enige belemmering kenden, zo zal het onderzoek voorstellen, kan namelijk bij de ambachtengroepering gevonden worden. Deze stelling blijft door het beperkte bronnenmateriaal voornamelijk hypothetisch, maar kent toch enige uitwerking</w:t>
      </w:r>
      <w:r w:rsidRPr="0096338A">
        <w:rPr>
          <w:rFonts w:cs="Times New Roman"/>
          <w:szCs w:val="24"/>
        </w:rPr>
        <w:t xml:space="preserve">. </w:t>
      </w:r>
    </w:p>
    <w:p w:rsidR="003F03BB" w:rsidRPr="0096338A" w:rsidRDefault="003F03BB" w:rsidP="003F03BB">
      <w:pPr>
        <w:ind w:firstLine="708"/>
        <w:rPr>
          <w:rFonts w:cs="Times New Roman"/>
          <w:szCs w:val="24"/>
        </w:rPr>
      </w:pPr>
      <w:r w:rsidRPr="0096338A">
        <w:rPr>
          <w:rFonts w:cs="Times New Roman"/>
          <w:szCs w:val="24"/>
        </w:rPr>
        <w:t xml:space="preserve">De drie delen vormen een antwoord op de hoofdvraag, maar als aanvulling zet dit onderzoek nog enkele stappen in een ander onderzoeksveld. De genderindeling in de marktruimte is het onderwerp van hoofdstuk vier. Hierbij wordt eerst beschreven wat het concept ‘ruimte’ precies inhoudt. Een volgend item presenteert een vergelijking tussen bevindingen op basis van de Leuvense bronnen en resultaten van eerder onderzoek het bestaan van een gegenderde publieke versus private ruimte. Dit zal slechts in beperkte mate gebeuren, aangezien de ordonnanties slechts weinig informatie bieden. Een derde onderdeel </w:t>
      </w:r>
      <w:r w:rsidRPr="0096338A">
        <w:rPr>
          <w:rFonts w:cs="Times New Roman"/>
          <w:szCs w:val="24"/>
        </w:rPr>
        <w:lastRenderedPageBreak/>
        <w:t>van het hoofdstuk zal de aanwezigheid bespreken van vrouwen in de gesloten marktruimte die de hallen vormen. Daarna wordt bij wijze van conclusie het plaatje vervolledigd door de marktruimte te verbreden naar de hele stad; uiteraard opnieuw met het oog op een beschrijving van de positie van de vrouw hierin. Dit hoofdstuk biedt echter slechts een bescheiden bijdrage tot het prille onderzoek naar gender en ruimte in de middeleeuwen, aangezien de stadsordonnanties hierover niet meer informatie bieden.</w:t>
      </w:r>
      <w:r w:rsidR="00096976" w:rsidRPr="0096338A">
        <w:rPr>
          <w:rFonts w:cs="Times New Roman"/>
          <w:szCs w:val="24"/>
        </w:rPr>
        <w:t xml:space="preserve"> Toch zal een studie naar de genderindeling van de marktruimte, hoe beperkt dan ook, toch gunstig zijn voor dit onderzoek. Een begrip van de Leuvense marktruimte, kan namelijk leiden tot een begrip van de bewegingsvrijheid die vrouwen er hadden.</w:t>
      </w:r>
    </w:p>
    <w:p w:rsidR="003C26D2" w:rsidRPr="0096338A" w:rsidRDefault="003F03BB" w:rsidP="003F03BB">
      <w:r w:rsidRPr="0096338A">
        <w:rPr>
          <w:rFonts w:cs="Times New Roman"/>
          <w:szCs w:val="24"/>
        </w:rPr>
        <w:tab/>
        <w:t>Vooraleer over te gaan tot een schets van het vijftiende-eeuwse Leuven en haar ambachtenwereld, is het belangrijk nog enkele begrippen te verklaren. Ten eerste is het noodzakelijk een definitie te geven van de betekenis van een hoge of lage sociale status in het economische stadsleven. Hierbij dient het onderzoek van Martha Howell als inspiratiebron. De sociale status die een vrouw kon verkrijgen gaat over de mate waarin ze onafhankelijk kon ondernemen in de economische wereld. Hoe meer vrijheid ze had, hoe hoger haar status was.</w:t>
      </w:r>
      <w:r w:rsidRPr="0096338A">
        <w:rPr>
          <w:rStyle w:val="Voetnootmarkering"/>
          <w:rFonts w:cs="Times New Roman"/>
          <w:szCs w:val="24"/>
        </w:rPr>
        <w:footnoteReference w:id="26"/>
      </w:r>
      <w:r w:rsidRPr="0096338A">
        <w:rPr>
          <w:rFonts w:cs="Times New Roman"/>
          <w:szCs w:val="24"/>
        </w:rPr>
        <w:t xml:space="preserve"> Naast de sociale status spreekt dit onderzoek eveneens over familiale status, waarmee verwezen wordt naar weduwen, getrouwde vrouwen of ongetrouwde vrouwen. </w:t>
      </w:r>
      <w:r w:rsidR="00096976" w:rsidRPr="0096338A">
        <w:rPr>
          <w:rFonts w:cs="Times New Roman"/>
          <w:szCs w:val="24"/>
        </w:rPr>
        <w:t>Twee andere begrippen die verklaring vereisen zijn de termen</w:t>
      </w:r>
      <w:r w:rsidRPr="0096338A">
        <w:rPr>
          <w:rFonts w:cs="Times New Roman"/>
          <w:szCs w:val="24"/>
        </w:rPr>
        <w:t xml:space="preserve"> ‘gegenderd’ en ‘gendering’</w:t>
      </w:r>
      <w:r w:rsidR="00096976" w:rsidRPr="0096338A">
        <w:rPr>
          <w:rFonts w:cs="Times New Roman"/>
          <w:szCs w:val="24"/>
        </w:rPr>
        <w:t>, die in dit onde</w:t>
      </w:r>
      <w:r w:rsidR="0052150B" w:rsidRPr="0096338A">
        <w:rPr>
          <w:rFonts w:cs="Times New Roman"/>
          <w:szCs w:val="24"/>
        </w:rPr>
        <w:t>r</w:t>
      </w:r>
      <w:r w:rsidR="00096976" w:rsidRPr="0096338A">
        <w:rPr>
          <w:rFonts w:cs="Times New Roman"/>
          <w:szCs w:val="24"/>
        </w:rPr>
        <w:t>zoek</w:t>
      </w:r>
      <w:r w:rsidRPr="0096338A">
        <w:rPr>
          <w:rFonts w:cs="Times New Roman"/>
          <w:szCs w:val="24"/>
        </w:rPr>
        <w:t xml:space="preserve"> in een zeer specifieke betekenis</w:t>
      </w:r>
      <w:r w:rsidR="00096976" w:rsidRPr="0096338A">
        <w:rPr>
          <w:rFonts w:cs="Times New Roman"/>
          <w:szCs w:val="24"/>
        </w:rPr>
        <w:t xml:space="preserve"> worden gebruikt</w:t>
      </w:r>
      <w:r w:rsidRPr="0096338A">
        <w:rPr>
          <w:rFonts w:cs="Times New Roman"/>
          <w:szCs w:val="24"/>
        </w:rPr>
        <w:t>. Het gaat hierbij steeds om de indeling d</w:t>
      </w:r>
      <w:r w:rsidR="00096976" w:rsidRPr="0096338A">
        <w:rPr>
          <w:rFonts w:cs="Times New Roman"/>
          <w:szCs w:val="24"/>
        </w:rPr>
        <w:t xml:space="preserve">ie op basis van gender bestond. </w:t>
      </w:r>
      <w:r w:rsidR="0052150B" w:rsidRPr="0096338A">
        <w:rPr>
          <w:rFonts w:cs="Times New Roman"/>
          <w:szCs w:val="24"/>
        </w:rPr>
        <w:t>De twee begrippen wijzen</w:t>
      </w:r>
      <w:r w:rsidR="00096976" w:rsidRPr="0096338A">
        <w:rPr>
          <w:rFonts w:cs="Times New Roman"/>
          <w:szCs w:val="24"/>
        </w:rPr>
        <w:t xml:space="preserve"> hierbij niet op het louter fysieke onderscheid tussen de seksen, maar eveneens op de mentale scheiding die er bestond tussen man en vrouw.</w:t>
      </w:r>
      <w:r w:rsidR="003C26D2" w:rsidRPr="0096338A">
        <w:br w:type="page"/>
      </w:r>
    </w:p>
    <w:p w:rsidR="00616D79" w:rsidRPr="0096338A" w:rsidRDefault="00616D79" w:rsidP="00616D79">
      <w:pPr>
        <w:pStyle w:val="Kop1"/>
      </w:pPr>
      <w:bookmarkStart w:id="3" w:name="_Toc452371438"/>
      <w:r w:rsidRPr="0096338A">
        <w:lastRenderedPageBreak/>
        <w:t>1. Leuven en haar bewoners in de vijftiende eeuw: de kernfamilie als spil</w:t>
      </w:r>
      <w:bookmarkEnd w:id="2"/>
      <w:bookmarkEnd w:id="3"/>
    </w:p>
    <w:p w:rsidR="00C73C21" w:rsidRPr="0096338A" w:rsidRDefault="00616D79" w:rsidP="00C73C21">
      <w:r w:rsidRPr="0096338A">
        <w:t>De stad Leuven behoorde</w:t>
      </w:r>
      <w:r w:rsidR="001E2ADC" w:rsidRPr="0096338A">
        <w:t xml:space="preserve"> samen met Brussel, ’s-Hertogenbosch en Antwerpen</w:t>
      </w:r>
      <w:r w:rsidRPr="0096338A">
        <w:t xml:space="preserve"> tot één van de vier grote steden in het middeleeuwse Hertogdom Brabant.</w:t>
      </w:r>
      <w:r w:rsidR="001E2ADC" w:rsidRPr="0096338A">
        <w:rPr>
          <w:rStyle w:val="Voetnootmarkering"/>
        </w:rPr>
        <w:footnoteReference w:id="27"/>
      </w:r>
      <w:r w:rsidR="001E2ADC" w:rsidRPr="0096338A">
        <w:t xml:space="preserve"> Na</w:t>
      </w:r>
      <w:r w:rsidR="00C73C21" w:rsidRPr="0096338A">
        <w:t xml:space="preserve"> een</w:t>
      </w:r>
      <w:r w:rsidRPr="0096338A">
        <w:t xml:space="preserve"> lange voorgeschiedenis</w:t>
      </w:r>
      <w:r w:rsidR="00C73C21" w:rsidRPr="0096338A">
        <w:t xml:space="preserve"> groeide de stad </w:t>
      </w:r>
      <w:r w:rsidRPr="0096338A">
        <w:t xml:space="preserve">in de late middeleeuwen </w:t>
      </w:r>
      <w:r w:rsidR="00C73C21" w:rsidRPr="0096338A">
        <w:t xml:space="preserve">uit tot </w:t>
      </w:r>
      <w:r w:rsidRPr="0096338A">
        <w:t xml:space="preserve">een </w:t>
      </w:r>
      <w:r w:rsidR="00C73C21" w:rsidRPr="0096338A">
        <w:t xml:space="preserve">bloeiend centrum van de regio </w:t>
      </w:r>
      <w:r w:rsidRPr="0096338A">
        <w:t xml:space="preserve">met </w:t>
      </w:r>
      <w:r w:rsidR="00C73C21" w:rsidRPr="0096338A">
        <w:t xml:space="preserve">onder andere </w:t>
      </w:r>
      <w:r w:rsidRPr="0096338A">
        <w:t xml:space="preserve">een uitdijende lakenindustrie. Volgens Raymond Van Uytven waren </w:t>
      </w:r>
      <w:r w:rsidR="00C73C21" w:rsidRPr="0096338A">
        <w:t xml:space="preserve">ook </w:t>
      </w:r>
      <w:r w:rsidRPr="0096338A">
        <w:t>de leren handschoenen</w:t>
      </w:r>
      <w:r w:rsidR="00C73C21" w:rsidRPr="0096338A">
        <w:t xml:space="preserve">, </w:t>
      </w:r>
      <w:r w:rsidRPr="0096338A">
        <w:t>afkomstig uit Leuven</w:t>
      </w:r>
      <w:r w:rsidR="00C73C21" w:rsidRPr="0096338A">
        <w:t>,</w:t>
      </w:r>
      <w:r w:rsidRPr="0096338A">
        <w:t xml:space="preserve"> een gegeerd internationaal product.</w:t>
      </w:r>
      <w:r w:rsidRPr="0096338A">
        <w:rPr>
          <w:rStyle w:val="Voetnootmarkering"/>
        </w:rPr>
        <w:footnoteReference w:id="28"/>
      </w:r>
      <w:r w:rsidRPr="0096338A">
        <w:t xml:space="preserve"> Hoewel de</w:t>
      </w:r>
      <w:r w:rsidR="00C73C21" w:rsidRPr="0096338A">
        <w:t xml:space="preserve"> geschiedenis van de </w:t>
      </w:r>
      <w:r w:rsidRPr="0096338A">
        <w:t>stad een interessant</w:t>
      </w:r>
      <w:r w:rsidR="00C73C21" w:rsidRPr="0096338A">
        <w:t xml:space="preserve"> terrein is </w:t>
      </w:r>
      <w:r w:rsidRPr="0096338A">
        <w:t>voo</w:t>
      </w:r>
      <w:r w:rsidR="00C73C21" w:rsidRPr="0096338A">
        <w:t>r de mediëvistiek, verschenen er tot nog toe</w:t>
      </w:r>
      <w:r w:rsidRPr="0096338A">
        <w:t xml:space="preserve"> slechts weinig publicaties over. Die lacune is deels te wijten aan het schaarse bronnenmateriaal, aangezien</w:t>
      </w:r>
      <w:r w:rsidR="00C73C21" w:rsidRPr="0096338A">
        <w:t xml:space="preserve"> – onder andere in de Eerste Wereldoorlog – veel </w:t>
      </w:r>
      <w:r w:rsidRPr="0096338A">
        <w:t>documentatie verloren ging. Daarnaast krijgt het Hertogdom Brabant weinig aandacht</w:t>
      </w:r>
      <w:r w:rsidR="00C73C21" w:rsidRPr="0096338A">
        <w:t xml:space="preserve"> in studies over de (Zuidelijke) Nederlanden </w:t>
      </w:r>
      <w:r w:rsidRPr="0096338A">
        <w:t>door de gangbare focus op Vlaanderen. Deze studie toont echter aan dat</w:t>
      </w:r>
      <w:r w:rsidR="00C73C21" w:rsidRPr="0096338A">
        <w:t xml:space="preserve"> het middeleeuwse</w:t>
      </w:r>
      <w:r w:rsidRPr="0096338A">
        <w:t xml:space="preserve"> Leuven een idea</w:t>
      </w:r>
      <w:r w:rsidR="00C73C21" w:rsidRPr="0096338A">
        <w:t>a</w:t>
      </w:r>
      <w:r w:rsidRPr="0096338A">
        <w:t xml:space="preserve">l </w:t>
      </w:r>
      <w:r w:rsidR="00C73C21" w:rsidRPr="0096338A">
        <w:t>domein vormt voor genderonderzoek. Er zijn met name aanwijzingen dat onderzoek over deze stad nieuwe tendensen en verschillen met eerdere bevindingen in andere steden aan het ligt brengt.</w:t>
      </w:r>
    </w:p>
    <w:p w:rsidR="00616D79" w:rsidRPr="0096338A" w:rsidRDefault="00616D79" w:rsidP="00994F1D">
      <w:pPr>
        <w:ind w:firstLine="708"/>
      </w:pPr>
      <w:r w:rsidRPr="0096338A">
        <w:t xml:space="preserve">Vooraleer deze scriptie zich </w:t>
      </w:r>
      <w:r w:rsidR="00C73C21" w:rsidRPr="0096338A">
        <w:t>toespitst op</w:t>
      </w:r>
      <w:r w:rsidRPr="0096338A">
        <w:t xml:space="preserve"> het onderzoek naar vrouwen in de Leuvense ambachtenwereld, is het echter belangrijk een kader te schetsen van de stad. Er wordt geen algemene stadsgeschiedenis gegeven</w:t>
      </w:r>
      <w:r w:rsidR="00C83FFB" w:rsidRPr="0096338A">
        <w:t xml:space="preserve">; </w:t>
      </w:r>
      <w:r w:rsidRPr="0096338A">
        <w:t>hier</w:t>
      </w:r>
      <w:r w:rsidR="00C83FFB" w:rsidRPr="0096338A">
        <w:t>over</w:t>
      </w:r>
      <w:r w:rsidRPr="0096338A">
        <w:t xml:space="preserve"> bestaat er reeds uitstekend onderzoek door voornamelijk </w:t>
      </w:r>
      <w:r w:rsidR="00C83FFB" w:rsidRPr="0096338A">
        <w:t xml:space="preserve">Raymond </w:t>
      </w:r>
      <w:r w:rsidRPr="0096338A">
        <w:t>Van Uytven</w:t>
      </w:r>
      <w:r w:rsidR="00C83FFB" w:rsidRPr="0096338A">
        <w:t xml:space="preserve">. Wel volgt er een schets van </w:t>
      </w:r>
      <w:r w:rsidRPr="0096338A">
        <w:t>de elementen in de stadsgeschiedenis die re</w:t>
      </w:r>
      <w:r w:rsidR="00B0293B" w:rsidRPr="0096338A">
        <w:t>levant zijn voor dit onderzoek.</w:t>
      </w:r>
      <w:r w:rsidR="00994F1D">
        <w:t xml:space="preserve"> </w:t>
      </w:r>
      <w:r w:rsidRPr="0096338A">
        <w:t xml:space="preserve">Leuven was vanaf de dertiende eeuw niet enkel één van de primaatsteden van Brabant, ze werd vaak zelfs beschouwd als de belangrijkste stad, onder meer </w:t>
      </w:r>
      <w:r w:rsidR="00C83FFB" w:rsidRPr="0096338A">
        <w:t>omdat</w:t>
      </w:r>
      <w:r w:rsidRPr="0096338A">
        <w:t xml:space="preserve"> de hertog er </w:t>
      </w:r>
      <w:r w:rsidR="00C83FFB" w:rsidRPr="0096338A">
        <w:t>resideerde</w:t>
      </w:r>
      <w:r w:rsidRPr="0096338A">
        <w:t>. Leuven beschikte omwille van haar belang dan ook over de hoogste rechtbank in het hertogdom.</w:t>
      </w:r>
      <w:r w:rsidRPr="0096338A">
        <w:rPr>
          <w:rStyle w:val="Voetnootmarkering"/>
        </w:rPr>
        <w:footnoteReference w:id="29"/>
      </w:r>
      <w:r w:rsidRPr="0096338A">
        <w:t xml:space="preserve"> De invloed van de stad </w:t>
      </w:r>
      <w:r w:rsidR="00C83FFB" w:rsidRPr="0096338A">
        <w:t xml:space="preserve">strekte zich </w:t>
      </w:r>
      <w:r w:rsidRPr="0096338A">
        <w:t>uit tot andere steden,</w:t>
      </w:r>
      <w:r w:rsidR="00C83FFB" w:rsidRPr="0096338A">
        <w:t xml:space="preserve"> maar </w:t>
      </w:r>
      <w:r w:rsidRPr="0096338A">
        <w:t xml:space="preserve">belangrijker voor dit onderzoek is </w:t>
      </w:r>
      <w:r w:rsidR="00C83FFB" w:rsidRPr="0096338A">
        <w:t>de</w:t>
      </w:r>
      <w:r w:rsidRPr="0096338A">
        <w:t xml:space="preserve"> impact</w:t>
      </w:r>
      <w:r w:rsidR="00C83FFB" w:rsidRPr="0096338A">
        <w:t xml:space="preserve"> van de stad</w:t>
      </w:r>
      <w:r w:rsidRPr="0096338A">
        <w:t xml:space="preserve"> op het omliggende gebied. </w:t>
      </w:r>
    </w:p>
    <w:p w:rsidR="00616D79" w:rsidRPr="0096338A" w:rsidRDefault="00616D79" w:rsidP="00616D79">
      <w:pPr>
        <w:ind w:left="708"/>
      </w:pPr>
      <w:r w:rsidRPr="0096338A">
        <w:t>“De schepenbank was […] de aangewezen gerechtsinstantie binnen de Leuvense vrijheid voor alle feiten en zaken voor zover ze niet tot het domein van een ondergeschikte gespecialiseerde instantie behoorden.”</w:t>
      </w:r>
      <w:r w:rsidRPr="0096338A">
        <w:rPr>
          <w:rStyle w:val="Voetnootmarkering"/>
        </w:rPr>
        <w:footnoteReference w:id="30"/>
      </w:r>
    </w:p>
    <w:p w:rsidR="00C83FFB" w:rsidRPr="0096338A" w:rsidRDefault="00616D79" w:rsidP="00C83FFB">
      <w:r w:rsidRPr="0096338A">
        <w:lastRenderedPageBreak/>
        <w:t xml:space="preserve">Naast de schepenbank waren er </w:t>
      </w:r>
      <w:r w:rsidR="00C83FFB" w:rsidRPr="0096338A">
        <w:t>bovendien</w:t>
      </w:r>
      <w:r w:rsidRPr="0096338A">
        <w:t xml:space="preserve"> andere juridische en politieke instanties die de stad beheerden. </w:t>
      </w:r>
      <w:r w:rsidR="00C83FFB" w:rsidRPr="0096338A">
        <w:t>De stad, die in de vijftiende eeuw een bevolkingsaantal van ongeveer 17 000 inwoners telde, was dus erg invloedrijk op tal van vlakken.</w:t>
      </w:r>
    </w:p>
    <w:p w:rsidR="00616D79" w:rsidRPr="0096338A" w:rsidRDefault="00616D79" w:rsidP="00C83FFB">
      <w:pPr>
        <w:ind w:firstLine="708"/>
      </w:pPr>
      <w:r w:rsidRPr="0096338A">
        <w:t>Dit onderzoek maa</w:t>
      </w:r>
      <w:r w:rsidR="00C83FFB" w:rsidRPr="0096338A">
        <w:t xml:space="preserve">kt, zoals reeds besproken </w:t>
      </w:r>
      <w:r w:rsidRPr="0096338A">
        <w:t xml:space="preserve">gebruik van de twee vijftiende-eeuwse ordonnantieboeken. </w:t>
      </w:r>
      <w:r w:rsidR="00B0293B" w:rsidRPr="0096338A">
        <w:t>De stadsraad kondigde de beslissingen die hierin geschreven staan af</w:t>
      </w:r>
      <w:r w:rsidRPr="0096338A">
        <w:t xml:space="preserve">. Dit bestuursorgaan bestond in de vijftiende eeuw uit 21 gezworenen, waarvan elf </w:t>
      </w:r>
      <w:r w:rsidR="00C83FFB" w:rsidRPr="0096338A">
        <w:t xml:space="preserve">afkomstig </w:t>
      </w:r>
      <w:r w:rsidRPr="0096338A">
        <w:t>uit de Leuvense geslachten en tien uit de ambachten. De raad was</w:t>
      </w:r>
      <w:r w:rsidR="00C83FFB" w:rsidRPr="0096338A">
        <w:t xml:space="preserve"> </w:t>
      </w:r>
      <w:r w:rsidRPr="0096338A">
        <w:t xml:space="preserve">volgens Van Uytven het hoogste politieke orgaan van de stad en had een “normerende bevoegdheid om goede </w:t>
      </w:r>
      <w:r w:rsidR="00C83FFB" w:rsidRPr="0096338A">
        <w:t>g</w:t>
      </w:r>
      <w:r w:rsidRPr="0096338A">
        <w:t>ang van zaken te regelen.”</w:t>
      </w:r>
      <w:r w:rsidRPr="0096338A">
        <w:rPr>
          <w:rStyle w:val="Voetnootmarkering"/>
        </w:rPr>
        <w:footnoteReference w:id="31"/>
      </w:r>
      <w:r w:rsidRPr="0096338A">
        <w:t xml:space="preserve"> De beslissingen die de stadsraad nam hadden betrekking op het hele dagelijkse leven in de stad. John Gilissen</w:t>
      </w:r>
      <w:r w:rsidR="00C83FFB" w:rsidRPr="0096338A">
        <w:t xml:space="preserve"> maakt een duidelijk onderscheid</w:t>
      </w:r>
      <w:r w:rsidRPr="0096338A">
        <w:t xml:space="preserve"> tussen het ruraal recht en het stadsrecht. Dit laatste was namelijk opgesteld aan de hand van de noden van handelaars en ambachtslieden, dus aan de</w:t>
      </w:r>
      <w:r w:rsidR="00C83FFB" w:rsidRPr="0096338A">
        <w:t xml:space="preserve"> meer</w:t>
      </w:r>
      <w:r w:rsidRPr="0096338A">
        <w:t xml:space="preserve"> individualistisch</w:t>
      </w:r>
      <w:r w:rsidR="00C83FFB" w:rsidRPr="0096338A">
        <w:t xml:space="preserve"> gerichte</w:t>
      </w:r>
      <w:r w:rsidRPr="0096338A">
        <w:t xml:space="preserve"> wereld in de steden. </w:t>
      </w:r>
      <w:r w:rsidR="00C83FFB" w:rsidRPr="0096338A">
        <w:t xml:space="preserve">Opmerkelijk </w:t>
      </w:r>
      <w:r w:rsidRPr="0096338A">
        <w:t>in dit stadsrecht is volgens Gilissen een tendens naar egalisering van de seksen.</w:t>
      </w:r>
      <w:r w:rsidRPr="0096338A">
        <w:rPr>
          <w:rStyle w:val="Voetnootmarkering"/>
        </w:rPr>
        <w:footnoteReference w:id="32"/>
      </w:r>
      <w:r w:rsidRPr="0096338A">
        <w:t xml:space="preserve"> Dit onderzoek zal aantonen dat de Leuvense ordonnanties inderdaad relatief weinig gender</w:t>
      </w:r>
      <w:r w:rsidR="00C83FFB" w:rsidRPr="0096338A">
        <w:t>gevoeligheid</w:t>
      </w:r>
      <w:r w:rsidRPr="0096338A">
        <w:t xml:space="preserve"> vertonen in de beslissingen.</w:t>
      </w:r>
    </w:p>
    <w:p w:rsidR="00616D79" w:rsidRPr="0096338A" w:rsidRDefault="00616D79" w:rsidP="00616D79">
      <w:r w:rsidRPr="0096338A">
        <w:tab/>
        <w:t xml:space="preserve">De economische situatie van Leuven </w:t>
      </w:r>
      <w:r w:rsidR="00C83FFB" w:rsidRPr="0096338A">
        <w:t xml:space="preserve">was </w:t>
      </w:r>
      <w:r w:rsidRPr="0096338A">
        <w:t xml:space="preserve">in de vijftiende eeuw niet meer zo voortvarend als in </w:t>
      </w:r>
      <w:r w:rsidR="00C83FFB" w:rsidRPr="0096338A">
        <w:t>de voorafgaande</w:t>
      </w:r>
      <w:r w:rsidRPr="0096338A">
        <w:t xml:space="preserve"> eeuwen. In </w:t>
      </w:r>
      <w:r w:rsidR="00C83FFB" w:rsidRPr="0096338A">
        <w:t>de</w:t>
      </w:r>
      <w:r w:rsidRPr="0096338A">
        <w:t xml:space="preserve"> slot</w:t>
      </w:r>
      <w:r w:rsidR="00C83FFB" w:rsidRPr="0096338A">
        <w:t>periode</w:t>
      </w:r>
      <w:r w:rsidRPr="0096338A">
        <w:t xml:space="preserve"> van de</w:t>
      </w:r>
      <w:r w:rsidR="00C83FFB" w:rsidRPr="0096338A">
        <w:t xml:space="preserve">ze </w:t>
      </w:r>
      <w:r w:rsidRPr="0096338A">
        <w:t>eeuw stond de stad aan het einde van een aanslepende crisis</w:t>
      </w:r>
      <w:r w:rsidR="00B113B8" w:rsidRPr="0096338A">
        <w:t xml:space="preserve">. Deze hield verband met politieke onrust, waarvan reeds in de veertiende eeuw sprake was. Pestuitbraken, hongersnood en schaarste speelden de Leuvense economie eveneens parten. Tegen het einde van de veertiende eeuw geraakte de belangrijke </w:t>
      </w:r>
      <w:r w:rsidRPr="0096338A">
        <w:t>lakenindustrie in verval. Van Houtte merkt op dat</w:t>
      </w:r>
      <w:r w:rsidR="00B113B8" w:rsidRPr="0096338A">
        <w:t xml:space="preserve"> de lakenproductie in 1470 met meer dan twee derden teruggelopen was in vergelijking met de periode rond 1435.</w:t>
      </w:r>
      <w:r w:rsidRPr="0096338A">
        <w:rPr>
          <w:rStyle w:val="Voetnootmarkering"/>
        </w:rPr>
        <w:footnoteReference w:id="33"/>
      </w:r>
      <w:r w:rsidRPr="0096338A">
        <w:t xml:space="preserve"> Het aantal verarmde huishoudens </w:t>
      </w:r>
      <w:r w:rsidR="00B113B8" w:rsidRPr="0096338A">
        <w:t>was</w:t>
      </w:r>
      <w:r w:rsidRPr="0096338A">
        <w:t xml:space="preserve"> in 1480 verdubbeld ten opzichte van vijftig jaar eerder. </w:t>
      </w:r>
      <w:r w:rsidR="00B113B8" w:rsidRPr="0096338A">
        <w:t>Doorheen de hele eeuw ging de situatie in Leuven dus drastisch achteruit, terwijl Antwerpen intussen tot bloei kwam.</w:t>
      </w:r>
      <w:r w:rsidRPr="0096338A">
        <w:rPr>
          <w:rStyle w:val="Voetnootmarkering"/>
        </w:rPr>
        <w:footnoteReference w:id="34"/>
      </w:r>
      <w:r w:rsidRPr="0096338A">
        <w:t xml:space="preserve"> </w:t>
      </w:r>
      <w:r w:rsidR="00B0293B" w:rsidRPr="0096338A">
        <w:t>Toch vergt dit pessimistische beeld ook enige nuacering</w:t>
      </w:r>
      <w:r w:rsidRPr="0096338A">
        <w:t>. Van Uytven stelt dat de levensstandaard in de vijftiende eeuw dan</w:t>
      </w:r>
      <w:r w:rsidR="00B113B8" w:rsidRPr="0096338A">
        <w:t xml:space="preserve"> wel </w:t>
      </w:r>
      <w:r w:rsidRPr="0096338A">
        <w:t xml:space="preserve">lager </w:t>
      </w:r>
      <w:r w:rsidR="00B113B8" w:rsidRPr="0096338A">
        <w:t xml:space="preserve">was </w:t>
      </w:r>
      <w:r w:rsidRPr="0096338A">
        <w:t>dan ervoor, maar nog steeds hoger dan elders, zoals bijvoorbeeld</w:t>
      </w:r>
      <w:r w:rsidR="00B113B8" w:rsidRPr="0096338A">
        <w:t xml:space="preserve"> te </w:t>
      </w:r>
      <w:r w:rsidRPr="0096338A">
        <w:t>Leiden.</w:t>
      </w:r>
      <w:r w:rsidRPr="0096338A">
        <w:rPr>
          <w:rStyle w:val="Voetnootmarkering"/>
        </w:rPr>
        <w:footnoteReference w:id="35"/>
      </w:r>
      <w:r w:rsidR="00B113B8" w:rsidRPr="0096338A">
        <w:t xml:space="preserve"> Het belang van de stad voor de omliggende gebieden bleef aanzienlijk.</w:t>
      </w:r>
      <w:r w:rsidR="00B113B8" w:rsidRPr="0096338A">
        <w:rPr>
          <w:rStyle w:val="Voetnootmarkering"/>
        </w:rPr>
        <w:footnoteReference w:id="36"/>
      </w:r>
      <w:r w:rsidR="00B113B8" w:rsidRPr="0096338A">
        <w:t xml:space="preserve"> </w:t>
      </w:r>
      <w:r w:rsidR="00B0293B" w:rsidRPr="0096338A">
        <w:t>De</w:t>
      </w:r>
      <w:r w:rsidRPr="0096338A">
        <w:t xml:space="preserve"> situatie voor de loontrekkenden in de stad </w:t>
      </w:r>
      <w:r w:rsidR="00B0293B" w:rsidRPr="0096338A">
        <w:t xml:space="preserve">zou </w:t>
      </w:r>
      <w:r w:rsidRPr="0096338A">
        <w:t xml:space="preserve">vrij gunstig blijven. De komst van de </w:t>
      </w:r>
      <w:r w:rsidR="00B0293B" w:rsidRPr="0096338A">
        <w:t>universiteit zorgde bovendien voor opwaartse beweging</w:t>
      </w:r>
      <w:r w:rsidRPr="0096338A">
        <w:t xml:space="preserve">. </w:t>
      </w:r>
      <w:r w:rsidRPr="0096338A">
        <w:lastRenderedPageBreak/>
        <w:t>“Tussen ca. 1425 en ca. 1485 bloeide de hoog-gotiek</w:t>
      </w:r>
      <w:r w:rsidR="00B113B8" w:rsidRPr="0096338A">
        <w:t xml:space="preserve">, waarbij </w:t>
      </w:r>
      <w:r w:rsidRPr="0096338A">
        <w:t>de stichting van de universiteit een tweede ontwikkelingsperiode in de hand werkte.”</w:t>
      </w:r>
      <w:r w:rsidRPr="0096338A">
        <w:rPr>
          <w:rStyle w:val="Voetnootmarkering"/>
        </w:rPr>
        <w:footnoteReference w:id="37"/>
      </w:r>
      <w:r w:rsidRPr="0096338A">
        <w:t xml:space="preserve"> De Leuvense markt bleef dus zeker bestaan en had een blijvende impact in de regio. </w:t>
      </w:r>
    </w:p>
    <w:p w:rsidR="00616D79" w:rsidRPr="0096338A" w:rsidRDefault="00616D79" w:rsidP="00616D79">
      <w:r w:rsidRPr="0096338A">
        <w:tab/>
        <w:t xml:space="preserve">In </w:t>
      </w:r>
      <w:r w:rsidR="00B113B8" w:rsidRPr="0096338A">
        <w:t xml:space="preserve">het </w:t>
      </w:r>
      <w:r w:rsidRPr="0096338A">
        <w:t xml:space="preserve">kader van dit onderzoek is het belangrijk de aard van middeleeuws Leuven te plaatsen binnen </w:t>
      </w:r>
      <w:r w:rsidR="00B113B8" w:rsidRPr="0096338A">
        <w:t>de rijke schakering v</w:t>
      </w:r>
      <w:r w:rsidRPr="0096338A">
        <w:t xml:space="preserve">an </w:t>
      </w:r>
      <w:r w:rsidR="00B0293B" w:rsidRPr="0096338A">
        <w:t>middeleeuwse steden. Onder andere h</w:t>
      </w:r>
      <w:r w:rsidRPr="0096338A">
        <w:t xml:space="preserve">et karakter van de stad bepaalde namelijk de vrijheid die vrouwen hierin ondervonden. Rodney Howard Hilton, die de middeleeuwse Engelse samenleving bestudeerde, onderscheidt twee </w:t>
      </w:r>
      <w:r w:rsidR="00756A2F" w:rsidRPr="0096338A">
        <w:t xml:space="preserve">typen van </w:t>
      </w:r>
      <w:r w:rsidRPr="0096338A">
        <w:t>steden in de late middeleeuwen. Ten eerste waren er de internationaal gerichte steden met reeds vroeg een vorm van commercieel kapitalisme. Hoewel Leuven in eerdere eeuwen</w:t>
      </w:r>
      <w:r w:rsidR="00B113B8" w:rsidRPr="0096338A">
        <w:t xml:space="preserve"> in die richting leek te ontwikkelen, valt ze in de vijftiende eeuw toch niet onder dit type stad te rekenen. </w:t>
      </w:r>
      <w:r w:rsidRPr="0096338A">
        <w:t xml:space="preserve">Daarnaast waren er </w:t>
      </w:r>
      <w:r w:rsidR="00B113B8" w:rsidRPr="0096338A">
        <w:t xml:space="preserve">steden met lokale markten en </w:t>
      </w:r>
      <w:r w:rsidRPr="0096338A">
        <w:t xml:space="preserve">een economie op basis van de </w:t>
      </w:r>
      <w:r w:rsidR="00B113B8" w:rsidRPr="0096338A">
        <w:t>transacties tussen k</w:t>
      </w:r>
      <w:r w:rsidRPr="0096338A">
        <w:t>leinschalige producenten. Het doel van hun transacties was</w:t>
      </w:r>
      <w:r w:rsidR="00B113B8" w:rsidRPr="0096338A">
        <w:t xml:space="preserve"> </w:t>
      </w:r>
      <w:r w:rsidR="0004726B" w:rsidRPr="0096338A">
        <w:t>eigen producten te verkopen om</w:t>
      </w:r>
      <w:r w:rsidRPr="0096338A">
        <w:t xml:space="preserve"> </w:t>
      </w:r>
      <w:r w:rsidR="00F07600" w:rsidRPr="0096338A">
        <w:t>zich</w:t>
      </w:r>
      <w:r w:rsidRPr="0096338A">
        <w:t>zelf goederen te kunnen</w:t>
      </w:r>
      <w:r w:rsidR="00B113B8" w:rsidRPr="0096338A">
        <w:t xml:space="preserve"> aanschaffen</w:t>
      </w:r>
      <w:r w:rsidRPr="0096338A">
        <w:t xml:space="preserve">. Hilton benoemt dit type van </w:t>
      </w:r>
      <w:r w:rsidR="00B113B8" w:rsidRPr="0096338A">
        <w:t>steden centra gericht op</w:t>
      </w:r>
      <w:r w:rsidRPr="0096338A">
        <w:t xml:space="preserve"> ‘</w:t>
      </w:r>
      <w:r w:rsidR="00B0293B" w:rsidRPr="0096338A">
        <w:t>simple commodity p</w:t>
      </w:r>
      <w:r w:rsidRPr="0096338A">
        <w:t>roduction’.</w:t>
      </w:r>
      <w:r w:rsidRPr="0096338A">
        <w:rPr>
          <w:rStyle w:val="Voetnootmarkering"/>
        </w:rPr>
        <w:footnoteReference w:id="38"/>
      </w:r>
      <w:r w:rsidRPr="0096338A">
        <w:t xml:space="preserve"> Het is onder dit type dat Leuven met haar lokale markt valt. Andere auteurs</w:t>
      </w:r>
      <w:r w:rsidR="00276261" w:rsidRPr="0096338A">
        <w:t xml:space="preserve"> verschillen weliswaar van Hilton op vla</w:t>
      </w:r>
      <w:r w:rsidR="00B0293B" w:rsidRPr="0096338A">
        <w:t>k</w:t>
      </w:r>
      <w:r w:rsidR="00276261" w:rsidRPr="0096338A">
        <w:t xml:space="preserve"> van terminologie, maar beschrijven dezelfde kenmerken.</w:t>
      </w:r>
      <w:r w:rsidR="00276261" w:rsidRPr="0096338A">
        <w:rPr>
          <w:rStyle w:val="Voetnootmarkering"/>
        </w:rPr>
        <w:footnoteReference w:id="39"/>
      </w:r>
      <w:r w:rsidRPr="0096338A">
        <w:t xml:space="preserve"> </w:t>
      </w:r>
    </w:p>
    <w:p w:rsidR="00616D79" w:rsidRPr="0096338A" w:rsidRDefault="00616D79" w:rsidP="00616D79">
      <w:pPr>
        <w:ind w:firstLine="708"/>
      </w:pPr>
      <w:r w:rsidRPr="0096338A">
        <w:rPr>
          <w:lang w:val="en-GB"/>
        </w:rPr>
        <w:t>Martha Howell stelt over het middeleeuwse huishouden in een dergelijke stad: “[…] it was small and was headed by a nuclear couple who had first marrie</w:t>
      </w:r>
      <w:r w:rsidR="00B0293B" w:rsidRPr="0096338A">
        <w:rPr>
          <w:lang w:val="en-GB"/>
        </w:rPr>
        <w:t>d</w:t>
      </w:r>
      <w:r w:rsidRPr="0096338A">
        <w:rPr>
          <w:lang w:val="en-GB"/>
        </w:rPr>
        <w:t xml:space="preserve"> rather late and at about the same age […].</w:t>
      </w:r>
      <w:r w:rsidR="00994F1D">
        <w:rPr>
          <w:lang w:val="en-GB"/>
        </w:rPr>
        <w:t>”</w:t>
      </w:r>
      <w:r w:rsidRPr="0096338A">
        <w:rPr>
          <w:rStyle w:val="Voetnootmarkering"/>
          <w:lang w:val="en-GB"/>
        </w:rPr>
        <w:footnoteReference w:id="40"/>
      </w:r>
      <w:r w:rsidRPr="0096338A">
        <w:rPr>
          <w:lang w:val="en-GB"/>
        </w:rPr>
        <w:t xml:space="preserve"> </w:t>
      </w:r>
      <w:r w:rsidRPr="0096338A">
        <w:t xml:space="preserve">De kernfamilie was de drijvende spil achter dit </w:t>
      </w:r>
      <w:r w:rsidR="00B0293B" w:rsidRPr="0096338A">
        <w:t>type van steden</w:t>
      </w:r>
      <w:r w:rsidRPr="0096338A">
        <w:t>. Het gezin vormde samen het productiecentrum, waarbij zowel productie als verkoop hoorde</w:t>
      </w:r>
      <w:r w:rsidR="00276261" w:rsidRPr="0096338A">
        <w:t>n</w:t>
      </w:r>
      <w:r w:rsidRPr="0096338A">
        <w:t xml:space="preserve">. Vrouwen </w:t>
      </w:r>
      <w:r w:rsidR="00276261" w:rsidRPr="0096338A">
        <w:t xml:space="preserve">waren </w:t>
      </w:r>
      <w:r w:rsidRPr="0096338A">
        <w:t xml:space="preserve">voornamelijk </w:t>
      </w:r>
      <w:r w:rsidR="00276261" w:rsidRPr="0096338A">
        <w:t xml:space="preserve">actief </w:t>
      </w:r>
      <w:r w:rsidRPr="0096338A">
        <w:t>binnen een</w:t>
      </w:r>
      <w:r w:rsidR="00F95BBC" w:rsidRPr="0096338A">
        <w:t xml:space="preserve"> dergelijk</w:t>
      </w:r>
      <w:r w:rsidRPr="0096338A">
        <w:t xml:space="preserve"> huishouden, als dochters</w:t>
      </w:r>
      <w:r w:rsidR="00276261" w:rsidRPr="0096338A">
        <w:t xml:space="preserve"> of g</w:t>
      </w:r>
      <w:r w:rsidRPr="0096338A">
        <w:t>etrouwde vrouwen</w:t>
      </w:r>
      <w:r w:rsidR="00276261" w:rsidRPr="0096338A">
        <w:t>. Weduwen namen na het overlijden van hun echtgenoot de leiding van het kleinschalig bedrijf op zich.</w:t>
      </w:r>
      <w:r w:rsidRPr="0096338A">
        <w:rPr>
          <w:rStyle w:val="Voetnootmarkering"/>
        </w:rPr>
        <w:footnoteReference w:id="41"/>
      </w:r>
      <w:r w:rsidRPr="0096338A">
        <w:t xml:space="preserve"> Vrouwen bleven echter niet louter </w:t>
      </w:r>
      <w:r w:rsidR="00276261" w:rsidRPr="0096338A">
        <w:t>binnenshuis</w:t>
      </w:r>
      <w:r w:rsidRPr="0096338A">
        <w:t xml:space="preserve"> bij het exploiteren </w:t>
      </w:r>
      <w:r w:rsidR="00276261" w:rsidRPr="0096338A">
        <w:t>van</w:t>
      </w:r>
      <w:r w:rsidRPr="0096338A">
        <w:t xml:space="preserve"> een huishouden. </w:t>
      </w:r>
      <w:r w:rsidRPr="0096338A">
        <w:rPr>
          <w:lang w:val="en-GB"/>
        </w:rPr>
        <w:t>Er was</w:t>
      </w:r>
      <w:r w:rsidR="00276261" w:rsidRPr="0096338A">
        <w:rPr>
          <w:lang w:val="en-GB"/>
        </w:rPr>
        <w:t xml:space="preserve"> sprake van</w:t>
      </w:r>
      <w:r w:rsidRPr="0096338A">
        <w:rPr>
          <w:lang w:val="en-GB"/>
        </w:rPr>
        <w:t xml:space="preserve"> een </w:t>
      </w:r>
      <w:r w:rsidR="00276261" w:rsidRPr="0096338A">
        <w:rPr>
          <w:lang w:val="en-GB"/>
        </w:rPr>
        <w:t>taak</w:t>
      </w:r>
      <w:r w:rsidRPr="0096338A">
        <w:rPr>
          <w:lang w:val="en-GB"/>
        </w:rPr>
        <w:t>verdeling, maar</w:t>
      </w:r>
      <w:r w:rsidR="00276261" w:rsidRPr="0096338A">
        <w:rPr>
          <w:lang w:val="en-GB"/>
        </w:rPr>
        <w:t>:</w:t>
      </w:r>
      <w:r w:rsidRPr="0096338A">
        <w:rPr>
          <w:lang w:val="en-GB"/>
        </w:rPr>
        <w:t xml:space="preserve"> “Because of </w:t>
      </w:r>
      <w:r w:rsidR="008827C9" w:rsidRPr="0096338A">
        <w:rPr>
          <w:lang w:val="en-GB"/>
        </w:rPr>
        <w:t>the central importance of this ‘household economy’</w:t>
      </w:r>
      <w:r w:rsidRPr="0096338A">
        <w:rPr>
          <w:lang w:val="en-GB"/>
        </w:rPr>
        <w:t>, women had to be incorporated into the gilds that regulated these economic activities.”</w:t>
      </w:r>
      <w:r w:rsidRPr="0096338A">
        <w:rPr>
          <w:rStyle w:val="Voetnootmarkering"/>
          <w:lang w:val="en-GB"/>
        </w:rPr>
        <w:footnoteReference w:id="42"/>
      </w:r>
      <w:r w:rsidRPr="0096338A">
        <w:rPr>
          <w:lang w:val="en-GB"/>
        </w:rPr>
        <w:t xml:space="preserve"> </w:t>
      </w:r>
      <w:r w:rsidRPr="0096338A">
        <w:t>Vrouwen behoorden dus eveneens tot de ambachte</w:t>
      </w:r>
      <w:r w:rsidR="00276261" w:rsidRPr="0096338A">
        <w:t xml:space="preserve">n, maar vaak in de rol van huisvrouw. De huisvrouw bekleedde echter niet per se een minderwaardige positie. </w:t>
      </w:r>
      <w:r w:rsidRPr="0096338A">
        <w:t>Een conflict</w:t>
      </w:r>
      <w:r w:rsidR="00276261" w:rsidRPr="0096338A">
        <w:t>, vermeld</w:t>
      </w:r>
      <w:r w:rsidRPr="0096338A">
        <w:t xml:space="preserve"> in de Leuvense ordonnanties</w:t>
      </w:r>
      <w:r w:rsidR="00276261" w:rsidRPr="0096338A">
        <w:t>,</w:t>
      </w:r>
      <w:r w:rsidRPr="0096338A">
        <w:t xml:space="preserve"> </w:t>
      </w:r>
      <w:r w:rsidR="00276261" w:rsidRPr="0096338A">
        <w:t>toont</w:t>
      </w:r>
      <w:r w:rsidRPr="0096338A">
        <w:t xml:space="preserve"> aan dat </w:t>
      </w:r>
      <w:r w:rsidRPr="0096338A">
        <w:lastRenderedPageBreak/>
        <w:t xml:space="preserve">ze eveneens iets te zeggen had in het huwelijk. Henrick Van Schove en Katelijne, zijn </w:t>
      </w:r>
      <w:r w:rsidR="00276261" w:rsidRPr="0096338A">
        <w:t>echtgenote</w:t>
      </w:r>
      <w:r w:rsidRPr="0096338A">
        <w:t xml:space="preserve">, komen in conflict nadat Henrick de voorwaarden voor het huwelijk niet nakwam. De stadsraad oordeelt: </w:t>
      </w:r>
    </w:p>
    <w:p w:rsidR="00616D79" w:rsidRPr="0096338A" w:rsidRDefault="00616D79" w:rsidP="00616D79">
      <w:pPr>
        <w:ind w:left="708"/>
        <w:rPr>
          <w:i/>
        </w:rPr>
      </w:pPr>
      <w:r w:rsidRPr="0096338A">
        <w:rPr>
          <w:i/>
        </w:rPr>
        <w:t>[…] en</w:t>
      </w:r>
      <w:r w:rsidR="003C26D2" w:rsidRPr="0096338A">
        <w:rPr>
          <w:i/>
        </w:rPr>
        <w:t>de</w:t>
      </w:r>
      <w:r w:rsidRPr="0096338A">
        <w:rPr>
          <w:i/>
        </w:rPr>
        <w:t xml:space="preserve"> elck soude den anderen doen alsoe hij sculdich ware van doene</w:t>
      </w:r>
      <w:r w:rsidR="006A2F70" w:rsidRPr="0096338A">
        <w:rPr>
          <w:i/>
        </w:rPr>
        <w:t>. E</w:t>
      </w:r>
      <w:r w:rsidRPr="0096338A">
        <w:rPr>
          <w:i/>
        </w:rPr>
        <w:t>nde dat de voirscreven Henrick huer niet meshandelen noch mesdoen en soude […]. Ende dat de voirscreven K</w:t>
      </w:r>
      <w:r w:rsidR="006A2F70" w:rsidRPr="0096338A">
        <w:rPr>
          <w:i/>
        </w:rPr>
        <w:t>atline sijn wijf hem weder</w:t>
      </w:r>
      <w:r w:rsidRPr="0096338A">
        <w:rPr>
          <w:i/>
        </w:rPr>
        <w:t>omme onderdanich</w:t>
      </w:r>
      <w:r w:rsidR="006A2F70" w:rsidRPr="0096338A">
        <w:rPr>
          <w:i/>
        </w:rPr>
        <w:t>, verdrachlic ende gedi</w:t>
      </w:r>
      <w:r w:rsidRPr="0096338A">
        <w:rPr>
          <w:i/>
        </w:rPr>
        <w:t>enstich we</w:t>
      </w:r>
      <w:r w:rsidR="006A2F70" w:rsidRPr="0096338A">
        <w:rPr>
          <w:i/>
        </w:rPr>
        <w:t>sen souden gelij</w:t>
      </w:r>
      <w:r w:rsidRPr="0096338A">
        <w:rPr>
          <w:i/>
        </w:rPr>
        <w:t>c alse een goet wijf horen man schuldich</w:t>
      </w:r>
      <w:r w:rsidR="006A2F70" w:rsidRPr="0096338A">
        <w:rPr>
          <w:i/>
        </w:rPr>
        <w:t xml:space="preserve"> es</w:t>
      </w:r>
      <w:r w:rsidRPr="0096338A">
        <w:rPr>
          <w:i/>
        </w:rPr>
        <w:t xml:space="preserve"> te wesen.</w:t>
      </w:r>
      <w:r w:rsidRPr="0096338A">
        <w:rPr>
          <w:rStyle w:val="Voetnootmarkering"/>
        </w:rPr>
        <w:footnoteReference w:id="43"/>
      </w:r>
    </w:p>
    <w:p w:rsidR="00616D79" w:rsidRPr="0096338A" w:rsidRDefault="00616D79" w:rsidP="00616D79">
      <w:r w:rsidRPr="0096338A">
        <w:t xml:space="preserve">Naast </w:t>
      </w:r>
      <w:r w:rsidR="00276261" w:rsidRPr="0096338A">
        <w:t>aanwijzingen over de correcte</w:t>
      </w:r>
      <w:r w:rsidRPr="0096338A">
        <w:t xml:space="preserve"> gedragingen van een getrouwd koppel, </w:t>
      </w:r>
      <w:r w:rsidR="00276261" w:rsidRPr="0096338A">
        <w:t>verstrekt</w:t>
      </w:r>
      <w:r w:rsidRPr="0096338A">
        <w:t xml:space="preserve"> de raad Henrick</w:t>
      </w:r>
      <w:r w:rsidR="00276261" w:rsidRPr="0096338A">
        <w:t xml:space="preserve"> ook het advies dat hij </w:t>
      </w:r>
      <w:r w:rsidRPr="0096338A">
        <w:t>al de beloftes moet nakomen die</w:t>
      </w:r>
      <w:r w:rsidR="00276261" w:rsidRPr="0096338A">
        <w:t xml:space="preserve"> hij zijn echtgenote</w:t>
      </w:r>
      <w:r w:rsidRPr="0096338A">
        <w:t xml:space="preserve"> eerder gedaan had. </w:t>
      </w:r>
      <w:r w:rsidR="00276261" w:rsidRPr="0096338A">
        <w:t xml:space="preserve">Daarenboven ontstond het conflict nadat Katline in een andere stad zelfstandig was beginnen ondernemen. </w:t>
      </w:r>
      <w:r w:rsidRPr="0096338A">
        <w:t xml:space="preserve">De vrouw had dus zeker </w:t>
      </w:r>
      <w:r w:rsidR="00276261" w:rsidRPr="0096338A">
        <w:t xml:space="preserve">invloed </w:t>
      </w:r>
      <w:r w:rsidRPr="0096338A">
        <w:t>op het huwelijk</w:t>
      </w:r>
      <w:r w:rsidR="00276261" w:rsidRPr="0096338A">
        <w:t>sleven</w:t>
      </w:r>
      <w:r w:rsidR="00B0293B" w:rsidRPr="0096338A">
        <w:t xml:space="preserve"> en een belangrijke economische positie hierin</w:t>
      </w:r>
      <w:r w:rsidRPr="0096338A">
        <w:t>. De ‘family production unit’ bestond in Leuven wel degelijk en opereerde in de ambachtenwereld</w:t>
      </w:r>
      <w:r w:rsidR="00276261" w:rsidRPr="0096338A">
        <w:t>; een thema voor</w:t>
      </w:r>
      <w:r w:rsidRPr="0096338A">
        <w:t xml:space="preserve"> het volgende hoofdstuk.</w:t>
      </w:r>
    </w:p>
    <w:p w:rsidR="00BE2EE9" w:rsidRDefault="00BE2EE9">
      <w:pPr>
        <w:spacing w:after="200" w:line="276" w:lineRule="auto"/>
        <w:jc w:val="left"/>
        <w:rPr>
          <w:rFonts w:eastAsiaTheme="majorEastAsia" w:cstheme="majorBidi"/>
          <w:b/>
          <w:bCs/>
          <w:sz w:val="28"/>
          <w:szCs w:val="28"/>
          <w:u w:val="single"/>
        </w:rPr>
      </w:pPr>
      <w:bookmarkStart w:id="4" w:name="_Toc449350932"/>
      <w:r>
        <w:br w:type="page"/>
      </w:r>
    </w:p>
    <w:p w:rsidR="00616D79" w:rsidRPr="0096338A" w:rsidRDefault="00616D79" w:rsidP="00616D79">
      <w:pPr>
        <w:pStyle w:val="Kop1"/>
      </w:pPr>
      <w:bookmarkStart w:id="5" w:name="_Toc452371439"/>
      <w:r w:rsidRPr="0096338A">
        <w:lastRenderedPageBreak/>
        <w:t>2. Gez</w:t>
      </w:r>
      <w:r w:rsidR="00EA12F5" w:rsidRPr="0096338A">
        <w:t>ellen</w:t>
      </w:r>
      <w:r w:rsidRPr="0096338A">
        <w:t xml:space="preserve"> en hun leefwereld: de werking van de ambachten in de vijftiende eeuw</w:t>
      </w:r>
      <w:bookmarkEnd w:id="4"/>
      <w:bookmarkEnd w:id="5"/>
    </w:p>
    <w:p w:rsidR="00616D79" w:rsidRPr="0096338A" w:rsidRDefault="00616D79" w:rsidP="00616D79">
      <w:pPr>
        <w:ind w:left="705"/>
      </w:pPr>
      <w:r w:rsidRPr="0096338A">
        <w:t>“In de loop van de veertiende eeuw hadden diverse beroepsorganisaties, ambachten of handwerkguld</w:t>
      </w:r>
      <w:r w:rsidR="00276261" w:rsidRPr="0096338A">
        <w:t>en een officieel statuut verworv</w:t>
      </w:r>
      <w:r w:rsidRPr="0096338A">
        <w:t>en.”</w:t>
      </w:r>
      <w:r w:rsidRPr="0096338A">
        <w:rPr>
          <w:rStyle w:val="Voetnootmarkering"/>
        </w:rPr>
        <w:footnoteReference w:id="44"/>
      </w:r>
    </w:p>
    <w:p w:rsidR="00616D79" w:rsidRPr="0096338A" w:rsidRDefault="009B771A" w:rsidP="00616D79">
      <w:r w:rsidRPr="0096338A">
        <w:t xml:space="preserve"> Een beschrijving van de oorsprong en prille evolutie van de ambachten valt buiten het bestek van deze studie.</w:t>
      </w:r>
      <w:r w:rsidR="00616D79" w:rsidRPr="0096338A">
        <w:t xml:space="preserve"> </w:t>
      </w:r>
      <w:r w:rsidRPr="0096338A">
        <w:t xml:space="preserve">Een feit is dat de </w:t>
      </w:r>
      <w:r w:rsidR="00616D79" w:rsidRPr="0096338A">
        <w:t xml:space="preserve">ambachtenwereld </w:t>
      </w:r>
      <w:r w:rsidR="00370779" w:rsidRPr="0096338A">
        <w:t xml:space="preserve">een </w:t>
      </w:r>
      <w:r w:rsidR="00616D79" w:rsidRPr="0096338A">
        <w:t xml:space="preserve">zeer </w:t>
      </w:r>
      <w:r w:rsidR="00370779" w:rsidRPr="0096338A">
        <w:t>belangrijke plaats innam</w:t>
      </w:r>
      <w:r w:rsidR="00616D79" w:rsidRPr="0096338A">
        <w:t xml:space="preserve"> in het middeleeuwse stadsleven en </w:t>
      </w:r>
      <w:r w:rsidR="00370779" w:rsidRPr="0096338A">
        <w:t>daarom</w:t>
      </w:r>
      <w:r w:rsidR="00616D79" w:rsidRPr="0096338A">
        <w:t xml:space="preserve"> </w:t>
      </w:r>
      <w:r w:rsidR="00370779" w:rsidRPr="0096338A">
        <w:t xml:space="preserve">enige toelichting verdient. </w:t>
      </w:r>
      <w:r w:rsidR="00616D79" w:rsidRPr="0096338A">
        <w:t xml:space="preserve">Hoewel de ambachten </w:t>
      </w:r>
      <w:r w:rsidRPr="0096338A">
        <w:t xml:space="preserve">volgens Joosen Verhavert </w:t>
      </w:r>
      <w:r w:rsidR="00616D79" w:rsidRPr="0096338A">
        <w:t xml:space="preserve">uit een louter caritatieve onderneming begonnen, verkregen ze in de loop van de veertiende eeuw </w:t>
      </w:r>
      <w:r w:rsidR="00B0293B" w:rsidRPr="0096338A">
        <w:t xml:space="preserve">een </w:t>
      </w:r>
      <w:r w:rsidR="00616D79" w:rsidRPr="0096338A">
        <w:t>politieke inspraak die in Leuven niet gering was.</w:t>
      </w:r>
      <w:r w:rsidR="00170BC6" w:rsidRPr="0096338A">
        <w:t xml:space="preserve"> Tussen 1400 en 1450 verwierven ongeveer twintig ambachten </w:t>
      </w:r>
      <w:r w:rsidR="00B0293B" w:rsidRPr="0096338A">
        <w:t xml:space="preserve">neergeschreven </w:t>
      </w:r>
      <w:r w:rsidR="00616D79" w:rsidRPr="0096338A">
        <w:t>statuten</w:t>
      </w:r>
      <w:r w:rsidR="00170BC6" w:rsidRPr="0096338A">
        <w:t xml:space="preserve"> die de organisatie van de corporaties bepaalden</w:t>
      </w:r>
      <w:r w:rsidR="00616D79" w:rsidRPr="0096338A">
        <w:t>.</w:t>
      </w:r>
      <w:r w:rsidR="00616D79" w:rsidRPr="0096338A">
        <w:rPr>
          <w:rStyle w:val="Voetnootmarkering"/>
        </w:rPr>
        <w:footnoteReference w:id="45"/>
      </w:r>
      <w:r w:rsidR="00616D79" w:rsidRPr="0096338A">
        <w:t xml:space="preserve"> Een ordonnantie met betrekking tot de Ommegangen, een jaarlijkse processie van onder andere de ambachten, toont echter dat er meer ambachten waren, maar dat ze niet allemaal een afzonderlijk statuut hadden.</w:t>
      </w:r>
      <w:r w:rsidR="00616D79" w:rsidRPr="0096338A">
        <w:rPr>
          <w:rStyle w:val="Voetnootmarkering"/>
        </w:rPr>
        <w:footnoteReference w:id="46"/>
      </w:r>
      <w:r w:rsidR="00616D79" w:rsidRPr="0096338A">
        <w:t xml:space="preserve"> De mandenmakers, hoveniers en fruiteniers verkregen bijvoorbeeld eenzelfde ambachtenstatuut.</w:t>
      </w:r>
      <w:r w:rsidR="00616D79" w:rsidRPr="0096338A">
        <w:rPr>
          <w:rStyle w:val="Voetnootmarkering"/>
        </w:rPr>
        <w:footnoteReference w:id="47"/>
      </w:r>
      <w:r w:rsidR="00616D79" w:rsidRPr="0096338A">
        <w:t xml:space="preserve"> Hoe dan ook beschikten de Leuvense ambachten over een grote hoeveelheid economische en politieke drukkingsmiddelen, waardoor hun inspraak groot was.</w:t>
      </w:r>
      <w:r w:rsidR="00616D79" w:rsidRPr="0096338A">
        <w:rPr>
          <w:rStyle w:val="Voetnootmarkering"/>
        </w:rPr>
        <w:footnoteReference w:id="48"/>
      </w:r>
      <w:r w:rsidR="00616D79" w:rsidRPr="0096338A">
        <w:t xml:space="preserve"> Dit is ook te zien in de eerder genoemde samenstelling van de stadsraad, die bijna voor de helft uit ambachtslieden bestond. </w:t>
      </w:r>
    </w:p>
    <w:p w:rsidR="00B0293B" w:rsidRPr="0096338A" w:rsidRDefault="00616D79" w:rsidP="00616D79">
      <w:r w:rsidRPr="0096338A">
        <w:tab/>
        <w:t xml:space="preserve">De corporaties bestonden echter niet uit </w:t>
      </w:r>
      <w:r w:rsidR="00170BC6" w:rsidRPr="0096338A">
        <w:t>een éénvormige</w:t>
      </w:r>
      <w:r w:rsidRPr="0096338A">
        <w:t xml:space="preserve"> sociale groep. De groep </w:t>
      </w:r>
      <w:r w:rsidR="00170BC6" w:rsidRPr="0096338A">
        <w:t>bestond met name</w:t>
      </w:r>
      <w:r w:rsidRPr="0096338A">
        <w:t xml:space="preserve"> uit ambachtsmeesters als meest gegoede leden, die een werkplaats hadden waarbinnen voornamelijk leerjongens (en -meisjes), gezellen en de echtgenote werkte.</w:t>
      </w:r>
      <w:r w:rsidRPr="0096338A">
        <w:rPr>
          <w:rStyle w:val="Voetnootmarkering"/>
        </w:rPr>
        <w:footnoteReference w:id="49"/>
      </w:r>
      <w:r w:rsidRPr="0096338A">
        <w:t xml:space="preserve"> Wanneer de leertijd van een leerjongen of –meisje volbracht was, werd deze een gezel binnen het ambacht. In theorie volgde </w:t>
      </w:r>
      <w:r w:rsidR="00170BC6" w:rsidRPr="0096338A">
        <w:t xml:space="preserve">dan </w:t>
      </w:r>
      <w:r w:rsidRPr="0096338A">
        <w:t>na het vervaardigen van een meesterstuk</w:t>
      </w:r>
      <w:r w:rsidR="00170BC6" w:rsidRPr="0096338A">
        <w:t xml:space="preserve"> </w:t>
      </w:r>
      <w:r w:rsidRPr="0096338A">
        <w:t>het meesterschap. Hiervoor was echter een zekere financiële welstand nodig, waardoor de gezellen vaak het meesterschap nooit of pas laat bekwamen.</w:t>
      </w:r>
      <w:r w:rsidRPr="0096338A">
        <w:rPr>
          <w:rStyle w:val="Voetnootmarkering"/>
        </w:rPr>
        <w:footnoteReference w:id="50"/>
      </w:r>
      <w:r w:rsidRPr="0096338A">
        <w:t xml:space="preserve"> Op die manier vormden de ambachten, zoals Hutton stelt, een verticale structuur van een lage, midden en hoge stand. Een ambachtselite, </w:t>
      </w:r>
      <w:r w:rsidRPr="0096338A">
        <w:lastRenderedPageBreak/>
        <w:t>die als dekens konden worden verkozen en in de stadsraad konden zetelen, stond binnen die structuur bovenaan.</w:t>
      </w:r>
      <w:r w:rsidRPr="0096338A">
        <w:rPr>
          <w:rStyle w:val="Voetnootmarkering"/>
        </w:rPr>
        <w:footnoteReference w:id="51"/>
      </w:r>
      <w:r w:rsidRPr="0096338A">
        <w:t xml:space="preserve"> Hoewel de macht van de Leuvense ambacht</w:t>
      </w:r>
      <w:r w:rsidR="00170BC6" w:rsidRPr="0096338A">
        <w:t xml:space="preserve">en volgens Van Uytven </w:t>
      </w:r>
      <w:r w:rsidRPr="0096338A">
        <w:t>voornamelijk bij de rijksten lag, bestond er eveneens een algemene vergadering, waar</w:t>
      </w:r>
      <w:r w:rsidR="00170BC6" w:rsidRPr="0096338A">
        <w:t>aan</w:t>
      </w:r>
      <w:r w:rsidRPr="0096338A">
        <w:t xml:space="preserve">, mits enkele voorwaarden, </w:t>
      </w:r>
      <w:r w:rsidR="00170BC6" w:rsidRPr="0096338A">
        <w:t>iedereen</w:t>
      </w:r>
      <w:r w:rsidRPr="0096338A">
        <w:t xml:space="preserve"> kon deelnemen. Verhavert stelt </w:t>
      </w:r>
      <w:r w:rsidR="00170BC6" w:rsidRPr="0096338A">
        <w:t>dat ook</w:t>
      </w:r>
      <w:r w:rsidRPr="0096338A">
        <w:t xml:space="preserve"> vrouwen konden deelnemen aan die vergadering.</w:t>
      </w:r>
      <w:r w:rsidRPr="0096338A">
        <w:rPr>
          <w:rStyle w:val="Voetnootmarkering"/>
        </w:rPr>
        <w:footnoteReference w:id="52"/>
      </w:r>
      <w:r w:rsidRPr="0096338A">
        <w:t xml:space="preserve"> Ondanks de mogelijk</w:t>
      </w:r>
      <w:r w:rsidR="003C6F1B" w:rsidRPr="0096338A">
        <w:t>s</w:t>
      </w:r>
      <w:r w:rsidRPr="0096338A">
        <w:t xml:space="preserve"> interessante onderzoekspiste die zijn weinig beklemtoonde uitspraak oproept, laten de gebruikte bronnen echter niet toe dit verder uit te werk</w:t>
      </w:r>
      <w:r w:rsidR="00170BC6" w:rsidRPr="0096338A">
        <w:t xml:space="preserve">en. </w:t>
      </w:r>
    </w:p>
    <w:p w:rsidR="00616D79" w:rsidRPr="0096338A" w:rsidRDefault="00170BC6" w:rsidP="00B0293B">
      <w:pPr>
        <w:ind w:firstLine="708"/>
      </w:pPr>
      <w:r w:rsidRPr="0096338A">
        <w:t xml:space="preserve">De toelating tot lidmaatschap werd niet noodzakelijk beperkt tot één ambacht. </w:t>
      </w:r>
      <w:r w:rsidR="00616D79" w:rsidRPr="0096338A">
        <w:t xml:space="preserve">Verhavert stelde reeds dat het in Leuven mogelijk was lid te zijn van meerdere ambachten, hoewel de gezel één ambacht </w:t>
      </w:r>
      <w:r w:rsidRPr="0096338A">
        <w:t xml:space="preserve">als het </w:t>
      </w:r>
      <w:r w:rsidR="00616D79" w:rsidRPr="0096338A">
        <w:t xml:space="preserve">belangrijkste moest opgeven. Hutton argumenteert dat </w:t>
      </w:r>
      <w:r w:rsidRPr="0096338A">
        <w:t xml:space="preserve">historici </w:t>
      </w:r>
      <w:r w:rsidR="00616D79" w:rsidRPr="0096338A">
        <w:t xml:space="preserve">het dubbel lidmaatschap van vrouwen lang als teken van marginalisatie </w:t>
      </w:r>
      <w:r w:rsidRPr="0096338A">
        <w:t>opvatten</w:t>
      </w:r>
      <w:r w:rsidR="00616D79" w:rsidRPr="0096338A">
        <w:t xml:space="preserve">, maar dat deze stelling herziening vereist. De middeleeuwse samenleving zou </w:t>
      </w:r>
      <w:r w:rsidRPr="0096338A">
        <w:t xml:space="preserve">op dit punt meer flexibiliteit vertoond hebben en de uitoefening van meerdere beroepen zou </w:t>
      </w:r>
      <w:r w:rsidR="00616D79" w:rsidRPr="0096338A">
        <w:t>veel voorkomend zijn geweest</w:t>
      </w:r>
      <w:r w:rsidR="00541973" w:rsidRPr="0096338A">
        <w:t xml:space="preserve"> in alle ambachtsgroeperingen</w:t>
      </w:r>
      <w:r w:rsidRPr="0096338A">
        <w:t>.</w:t>
      </w:r>
      <w:r w:rsidR="00616D79" w:rsidRPr="0096338A">
        <w:rPr>
          <w:rStyle w:val="Voetnootmarkering"/>
        </w:rPr>
        <w:footnoteReference w:id="53"/>
      </w:r>
      <w:r w:rsidR="00616D79" w:rsidRPr="0096338A">
        <w:t xml:space="preserve"> De Leuvense ordonnanties bevatten eveneens</w:t>
      </w:r>
      <w:r w:rsidRPr="0096338A">
        <w:t xml:space="preserve"> aanwijzingen voor het bestaan van het fenomeen van </w:t>
      </w:r>
      <w:r w:rsidR="00616D79" w:rsidRPr="0096338A">
        <w:t>dubbel lidmaatschap.</w:t>
      </w:r>
    </w:p>
    <w:p w:rsidR="00616D79" w:rsidRPr="0096338A" w:rsidRDefault="00616D79" w:rsidP="00616D79">
      <w:pPr>
        <w:ind w:left="708"/>
      </w:pPr>
      <w:r w:rsidRPr="0096338A">
        <w:rPr>
          <w:i/>
        </w:rPr>
        <w:t>[…] deghene die zijn int barbiers ambacht ende ts</w:t>
      </w:r>
      <w:r w:rsidR="006A2F70" w:rsidRPr="0096338A">
        <w:rPr>
          <w:i/>
        </w:rPr>
        <w:t>elve doen oft hun daermede ghen</w:t>
      </w:r>
      <w:r w:rsidRPr="0096338A">
        <w:rPr>
          <w:i/>
        </w:rPr>
        <w:t xml:space="preserve">eren de welcke int voirscreven vleeschouwers ambachte </w:t>
      </w:r>
      <w:r w:rsidR="006A2F70" w:rsidRPr="0096338A">
        <w:rPr>
          <w:i/>
        </w:rPr>
        <w:t>egheenssin</w:t>
      </w:r>
      <w:r w:rsidRPr="0096338A">
        <w:rPr>
          <w:i/>
        </w:rPr>
        <w:t>ts en sullen moegen ontfangen wor</w:t>
      </w:r>
      <w:r w:rsidR="006A2F70" w:rsidRPr="0096338A">
        <w:rPr>
          <w:i/>
        </w:rPr>
        <w:t>d</w:t>
      </w:r>
      <w:r w:rsidRPr="0096338A">
        <w:rPr>
          <w:i/>
        </w:rPr>
        <w:t>den […]</w:t>
      </w:r>
      <w:r w:rsidRPr="0096338A">
        <w:t>.</w:t>
      </w:r>
      <w:r w:rsidRPr="0096338A">
        <w:rPr>
          <w:rStyle w:val="Voetnootmarkering"/>
        </w:rPr>
        <w:footnoteReference w:id="54"/>
      </w:r>
    </w:p>
    <w:p w:rsidR="00170BC6" w:rsidRPr="0096338A" w:rsidRDefault="00616D79" w:rsidP="00616D79">
      <w:r w:rsidRPr="0096338A">
        <w:t xml:space="preserve">De stadsraad poogt in deze ordonnantie het dubbel lidmaatschap bij het barbiers- en slagersambacht te belemmeren. De aanwezigheid van zulke beslissingen toont echter dat </w:t>
      </w:r>
      <w:r w:rsidR="00170BC6" w:rsidRPr="0096338A">
        <w:t xml:space="preserve">deze </w:t>
      </w:r>
      <w:r w:rsidRPr="0096338A">
        <w:t xml:space="preserve">praktijk wel degelijk </w:t>
      </w:r>
      <w:r w:rsidR="00AB5D84" w:rsidRPr="0096338A">
        <w:t>voorkwam</w:t>
      </w:r>
      <w:r w:rsidR="00170BC6" w:rsidRPr="0096338A">
        <w:t>.</w:t>
      </w:r>
    </w:p>
    <w:p w:rsidR="00616D79" w:rsidRPr="0096338A" w:rsidRDefault="00616D79" w:rsidP="00616D79">
      <w:r w:rsidRPr="0096338A">
        <w:tab/>
        <w:t xml:space="preserve">Naast </w:t>
      </w:r>
      <w:r w:rsidR="00170BC6" w:rsidRPr="0096338A">
        <w:t>een</w:t>
      </w:r>
      <w:r w:rsidRPr="0096338A">
        <w:t xml:space="preserve"> belangrijk economisch </w:t>
      </w:r>
      <w:r w:rsidR="00170BC6" w:rsidRPr="0096338A">
        <w:t>oogmerk</w:t>
      </w:r>
      <w:r w:rsidRPr="0096338A">
        <w:t>, hadden de Leuvense ambachten doorheen de vijftiende eeuw eveneens instituties met caritatieve doeleinden. “Ambachtslui die in de problemen geraakten, konden eventueel ook een beroep doen op de ziekenkas of ‘armenbus’ van hun ambacht.”</w:t>
      </w:r>
      <w:r w:rsidRPr="0096338A">
        <w:rPr>
          <w:rStyle w:val="Voetnootmarkering"/>
        </w:rPr>
        <w:footnoteReference w:id="55"/>
      </w:r>
      <w:r w:rsidRPr="0096338A">
        <w:t xml:space="preserve"> Die ziekenkas, in de ordonnanties als </w:t>
      </w:r>
      <w:r w:rsidRPr="0096338A">
        <w:rPr>
          <w:i/>
        </w:rPr>
        <w:t>goetdoen</w:t>
      </w:r>
      <w:r w:rsidRPr="0096338A">
        <w:t xml:space="preserve"> benoemd, hielp volgens Van Houtte de zieke ambachtsleden, hun weduwen en </w:t>
      </w:r>
      <w:r w:rsidR="00AB5D84" w:rsidRPr="0096338A">
        <w:t xml:space="preserve">de </w:t>
      </w:r>
      <w:r w:rsidRPr="0096338A">
        <w:t>wezen.</w:t>
      </w:r>
      <w:r w:rsidRPr="0096338A">
        <w:rPr>
          <w:rStyle w:val="Voetnootmarkering"/>
        </w:rPr>
        <w:footnoteReference w:id="56"/>
      </w:r>
      <w:r w:rsidRPr="0096338A">
        <w:t xml:space="preserve"> Dit onderzoek toont later aan dat het lidmaatschap van de ambachten in Leuven</w:t>
      </w:r>
      <w:r w:rsidR="00170BC6" w:rsidRPr="0096338A">
        <w:t xml:space="preserve"> verregaande consequenties kon hebben</w:t>
      </w:r>
      <w:r w:rsidRPr="0096338A">
        <w:t>.</w:t>
      </w:r>
      <w:r w:rsidR="00170BC6" w:rsidRPr="0096338A">
        <w:t xml:space="preserve"> </w:t>
      </w:r>
      <w:r w:rsidRPr="0096338A">
        <w:t xml:space="preserve">De caritatieve functie van het ambacht liet namelijk toe dat onder meer huisvrouwen eveneens </w:t>
      </w:r>
      <w:r w:rsidRPr="0096338A">
        <w:lastRenderedPageBreak/>
        <w:t>in de corporatie zaten. Wijffels onderscheidt</w:t>
      </w:r>
      <w:r w:rsidR="00170BC6" w:rsidRPr="0096338A">
        <w:t xml:space="preserve"> </w:t>
      </w:r>
      <w:r w:rsidR="00AB5D84" w:rsidRPr="0096338A">
        <w:t>deze</w:t>
      </w:r>
      <w:r w:rsidR="00170BC6" w:rsidRPr="0096338A">
        <w:t xml:space="preserve"> </w:t>
      </w:r>
      <w:r w:rsidRPr="0096338A">
        <w:t>ambachtsbroederschappen</w:t>
      </w:r>
      <w:r w:rsidR="00AB5D84" w:rsidRPr="0096338A">
        <w:t xml:space="preserve"> met een louter caritatieve functie van de economische ambachtsgroepen</w:t>
      </w:r>
      <w:r w:rsidRPr="0096338A">
        <w:t>.</w:t>
      </w:r>
      <w:r w:rsidRPr="0096338A">
        <w:rPr>
          <w:rStyle w:val="Voetnootmarkering"/>
        </w:rPr>
        <w:footnoteReference w:id="57"/>
      </w:r>
      <w:r w:rsidRPr="0096338A">
        <w:t xml:space="preserve"> De Leuvense stadsordonnanties </w:t>
      </w:r>
      <w:r w:rsidR="00170BC6" w:rsidRPr="0096338A">
        <w:t>bieden</w:t>
      </w:r>
      <w:r w:rsidRPr="0096338A">
        <w:t xml:space="preserve"> echter geen duidelijk</w:t>
      </w:r>
      <w:r w:rsidR="00DB2459" w:rsidRPr="0096338A">
        <w:t>e evidentie voor een</w:t>
      </w:r>
      <w:r w:rsidR="009C127D" w:rsidRPr="0096338A">
        <w:t xml:space="preserve"> onderscheid tussen</w:t>
      </w:r>
      <w:r w:rsidRPr="0096338A">
        <w:t xml:space="preserve"> twee organisaties</w:t>
      </w:r>
      <w:r w:rsidR="00DB2459" w:rsidRPr="0096338A">
        <w:t xml:space="preserve"> met elk een eigen functie</w:t>
      </w:r>
      <w:r w:rsidR="00642184" w:rsidRPr="0096338A">
        <w:t>.</w:t>
      </w:r>
      <w:r w:rsidR="00170BC6" w:rsidRPr="0096338A">
        <w:t xml:space="preserve"> D</w:t>
      </w:r>
      <w:r w:rsidRPr="0096338A">
        <w:t>it onderzoek behandelt</w:t>
      </w:r>
      <w:r w:rsidR="00170BC6" w:rsidRPr="0096338A">
        <w:t xml:space="preserve"> </w:t>
      </w:r>
      <w:r w:rsidR="00642184" w:rsidRPr="0096338A">
        <w:t>de caritatieve en de economische aspecten dan ook</w:t>
      </w:r>
      <w:r w:rsidR="00170BC6" w:rsidRPr="0096338A">
        <w:t xml:space="preserve"> als gemeenschappelijke doelen van een ambachtelijke organisatie. Hoe dan </w:t>
      </w:r>
      <w:r w:rsidRPr="0096338A">
        <w:t xml:space="preserve">hielp het ambacht leden in moeilijkheden, al was dit volgens Van Uytven </w:t>
      </w:r>
      <w:r w:rsidR="00170BC6" w:rsidRPr="0096338A">
        <w:t>begrensd</w:t>
      </w:r>
      <w:r w:rsidRPr="0096338A">
        <w:t xml:space="preserve"> door de beperkte financiële draagkracht van de armenbussen.</w:t>
      </w:r>
      <w:r w:rsidRPr="0096338A">
        <w:rPr>
          <w:rStyle w:val="Voetnootmarkering"/>
        </w:rPr>
        <w:footnoteReference w:id="58"/>
      </w:r>
    </w:p>
    <w:p w:rsidR="0096338A" w:rsidRPr="0096338A" w:rsidRDefault="00616D79" w:rsidP="0096338A">
      <w:r w:rsidRPr="0096338A">
        <w:tab/>
        <w:t>Ondanks de beperking in steun die de ambachten aan hun leden konden aanbieden, was de impact van de organisaties niet gering. De ambachten keken namelijk niet louter toe op hun interne werking, ze reguleerden eveneens het hele stadsleven</w:t>
      </w:r>
      <w:r w:rsidR="004B0A00">
        <w:t xml:space="preserve"> mee</w:t>
      </w:r>
      <w:bookmarkStart w:id="6" w:name="_GoBack"/>
      <w:bookmarkEnd w:id="6"/>
      <w:r w:rsidRPr="0096338A">
        <w:t>. Via rekesten die ze bij de stadsraad indienden en hun eigen participatie in die raad zorgden ze mee voor het ‘bien commun’, het gemeen goed, van de stad.</w:t>
      </w:r>
      <w:r w:rsidRPr="0096338A">
        <w:rPr>
          <w:rStyle w:val="Voetnootmarkering"/>
        </w:rPr>
        <w:footnoteReference w:id="59"/>
      </w:r>
      <w:r w:rsidRPr="0096338A">
        <w:t xml:space="preserve"> Hoewel ze hierbij voornamelijk hun eigen belang nastreefden, hoorde ongeveer tachtig procent van de hele stadsbevolking volgens Van Uytven</w:t>
      </w:r>
      <w:r w:rsidR="001E2ADC" w:rsidRPr="0096338A">
        <w:t xml:space="preserve"> tot de ambachtelijke kringen.</w:t>
      </w:r>
      <w:r w:rsidRPr="0096338A">
        <w:rPr>
          <w:rStyle w:val="Voetnootmarkering"/>
        </w:rPr>
        <w:footnoteReference w:id="60"/>
      </w:r>
      <w:r w:rsidRPr="0096338A">
        <w:t xml:space="preserve"> </w:t>
      </w:r>
      <w:r w:rsidR="00AB5D84" w:rsidRPr="0096338A">
        <w:t xml:space="preserve">Het merendeel van de inwoners van Leuven kreeg dus vertegenwoordiging in de stadsraad. </w:t>
      </w:r>
      <w:r w:rsidRPr="0096338A">
        <w:t xml:space="preserve">De vertegenwoordigers van de ambachten waren echter mannen die uit de elite van de corporatie kwamen. De vrouw </w:t>
      </w:r>
      <w:r w:rsidR="00AB5D84" w:rsidRPr="0096338A">
        <w:t xml:space="preserve">en de minder gegoede leden van </w:t>
      </w:r>
      <w:r w:rsidRPr="0096338A">
        <w:t>het ambachtswezen had</w:t>
      </w:r>
      <w:r w:rsidR="00AB5D84" w:rsidRPr="0096338A">
        <w:t>den</w:t>
      </w:r>
      <w:r w:rsidRPr="0096338A">
        <w:t xml:space="preserve"> dus geen rechtstreekse baat bij de politieke rechten die de groep in de veertiende eeuw verkregen had. Toch lijkt het</w:t>
      </w:r>
      <w:r w:rsidR="001E2ADC" w:rsidRPr="0096338A">
        <w:t xml:space="preserve"> erop</w:t>
      </w:r>
      <w:r w:rsidRPr="0096338A">
        <w:t xml:space="preserve"> dat de vrouw </w:t>
      </w:r>
      <w:r w:rsidR="00AB5D84" w:rsidRPr="0096338A">
        <w:t>veel aanwezig</w:t>
      </w:r>
      <w:r w:rsidRPr="0096338A">
        <w:t xml:space="preserve"> was in de Leuvense beroepswereld. Een volgend hoofdstuk onderzoekt de mate van toegang die vrouwen</w:t>
      </w:r>
      <w:r w:rsidR="001E2ADC" w:rsidRPr="0096338A">
        <w:t xml:space="preserve"> tot het ambacht hadden en</w:t>
      </w:r>
      <w:r w:rsidRPr="0096338A">
        <w:t xml:space="preserve"> hoe de familiale status die toegang beïnvloedde.</w:t>
      </w:r>
    </w:p>
    <w:p w:rsidR="00BE2EE9" w:rsidRDefault="00BE2EE9">
      <w:pPr>
        <w:spacing w:after="200" w:line="276" w:lineRule="auto"/>
        <w:jc w:val="left"/>
        <w:rPr>
          <w:rFonts w:eastAsiaTheme="majorEastAsia" w:cstheme="majorBidi"/>
          <w:b/>
          <w:bCs/>
          <w:sz w:val="28"/>
          <w:szCs w:val="32"/>
          <w:u w:val="single"/>
        </w:rPr>
      </w:pPr>
      <w:r>
        <w:rPr>
          <w:szCs w:val="32"/>
        </w:rPr>
        <w:br w:type="page"/>
      </w:r>
    </w:p>
    <w:p w:rsidR="001E639F" w:rsidRPr="0096338A" w:rsidRDefault="001E639F" w:rsidP="0096338A">
      <w:pPr>
        <w:pStyle w:val="Kop1"/>
        <w:spacing w:line="240" w:lineRule="auto"/>
        <w:rPr>
          <w:szCs w:val="32"/>
        </w:rPr>
      </w:pPr>
      <w:bookmarkStart w:id="7" w:name="_Toc452371440"/>
      <w:r w:rsidRPr="0096338A">
        <w:rPr>
          <w:szCs w:val="32"/>
        </w:rPr>
        <w:lastRenderedPageBreak/>
        <w:t xml:space="preserve">3. </w:t>
      </w:r>
      <w:r w:rsidR="00EA12F5" w:rsidRPr="0096338A">
        <w:rPr>
          <w:szCs w:val="32"/>
        </w:rPr>
        <w:t>Vrouwen en de ambachtenwereld</w:t>
      </w:r>
      <w:bookmarkEnd w:id="7"/>
    </w:p>
    <w:p w:rsidR="001E639F" w:rsidRPr="0096338A" w:rsidRDefault="001E639F" w:rsidP="0096338A">
      <w:pPr>
        <w:pStyle w:val="Kop2"/>
        <w:spacing w:line="360" w:lineRule="auto"/>
        <w:rPr>
          <w:szCs w:val="24"/>
        </w:rPr>
      </w:pPr>
      <w:bookmarkStart w:id="8" w:name="_Toc452371441"/>
      <w:r w:rsidRPr="0096338A">
        <w:rPr>
          <w:szCs w:val="24"/>
        </w:rPr>
        <w:t xml:space="preserve">3.1 </w:t>
      </w:r>
      <w:r w:rsidR="00EA12F5" w:rsidRPr="0096338A">
        <w:rPr>
          <w:szCs w:val="24"/>
        </w:rPr>
        <w:t>Het statuut van de vrouw in de late middeleeuwen</w:t>
      </w:r>
      <w:bookmarkEnd w:id="8"/>
    </w:p>
    <w:p w:rsidR="000F377E" w:rsidRPr="0096338A" w:rsidRDefault="000F377E" w:rsidP="000F377E">
      <w:r w:rsidRPr="0096338A">
        <w:t xml:space="preserve">Vooraleer deze scriptie verder ingaat op </w:t>
      </w:r>
      <w:r w:rsidR="00AB5D84" w:rsidRPr="0096338A">
        <w:t>een kernvraag</w:t>
      </w:r>
      <w:r w:rsidRPr="0096338A">
        <w:t xml:space="preserve"> van het onderzoek, namelijk de positie van de vrouw in het ambachtswezen, is het aangewezen haar rol in</w:t>
      </w:r>
      <w:r w:rsidR="001E2ADC" w:rsidRPr="0096338A">
        <w:t xml:space="preserve"> het</w:t>
      </w:r>
      <w:r w:rsidRPr="0096338A">
        <w:t xml:space="preserve"> laatmiddeleeuws</w:t>
      </w:r>
      <w:r w:rsidR="001E2ADC" w:rsidRPr="0096338A">
        <w:t>e</w:t>
      </w:r>
      <w:r w:rsidRPr="0096338A">
        <w:t xml:space="preserve"> Leuven in het algemeen te schetsen. Daarnaast </w:t>
      </w:r>
      <w:r w:rsidR="001E2ADC" w:rsidRPr="0096338A">
        <w:t>volgt</w:t>
      </w:r>
      <w:r w:rsidRPr="0096338A">
        <w:t xml:space="preserve"> in </w:t>
      </w:r>
      <w:r w:rsidR="001E2ADC" w:rsidRPr="0096338A">
        <w:t xml:space="preserve">deze paragraaf </w:t>
      </w:r>
      <w:r w:rsidRPr="0096338A">
        <w:t xml:space="preserve">een korte vergelijking met andere locaties om de gang van zaken in Leuven te kunnen plaatsen binnen een breder kader. Dit alles is belangrijk om vervolgens de wetgeving binnen specifiek de ambachten te kunnen verklaren en verschillen met andere steden te duiden. </w:t>
      </w:r>
    </w:p>
    <w:p w:rsidR="000F377E" w:rsidRPr="0096338A" w:rsidRDefault="000F377E" w:rsidP="000F377E">
      <w:pPr>
        <w:ind w:firstLine="708"/>
      </w:pPr>
      <w:r w:rsidRPr="0096338A">
        <w:t xml:space="preserve">Hoewel in een eerder hoofdstuk de Leuvense economie reeds als </w:t>
      </w:r>
      <w:r w:rsidR="00AB5D84" w:rsidRPr="0096338A">
        <w:t>‘</w:t>
      </w:r>
      <w:r w:rsidRPr="0096338A">
        <w:t>family production unit</w:t>
      </w:r>
      <w:r w:rsidR="00AB5D84" w:rsidRPr="0096338A">
        <w:t>’</w:t>
      </w:r>
      <w:r w:rsidRPr="0096338A">
        <w:t xml:space="preserve"> </w:t>
      </w:r>
      <w:r w:rsidR="0076225E" w:rsidRPr="0096338A">
        <w:t>toegelicht</w:t>
      </w:r>
      <w:r w:rsidRPr="0096338A">
        <w:t xml:space="preserve"> werd, is de oorzaak die ten gronde ligt aan de vrijheid van de vrouw hierdoor nog niet verduidelijkt. Een eerste oorzaak is de economische noodzaak</w:t>
      </w:r>
      <w:r w:rsidR="0076225E" w:rsidRPr="0096338A">
        <w:t xml:space="preserve"> die maakte </w:t>
      </w:r>
      <w:r w:rsidRPr="0096338A">
        <w:t>dat de vrouw</w:t>
      </w:r>
      <w:r w:rsidR="0076225E" w:rsidRPr="0096338A">
        <w:t xml:space="preserve"> </w:t>
      </w:r>
      <w:r w:rsidR="00AB5D84" w:rsidRPr="0096338A">
        <w:t>werk buiten het huishouden uitvoerde</w:t>
      </w:r>
      <w:r w:rsidRPr="0096338A">
        <w:t>.</w:t>
      </w:r>
      <w:r w:rsidR="0076225E" w:rsidRPr="0096338A">
        <w:rPr>
          <w:rStyle w:val="Voetnootmarkering"/>
        </w:rPr>
        <w:footnoteReference w:id="61"/>
      </w:r>
      <w:r w:rsidRPr="0096338A">
        <w:t xml:space="preserve"> Dit verklaart natuurlijk</w:t>
      </w:r>
      <w:r w:rsidR="0076225E" w:rsidRPr="0096338A">
        <w:t xml:space="preserve"> de meer vrije posities van sommige vrouwen niet. Overal in Europa hielpen vrouwen in de economische kant van het huishouden. De steden in de Lage Landen hebben dus een andere verklaringsfactor die maakt dat vrouwen een werkelijk reële vrijheid hadden. </w:t>
      </w:r>
      <w:r w:rsidRPr="0096338A">
        <w:t xml:space="preserve">Volgens onder andere Hutton </w:t>
      </w:r>
      <w:r w:rsidR="0076225E" w:rsidRPr="0096338A">
        <w:t>ligt de</w:t>
      </w:r>
      <w:r w:rsidRPr="0096338A">
        <w:t xml:space="preserve"> verklaring in het devolutierecht</w:t>
      </w:r>
      <w:r w:rsidR="00AB5D84" w:rsidRPr="0096338A">
        <w:t xml:space="preserve"> dat in de Nederlanden gold</w:t>
      </w:r>
      <w:r w:rsidRPr="0096338A">
        <w:t xml:space="preserve">. Bij het </w:t>
      </w:r>
      <w:r w:rsidR="0076225E" w:rsidRPr="0096338A">
        <w:t>overlijden</w:t>
      </w:r>
      <w:r w:rsidRPr="0096338A">
        <w:t xml:space="preserve"> van de echtgenoot</w:t>
      </w:r>
      <w:r w:rsidR="0076225E" w:rsidRPr="0096338A">
        <w:t xml:space="preserve"> </w:t>
      </w:r>
      <w:r w:rsidRPr="0096338A">
        <w:t>behield de weduwe het</w:t>
      </w:r>
      <w:r w:rsidR="0076225E" w:rsidRPr="0096338A">
        <w:t xml:space="preserve"> </w:t>
      </w:r>
      <w:r w:rsidRPr="0096338A">
        <w:t>vruchtgebruik</w:t>
      </w:r>
      <w:r w:rsidR="0076225E" w:rsidRPr="0096338A">
        <w:t xml:space="preserve"> van </w:t>
      </w:r>
      <w:r w:rsidRPr="0096338A">
        <w:t xml:space="preserve">de onroerende goederen van haar echtgenoot. Ook behield de vrouw haar eigen bezittingen. Ze mocht </w:t>
      </w:r>
      <w:r w:rsidR="006D65B3" w:rsidRPr="0096338A">
        <w:t>geen goederen beheren</w:t>
      </w:r>
      <w:r w:rsidRPr="0096338A">
        <w:t xml:space="preserve"> zonder toestemming van haar man zolang deze leefde, maar </w:t>
      </w:r>
      <w:r w:rsidR="00626D71" w:rsidRPr="0096338A">
        <w:t>eigen bezittingen bleven haar eigendom</w:t>
      </w:r>
      <w:r w:rsidRPr="0096338A">
        <w:t xml:space="preserve"> en ze kon </w:t>
      </w:r>
      <w:r w:rsidR="00626D71" w:rsidRPr="0096338A">
        <w:t xml:space="preserve">er zelf over beschikken zodra </w:t>
      </w:r>
      <w:r w:rsidR="009C127D" w:rsidRPr="0096338A">
        <w:t xml:space="preserve">ze </w:t>
      </w:r>
      <w:r w:rsidRPr="0096338A">
        <w:t>weduwe was.</w:t>
      </w:r>
      <w:r w:rsidR="006D65B3" w:rsidRPr="0096338A">
        <w:rPr>
          <w:rStyle w:val="Voetnootmarkering"/>
        </w:rPr>
        <w:footnoteReference w:id="62"/>
      </w:r>
      <w:r w:rsidRPr="0096338A">
        <w:t xml:space="preserve"> Hutton stelt dat dit bezitsrecht ook de vrijheid van de vrouw op de markt verklaart. Het feit dat ze eigen bezittingen had, l</w:t>
      </w:r>
      <w:r w:rsidR="006D65B3" w:rsidRPr="0096338A">
        <w:t>ie</w:t>
      </w:r>
      <w:r w:rsidRPr="0096338A">
        <w:t>t h</w:t>
      </w:r>
      <w:r w:rsidR="006D65B3" w:rsidRPr="0096338A">
        <w:t>aar</w:t>
      </w:r>
      <w:r w:rsidRPr="0096338A">
        <w:t xml:space="preserve"> ook toe </w:t>
      </w:r>
      <w:r w:rsidR="006D65B3" w:rsidRPr="0096338A">
        <w:t>actief te zijn</w:t>
      </w:r>
      <w:r w:rsidRPr="0096338A">
        <w:t xml:space="preserve"> in de marktruimte.</w:t>
      </w:r>
      <w:r w:rsidRPr="0096338A">
        <w:rPr>
          <w:rStyle w:val="Voetnootmarkering"/>
        </w:rPr>
        <w:footnoteReference w:id="63"/>
      </w:r>
      <w:r w:rsidRPr="0096338A">
        <w:t xml:space="preserve"> Een andere</w:t>
      </w:r>
      <w:r w:rsidR="00626D71" w:rsidRPr="0096338A">
        <w:t xml:space="preserve"> in de historiografie frequent geschetste</w:t>
      </w:r>
      <w:r w:rsidR="009C127D" w:rsidRPr="0096338A">
        <w:t xml:space="preserve"> verklaring</w:t>
      </w:r>
      <w:r w:rsidRPr="0096338A">
        <w:t xml:space="preserve"> is de aard van de taken die vrouwen in de publieke ruimte uitvoerden. Hoewel ze inderdaad zelfstandig konden ondernemen, ging het </w:t>
      </w:r>
      <w:r w:rsidR="0079450B" w:rsidRPr="0096338A">
        <w:t>meestal</w:t>
      </w:r>
      <w:r w:rsidRPr="0096338A">
        <w:t xml:space="preserve"> om taken van huiselijke aard</w:t>
      </w:r>
      <w:r w:rsidR="0079450B" w:rsidRPr="0096338A">
        <w:t>:</w:t>
      </w:r>
      <w:r w:rsidRPr="0096338A">
        <w:t xml:space="preserve"> </w:t>
      </w:r>
    </w:p>
    <w:p w:rsidR="000F377E" w:rsidRPr="0096338A" w:rsidRDefault="000F377E" w:rsidP="000F377E">
      <w:pPr>
        <w:ind w:left="708"/>
        <w:rPr>
          <w:lang w:val="en-GB"/>
        </w:rPr>
      </w:pPr>
      <w:r w:rsidRPr="0096338A">
        <w:rPr>
          <w:lang w:val="en-GB"/>
        </w:rPr>
        <w:t xml:space="preserve">“But when one considers the extent to which manufacturing and merchandising in Ghent, as in all preindustrial cities, was concerned with the preparation of food and </w:t>
      </w:r>
      <w:r w:rsidRPr="0096338A">
        <w:rPr>
          <w:lang w:val="en-GB"/>
        </w:rPr>
        <w:lastRenderedPageBreak/>
        <w:t>drink and the various stages of making cloth and clothing, all areas in which the st</w:t>
      </w:r>
      <w:r w:rsidR="0079450B" w:rsidRPr="0096338A">
        <w:rPr>
          <w:lang w:val="en-GB"/>
        </w:rPr>
        <w:t>rengths of women supposedly lie […].</w:t>
      </w:r>
      <w:r w:rsidRPr="0096338A">
        <w:rPr>
          <w:lang w:val="en-GB"/>
        </w:rPr>
        <w:t>”</w:t>
      </w:r>
      <w:r w:rsidRPr="0096338A">
        <w:rPr>
          <w:rStyle w:val="Voetnootmarkering"/>
          <w:lang w:val="en-GB"/>
        </w:rPr>
        <w:footnoteReference w:id="64"/>
      </w:r>
    </w:p>
    <w:p w:rsidR="000F377E" w:rsidRPr="0096338A" w:rsidRDefault="000F377E" w:rsidP="000F377E">
      <w:r w:rsidRPr="0096338A">
        <w:t xml:space="preserve">Er was een duidelijke </w:t>
      </w:r>
      <w:r w:rsidR="0079450B" w:rsidRPr="0096338A">
        <w:t xml:space="preserve">op </w:t>
      </w:r>
      <w:r w:rsidRPr="0096338A">
        <w:t>gender</w:t>
      </w:r>
      <w:r w:rsidR="0079450B" w:rsidRPr="0096338A">
        <w:t xml:space="preserve"> </w:t>
      </w:r>
      <w:r w:rsidRPr="0096338A">
        <w:t xml:space="preserve">gebaseerde scheiding van werk. Vrouwen zouden dan ook </w:t>
      </w:r>
      <w:r w:rsidR="0079450B" w:rsidRPr="0096338A">
        <w:t>veelal</w:t>
      </w:r>
      <w:r w:rsidRPr="0096338A">
        <w:t xml:space="preserve"> taken uitvoeren die bijvoorbeeld te maken hadden met het voorzien van voedsel of kleding. De vrijheid die ze </w:t>
      </w:r>
      <w:r w:rsidR="0079450B" w:rsidRPr="0096338A">
        <w:t xml:space="preserve">verworven </w:t>
      </w:r>
      <w:r w:rsidRPr="0096338A">
        <w:t>hadden</w:t>
      </w:r>
      <w:r w:rsidR="0079450B" w:rsidRPr="0096338A">
        <w:t>,</w:t>
      </w:r>
      <w:r w:rsidRPr="0096338A">
        <w:t xml:space="preserve"> kwam</w:t>
      </w:r>
      <w:r w:rsidR="0079450B" w:rsidRPr="0096338A">
        <w:t xml:space="preserve"> volgens Howell dan ook hier vandaan.</w:t>
      </w:r>
      <w:r w:rsidR="0079450B" w:rsidRPr="0096338A">
        <w:rPr>
          <w:rStyle w:val="Voetnootmarkering"/>
        </w:rPr>
        <w:footnoteReference w:id="65"/>
      </w:r>
      <w:r w:rsidR="00AB5D84" w:rsidRPr="0096338A">
        <w:t xml:space="preserve"> Bij deze opmerking is een nuancering echter op zijn plaats. Dit onderzoek toont in een volgende paragraaf namelijk dat de Leuvense vrouwen niet louter beroepen met een huishoudelijk karakter uitvoerden. Dit zet aan tot de hertekening van dergelijke uitspraken.</w:t>
      </w:r>
      <w:r w:rsidR="00AB5D84" w:rsidRPr="0096338A">
        <w:rPr>
          <w:rStyle w:val="Voetnootmarkering"/>
        </w:rPr>
        <w:footnoteReference w:id="66"/>
      </w:r>
    </w:p>
    <w:p w:rsidR="000F377E" w:rsidRPr="0096338A" w:rsidRDefault="000F377E" w:rsidP="000F377E">
      <w:pPr>
        <w:ind w:firstLine="708"/>
      </w:pPr>
      <w:r w:rsidRPr="0096338A">
        <w:t xml:space="preserve">Hoe dan ook </w:t>
      </w:r>
      <w:r w:rsidR="0079450B" w:rsidRPr="0096338A">
        <w:t>hadden</w:t>
      </w:r>
      <w:r w:rsidRPr="0096338A">
        <w:t xml:space="preserve"> vrouwen in Leuven inderdaad wel wat speelruimte. Het is echter voorbarig te stellen dat</w:t>
      </w:r>
      <w:r w:rsidR="00062F56" w:rsidRPr="0096338A">
        <w:t xml:space="preserve"> deze conclusie opgaat voor vrouwen in het algemeen</w:t>
      </w:r>
      <w:r w:rsidRPr="0096338A">
        <w:t xml:space="preserve">. Zoals de alinea over devolutierecht reeds </w:t>
      </w:r>
      <w:r w:rsidR="00CA0099" w:rsidRPr="0096338A">
        <w:t>suggereert</w:t>
      </w:r>
      <w:r w:rsidRPr="0096338A">
        <w:t>, was het vooral de</w:t>
      </w:r>
      <w:r w:rsidR="00CA0099" w:rsidRPr="0096338A">
        <w:t xml:space="preserve"> (bemiddelde)</w:t>
      </w:r>
      <w:r w:rsidRPr="0096338A">
        <w:t xml:space="preserve"> weduwe die veel vrijheid had. Het onderscheid tussen weduwen, getrouwde vrouwen en alleenstaande vrouwen is dan ook zeer belangrijk en moet in juridisch kader kort geduid worden. Wanneer een vrouw</w:t>
      </w:r>
      <w:r w:rsidR="00CA0099" w:rsidRPr="0096338A">
        <w:t xml:space="preserve"> </w:t>
      </w:r>
      <w:r w:rsidRPr="0096338A">
        <w:t xml:space="preserve">achttien jaar werd, </w:t>
      </w:r>
      <w:r w:rsidR="00062F56" w:rsidRPr="0096338A">
        <w:t>was</w:t>
      </w:r>
      <w:r w:rsidRPr="0096338A">
        <w:t xml:space="preserve"> ze in principe geëmancipeerd</w:t>
      </w:r>
      <w:r w:rsidR="00062F56" w:rsidRPr="0096338A">
        <w:t>.</w:t>
      </w:r>
      <w:r w:rsidR="00062F56" w:rsidRPr="0096338A">
        <w:rPr>
          <w:rStyle w:val="Voetnootmarkering"/>
        </w:rPr>
        <w:footnoteReference w:id="67"/>
      </w:r>
      <w:r w:rsidRPr="0096338A">
        <w:t xml:space="preserve"> In de praktijk </w:t>
      </w:r>
      <w:r w:rsidR="00062F56" w:rsidRPr="0096338A">
        <w:t>kreeg ze</w:t>
      </w:r>
      <w:r w:rsidRPr="0096338A">
        <w:t xml:space="preserve"> </w:t>
      </w:r>
      <w:r w:rsidR="00CA0099" w:rsidRPr="0096338A">
        <w:t xml:space="preserve">echter </w:t>
      </w:r>
      <w:r w:rsidRPr="0096338A">
        <w:t xml:space="preserve">vaak </w:t>
      </w:r>
      <w:r w:rsidR="00062F56" w:rsidRPr="0096338A">
        <w:t xml:space="preserve">een voogd of “momboir” </w:t>
      </w:r>
      <w:r w:rsidR="00CA0099" w:rsidRPr="0096338A">
        <w:t>toegewezen</w:t>
      </w:r>
      <w:r w:rsidR="00062F56" w:rsidRPr="0096338A">
        <w:t>.</w:t>
      </w:r>
      <w:r w:rsidR="00062F56" w:rsidRPr="0096338A">
        <w:rPr>
          <w:rStyle w:val="Voetnootmarkering"/>
        </w:rPr>
        <w:footnoteReference w:id="68"/>
      </w:r>
      <w:r w:rsidR="00CA0099" w:rsidRPr="0096338A">
        <w:t xml:space="preserve"> </w:t>
      </w:r>
      <w:r w:rsidR="00EB03C2" w:rsidRPr="0096338A">
        <w:t>Over het algemeen is het uitgangspunt in</w:t>
      </w:r>
      <w:r w:rsidRPr="0096338A">
        <w:t xml:space="preserve"> historiografie </w:t>
      </w:r>
      <w:r w:rsidR="00062F56" w:rsidRPr="0096338A">
        <w:t>dat</w:t>
      </w:r>
      <w:r w:rsidRPr="0096338A">
        <w:t xml:space="preserve"> </w:t>
      </w:r>
      <w:r w:rsidR="00EB03C2" w:rsidRPr="0096338A">
        <w:t>alleenstaande vrouwen een</w:t>
      </w:r>
      <w:r w:rsidRPr="0096338A">
        <w:t xml:space="preserve"> lage sociale positie</w:t>
      </w:r>
      <w:r w:rsidR="00EB03C2" w:rsidRPr="0096338A">
        <w:t xml:space="preserve"> innamen</w:t>
      </w:r>
      <w:r w:rsidRPr="0096338A">
        <w:t xml:space="preserve">, aangezien ze niet op de </w:t>
      </w:r>
      <w:r w:rsidR="00AB5D84" w:rsidRPr="0096338A">
        <w:t>‘</w:t>
      </w:r>
      <w:r w:rsidRPr="0096338A">
        <w:t>production unit</w:t>
      </w:r>
      <w:r w:rsidR="00AB5D84" w:rsidRPr="0096338A">
        <w:t>’</w:t>
      </w:r>
      <w:r w:rsidRPr="0096338A">
        <w:t xml:space="preserve"> of bezittingen van een overleden echtgenoot konden </w:t>
      </w:r>
      <w:r w:rsidR="00062F56" w:rsidRPr="0096338A">
        <w:t>steunen</w:t>
      </w:r>
      <w:r w:rsidRPr="0096338A">
        <w:t xml:space="preserve">. </w:t>
      </w:r>
      <w:r w:rsidR="00062F56" w:rsidRPr="0096338A">
        <w:t>Een later thema komt hierop terug en brengt nuance aan aan de hand van zowel literatuur als bronnen.</w:t>
      </w:r>
      <w:r w:rsidR="00AB5D84" w:rsidRPr="0096338A">
        <w:rPr>
          <w:rStyle w:val="Voetnootmarkering"/>
        </w:rPr>
        <w:footnoteReference w:id="69"/>
      </w:r>
      <w:r w:rsidR="00062F56" w:rsidRPr="0096338A">
        <w:t xml:space="preserve"> Vaker </w:t>
      </w:r>
      <w:r w:rsidRPr="0096338A">
        <w:t>onderzocht is de positie van de getrouwde vrouw. In principe verloor de vrouw wanneer ze trouwde haar bewegingsvrijheid en vooral recht op goederenbeheer.</w:t>
      </w:r>
      <w:r w:rsidR="00062F56" w:rsidRPr="0096338A">
        <w:rPr>
          <w:rStyle w:val="Voetnootmarkering"/>
        </w:rPr>
        <w:footnoteReference w:id="70"/>
      </w:r>
      <w:r w:rsidR="00062F56" w:rsidRPr="0096338A">
        <w:t xml:space="preserve"> </w:t>
      </w:r>
      <w:r w:rsidRPr="0096338A">
        <w:t xml:space="preserve">Zowel eerder onderzoek als de </w:t>
      </w:r>
      <w:r w:rsidR="00B65335" w:rsidRPr="0096338A">
        <w:t xml:space="preserve">huidige studie over de </w:t>
      </w:r>
      <w:r w:rsidR="00062F56" w:rsidRPr="0096338A">
        <w:t>L</w:t>
      </w:r>
      <w:r w:rsidRPr="0096338A">
        <w:t xml:space="preserve">euvense stadsordonnanties tonen </w:t>
      </w:r>
      <w:r w:rsidR="009C127D" w:rsidRPr="0096338A">
        <w:t>aan dat deze theorie zeker niet</w:t>
      </w:r>
      <w:r w:rsidRPr="0096338A">
        <w:t xml:space="preserve"> </w:t>
      </w:r>
      <w:r w:rsidR="00062F56" w:rsidRPr="0096338A">
        <w:t>steeds de realiteit was</w:t>
      </w:r>
      <w:r w:rsidRPr="0096338A">
        <w:t>. Howell stelt bijvoorbeeld dat hoewel mannen het hoofd van de familie waren, hun echtgenotes net zo goed hun eigen verantwoordelijkheden en hiermee ook vrijheden hadden. Daarbij komt ook kijken dat de vrouw de positie van haar man volledig overnam wanneer deze van huis was.</w:t>
      </w:r>
      <w:r w:rsidRPr="0096338A">
        <w:rPr>
          <w:rStyle w:val="Voetnootmarkering"/>
        </w:rPr>
        <w:footnoteReference w:id="71"/>
      </w:r>
      <w:r w:rsidRPr="0096338A">
        <w:t xml:space="preserve"> Hoewel dit niet te vinden valt binnen het normatieve karakter van de stadsordonnanties, spreekt Godding ook over de aanwezigheid van de </w:t>
      </w:r>
      <w:r w:rsidRPr="0096338A">
        <w:rPr>
          <w:i/>
        </w:rPr>
        <w:t>coopwijven</w:t>
      </w:r>
      <w:r w:rsidRPr="0096338A">
        <w:t xml:space="preserve"> in Leuven. Deze getrouwde vrouwen behielden niet enkel recht op hun eigen goederenbeheer en dat van de gemeenschappelijke goederen, ze beslisten zelfs mee over </w:t>
      </w:r>
      <w:r w:rsidRPr="0096338A">
        <w:lastRenderedPageBreak/>
        <w:t>het goed van hun man.</w:t>
      </w:r>
      <w:r w:rsidRPr="0096338A">
        <w:rPr>
          <w:rStyle w:val="Voetnootmarkering"/>
        </w:rPr>
        <w:footnoteReference w:id="72"/>
      </w:r>
      <w:r w:rsidRPr="0096338A">
        <w:t xml:space="preserve"> </w:t>
      </w:r>
      <w:r w:rsidR="00AB5D84" w:rsidRPr="0096338A">
        <w:t xml:space="preserve">Het eerder voorgestelde </w:t>
      </w:r>
      <w:r w:rsidR="00462B6A" w:rsidRPr="0096338A">
        <w:t xml:space="preserve">huiselijk </w:t>
      </w:r>
      <w:r w:rsidR="00AB5D84" w:rsidRPr="0096338A">
        <w:t>conflict tussen Kateline en haar man toont dit zelfstandig ondernemerschap ook aan.</w:t>
      </w:r>
      <w:r w:rsidR="00AB5D84" w:rsidRPr="0096338A">
        <w:rPr>
          <w:rStyle w:val="Voetnootmarkering"/>
        </w:rPr>
        <w:footnoteReference w:id="73"/>
      </w:r>
      <w:r w:rsidR="00AB5D84" w:rsidRPr="0096338A">
        <w:t xml:space="preserve"> </w:t>
      </w:r>
      <w:r w:rsidRPr="0096338A">
        <w:t xml:space="preserve">Waar de getrouwde vrouw binnen het kader van haar huwelijk al wat vrijheid had, was vooral de weduwe in Leuven zelfstandig. Het eerder besproken devolutierecht maakte dat ze, indien haar man bezittingen had, </w:t>
      </w:r>
      <w:r w:rsidR="00062F56" w:rsidRPr="0096338A">
        <w:t>bezittingen</w:t>
      </w:r>
      <w:r w:rsidRPr="0096338A">
        <w:t xml:space="preserve"> kreeg. De bewegingsvrijheid van weduwen was echter niet vanzelfsprekend. In Antwerpen </w:t>
      </w:r>
      <w:r w:rsidR="00C50BF5" w:rsidRPr="0096338A">
        <w:t xml:space="preserve">bijvoorbeeld </w:t>
      </w:r>
      <w:r w:rsidRPr="0096338A">
        <w:t xml:space="preserve">was </w:t>
      </w:r>
      <w:r w:rsidR="001445FA" w:rsidRPr="0096338A">
        <w:t>het</w:t>
      </w:r>
      <w:r w:rsidR="00997014" w:rsidRPr="0096338A">
        <w:t>,</w:t>
      </w:r>
      <w:r w:rsidR="001445FA" w:rsidRPr="0096338A">
        <w:t xml:space="preserve"> zeker in de vroegmoderne periode</w:t>
      </w:r>
      <w:r w:rsidR="00997014" w:rsidRPr="0096338A">
        <w:t>,</w:t>
      </w:r>
      <w:r w:rsidR="001445FA" w:rsidRPr="0096338A">
        <w:t xml:space="preserve"> </w:t>
      </w:r>
      <w:r w:rsidRPr="0096338A">
        <w:t xml:space="preserve">meer de gewoonte dat weduwen enkel </w:t>
      </w:r>
      <w:r w:rsidR="00C50BF5" w:rsidRPr="0096338A">
        <w:t xml:space="preserve">vergezeld </w:t>
      </w:r>
      <w:r w:rsidR="00062F56" w:rsidRPr="0096338A">
        <w:t>van een voogd transacties deden</w:t>
      </w:r>
      <w:r w:rsidRPr="0096338A">
        <w:t>.</w:t>
      </w:r>
      <w:r w:rsidRPr="0096338A">
        <w:rPr>
          <w:rStyle w:val="Voetnootmarkering"/>
        </w:rPr>
        <w:footnoteReference w:id="74"/>
      </w:r>
      <w:r w:rsidR="001303D9" w:rsidRPr="0096338A">
        <w:t xml:space="preserve"> </w:t>
      </w:r>
    </w:p>
    <w:p w:rsidR="00B80C41" w:rsidRPr="0096338A" w:rsidRDefault="00B80C41" w:rsidP="00B80C41">
      <w:pPr>
        <w:pStyle w:val="Kop2"/>
      </w:pPr>
      <w:bookmarkStart w:id="9" w:name="_Toc452371442"/>
      <w:r w:rsidRPr="0096338A">
        <w:t xml:space="preserve">3.2 </w:t>
      </w:r>
      <w:r w:rsidR="00EA12F5" w:rsidRPr="0096338A">
        <w:t>De invloed van familiale status op de toegang tot de ambachten</w:t>
      </w:r>
      <w:bookmarkEnd w:id="9"/>
    </w:p>
    <w:p w:rsidR="00B80C41" w:rsidRPr="0096338A" w:rsidRDefault="002376CE" w:rsidP="00B80C41">
      <w:pPr>
        <w:ind w:left="708" w:firstLine="60"/>
        <w:rPr>
          <w:lang w:val="en-GB"/>
        </w:rPr>
      </w:pPr>
      <w:r w:rsidRPr="0096338A">
        <w:t xml:space="preserve"> </w:t>
      </w:r>
      <w:r w:rsidR="00B80C41" w:rsidRPr="0096338A">
        <w:rPr>
          <w:lang w:val="en-GB"/>
        </w:rPr>
        <w:t>“In many cases, however, the same regulation applied both to men and women, suggesting that neither the city nor its guilds were consistent in throwing up barriers against women entering commercial exchange.”</w:t>
      </w:r>
      <w:r w:rsidR="00B80C41" w:rsidRPr="0096338A">
        <w:rPr>
          <w:rStyle w:val="Voetnootmarkering"/>
          <w:lang w:val="en-GB"/>
        </w:rPr>
        <w:footnoteReference w:id="75"/>
      </w:r>
    </w:p>
    <w:p w:rsidR="00B80C41" w:rsidRPr="0096338A" w:rsidRDefault="00B80C41" w:rsidP="00B80C41">
      <w:r w:rsidRPr="0096338A">
        <w:t xml:space="preserve">Een van de kernvragen van dit onderzoek </w:t>
      </w:r>
      <w:r w:rsidR="00D64128" w:rsidRPr="0096338A">
        <w:t xml:space="preserve">gaat over </w:t>
      </w:r>
      <w:r w:rsidRPr="0096338A">
        <w:t>de mate waarin vrouwen</w:t>
      </w:r>
      <w:r w:rsidR="00B20899" w:rsidRPr="0096338A">
        <w:t xml:space="preserve"> in de vijftiende eeuw</w:t>
      </w:r>
      <w:r w:rsidRPr="0096338A">
        <w:t xml:space="preserve"> lidmaatschap konden verkrijgen binnen de </w:t>
      </w:r>
      <w:r w:rsidR="00B20899" w:rsidRPr="0096338A">
        <w:t xml:space="preserve">Leuvense </w:t>
      </w:r>
      <w:r w:rsidRPr="0096338A">
        <w:t xml:space="preserve">ambachten. Vooraleer deze vraag te beantwoorden, is het echter belangrijk twee </w:t>
      </w:r>
      <w:r w:rsidR="00B20899" w:rsidRPr="0096338A">
        <w:t xml:space="preserve">noodzakelijke </w:t>
      </w:r>
      <w:r w:rsidRPr="0096338A">
        <w:t xml:space="preserve">opmerkingen te noteren. Ten eerste vereist </w:t>
      </w:r>
      <w:r w:rsidR="00B20899" w:rsidRPr="0096338A">
        <w:t>het begrip</w:t>
      </w:r>
      <w:r w:rsidRPr="0096338A">
        <w:t xml:space="preserve"> </w:t>
      </w:r>
      <w:r w:rsidR="00462B6A" w:rsidRPr="0096338A">
        <w:t>‘</w:t>
      </w:r>
      <w:r w:rsidRPr="0096338A">
        <w:t>ambachten</w:t>
      </w:r>
      <w:r w:rsidR="00462B6A" w:rsidRPr="0096338A">
        <w:t>’</w:t>
      </w:r>
      <w:r w:rsidRPr="0096338A">
        <w:rPr>
          <w:i/>
        </w:rPr>
        <w:t xml:space="preserve"> </w:t>
      </w:r>
      <w:r w:rsidRPr="0096338A">
        <w:t>steeds enige nuance. De tweeënveertig ambachten die geïnventariseerd staan in de ordonnantie over de Leuvense ommegangen ken</w:t>
      </w:r>
      <w:r w:rsidR="00B20899" w:rsidRPr="0096338A">
        <w:t>d</w:t>
      </w:r>
      <w:r w:rsidRPr="0096338A">
        <w:t>en een verschillende werking en wetgeving.</w:t>
      </w:r>
      <w:r w:rsidRPr="0096338A">
        <w:rPr>
          <w:rStyle w:val="Voetnootmarkering"/>
        </w:rPr>
        <w:footnoteReference w:id="76"/>
      </w:r>
      <w:r w:rsidRPr="0096338A">
        <w:t xml:space="preserve"> </w:t>
      </w:r>
      <w:r w:rsidR="00B20899" w:rsidRPr="0096338A">
        <w:t xml:space="preserve">De verschillende posities die vrouwen binnen bepaalde ambachten konden verkrijgen, liepen dan ook lineair </w:t>
      </w:r>
      <w:r w:rsidR="00336F1E" w:rsidRPr="0096338A">
        <w:t xml:space="preserve">met het verschil in de statuten van </w:t>
      </w:r>
      <w:r w:rsidR="00B20899" w:rsidRPr="0096338A">
        <w:t xml:space="preserve">de </w:t>
      </w:r>
      <w:r w:rsidR="00336F1E" w:rsidRPr="0096338A">
        <w:t xml:space="preserve">groeperingen </w:t>
      </w:r>
      <w:r w:rsidR="00B20899" w:rsidRPr="0096338A">
        <w:t>zelf</w:t>
      </w:r>
      <w:r w:rsidRPr="0096338A">
        <w:t xml:space="preserve">. Hiernaast is er, zoals reeds </w:t>
      </w:r>
      <w:r w:rsidR="00B20899" w:rsidRPr="0096338A">
        <w:t>gesteld</w:t>
      </w:r>
      <w:r w:rsidRPr="0096338A">
        <w:t xml:space="preserve">, voor de </w:t>
      </w:r>
      <w:r w:rsidR="00B20899" w:rsidRPr="0096338A">
        <w:t>term</w:t>
      </w:r>
      <w:r w:rsidRPr="0096338A">
        <w:t xml:space="preserve"> </w:t>
      </w:r>
      <w:r w:rsidR="00462B6A" w:rsidRPr="0096338A">
        <w:t>‘</w:t>
      </w:r>
      <w:r w:rsidRPr="0096338A">
        <w:t>vrouwen</w:t>
      </w:r>
      <w:r w:rsidR="00462B6A" w:rsidRPr="0096338A">
        <w:t>’</w:t>
      </w:r>
      <w:r w:rsidRPr="0096338A">
        <w:rPr>
          <w:i/>
        </w:rPr>
        <w:t xml:space="preserve"> </w:t>
      </w:r>
      <w:r w:rsidRPr="0096338A">
        <w:t xml:space="preserve">eveneens </w:t>
      </w:r>
      <w:r w:rsidR="00B20899" w:rsidRPr="0096338A">
        <w:t>een onderscheid</w:t>
      </w:r>
      <w:r w:rsidRPr="0096338A">
        <w:t xml:space="preserve"> nodig. </w:t>
      </w:r>
      <w:r w:rsidR="00A7014C" w:rsidRPr="0096338A">
        <w:t xml:space="preserve">De familiale status van de vrouwen in de middeleeuwse stad bepaalde eveneens hun mogelijkheden in de ambachtenwereld. </w:t>
      </w:r>
      <w:r w:rsidR="00B20899" w:rsidRPr="0096338A">
        <w:t>D</w:t>
      </w:r>
      <w:r w:rsidRPr="0096338A">
        <w:t xml:space="preserve">eze scriptie </w:t>
      </w:r>
      <w:r w:rsidR="00B20899" w:rsidRPr="0096338A">
        <w:t>houdt daarom binnen</w:t>
      </w:r>
      <w:r w:rsidRPr="0096338A">
        <w:t xml:space="preserve"> de mate van het mogelijke rekening met d</w:t>
      </w:r>
      <w:r w:rsidR="00A7014C" w:rsidRPr="0096338A">
        <w:t>e</w:t>
      </w:r>
      <w:r w:rsidRPr="0096338A">
        <w:t xml:space="preserve"> familiale status van vrouwelijke ambachtslieden.</w:t>
      </w:r>
      <w:r w:rsidR="00355126" w:rsidRPr="0096338A">
        <w:t xml:space="preserve"> Dit </w:t>
      </w:r>
      <w:r w:rsidR="001E2ADC" w:rsidRPr="0096338A">
        <w:t>onderdeel</w:t>
      </w:r>
      <w:r w:rsidR="00355126" w:rsidRPr="0096338A">
        <w:t xml:space="preserve"> is opgebouwd rond de twee genoemde dominante factoren, met name</w:t>
      </w:r>
      <w:r w:rsidRPr="0096338A">
        <w:t xml:space="preserve"> </w:t>
      </w:r>
      <w:r w:rsidR="00355126" w:rsidRPr="0096338A">
        <w:t>de r</w:t>
      </w:r>
      <w:r w:rsidR="00437F40" w:rsidRPr="0096338A">
        <w:t xml:space="preserve">egelgeving in de </w:t>
      </w:r>
      <w:r w:rsidR="00336F1E" w:rsidRPr="0096338A">
        <w:t>ambachten</w:t>
      </w:r>
      <w:r w:rsidR="00437F40" w:rsidRPr="0096338A">
        <w:t xml:space="preserve"> en </w:t>
      </w:r>
      <w:r w:rsidR="00355126" w:rsidRPr="0096338A">
        <w:t xml:space="preserve">de </w:t>
      </w:r>
      <w:r w:rsidR="00437F40" w:rsidRPr="0096338A">
        <w:t>familiale status</w:t>
      </w:r>
      <w:r w:rsidR="00355126" w:rsidRPr="0096338A">
        <w:t xml:space="preserve"> van de vrouw. </w:t>
      </w:r>
      <w:r w:rsidRPr="0096338A">
        <w:t xml:space="preserve">Als eerste </w:t>
      </w:r>
      <w:r w:rsidR="00355126" w:rsidRPr="0096338A">
        <w:t xml:space="preserve">paragraaf </w:t>
      </w:r>
      <w:r w:rsidRPr="0096338A">
        <w:t>volgt een weergave van de ambachten waar</w:t>
      </w:r>
      <w:r w:rsidR="00B20899" w:rsidRPr="0096338A">
        <w:t>toe</w:t>
      </w:r>
      <w:r w:rsidRPr="0096338A">
        <w:t xml:space="preserve"> vrouwen toegang hadden en de implicaties</w:t>
      </w:r>
      <w:r w:rsidR="00437F40" w:rsidRPr="0096338A">
        <w:t xml:space="preserve"> daarvan.</w:t>
      </w:r>
      <w:r w:rsidR="00336F1E" w:rsidRPr="0096338A">
        <w:t xml:space="preserve"> </w:t>
      </w:r>
      <w:r w:rsidR="00B20899" w:rsidRPr="0096338A">
        <w:t>In twee</w:t>
      </w:r>
      <w:r w:rsidR="00336F1E" w:rsidRPr="0096338A">
        <w:t xml:space="preserve"> </w:t>
      </w:r>
      <w:r w:rsidR="00355126" w:rsidRPr="0096338A">
        <w:t>verdere</w:t>
      </w:r>
      <w:r w:rsidR="00336F1E" w:rsidRPr="0096338A">
        <w:t xml:space="preserve"> thema’s komen de nuances</w:t>
      </w:r>
      <w:r w:rsidR="00355126" w:rsidRPr="0096338A">
        <w:t xml:space="preserve"> aan bod</w:t>
      </w:r>
      <w:r w:rsidR="009C127D" w:rsidRPr="0096338A">
        <w:t xml:space="preserve"> </w:t>
      </w:r>
      <w:r w:rsidRPr="0096338A">
        <w:t>in verband met de familiale status van de vrouwen</w:t>
      </w:r>
      <w:r w:rsidR="00336F1E" w:rsidRPr="0096338A">
        <w:t>; dit alles</w:t>
      </w:r>
      <w:r w:rsidRPr="0096338A">
        <w:t xml:space="preserve"> </w:t>
      </w:r>
      <w:r w:rsidR="00B20899" w:rsidRPr="0096338A">
        <w:t xml:space="preserve">voor zover de stadsordonnanties </w:t>
      </w:r>
      <w:r w:rsidR="007F38B5" w:rsidRPr="0096338A">
        <w:t>hierover gegevens verschaffen</w:t>
      </w:r>
      <w:r w:rsidR="00336F1E" w:rsidRPr="0096338A">
        <w:t xml:space="preserve">. </w:t>
      </w:r>
      <w:r w:rsidR="00A7014C" w:rsidRPr="0096338A">
        <w:t xml:space="preserve">Doorheen dit </w:t>
      </w:r>
      <w:r w:rsidR="00336F1E" w:rsidRPr="0096338A">
        <w:t>onderdeel</w:t>
      </w:r>
      <w:r w:rsidR="00A7014C" w:rsidRPr="0096338A">
        <w:t xml:space="preserve"> wordt duidelijk dat vrouwen relatief veel toegang hadden tot de Leuvense ambachten en aan weinig restricties onderhevig waren. Daarnaast waren de prestigieuze </w:t>
      </w:r>
      <w:r w:rsidR="00336F1E" w:rsidRPr="0096338A">
        <w:lastRenderedPageBreak/>
        <w:t>corporaties</w:t>
      </w:r>
      <w:r w:rsidR="00A7014C" w:rsidRPr="0096338A">
        <w:t xml:space="preserve">, zoals dat van de vleeshouwers, toegankelijk voor vrouwen, wat mag verbazen in het licht van eerder </w:t>
      </w:r>
      <w:r w:rsidR="001E2ADC" w:rsidRPr="0096338A">
        <w:t xml:space="preserve">onderzoek. </w:t>
      </w:r>
      <w:r w:rsidR="00336F1E" w:rsidRPr="0096338A">
        <w:t>Dit onderdeel</w:t>
      </w:r>
      <w:r w:rsidR="001E2ADC" w:rsidRPr="0096338A">
        <w:t xml:space="preserve"> </w:t>
      </w:r>
      <w:r w:rsidR="00A7014C" w:rsidRPr="0096338A">
        <w:t xml:space="preserve">toont dus een eerste </w:t>
      </w:r>
      <w:r w:rsidR="007F38B5" w:rsidRPr="0096338A">
        <w:t xml:space="preserve">uitzonderlijke situatie </w:t>
      </w:r>
      <w:r w:rsidR="00336F1E" w:rsidRPr="0096338A">
        <w:t xml:space="preserve">die </w:t>
      </w:r>
      <w:r w:rsidR="00A7014C" w:rsidRPr="0096338A">
        <w:t>de Leuvense ambachtenwereld kende ten opzichte van andere steden.</w:t>
      </w:r>
    </w:p>
    <w:p w:rsidR="00B80C41" w:rsidRPr="0096338A" w:rsidRDefault="00B80C41" w:rsidP="00B80C41">
      <w:pPr>
        <w:pStyle w:val="Kop3"/>
      </w:pPr>
      <w:bookmarkStart w:id="10" w:name="_Toc452371443"/>
      <w:r w:rsidRPr="0096338A">
        <w:t xml:space="preserve">3.2.1 </w:t>
      </w:r>
      <w:r w:rsidR="00EA12F5" w:rsidRPr="0096338A">
        <w:t>Het Leuvense ambachtswezen en de mogelijkheden voor vrouwen</w:t>
      </w:r>
      <w:bookmarkEnd w:id="10"/>
    </w:p>
    <w:p w:rsidR="00B80C41" w:rsidRPr="0096338A" w:rsidRDefault="00B80C41" w:rsidP="00B80C41">
      <w:r w:rsidRPr="0096338A">
        <w:t xml:space="preserve">In </w:t>
      </w:r>
      <w:r w:rsidRPr="0096338A">
        <w:rPr>
          <w:i/>
        </w:rPr>
        <w:t>Women, the Family Economy, and the Structures of Market Production in Cities of Northern Europe during the Late Middle Ages</w:t>
      </w:r>
      <w:r w:rsidRPr="0096338A">
        <w:t xml:space="preserve"> geeft Martha Howell een overzicht van de ambachten waar</w:t>
      </w:r>
      <w:r w:rsidR="00336F1E" w:rsidRPr="0096338A">
        <w:t>toe</w:t>
      </w:r>
      <w:r w:rsidRPr="0096338A">
        <w:t xml:space="preserve"> vrouwen in Keulen </w:t>
      </w:r>
      <w:r w:rsidR="00FD1D9F" w:rsidRPr="0096338A">
        <w:t xml:space="preserve">gedurende de vijftiende eeuw toegang </w:t>
      </w:r>
      <w:r w:rsidRPr="0096338A">
        <w:t xml:space="preserve">hadden. Ze concludeert dat er slechts zes ambachten overbleven waarin vrouwen konden opereren zonder aanzienlijke moeilijkheden. </w:t>
      </w:r>
      <w:r w:rsidR="00FD1D9F" w:rsidRPr="0096338A">
        <w:t>Daaropvolgend</w:t>
      </w:r>
      <w:r w:rsidRPr="0096338A">
        <w:t xml:space="preserve"> besluit ze dat dit bijna allemaal ambachten </w:t>
      </w:r>
      <w:r w:rsidR="00FD1D9F" w:rsidRPr="0096338A">
        <w:t>waren</w:t>
      </w:r>
      <w:r w:rsidRPr="0096338A">
        <w:t xml:space="preserve"> die traditionele vrouwentaken omvatten</w:t>
      </w:r>
      <w:r w:rsidR="00FD1D9F" w:rsidRPr="0096338A">
        <w:t>, iets waar dit onderzoek later op terugkomt</w:t>
      </w:r>
      <w:r w:rsidRPr="0096338A">
        <w:t>.</w:t>
      </w:r>
      <w:r w:rsidRPr="0096338A">
        <w:rPr>
          <w:rStyle w:val="Voetnootmarkering"/>
        </w:rPr>
        <w:footnoteReference w:id="77"/>
      </w:r>
      <w:r w:rsidRPr="0096338A">
        <w:t xml:space="preserve"> De Leuvense ordonnanties lijken echter een minder </w:t>
      </w:r>
      <w:r w:rsidR="00336F1E" w:rsidRPr="0096338A">
        <w:t>inperkend</w:t>
      </w:r>
      <w:r w:rsidRPr="0096338A">
        <w:t xml:space="preserve"> beeld te schetsen voor vrouwelijke aanwezigheid in de ambachten. </w:t>
      </w:r>
      <w:r w:rsidR="004902A4" w:rsidRPr="0096338A">
        <w:t xml:space="preserve">De stadsordonnanties tonen </w:t>
      </w:r>
      <w:r w:rsidR="00336F1E" w:rsidRPr="0096338A">
        <w:t xml:space="preserve">aan </w:t>
      </w:r>
      <w:r w:rsidR="004902A4" w:rsidRPr="0096338A">
        <w:t>dat doorheen de vijftiende eeuw ambacht</w:t>
      </w:r>
      <w:r w:rsidR="00336F1E" w:rsidRPr="0096338A">
        <w:t>s</w:t>
      </w:r>
      <w:r w:rsidR="004902A4" w:rsidRPr="0096338A">
        <w:t xml:space="preserve">lidmaatschap voor vrouwen </w:t>
      </w:r>
      <w:r w:rsidR="00336F1E" w:rsidRPr="0096338A">
        <w:t xml:space="preserve">in </w:t>
      </w:r>
      <w:r w:rsidR="007C7DED" w:rsidRPr="0096338A">
        <w:t>achtien</w:t>
      </w:r>
      <w:r w:rsidR="004902A4" w:rsidRPr="0096338A">
        <w:t xml:space="preserve"> ambachten mogelijk was. Het gaat dus om een goed deel van de tweeënveertig ambachten die de ordonnantie over de Leuvense Ommegang opsomt.</w:t>
      </w:r>
      <w:r w:rsidR="00FD3FB6" w:rsidRPr="0096338A">
        <w:rPr>
          <w:rStyle w:val="Voetnootmarkering"/>
        </w:rPr>
        <w:footnoteReference w:id="78"/>
      </w:r>
      <w:r w:rsidR="004902A4" w:rsidRPr="0096338A">
        <w:t xml:space="preserve"> </w:t>
      </w:r>
      <w:r w:rsidR="00336F1E" w:rsidRPr="0096338A">
        <w:t xml:space="preserve">Bovendien </w:t>
      </w:r>
      <w:r w:rsidRPr="0096338A">
        <w:t xml:space="preserve">was er slechts één ambacht dat </w:t>
      </w:r>
      <w:r w:rsidR="00336F1E" w:rsidRPr="0096338A">
        <w:t>het lidmaatschap voor vrouwen e</w:t>
      </w:r>
      <w:r w:rsidRPr="0096338A">
        <w:t xml:space="preserve">xpliciet </w:t>
      </w:r>
      <w:r w:rsidR="00336F1E" w:rsidRPr="0096338A">
        <w:t>v</w:t>
      </w:r>
      <w:r w:rsidRPr="0096338A">
        <w:t xml:space="preserve">erbood, namelijk </w:t>
      </w:r>
      <w:r w:rsidR="00FD1D9F" w:rsidRPr="0096338A">
        <w:t>het</w:t>
      </w:r>
      <w:r w:rsidRPr="0096338A">
        <w:t xml:space="preserve"> tassenmakers</w:t>
      </w:r>
      <w:r w:rsidR="00FD1D9F" w:rsidRPr="0096338A">
        <w:t>ambacht</w:t>
      </w:r>
      <w:r w:rsidRPr="0096338A">
        <w:t xml:space="preserve">. Daarnaast waren er bepaalde ambachten, </w:t>
      </w:r>
      <w:r w:rsidR="00FD1D9F" w:rsidRPr="0096338A">
        <w:t>waaronder</w:t>
      </w:r>
      <w:r w:rsidRPr="0096338A">
        <w:t xml:space="preserve"> de timmerlieden, die </w:t>
      </w:r>
      <w:r w:rsidR="00FD1D9F" w:rsidRPr="0096338A">
        <w:t>steevast</w:t>
      </w:r>
      <w:r w:rsidRPr="0096338A">
        <w:t xml:space="preserve"> als </w:t>
      </w:r>
      <w:r w:rsidR="00462B6A" w:rsidRPr="0096338A">
        <w:t>‘</w:t>
      </w:r>
      <w:r w:rsidRPr="0096338A">
        <w:t>mannenambacht</w:t>
      </w:r>
      <w:r w:rsidR="00462B6A" w:rsidRPr="0096338A">
        <w:t>’</w:t>
      </w:r>
      <w:r w:rsidRPr="0096338A">
        <w:t xml:space="preserve"> w</w:t>
      </w:r>
      <w:r w:rsidR="00805F39" w:rsidRPr="0096338A">
        <w:t>e</w:t>
      </w:r>
      <w:r w:rsidRPr="0096338A">
        <w:t xml:space="preserve">rden beschouwd. </w:t>
      </w:r>
      <w:r w:rsidR="00FD1D9F" w:rsidRPr="0096338A">
        <w:t>De afwezigheid van vrouwen in de ordonnanties over dergelijke ambachten is niet verwonder</w:t>
      </w:r>
      <w:r w:rsidR="00462B6A" w:rsidRPr="0096338A">
        <w:t>lijk</w:t>
      </w:r>
      <w:r w:rsidR="00FD1D9F" w:rsidRPr="0096338A">
        <w:t xml:space="preserve">, maar wil nog niet zeggen dat </w:t>
      </w:r>
      <w:r w:rsidRPr="0096338A">
        <w:t>ze niet als loonarbeiders konden helpen</w:t>
      </w:r>
      <w:r w:rsidR="00FD3FB6" w:rsidRPr="0096338A">
        <w:t>. Raymond Van Uytven toonde bijvoorbeeld aan dat vrouwen als mandendraagsters konden opereren bij bouwprojecten. Het laag betaalde beroep hoorde niet bij de ambachten, maar vrouwen kwamen dus ook voor in de meer mannelijke nijverheden</w:t>
      </w:r>
      <w:r w:rsidRPr="0096338A">
        <w:t>.</w:t>
      </w:r>
      <w:r w:rsidR="00FD3FB6" w:rsidRPr="0096338A">
        <w:rPr>
          <w:rStyle w:val="Voetnootmarkering"/>
        </w:rPr>
        <w:footnoteReference w:id="79"/>
      </w:r>
      <w:r w:rsidRPr="0096338A">
        <w:t xml:space="preserve"> Er zijn eveneens een aantal ambachten waar</w:t>
      </w:r>
      <w:r w:rsidR="00C03990" w:rsidRPr="0096338A">
        <w:t>over</w:t>
      </w:r>
      <w:r w:rsidRPr="0096338A">
        <w:t xml:space="preserve"> </w:t>
      </w:r>
      <w:r w:rsidR="00C03990" w:rsidRPr="0096338A">
        <w:t xml:space="preserve">in </w:t>
      </w:r>
      <w:r w:rsidRPr="0096338A">
        <w:t xml:space="preserve">het </w:t>
      </w:r>
      <w:r w:rsidR="00706355" w:rsidRPr="0096338A">
        <w:t>algemeen weinig bronnen</w:t>
      </w:r>
      <w:r w:rsidRPr="0096338A">
        <w:t xml:space="preserve"> te vinden zijn</w:t>
      </w:r>
      <w:r w:rsidR="00C03990" w:rsidRPr="0096338A">
        <w:t>.</w:t>
      </w:r>
      <w:r w:rsidRPr="0096338A">
        <w:t xml:space="preserve"> </w:t>
      </w:r>
      <w:r w:rsidR="00C03990" w:rsidRPr="0096338A">
        <w:t>Het is dan ook niet mogelijk zich een beeld te</w:t>
      </w:r>
      <w:r w:rsidRPr="0096338A">
        <w:t xml:space="preserve"> vormen van een normatief kader over de positie van vrouwen </w:t>
      </w:r>
      <w:r w:rsidR="00805F39" w:rsidRPr="0096338A">
        <w:t xml:space="preserve">in deze beroepskringen. </w:t>
      </w:r>
      <w:r w:rsidRPr="0096338A">
        <w:t>Ruwweg gaat dit onderzoek er dus van uit dat vrouwen toegang hadden tot de helft van de Leuvense a</w:t>
      </w:r>
      <w:r w:rsidR="00462B6A" w:rsidRPr="0096338A">
        <w:t>mbachten, al gaat</w:t>
      </w:r>
      <w:r w:rsidR="00FD1D9F" w:rsidRPr="0096338A">
        <w:t xml:space="preserve"> dit </w:t>
      </w:r>
      <w:r w:rsidR="001E2ADC" w:rsidRPr="0096338A">
        <w:t xml:space="preserve">onderdeel </w:t>
      </w:r>
      <w:r w:rsidR="00FD1D9F" w:rsidRPr="0096338A">
        <w:t>eveneens</w:t>
      </w:r>
      <w:r w:rsidRPr="0096338A">
        <w:t xml:space="preserve"> ve</w:t>
      </w:r>
      <w:r w:rsidR="00462B6A" w:rsidRPr="0096338A">
        <w:t>rder in</w:t>
      </w:r>
      <w:r w:rsidR="00FD1D9F" w:rsidRPr="0096338A">
        <w:t xml:space="preserve"> op de voorwaarden voor</w:t>
      </w:r>
      <w:r w:rsidRPr="0096338A">
        <w:t xml:space="preserve"> dit lidmaatschap. </w:t>
      </w:r>
    </w:p>
    <w:p w:rsidR="00B80C41" w:rsidRPr="0096338A" w:rsidRDefault="00FD1D9F" w:rsidP="00B80C41">
      <w:pPr>
        <w:ind w:firstLine="708"/>
      </w:pPr>
      <w:r w:rsidRPr="0096338A">
        <w:t xml:space="preserve">Een opvallende lacune </w:t>
      </w:r>
      <w:r w:rsidR="00B80C41" w:rsidRPr="0096338A">
        <w:t xml:space="preserve">in de stadsordonnanties is </w:t>
      </w:r>
      <w:r w:rsidR="00257B29" w:rsidRPr="0096338A">
        <w:t>de af</w:t>
      </w:r>
      <w:r w:rsidRPr="0096338A">
        <w:t>wezigheid van</w:t>
      </w:r>
      <w:r w:rsidR="00B80C41" w:rsidRPr="0096338A">
        <w:t xml:space="preserve"> uitvoerige wetgeving in verband met vrouwen in de lakennijverheid. Hierin ligt een </w:t>
      </w:r>
      <w:r w:rsidRPr="0096338A">
        <w:t>gevoelig</w:t>
      </w:r>
      <w:r w:rsidR="00B80C41" w:rsidRPr="0096338A">
        <w:t xml:space="preserve"> onderscheid tussen </w:t>
      </w:r>
      <w:r w:rsidRPr="0096338A">
        <w:t>deze scriptie</w:t>
      </w:r>
      <w:r w:rsidR="00B80C41" w:rsidRPr="0096338A">
        <w:t xml:space="preserve"> en eerder gevoerde studies. De meerderheid van de studies </w:t>
      </w:r>
      <w:r w:rsidR="00B80C41" w:rsidRPr="0096338A">
        <w:lastRenderedPageBreak/>
        <w:t>naar vrouwen in het ambac</w:t>
      </w:r>
      <w:r w:rsidR="00462B6A" w:rsidRPr="0096338A">
        <w:t>htswezen focust namelijk op die</w:t>
      </w:r>
      <w:r w:rsidR="00B80C41" w:rsidRPr="0096338A">
        <w:t xml:space="preserve"> lakennijverheid</w:t>
      </w:r>
      <w:r w:rsidR="00257B29" w:rsidRPr="0096338A">
        <w:t xml:space="preserve"> in grotere, internationaal gerichte steden</w:t>
      </w:r>
      <w:r w:rsidR="00B80C41" w:rsidRPr="0096338A">
        <w:t xml:space="preserve">. </w:t>
      </w:r>
      <w:r w:rsidR="00C03990" w:rsidRPr="0096338A">
        <w:t>De hier gepresenteerde studie</w:t>
      </w:r>
      <w:r w:rsidR="00805F39" w:rsidRPr="0096338A">
        <w:t xml:space="preserve"> </w:t>
      </w:r>
      <w:r w:rsidR="00B80C41" w:rsidRPr="0096338A">
        <w:t xml:space="preserve">kent misschien wel </w:t>
      </w:r>
      <w:r w:rsidRPr="0096338A">
        <w:t>een tekortkoming</w:t>
      </w:r>
      <w:r w:rsidR="00B80C41" w:rsidRPr="0096338A">
        <w:t xml:space="preserve"> door de afwezigheid van een uitgebreid bronnenbestand over</w:t>
      </w:r>
      <w:r w:rsidR="00670D81" w:rsidRPr="0096338A">
        <w:t xml:space="preserve"> deze industrie</w:t>
      </w:r>
      <w:r w:rsidR="00805F39" w:rsidRPr="0096338A">
        <w:t>, maar</w:t>
      </w:r>
      <w:r w:rsidR="00B80C41" w:rsidRPr="0096338A">
        <w:t xml:space="preserve"> </w:t>
      </w:r>
      <w:r w:rsidR="00670D81" w:rsidRPr="0096338A">
        <w:t xml:space="preserve">belicht </w:t>
      </w:r>
      <w:r w:rsidR="00462B6A" w:rsidRPr="0096338A">
        <w:t xml:space="preserve">hierdoor </w:t>
      </w:r>
      <w:r w:rsidR="00670D81" w:rsidRPr="0096338A">
        <w:t>wel</w:t>
      </w:r>
      <w:r w:rsidR="00C03990" w:rsidRPr="0096338A">
        <w:t xml:space="preserve"> </w:t>
      </w:r>
      <w:r w:rsidR="00B80C41" w:rsidRPr="0096338A">
        <w:t>minder vertrouwde takken van de middeleeuwse nijverheden. De bronnen maken</w:t>
      </w:r>
      <w:r w:rsidR="00805F39" w:rsidRPr="0096338A">
        <w:t xml:space="preserve"> van</w:t>
      </w:r>
      <w:r w:rsidR="00B80C41" w:rsidRPr="0096338A">
        <w:t xml:space="preserve"> Leuven een ideaal referentiepunt voor onderzoek naar meer lokale en kleinere ambachten. De grote</w:t>
      </w:r>
      <w:r w:rsidR="00805F39" w:rsidRPr="0096338A">
        <w:t xml:space="preserve"> </w:t>
      </w:r>
      <w:r w:rsidR="00670D81" w:rsidRPr="0096338A">
        <w:t>lacune</w:t>
      </w:r>
      <w:r w:rsidR="00B80C41" w:rsidRPr="0096338A">
        <w:t xml:space="preserve"> in de stadsordonnanties</w:t>
      </w:r>
      <w:r w:rsidR="00670D81" w:rsidRPr="0096338A">
        <w:t xml:space="preserve"> op het gebied van de vrouwelijke deelname aan de lakennijverheid,</w:t>
      </w:r>
      <w:r w:rsidR="00B80C41" w:rsidRPr="0096338A">
        <w:t xml:space="preserve"> </w:t>
      </w:r>
      <w:r w:rsidR="00670D81" w:rsidRPr="0096338A">
        <w:t>betekent echter niet</w:t>
      </w:r>
      <w:r w:rsidR="00B80C41" w:rsidRPr="0096338A">
        <w:t xml:space="preserve"> dat vrouwen waren buitengesloten uit de</w:t>
      </w:r>
      <w:r w:rsidR="00805F39" w:rsidRPr="0096338A">
        <w:t>ze</w:t>
      </w:r>
      <w:r w:rsidR="00B80C41" w:rsidRPr="0096338A">
        <w:t xml:space="preserve"> </w:t>
      </w:r>
      <w:r w:rsidR="00670D81" w:rsidRPr="0096338A">
        <w:t>arbeidskring.</w:t>
      </w:r>
      <w:r w:rsidR="00805F39" w:rsidRPr="0096338A">
        <w:t xml:space="preserve"> </w:t>
      </w:r>
      <w:r w:rsidR="00B80C41" w:rsidRPr="0096338A">
        <w:t>Onder andere Ellen Kitt</w:t>
      </w:r>
      <w:r w:rsidR="00462B6A" w:rsidRPr="0096338A">
        <w:t>ell en Kurt Queller merkten die</w:t>
      </w:r>
      <w:r w:rsidR="00B80C41" w:rsidRPr="0096338A">
        <w:t xml:space="preserve"> </w:t>
      </w:r>
      <w:r w:rsidR="00706355" w:rsidRPr="0096338A">
        <w:t>hiaten al op in hun onderzoek naar gegenderd taalgebruik in</w:t>
      </w:r>
      <w:r w:rsidR="00B80C41" w:rsidRPr="0096338A">
        <w:t xml:space="preserve"> de ordonnanties van Douai.</w:t>
      </w:r>
      <w:r w:rsidR="00B80C41" w:rsidRPr="0096338A">
        <w:rPr>
          <w:rStyle w:val="Voetnootmarkering"/>
        </w:rPr>
        <w:footnoteReference w:id="80"/>
      </w:r>
      <w:r w:rsidR="00B80C41" w:rsidRPr="0096338A">
        <w:t xml:space="preserve"> Howell stelde in haar onderzoek naar Leiden eveneens dat de afwezigheid van vrouwelijke wevers en volders in de Keurboeken niet betekende dat ze niet </w:t>
      </w:r>
      <w:r w:rsidR="003D2B34" w:rsidRPr="0096338A">
        <w:t>vertegenwoordigd</w:t>
      </w:r>
      <w:r w:rsidR="00B80C41" w:rsidRPr="0096338A">
        <w:t xml:space="preserve"> waren.</w:t>
      </w:r>
      <w:r w:rsidR="00B80C41" w:rsidRPr="0096338A">
        <w:rPr>
          <w:rStyle w:val="Voetnootmarkering"/>
        </w:rPr>
        <w:footnoteReference w:id="81"/>
      </w:r>
      <w:r w:rsidR="00B80C41" w:rsidRPr="0096338A">
        <w:t xml:space="preserve"> De Leuvense stadsordonnanties bevestigen </w:t>
      </w:r>
      <w:r w:rsidR="003D2B34" w:rsidRPr="0096338A">
        <w:t>in beperkte mate</w:t>
      </w:r>
      <w:r w:rsidR="00B80C41" w:rsidRPr="0096338A">
        <w:t xml:space="preserve"> eveneens dat vrouwen </w:t>
      </w:r>
      <w:r w:rsidR="00706355" w:rsidRPr="0096338A">
        <w:t>werkten in de</w:t>
      </w:r>
      <w:r w:rsidR="00B80C41" w:rsidRPr="0096338A">
        <w:t xml:space="preserve"> lakennijverheid. </w:t>
      </w:r>
    </w:p>
    <w:p w:rsidR="00B80C41" w:rsidRPr="0096338A" w:rsidRDefault="00B80C41" w:rsidP="00B80C41">
      <w:pPr>
        <w:ind w:left="708"/>
        <w:rPr>
          <w:i/>
        </w:rPr>
      </w:pPr>
      <w:r w:rsidRPr="0096338A">
        <w:rPr>
          <w:i/>
        </w:rPr>
        <w:t>Item dat elc man oft wijf sijn laken mogen vercoepen op der hallen na der gulden rec</w:t>
      </w:r>
      <w:r w:rsidR="006A2F70" w:rsidRPr="0096338A">
        <w:rPr>
          <w:i/>
        </w:rPr>
        <w:t>ht wien hi wilt ende can ende borghen</w:t>
      </w:r>
      <w:r w:rsidRPr="0096338A">
        <w:rPr>
          <w:i/>
        </w:rPr>
        <w:t xml:space="preserve"> alsoe lange ende cort als si</w:t>
      </w:r>
      <w:r w:rsidR="006A2F70" w:rsidRPr="0096338A">
        <w:rPr>
          <w:i/>
        </w:rPr>
        <w:t>j</w:t>
      </w:r>
      <w:r w:rsidRPr="0096338A">
        <w:rPr>
          <w:i/>
        </w:rPr>
        <w:t xml:space="preserve"> eens word</w:t>
      </w:r>
      <w:r w:rsidR="006A2F70" w:rsidRPr="0096338A">
        <w:rPr>
          <w:i/>
        </w:rPr>
        <w:t>en sonder der</w:t>
      </w:r>
      <w:r w:rsidR="00C53568" w:rsidRPr="0096338A">
        <w:rPr>
          <w:i/>
        </w:rPr>
        <w:t>aen te verboeren.</w:t>
      </w:r>
      <w:r w:rsidRPr="0096338A">
        <w:rPr>
          <w:rStyle w:val="Voetnootmarkering"/>
        </w:rPr>
        <w:footnoteReference w:id="82"/>
      </w:r>
    </w:p>
    <w:p w:rsidR="00B80C41" w:rsidRPr="0096338A" w:rsidRDefault="006743C2" w:rsidP="00B80C41">
      <w:r w:rsidRPr="0096338A">
        <w:t xml:space="preserve">Iedereen mocht dus, mits betaling, laken verkopen. </w:t>
      </w:r>
      <w:r w:rsidR="00B80C41" w:rsidRPr="0096338A">
        <w:t xml:space="preserve">Dezelfde oorkonde geeft te kennen dat vrouwen niet enkel laken </w:t>
      </w:r>
      <w:r w:rsidR="003D2B34" w:rsidRPr="0096338A">
        <w:t>verkochten</w:t>
      </w:r>
      <w:r w:rsidR="00B80C41" w:rsidRPr="0096338A">
        <w:t xml:space="preserve">, maar in </w:t>
      </w:r>
      <w:r w:rsidR="003D2B34" w:rsidRPr="0096338A">
        <w:t xml:space="preserve">deze </w:t>
      </w:r>
      <w:r w:rsidR="00B80C41" w:rsidRPr="0096338A">
        <w:t>nijverheid</w:t>
      </w:r>
      <w:r w:rsidR="003D2B34" w:rsidRPr="0096338A">
        <w:t xml:space="preserve"> ook</w:t>
      </w:r>
      <w:r w:rsidR="00B80C41" w:rsidRPr="0096338A">
        <w:t xml:space="preserve"> </w:t>
      </w:r>
      <w:r w:rsidR="003D2B34" w:rsidRPr="0096338A">
        <w:t>e</w:t>
      </w:r>
      <w:r w:rsidR="00B80C41" w:rsidRPr="0096338A">
        <w:t xml:space="preserve">en </w:t>
      </w:r>
      <w:r w:rsidR="003D2B34" w:rsidRPr="0096338A">
        <w:t>rol speelden als spinsters</w:t>
      </w:r>
      <w:r w:rsidR="00B80C41" w:rsidRPr="0096338A">
        <w:t xml:space="preserve">. Naast de klachten van de wevers en de volders, spreekt de ordonnantie namelijk eveneens </w:t>
      </w:r>
      <w:r w:rsidR="003D2B34" w:rsidRPr="0096338A">
        <w:t xml:space="preserve">over </w:t>
      </w:r>
      <w:r w:rsidR="00B80C41" w:rsidRPr="0096338A">
        <w:rPr>
          <w:i/>
        </w:rPr>
        <w:t>spynneressen</w:t>
      </w:r>
      <w:r w:rsidR="00B80C41" w:rsidRPr="0096338A">
        <w:t xml:space="preserve">, </w:t>
      </w:r>
      <w:r w:rsidR="003D2B34" w:rsidRPr="0096338A">
        <w:t xml:space="preserve">waarbij de </w:t>
      </w:r>
      <w:r w:rsidR="00706355" w:rsidRPr="0096338A">
        <w:t>genderspecifieke</w:t>
      </w:r>
      <w:r w:rsidR="003D2B34" w:rsidRPr="0096338A">
        <w:t xml:space="preserve"> formulering opvalt</w:t>
      </w:r>
      <w:r w:rsidR="00B80C41" w:rsidRPr="0096338A">
        <w:t>.</w:t>
      </w:r>
      <w:r w:rsidR="00B80C41" w:rsidRPr="0096338A">
        <w:rPr>
          <w:rStyle w:val="Voetnootmarkering"/>
        </w:rPr>
        <w:footnoteReference w:id="83"/>
      </w:r>
      <w:r w:rsidR="00B80C41" w:rsidRPr="0096338A">
        <w:t xml:space="preserve"> </w:t>
      </w:r>
      <w:r w:rsidR="000E07B0" w:rsidRPr="0096338A">
        <w:t xml:space="preserve">Het beroep lijkt dus voornamelijk door vrouwen te zijn uitgeoefend. </w:t>
      </w:r>
      <w:r w:rsidR="00257B29" w:rsidRPr="0096338A">
        <w:t xml:space="preserve">Verder </w:t>
      </w:r>
      <w:r w:rsidR="00706355" w:rsidRPr="0096338A">
        <w:t>werkten</w:t>
      </w:r>
      <w:r w:rsidR="00257B29" w:rsidRPr="0096338A">
        <w:t xml:space="preserve"> vrouwen eveneens in het linnenweversambacht, dat volgens Van Houtte in de vijftiende eeuw als belangrijkste tak van de Leuvense lakenindustrie opkwam.</w:t>
      </w:r>
      <w:r w:rsidR="00257B29" w:rsidRPr="0096338A">
        <w:rPr>
          <w:rStyle w:val="Voetnootmarkering"/>
        </w:rPr>
        <w:footnoteReference w:id="84"/>
      </w:r>
      <w:r w:rsidR="00257B29" w:rsidRPr="0096338A">
        <w:t xml:space="preserve"> </w:t>
      </w:r>
      <w:r w:rsidR="00B80C41" w:rsidRPr="0096338A">
        <w:t>De aanw</w:t>
      </w:r>
      <w:r w:rsidR="003D2B34" w:rsidRPr="0096338A">
        <w:t>ezigheid van vrouwen binnen de Leuvense</w:t>
      </w:r>
      <w:r w:rsidR="00B80C41" w:rsidRPr="0096338A">
        <w:t xml:space="preserve"> lakennijverheid bestond dus zeker, ondanks de </w:t>
      </w:r>
      <w:r w:rsidR="00462B6A" w:rsidRPr="0096338A">
        <w:t>stilten</w:t>
      </w:r>
      <w:r w:rsidR="003D2B34" w:rsidRPr="0096338A">
        <w:t xml:space="preserve"> in </w:t>
      </w:r>
      <w:r w:rsidR="00B80C41" w:rsidRPr="0096338A">
        <w:t>de bronnen.</w:t>
      </w:r>
      <w:r w:rsidR="00257B29" w:rsidRPr="0096338A">
        <w:t xml:space="preserve"> Mogelijk</w:t>
      </w:r>
      <w:r w:rsidR="003C6F1B" w:rsidRPr="0096338A">
        <w:t>s</w:t>
      </w:r>
      <w:r w:rsidR="00257B29" w:rsidRPr="0096338A">
        <w:t xml:space="preserve"> betekent </w:t>
      </w:r>
      <w:r w:rsidR="00C739F8" w:rsidRPr="0096338A">
        <w:t>het gebrek aan expli</w:t>
      </w:r>
      <w:r w:rsidR="00706355" w:rsidRPr="0096338A">
        <w:t>ciete uitspraken</w:t>
      </w:r>
      <w:r w:rsidR="00257B29" w:rsidRPr="0096338A">
        <w:t xml:space="preserve"> net dat vrouwen zo veel voorkwamen binnen deze nijverheid, dat het niet bij het stadsbestuur opkwam om een genderonderscheid in de ordonnanties te maken.</w:t>
      </w:r>
    </w:p>
    <w:p w:rsidR="00462B6A" w:rsidRPr="0096338A" w:rsidRDefault="00B80C41" w:rsidP="00B80C41">
      <w:r w:rsidRPr="0096338A">
        <w:tab/>
        <w:t xml:space="preserve">Waar eerder onderzoek reeds aantoonde </w:t>
      </w:r>
      <w:r w:rsidR="00706355" w:rsidRPr="0096338A">
        <w:t>dat het lidmaatschap van v</w:t>
      </w:r>
      <w:r w:rsidRPr="0096338A">
        <w:t xml:space="preserve">rouwen zich voornamelijk </w:t>
      </w:r>
      <w:r w:rsidR="00C61251" w:rsidRPr="0096338A">
        <w:t xml:space="preserve">tot </w:t>
      </w:r>
      <w:r w:rsidRPr="0096338A">
        <w:t>de kleine</w:t>
      </w:r>
      <w:r w:rsidR="00C61251" w:rsidRPr="0096338A">
        <w:t>, minder prestigieuze</w:t>
      </w:r>
      <w:r w:rsidRPr="0096338A">
        <w:t xml:space="preserve"> ambachten beperkte, </w:t>
      </w:r>
      <w:r w:rsidR="00C61251" w:rsidRPr="0096338A">
        <w:t>wijkt</w:t>
      </w:r>
      <w:r w:rsidRPr="0096338A">
        <w:t xml:space="preserve"> Leuven af van dit </w:t>
      </w:r>
      <w:r w:rsidRPr="0096338A">
        <w:lastRenderedPageBreak/>
        <w:t>patroon.</w:t>
      </w:r>
      <w:r w:rsidRPr="0096338A">
        <w:rPr>
          <w:rStyle w:val="Voetnootmarkering"/>
        </w:rPr>
        <w:footnoteReference w:id="85"/>
      </w:r>
      <w:r w:rsidRPr="0096338A">
        <w:t xml:space="preserve"> </w:t>
      </w:r>
      <w:r w:rsidR="00C61251" w:rsidRPr="0096338A">
        <w:t>Belangrijk hierbij is om het verschil in de aard van de Leuvense economie</w:t>
      </w:r>
      <w:r w:rsidR="00462B6A" w:rsidRPr="0096338A">
        <w:t>, vergele</w:t>
      </w:r>
      <w:r w:rsidR="006D6C27" w:rsidRPr="0096338A">
        <w:t xml:space="preserve">ken met die </w:t>
      </w:r>
      <w:r w:rsidR="00C61251" w:rsidRPr="0096338A">
        <w:t>van andere steden</w:t>
      </w:r>
      <w:r w:rsidR="006D6C27" w:rsidRPr="0096338A">
        <w:t>,</w:t>
      </w:r>
      <w:r w:rsidR="00C61251" w:rsidRPr="0096338A">
        <w:t xml:space="preserve"> in </w:t>
      </w:r>
      <w:r w:rsidR="006D6C27" w:rsidRPr="0096338A">
        <w:t xml:space="preserve">aanmerking te nemen. </w:t>
      </w:r>
      <w:r w:rsidR="00C61251" w:rsidRPr="0096338A">
        <w:t>Zoals reeds vermeld was de</w:t>
      </w:r>
      <w:r w:rsidRPr="0096338A">
        <w:t xml:space="preserve"> Leuvense markt in de vijftiende eeuw kleinschaliger dan bijvoorbeeld die van Gent en </w:t>
      </w:r>
      <w:r w:rsidR="00C61251" w:rsidRPr="0096338A">
        <w:t>de</w:t>
      </w:r>
      <w:r w:rsidRPr="0096338A">
        <w:t xml:space="preserve"> ambachten waren </w:t>
      </w:r>
      <w:r w:rsidR="00462B6A" w:rsidRPr="0096338A">
        <w:t xml:space="preserve">er </w:t>
      </w:r>
      <w:r w:rsidRPr="0096338A">
        <w:t xml:space="preserve">dus meer lokaal gericht. </w:t>
      </w:r>
      <w:r w:rsidR="00C61251" w:rsidRPr="0096338A">
        <w:t>In</w:t>
      </w:r>
      <w:r w:rsidRPr="0096338A">
        <w:t xml:space="preserve"> </w:t>
      </w:r>
      <w:r w:rsidR="00462B6A" w:rsidRPr="0096338A">
        <w:t>de Brabantse</w:t>
      </w:r>
      <w:r w:rsidRPr="0096338A">
        <w:t xml:space="preserve"> stad ligt </w:t>
      </w:r>
      <w:r w:rsidR="00C61251" w:rsidRPr="0096338A">
        <w:t xml:space="preserve">het onderscheid tussen ambachten </w:t>
      </w:r>
      <w:r w:rsidRPr="0096338A">
        <w:t xml:space="preserve">dan ook voornamelijk in het </w:t>
      </w:r>
      <w:r w:rsidR="00C61251" w:rsidRPr="0096338A">
        <w:t>verschil</w:t>
      </w:r>
      <w:r w:rsidRPr="0096338A">
        <w:t xml:space="preserve"> tussen</w:t>
      </w:r>
      <w:r w:rsidR="00C61251" w:rsidRPr="0096338A">
        <w:t xml:space="preserve"> de</w:t>
      </w:r>
      <w:r w:rsidRPr="0096338A">
        <w:t xml:space="preserve"> meer en minder prestigieuze en welvarende </w:t>
      </w:r>
      <w:r w:rsidR="00C61251" w:rsidRPr="0096338A">
        <w:t>groeperingen</w:t>
      </w:r>
      <w:r w:rsidR="00E71AAB" w:rsidRPr="0096338A">
        <w:t xml:space="preserve"> en niet zo zeer in </w:t>
      </w:r>
      <w:r w:rsidR="006D6C27" w:rsidRPr="0096338A">
        <w:t>het</w:t>
      </w:r>
      <w:r w:rsidR="00E71AAB" w:rsidRPr="0096338A">
        <w:t xml:space="preserve"> internationaal karakter van het ambacht</w:t>
      </w:r>
      <w:r w:rsidRPr="0096338A">
        <w:t xml:space="preserve">. Vrouwen </w:t>
      </w:r>
      <w:r w:rsidR="00706355" w:rsidRPr="0096338A">
        <w:t>werkten</w:t>
      </w:r>
      <w:r w:rsidRPr="0096338A">
        <w:t xml:space="preserve"> hier eveneens in de kleinere ambachten, maar meer opvallend is dat de ordonnanties eveneens spreken o</w:t>
      </w:r>
      <w:r w:rsidR="006D6C27" w:rsidRPr="0096338A">
        <w:t>ver vrouwen in onder andere het</w:t>
      </w:r>
      <w:r w:rsidR="00C739F8" w:rsidRPr="0096338A">
        <w:t xml:space="preserve"> smeden</w:t>
      </w:r>
      <w:r w:rsidRPr="0096338A">
        <w:t>– en vleeshouwersambacht</w:t>
      </w:r>
      <w:r w:rsidR="00C61251" w:rsidRPr="0096338A">
        <w:t xml:space="preserve">, die </w:t>
      </w:r>
      <w:r w:rsidR="00C739F8" w:rsidRPr="0096338A">
        <w:t>een hogere status</w:t>
      </w:r>
      <w:r w:rsidR="00C61251" w:rsidRPr="0096338A">
        <w:t xml:space="preserve"> g</w:t>
      </w:r>
      <w:r w:rsidR="006D6C27" w:rsidRPr="0096338A">
        <w:t>enoten. Vooral die</w:t>
      </w:r>
      <w:r w:rsidRPr="0096338A">
        <w:t xml:space="preserve"> laatste </w:t>
      </w:r>
      <w:r w:rsidR="00C61251" w:rsidRPr="0096338A">
        <w:t xml:space="preserve">beroepstak </w:t>
      </w:r>
      <w:r w:rsidRPr="0096338A">
        <w:t xml:space="preserve">vormt een interessante casus, aangezien eerder onderzoek </w:t>
      </w:r>
      <w:r w:rsidR="006D6C27" w:rsidRPr="0096338A">
        <w:t xml:space="preserve">op dit vlak tot </w:t>
      </w:r>
      <w:r w:rsidR="00C61251" w:rsidRPr="0096338A">
        <w:t>a</w:t>
      </w:r>
      <w:r w:rsidRPr="0096338A">
        <w:t xml:space="preserve">ndere resultaten </w:t>
      </w:r>
      <w:r w:rsidR="006D6C27" w:rsidRPr="0096338A">
        <w:t xml:space="preserve">kwam. </w:t>
      </w:r>
      <w:r w:rsidRPr="0096338A">
        <w:t xml:space="preserve">Voornamelijk de studie naar </w:t>
      </w:r>
      <w:r w:rsidR="006D6C27" w:rsidRPr="0096338A">
        <w:t xml:space="preserve">de </w:t>
      </w:r>
      <w:r w:rsidR="00462B6A" w:rsidRPr="0096338A">
        <w:t>genderindeling</w:t>
      </w:r>
      <w:r w:rsidRPr="0096338A">
        <w:t xml:space="preserve"> va</w:t>
      </w:r>
      <w:r w:rsidR="005D600F" w:rsidRPr="0096338A">
        <w:t>n de Gentse marktruimte, die Shenna</w:t>
      </w:r>
      <w:r w:rsidRPr="0096338A">
        <w:t xml:space="preserve">n Hutton </w:t>
      </w:r>
      <w:r w:rsidR="00C61251" w:rsidRPr="0096338A">
        <w:t>uitvoerde</w:t>
      </w:r>
      <w:r w:rsidRPr="0096338A">
        <w:t xml:space="preserve">, toont het contrast met de Leuvense situatie in de vijftiende eeuw. </w:t>
      </w:r>
      <w:r w:rsidRPr="0096338A">
        <w:rPr>
          <w:lang w:val="en-GB"/>
        </w:rPr>
        <w:t xml:space="preserve">“The butchers, fishmongers, shippers, and brewers were the first Ghent guilds to restrict their membership to sons of previous masters. </w:t>
      </w:r>
      <w:r w:rsidRPr="0096338A">
        <w:t>None admitted women.”</w:t>
      </w:r>
      <w:r w:rsidRPr="0096338A">
        <w:rPr>
          <w:rStyle w:val="Voetnootmarkering"/>
        </w:rPr>
        <w:footnoteReference w:id="86"/>
      </w:r>
      <w:r w:rsidRPr="0096338A">
        <w:t xml:space="preserve"> </w:t>
      </w:r>
      <w:r w:rsidR="00462B6A" w:rsidRPr="0096338A">
        <w:t>Ze verklaart die</w:t>
      </w:r>
      <w:r w:rsidRPr="0096338A">
        <w:t xml:space="preserve"> </w:t>
      </w:r>
      <w:r w:rsidR="00F243EC" w:rsidRPr="0096338A">
        <w:t>uitsluiting</w:t>
      </w:r>
      <w:r w:rsidRPr="0096338A">
        <w:t xml:space="preserve"> van vrouwen onder meer door de zware aard van het werk. Zelfstandig ondernemerschap voor vrouwen binnen dit ambacht was dan ook uitgesloten. Natalie Zemon Davis stelt dat vrouwen in zestiende-eeuws Lyon hun echtgenoten wel konden helpen, maar</w:t>
      </w:r>
      <w:r w:rsidR="006D6C27" w:rsidRPr="0096338A">
        <w:t xml:space="preserve"> maakt geen gewag van</w:t>
      </w:r>
      <w:r w:rsidRPr="0096338A">
        <w:t xml:space="preserve"> een zelfstandig lidmaatschap.</w:t>
      </w:r>
      <w:r w:rsidRPr="0096338A">
        <w:rPr>
          <w:rStyle w:val="Voetnootmarkering"/>
        </w:rPr>
        <w:footnoteReference w:id="87"/>
      </w:r>
      <w:r w:rsidR="00966066" w:rsidRPr="0096338A">
        <w:t xml:space="preserve"> </w:t>
      </w:r>
    </w:p>
    <w:p w:rsidR="00B80C41" w:rsidRPr="0096338A" w:rsidRDefault="006D6C27" w:rsidP="00462B6A">
      <w:pPr>
        <w:ind w:firstLine="705"/>
      </w:pPr>
      <w:r w:rsidRPr="0096338A">
        <w:t>In</w:t>
      </w:r>
      <w:r w:rsidR="00966066" w:rsidRPr="0096338A">
        <w:t xml:space="preserve"> Leuven waren</w:t>
      </w:r>
      <w:r w:rsidRPr="0096338A">
        <w:t xml:space="preserve"> vrouwen </w:t>
      </w:r>
      <w:r w:rsidR="00966066" w:rsidRPr="0096338A">
        <w:t>niet enkel aanwezig in het prestigieuze slagersambacht, waar</w:t>
      </w:r>
      <w:r w:rsidRPr="0096338A">
        <w:t>op</w:t>
      </w:r>
      <w:r w:rsidR="00966066" w:rsidRPr="0096338A">
        <w:t xml:space="preserve"> zo meteen verder </w:t>
      </w:r>
      <w:r w:rsidRPr="0096338A">
        <w:t>w</w:t>
      </w:r>
      <w:r w:rsidR="00966066" w:rsidRPr="0096338A">
        <w:t xml:space="preserve">ordt ingegaan. De Leuvense ordonnanties verraden dat ze eveneens in het vissersambacht zaten, al lijkt </w:t>
      </w:r>
      <w:r w:rsidR="004B27D2" w:rsidRPr="0096338A">
        <w:t xml:space="preserve">hun </w:t>
      </w:r>
      <w:r w:rsidR="009C127D" w:rsidRPr="0096338A">
        <w:t>aanwezigheid eerder beperkt</w:t>
      </w:r>
      <w:r w:rsidR="00966066" w:rsidRPr="0096338A">
        <w:t xml:space="preserve">. </w:t>
      </w:r>
    </w:p>
    <w:p w:rsidR="00966066" w:rsidRPr="0096338A" w:rsidRDefault="00966066" w:rsidP="00966066">
      <w:pPr>
        <w:ind w:left="705"/>
        <w:rPr>
          <w:i/>
        </w:rPr>
      </w:pPr>
      <w:r w:rsidRPr="0096338A">
        <w:rPr>
          <w:i/>
        </w:rPr>
        <w:t xml:space="preserve">[…] wel verstaende dat visvrouwen sullen meugen eenen man neemen </w:t>
      </w:r>
      <w:r w:rsidR="006D6C27" w:rsidRPr="0096338A">
        <w:rPr>
          <w:i/>
        </w:rPr>
        <w:t>om voir hem [</w:t>
      </w:r>
      <w:r w:rsidRPr="0096338A">
        <w:rPr>
          <w:i/>
        </w:rPr>
        <w:t>de buytencoopman] te coopen ende eenen wagen besundere maken ende nyet voirdere.</w:t>
      </w:r>
      <w:r w:rsidRPr="0096338A">
        <w:rPr>
          <w:rStyle w:val="Voetnootmarkering"/>
          <w:i/>
        </w:rPr>
        <w:footnoteReference w:id="88"/>
      </w:r>
    </w:p>
    <w:p w:rsidR="00C210C3" w:rsidRPr="0096338A" w:rsidRDefault="00C210C3" w:rsidP="00C210C3">
      <w:r w:rsidRPr="0096338A">
        <w:t>Visvrouwen, die dus bij het ambacht hoorden, mochten iemand inhuren die voor hen vis van de buitenkoopman kocht. Deze studie gaat later dieper in op de aanwezigheid van vrouwen op de vismarkt en de informele markt. De beslissing waarin visvrouwen vermeld staan, toont echter aan dat ze wel degelijk eveneens binnen het ambach</w:t>
      </w:r>
      <w:r w:rsidR="0061040E" w:rsidRPr="0096338A">
        <w:t>t</w:t>
      </w:r>
      <w:r w:rsidR="00706355" w:rsidRPr="0096338A">
        <w:t xml:space="preserve"> zaten</w:t>
      </w:r>
      <w:r w:rsidR="0061040E" w:rsidRPr="0096338A">
        <w:t xml:space="preserve"> en hierbij zelfs aan </w:t>
      </w:r>
      <w:r w:rsidRPr="0096338A">
        <w:t>handel konden doen</w:t>
      </w:r>
      <w:r w:rsidR="00462B6A" w:rsidRPr="0096338A">
        <w:t xml:space="preserve"> op grotere schaal dan enkel de verkoop van vissen uit het eigen domein</w:t>
      </w:r>
      <w:r w:rsidRPr="0096338A">
        <w:t xml:space="preserve">. </w:t>
      </w:r>
    </w:p>
    <w:p w:rsidR="00E71AAB" w:rsidRPr="0096338A" w:rsidRDefault="00B80C41" w:rsidP="006D6C27">
      <w:pPr>
        <w:ind w:firstLine="708"/>
      </w:pPr>
      <w:r w:rsidRPr="0096338A">
        <w:lastRenderedPageBreak/>
        <w:t xml:space="preserve">Binnen het Leuvense slagersambacht </w:t>
      </w:r>
      <w:r w:rsidR="00023010" w:rsidRPr="0096338A">
        <w:t>kenden</w:t>
      </w:r>
      <w:r w:rsidRPr="0096338A">
        <w:t xml:space="preserve"> vrouwen door meer dan </w:t>
      </w:r>
      <w:r w:rsidR="0061040E" w:rsidRPr="0096338A">
        <w:t>slechts</w:t>
      </w:r>
      <w:r w:rsidRPr="0096338A">
        <w:t xml:space="preserve"> hulp aan hun man </w:t>
      </w:r>
      <w:r w:rsidR="00023010" w:rsidRPr="0096338A">
        <w:t>toegang tot het ambacht</w:t>
      </w:r>
      <w:r w:rsidRPr="0096338A">
        <w:t xml:space="preserve">. Vrouwen konden zelfstandig lidmaatschap verwerven, iets dat in Gent </w:t>
      </w:r>
      <w:r w:rsidR="00023010" w:rsidRPr="0096338A">
        <w:t>volgens Hutton ondenkbaar</w:t>
      </w:r>
      <w:r w:rsidRPr="0096338A">
        <w:t xml:space="preserve"> was. Uit de ordonnanties blijkt dat zowel weduwen als getrouwde vrouwen er een rol in speelden. Ongetrouwde vrouwen worden niet expliciet vermeld, maar waren mogelijk</w:t>
      </w:r>
      <w:r w:rsidR="003C6F1B" w:rsidRPr="0096338A">
        <w:t>s</w:t>
      </w:r>
      <w:r w:rsidRPr="0096338A">
        <w:t xml:space="preserve"> eveneens aanwezig binnen het</w:t>
      </w:r>
      <w:r w:rsidR="00023010" w:rsidRPr="0096338A">
        <w:t xml:space="preserve"> ambacht. De stadsraad verklaarde</w:t>
      </w:r>
      <w:r w:rsidRPr="0096338A">
        <w:t xml:space="preserve"> in 1457 bijvoorbeeld dat vrou</w:t>
      </w:r>
      <w:r w:rsidR="00023010" w:rsidRPr="0096338A">
        <w:t>welijke vleeshouwers pensen mochte</w:t>
      </w:r>
      <w:r w:rsidRPr="0096338A">
        <w:t xml:space="preserve">n verkopen. De voorwaarden hiervoor omvatten dat ze als oudste kind geboren </w:t>
      </w:r>
      <w:r w:rsidR="00023010" w:rsidRPr="0096338A">
        <w:t xml:space="preserve">waren </w:t>
      </w:r>
      <w:r w:rsidRPr="0096338A">
        <w:t>binnen het ambacht en vijf rijders</w:t>
      </w:r>
      <w:r w:rsidR="00023010" w:rsidRPr="0096338A">
        <w:t xml:space="preserve"> betaalden, wat gelijk stond</w:t>
      </w:r>
      <w:r w:rsidRPr="0096338A">
        <w:t xml:space="preserve"> aan de helft van het ambachtsgeld.</w:t>
      </w:r>
      <w:r w:rsidRPr="0096338A">
        <w:rPr>
          <w:rStyle w:val="Voetnootmarkering"/>
        </w:rPr>
        <w:footnoteReference w:id="89"/>
      </w:r>
      <w:r w:rsidRPr="0096338A">
        <w:t xml:space="preserve"> Van Uytven stelde reeds dat pensen verkopen een activiteit was die gewoonlijk aan weduwen werd overgelaten, om hen zo alsnog uit het </w:t>
      </w:r>
      <w:r w:rsidR="00023010" w:rsidRPr="0096338A">
        <w:t xml:space="preserve">actieve </w:t>
      </w:r>
      <w:r w:rsidRPr="0096338A">
        <w:t>ambacht</w:t>
      </w:r>
      <w:r w:rsidR="00023010" w:rsidRPr="0096338A">
        <w:t>swezen</w:t>
      </w:r>
      <w:r w:rsidRPr="0096338A">
        <w:t xml:space="preserve"> te weren. De verkoop was zelfs elders gelokaliseerd dan in </w:t>
      </w:r>
      <w:r w:rsidR="00023010" w:rsidRPr="0096338A">
        <w:t>de Vleeshal</w:t>
      </w:r>
      <w:r w:rsidRPr="0096338A">
        <w:t>, namelijk in de Pensstraat.</w:t>
      </w:r>
      <w:r w:rsidRPr="0096338A">
        <w:rPr>
          <w:rStyle w:val="Voetnootmarkering"/>
        </w:rPr>
        <w:footnoteReference w:id="90"/>
      </w:r>
      <w:r w:rsidRPr="0096338A">
        <w:t xml:space="preserve"> </w:t>
      </w:r>
      <w:r w:rsidR="00E71AAB" w:rsidRPr="0096338A">
        <w:t>Toch waren vrouwen eveneens actief in de Vleeshal, waar</w:t>
      </w:r>
      <w:r w:rsidR="006D6C27" w:rsidRPr="0096338A">
        <w:t>op</w:t>
      </w:r>
      <w:r w:rsidR="00462B6A" w:rsidRPr="0096338A">
        <w:t xml:space="preserve"> een</w:t>
      </w:r>
      <w:r w:rsidR="00E71AAB" w:rsidRPr="0096338A">
        <w:t xml:space="preserve"> laatste hoofdstuk</w:t>
      </w:r>
      <w:r w:rsidR="006D6C27" w:rsidRPr="0096338A">
        <w:t xml:space="preserve"> </w:t>
      </w:r>
      <w:r w:rsidR="00E71AAB" w:rsidRPr="0096338A">
        <w:t>verder ingaat</w:t>
      </w:r>
      <w:r w:rsidR="00462B6A" w:rsidRPr="0096338A">
        <w:t xml:space="preserve"> wanneer deze scriptie zich toespitst op de studie van de Leuvense marktruimte</w:t>
      </w:r>
      <w:r w:rsidR="00E71AAB" w:rsidRPr="0096338A">
        <w:t xml:space="preserve">. </w:t>
      </w:r>
      <w:r w:rsidRPr="0096338A">
        <w:t xml:space="preserve">De </w:t>
      </w:r>
      <w:r w:rsidR="00C72D4A" w:rsidRPr="0096338A">
        <w:t xml:space="preserve">Leuvense </w:t>
      </w:r>
      <w:r w:rsidRPr="0096338A">
        <w:t xml:space="preserve">ordonnanties spreken echter niet </w:t>
      </w:r>
      <w:r w:rsidR="00C72D4A" w:rsidRPr="0096338A">
        <w:t>eenduidig</w:t>
      </w:r>
      <w:r w:rsidRPr="0096338A">
        <w:t xml:space="preserve"> over weduwen en het zou hier eveneens over de bredere groep van alleenstaande vrouwen</w:t>
      </w:r>
      <w:r w:rsidR="00E71AAB" w:rsidRPr="0096338A">
        <w:t xml:space="preserve"> </w:t>
      </w:r>
      <w:r w:rsidR="006D6C27" w:rsidRPr="0096338A">
        <w:t>kunnen gaan.</w:t>
      </w:r>
    </w:p>
    <w:p w:rsidR="00B80C41" w:rsidRPr="0096338A" w:rsidRDefault="00B80C41" w:rsidP="00B80C41">
      <w:pPr>
        <w:ind w:firstLine="708"/>
      </w:pPr>
      <w:r w:rsidRPr="0096338A">
        <w:t xml:space="preserve">Hoewel de regel stelde dat vrouwen </w:t>
      </w:r>
      <w:r w:rsidR="008F1E95" w:rsidRPr="0096338A">
        <w:t xml:space="preserve">het ambacht moesten verlaten </w:t>
      </w:r>
      <w:r w:rsidRPr="0096338A">
        <w:t xml:space="preserve">wanneer ze trouwden, toont het kleine arsenaal aan praktijkbronnen aan dat dit niet steeds gebeurde. Zo klaagden de gezworenen van het vleeshouwersambacht </w:t>
      </w:r>
      <w:r w:rsidR="006812C2" w:rsidRPr="0096338A">
        <w:t xml:space="preserve">in 1461 </w:t>
      </w:r>
      <w:r w:rsidRPr="0096338A">
        <w:t xml:space="preserve">Henric Mychiels en zijn vrouw Kateline aan, omdat ze pensen bleef verkopen ondanks haar huwelijk met </w:t>
      </w:r>
      <w:r w:rsidR="00C72D4A" w:rsidRPr="0096338A">
        <w:t xml:space="preserve">Henric, </w:t>
      </w:r>
      <w:r w:rsidR="00313260" w:rsidRPr="0096338A">
        <w:t>die ook in het ambacht zat</w:t>
      </w:r>
      <w:r w:rsidRPr="0096338A">
        <w:t xml:space="preserve">. </w:t>
      </w:r>
      <w:r w:rsidR="006D6C27" w:rsidRPr="0096338A">
        <w:t>Henric bracht</w:t>
      </w:r>
      <w:r w:rsidRPr="0096338A">
        <w:t xml:space="preserve"> hier echter tegenin dat </w:t>
      </w:r>
      <w:r w:rsidR="006D6C27" w:rsidRPr="0096338A">
        <w:t xml:space="preserve">hij </w:t>
      </w:r>
      <w:r w:rsidRPr="0096338A">
        <w:t xml:space="preserve">geboren </w:t>
      </w:r>
      <w:r w:rsidR="00C72D4A" w:rsidRPr="0096338A">
        <w:t>was binnen</w:t>
      </w:r>
      <w:r w:rsidRPr="0096338A">
        <w:t xml:space="preserve"> het ambacht en dat Kateline dit recht dus via haar huwelijk eveneens had </w:t>
      </w:r>
      <w:r w:rsidR="00C72D4A" w:rsidRPr="0096338A">
        <w:t>verkregen. De stadsraad oordeelde</w:t>
      </w:r>
      <w:r w:rsidRPr="0096338A">
        <w:t xml:space="preserve"> dat ze </w:t>
      </w:r>
      <w:r w:rsidR="00C72D4A" w:rsidRPr="0096338A">
        <w:t>pensen mocht</w:t>
      </w:r>
      <w:r w:rsidRPr="0096338A">
        <w:t xml:space="preserve"> blijven verkopen tot de gezworenen k</w:t>
      </w:r>
      <w:r w:rsidR="00C72D4A" w:rsidRPr="0096338A">
        <w:t>onde</w:t>
      </w:r>
      <w:r w:rsidRPr="0096338A">
        <w:t>n bewijzen dan Henrics vader al uit het ambacht</w:t>
      </w:r>
      <w:r w:rsidR="00C72D4A" w:rsidRPr="0096338A">
        <w:t xml:space="preserve"> was getreden</w:t>
      </w:r>
      <w:r w:rsidRPr="0096338A">
        <w:t xml:space="preserve"> voor </w:t>
      </w:r>
      <w:r w:rsidR="00C72D4A" w:rsidRPr="0096338A">
        <w:t>Henrics geboorte</w:t>
      </w:r>
      <w:r w:rsidRPr="0096338A">
        <w:t>.</w:t>
      </w:r>
      <w:r w:rsidRPr="0096338A">
        <w:rPr>
          <w:rStyle w:val="Voetnootmarkering"/>
        </w:rPr>
        <w:footnoteReference w:id="91"/>
      </w:r>
      <w:r w:rsidRPr="0096338A">
        <w:t xml:space="preserve"> </w:t>
      </w:r>
      <w:r w:rsidR="00313260" w:rsidRPr="0096338A">
        <w:t xml:space="preserve">Kateline mag dan afwezig zijn in de actieve redevoering van het conflict, ze was duidelijk een zelfstandige vrouw die </w:t>
      </w:r>
      <w:r w:rsidR="00897A49" w:rsidRPr="0096338A">
        <w:t xml:space="preserve">het beroep </w:t>
      </w:r>
      <w:r w:rsidR="00313260" w:rsidRPr="0096338A">
        <w:t xml:space="preserve">reeds voor haar huwelijk uitoefende. </w:t>
      </w:r>
      <w:r w:rsidRPr="0096338A">
        <w:t xml:space="preserve">Het verdere verloop van </w:t>
      </w:r>
      <w:r w:rsidR="00313260" w:rsidRPr="0096338A">
        <w:t>de</w:t>
      </w:r>
      <w:r w:rsidR="00C72D4A" w:rsidRPr="0096338A">
        <w:t xml:space="preserve"> beslissing</w:t>
      </w:r>
      <w:r w:rsidRPr="0096338A">
        <w:t xml:space="preserve"> kan worden nagegaan</w:t>
      </w:r>
      <w:r w:rsidR="00897A49" w:rsidRPr="0096338A">
        <w:t>,</w:t>
      </w:r>
      <w:r w:rsidRPr="0096338A">
        <w:t xml:space="preserve"> </w:t>
      </w:r>
      <w:r w:rsidR="00462B6A" w:rsidRPr="0096338A">
        <w:t>aangezien</w:t>
      </w:r>
      <w:r w:rsidRPr="0096338A">
        <w:t xml:space="preserve"> haar zoon zestien jaar later eveneens in conflict </w:t>
      </w:r>
      <w:r w:rsidR="00C72D4A" w:rsidRPr="0096338A">
        <w:t>kwam</w:t>
      </w:r>
      <w:r w:rsidRPr="0096338A">
        <w:t xml:space="preserve"> met de gezworenen van het vleeshouwersambacht. Uit de beschrijving van dit geschil </w:t>
      </w:r>
      <w:r w:rsidRPr="0096338A">
        <w:lastRenderedPageBreak/>
        <w:t xml:space="preserve">komt </w:t>
      </w:r>
      <w:r w:rsidR="00617FB6" w:rsidRPr="0096338A">
        <w:t>naar voor</w:t>
      </w:r>
      <w:r w:rsidR="00313260" w:rsidRPr="0096338A">
        <w:t xml:space="preserve"> dat</w:t>
      </w:r>
      <w:r w:rsidR="00897A49" w:rsidRPr="0096338A">
        <w:t xml:space="preserve"> </w:t>
      </w:r>
      <w:r w:rsidR="00313260" w:rsidRPr="0096338A">
        <w:t>Kateline</w:t>
      </w:r>
      <w:r w:rsidR="00897A49" w:rsidRPr="0096338A">
        <w:t xml:space="preserve"> bij leven</w:t>
      </w:r>
      <w:r w:rsidRPr="0096338A">
        <w:t xml:space="preserve"> pensen </w:t>
      </w:r>
      <w:r w:rsidR="00C72D4A" w:rsidRPr="0096338A">
        <w:t>bleef</w:t>
      </w:r>
      <w:r w:rsidRPr="0096338A">
        <w:t xml:space="preserve"> verko</w:t>
      </w:r>
      <w:r w:rsidR="00C72D4A" w:rsidRPr="0096338A">
        <w:t>pen</w:t>
      </w:r>
      <w:r w:rsidR="00897A49" w:rsidRPr="0096338A">
        <w:t xml:space="preserve">, </w:t>
      </w:r>
      <w:r w:rsidR="00C72D4A" w:rsidRPr="0096338A">
        <w:t>maar inmiddels gestorven was</w:t>
      </w:r>
      <w:r w:rsidRPr="0096338A">
        <w:t>.</w:t>
      </w:r>
      <w:r w:rsidRPr="0096338A">
        <w:rPr>
          <w:rStyle w:val="Voetnootmarkering"/>
        </w:rPr>
        <w:footnoteReference w:id="92"/>
      </w:r>
      <w:r w:rsidR="00897A49" w:rsidRPr="0096338A">
        <w:t xml:space="preserve"> Hoewel die</w:t>
      </w:r>
      <w:r w:rsidRPr="0096338A">
        <w:t xml:space="preserve"> gevalstudie niet toelaat de conclusie zonder meer te veralgemenen, verschilt hier de praktijk van de norm </w:t>
      </w:r>
      <w:r w:rsidR="00C72D4A" w:rsidRPr="0096338A">
        <w:t>en bestaat de mogelijkheid</w:t>
      </w:r>
      <w:r w:rsidRPr="0096338A">
        <w:t xml:space="preserve"> dat dit geen unieke situatie was. </w:t>
      </w:r>
    </w:p>
    <w:p w:rsidR="00B80C41" w:rsidRPr="0096338A" w:rsidRDefault="00B80C41" w:rsidP="00B80C41">
      <w:r w:rsidRPr="0096338A">
        <w:tab/>
        <w:t xml:space="preserve">Van Uytven geeft in zijn publicatie </w:t>
      </w:r>
      <w:r w:rsidRPr="0096338A">
        <w:rPr>
          <w:i/>
        </w:rPr>
        <w:t>Leuven, “de beste stad van Brabant”</w:t>
      </w:r>
      <w:r w:rsidRPr="0096338A">
        <w:t xml:space="preserve"> reeds weer dat het vleeshouwersambacht in Leuven beschikte over een relatief </w:t>
      </w:r>
      <w:r w:rsidR="00C72D4A" w:rsidRPr="0096338A">
        <w:t>monopolie op de vleeshandel. Deze vaststelling</w:t>
      </w:r>
      <w:r w:rsidRPr="0096338A">
        <w:t xml:space="preserve"> en het gesloten karakter van het lidmaatschap verklaren haar welvarendheid ten opzichte van andere ambachten.</w:t>
      </w:r>
      <w:r w:rsidRPr="0096338A">
        <w:rPr>
          <w:rStyle w:val="Voetnootmarkering"/>
        </w:rPr>
        <w:footnoteReference w:id="93"/>
      </w:r>
      <w:r w:rsidRPr="0096338A">
        <w:t xml:space="preserve"> </w:t>
      </w:r>
      <w:r w:rsidR="00C72D4A" w:rsidRPr="0096338A">
        <w:t>De vissers</w:t>
      </w:r>
      <w:r w:rsidRPr="0096338A">
        <w:t xml:space="preserve"> </w:t>
      </w:r>
      <w:r w:rsidR="00C72D4A" w:rsidRPr="0096338A">
        <w:t>klagen bijvoorbeeld</w:t>
      </w:r>
      <w:r w:rsidRPr="0096338A">
        <w:t xml:space="preserve"> dat hun groepering verarmde door de grote groep mensen die vis ver</w:t>
      </w:r>
      <w:r w:rsidR="00C72D4A" w:rsidRPr="0096338A">
        <w:t>kopen</w:t>
      </w:r>
      <w:r w:rsidRPr="0096338A">
        <w:t xml:space="preserve"> zonder lidmaatschap bij het vissersambacht, </w:t>
      </w:r>
      <w:r w:rsidR="00C72D4A" w:rsidRPr="0096338A">
        <w:t>iets waar dit onderzoek later op terugkomt</w:t>
      </w:r>
      <w:r w:rsidRPr="0096338A">
        <w:t>.</w:t>
      </w:r>
      <w:r w:rsidRPr="0096338A">
        <w:rPr>
          <w:rStyle w:val="Voetnootmarkering"/>
        </w:rPr>
        <w:footnoteReference w:id="94"/>
      </w:r>
      <w:r w:rsidRPr="0096338A">
        <w:t xml:space="preserve"> De vleeshouwers kregen hier minder mee te maken en werden </w:t>
      </w:r>
      <w:r w:rsidR="00C72D4A" w:rsidRPr="0096338A">
        <w:t>onder meer hierdoor</w:t>
      </w:r>
      <w:r w:rsidRPr="0096338A">
        <w:t xml:space="preserve"> een rij</w:t>
      </w:r>
      <w:r w:rsidR="00C72D4A" w:rsidRPr="0096338A">
        <w:t xml:space="preserve">kere groepering. Dit verklaart </w:t>
      </w:r>
      <w:r w:rsidRPr="0096338A">
        <w:t>eveneens de uitgebreide documentatie en</w:t>
      </w:r>
      <w:r w:rsidR="00C72D4A" w:rsidRPr="0096338A">
        <w:t xml:space="preserve"> daardoor</w:t>
      </w:r>
      <w:r w:rsidRPr="0096338A">
        <w:t xml:space="preserve"> de mogelijkheid om een verschil </w:t>
      </w:r>
      <w:r w:rsidR="00C72D4A" w:rsidRPr="0096338A">
        <w:t xml:space="preserve">in de werking van dit ambacht </w:t>
      </w:r>
      <w:r w:rsidR="00897A49" w:rsidRPr="0096338A">
        <w:t>tegenover die in</w:t>
      </w:r>
      <w:r w:rsidRPr="0096338A">
        <w:t xml:space="preserve"> andere steden op te merken.</w:t>
      </w:r>
    </w:p>
    <w:p w:rsidR="00B80C41" w:rsidRPr="0096338A" w:rsidRDefault="00C72D4A" w:rsidP="00B80C41">
      <w:r w:rsidRPr="0096338A">
        <w:tab/>
      </w:r>
      <w:r w:rsidR="00897A49" w:rsidRPr="0096338A">
        <w:t>Het</w:t>
      </w:r>
      <w:r w:rsidR="00B80C41" w:rsidRPr="0096338A">
        <w:t xml:space="preserve"> </w:t>
      </w:r>
      <w:r w:rsidRPr="0096338A">
        <w:t>slagers</w:t>
      </w:r>
      <w:r w:rsidR="00B80C41" w:rsidRPr="0096338A">
        <w:t>ambacht was</w:t>
      </w:r>
      <w:r w:rsidR="00897A49" w:rsidRPr="0096338A">
        <w:t xml:space="preserve"> echter </w:t>
      </w:r>
      <w:r w:rsidRPr="0096338A">
        <w:t>niet de enige nijverheidsgroep met</w:t>
      </w:r>
      <w:r w:rsidR="00B80C41" w:rsidRPr="0096338A">
        <w:t xml:space="preserve"> </w:t>
      </w:r>
      <w:r w:rsidR="00897A49" w:rsidRPr="0096338A">
        <w:t xml:space="preserve">een </w:t>
      </w:r>
      <w:r w:rsidR="00B80C41" w:rsidRPr="0096338A">
        <w:t xml:space="preserve">hoger prestige waarbinnen vrouwen een rol konden spelen. Ordonnanties met betrekking tot </w:t>
      </w:r>
      <w:r w:rsidR="00462B6A" w:rsidRPr="0096338A">
        <w:t>het oude, prestigieuze smedenambacht</w:t>
      </w:r>
      <w:r w:rsidR="00B80C41" w:rsidRPr="0096338A">
        <w:t xml:space="preserve"> vermelden eveneens vrouwen als ambachtslieden, al is het hier </w:t>
      </w:r>
      <w:r w:rsidRPr="0096338A">
        <w:t>o</w:t>
      </w:r>
      <w:r w:rsidR="00B80C41" w:rsidRPr="0096338A">
        <w:t>nduidelijk</w:t>
      </w:r>
      <w:r w:rsidRPr="0096338A">
        <w:t>er</w:t>
      </w:r>
      <w:r w:rsidR="00B80C41" w:rsidRPr="0096338A">
        <w:t xml:space="preserve"> welke familiale </w:t>
      </w:r>
      <w:r w:rsidRPr="0096338A">
        <w:t>status ze precies hadden</w:t>
      </w:r>
      <w:r w:rsidR="00B80C41" w:rsidRPr="0096338A">
        <w:t>. De stadsraad v</w:t>
      </w:r>
      <w:r w:rsidRPr="0096338A">
        <w:t>erbood</w:t>
      </w:r>
      <w:r w:rsidR="00B80C41" w:rsidRPr="0096338A">
        <w:t xml:space="preserve"> bijvoorbeeld om werk te verrichten op zondag voor alle gezworenen van het ambacht.</w:t>
      </w:r>
    </w:p>
    <w:p w:rsidR="00B80C41" w:rsidRPr="0096338A" w:rsidRDefault="00B80C41" w:rsidP="00B80C41">
      <w:pPr>
        <w:ind w:left="708" w:firstLine="60"/>
      </w:pPr>
      <w:r w:rsidRPr="0096338A">
        <w:rPr>
          <w:i/>
        </w:rPr>
        <w:t>Daer om is overdragen in</w:t>
      </w:r>
      <w:r w:rsidR="0096541A" w:rsidRPr="0096338A">
        <w:rPr>
          <w:i/>
        </w:rPr>
        <w:t xml:space="preserve"> </w:t>
      </w:r>
      <w:r w:rsidRPr="0096338A">
        <w:rPr>
          <w:i/>
        </w:rPr>
        <w:t>der</w:t>
      </w:r>
      <w:r w:rsidR="00897A49" w:rsidRPr="0096338A">
        <w:rPr>
          <w:i/>
        </w:rPr>
        <w:t xml:space="preserve"> stadt rade met vollen gevolghe, </w:t>
      </w:r>
      <w:r w:rsidRPr="0096338A">
        <w:rPr>
          <w:i/>
        </w:rPr>
        <w:t>dat van nu vertaen man noch wijff van</w:t>
      </w:r>
      <w:r w:rsidR="00405765" w:rsidRPr="0096338A">
        <w:rPr>
          <w:i/>
        </w:rPr>
        <w:t xml:space="preserve"> </w:t>
      </w:r>
      <w:r w:rsidRPr="0096338A">
        <w:rPr>
          <w:i/>
        </w:rPr>
        <w:t>den voirs</w:t>
      </w:r>
      <w:r w:rsidR="009224E3" w:rsidRPr="0096338A">
        <w:rPr>
          <w:i/>
        </w:rPr>
        <w:t>creven</w:t>
      </w:r>
      <w:r w:rsidRPr="0096338A">
        <w:rPr>
          <w:i/>
        </w:rPr>
        <w:t xml:space="preserve"> ambachte dit mee</w:t>
      </w:r>
      <w:r w:rsidR="006743C2" w:rsidRPr="0096338A">
        <w:rPr>
          <w:i/>
        </w:rPr>
        <w:t>r doen en selen in gheenre wijt</w:t>
      </w:r>
      <w:r w:rsidRPr="0096338A">
        <w:rPr>
          <w:i/>
        </w:rPr>
        <w:t>.</w:t>
      </w:r>
      <w:r w:rsidRPr="0096338A">
        <w:rPr>
          <w:rStyle w:val="Voetnootmarkering"/>
        </w:rPr>
        <w:footnoteReference w:id="95"/>
      </w:r>
    </w:p>
    <w:p w:rsidR="00B80C41" w:rsidRPr="0096338A" w:rsidRDefault="00C72D4A" w:rsidP="00B80C41">
      <w:r w:rsidRPr="0096338A">
        <w:t xml:space="preserve">Jan </w:t>
      </w:r>
      <w:r w:rsidR="00B80C41" w:rsidRPr="0096338A">
        <w:t>Van Gerven schreef reeds dat vrouwen in de Noord-Brabantse stad ’s-Hertogenbosch meesteres konden worden binnen het smedenambacht.</w:t>
      </w:r>
      <w:r w:rsidR="00B80C41" w:rsidRPr="0096338A">
        <w:rPr>
          <w:rStyle w:val="Voetnootmarkering"/>
        </w:rPr>
        <w:footnoteReference w:id="96"/>
      </w:r>
      <w:r w:rsidR="00B80C41" w:rsidRPr="0096338A">
        <w:t xml:space="preserve"> Marianne Danneel, die de weduwen in laatmiddeleeuws Gent uitvoerig bestudeerde, wijst erop dat weduwen het werk niet per se zelf uitvoerden. Ze namen het meesterschap over van hun echtgenoot, wat een algemeen verspreid gebruik was in de Lage Landen, maar namen gezellen aan voor de productie, zeker bij zwaarder werk zoals in het voornoemde ambacht. Dit was voor de gezellen een mogelijkheid tot sociale mobiliteit, maar het was eveneens een manier om het ambacht gesloten te houden. De weduwe kreeg namelijk het meesterschap, waardoor er geen nood was aan nieuwkomers in </w:t>
      </w:r>
      <w:r w:rsidR="00CF695F" w:rsidRPr="0096338A">
        <w:t>de organisatie</w:t>
      </w:r>
      <w:r w:rsidR="00B80C41" w:rsidRPr="0096338A">
        <w:t>.</w:t>
      </w:r>
      <w:r w:rsidR="00B80C41" w:rsidRPr="0096338A">
        <w:rPr>
          <w:rStyle w:val="Voetnootmarkering"/>
        </w:rPr>
        <w:footnoteReference w:id="97"/>
      </w:r>
      <w:r w:rsidR="00B80C41" w:rsidRPr="0096338A">
        <w:t xml:space="preserve"> Hoewel bovenstaand citaat doet vermoeden dat vrouwen </w:t>
      </w:r>
      <w:r w:rsidR="00B80C41" w:rsidRPr="0096338A">
        <w:lastRenderedPageBreak/>
        <w:t xml:space="preserve">eveneens het werk zelf uitvoerden, </w:t>
      </w:r>
      <w:r w:rsidR="00CF695F" w:rsidRPr="0096338A">
        <w:t>wijzen</w:t>
      </w:r>
      <w:r w:rsidR="00B80C41" w:rsidRPr="0096338A">
        <w:t xml:space="preserve"> andere ordonnanties </w:t>
      </w:r>
      <w:r w:rsidR="00CF695F" w:rsidRPr="0096338A">
        <w:t>erop</w:t>
      </w:r>
      <w:r w:rsidR="00B80C41" w:rsidRPr="0096338A">
        <w:t xml:space="preserve"> dat de rol van vrouwen binnen dit ambacht </w:t>
      </w:r>
      <w:r w:rsidR="00CF695F" w:rsidRPr="0096338A">
        <w:t>voornamelijk</w:t>
      </w:r>
      <w:r w:rsidR="00B80C41" w:rsidRPr="0096338A">
        <w:t xml:space="preserve"> de vorm aannam van hulp aan</w:t>
      </w:r>
      <w:r w:rsidR="00CF695F" w:rsidRPr="0096338A">
        <w:t xml:space="preserve"> hun</w:t>
      </w:r>
      <w:r w:rsidR="00B80C41" w:rsidRPr="0096338A">
        <w:t xml:space="preserve"> echtgenotes.</w:t>
      </w:r>
      <w:r w:rsidR="00E87616" w:rsidRPr="0096338A">
        <w:rPr>
          <w:rStyle w:val="Voetnootmarkering"/>
        </w:rPr>
        <w:footnoteReference w:id="98"/>
      </w:r>
      <w:r w:rsidR="00B80C41" w:rsidRPr="0096338A">
        <w:t xml:space="preserve"> </w:t>
      </w:r>
      <w:r w:rsidR="00CF695F" w:rsidRPr="0096338A">
        <w:t>De specifiekere studie naar de rol van getrouwde vrouwen in de ambachten die later in dit hoofdstuk aan bod komt, zal hierop ingaan</w:t>
      </w:r>
      <w:r w:rsidR="00897A49" w:rsidRPr="0096338A">
        <w:t xml:space="preserve">. Verder is het niet de bedoeling in deze paragraaf alle ambachten op te lijsten </w:t>
      </w:r>
      <w:r w:rsidR="00B80C41" w:rsidRPr="0096338A">
        <w:t>waar</w:t>
      </w:r>
      <w:r w:rsidR="006F1E40" w:rsidRPr="0096338A">
        <w:t xml:space="preserve">aan toe vrouwen konden participeren. </w:t>
      </w:r>
      <w:r w:rsidR="00B80C41" w:rsidRPr="0096338A">
        <w:t xml:space="preserve">Dit draagt namelijk niet bij aan de analyse van </w:t>
      </w:r>
      <w:r w:rsidR="00B223A3" w:rsidRPr="0096338A">
        <w:t>hun</w:t>
      </w:r>
      <w:r w:rsidR="00B80C41" w:rsidRPr="0096338A">
        <w:t xml:space="preserve"> specifieke positie binnen het ambachtswezen.</w:t>
      </w:r>
      <w:r w:rsidR="0061040E" w:rsidRPr="0096338A">
        <w:rPr>
          <w:rStyle w:val="Voetnootmarkering"/>
        </w:rPr>
        <w:footnoteReference w:id="99"/>
      </w:r>
      <w:r w:rsidR="006F1E40" w:rsidRPr="0096338A">
        <w:t xml:space="preserve"> H</w:t>
      </w:r>
      <w:r w:rsidR="00E87616" w:rsidRPr="0096338A">
        <w:t>et voorafgaande deel illustreert</w:t>
      </w:r>
      <w:r w:rsidR="006F1E40" w:rsidRPr="0096338A">
        <w:t xml:space="preserve"> voornamelijk dat Leuvense vrouwen in sommige takken van de nijverheid een grotere </w:t>
      </w:r>
      <w:r w:rsidR="00B80C41" w:rsidRPr="0096338A">
        <w:t xml:space="preserve">speelruimte hadden ten opzichte van andere steden. Het is echter </w:t>
      </w:r>
      <w:r w:rsidR="00B223A3" w:rsidRPr="0096338A">
        <w:t>b</w:t>
      </w:r>
      <w:r w:rsidR="00B80C41" w:rsidRPr="0096338A">
        <w:t>elangrijk</w:t>
      </w:r>
      <w:r w:rsidR="00B223A3" w:rsidRPr="0096338A">
        <w:t xml:space="preserve"> om hiernaast</w:t>
      </w:r>
      <w:r w:rsidR="00B80C41" w:rsidRPr="0096338A">
        <w:t xml:space="preserve"> de ambachten te belichten die bewust het lidmaatschap van vrouwen weerden, namelijk de tassenmakers en de barbiers. </w:t>
      </w:r>
      <w:r w:rsidR="00B80C41" w:rsidRPr="0096338A">
        <w:tab/>
      </w:r>
    </w:p>
    <w:p w:rsidR="00B80C41" w:rsidRPr="0096338A" w:rsidRDefault="00E87616" w:rsidP="00B80C41">
      <w:pPr>
        <w:ind w:firstLine="708"/>
      </w:pPr>
      <w:r w:rsidRPr="0096338A">
        <w:t>Het barbiersamb</w:t>
      </w:r>
      <w:r w:rsidR="005F4F43">
        <w:t>a</w:t>
      </w:r>
      <w:r w:rsidRPr="0096338A">
        <w:t>cht</w:t>
      </w:r>
      <w:r w:rsidR="00B80C41" w:rsidRPr="0096338A">
        <w:t xml:space="preserve"> lijkt </w:t>
      </w:r>
      <w:r w:rsidR="00C61BA2" w:rsidRPr="0096338A">
        <w:t xml:space="preserve">in Leuven </w:t>
      </w:r>
      <w:r w:rsidR="00B80C41" w:rsidRPr="0096338A">
        <w:t xml:space="preserve">op </w:t>
      </w:r>
      <w:r w:rsidR="00C61BA2" w:rsidRPr="0096338A">
        <w:t xml:space="preserve">het </w:t>
      </w:r>
      <w:r w:rsidR="00B80C41" w:rsidRPr="0096338A">
        <w:t xml:space="preserve">eerste zicht eerder </w:t>
      </w:r>
      <w:r w:rsidR="006F1E40" w:rsidRPr="0096338A">
        <w:t>verschillend</w:t>
      </w:r>
      <w:r w:rsidR="00B80C41" w:rsidRPr="0096338A">
        <w:t xml:space="preserve"> van </w:t>
      </w:r>
      <w:r w:rsidR="000E01B8" w:rsidRPr="0096338A">
        <w:t>zijn</w:t>
      </w:r>
      <w:r w:rsidR="00B80C41" w:rsidRPr="0096338A">
        <w:t xml:space="preserve"> Gentse </w:t>
      </w:r>
      <w:r w:rsidR="000E01B8" w:rsidRPr="0096338A">
        <w:t>tegenhanger</w:t>
      </w:r>
      <w:r w:rsidR="00B80C41" w:rsidRPr="0096338A">
        <w:t xml:space="preserve">. Hoewel </w:t>
      </w:r>
      <w:r w:rsidR="000E01B8" w:rsidRPr="0096338A">
        <w:t>b</w:t>
      </w:r>
      <w:r w:rsidR="00B80C41" w:rsidRPr="0096338A">
        <w:t>eide</w:t>
      </w:r>
      <w:r w:rsidR="000E01B8" w:rsidRPr="0096338A">
        <w:t xml:space="preserve"> auteurs</w:t>
      </w:r>
      <w:r w:rsidR="00B80C41" w:rsidRPr="0096338A">
        <w:t xml:space="preserve"> de situatie in de veertiende eeuw beschrijven, </w:t>
      </w:r>
      <w:r w:rsidR="000E01B8" w:rsidRPr="0096338A">
        <w:t>bevestigen zowel Stabel als</w:t>
      </w:r>
      <w:r w:rsidR="00B80C41" w:rsidRPr="0096338A">
        <w:t xml:space="preserve"> Hutton de aanwezigheid van vrouwen in </w:t>
      </w:r>
      <w:r w:rsidRPr="0096338A">
        <w:t>de corporatie</w:t>
      </w:r>
      <w:r w:rsidR="00B80C41" w:rsidRPr="0096338A">
        <w:t>.</w:t>
      </w:r>
      <w:r w:rsidR="00B80C41" w:rsidRPr="0096338A">
        <w:rPr>
          <w:rStyle w:val="Voetnootmarkering"/>
        </w:rPr>
        <w:footnoteReference w:id="100"/>
      </w:r>
      <w:r w:rsidR="00B80C41" w:rsidRPr="0096338A">
        <w:t xml:space="preserve"> </w:t>
      </w:r>
      <w:r w:rsidR="006F1E40" w:rsidRPr="0096338A">
        <w:rPr>
          <w:lang w:val="en-GB"/>
        </w:rPr>
        <w:t xml:space="preserve">Hutton gaat zelfs zo ver </w:t>
      </w:r>
      <w:r w:rsidR="00B80C41" w:rsidRPr="0096338A">
        <w:rPr>
          <w:lang w:val="en-GB"/>
        </w:rPr>
        <w:t xml:space="preserve">te zeggen dat vrouwen bij de Gentse barbiers relatief </w:t>
      </w:r>
      <w:r w:rsidR="000E01B8" w:rsidRPr="0096338A">
        <w:rPr>
          <w:lang w:val="en-GB"/>
        </w:rPr>
        <w:t>ge</w:t>
      </w:r>
      <w:r w:rsidR="00B80C41" w:rsidRPr="0096338A">
        <w:rPr>
          <w:lang w:val="en-GB"/>
        </w:rPr>
        <w:t>makkelijk toegang konden verkrijgen</w:t>
      </w:r>
      <w:r w:rsidR="006F1E40" w:rsidRPr="0096338A">
        <w:rPr>
          <w:lang w:val="en-GB"/>
        </w:rPr>
        <w:t>:</w:t>
      </w:r>
      <w:r w:rsidR="00B80C41" w:rsidRPr="0096338A">
        <w:rPr>
          <w:lang w:val="en-GB"/>
        </w:rPr>
        <w:t xml:space="preserve"> “The fourtheenth-century statutes of the barbers allowed anyone, “woman or man”, including outsiders of the city, to work as barbers after paying a fee to the guild.”</w:t>
      </w:r>
      <w:r w:rsidR="00B80C41" w:rsidRPr="0096338A">
        <w:rPr>
          <w:rStyle w:val="Voetnootmarkering"/>
          <w:lang w:val="en-GB"/>
        </w:rPr>
        <w:footnoteReference w:id="101"/>
      </w:r>
      <w:r w:rsidR="00B80C41" w:rsidRPr="0096338A">
        <w:rPr>
          <w:lang w:val="en-GB"/>
        </w:rPr>
        <w:t xml:space="preserve"> </w:t>
      </w:r>
      <w:r w:rsidR="00B80C41" w:rsidRPr="0096338A">
        <w:t>Hoewel het dus om statuten uit de veertiende eeuw gaat, geeft ze twee praktijkvoorbeelden uit het begin van de vijftiende eeuw waarbij vrouwen zonder veel problemen toegang kr</w:t>
      </w:r>
      <w:r w:rsidR="000E01B8" w:rsidRPr="0096338A">
        <w:t>egen</w:t>
      </w:r>
      <w:r w:rsidR="00B80C41" w:rsidRPr="0096338A">
        <w:t xml:space="preserve"> tot het ambacht.</w:t>
      </w:r>
      <w:r w:rsidR="00B80C41" w:rsidRPr="0096338A">
        <w:rPr>
          <w:rStyle w:val="Voetnootmarkering"/>
        </w:rPr>
        <w:footnoteReference w:id="102"/>
      </w:r>
      <w:r w:rsidR="00B80C41" w:rsidRPr="0096338A">
        <w:t xml:space="preserve"> </w:t>
      </w:r>
      <w:r w:rsidR="000E01B8" w:rsidRPr="0096338A">
        <w:t>Vrouwen waren echter</w:t>
      </w:r>
      <w:r w:rsidR="00B80C41" w:rsidRPr="0096338A">
        <w:t xml:space="preserve"> niet enkel in bepaalde steden in de Lage Landen </w:t>
      </w:r>
      <w:r w:rsidR="000E01B8" w:rsidRPr="0096338A">
        <w:t>aanwezig binnen dit</w:t>
      </w:r>
      <w:r w:rsidR="00B80C41" w:rsidRPr="0096338A">
        <w:t xml:space="preserve"> ambacht, Megan Twycross geeft aan </w:t>
      </w:r>
      <w:r w:rsidR="000E01B8" w:rsidRPr="0096338A">
        <w:t>dat er</w:t>
      </w:r>
      <w:r w:rsidR="00B80C41" w:rsidRPr="0096338A">
        <w:t xml:space="preserve"> in York eveneens </w:t>
      </w:r>
      <w:r w:rsidR="000E01B8" w:rsidRPr="0096338A">
        <w:t>sprake was van vrouwelijk lidmaatschap</w:t>
      </w:r>
      <w:r w:rsidR="00B80C41" w:rsidRPr="0096338A">
        <w:t>.</w:t>
      </w:r>
      <w:r w:rsidR="00B80C41" w:rsidRPr="0096338A">
        <w:rPr>
          <w:rStyle w:val="Voetnootmarkering"/>
        </w:rPr>
        <w:footnoteReference w:id="103"/>
      </w:r>
      <w:r w:rsidR="00B80C41" w:rsidRPr="0096338A">
        <w:t xml:space="preserve"> </w:t>
      </w:r>
      <w:r w:rsidR="000E01B8" w:rsidRPr="0096338A">
        <w:t>Eerder onderzoek duidde tot nu toe het barbiersambacht dus als relatief toegankelijk voor vrouwen</w:t>
      </w:r>
      <w:r w:rsidRPr="0096338A">
        <w:t>.</w:t>
      </w:r>
    </w:p>
    <w:p w:rsidR="00B80C41" w:rsidRPr="0096338A" w:rsidRDefault="00B80C41" w:rsidP="00B80C41">
      <w:pPr>
        <w:ind w:firstLine="708"/>
      </w:pPr>
      <w:r w:rsidRPr="0096338A">
        <w:t>In Leuven was</w:t>
      </w:r>
      <w:r w:rsidR="000E01B8" w:rsidRPr="0096338A">
        <w:t xml:space="preserve"> vrouwelijke</w:t>
      </w:r>
      <w:r w:rsidRPr="0096338A">
        <w:t xml:space="preserve"> toegang tot </w:t>
      </w:r>
      <w:r w:rsidR="000E01B8" w:rsidRPr="0096338A">
        <w:t>dat</w:t>
      </w:r>
      <w:r w:rsidRPr="0096338A">
        <w:t xml:space="preserve"> barbiersambacht </w:t>
      </w:r>
      <w:r w:rsidR="000E01B8" w:rsidRPr="0096338A">
        <w:t>beperkt tot</w:t>
      </w:r>
      <w:r w:rsidRPr="0096338A">
        <w:t xml:space="preserve"> weduwen van barbiers, een recht dat verviel zodra ze hertrouwden.</w:t>
      </w:r>
      <w:r w:rsidRPr="0096338A">
        <w:rPr>
          <w:rStyle w:val="Voetnootmarkering"/>
        </w:rPr>
        <w:footnoteReference w:id="104"/>
      </w:r>
      <w:r w:rsidRPr="0096338A">
        <w:t xml:space="preserve"> </w:t>
      </w:r>
      <w:r w:rsidR="00E87616" w:rsidRPr="0096338A">
        <w:t>D</w:t>
      </w:r>
      <w:r w:rsidR="000E01B8" w:rsidRPr="0096338A">
        <w:t xml:space="preserve">e stadsraad </w:t>
      </w:r>
      <w:r w:rsidR="00E87616" w:rsidRPr="0096338A">
        <w:t xml:space="preserve">verbood eveneens </w:t>
      </w:r>
      <w:r w:rsidRPr="0096338A">
        <w:t xml:space="preserve">iedereen, mannen en vrouwen, het beroep uit te oefenen buiten de gesloten </w:t>
      </w:r>
      <w:r w:rsidR="000E01B8" w:rsidRPr="0096338A">
        <w:t>ambachts</w:t>
      </w:r>
      <w:r w:rsidRPr="0096338A">
        <w:t xml:space="preserve">wereld. Het gebrek aan herhaling van deze beslissing kan erop wijzen dat deze </w:t>
      </w:r>
      <w:r w:rsidR="00F243EC" w:rsidRPr="0096338A">
        <w:t>uitsluiting</w:t>
      </w:r>
      <w:r w:rsidR="000E01B8" w:rsidRPr="0096338A">
        <w:t xml:space="preserve"> </w:t>
      </w:r>
      <w:r w:rsidRPr="0096338A">
        <w:t xml:space="preserve">eveneens in de praktijk werd uitgevoerd. </w:t>
      </w:r>
      <w:r w:rsidR="006F1E40" w:rsidRPr="0096338A">
        <w:t xml:space="preserve">Echtgenotes van barbiers mochten ook het slagersambacht niet uitoefenen. Door dit verbod wilden de dekens van de barbiers ongetwijfeld vermijden dat een </w:t>
      </w:r>
      <w:r w:rsidR="006F1E40" w:rsidRPr="0096338A">
        <w:lastRenderedPageBreak/>
        <w:t xml:space="preserve">echtgenote haar man toch nog zou helpen, aangezien de twee beroepen nauw bij elkaar aansloten. Daarenboven toont de beslissing eveneens dat vrouwen mogelijks ook in het slagersambacht werkten zonder daarbij slechts </w:t>
      </w:r>
      <w:r w:rsidR="006F1E40" w:rsidRPr="0096338A">
        <w:rPr>
          <w:i/>
        </w:rPr>
        <w:t xml:space="preserve">huysvrouw </w:t>
      </w:r>
      <w:r w:rsidR="006F1E40" w:rsidRPr="0096338A">
        <w:t>te zijn, waar dit onderzoek reeds eerder op inging.</w:t>
      </w:r>
      <w:r w:rsidRPr="0096338A">
        <w:rPr>
          <w:rStyle w:val="Voetnootmarkering"/>
        </w:rPr>
        <w:footnoteReference w:id="105"/>
      </w:r>
      <w:r w:rsidRPr="0096338A">
        <w:t xml:space="preserve"> De afwezigheid van vrouwen in het barbiersambacht valt </w:t>
      </w:r>
      <w:r w:rsidR="00832C16" w:rsidRPr="0096338A">
        <w:t>mogelijk</w:t>
      </w:r>
      <w:r w:rsidR="003C6F1B" w:rsidRPr="0096338A">
        <w:t>s</w:t>
      </w:r>
      <w:r w:rsidRPr="0096338A">
        <w:t xml:space="preserve"> te verklaren </w:t>
      </w:r>
      <w:r w:rsidR="002A3F6A" w:rsidRPr="0096338A">
        <w:t>door</w:t>
      </w:r>
      <w:r w:rsidRPr="0096338A">
        <w:t xml:space="preserve"> de aard van het beroep. De medi</w:t>
      </w:r>
      <w:r w:rsidR="002A3F6A" w:rsidRPr="0096338A">
        <w:t xml:space="preserve">sche taken van het beroep werden </w:t>
      </w:r>
      <w:r w:rsidRPr="0096338A">
        <w:t xml:space="preserve">bijvoorbeeld </w:t>
      </w:r>
      <w:r w:rsidR="002A3F6A" w:rsidRPr="0096338A">
        <w:t>als</w:t>
      </w:r>
      <w:r w:rsidRPr="0096338A">
        <w:t xml:space="preserve"> </w:t>
      </w:r>
      <w:r w:rsidR="002A3F6A" w:rsidRPr="0096338A">
        <w:t>on</w:t>
      </w:r>
      <w:r w:rsidRPr="0096338A">
        <w:t xml:space="preserve">geschikt voor </w:t>
      </w:r>
      <w:r w:rsidR="002A3F6A" w:rsidRPr="0096338A">
        <w:t xml:space="preserve">vrouwen </w:t>
      </w:r>
      <w:r w:rsidR="00B43980" w:rsidRPr="0096338A">
        <w:t>beoordeeld</w:t>
      </w:r>
      <w:r w:rsidRPr="0096338A">
        <w:t>.</w:t>
      </w:r>
      <w:r w:rsidR="006F1E40" w:rsidRPr="0096338A">
        <w:t xml:space="preserve"> </w:t>
      </w:r>
      <w:r w:rsidRPr="0096338A">
        <w:t>Van Uytven stelt daartegenover dat vrouwen wel optraden als vroedvrouwen, een beroep dat complementair was met voornoemd ambacht.</w:t>
      </w:r>
      <w:r w:rsidRPr="0096338A">
        <w:rPr>
          <w:rStyle w:val="Voetnootmarkering"/>
        </w:rPr>
        <w:footnoteReference w:id="106"/>
      </w:r>
      <w:r w:rsidRPr="0096338A">
        <w:t xml:space="preserve"> Het tweede boek van de stadsordonnanties bevat eveneens een akte waarin en</w:t>
      </w:r>
      <w:r w:rsidR="002A3F6A" w:rsidRPr="0096338A">
        <w:t>e Kerstine Liedekens in 1481 werd</w:t>
      </w:r>
      <w:r w:rsidRPr="0096338A">
        <w:t xml:space="preserve"> aangesteld als vroedvrouw.</w:t>
      </w:r>
      <w:r w:rsidRPr="0096338A">
        <w:rPr>
          <w:rStyle w:val="Voetnootmarkering"/>
        </w:rPr>
        <w:footnoteReference w:id="107"/>
      </w:r>
      <w:r w:rsidRPr="0096338A">
        <w:t xml:space="preserve"> Hoewel het barbiersambacht dus voornamelijk uit mannen bestond, kende het een vrouwelijke tegenhanger in het beroep van vroedvrouw</w:t>
      </w:r>
      <w:r w:rsidR="00E87616" w:rsidRPr="0096338A">
        <w:t>, al ging het hier niet om een politieke groepering</w:t>
      </w:r>
      <w:r w:rsidRPr="0096338A">
        <w:t xml:space="preserve">. </w:t>
      </w:r>
      <w:r w:rsidR="00832C16" w:rsidRPr="0096338A">
        <w:t xml:space="preserve">Het is echter merkwaardig dat dit ambacht in andere steden wel vrouwelijk lidmaatschap toeliet, ondanks de aard van het ambacht. Een mogelijke verklaring hiervoor is dat in andere steden vroedvrouwen bij ditzelfde ambacht hoorden. </w:t>
      </w:r>
      <w:r w:rsidR="00E87616" w:rsidRPr="0096338A">
        <w:t>Dit zou betekenen dat ze in andere steden wel een politieke stem hadden via de mannelijke vertegenwoordigers van het ambacht, terwijl de groep vroedvrouwen in Leuven hier duidelijk niet over beschikte.</w:t>
      </w:r>
    </w:p>
    <w:p w:rsidR="00B80C41" w:rsidRPr="0096338A" w:rsidRDefault="00B80C41" w:rsidP="00B80C41">
      <w:r w:rsidRPr="0096338A">
        <w:tab/>
        <w:t xml:space="preserve">Naast de </w:t>
      </w:r>
      <w:r w:rsidR="00F243EC" w:rsidRPr="0096338A">
        <w:t>uitsluiting</w:t>
      </w:r>
      <w:r w:rsidRPr="0096338A">
        <w:t xml:space="preserve"> van vrouwen</w:t>
      </w:r>
      <w:r w:rsidR="00F7057D" w:rsidRPr="0096338A">
        <w:t xml:space="preserve"> uit het barbiersambacht</w:t>
      </w:r>
      <w:r w:rsidRPr="0096338A">
        <w:t xml:space="preserve">, </w:t>
      </w:r>
      <w:r w:rsidR="00F7057D" w:rsidRPr="0096338A">
        <w:t>waarbij weduwen de uitzondering vormden</w:t>
      </w:r>
      <w:r w:rsidRPr="0096338A">
        <w:t xml:space="preserve">, </w:t>
      </w:r>
      <w:r w:rsidR="00F7057D" w:rsidRPr="0096338A">
        <w:t>verboden</w:t>
      </w:r>
      <w:r w:rsidRPr="0096338A">
        <w:t xml:space="preserve"> de tassenmakers reeds sinds 1403 vrouwelijk lidmaatschap. </w:t>
      </w:r>
      <w:r w:rsidR="00F7057D" w:rsidRPr="0096338A">
        <w:t>H</w:t>
      </w:r>
      <w:r w:rsidRPr="0096338A">
        <w:t xml:space="preserve">et weduwenrecht </w:t>
      </w:r>
      <w:r w:rsidR="00F7057D" w:rsidRPr="0096338A">
        <w:t>was zelfs niet van toepassing in</w:t>
      </w:r>
      <w:r w:rsidRPr="0096338A">
        <w:t xml:space="preserve"> deze groepering. Een gezworene van het ambacht kon enkel vrouwelijke hulp verwachten van een dienstmeid, </w:t>
      </w:r>
      <w:r w:rsidR="00E87616" w:rsidRPr="0096338A">
        <w:t xml:space="preserve">een lagere loonwerkster </w:t>
      </w:r>
      <w:r w:rsidRPr="0096338A">
        <w:t>die waarschijnlijk een vergoeding ontving voor haar assistentie.</w:t>
      </w:r>
      <w:r w:rsidRPr="0096338A">
        <w:rPr>
          <w:rStyle w:val="Voetnootmarkering"/>
        </w:rPr>
        <w:footnoteReference w:id="108"/>
      </w:r>
      <w:r w:rsidRPr="0096338A">
        <w:t xml:space="preserve"> Het uitblijven van de g</w:t>
      </w:r>
      <w:r w:rsidR="006F1E40" w:rsidRPr="0096338A">
        <w:t xml:space="preserve">ebruikelijke verwijzingen naar </w:t>
      </w:r>
      <w:r w:rsidRPr="0096338A">
        <w:rPr>
          <w:i/>
        </w:rPr>
        <w:t>huysvrouwen</w:t>
      </w:r>
      <w:r w:rsidRPr="0096338A">
        <w:t xml:space="preserve"> als helpers geeft de indruk dat vrouwelijke gezi</w:t>
      </w:r>
      <w:r w:rsidR="00F7057D" w:rsidRPr="0096338A">
        <w:t>nsleden weinig aanwezig waren bij</w:t>
      </w:r>
      <w:r w:rsidRPr="0096338A">
        <w:t xml:space="preserve"> de zichtbare taken van het beroep. </w:t>
      </w:r>
      <w:r w:rsidR="006F1E40" w:rsidRPr="0096338A">
        <w:t>De</w:t>
      </w:r>
      <w:r w:rsidRPr="0096338A">
        <w:t xml:space="preserve"> afwezigheid van vrouwen binnen dit ambacht is minder logisch te verklaren dan bij de barbiers. Maryanne Kowalesi stelt in haar onderzoek naar vrouwen en werk in Exeter dat </w:t>
      </w:r>
      <w:r w:rsidR="00F7057D" w:rsidRPr="0096338A">
        <w:t>vrouwen</w:t>
      </w:r>
      <w:r w:rsidRPr="0096338A">
        <w:t xml:space="preserve"> voornamelijk aanwezig waren in beroepen als kaarsenmakers, </w:t>
      </w:r>
      <w:r w:rsidR="00F7057D" w:rsidRPr="0096338A">
        <w:t>kleer</w:t>
      </w:r>
      <w:r w:rsidRPr="0096338A">
        <w:t xml:space="preserve">makers en in de </w:t>
      </w:r>
      <w:r w:rsidR="00F7057D" w:rsidRPr="0096338A">
        <w:t>ambachten die zich bezighielden met</w:t>
      </w:r>
      <w:r w:rsidRPr="0096338A">
        <w:t xml:space="preserve"> leerbewerking</w:t>
      </w:r>
      <w:r w:rsidR="00F7057D" w:rsidRPr="0096338A">
        <w:t xml:space="preserve">, </w:t>
      </w:r>
      <w:r w:rsidR="006F1E40" w:rsidRPr="0096338A">
        <w:t>waartoe ook de tassenmakers be</w:t>
      </w:r>
      <w:r w:rsidR="00F7057D" w:rsidRPr="0096338A">
        <w:t>hoorden</w:t>
      </w:r>
      <w:r w:rsidRPr="0096338A">
        <w:t xml:space="preserve">. Ze verklaart dit door het weinig uitgebreide onderricht dat vereist </w:t>
      </w:r>
      <w:r w:rsidR="00F7057D" w:rsidRPr="0096338A">
        <w:t>werd</w:t>
      </w:r>
      <w:r w:rsidRPr="0096338A">
        <w:t xml:space="preserve"> bij het leren van deze beroepen.</w:t>
      </w:r>
      <w:r w:rsidRPr="0096338A">
        <w:rPr>
          <w:rStyle w:val="Voetnootmarkering"/>
        </w:rPr>
        <w:footnoteReference w:id="109"/>
      </w:r>
      <w:r w:rsidRPr="0096338A">
        <w:t xml:space="preserve"> De ord</w:t>
      </w:r>
      <w:r w:rsidR="00F7057D" w:rsidRPr="0096338A">
        <w:t>onnanties over vrouwen die het beroep</w:t>
      </w:r>
      <w:r w:rsidRPr="0096338A">
        <w:t xml:space="preserve"> buiten het ambacht om </w:t>
      </w:r>
      <w:r w:rsidR="006F1E40" w:rsidRPr="0096338A">
        <w:t>uitoefenden</w:t>
      </w:r>
      <w:r w:rsidRPr="0096338A">
        <w:t xml:space="preserve">, toont eveneens </w:t>
      </w:r>
      <w:r w:rsidRPr="0096338A">
        <w:lastRenderedPageBreak/>
        <w:t>aan dat het werk zeker niet onmogelijk was voor vrouwen.</w:t>
      </w:r>
      <w:r w:rsidR="00C101F2" w:rsidRPr="0096338A">
        <w:rPr>
          <w:rStyle w:val="Voetnootmarkering"/>
        </w:rPr>
        <w:footnoteReference w:id="110"/>
      </w:r>
      <w:r w:rsidRPr="0096338A">
        <w:t xml:space="preserve"> </w:t>
      </w:r>
      <w:r w:rsidR="00F7057D" w:rsidRPr="0096338A">
        <w:t>U</w:t>
      </w:r>
      <w:r w:rsidRPr="0096338A">
        <w:t xml:space="preserve">it de formulering in een beslissing van de stadsraad </w:t>
      </w:r>
      <w:r w:rsidR="00F7057D" w:rsidRPr="0096338A">
        <w:t>la</w:t>
      </w:r>
      <w:r w:rsidR="006F1E40" w:rsidRPr="0096338A">
        <w:t xml:space="preserve">ter in de vijftiende eeuw blijk </w:t>
      </w:r>
      <w:r w:rsidR="00C101F2" w:rsidRPr="0096338A">
        <w:t>echter</w:t>
      </w:r>
      <w:r w:rsidR="006F1E40" w:rsidRPr="0096338A">
        <w:t xml:space="preserve"> </w:t>
      </w:r>
      <w:r w:rsidRPr="0096338A">
        <w:t xml:space="preserve">dat de ordonnantie uit 1403 </w:t>
      </w:r>
      <w:r w:rsidR="006F1E40" w:rsidRPr="0096338A">
        <w:t xml:space="preserve">niet overeenkwam met </w:t>
      </w:r>
      <w:r w:rsidR="00E625EB" w:rsidRPr="0096338A">
        <w:t xml:space="preserve">de realisatie ervan doorheen de hele vijftiende eeuw. </w:t>
      </w:r>
    </w:p>
    <w:p w:rsidR="00B80C41" w:rsidRPr="0096338A" w:rsidRDefault="0097455F" w:rsidP="00B80C41">
      <w:pPr>
        <w:ind w:left="708"/>
      </w:pPr>
      <w:r w:rsidRPr="0096338A">
        <w:rPr>
          <w:i/>
        </w:rPr>
        <w:t>[…]</w:t>
      </w:r>
      <w:r w:rsidR="00B80C41" w:rsidRPr="0096338A">
        <w:rPr>
          <w:i/>
        </w:rPr>
        <w:t xml:space="preserve"> dat van nu voirtaen gheen teschmaker noch teschmakeresse </w:t>
      </w:r>
      <w:r w:rsidRPr="0096338A">
        <w:rPr>
          <w:i/>
        </w:rPr>
        <w:t>zijn oft hoir dienstboden, knecht oft meyssen aen t</w:t>
      </w:r>
      <w:r w:rsidR="00897A49" w:rsidRPr="0096338A">
        <w:rPr>
          <w:i/>
        </w:rPr>
        <w:t xml:space="preserve"> </w:t>
      </w:r>
      <w:r w:rsidRPr="0096338A">
        <w:rPr>
          <w:i/>
        </w:rPr>
        <w:t xml:space="preserve">voirscreven ambachte te wercke stellen </w:t>
      </w:r>
      <w:r w:rsidR="00832C16" w:rsidRPr="0096338A">
        <w:rPr>
          <w:i/>
        </w:rPr>
        <w:t>[…]</w:t>
      </w:r>
      <w:r w:rsidR="00B80C41" w:rsidRPr="0096338A">
        <w:rPr>
          <w:i/>
        </w:rPr>
        <w:t>.</w:t>
      </w:r>
      <w:r w:rsidR="00B80C41" w:rsidRPr="0096338A">
        <w:rPr>
          <w:rStyle w:val="Voetnootmarkering"/>
        </w:rPr>
        <w:footnoteReference w:id="111"/>
      </w:r>
    </w:p>
    <w:p w:rsidR="00B80C41" w:rsidRPr="0096338A" w:rsidRDefault="006743C2" w:rsidP="00B80C41">
      <w:r w:rsidRPr="0096338A">
        <w:t xml:space="preserve">De raad nam hier een beslissing met betrekking tot het werk van leerjongens en –meisjes. </w:t>
      </w:r>
      <w:r w:rsidR="007B2127" w:rsidRPr="0096338A">
        <w:t>Dit</w:t>
      </w:r>
      <w:r w:rsidRPr="0096338A">
        <w:t xml:space="preserve"> toont de aanwezigheid </w:t>
      </w:r>
      <w:r w:rsidR="007B2127" w:rsidRPr="0096338A">
        <w:t xml:space="preserve">aan </w:t>
      </w:r>
      <w:r w:rsidRPr="0096338A">
        <w:t xml:space="preserve">van vrouwen in het ambacht. </w:t>
      </w:r>
      <w:r w:rsidR="007B2127" w:rsidRPr="0096338A">
        <w:t xml:space="preserve">De verwijzing naar </w:t>
      </w:r>
      <w:r w:rsidRPr="0096338A">
        <w:rPr>
          <w:i/>
        </w:rPr>
        <w:t xml:space="preserve">teschmaker noch teschmakeresse </w:t>
      </w:r>
      <w:r w:rsidR="007B2127" w:rsidRPr="0096338A">
        <w:t>doet vermoeden dat er vrouwelijke meesteressen</w:t>
      </w:r>
      <w:r w:rsidRPr="0096338A">
        <w:t xml:space="preserve"> in het ambacht zaten, wat toch mag verbazen aangezien het ambacht een kleine eeuw eerder het vrouwelijk lidmaatschap verbood. </w:t>
      </w:r>
      <w:r w:rsidR="00F7057D" w:rsidRPr="0096338A">
        <w:t>Het verbod lijkt dus nooit</w:t>
      </w:r>
      <w:r w:rsidRPr="0096338A">
        <w:t xml:space="preserve"> echt</w:t>
      </w:r>
      <w:r w:rsidR="00F7057D" w:rsidRPr="0096338A">
        <w:t xml:space="preserve"> te zijn doorgevoerd.</w:t>
      </w:r>
      <w:r w:rsidR="00B80C41" w:rsidRPr="0096338A">
        <w:t xml:space="preserve"> Een mogelijke verklaring hiervoor is dat het ambacht</w:t>
      </w:r>
      <w:r w:rsidR="007B2127" w:rsidRPr="0096338A">
        <w:t xml:space="preserve"> traditioneel </w:t>
      </w:r>
      <w:r w:rsidR="00B80C41" w:rsidRPr="0096338A">
        <w:t>al vrouwen toegang verleende en deze traditie niet makkelijk doorbroken werd</w:t>
      </w:r>
      <w:r w:rsidR="00C101F2" w:rsidRPr="0096338A">
        <w:t>. Howell stelt bijvoorbeeld dat het overleden van de vrouwenambachten in Keulen een gevolg was van een sterk verankerde traditie die niet zomaar doorbroken kon worden.</w:t>
      </w:r>
      <w:r w:rsidR="00C101F2" w:rsidRPr="0096338A">
        <w:rPr>
          <w:rStyle w:val="Voetnootmarkering"/>
        </w:rPr>
        <w:footnoteReference w:id="112"/>
      </w:r>
      <w:r w:rsidR="00C101F2" w:rsidRPr="0096338A">
        <w:t xml:space="preserve"> Dit kan eveneens het geval zijn geweest bij de aanwezigheid van vrouwen bij de groepering van de tassenmakers.</w:t>
      </w:r>
      <w:r w:rsidR="00832C16" w:rsidRPr="0096338A">
        <w:t xml:space="preserve"> Van Uytven stelt dat de corporatie doorheen de vijftiende eeuw meer leden kreeg, </w:t>
      </w:r>
      <w:r w:rsidR="007B2127" w:rsidRPr="0096338A">
        <w:t xml:space="preserve">wat misschien inhield dat </w:t>
      </w:r>
      <w:r w:rsidR="00C101F2" w:rsidRPr="0096338A">
        <w:t>vrouwen</w:t>
      </w:r>
      <w:r w:rsidR="00832C16" w:rsidRPr="0096338A">
        <w:t xml:space="preserve"> meer plaats</w:t>
      </w:r>
      <w:r w:rsidR="007B2127" w:rsidRPr="0096338A">
        <w:t xml:space="preserve">en </w:t>
      </w:r>
      <w:r w:rsidR="00C101F2" w:rsidRPr="0096338A">
        <w:t>konden innemen</w:t>
      </w:r>
      <w:r w:rsidR="007B2127" w:rsidRPr="0096338A">
        <w:t xml:space="preserve"> </w:t>
      </w:r>
      <w:r w:rsidR="00832C16" w:rsidRPr="0096338A">
        <w:t>dan in 1403.</w:t>
      </w:r>
      <w:r w:rsidR="00832C16" w:rsidRPr="0096338A">
        <w:rPr>
          <w:rStyle w:val="Voetnootmarkering"/>
        </w:rPr>
        <w:footnoteReference w:id="113"/>
      </w:r>
    </w:p>
    <w:p w:rsidR="00B80C41" w:rsidRPr="0096338A" w:rsidRDefault="00B80C41" w:rsidP="00B80C41">
      <w:r w:rsidRPr="0096338A">
        <w:tab/>
      </w:r>
      <w:r w:rsidR="00F7057D" w:rsidRPr="0096338A">
        <w:t>Ten slotte</w:t>
      </w:r>
      <w:r w:rsidRPr="0096338A">
        <w:t xml:space="preserve"> is het belangrijk het</w:t>
      </w:r>
      <w:r w:rsidR="00F7057D" w:rsidRPr="0096338A">
        <w:t xml:space="preserve"> schijnbaar</w:t>
      </w:r>
      <w:r w:rsidRPr="0096338A">
        <w:t xml:space="preserve"> gebrek aa</w:t>
      </w:r>
      <w:r w:rsidR="00F7057D" w:rsidRPr="0096338A">
        <w:t>n Leuvense vrouwenambachten aan te stippen</w:t>
      </w:r>
      <w:r w:rsidRPr="0096338A">
        <w:t>. Claire Crowston stelde reeds dat deze in de Zuidelijke Nederlanden in het algemeen afwezig waren, waar er volgens Howell in Keulen bijvoorbeeld minstens drie aanwezig waren.</w:t>
      </w:r>
      <w:r w:rsidRPr="0096338A">
        <w:rPr>
          <w:rStyle w:val="Voetnootmarkering"/>
        </w:rPr>
        <w:footnoteReference w:id="114"/>
      </w:r>
      <w:r w:rsidR="00F7057D" w:rsidRPr="0096338A">
        <w:t xml:space="preserve"> Howell oppert</w:t>
      </w:r>
      <w:r w:rsidRPr="0096338A">
        <w:t xml:space="preserve"> twee redenen voor het bestaan van deze louter vrouwelijke ambachten. Een eerste verklaring </w:t>
      </w:r>
      <w:r w:rsidR="00F7057D" w:rsidRPr="0096338A">
        <w:t>ligt volgens haar</w:t>
      </w:r>
      <w:r w:rsidRPr="0096338A">
        <w:t xml:space="preserve"> </w:t>
      </w:r>
      <w:r w:rsidR="00F7057D" w:rsidRPr="0096338A">
        <w:t>in</w:t>
      </w:r>
      <w:r w:rsidRPr="0096338A">
        <w:t xml:space="preserve"> de aard van de taken, die binnen de </w:t>
      </w:r>
      <w:r w:rsidRPr="0096338A">
        <w:rPr>
          <w:i/>
        </w:rPr>
        <w:t xml:space="preserve">family economy </w:t>
      </w:r>
      <w:r w:rsidRPr="0096338A">
        <w:t xml:space="preserve">pasten. </w:t>
      </w:r>
      <w:r w:rsidR="00F7057D" w:rsidRPr="0096338A">
        <w:t>Verschillende ambachten hoorden vaak bij eenzelfde grotere beroepstak. Vrouwen konden meesterschap bekomen binnen de ambachten die bij dezelfde beroepstak hoorden als het ambacht van hun echtgenoot</w:t>
      </w:r>
      <w:r w:rsidRPr="0096338A">
        <w:t xml:space="preserve">. Een tweede reden is het gebrek aan politieke macht van deze ambachten. </w:t>
      </w:r>
      <w:r w:rsidR="00CF06B3" w:rsidRPr="0096338A">
        <w:t>Vrouwen verenigden zich dus wel in een corporatie, maar die bleef politiek onmondig</w:t>
      </w:r>
      <w:r w:rsidRPr="0096338A">
        <w:t>.</w:t>
      </w:r>
      <w:r w:rsidRPr="0096338A">
        <w:rPr>
          <w:rStyle w:val="Voetnootmarkering"/>
        </w:rPr>
        <w:footnoteReference w:id="115"/>
      </w:r>
      <w:r w:rsidRPr="0096338A">
        <w:t xml:space="preserve"> De stellingen van zowel Crowston als Kittell vragen echter enige nuance</w:t>
      </w:r>
      <w:r w:rsidR="007B2127" w:rsidRPr="0096338A">
        <w:t>,</w:t>
      </w:r>
      <w:r w:rsidRPr="0096338A">
        <w:t xml:space="preserve"> na een doortastende analyse van de stadsordonnanties. De reeds </w:t>
      </w:r>
      <w:r w:rsidRPr="0096338A">
        <w:lastRenderedPageBreak/>
        <w:t>vermelde spinsters vormden namelijk eveneens een vrouwenberoep, of toch een beroep waar de naamgeving naar de vrouwelijke leden v</w:t>
      </w:r>
      <w:r w:rsidR="00F7057D" w:rsidRPr="0096338A">
        <w:t>erwijst, zoals Kittell ook stelde</w:t>
      </w:r>
      <w:r w:rsidRPr="0096338A">
        <w:t xml:space="preserve"> voor </w:t>
      </w:r>
      <w:r w:rsidR="007B2127" w:rsidRPr="0096338A">
        <w:t xml:space="preserve">het </w:t>
      </w:r>
      <w:r w:rsidRPr="0096338A">
        <w:t>middeleeuws</w:t>
      </w:r>
      <w:r w:rsidR="007B2127" w:rsidRPr="0096338A">
        <w:t xml:space="preserve">e </w:t>
      </w:r>
      <w:r w:rsidRPr="0096338A">
        <w:t>Douai.</w:t>
      </w:r>
      <w:r w:rsidRPr="0096338A">
        <w:rPr>
          <w:rStyle w:val="Voetnootmarkering"/>
        </w:rPr>
        <w:footnoteReference w:id="116"/>
      </w:r>
      <w:r w:rsidRPr="0096338A">
        <w:t xml:space="preserve"> De politieke rechten van deze vrouwen kenden geen uiting in de vorm van autonome statuten. Hun klachten kwamen echter, zoals de eerder genoemde ordonnantie duidelijk maakt, eveneens aan bij het stadsbestuur, al was het onder de vleugel</w:t>
      </w:r>
      <w:r w:rsidR="007B2127" w:rsidRPr="0096338A">
        <w:t>s</w:t>
      </w:r>
      <w:r w:rsidRPr="0096338A">
        <w:t xml:space="preserve"> van de wevers of volders.</w:t>
      </w:r>
      <w:r w:rsidRPr="0096338A">
        <w:rPr>
          <w:rStyle w:val="Voetnootmarkering"/>
        </w:rPr>
        <w:footnoteReference w:id="117"/>
      </w:r>
      <w:r w:rsidR="00CF06B3" w:rsidRPr="0096338A">
        <w:t xml:space="preserve"> Het is echter onduidelijk of het om een georganiseerde groep ging, dan wel om vrouwen die hetzelfde beroep </w:t>
      </w:r>
      <w:r w:rsidR="007B2127" w:rsidRPr="0096338A">
        <w:t>uitoefenden</w:t>
      </w:r>
      <w:r w:rsidR="00CF06B3" w:rsidRPr="0096338A">
        <w:t xml:space="preserve"> zonder verder </w:t>
      </w:r>
      <w:r w:rsidR="007B2127" w:rsidRPr="0096338A">
        <w:t xml:space="preserve">corporatief </w:t>
      </w:r>
      <w:r w:rsidR="00CF06B3" w:rsidRPr="0096338A">
        <w:t>verband met elkaar. De Leuvense spinsters vormen een interessante casus, maar door gebrekkig bronnenmateriaal is verdere studie helaas niet mogelijk.</w:t>
      </w:r>
    </w:p>
    <w:p w:rsidR="00B80C41" w:rsidRPr="0096338A" w:rsidRDefault="00B80C41" w:rsidP="00B80C41">
      <w:pPr>
        <w:pStyle w:val="Kop3"/>
        <w:rPr>
          <w:lang w:val="en-GB"/>
        </w:rPr>
      </w:pPr>
      <w:bookmarkStart w:id="11" w:name="_Toc452371444"/>
      <w:r w:rsidRPr="0096338A">
        <w:rPr>
          <w:lang w:val="en-GB"/>
        </w:rPr>
        <w:t>3.2.2 Alleenstaande vrouwen en de ambachten</w:t>
      </w:r>
      <w:bookmarkEnd w:id="11"/>
    </w:p>
    <w:p w:rsidR="00B80C41" w:rsidRPr="0096338A" w:rsidRDefault="00B80C41" w:rsidP="00B80C41">
      <w:pPr>
        <w:ind w:left="708"/>
        <w:rPr>
          <w:lang w:val="en-GB"/>
        </w:rPr>
      </w:pPr>
      <w:r w:rsidRPr="0096338A">
        <w:rPr>
          <w:lang w:val="en-GB"/>
        </w:rPr>
        <w:t>“Girls, women, and their families took advantage of loopholes, interstices, and tacit or overt authorization to obtain training, employment, partnership, and even autonomous guild membership.”</w:t>
      </w:r>
      <w:r w:rsidRPr="0096338A">
        <w:rPr>
          <w:rStyle w:val="Voetnootmarkering"/>
          <w:lang w:val="en-GB"/>
        </w:rPr>
        <w:footnoteReference w:id="118"/>
      </w:r>
    </w:p>
    <w:p w:rsidR="00B80C41" w:rsidRPr="0096338A" w:rsidRDefault="00B80C41" w:rsidP="00B80C41">
      <w:r w:rsidRPr="0096338A">
        <w:t>Zoals eerder gesteld</w:t>
      </w:r>
      <w:r w:rsidR="0076225E" w:rsidRPr="0096338A">
        <w:t xml:space="preserve">, </w:t>
      </w:r>
      <w:r w:rsidRPr="0096338A">
        <w:t>zal dit</w:t>
      </w:r>
      <w:r w:rsidR="0076225E" w:rsidRPr="0096338A">
        <w:t xml:space="preserve"> thema</w:t>
      </w:r>
      <w:r w:rsidRPr="0096338A">
        <w:t xml:space="preserve"> dieper ingaan op het statuut van alleenstaande vrouwen binnen de ambachten. Hoewel e</w:t>
      </w:r>
      <w:r w:rsidR="00E618D4" w:rsidRPr="0096338A">
        <w:t xml:space="preserve">en duidelijke distinctie tussen weduwen enerzijds en ongetrouwde vrouwen anderzijds </w:t>
      </w:r>
      <w:r w:rsidRPr="0096338A">
        <w:t xml:space="preserve">noodzakelijk is, </w:t>
      </w:r>
      <w:r w:rsidR="00E96068" w:rsidRPr="0096338A">
        <w:t>valt de analyse over deze groep binnen eenzelfde indeling,</w:t>
      </w:r>
      <w:r w:rsidRPr="0096338A">
        <w:t xml:space="preserve"> onder meer omwille van de onduidelijkheden in de bronnen. De</w:t>
      </w:r>
      <w:r w:rsidR="00C101F2" w:rsidRPr="0096338A">
        <w:t xml:space="preserve"> stadsordonnanties spreken van </w:t>
      </w:r>
      <w:r w:rsidRPr="0096338A">
        <w:rPr>
          <w:i/>
        </w:rPr>
        <w:t>ongehuwede vrouwen persoenen</w:t>
      </w:r>
      <w:r w:rsidRPr="0096338A">
        <w:t xml:space="preserve">, waar beide groepen </w:t>
      </w:r>
      <w:r w:rsidR="00E96068" w:rsidRPr="0096338A">
        <w:t xml:space="preserve">in principe </w:t>
      </w:r>
      <w:r w:rsidR="008D0E4F" w:rsidRPr="0096338A">
        <w:t>bij horen</w:t>
      </w:r>
      <w:r w:rsidRPr="0096338A">
        <w:t>.</w:t>
      </w:r>
      <w:r w:rsidRPr="0096338A">
        <w:rPr>
          <w:rStyle w:val="Voetnootmarkering"/>
        </w:rPr>
        <w:footnoteReference w:id="119"/>
      </w:r>
      <w:r w:rsidRPr="0096338A">
        <w:t xml:space="preserve"> Toch is enig onderscheid tussen de groepen essentieel, </w:t>
      </w:r>
      <w:r w:rsidR="00E96068" w:rsidRPr="0096338A">
        <w:t xml:space="preserve">wat </w:t>
      </w:r>
      <w:r w:rsidR="00C101F2" w:rsidRPr="0096338A">
        <w:t>eerdere studies duidelijk maakten</w:t>
      </w:r>
      <w:r w:rsidR="00E618D4" w:rsidRPr="0096338A">
        <w:t xml:space="preserve">, aangevuld met aanwijzingen </w:t>
      </w:r>
      <w:r w:rsidR="008D0E4F" w:rsidRPr="0096338A">
        <w:t>hierover in de ordonnantieboeken</w:t>
      </w:r>
      <w:r w:rsidRPr="0096338A">
        <w:t>. Weduwen nemen een belangrijke positie in binnen deze groep, maar ze waren zeker niet de enige vrouwen met economische activiteiten. Waar het</w:t>
      </w:r>
      <w:r w:rsidR="003848DE" w:rsidRPr="0096338A">
        <w:t xml:space="preserve"> niettemin</w:t>
      </w:r>
      <w:r w:rsidRPr="0096338A">
        <w:t xml:space="preserve"> reeds moeilijk is om verschil te maken tussen de verschillende f</w:t>
      </w:r>
      <w:r w:rsidR="00E96068" w:rsidRPr="0096338A">
        <w:t xml:space="preserve">amiliale statussen van vrouwen aan de hand van </w:t>
      </w:r>
      <w:r w:rsidRPr="0096338A">
        <w:t xml:space="preserve">de ordonnanties, </w:t>
      </w:r>
      <w:r w:rsidR="003848DE" w:rsidRPr="0096338A">
        <w:t xml:space="preserve">vormen deze bronnen zeker geen vaste basis voor </w:t>
      </w:r>
      <w:r w:rsidRPr="0096338A">
        <w:t xml:space="preserve">het onderzoek naar ongetrouwde vrouwen. Toch is het belangrijk de beperkte bevindingen </w:t>
      </w:r>
      <w:r w:rsidR="00C9197C" w:rsidRPr="0096338A">
        <w:t xml:space="preserve">voor </w:t>
      </w:r>
      <w:r w:rsidRPr="0096338A">
        <w:t>te stellen, aangezien ze</w:t>
      </w:r>
      <w:r w:rsidR="003848DE" w:rsidRPr="0096338A">
        <w:t xml:space="preserve"> kunnen </w:t>
      </w:r>
      <w:r w:rsidRPr="0096338A">
        <w:t>bijdragen tot het debat over de positie van vrouwen in de laatmiddeleeuwse economische wereld.</w:t>
      </w:r>
      <w:r w:rsidR="008D0E4F" w:rsidRPr="0096338A">
        <w:t xml:space="preserve"> </w:t>
      </w:r>
    </w:p>
    <w:p w:rsidR="00C101F2" w:rsidRPr="0096338A" w:rsidRDefault="003848DE" w:rsidP="00B80C41">
      <w:pPr>
        <w:ind w:firstLine="708"/>
      </w:pPr>
      <w:r w:rsidRPr="0096338A">
        <w:t xml:space="preserve">Van Gerven beargumenteert dat de </w:t>
      </w:r>
      <w:r w:rsidR="00C9197C" w:rsidRPr="0096338A">
        <w:t xml:space="preserve">toegang voor vrouwen </w:t>
      </w:r>
      <w:r w:rsidRPr="0096338A">
        <w:t>tot</w:t>
      </w:r>
      <w:r w:rsidR="00C9197C" w:rsidRPr="0096338A">
        <w:t xml:space="preserve"> de </w:t>
      </w:r>
      <w:r w:rsidR="00B80C41" w:rsidRPr="0096338A">
        <w:t xml:space="preserve">ambachten </w:t>
      </w:r>
      <w:r w:rsidRPr="0096338A">
        <w:t>voorbehouden bleef aan</w:t>
      </w:r>
      <w:r w:rsidR="00C9197C" w:rsidRPr="0096338A">
        <w:t xml:space="preserve"> weduwen.</w:t>
      </w:r>
      <w:r w:rsidR="00B80C41" w:rsidRPr="0096338A">
        <w:t xml:space="preserve"> Vrouwelijke onderneemsters waren volgens hem dan ook </w:t>
      </w:r>
      <w:r w:rsidR="00B80C41" w:rsidRPr="0096338A">
        <w:lastRenderedPageBreak/>
        <w:t>voornamelijk weduwen.</w:t>
      </w:r>
      <w:r w:rsidR="00B80C41" w:rsidRPr="0096338A">
        <w:rPr>
          <w:rStyle w:val="Voetnootmarkering"/>
        </w:rPr>
        <w:footnoteReference w:id="120"/>
      </w:r>
      <w:r w:rsidR="00B80C41" w:rsidRPr="0096338A">
        <w:t xml:space="preserve"> Hoewel deze scriptie</w:t>
      </w:r>
      <w:r w:rsidRPr="0096338A">
        <w:t xml:space="preserve"> argumenten voor tegengestelde standspunten zal aanvoeren, </w:t>
      </w:r>
      <w:r w:rsidR="00B80C41" w:rsidRPr="0096338A">
        <w:t xml:space="preserve">kan waarschijnlijk niet worden ontkend dat weduwen vaak bij de meer welgestelde vrouwen binnen het ambacht hoorden. </w:t>
      </w:r>
    </w:p>
    <w:p w:rsidR="00C101F2" w:rsidRPr="0096338A" w:rsidRDefault="00B80C41" w:rsidP="00C101F2">
      <w:pPr>
        <w:ind w:left="708"/>
      </w:pPr>
      <w:r w:rsidRPr="0096338A">
        <w:t>“Men kan dus wel besluiten dat de weduwe in het Vlaamse stadsrecht een relatief gunstige positie bekleedt. Ze geniet zelfs van een aantal specifieke rechten die in feite een erkenning impliceren van de weduwe als alleenstaande en zelfstandige vrouw.”</w:t>
      </w:r>
      <w:r w:rsidRPr="0096338A">
        <w:rPr>
          <w:rStyle w:val="Voetnootmarkering"/>
        </w:rPr>
        <w:footnoteReference w:id="121"/>
      </w:r>
      <w:r w:rsidR="008D7629" w:rsidRPr="0096338A">
        <w:t xml:space="preserve"> </w:t>
      </w:r>
    </w:p>
    <w:p w:rsidR="00B80C41" w:rsidRPr="0096338A" w:rsidRDefault="008D7629" w:rsidP="00C101F2">
      <w:r w:rsidRPr="0096338A">
        <w:t xml:space="preserve">Danneel </w:t>
      </w:r>
      <w:r w:rsidR="003848DE" w:rsidRPr="0096338A">
        <w:t>wijst</w:t>
      </w:r>
      <w:r w:rsidRPr="0096338A">
        <w:t xml:space="preserve"> ook op</w:t>
      </w:r>
      <w:r w:rsidR="00B80C41" w:rsidRPr="0096338A">
        <w:t xml:space="preserve"> het uitzonderlijke statuut van weduwen ten opzichte van andere vrouwen in de middeleeuwse stedelijke samenleving. De weduwe had bijvoorbeeld, zoals reeds aan</w:t>
      </w:r>
      <w:r w:rsidR="00C9197C" w:rsidRPr="0096338A">
        <w:t xml:space="preserve"> </w:t>
      </w:r>
      <w:r w:rsidR="00B80C41" w:rsidRPr="0096338A">
        <w:t>bod kwam voor het barbiersambacht, toegang tot bepaalde ambachten die lidmaatschap van andere vrouwen weerden.</w:t>
      </w:r>
      <w:r w:rsidR="009B3068" w:rsidRPr="0096338A">
        <w:rPr>
          <w:rStyle w:val="Voetnootmarkering"/>
        </w:rPr>
        <w:footnoteReference w:id="122"/>
      </w:r>
      <w:r w:rsidR="00B80C41" w:rsidRPr="0096338A">
        <w:t xml:space="preserve"> De oorzaak hiervoor ligt waarschijnlijk bij het gesloten karakter van de ambachten. Door weduwen toe te laten en ze aan te sporen te hertrouwen binnen hetzelfde ambacht, kon de kring van gezworenen buitenstaanders uitsluiten.</w:t>
      </w:r>
      <w:r w:rsidR="00B80C41" w:rsidRPr="0096338A">
        <w:rPr>
          <w:rStyle w:val="Voetnootmarkering"/>
        </w:rPr>
        <w:footnoteReference w:id="123"/>
      </w:r>
      <w:r w:rsidR="00B80C41" w:rsidRPr="0096338A">
        <w:t xml:space="preserve"> </w:t>
      </w:r>
    </w:p>
    <w:p w:rsidR="00B80C41" w:rsidRPr="0096338A" w:rsidRDefault="003848DE" w:rsidP="00B80C41">
      <w:pPr>
        <w:ind w:firstLine="708"/>
      </w:pPr>
      <w:r w:rsidRPr="0096338A">
        <w:t>Dat weduwen zouden hertrouwen werd volgens Danneel niet bijzonder aangemoedigd, wat ook blijkt uit de stadsordonnanties</w:t>
      </w:r>
      <w:r w:rsidR="00B80C41" w:rsidRPr="0096338A">
        <w:t>.</w:t>
      </w:r>
      <w:r w:rsidR="00B80C41" w:rsidRPr="0096338A">
        <w:rPr>
          <w:rStyle w:val="Voetnootmarkering"/>
        </w:rPr>
        <w:footnoteReference w:id="124"/>
      </w:r>
      <w:r w:rsidR="00B80C41" w:rsidRPr="0096338A">
        <w:t xml:space="preserve"> Binnen bepaalde ambachten was het waarschijnlijk zelfs voordelig voor de weduwe om niet te hertrouwen, indien ze </w:t>
      </w:r>
      <w:r w:rsidR="009B3068" w:rsidRPr="0096338A">
        <w:t xml:space="preserve">reeds </w:t>
      </w:r>
      <w:r w:rsidR="00B80C41" w:rsidRPr="0096338A">
        <w:t xml:space="preserve">beschikte over een welvarende onderneming. </w:t>
      </w:r>
      <w:r w:rsidRPr="0096338A">
        <w:t>Die redenering</w:t>
      </w:r>
      <w:r w:rsidR="00B80C41" w:rsidRPr="0096338A">
        <w:t xml:space="preserve"> </w:t>
      </w:r>
      <w:r w:rsidR="001F7111" w:rsidRPr="0096338A">
        <w:t xml:space="preserve">wordt geschraagd door uitspraken </w:t>
      </w:r>
      <w:r w:rsidR="00B80C41" w:rsidRPr="0096338A">
        <w:t xml:space="preserve">in twee van de Leuvense stadsordonnanties. In een eerste casus klaagden de schutters </w:t>
      </w:r>
      <w:r w:rsidRPr="0096338A">
        <w:t xml:space="preserve">in 1417 </w:t>
      </w:r>
      <w:r w:rsidR="00B80C41" w:rsidRPr="0096338A">
        <w:t>een weduwe van een voormalig lid aan. De vrouw van Goossen Vander Voeren, die kaarsenmaker en eveneens schutter binnen de Grote Gilde was, bleef na diens dood het ambacht</w:t>
      </w:r>
      <w:r w:rsidRPr="0096338A">
        <w:t xml:space="preserve"> van kaarsenmaker u</w:t>
      </w:r>
      <w:r w:rsidR="00B80C41" w:rsidRPr="0096338A">
        <w:t>itvoeren zonder zichzelf in te kopen. De schutters verklaren namens het kaarsenmakerambacht dat de weduwe het ambachtsgeld niet heeft betaald. Haar verdediging luidt:</w:t>
      </w:r>
    </w:p>
    <w:p w:rsidR="00B80C41" w:rsidRPr="0096338A" w:rsidRDefault="00B80C41" w:rsidP="00B80C41">
      <w:pPr>
        <w:ind w:left="708"/>
      </w:pPr>
      <w:r w:rsidRPr="0096338A">
        <w:rPr>
          <w:i/>
        </w:rPr>
        <w:t>[…] meynen dat de voirscreven wed</w:t>
      </w:r>
      <w:r w:rsidR="0097455F" w:rsidRPr="0096338A">
        <w:rPr>
          <w:i/>
        </w:rPr>
        <w:t>uwe t voirscreven ambacht nae ha</w:t>
      </w:r>
      <w:r w:rsidRPr="0096338A">
        <w:rPr>
          <w:i/>
        </w:rPr>
        <w:t>ers mans doot</w:t>
      </w:r>
      <w:r w:rsidR="0097455F" w:rsidRPr="0096338A">
        <w:rPr>
          <w:i/>
        </w:rPr>
        <w:t xml:space="preserve"> alse waelc ende alse vry soude</w:t>
      </w:r>
      <w:r w:rsidRPr="0096338A">
        <w:rPr>
          <w:i/>
        </w:rPr>
        <w:t xml:space="preserve"> moegen doen als hij dede in zijn</w:t>
      </w:r>
      <w:r w:rsidR="0097455F" w:rsidRPr="0096338A">
        <w:rPr>
          <w:i/>
        </w:rPr>
        <w:t>en</w:t>
      </w:r>
      <w:r w:rsidRPr="0096338A">
        <w:rPr>
          <w:i/>
        </w:rPr>
        <w:t xml:space="preserve"> leven eener tot der tijt dat zij </w:t>
      </w:r>
      <w:r w:rsidR="0097455F" w:rsidRPr="0096338A">
        <w:rPr>
          <w:i/>
        </w:rPr>
        <w:t>herhoulijc</w:t>
      </w:r>
      <w:r w:rsidRPr="0096338A">
        <w:rPr>
          <w:i/>
        </w:rPr>
        <w:t xml:space="preserve"> der mee dan en soude zij dier v</w:t>
      </w:r>
      <w:r w:rsidR="00C53568" w:rsidRPr="0096338A">
        <w:rPr>
          <w:i/>
        </w:rPr>
        <w:t>rijicheyt niet meer gebruecken.</w:t>
      </w:r>
      <w:r w:rsidRPr="0096338A">
        <w:rPr>
          <w:rStyle w:val="Voetnootmarkering"/>
        </w:rPr>
        <w:footnoteReference w:id="125"/>
      </w:r>
    </w:p>
    <w:p w:rsidR="00B80C41" w:rsidRPr="0096338A" w:rsidRDefault="006743C2" w:rsidP="00B80C41">
      <w:r w:rsidRPr="0096338A">
        <w:lastRenderedPageBreak/>
        <w:t>De echtgenote van een overleden kaarsenmaker mocht het ambacht</w:t>
      </w:r>
      <w:r w:rsidR="003848DE" w:rsidRPr="0096338A">
        <w:t xml:space="preserve"> kennelijk </w:t>
      </w:r>
      <w:r w:rsidRPr="0096338A">
        <w:t>blijven uitoefenen t</w:t>
      </w:r>
      <w:r w:rsidR="003848DE" w:rsidRPr="0096338A">
        <w:t>ot ze hertrouwde. De weduwe had</w:t>
      </w:r>
      <w:r w:rsidRPr="0096338A">
        <w:t xml:space="preserve"> dan ook </w:t>
      </w:r>
      <w:r w:rsidR="00B80C41" w:rsidRPr="0096338A">
        <w:t>geen belang bij te hertrouwen, aangezien ze dan moet betalen of uit het ambacht moe</w:t>
      </w:r>
      <w:r w:rsidR="003848DE" w:rsidRPr="0096338A">
        <w:t>s</w:t>
      </w:r>
      <w:r w:rsidR="00B80C41" w:rsidRPr="0096338A">
        <w:t xml:space="preserve">t </w:t>
      </w:r>
      <w:r w:rsidR="003848DE" w:rsidRPr="0096338A">
        <w:t>stappen. De stadsraad verklaarde</w:t>
      </w:r>
      <w:r w:rsidR="00B80C41" w:rsidRPr="0096338A">
        <w:t xml:space="preserve"> hierna echter dat weduwen een half jaar na de dood van hun echtgenoot het ambachtsgeld moe</w:t>
      </w:r>
      <w:r w:rsidR="003848DE" w:rsidRPr="0096338A">
        <w:t>s</w:t>
      </w:r>
      <w:r w:rsidR="00B80C41" w:rsidRPr="0096338A">
        <w:t>ten b</w:t>
      </w:r>
      <w:r w:rsidR="003848DE" w:rsidRPr="0096338A">
        <w:t>etalen indien ze het beroep wild</w:t>
      </w:r>
      <w:r w:rsidR="00B80C41" w:rsidRPr="0096338A">
        <w:t>en blijven uitvoeren.</w:t>
      </w:r>
      <w:r w:rsidR="00B80C41" w:rsidRPr="0096338A">
        <w:rPr>
          <w:rStyle w:val="Voetnootmarkering"/>
        </w:rPr>
        <w:footnoteReference w:id="126"/>
      </w:r>
      <w:r w:rsidR="00B80C41" w:rsidRPr="0096338A">
        <w:t xml:space="preserve"> Ondanks</w:t>
      </w:r>
      <w:r w:rsidR="00C9197C" w:rsidRPr="0096338A">
        <w:t xml:space="preserve"> het gegeven</w:t>
      </w:r>
      <w:r w:rsidR="00B80C41" w:rsidRPr="0096338A">
        <w:t xml:space="preserve"> dat de weduwe hier in haar voordelen beknot wordt, is er eveneens nergens sprake van haar </w:t>
      </w:r>
      <w:r w:rsidR="00F243EC" w:rsidRPr="0096338A">
        <w:t>uitsluiting</w:t>
      </w:r>
      <w:r w:rsidR="00C9197C" w:rsidRPr="0096338A">
        <w:t xml:space="preserve"> </w:t>
      </w:r>
      <w:r w:rsidR="00B80C41" w:rsidRPr="0096338A">
        <w:t>uit het ambacht.</w:t>
      </w:r>
    </w:p>
    <w:p w:rsidR="00F663D9" w:rsidRPr="0096338A" w:rsidRDefault="00B80C41" w:rsidP="00B80C41">
      <w:r w:rsidRPr="0096338A">
        <w:tab/>
        <w:t>Een tweede voor</w:t>
      </w:r>
      <w:r w:rsidR="00C9197C" w:rsidRPr="0096338A">
        <w:t>deel dat de welvarende weduwe ko</w:t>
      </w:r>
      <w:r w:rsidRPr="0096338A">
        <w:t xml:space="preserve">n halen uit de keuze om niet te hertrouwen is de doorlopende financiële bijdrage in de vorm van </w:t>
      </w:r>
      <w:r w:rsidRPr="0096338A">
        <w:rPr>
          <w:i/>
        </w:rPr>
        <w:t>goetdoen</w:t>
      </w:r>
      <w:r w:rsidRPr="0096338A">
        <w:t>, een geldsom die de ambachten uitdeelde</w:t>
      </w:r>
      <w:r w:rsidR="00C9197C" w:rsidRPr="0096338A">
        <w:t>n</w:t>
      </w:r>
      <w:r w:rsidRPr="0096338A">
        <w:t xml:space="preserve"> wanneer de leden in bepaalde omstandigheden hun werk niet konden uitvoeren. De ambachtslieden ontvingen dit indien ze consistent het werkgeld betaalde</w:t>
      </w:r>
      <w:r w:rsidR="008D7629" w:rsidRPr="0096338A">
        <w:t>n</w:t>
      </w:r>
      <w:r w:rsidR="003848DE" w:rsidRPr="0096338A">
        <w:t xml:space="preserve">. </w:t>
      </w:r>
      <w:r w:rsidR="009B3068" w:rsidRPr="0096338A">
        <w:t xml:space="preserve">Hoewel de bijstand </w:t>
      </w:r>
      <w:r w:rsidRPr="0096338A">
        <w:t>ook voor andere vrouwen voordelig was</w:t>
      </w:r>
      <w:r w:rsidR="003848DE" w:rsidRPr="0096338A">
        <w:t xml:space="preserve"> – een punt waar dit onderzoek in een volgend thema op terugkomt – toont het </w:t>
      </w:r>
      <w:r w:rsidRPr="0096338A">
        <w:t>hoe de weduwe hier</w:t>
      </w:r>
      <w:r w:rsidR="003848DE" w:rsidRPr="0096338A">
        <w:t xml:space="preserve"> binnen bepaalde ambachten voordeel uit haalde. </w:t>
      </w:r>
      <w:r w:rsidRPr="0096338A">
        <w:t>Weduwen van bakkers moesten</w:t>
      </w:r>
      <w:r w:rsidR="003848DE" w:rsidRPr="0096338A">
        <w:t xml:space="preserve"> bijvoorbeeld </w:t>
      </w:r>
      <w:r w:rsidRPr="0096338A">
        <w:t>vier stuivers werkgeld betalen zolang ze weduwe bleven, wat overeenkwam met het bedrag dat een mannelijk</w:t>
      </w:r>
      <w:r w:rsidR="00F663D9" w:rsidRPr="0096338A">
        <w:t xml:space="preserve">e genoot aan werkgeld </w:t>
      </w:r>
      <w:r w:rsidRPr="0096338A">
        <w:t>betaalde.</w:t>
      </w:r>
      <w:r w:rsidRPr="0096338A">
        <w:rPr>
          <w:rStyle w:val="Voetnootmarkering"/>
        </w:rPr>
        <w:footnoteReference w:id="127"/>
      </w:r>
      <w:r w:rsidRPr="0096338A">
        <w:t xml:space="preserve"> Hoewel deze ordonnantie zwijgt over bepalingen rond </w:t>
      </w:r>
      <w:r w:rsidR="009B3068" w:rsidRPr="0096338A">
        <w:t>financiële bijstand</w:t>
      </w:r>
      <w:r w:rsidR="008D7629" w:rsidRPr="0096338A">
        <w:t>,</w:t>
      </w:r>
      <w:r w:rsidRPr="0096338A">
        <w:t xml:space="preserve"> komt dit bedrag en de formulering van </w:t>
      </w:r>
      <w:r w:rsidR="00F663D9" w:rsidRPr="0096338A">
        <w:t>het besluit</w:t>
      </w:r>
      <w:r w:rsidRPr="0096338A">
        <w:t xml:space="preserve"> overeen met gelijkaardige beslissingen omtrent andere ambachten. Hierbij geldt steeds dat mannen een hoger </w:t>
      </w:r>
      <w:r w:rsidRPr="0096338A">
        <w:rPr>
          <w:i/>
        </w:rPr>
        <w:t>goetdoen</w:t>
      </w:r>
      <w:r w:rsidRPr="0096338A">
        <w:t xml:space="preserve"> krijgen in ruil voor het hogere werkgeld, terwijl vrouwen slechts</w:t>
      </w:r>
      <w:r w:rsidR="00F663D9" w:rsidRPr="0096338A">
        <w:t xml:space="preserve"> de helft betalen en ontvangen.</w:t>
      </w:r>
    </w:p>
    <w:p w:rsidR="00F663D9" w:rsidRPr="0096338A" w:rsidRDefault="009B3068" w:rsidP="00F663D9">
      <w:pPr>
        <w:ind w:firstLine="708"/>
      </w:pPr>
      <w:r w:rsidRPr="0096338A">
        <w:t>Uit eerdere bevindingen kwam reeds naar voor</w:t>
      </w:r>
      <w:r w:rsidR="00F663D9" w:rsidRPr="0096338A">
        <w:t xml:space="preserve"> dat </w:t>
      </w:r>
      <w:r w:rsidR="00B80C41" w:rsidRPr="0096338A">
        <w:t>het voordeel voor de weduwe om o</w:t>
      </w:r>
      <w:r w:rsidRPr="0096338A">
        <w:t>ngetrouwd te blijven enkel gold</w:t>
      </w:r>
      <w:r w:rsidR="00B80C41" w:rsidRPr="0096338A">
        <w:t xml:space="preserve"> voor weduwen met een zekere graad van welvaart. Weduwen die niets erfden van hun man</w:t>
      </w:r>
      <w:r w:rsidR="00F663D9" w:rsidRPr="0096338A">
        <w:t>,</w:t>
      </w:r>
      <w:r w:rsidR="00B80C41" w:rsidRPr="0096338A">
        <w:t xml:space="preserve"> beschikten niet over het kapitaal om zijn werk verder te </w:t>
      </w:r>
      <w:r w:rsidR="00F663D9" w:rsidRPr="0096338A">
        <w:t>zetten</w:t>
      </w:r>
      <w:r w:rsidR="00B80C41" w:rsidRPr="0096338A">
        <w:t xml:space="preserve"> en haalden dus meer uit een nieuw huwelijk, </w:t>
      </w:r>
      <w:r w:rsidR="00F663D9" w:rsidRPr="0096338A">
        <w:t>weliswaar met verlies van</w:t>
      </w:r>
      <w:r w:rsidR="00B80C41" w:rsidRPr="0096338A">
        <w:t xml:space="preserve"> hun rechten als alleenstaande vrouw.</w:t>
      </w:r>
      <w:r w:rsidR="00B80C41" w:rsidRPr="0096338A">
        <w:rPr>
          <w:rStyle w:val="Voetnootmarkering"/>
        </w:rPr>
        <w:footnoteReference w:id="128"/>
      </w:r>
      <w:r w:rsidR="00F663D9" w:rsidRPr="0096338A">
        <w:t xml:space="preserve"> Een nuance bij die wetgeving is </w:t>
      </w:r>
      <w:r w:rsidR="00B80C41" w:rsidRPr="0096338A">
        <w:t xml:space="preserve">de vaststelling dat hertrouwen voor de weduwe evenmin steeds nadelig was. Hoewel het wettelijke kader geen verplicht huwelijk voorschrijft, kunnen hertrouwde weduwen en hun nieuwe echtgenoot in </w:t>
      </w:r>
      <w:r w:rsidR="00B80C41" w:rsidRPr="0096338A">
        <w:lastRenderedPageBreak/>
        <w:t>verschillende ambachten kiezen of ze het recht op de uitkering behouden of niet.</w:t>
      </w:r>
      <w:r w:rsidR="00B80C41" w:rsidRPr="0096338A">
        <w:rPr>
          <w:rStyle w:val="Voetnootmarkering"/>
        </w:rPr>
        <w:footnoteReference w:id="129"/>
      </w:r>
      <w:r w:rsidR="00B80C41" w:rsidRPr="0096338A">
        <w:t xml:space="preserve"> Deze </w:t>
      </w:r>
      <w:r w:rsidR="008D7629" w:rsidRPr="0096338A">
        <w:t>verdraagzaamheid tegenover</w:t>
      </w:r>
      <w:r w:rsidR="00B80C41" w:rsidRPr="0096338A">
        <w:t xml:space="preserve"> de hertrouwde weduwe kan echter eveneens worden verklaard door het reeds vermelde gesloten karakter van de Leuvense ambachten. Danneel stelt zelfs dat het verplicht was voor weduwen om met iemand </w:t>
      </w:r>
      <w:r w:rsidR="008D7629" w:rsidRPr="0096338A">
        <w:t>van hetzelfde</w:t>
      </w:r>
      <w:r w:rsidR="00B80C41" w:rsidRPr="0096338A">
        <w:t xml:space="preserve"> ambacht te trouwen.</w:t>
      </w:r>
      <w:r w:rsidRPr="0096338A">
        <w:rPr>
          <w:rStyle w:val="Voetnootmarkering"/>
        </w:rPr>
        <w:footnoteReference w:id="130"/>
      </w:r>
      <w:r w:rsidR="00B80C41" w:rsidRPr="0096338A">
        <w:t xml:space="preserve"> In dit opzicht is het normaal dat ze het </w:t>
      </w:r>
      <w:r w:rsidR="00B80C41" w:rsidRPr="0096338A">
        <w:rPr>
          <w:i/>
        </w:rPr>
        <w:t>goetdoen</w:t>
      </w:r>
      <w:r w:rsidR="00B80C41" w:rsidRPr="0096338A">
        <w:t xml:space="preserve"> behoudt</w:t>
      </w:r>
      <w:r w:rsidR="00F663D9" w:rsidRPr="0096338A">
        <w:t>;</w:t>
      </w:r>
      <w:r w:rsidR="00B80C41" w:rsidRPr="0096338A">
        <w:t xml:space="preserve"> haar economische activiteit blijft namelijk binnen hetzelfde ambacht.</w:t>
      </w:r>
    </w:p>
    <w:p w:rsidR="00B80C41" w:rsidRPr="0096338A" w:rsidRDefault="00B80C41" w:rsidP="00F663D9">
      <w:pPr>
        <w:ind w:firstLine="708"/>
      </w:pPr>
      <w:r w:rsidRPr="0096338A">
        <w:t>Belangrijk is echter</w:t>
      </w:r>
      <w:r w:rsidR="00F663D9" w:rsidRPr="0096338A">
        <w:t xml:space="preserve"> de kanttek</w:t>
      </w:r>
      <w:r w:rsidR="009B3068" w:rsidRPr="0096338A">
        <w:t>en</w:t>
      </w:r>
      <w:r w:rsidR="00F663D9" w:rsidRPr="0096338A">
        <w:t xml:space="preserve">ing dat de weduwe niet noodzakelijk zelf het werk uitvoerde </w:t>
      </w:r>
      <w:r w:rsidRPr="0096338A">
        <w:t>van het ambacht waarbinnen ze lidmaatschap had. Dit impliceert echter niet dat haar lidmaatscha</w:t>
      </w:r>
      <w:r w:rsidR="008D7629" w:rsidRPr="0096338A">
        <w:t>p binnen het ambacht niet geldig</w:t>
      </w:r>
      <w:r w:rsidRPr="0096338A">
        <w:t xml:space="preserve"> was. </w:t>
      </w:r>
      <w:r w:rsidR="00F663D9" w:rsidRPr="0096338A">
        <w:t>Sheilagh Ogilvie</w:t>
      </w:r>
      <w:r w:rsidRPr="0096338A">
        <w:t xml:space="preserve"> </w:t>
      </w:r>
      <w:r w:rsidR="00C738C4" w:rsidRPr="0096338A">
        <w:t xml:space="preserve">betoogde in verband met </w:t>
      </w:r>
      <w:r w:rsidRPr="0096338A">
        <w:t>Duitsland in de vroegmoderne periode</w:t>
      </w:r>
      <w:r w:rsidR="00C738C4" w:rsidRPr="0096338A">
        <w:t xml:space="preserve"> dat</w:t>
      </w:r>
      <w:r w:rsidRPr="0096338A">
        <w:t xml:space="preserve"> louter </w:t>
      </w:r>
      <w:r w:rsidR="009B3068" w:rsidRPr="0096338A">
        <w:t>lidmaatschap bij een ambacht reeds</w:t>
      </w:r>
      <w:r w:rsidRPr="0096338A">
        <w:t xml:space="preserve"> </w:t>
      </w:r>
      <w:r w:rsidR="008D7629" w:rsidRPr="0096338A">
        <w:t>gevolgen</w:t>
      </w:r>
      <w:r w:rsidRPr="0096338A">
        <w:t xml:space="preserve"> in</w:t>
      </w:r>
      <w:r w:rsidR="00DA624E" w:rsidRPr="0096338A">
        <w:t>hield</w:t>
      </w:r>
      <w:r w:rsidRPr="0096338A">
        <w:t>.</w:t>
      </w:r>
      <w:r w:rsidR="00DA624E" w:rsidRPr="0096338A">
        <w:t xml:space="preserve"> Leden </w:t>
      </w:r>
      <w:r w:rsidRPr="0096338A">
        <w:t>hoorden namelijk bij een groep die over macht beschikte en hierdoor ook over de mogelijkheid om anderen, zoals andere vrouwen,</w:t>
      </w:r>
      <w:r w:rsidR="00DA624E" w:rsidRPr="0096338A">
        <w:t xml:space="preserve"> het lidmaatschap te ontzeggen</w:t>
      </w:r>
      <w:r w:rsidRPr="0096338A">
        <w:t>. Op die manier verkregen weduwen en andere vrouwen in het ambacht ook een bepaalde status</w:t>
      </w:r>
      <w:r w:rsidR="00DA624E" w:rsidRPr="0096338A">
        <w:t>,</w:t>
      </w:r>
      <w:r w:rsidRPr="0096338A">
        <w:t xml:space="preserve"> zonder politieke inspraak of volledig ondernemerschap.</w:t>
      </w:r>
      <w:r w:rsidR="009B3068" w:rsidRPr="0096338A">
        <w:rPr>
          <w:rStyle w:val="Voetnootmarkering"/>
        </w:rPr>
        <w:footnoteReference w:id="131"/>
      </w:r>
      <w:r w:rsidRPr="0096338A">
        <w:t xml:space="preserve"> Of het dan effectief ging om hoge posities binnen het ambacht, zoals onder andere Hutton </w:t>
      </w:r>
      <w:r w:rsidR="00DA624E" w:rsidRPr="0096338A">
        <w:t>beweert, blijft zonder een analyse van praktijkbronnen onduidelijk</w:t>
      </w:r>
      <w:r w:rsidRPr="0096338A">
        <w:t>.</w:t>
      </w:r>
      <w:r w:rsidRPr="0096338A">
        <w:rPr>
          <w:rStyle w:val="Voetnootmarkering"/>
        </w:rPr>
        <w:footnoteReference w:id="132"/>
      </w:r>
      <w:r w:rsidRPr="0096338A">
        <w:t xml:space="preserve"> Wat voor de Leuvense ambachten alleszins </w:t>
      </w:r>
      <w:r w:rsidR="00DA624E" w:rsidRPr="0096338A">
        <w:t>vaststaat</w:t>
      </w:r>
      <w:r w:rsidRPr="0096338A">
        <w:t>, is de aanwezigheid van weduwen binnen meer prestigieuze ambachten, waaronder de smeden en de nieuwe</w:t>
      </w:r>
      <w:r w:rsidR="00DA624E" w:rsidRPr="0096338A">
        <w:t xml:space="preserve"> </w:t>
      </w:r>
      <w:r w:rsidRPr="0096338A">
        <w:t>schoenmakers</w:t>
      </w:r>
      <w:r w:rsidR="00DA624E" w:rsidRPr="0096338A">
        <w:t xml:space="preserve">, </w:t>
      </w:r>
      <w:r w:rsidRPr="0096338A">
        <w:t xml:space="preserve">en niet </w:t>
      </w:r>
      <w:r w:rsidR="00DA624E" w:rsidRPr="0096338A">
        <w:t>enkel</w:t>
      </w:r>
      <w:r w:rsidRPr="0096338A">
        <w:t xml:space="preserve"> bij de minder geprivilegieerde ambachten, zoals de barbiers.</w:t>
      </w:r>
      <w:r w:rsidRPr="0096338A">
        <w:rPr>
          <w:rStyle w:val="Voetnootmarkering"/>
        </w:rPr>
        <w:footnoteReference w:id="133"/>
      </w:r>
    </w:p>
    <w:p w:rsidR="00B80C41" w:rsidRPr="0096338A" w:rsidRDefault="00B80C41" w:rsidP="00B80C41">
      <w:pPr>
        <w:ind w:firstLine="708"/>
      </w:pPr>
      <w:r w:rsidRPr="0096338A">
        <w:t>Waar</w:t>
      </w:r>
      <w:r w:rsidR="00DA624E" w:rsidRPr="0096338A">
        <w:t xml:space="preserve"> het thema “</w:t>
      </w:r>
      <w:r w:rsidRPr="0096338A">
        <w:t>weduwe in de laatmiddeleeuwse economische wereld</w:t>
      </w:r>
      <w:r w:rsidR="00DA624E" w:rsidRPr="0096338A">
        <w:t>”</w:t>
      </w:r>
      <w:r w:rsidRPr="0096338A">
        <w:t xml:space="preserve"> reeds het onderwerp van een aanzienlijk aantal studies </w:t>
      </w:r>
      <w:r w:rsidR="00DA624E" w:rsidRPr="0096338A">
        <w:t>is</w:t>
      </w:r>
      <w:r w:rsidRPr="0096338A">
        <w:t xml:space="preserve">, blijft de positie </w:t>
      </w:r>
      <w:r w:rsidR="00DA624E" w:rsidRPr="0096338A">
        <w:t>van</w:t>
      </w:r>
      <w:r w:rsidRPr="0096338A">
        <w:t xml:space="preserve"> de ongetrouwde vrouw </w:t>
      </w:r>
      <w:r w:rsidR="00E075CF" w:rsidRPr="0096338A">
        <w:t xml:space="preserve">op het domein van productie en handel </w:t>
      </w:r>
      <w:r w:rsidRPr="0096338A">
        <w:t xml:space="preserve">meer </w:t>
      </w:r>
      <w:r w:rsidR="00DA624E" w:rsidRPr="0096338A">
        <w:t>verhuld</w:t>
      </w:r>
      <w:r w:rsidRPr="0096338A">
        <w:t>. Howell concludeert bijvoorbeeld dat ongetrouwde vrouwen economisch zeer actief waren,</w:t>
      </w:r>
      <w:r w:rsidR="00DA624E" w:rsidRPr="0096338A">
        <w:t xml:space="preserve"> maar toch steeds bij de armere loonwerkers</w:t>
      </w:r>
      <w:r w:rsidRPr="0096338A">
        <w:t xml:space="preserve"> in de samenleving hoorde</w:t>
      </w:r>
      <w:r w:rsidR="00DA624E" w:rsidRPr="0096338A">
        <w:t>n</w:t>
      </w:r>
      <w:r w:rsidRPr="0096338A">
        <w:t xml:space="preserve">. Ze verklaart dit onder meer door de niet gepolitiseerde organisatie van hun werkomgeving, </w:t>
      </w:r>
      <w:r w:rsidR="00DA624E" w:rsidRPr="0096338A">
        <w:t>wat</w:t>
      </w:r>
      <w:r w:rsidRPr="0096338A">
        <w:t xml:space="preserve"> wel het geval was bij de ambachten.</w:t>
      </w:r>
      <w:r w:rsidRPr="0096338A">
        <w:rPr>
          <w:rStyle w:val="Voetnootmarkering"/>
        </w:rPr>
        <w:footnoteReference w:id="134"/>
      </w:r>
      <w:r w:rsidR="009B3068" w:rsidRPr="0096338A">
        <w:t xml:space="preserve"> D</w:t>
      </w:r>
      <w:r w:rsidR="00DA624E" w:rsidRPr="0096338A">
        <w:t>e</w:t>
      </w:r>
      <w:r w:rsidRPr="0096338A">
        <w:t xml:space="preserve"> visie op de</w:t>
      </w:r>
      <w:r w:rsidR="008D7629" w:rsidRPr="0096338A">
        <w:t xml:space="preserve"> ongehuwde vrouw als onvermogend</w:t>
      </w:r>
      <w:r w:rsidR="00DA624E" w:rsidRPr="0096338A">
        <w:t xml:space="preserve">, is algemeen </w:t>
      </w:r>
      <w:r w:rsidRPr="0096338A">
        <w:t>aanvaard</w:t>
      </w:r>
      <w:r w:rsidR="008D0E4F" w:rsidRPr="0096338A">
        <w:t xml:space="preserve"> door onderzoekers</w:t>
      </w:r>
      <w:r w:rsidRPr="0096338A">
        <w:t xml:space="preserve">, </w:t>
      </w:r>
      <w:r w:rsidR="00DA624E" w:rsidRPr="0096338A">
        <w:t>hoewel er ook uitzonderingen op die regel geschreven zijn</w:t>
      </w:r>
      <w:r w:rsidRPr="0096338A">
        <w:t xml:space="preserve">. </w:t>
      </w:r>
      <w:r w:rsidR="008D0E4F" w:rsidRPr="0096338A">
        <w:t xml:space="preserve">Tine De </w:t>
      </w:r>
      <w:r w:rsidR="00DA624E" w:rsidRPr="0096338A">
        <w:t xml:space="preserve">Moor en Jan Luiten </w:t>
      </w:r>
      <w:r w:rsidR="008D0E4F" w:rsidRPr="0096338A">
        <w:t xml:space="preserve">Van Zanden toonden aan dat de alleenstaande vrouw in de late middeleeuwen misschien niet zo onvermogend was als steeds wordt </w:t>
      </w:r>
      <w:r w:rsidR="009B3068" w:rsidRPr="0096338A">
        <w:t>vermoed</w:t>
      </w:r>
      <w:r w:rsidR="008D0E4F" w:rsidRPr="0096338A">
        <w:t xml:space="preserve">. </w:t>
      </w:r>
      <w:r w:rsidR="00595789" w:rsidRPr="0096338A">
        <w:t xml:space="preserve">De relatief goede lonen van alle arbeiders in de </w:t>
      </w:r>
      <w:r w:rsidR="00595789" w:rsidRPr="0096338A">
        <w:lastRenderedPageBreak/>
        <w:t xml:space="preserve">Nederlandse markten lieten toe dat jongen mensen, dus ook ongetrouwde vrouwen, een eigen leven konden starten alvorens te huwen. </w:t>
      </w:r>
      <w:r w:rsidR="004C4410" w:rsidRPr="0096338A">
        <w:t>Ze</w:t>
      </w:r>
      <w:r w:rsidR="00595789" w:rsidRPr="0096338A">
        <w:t xml:space="preserve"> kwamen dus al vroeg los van </w:t>
      </w:r>
      <w:r w:rsidR="00DA624E" w:rsidRPr="0096338A">
        <w:t xml:space="preserve">het </w:t>
      </w:r>
      <w:r w:rsidR="00595789" w:rsidRPr="0096338A">
        <w:t xml:space="preserve">ouderlijk gezag en hadden op die manier zelf </w:t>
      </w:r>
      <w:r w:rsidR="00DA624E" w:rsidRPr="0096338A">
        <w:t>mogelijkheden tot ondernemen</w:t>
      </w:r>
      <w:r w:rsidR="00595789" w:rsidRPr="0096338A">
        <w:t>.</w:t>
      </w:r>
      <w:r w:rsidR="00595789" w:rsidRPr="0096338A">
        <w:rPr>
          <w:rStyle w:val="Voetnootmarkering"/>
        </w:rPr>
        <w:footnoteReference w:id="135"/>
      </w:r>
      <w:r w:rsidR="00595789" w:rsidRPr="0096338A">
        <w:t xml:space="preserve"> </w:t>
      </w:r>
      <w:r w:rsidRPr="0096338A">
        <w:t xml:space="preserve">De stadsordonnanties laten niet toe de precieze sociale positie van </w:t>
      </w:r>
      <w:r w:rsidR="00595789" w:rsidRPr="0096338A">
        <w:t>ongetrouwde</w:t>
      </w:r>
      <w:r w:rsidRPr="0096338A">
        <w:t xml:space="preserve"> vrouwen te achterhalen, </w:t>
      </w:r>
      <w:r w:rsidR="004C4410" w:rsidRPr="0096338A">
        <w:t xml:space="preserve">maar laten wel toe te concluderen dat </w:t>
      </w:r>
      <w:r w:rsidR="00595789" w:rsidRPr="0096338A">
        <w:t>ze</w:t>
      </w:r>
      <w:r w:rsidRPr="0096338A">
        <w:t xml:space="preserve"> wel degelijk</w:t>
      </w:r>
      <w:r w:rsidR="00706355" w:rsidRPr="0096338A">
        <w:t xml:space="preserve"> lid waren van d</w:t>
      </w:r>
      <w:r w:rsidRPr="0096338A">
        <w:t>e ambachten. De ambachtsgroepen waarin dit voorkwam staan inderdaad lager op de lijst van de ommegangen</w:t>
      </w:r>
      <w:r w:rsidR="004C4410" w:rsidRPr="0096338A">
        <w:t>, die het prestige van de corporaties aanduidt</w:t>
      </w:r>
      <w:r w:rsidRPr="0096338A">
        <w:t>.</w:t>
      </w:r>
      <w:r w:rsidR="004C4410" w:rsidRPr="0096338A">
        <w:rPr>
          <w:rStyle w:val="Voetnootmarkering"/>
        </w:rPr>
        <w:footnoteReference w:id="136"/>
      </w:r>
      <w:r w:rsidRPr="0096338A">
        <w:t xml:space="preserve"> </w:t>
      </w:r>
      <w:r w:rsidR="00DA624E" w:rsidRPr="0096338A">
        <w:t>Toch</w:t>
      </w:r>
      <w:r w:rsidRPr="0096338A">
        <w:t xml:space="preserve"> gaat het om </w:t>
      </w:r>
      <w:r w:rsidR="004C4410" w:rsidRPr="0096338A">
        <w:t>gepolitiseerde</w:t>
      </w:r>
      <w:r w:rsidRPr="0096338A">
        <w:t xml:space="preserve"> groeperingen, in tegenstelling tot de eerder genoemde spinsters die niet beschik</w:t>
      </w:r>
      <w:r w:rsidR="00DA624E" w:rsidRPr="0096338A">
        <w:t>t</w:t>
      </w:r>
      <w:r w:rsidRPr="0096338A">
        <w:t xml:space="preserve">en over afzonderlijke statuten. Zo besloot de stadsraad </w:t>
      </w:r>
      <w:r w:rsidR="008D7629" w:rsidRPr="0096338A">
        <w:t>dat ongetrouwde vrouwelijke fruiteniers en mandenmaaksters</w:t>
      </w:r>
      <w:r w:rsidRPr="0096338A">
        <w:t xml:space="preserve"> jaarlijks </w:t>
      </w:r>
      <w:r w:rsidR="008D7629" w:rsidRPr="0096338A">
        <w:t>één</w:t>
      </w:r>
      <w:r w:rsidRPr="0096338A">
        <w:t xml:space="preserve"> pleck moesten geven ter bekostiging van de ommegang.</w:t>
      </w:r>
      <w:r w:rsidRPr="0096338A">
        <w:rPr>
          <w:rStyle w:val="Voetnootmarkering"/>
        </w:rPr>
        <w:footnoteReference w:id="137"/>
      </w:r>
      <w:r w:rsidRPr="0096338A">
        <w:t xml:space="preserve"> Dit komt overeen met de helft van het bedrag dat de mannen van het ambacht moesten betalen.</w:t>
      </w:r>
    </w:p>
    <w:p w:rsidR="00B80C41" w:rsidRPr="0096338A" w:rsidRDefault="00B80C41" w:rsidP="00B80C41">
      <w:pPr>
        <w:ind w:firstLine="708"/>
      </w:pPr>
      <w:r w:rsidRPr="0096338A">
        <w:t>De rechten van de ongetrouwde vrouwen bleven niet beperkt tot louter toegang tot de ambachten</w:t>
      </w:r>
      <w:r w:rsidR="004C4410" w:rsidRPr="0096338A">
        <w:t>. Deze</w:t>
      </w:r>
      <w:r w:rsidR="00DA624E" w:rsidRPr="0096338A">
        <w:t xml:space="preserve"> vrouwen f</w:t>
      </w:r>
      <w:r w:rsidRPr="0096338A">
        <w:t>ungeerde</w:t>
      </w:r>
      <w:r w:rsidR="008D7629" w:rsidRPr="0096338A">
        <w:t>n</w:t>
      </w:r>
      <w:r w:rsidRPr="0096338A">
        <w:t xml:space="preserve"> eveneens duidelijk als onafhankelijke leden, in tegenstelling tot getrouwde vrouwen die vaak slechts als partner van hun man </w:t>
      </w:r>
      <w:r w:rsidR="004C4410" w:rsidRPr="0096338A">
        <w:t>optraden</w:t>
      </w:r>
      <w:r w:rsidRPr="0096338A">
        <w:t>.</w:t>
      </w:r>
    </w:p>
    <w:p w:rsidR="00B80C41" w:rsidRPr="0096338A" w:rsidRDefault="00B80C41" w:rsidP="00B80C41">
      <w:pPr>
        <w:ind w:left="708"/>
      </w:pPr>
      <w:r w:rsidRPr="0096338A">
        <w:rPr>
          <w:i/>
        </w:rPr>
        <w:t>[…] hetzij manne oft ongehuwede vrouwen</w:t>
      </w:r>
      <w:r w:rsidR="00405765" w:rsidRPr="0096338A">
        <w:rPr>
          <w:i/>
        </w:rPr>
        <w:t xml:space="preserve"> </w:t>
      </w:r>
      <w:r w:rsidRPr="0096338A">
        <w:rPr>
          <w:i/>
        </w:rPr>
        <w:t>persoen rijc oft arm metter voirscreven gebreken ziechend oft onmechtichend best</w:t>
      </w:r>
      <w:r w:rsidR="00AD2729" w:rsidRPr="0096338A">
        <w:rPr>
          <w:i/>
        </w:rPr>
        <w:t>aen oft bevangen wordde alsoe di</w:t>
      </w:r>
      <w:r w:rsidRPr="0096338A">
        <w:rPr>
          <w:i/>
        </w:rPr>
        <w:t xml:space="preserve">t die </w:t>
      </w:r>
      <w:r w:rsidR="00595789" w:rsidRPr="0096338A">
        <w:rPr>
          <w:i/>
        </w:rPr>
        <w:t xml:space="preserve">[…] </w:t>
      </w:r>
      <w:r w:rsidRPr="0096338A">
        <w:rPr>
          <w:i/>
        </w:rPr>
        <w:t>ontfangt zonder argelist alle weken vier stuivers zoe lang</w:t>
      </w:r>
      <w:r w:rsidR="00AD2729" w:rsidRPr="0096338A">
        <w:rPr>
          <w:i/>
        </w:rPr>
        <w:t>h</w:t>
      </w:r>
      <w:r w:rsidRPr="0096338A">
        <w:rPr>
          <w:i/>
        </w:rPr>
        <w:t>e die dermede bestaen waere.</w:t>
      </w:r>
      <w:r w:rsidRPr="0096338A">
        <w:rPr>
          <w:rStyle w:val="Voetnootmarkering"/>
        </w:rPr>
        <w:footnoteReference w:id="138"/>
      </w:r>
    </w:p>
    <w:p w:rsidR="00B80C41" w:rsidRPr="0096338A" w:rsidRDefault="00B80C41" w:rsidP="00B80C41">
      <w:r w:rsidRPr="0096338A">
        <w:t xml:space="preserve">De ongetrouwde vrouwen in het kleermakersambacht </w:t>
      </w:r>
      <w:r w:rsidR="008827C9" w:rsidRPr="0096338A">
        <w:t>hadden recht op een groter bedrag</w:t>
      </w:r>
      <w:r w:rsidRPr="0096338A">
        <w:t xml:space="preserve"> dan getrouwde vrouwen, die slechts twee stuivers ontvingen.</w:t>
      </w:r>
      <w:r w:rsidRPr="0096338A">
        <w:rPr>
          <w:rStyle w:val="Voetnootmarkering"/>
        </w:rPr>
        <w:footnoteReference w:id="139"/>
      </w:r>
      <w:r w:rsidRPr="0096338A">
        <w:t xml:space="preserve"> Verder spreken de stadsordonnanties weinig over regelingen voor ongetrouwde vrouwen. </w:t>
      </w:r>
      <w:r w:rsidR="00DA624E" w:rsidRPr="0096338A">
        <w:t>E</w:t>
      </w:r>
      <w:r w:rsidRPr="0096338A">
        <w:t>erder onderzoek</w:t>
      </w:r>
      <w:r w:rsidR="00DA624E" w:rsidRPr="0096338A">
        <w:t xml:space="preserve"> in de context van andere steden draagt nauwelijks gegevens aan die de positie van de ongehuwde vrouw verhelderden, wat duidt op het gebrek aan bronnen. </w:t>
      </w:r>
      <w:r w:rsidRPr="0096338A">
        <w:t xml:space="preserve">Hoewel het duidelijk is dat </w:t>
      </w:r>
      <w:r w:rsidR="008D7629" w:rsidRPr="0096338A">
        <w:t>ongetrouwde vrouwen</w:t>
      </w:r>
      <w:r w:rsidRPr="0096338A">
        <w:t xml:space="preserve"> wel degelijk binnen de ambachten </w:t>
      </w:r>
      <w:r w:rsidR="00B6508E" w:rsidRPr="0096338A">
        <w:t>werkten</w:t>
      </w:r>
      <w:r w:rsidRPr="0096338A">
        <w:t>, sluit dit onderzoek zich wel aan bij Reyersons veronderstelling dat meer prestigieuze beroepen voornamelijk toegankelijk waren voor vrouwen die zich kond</w:t>
      </w:r>
      <w:r w:rsidR="00DA624E" w:rsidRPr="0096338A">
        <w:t xml:space="preserve">en relateren aan een man, zoals bij </w:t>
      </w:r>
      <w:r w:rsidRPr="0096338A">
        <w:t xml:space="preserve">weduwen en getrouwde vrouwen. Ze verklaart dat dit niet kwam door restricties vanuit de wetgevende machten, maar door een gebrek aan kapitaal bij ongetrouwde vrouwen. Indien ze beschikten </w:t>
      </w:r>
      <w:r w:rsidRPr="0096338A">
        <w:lastRenderedPageBreak/>
        <w:t>over een erfenis van familieleden, konden ze dus hoogstwaarschijnlijk eveneens hoge posities halen zonder de link met een man.</w:t>
      </w:r>
      <w:r w:rsidRPr="0096338A">
        <w:rPr>
          <w:rStyle w:val="Voetnootmarkering"/>
        </w:rPr>
        <w:footnoteReference w:id="140"/>
      </w:r>
    </w:p>
    <w:p w:rsidR="00B80C41" w:rsidRPr="0096338A" w:rsidRDefault="00B80C41" w:rsidP="00B80C41">
      <w:r w:rsidRPr="0096338A">
        <w:tab/>
        <w:t xml:space="preserve">Een aparte groep van ongetrouwde vrouwen die opereerden in de stedelijke samenleving waren de begijnen. Begijnen, zo schrijft Rik Uytterhoeven, waren zowel wereldlijke als gelovige vrouwen. </w:t>
      </w:r>
      <w:r w:rsidRPr="0096338A">
        <w:rPr>
          <w:lang w:val="en-GB"/>
        </w:rPr>
        <w:t>“Pious women [who] lived together and worked in unison in order to survive in a society in which men wielded power.”</w:t>
      </w:r>
      <w:r w:rsidRPr="0096338A">
        <w:rPr>
          <w:rStyle w:val="Voetnootmarkering"/>
          <w:lang w:val="en-GB"/>
        </w:rPr>
        <w:footnoteReference w:id="141"/>
      </w:r>
      <w:r w:rsidRPr="0096338A">
        <w:rPr>
          <w:lang w:val="en-GB"/>
        </w:rPr>
        <w:t xml:space="preserve"> </w:t>
      </w:r>
      <w:r w:rsidRPr="0096338A">
        <w:t>Hoewel deze vrouwen onafhankel</w:t>
      </w:r>
      <w:r w:rsidR="00CA1A78" w:rsidRPr="0096338A">
        <w:t xml:space="preserve">ijk probeerden te leven in </w:t>
      </w:r>
      <w:r w:rsidR="00DA624E" w:rsidRPr="0096338A">
        <w:t>een</w:t>
      </w:r>
      <w:r w:rsidR="00CA1A78" w:rsidRPr="0096338A">
        <w:t xml:space="preserve"> middeleeuwse wereld die steeds als mannelijk wordt</w:t>
      </w:r>
      <w:r w:rsidR="004C4410" w:rsidRPr="0096338A">
        <w:t xml:space="preserve"> </w:t>
      </w:r>
      <w:r w:rsidR="00DA624E" w:rsidRPr="0096338A">
        <w:t>beschouwd</w:t>
      </w:r>
      <w:r w:rsidR="00CA1A78" w:rsidRPr="0096338A">
        <w:t xml:space="preserve">, </w:t>
      </w:r>
      <w:r w:rsidRPr="0096338A">
        <w:t xml:space="preserve">speelde hun leven </w:t>
      </w:r>
      <w:r w:rsidR="00DA624E" w:rsidRPr="0096338A">
        <w:t xml:space="preserve">zin toch </w:t>
      </w:r>
      <w:r w:rsidRPr="0096338A">
        <w:t>minder</w:t>
      </w:r>
      <w:r w:rsidR="00DA624E" w:rsidRPr="0096338A">
        <w:t xml:space="preserve"> af </w:t>
      </w:r>
      <w:r w:rsidRPr="0096338A">
        <w:t xml:space="preserve">in de </w:t>
      </w:r>
      <w:r w:rsidR="00DA624E" w:rsidRPr="0096338A">
        <w:t>aparte</w:t>
      </w:r>
      <w:r w:rsidRPr="0096338A">
        <w:t xml:space="preserve">, gescheiden ruimten van de kloosters, </w:t>
      </w:r>
      <w:r w:rsidR="008E77A1" w:rsidRPr="0096338A">
        <w:t>zoals de</w:t>
      </w:r>
      <w:r w:rsidRPr="0096338A">
        <w:t xml:space="preserve"> vrouwelijke kloosterlingen. Hun kostwinning </w:t>
      </w:r>
      <w:r w:rsidR="008D7629" w:rsidRPr="0096338A">
        <w:t>bevond</w:t>
      </w:r>
      <w:r w:rsidRPr="0096338A">
        <w:t xml:space="preserve"> zich eveneens in de ambachtenwereld, hoewel dit niet gepaard ging met lidmaatschap </w:t>
      </w:r>
      <w:r w:rsidR="00DA624E" w:rsidRPr="0096338A">
        <w:t>van het</w:t>
      </w:r>
      <w:r w:rsidRPr="0096338A">
        <w:t xml:space="preserve"> ambacht zelf. Volgens Uytterhoeven hielden ze zich in de vijftiende eeuw voornamelijk bezig met de productie van vlas en linnen.</w:t>
      </w:r>
      <w:r w:rsidRPr="0096338A">
        <w:rPr>
          <w:rStyle w:val="Voetnootmarkering"/>
        </w:rPr>
        <w:footnoteReference w:id="142"/>
      </w:r>
      <w:r w:rsidRPr="0096338A">
        <w:t xml:space="preserve"> De stadsordonnanties tonen echter vooral hun activiteit als kleermaaksters, iets dat Uytterhoeven hen pas vanaf de zestiende eeuw </w:t>
      </w:r>
      <w:r w:rsidR="008D7629" w:rsidRPr="0096338A">
        <w:t xml:space="preserve">toebedeelt. De stadsraad bepaalde </w:t>
      </w:r>
      <w:r w:rsidR="008E77A1" w:rsidRPr="0096338A">
        <w:t xml:space="preserve">in 1452 </w:t>
      </w:r>
      <w:r w:rsidR="008D7629" w:rsidRPr="0096338A">
        <w:t>dat begijnen het ambacht mocht</w:t>
      </w:r>
      <w:r w:rsidRPr="0096338A">
        <w:t>en uitoefenen:</w:t>
      </w:r>
    </w:p>
    <w:p w:rsidR="00B80C41" w:rsidRPr="0096338A" w:rsidRDefault="00B80C41" w:rsidP="00B80C41">
      <w:pPr>
        <w:ind w:left="705"/>
      </w:pPr>
      <w:r w:rsidRPr="0096338A">
        <w:rPr>
          <w:i/>
        </w:rPr>
        <w:t>Es bijde raide overdragen dat de beghijnen elck diet begeert het zij ontfangen beghijnen oft andere sullen moegen le</w:t>
      </w:r>
      <w:r w:rsidR="00AD2729" w:rsidRPr="0096338A">
        <w:rPr>
          <w:i/>
        </w:rPr>
        <w:t>e</w:t>
      </w:r>
      <w:r w:rsidRPr="0096338A">
        <w:rPr>
          <w:i/>
        </w:rPr>
        <w:t>ren naeyen bij alsoe dat die gheene diet als</w:t>
      </w:r>
      <w:r w:rsidR="00AD2729" w:rsidRPr="0096338A">
        <w:rPr>
          <w:i/>
        </w:rPr>
        <w:t>o</w:t>
      </w:r>
      <w:r w:rsidRPr="0096338A">
        <w:rPr>
          <w:i/>
        </w:rPr>
        <w:t>e daer leert geven sal den gezworenen vanden voir</w:t>
      </w:r>
      <w:r w:rsidR="0096541A" w:rsidRPr="0096338A">
        <w:rPr>
          <w:i/>
        </w:rPr>
        <w:t>screven</w:t>
      </w:r>
      <w:r w:rsidRPr="0096338A">
        <w:rPr>
          <w:i/>
        </w:rPr>
        <w:t xml:space="preserve"> ambachte den wijn te weten vier stuuvers.</w:t>
      </w:r>
      <w:r w:rsidRPr="0096338A">
        <w:rPr>
          <w:rStyle w:val="Voetnootmarkering"/>
        </w:rPr>
        <w:footnoteReference w:id="143"/>
      </w:r>
    </w:p>
    <w:p w:rsidR="00B80C41" w:rsidRPr="0096338A" w:rsidRDefault="006743C2" w:rsidP="00B80C41">
      <w:r w:rsidRPr="0096338A">
        <w:t>Begijnen mochten dus zelf naaien en</w:t>
      </w:r>
      <w:r w:rsidR="00DA624E" w:rsidRPr="0096338A">
        <w:t xml:space="preserve"> die activiteit mits betaling ook aanleren aan anderen</w:t>
      </w:r>
      <w:r w:rsidR="00EB490E" w:rsidRPr="0096338A">
        <w:t>.</w:t>
      </w:r>
      <w:r w:rsidRPr="0096338A">
        <w:t xml:space="preserve"> </w:t>
      </w:r>
      <w:r w:rsidR="007349D3" w:rsidRPr="0096338A">
        <w:t>Het bedrag kwam overeen met het lidgeld van andere ambachtslieden.</w:t>
      </w:r>
      <w:r w:rsidR="007349D3" w:rsidRPr="0096338A">
        <w:rPr>
          <w:rStyle w:val="Voetnootmarkering"/>
        </w:rPr>
        <w:footnoteReference w:id="144"/>
      </w:r>
      <w:r w:rsidR="007349D3" w:rsidRPr="0096338A">
        <w:t xml:space="preserve"> </w:t>
      </w:r>
      <w:r w:rsidR="00EB490E" w:rsidRPr="0096338A">
        <w:t xml:space="preserve">Nadien </w:t>
      </w:r>
      <w:r w:rsidR="008D7629" w:rsidRPr="0096338A">
        <w:t>beslo</w:t>
      </w:r>
      <w:r w:rsidR="00EB490E" w:rsidRPr="0096338A">
        <w:t xml:space="preserve">ot de stadsraad </w:t>
      </w:r>
      <w:r w:rsidR="00B80C41" w:rsidRPr="0096338A">
        <w:t>dat slechts ontvangen</w:t>
      </w:r>
      <w:r w:rsidR="00EB490E" w:rsidRPr="0096338A">
        <w:t xml:space="preserve"> </w:t>
      </w:r>
      <w:r w:rsidR="00B80C41" w:rsidRPr="0096338A">
        <w:t xml:space="preserve">begijnen </w:t>
      </w:r>
      <w:r w:rsidR="008E77A1" w:rsidRPr="0096338A">
        <w:t xml:space="preserve">van het begijnhof </w:t>
      </w:r>
      <w:r w:rsidR="00B80C41" w:rsidRPr="0096338A">
        <w:t xml:space="preserve">dit werk </w:t>
      </w:r>
      <w:r w:rsidR="00EB490E" w:rsidRPr="0096338A">
        <w:t xml:space="preserve">mochten beoefenen </w:t>
      </w:r>
      <w:r w:rsidR="00B80C41" w:rsidRPr="0096338A">
        <w:t>en dat ze zeker geen le</w:t>
      </w:r>
      <w:r w:rsidR="008E77A1" w:rsidRPr="0096338A">
        <w:t>erknapen of –</w:t>
      </w:r>
      <w:r w:rsidR="00B80C41" w:rsidRPr="0096338A">
        <w:t xml:space="preserve">meisjes </w:t>
      </w:r>
      <w:r w:rsidR="00EB490E" w:rsidRPr="0096338A">
        <w:t xml:space="preserve">konden </w:t>
      </w:r>
      <w:r w:rsidR="00B80C41" w:rsidRPr="0096338A">
        <w:t>aannemen die hier niet bij ho</w:t>
      </w:r>
      <w:r w:rsidR="00EB490E" w:rsidRPr="0096338A">
        <w:t>ord</w:t>
      </w:r>
      <w:r w:rsidR="00B80C41" w:rsidRPr="0096338A">
        <w:t>en.</w:t>
      </w:r>
      <w:r w:rsidR="00B80C41" w:rsidRPr="0096338A">
        <w:rPr>
          <w:rStyle w:val="Voetnootmarkering"/>
        </w:rPr>
        <w:footnoteReference w:id="145"/>
      </w:r>
      <w:r w:rsidR="008D7629" w:rsidRPr="0096338A">
        <w:t xml:space="preserve"> Er bestond</w:t>
      </w:r>
      <w:r w:rsidR="00B80C41" w:rsidRPr="0096338A">
        <w:t xml:space="preserve"> een duidelijk</w:t>
      </w:r>
      <w:r w:rsidR="00EB490E" w:rsidRPr="0096338A">
        <w:t xml:space="preserve"> beleid </w:t>
      </w:r>
      <w:r w:rsidR="00B80C41" w:rsidRPr="0096338A">
        <w:t>van zowel de ambachten als de stadsraad om</w:t>
      </w:r>
      <w:r w:rsidR="00EB490E" w:rsidRPr="0096338A">
        <w:t xml:space="preserve"> zo weinig mogelijk mensen via deze afzonderlijke groep </w:t>
      </w:r>
      <w:r w:rsidR="00B80C41" w:rsidRPr="0096338A">
        <w:t xml:space="preserve">buiten het ambacht te laten werken. Hutton stelt eveneens dat zowel de ambachten als de stadsraad in de vijftiende eeuw argwanend </w:t>
      </w:r>
      <w:r w:rsidR="00EB490E" w:rsidRPr="0096338A">
        <w:t xml:space="preserve">keken </w:t>
      </w:r>
      <w:r w:rsidR="00B80C41" w:rsidRPr="0096338A">
        <w:t xml:space="preserve">naar de </w:t>
      </w:r>
      <w:r w:rsidR="00EB490E" w:rsidRPr="0096338A">
        <w:t xml:space="preserve">economische activiteiten van </w:t>
      </w:r>
      <w:r w:rsidR="00B80C41" w:rsidRPr="0096338A">
        <w:t>begijnen.</w:t>
      </w:r>
      <w:r w:rsidR="00B80C41" w:rsidRPr="0096338A">
        <w:rPr>
          <w:rStyle w:val="Voetnootmarkering"/>
        </w:rPr>
        <w:footnoteReference w:id="146"/>
      </w:r>
      <w:r w:rsidR="00B80C41" w:rsidRPr="0096338A">
        <w:t xml:space="preserve"> </w:t>
      </w:r>
      <w:r w:rsidR="00EB490E" w:rsidRPr="0096338A">
        <w:t>Niettemin</w:t>
      </w:r>
      <w:r w:rsidR="00B80C41" w:rsidRPr="0096338A">
        <w:t xml:space="preserve"> maakten ze ook deel uit van de groep ongetrouwde vrouwen die, al is het niet binnen de ambachten, op de Leuvense middeleeuwse markt </w:t>
      </w:r>
      <w:r w:rsidR="00EB490E" w:rsidRPr="0096338A">
        <w:t>actief waren</w:t>
      </w:r>
      <w:r w:rsidR="00B80C41" w:rsidRPr="0096338A">
        <w:t>.</w:t>
      </w:r>
    </w:p>
    <w:p w:rsidR="00B80C41" w:rsidRPr="0096338A" w:rsidRDefault="00B80C41" w:rsidP="00B80C41">
      <w:pPr>
        <w:ind w:firstLine="708"/>
      </w:pPr>
      <w:r w:rsidRPr="0096338A">
        <w:lastRenderedPageBreak/>
        <w:t>Een laatste groep van alleenstaande vrouwen waar</w:t>
      </w:r>
      <w:r w:rsidR="00EB490E" w:rsidRPr="0096338A">
        <w:t>op</w:t>
      </w:r>
      <w:r w:rsidRPr="0096338A">
        <w:t xml:space="preserve"> dit </w:t>
      </w:r>
      <w:r w:rsidR="001E2ADC" w:rsidRPr="0096338A">
        <w:t>onderzoek</w:t>
      </w:r>
      <w:r w:rsidRPr="0096338A">
        <w:t xml:space="preserve"> kort wil ingaan zijn de leermeisjes. Ook hier geven de gebruikte normatieve bronnen weinig informatie over hun eigenlijke positie in het ambachtswezen. Het gebrek aan enige informatie over hun identiteit maakt grondig onderzoek hiernaar moeilijk. </w:t>
      </w:r>
      <w:r w:rsidR="00863BC1" w:rsidRPr="0096338A">
        <w:t>Ondanks deze</w:t>
      </w:r>
      <w:r w:rsidRPr="0096338A">
        <w:t xml:space="preserve"> barrière laten de ordonnanties wel toe te concluderen dat </w:t>
      </w:r>
      <w:r w:rsidR="00863BC1" w:rsidRPr="0096338A">
        <w:t>leermeisjes</w:t>
      </w:r>
      <w:r w:rsidRPr="0096338A">
        <w:t xml:space="preserve"> in enkele ambachten konden opereren en</w:t>
      </w:r>
      <w:r w:rsidR="00EB490E" w:rsidRPr="0096338A">
        <w:t xml:space="preserve"> – eens ze toegelaten waren – op hetzelfde niveau stonden als de leerknapen. </w:t>
      </w:r>
      <w:r w:rsidRPr="0096338A">
        <w:t>Het valt op dat het hier steeds gaat om ambachten die, zoals eerder reeds aangebracht, te maken</w:t>
      </w:r>
      <w:r w:rsidR="00EB490E" w:rsidRPr="0096338A">
        <w:t xml:space="preserve"> hadden </w:t>
      </w:r>
      <w:r w:rsidRPr="0096338A">
        <w:t xml:space="preserve">met huiselijke taken, zoals bijvoorbeeld de schoenmakers en de bontwerkers. Reyerson beweert dat in Montpellier </w:t>
      </w:r>
      <w:r w:rsidR="00D61FEE" w:rsidRPr="0096338A">
        <w:t xml:space="preserve">leermeisjes eveneens in dienst waren </w:t>
      </w:r>
      <w:r w:rsidRPr="0096338A">
        <w:t>bij de meerseniers, maar</w:t>
      </w:r>
      <w:r w:rsidR="00D61FEE" w:rsidRPr="0096338A">
        <w:t xml:space="preserve"> dat</w:t>
      </w:r>
      <w:r w:rsidRPr="0096338A">
        <w:t xml:space="preserve"> er nooit vrouwen als meesteres van het ambacht worden vermeld.</w:t>
      </w:r>
      <w:r w:rsidRPr="0096338A">
        <w:rPr>
          <w:rStyle w:val="Voetnootmarkering"/>
        </w:rPr>
        <w:footnoteReference w:id="147"/>
      </w:r>
      <w:r w:rsidRPr="0096338A">
        <w:t xml:space="preserve"> In het geval van de Leuvense ambachten lijkt dit niet per se zo te zijn. </w:t>
      </w:r>
      <w:r w:rsidR="008E77A1" w:rsidRPr="0096338A">
        <w:t>Voor</w:t>
      </w:r>
      <w:r w:rsidRPr="0096338A">
        <w:t xml:space="preserve"> meesteressen van de oude</w:t>
      </w:r>
      <w:r w:rsidR="00EB490E" w:rsidRPr="0096338A">
        <w:t xml:space="preserve"> </w:t>
      </w:r>
      <w:r w:rsidRPr="0096338A">
        <w:t xml:space="preserve">schoenmakers </w:t>
      </w:r>
      <w:r w:rsidR="008E77A1" w:rsidRPr="0096338A">
        <w:t xml:space="preserve">gold </w:t>
      </w:r>
      <w:r w:rsidRPr="0096338A">
        <w:t xml:space="preserve">bijvoorbeeld </w:t>
      </w:r>
      <w:r w:rsidR="008E77A1" w:rsidRPr="0096338A">
        <w:t>het verbod</w:t>
      </w:r>
      <w:r w:rsidRPr="0096338A">
        <w:t xml:space="preserve"> om jaarlijks meer dan één leerknaap of – meisje te aanvaarden</w:t>
      </w:r>
      <w:r w:rsidR="00863BC1" w:rsidRPr="0096338A">
        <w:t>, wat een voorbeeld vormt van een beslissing die op het bestaan van vrouwelijk meesterschap wijst</w:t>
      </w:r>
      <w:r w:rsidRPr="0096338A">
        <w:t>.</w:t>
      </w:r>
      <w:r w:rsidRPr="0096338A">
        <w:rPr>
          <w:rStyle w:val="Voetnootmarkering"/>
        </w:rPr>
        <w:footnoteReference w:id="148"/>
      </w:r>
      <w:r w:rsidRPr="0096338A">
        <w:t xml:space="preserve"> </w:t>
      </w:r>
    </w:p>
    <w:p w:rsidR="00B80C41" w:rsidRPr="0096338A" w:rsidRDefault="00784E33" w:rsidP="00B80C41">
      <w:pPr>
        <w:ind w:firstLine="708"/>
      </w:pPr>
      <w:r w:rsidRPr="0096338A">
        <w:t>Toegang tot de ambachten vereiste natuurlijk een voor</w:t>
      </w:r>
      <w:r w:rsidR="00EB490E" w:rsidRPr="0096338A">
        <w:t>af</w:t>
      </w:r>
      <w:r w:rsidRPr="0096338A">
        <w:t>gaande leerperiode. Het</w:t>
      </w:r>
      <w:r w:rsidR="00B80C41" w:rsidRPr="0096338A">
        <w:t xml:space="preserve"> ontbreken van specifieke informatie over leermeisjes</w:t>
      </w:r>
      <w:r w:rsidR="00EB490E" w:rsidRPr="0096338A">
        <w:t xml:space="preserve"> wil</w:t>
      </w:r>
      <w:r w:rsidR="00B80C41" w:rsidRPr="0096338A">
        <w:t xml:space="preserve"> niet per se wil zeggen dat ze niet bestonden</w:t>
      </w:r>
      <w:r w:rsidRPr="0096338A">
        <w:t xml:space="preserve">. De vrouwen die </w:t>
      </w:r>
      <w:r w:rsidR="00EB490E" w:rsidRPr="0096338A">
        <w:t xml:space="preserve">als ambachtsleden </w:t>
      </w:r>
      <w:r w:rsidRPr="0096338A">
        <w:t>vermeld w</w:t>
      </w:r>
      <w:r w:rsidR="00EB490E" w:rsidRPr="0096338A">
        <w:t>e</w:t>
      </w:r>
      <w:r w:rsidRPr="0096338A">
        <w:t>rden</w:t>
      </w:r>
      <w:r w:rsidR="00EB490E" w:rsidRPr="0096338A">
        <w:t xml:space="preserve">, </w:t>
      </w:r>
      <w:r w:rsidRPr="0096338A">
        <w:t>moesten namelijk ook ergens hun beroep hebben geleerd</w:t>
      </w:r>
      <w:r w:rsidR="00B80C41" w:rsidRPr="0096338A">
        <w:t>. Kowaleski stelt dat vrouwen zelden een formele training kregen, wat vooral opvalt in de context van het huwelijk, waar vrouwen het ambacht van hun man le</w:t>
      </w:r>
      <w:r w:rsidR="00863BC1" w:rsidRPr="0096338A">
        <w:t>e</w:t>
      </w:r>
      <w:r w:rsidR="00B80C41" w:rsidRPr="0096338A">
        <w:t>r</w:t>
      </w:r>
      <w:r w:rsidR="00863BC1" w:rsidRPr="0096338A">
        <w:t>d</w:t>
      </w:r>
      <w:r w:rsidR="00B80C41" w:rsidRPr="0096338A">
        <w:t>en.</w:t>
      </w:r>
      <w:r w:rsidR="00B80C41" w:rsidRPr="0096338A">
        <w:rPr>
          <w:rStyle w:val="Voetnootmarkering"/>
        </w:rPr>
        <w:footnoteReference w:id="149"/>
      </w:r>
      <w:r w:rsidR="00B80C41" w:rsidRPr="0096338A">
        <w:t xml:space="preserve"> Hutton </w:t>
      </w:r>
      <w:r w:rsidR="00863BC1" w:rsidRPr="0096338A">
        <w:t>wijst</w:t>
      </w:r>
      <w:r w:rsidR="00B80C41" w:rsidRPr="0096338A">
        <w:t xml:space="preserve"> ook op het opleren van dochters, wat plaatsvond in officieuze context. Ze leerden op die manier een ambacht, maar eveneens de taken van een goede huisvrouw.</w:t>
      </w:r>
      <w:r w:rsidR="00B80C41" w:rsidRPr="0096338A">
        <w:rPr>
          <w:rStyle w:val="Voetnootmarkering"/>
        </w:rPr>
        <w:footnoteReference w:id="150"/>
      </w:r>
      <w:r w:rsidR="00B80C41" w:rsidRPr="0096338A">
        <w:t xml:space="preserve"> De Leuvense stadsordonnanties duiden eveneens op het inleiden van dochters </w:t>
      </w:r>
      <w:r w:rsidR="00EB490E" w:rsidRPr="0096338A">
        <w:t xml:space="preserve">in </w:t>
      </w:r>
      <w:r w:rsidR="00B80C41" w:rsidRPr="0096338A">
        <w:t>het ambacht</w:t>
      </w:r>
      <w:r w:rsidR="00EB490E" w:rsidRPr="0096338A">
        <w:t xml:space="preserve"> </w:t>
      </w:r>
      <w:r w:rsidR="00B80C41" w:rsidRPr="0096338A">
        <w:t xml:space="preserve">en dit niet steeds buiten het wettelijke kader. Zo besluit de stadsraad </w:t>
      </w:r>
      <w:r w:rsidR="006743C2" w:rsidRPr="0096338A">
        <w:t xml:space="preserve">voor </w:t>
      </w:r>
      <w:r w:rsidR="00B80C41" w:rsidRPr="0096338A">
        <w:t xml:space="preserve">het bontwerkersambacht: </w:t>
      </w:r>
    </w:p>
    <w:p w:rsidR="00B80C41" w:rsidRPr="0096338A" w:rsidRDefault="00B80C41" w:rsidP="00B80C41">
      <w:pPr>
        <w:ind w:left="708"/>
      </w:pPr>
      <w:r w:rsidRPr="0096338A">
        <w:rPr>
          <w:i/>
        </w:rPr>
        <w:t>Ende voert soe wat manne oft vrouwe</w:t>
      </w:r>
      <w:r w:rsidR="00405765" w:rsidRPr="0096338A">
        <w:rPr>
          <w:i/>
        </w:rPr>
        <w:t xml:space="preserve"> </w:t>
      </w:r>
      <w:r w:rsidRPr="0096338A">
        <w:rPr>
          <w:i/>
        </w:rPr>
        <w:t xml:space="preserve">persoen die oude werck werken wilt te weten voederen </w:t>
      </w:r>
      <w:r w:rsidR="007349D3" w:rsidRPr="0096338A">
        <w:rPr>
          <w:i/>
        </w:rPr>
        <w:t>ende pelsen stemmen ende desgelijx ende daeraf voervyn</w:t>
      </w:r>
      <w:r w:rsidRPr="0096338A">
        <w:rPr>
          <w:i/>
        </w:rPr>
        <w:t>ste</w:t>
      </w:r>
      <w:r w:rsidR="007349D3" w:rsidRPr="0096338A">
        <w:rPr>
          <w:i/>
        </w:rPr>
        <w:t>re</w:t>
      </w:r>
      <w:r w:rsidRPr="0096338A">
        <w:rPr>
          <w:i/>
        </w:rPr>
        <w:t>n houden ende knapen oft m</w:t>
      </w:r>
      <w:r w:rsidR="007349D3" w:rsidRPr="0096338A">
        <w:rPr>
          <w:i/>
        </w:rPr>
        <w:t>art</w:t>
      </w:r>
      <w:r w:rsidRPr="0096338A">
        <w:rPr>
          <w:i/>
        </w:rPr>
        <w:t>en dae</w:t>
      </w:r>
      <w:r w:rsidR="00405765" w:rsidRPr="0096338A">
        <w:rPr>
          <w:i/>
        </w:rPr>
        <w:t>rtoe setten het en waeren haers</w:t>
      </w:r>
      <w:r w:rsidRPr="0096338A">
        <w:rPr>
          <w:i/>
        </w:rPr>
        <w:t>selfs kindere</w:t>
      </w:r>
      <w:r w:rsidR="007349D3" w:rsidRPr="0096338A">
        <w:rPr>
          <w:i/>
        </w:rPr>
        <w:t>n</w:t>
      </w:r>
      <w:r w:rsidRPr="0096338A">
        <w:rPr>
          <w:i/>
        </w:rPr>
        <w:t xml:space="preserve"> dat die int ambacht comen selen</w:t>
      </w:r>
      <w:r w:rsidR="007349D3" w:rsidRPr="0096338A">
        <w:rPr>
          <w:i/>
        </w:rPr>
        <w:t>.</w:t>
      </w:r>
      <w:r w:rsidRPr="0096338A">
        <w:rPr>
          <w:rStyle w:val="Voetnootmarkering"/>
        </w:rPr>
        <w:footnoteReference w:id="151"/>
      </w:r>
    </w:p>
    <w:p w:rsidR="00B80C41" w:rsidRPr="0096338A" w:rsidRDefault="006743C2" w:rsidP="00B80C41">
      <w:r w:rsidRPr="0096338A">
        <w:t xml:space="preserve">Kinderen van bontwerkers mochten in de leer gaan voor slechts de helft van het ambachtsgeld. </w:t>
      </w:r>
      <w:r w:rsidR="00B80C41" w:rsidRPr="0096338A">
        <w:t xml:space="preserve">Een andere ordonnantie maakt duidelijk dat kinderen eveneens konden helpen </w:t>
      </w:r>
      <w:r w:rsidR="00B80C41" w:rsidRPr="0096338A">
        <w:lastRenderedPageBreak/>
        <w:t>en het ambacht leerden zonder d</w:t>
      </w:r>
      <w:r w:rsidR="00863BC1" w:rsidRPr="0096338A">
        <w:t>aarbij officieel leerknaap of –</w:t>
      </w:r>
      <w:r w:rsidR="00B80C41" w:rsidRPr="0096338A">
        <w:t>meisje te zijn. De meesters</w:t>
      </w:r>
      <w:r w:rsidR="00863BC1" w:rsidRPr="0096338A">
        <w:t xml:space="preserve"> van het kleermakersambacht kre</w:t>
      </w:r>
      <w:r w:rsidR="00B80C41" w:rsidRPr="0096338A">
        <w:t>gen, na een aanvraag hiervoor in 1426, bijvoorbeeld het recht om naas</w:t>
      </w:r>
      <w:r w:rsidR="00863BC1" w:rsidRPr="0096338A">
        <w:t>t een aangenomen leerknaap of –</w:t>
      </w:r>
      <w:r w:rsidR="00B80C41" w:rsidRPr="0096338A">
        <w:t>meisje hun eigen vrouw en kinderen kosteloos te laten helpen.</w:t>
      </w:r>
      <w:r w:rsidR="00B80C41" w:rsidRPr="0096338A">
        <w:rPr>
          <w:rStyle w:val="Voetnootmarkering"/>
        </w:rPr>
        <w:footnoteReference w:id="152"/>
      </w:r>
      <w:r w:rsidR="00B80C41" w:rsidRPr="0096338A">
        <w:t xml:space="preserve"> </w:t>
      </w:r>
    </w:p>
    <w:p w:rsidR="00B80C41" w:rsidRPr="0096338A" w:rsidRDefault="00B80C41" w:rsidP="00B80C41">
      <w:pPr>
        <w:ind w:firstLine="708"/>
      </w:pPr>
      <w:r w:rsidRPr="0096338A">
        <w:t>Uit dit onderzoek blijkt dat alleenstaande vrouwen, binnen welk familiaal statuut dan ook, in Leuven deelnamen aan de economische activiteiten van het ambachtswezen. Een laatste belangrijke opmerking is dat ze</w:t>
      </w:r>
      <w:r w:rsidR="00655CD3" w:rsidRPr="0096338A">
        <w:t xml:space="preserve"> – en dat geldt</w:t>
      </w:r>
      <w:r w:rsidRPr="0096338A">
        <w:t xml:space="preserve"> zeker </w:t>
      </w:r>
      <w:r w:rsidR="00655CD3" w:rsidRPr="0096338A">
        <w:t xml:space="preserve">voor </w:t>
      </w:r>
      <w:r w:rsidR="00EB490E" w:rsidRPr="0096338A">
        <w:t xml:space="preserve">weduwen – in </w:t>
      </w:r>
      <w:r w:rsidRPr="0096338A">
        <w:t xml:space="preserve">principe al hun rechten als alleenstaande vrouw verloren zodra ze trouwden en </w:t>
      </w:r>
      <w:r w:rsidR="00EB490E" w:rsidRPr="0096338A">
        <w:t>dus</w:t>
      </w:r>
      <w:r w:rsidRPr="0096338A">
        <w:t xml:space="preserve"> de status van getrouwde vrouw kregen. Hoewel reeds aan bod kwam dat weduwen het ambacht </w:t>
      </w:r>
      <w:r w:rsidR="00EB490E" w:rsidRPr="0096338A">
        <w:t xml:space="preserve">waarschijnlijk </w:t>
      </w:r>
      <w:r w:rsidRPr="0096338A">
        <w:t xml:space="preserve">bleven uitvoeren door onder andere </w:t>
      </w:r>
      <w:r w:rsidR="00863BC1" w:rsidRPr="0096338A">
        <w:t>te huwen</w:t>
      </w:r>
      <w:r w:rsidRPr="0096338A">
        <w:t xml:space="preserve"> binnen </w:t>
      </w:r>
      <w:r w:rsidR="008E77A1" w:rsidRPr="0096338A">
        <w:t>de groepering</w:t>
      </w:r>
      <w:r w:rsidRPr="0096338A">
        <w:t>, bestaan voor Leuven eveneens voorbeelden van vrouwen die het ambacht effectief moe</w:t>
      </w:r>
      <w:r w:rsidR="00863BC1" w:rsidRPr="0096338A">
        <w:t>s</w:t>
      </w:r>
      <w:r w:rsidRPr="0096338A">
        <w:t xml:space="preserve">ten verlaten na hun huwelijk. Een belangrijke voorwaarde hiervoor is </w:t>
      </w:r>
      <w:r w:rsidR="00863BC1" w:rsidRPr="0096338A">
        <w:t xml:space="preserve">dat </w:t>
      </w:r>
      <w:r w:rsidR="00706355" w:rsidRPr="0096338A">
        <w:t xml:space="preserve">de echtgenoot </w:t>
      </w:r>
      <w:r w:rsidR="00863BC1" w:rsidRPr="0096338A">
        <w:t>dit ambacht opnam</w:t>
      </w:r>
      <w:r w:rsidR="00706355" w:rsidRPr="0096338A">
        <w:t xml:space="preserve"> of er reeds in werkte</w:t>
      </w:r>
      <w:r w:rsidRPr="0096338A">
        <w:t>. Zo besluit de stadsraad dat Kat</w:t>
      </w:r>
      <w:r w:rsidR="00863BC1" w:rsidRPr="0096338A">
        <w:t>e</w:t>
      </w:r>
      <w:r w:rsidRPr="0096338A">
        <w:t>lijne Brunets, lid van het kleermakersambacht, het ambacht moe</w:t>
      </w:r>
      <w:r w:rsidR="00863BC1" w:rsidRPr="0096338A">
        <w:t>s</w:t>
      </w:r>
      <w:r w:rsidRPr="0096338A">
        <w:t>t verlat</w:t>
      </w:r>
      <w:r w:rsidR="00863BC1" w:rsidRPr="0096338A">
        <w:t>en nadat haar man zich erin koch</w:t>
      </w:r>
      <w:r w:rsidRPr="0096338A">
        <w:t>t.</w:t>
      </w:r>
      <w:r w:rsidRPr="0096338A">
        <w:rPr>
          <w:rStyle w:val="Voetnootmarkering"/>
        </w:rPr>
        <w:footnoteReference w:id="153"/>
      </w:r>
      <w:r w:rsidRPr="0096338A">
        <w:t xml:space="preserve"> Dit conflict</w:t>
      </w:r>
      <w:r w:rsidR="00EB490E" w:rsidRPr="0096338A">
        <w:t>,</w:t>
      </w:r>
      <w:r w:rsidRPr="0096338A">
        <w:t xml:space="preserve"> dat zich vormde tussen de gezworenen van het ambacht en het getrouwde koppel</w:t>
      </w:r>
      <w:r w:rsidR="00EB490E" w:rsidRPr="0096338A">
        <w:t>,</w:t>
      </w:r>
      <w:r w:rsidRPr="0096338A">
        <w:t xml:space="preserve"> </w:t>
      </w:r>
      <w:r w:rsidR="00EB490E" w:rsidRPr="0096338A">
        <w:t>verwijst naar praktijken die in de volgende paragraaf aan bod komen, waarbij de interactie tussen de getrouwde vrouw en haar man op het gebied van arbeid centraal zal staan.</w:t>
      </w:r>
    </w:p>
    <w:p w:rsidR="00B80C41" w:rsidRPr="0096338A" w:rsidRDefault="00B80C41" w:rsidP="00B80C41">
      <w:pPr>
        <w:pStyle w:val="Kop3"/>
      </w:pPr>
      <w:bookmarkStart w:id="12" w:name="_Toc452371445"/>
      <w:r w:rsidRPr="0096338A">
        <w:t>3.2.3 Getrouw</w:t>
      </w:r>
      <w:r w:rsidR="009C127D" w:rsidRPr="0096338A">
        <w:t>d</w:t>
      </w:r>
      <w:r w:rsidRPr="0096338A">
        <w:t xml:space="preserve">e vrouwen en de ambachten: onafhankelijk of deel van de </w:t>
      </w:r>
      <w:r w:rsidR="008827C9" w:rsidRPr="0096338A">
        <w:t>‘</w:t>
      </w:r>
      <w:r w:rsidRPr="0096338A">
        <w:t>family production unit</w:t>
      </w:r>
      <w:r w:rsidR="008827C9" w:rsidRPr="0096338A">
        <w:t>’</w:t>
      </w:r>
      <w:r w:rsidRPr="0096338A">
        <w:t>?</w:t>
      </w:r>
      <w:bookmarkEnd w:id="12"/>
    </w:p>
    <w:p w:rsidR="00B80C41" w:rsidRPr="0096338A" w:rsidRDefault="00B80C41" w:rsidP="00B80C41">
      <w:r w:rsidRPr="0096338A">
        <w:t xml:space="preserve">De historiografie debatteert reeds enkele decennia over de mate waarin getrouwde vrouwen konden deelnemen aan het publieke stadsleven in de late middeleeuwen. Hutton stelt dat een economische bijdrage van vrouwen </w:t>
      </w:r>
      <w:r w:rsidR="008534B2" w:rsidRPr="0096338A">
        <w:t xml:space="preserve">in de vijftiende eeuw </w:t>
      </w:r>
      <w:r w:rsidRPr="0096338A">
        <w:t>werd veronderstel</w:t>
      </w:r>
      <w:r w:rsidR="00863BC1" w:rsidRPr="0096338A">
        <w:t>d</w:t>
      </w:r>
      <w:r w:rsidRPr="0096338A">
        <w:t xml:space="preserve">, maar binnen het statuut van getrouwde vrouw. </w:t>
      </w:r>
      <w:r w:rsidR="008E77A1" w:rsidRPr="0096338A">
        <w:t>Het was gepast dat vrouwen trouwden</w:t>
      </w:r>
      <w:r w:rsidRPr="0096338A">
        <w:t xml:space="preserve"> en de </w:t>
      </w:r>
      <w:r w:rsidR="008827C9" w:rsidRPr="0096338A">
        <w:t>‘</w:t>
      </w:r>
      <w:r w:rsidRPr="0096338A">
        <w:t xml:space="preserve">family </w:t>
      </w:r>
      <w:r w:rsidR="00EB490E" w:rsidRPr="0096338A">
        <w:t xml:space="preserve">production </w:t>
      </w:r>
      <w:r w:rsidRPr="0096338A">
        <w:t>unit</w:t>
      </w:r>
      <w:r w:rsidR="008827C9" w:rsidRPr="0096338A">
        <w:t>’</w:t>
      </w:r>
      <w:r w:rsidRPr="0096338A">
        <w:t xml:space="preserve"> mee in stand hielden, zonder hierbij te concurreren met mannen.</w:t>
      </w:r>
      <w:r w:rsidRPr="0096338A">
        <w:rPr>
          <w:rStyle w:val="Voetnootmarkering"/>
        </w:rPr>
        <w:footnoteReference w:id="154"/>
      </w:r>
      <w:r w:rsidRPr="0096338A">
        <w:t xml:space="preserve"> Reyerson beweert dat getr</w:t>
      </w:r>
      <w:r w:rsidR="002564EE" w:rsidRPr="0096338A">
        <w:t>ouwde vrouwen konden ondernemen eens ze weduwe waren</w:t>
      </w:r>
      <w:r w:rsidRPr="0096338A">
        <w:t xml:space="preserve">. Daarbovenop gaat ze ervan uit dat hun economische activiteiten combineerbaar waren met het onderhoud van het huishouden en het gezin, waarvoor ze zeker </w:t>
      </w:r>
      <w:r w:rsidR="00863BC1" w:rsidRPr="0096338A">
        <w:t xml:space="preserve">ook </w:t>
      </w:r>
      <w:r w:rsidRPr="0096338A">
        <w:t>verantwoordelijkhe</w:t>
      </w:r>
      <w:r w:rsidR="00EB490E" w:rsidRPr="0096338A">
        <w:t>den</w:t>
      </w:r>
      <w:r w:rsidRPr="0096338A">
        <w:t xml:space="preserve"> had.</w:t>
      </w:r>
      <w:r w:rsidRPr="0096338A">
        <w:rPr>
          <w:rStyle w:val="Voetnootmarkering"/>
        </w:rPr>
        <w:footnoteReference w:id="155"/>
      </w:r>
      <w:r w:rsidRPr="0096338A">
        <w:t xml:space="preserve"> Hier gaat Kowaleski dan weer tegenin vanuit de redenering dat diezelfde verantwoordelijkheid de getrouwde vrouw belemmerde bij het innemen van hoge status-posities. De alleenstaande </w:t>
      </w:r>
      <w:r w:rsidRPr="0096338A">
        <w:lastRenderedPageBreak/>
        <w:t>vrouw zat niet in een de</w:t>
      </w:r>
      <w:r w:rsidR="00054D91" w:rsidRPr="0096338A">
        <w:t>r</w:t>
      </w:r>
      <w:r w:rsidRPr="0096338A">
        <w:t xml:space="preserve">gelijk partnerschap en ondervond </w:t>
      </w:r>
      <w:r w:rsidR="00863BC1" w:rsidRPr="0096338A">
        <w:t>hier</w:t>
      </w:r>
      <w:r w:rsidR="00EB490E" w:rsidRPr="0096338A">
        <w:t>van dan ook geen hinder</w:t>
      </w:r>
      <w:r w:rsidRPr="0096338A">
        <w:t>.</w:t>
      </w:r>
      <w:r w:rsidRPr="0096338A">
        <w:rPr>
          <w:rStyle w:val="Voetnootmarkering"/>
        </w:rPr>
        <w:footnoteReference w:id="156"/>
      </w:r>
      <w:r w:rsidRPr="0096338A">
        <w:t xml:space="preserve"> Dit onderzoek wil zeker niet ontkennen dat het huwelijk een restrictief effect had op de ondernemingsvrijheid van de vrouw</w:t>
      </w:r>
      <w:r w:rsidR="008219AA" w:rsidRPr="0096338A">
        <w:t xml:space="preserve">. </w:t>
      </w:r>
      <w:r w:rsidRPr="0096338A">
        <w:t>Katelijne</w:t>
      </w:r>
      <w:r w:rsidR="00863BC1" w:rsidRPr="0096338A">
        <w:t>s</w:t>
      </w:r>
      <w:r w:rsidRPr="0096338A">
        <w:t xml:space="preserve"> man</w:t>
      </w:r>
      <w:r w:rsidR="008219AA" w:rsidRPr="0096338A">
        <w:t xml:space="preserve"> (zie hierboven) </w:t>
      </w:r>
      <w:r w:rsidRPr="0096338A">
        <w:t>was bijvoorbeeld haar voogd en ze verloor dus bepaalde vrijheden na haar huwelijk.</w:t>
      </w:r>
      <w:r w:rsidRPr="0096338A">
        <w:rPr>
          <w:rStyle w:val="Voetnootmarkering"/>
        </w:rPr>
        <w:footnoteReference w:id="157"/>
      </w:r>
      <w:r w:rsidRPr="0096338A">
        <w:t xml:space="preserve"> Toch</w:t>
      </w:r>
      <w:r w:rsidR="008219AA" w:rsidRPr="0096338A">
        <w:t xml:space="preserve"> is de these van deze scriptie </w:t>
      </w:r>
      <w:r w:rsidRPr="0096338A">
        <w:t>dat getrouwde vrouwen wel degelijk inspraak hadden in de economie</w:t>
      </w:r>
      <w:r w:rsidR="008219AA" w:rsidRPr="0096338A">
        <w:t>,</w:t>
      </w:r>
      <w:r w:rsidRPr="0096338A">
        <w:t xml:space="preserve"> die Martha Howell zo correct als de </w:t>
      </w:r>
      <w:r w:rsidR="008827C9" w:rsidRPr="0096338A">
        <w:t>‘</w:t>
      </w:r>
      <w:r w:rsidRPr="0096338A">
        <w:t>household economy</w:t>
      </w:r>
      <w:r w:rsidR="008827C9" w:rsidRPr="0096338A">
        <w:t>’</w:t>
      </w:r>
      <w:r w:rsidRPr="0096338A">
        <w:rPr>
          <w:i/>
        </w:rPr>
        <w:t xml:space="preserve"> </w:t>
      </w:r>
      <w:r w:rsidR="008534B2" w:rsidRPr="0096338A">
        <w:t>bestempelt</w:t>
      </w:r>
      <w:r w:rsidRPr="0096338A">
        <w:t>.</w:t>
      </w:r>
      <w:r w:rsidRPr="0096338A">
        <w:rPr>
          <w:rStyle w:val="Voetnootmarkering"/>
        </w:rPr>
        <w:footnoteReference w:id="158"/>
      </w:r>
    </w:p>
    <w:p w:rsidR="00B80C41" w:rsidRPr="0096338A" w:rsidRDefault="00B80C41" w:rsidP="00B80C41">
      <w:r w:rsidRPr="0096338A">
        <w:tab/>
        <w:t xml:space="preserve">Het onderzoek verduidelijkte al de gewoonte dat vrouwen het ambacht moesten verlaten indien hun man erin kwam. De ordonnanties maken helaas niet steeds een duidelijk onderscheid </w:t>
      </w:r>
      <w:r w:rsidR="008219AA" w:rsidRPr="0096338A">
        <w:t xml:space="preserve">in </w:t>
      </w:r>
      <w:r w:rsidRPr="0096338A">
        <w:t xml:space="preserve">de familiale statussen van vrouwelijke ambachtsleden. </w:t>
      </w:r>
      <w:r w:rsidR="008219AA" w:rsidRPr="0096338A">
        <w:t>N</w:t>
      </w:r>
      <w:r w:rsidRPr="0096338A">
        <w:t>iettemin</w:t>
      </w:r>
      <w:r w:rsidR="008219AA" w:rsidRPr="0096338A">
        <w:t xml:space="preserve"> is er, na een nauwkeurige analyse van de ordonnanties, voldoende reden om </w:t>
      </w:r>
      <w:r w:rsidRPr="0096338A">
        <w:t xml:space="preserve">voor Leuven te stellen dat vrouwen ander werk konden doen dan het ambacht van hun man. De reeds vermelde beslissing dat </w:t>
      </w:r>
      <w:r w:rsidR="00863BC1" w:rsidRPr="0096338A">
        <w:t>de echtgenote van een barbier</w:t>
      </w:r>
      <w:r w:rsidRPr="0096338A">
        <w:t xml:space="preserve"> niet in</w:t>
      </w:r>
      <w:r w:rsidR="00863BC1" w:rsidRPr="0096338A">
        <w:t xml:space="preserve"> het vleeshouwersambacht mocht, wijst </w:t>
      </w:r>
      <w:r w:rsidR="002564EE" w:rsidRPr="0096338A">
        <w:t>hier bijvoorbeeld op, al ging het wel om een beroep van gelijkaardig karakter</w:t>
      </w:r>
      <w:r w:rsidRPr="0096338A">
        <w:t>.</w:t>
      </w:r>
      <w:r w:rsidRPr="0096338A">
        <w:rPr>
          <w:rStyle w:val="Voetnootmarkering"/>
        </w:rPr>
        <w:footnoteReference w:id="159"/>
      </w:r>
      <w:r w:rsidRPr="0096338A">
        <w:t xml:space="preserve"> </w:t>
      </w:r>
    </w:p>
    <w:p w:rsidR="00B80C41" w:rsidRPr="0096338A" w:rsidRDefault="00B80C41" w:rsidP="00B80C41">
      <w:pPr>
        <w:ind w:firstLine="708"/>
      </w:pPr>
      <w:r w:rsidRPr="0096338A">
        <w:t>Een geschilbeslechting tussen de gezworenen van de meerseniers en Andries De Meyer en Machteld Van Wynge,</w:t>
      </w:r>
      <w:r w:rsidR="008219AA" w:rsidRPr="0096338A">
        <w:t xml:space="preserve"> verwijst op een andere manier naar de </w:t>
      </w:r>
      <w:r w:rsidR="008534B2" w:rsidRPr="0096338A">
        <w:t>de getrouwde vrouw als onderneemster in het stadsleven</w:t>
      </w:r>
      <w:r w:rsidRPr="0096338A">
        <w:t>. De gezworenen kla</w:t>
      </w:r>
      <w:r w:rsidR="00BC64A8" w:rsidRPr="0096338A">
        <w:t>a</w:t>
      </w:r>
      <w:r w:rsidRPr="0096338A">
        <w:t>g</w:t>
      </w:r>
      <w:r w:rsidR="00BC64A8" w:rsidRPr="0096338A">
        <w:t>d</w:t>
      </w:r>
      <w:r w:rsidRPr="0096338A">
        <w:t>en het koppel aan</w:t>
      </w:r>
      <w:r w:rsidR="008219AA" w:rsidRPr="0096338A">
        <w:t xml:space="preserve"> omdat </w:t>
      </w:r>
      <w:r w:rsidRPr="0096338A">
        <w:t xml:space="preserve">Machteld, die vermoedelijk </w:t>
      </w:r>
      <w:r w:rsidR="008219AA" w:rsidRPr="0096338A">
        <w:t xml:space="preserve">eerst </w:t>
      </w:r>
      <w:r w:rsidRPr="0096338A">
        <w:t xml:space="preserve">weduwe was, </w:t>
      </w:r>
      <w:r w:rsidR="008219AA" w:rsidRPr="0096338A">
        <w:t xml:space="preserve">voor haar nieuwe huwelijk </w:t>
      </w:r>
      <w:r w:rsidRPr="0096338A">
        <w:t xml:space="preserve">de helft van het ambachtsgeld betaalde en er na hun huwelijk niets </w:t>
      </w:r>
      <w:r w:rsidR="008219AA" w:rsidRPr="0096338A">
        <w:t xml:space="preserve">meer </w:t>
      </w:r>
      <w:r w:rsidRPr="0096338A">
        <w:t xml:space="preserve">betaald werd. Het bezwaar van de gezworenen luidt: </w:t>
      </w:r>
    </w:p>
    <w:p w:rsidR="00B80C41" w:rsidRPr="0096338A" w:rsidRDefault="00A372E9" w:rsidP="00B80C41">
      <w:pPr>
        <w:ind w:left="708"/>
      </w:pPr>
      <w:r w:rsidRPr="0096338A">
        <w:rPr>
          <w:i/>
        </w:rPr>
        <w:t xml:space="preserve">[…] </w:t>
      </w:r>
      <w:r w:rsidR="004C4455" w:rsidRPr="0096338A">
        <w:rPr>
          <w:i/>
        </w:rPr>
        <w:t>zoe wat manne ee</w:t>
      </w:r>
      <w:r w:rsidR="00B80C41" w:rsidRPr="0096338A">
        <w:rPr>
          <w:i/>
        </w:rPr>
        <w:t>nich vrouwen persoen trouw</w:t>
      </w:r>
      <w:r w:rsidR="007349D3" w:rsidRPr="0096338A">
        <w:rPr>
          <w:i/>
        </w:rPr>
        <w:t>e</w:t>
      </w:r>
      <w:r w:rsidR="00B80C41" w:rsidRPr="0096338A">
        <w:rPr>
          <w:i/>
        </w:rPr>
        <w:t>de die int ambacht te voren om halff ghelt comen waere</w:t>
      </w:r>
      <w:r w:rsidR="007349D3" w:rsidRPr="0096338A">
        <w:rPr>
          <w:i/>
        </w:rPr>
        <w:t>,</w:t>
      </w:r>
      <w:r w:rsidR="00B80C41" w:rsidRPr="0096338A">
        <w:rPr>
          <w:i/>
        </w:rPr>
        <w:t xml:space="preserve"> tselve ambacht geheel </w:t>
      </w:r>
      <w:r w:rsidR="00405765" w:rsidRPr="0096338A">
        <w:rPr>
          <w:i/>
        </w:rPr>
        <w:t>coopen soude ende derinne comen soe</w:t>
      </w:r>
      <w:r w:rsidR="00B80C41" w:rsidRPr="0096338A">
        <w:rPr>
          <w:i/>
        </w:rPr>
        <w:t>verr</w:t>
      </w:r>
      <w:r w:rsidR="007349D3" w:rsidRPr="0096338A">
        <w:rPr>
          <w:i/>
        </w:rPr>
        <w:t>e hij oft zijn wijff voert daer</w:t>
      </w:r>
      <w:r w:rsidR="00B80C41" w:rsidRPr="0096338A">
        <w:rPr>
          <w:i/>
        </w:rPr>
        <w:t>mede hen behelpen souden willen.</w:t>
      </w:r>
      <w:r w:rsidR="00B80C41" w:rsidRPr="0096338A">
        <w:rPr>
          <w:rStyle w:val="Voetnootmarkering"/>
        </w:rPr>
        <w:footnoteReference w:id="160"/>
      </w:r>
    </w:p>
    <w:p w:rsidR="00B80C41" w:rsidRPr="0096338A" w:rsidRDefault="00B80C41" w:rsidP="00B80C41">
      <w:pPr>
        <w:rPr>
          <w:lang w:val="en-GB"/>
        </w:rPr>
      </w:pPr>
      <w:r w:rsidRPr="0096338A">
        <w:t>De stadsraad beslist</w:t>
      </w:r>
      <w:r w:rsidR="0097333F" w:rsidRPr="0096338A">
        <w:t>e</w:t>
      </w:r>
      <w:r w:rsidRPr="0096338A">
        <w:t xml:space="preserve"> in het voordeel van de gezworenen en Andries moe</w:t>
      </w:r>
      <w:r w:rsidR="0097333F" w:rsidRPr="0096338A">
        <w:t>s</w:t>
      </w:r>
      <w:r w:rsidRPr="0096338A">
        <w:t>t dus het ambachtsgeld</w:t>
      </w:r>
      <w:r w:rsidR="00A372E9" w:rsidRPr="0096338A">
        <w:t xml:space="preserve"> volledig</w:t>
      </w:r>
      <w:r w:rsidRPr="0096338A">
        <w:t xml:space="preserve"> betalen indien hij</w:t>
      </w:r>
      <w:r w:rsidR="008219AA" w:rsidRPr="0096338A">
        <w:t xml:space="preserve"> de arbeid van </w:t>
      </w:r>
      <w:r w:rsidRPr="0096338A">
        <w:t>meersenier wil</w:t>
      </w:r>
      <w:r w:rsidR="00BC64A8" w:rsidRPr="0096338A">
        <w:t>de</w:t>
      </w:r>
      <w:r w:rsidR="008219AA" w:rsidRPr="0096338A">
        <w:t xml:space="preserve"> uitoefenen</w:t>
      </w:r>
      <w:r w:rsidRPr="0096338A">
        <w:t>.</w:t>
      </w:r>
      <w:r w:rsidRPr="0096338A">
        <w:rPr>
          <w:rStyle w:val="Voetnootmarkering"/>
        </w:rPr>
        <w:footnoteReference w:id="161"/>
      </w:r>
      <w:r w:rsidRPr="0096338A">
        <w:t xml:space="preserve"> Opvallend is </w:t>
      </w:r>
      <w:r w:rsidR="008219AA" w:rsidRPr="0096338A">
        <w:t>e</w:t>
      </w:r>
      <w:r w:rsidRPr="0096338A">
        <w:t xml:space="preserve">chter dat </w:t>
      </w:r>
      <w:r w:rsidR="008219AA" w:rsidRPr="0096338A">
        <w:t xml:space="preserve">hier </w:t>
      </w:r>
      <w:r w:rsidRPr="0096338A">
        <w:t xml:space="preserve">geen sprake lijkt van een verandering in de activiteit </w:t>
      </w:r>
      <w:r w:rsidR="0097333F" w:rsidRPr="0096338A">
        <w:t xml:space="preserve">van de vrouw </w:t>
      </w:r>
      <w:r w:rsidRPr="0096338A">
        <w:t xml:space="preserve">na het huwelijk. Hoewel ze dus misschien wel haar positie had </w:t>
      </w:r>
      <w:r w:rsidR="008219AA" w:rsidRPr="0096338A">
        <w:t>ver</w:t>
      </w:r>
      <w:r w:rsidRPr="0096338A">
        <w:t>kregen</w:t>
      </w:r>
      <w:r w:rsidR="008219AA" w:rsidRPr="0096338A">
        <w:t xml:space="preserve"> door een huwelijk</w:t>
      </w:r>
      <w:r w:rsidRPr="0096338A">
        <w:t xml:space="preserve">, leek de getrouwde vrouw ook na een alleenstaande periode een zeker individueel ondernemerschap te kunnen behouden. </w:t>
      </w:r>
      <w:r w:rsidRPr="0096338A">
        <w:rPr>
          <w:lang w:val="en-GB"/>
        </w:rPr>
        <w:t xml:space="preserve">Hutton concludeert dit eveneens: “[…] but at the same </w:t>
      </w:r>
      <w:r w:rsidRPr="0096338A">
        <w:rPr>
          <w:lang w:val="en-GB"/>
        </w:rPr>
        <w:lastRenderedPageBreak/>
        <w:t>time the aldermen recognized that married women had rights and obligations arising […] from the actions that they had taken as single women or widows.”</w:t>
      </w:r>
      <w:r w:rsidRPr="0096338A">
        <w:rPr>
          <w:rStyle w:val="Voetnootmarkering"/>
          <w:lang w:val="en-GB"/>
        </w:rPr>
        <w:footnoteReference w:id="162"/>
      </w:r>
    </w:p>
    <w:p w:rsidR="00B80C41" w:rsidRPr="0096338A" w:rsidRDefault="00B80C41" w:rsidP="00B80C41">
      <w:r w:rsidRPr="0096338A">
        <w:rPr>
          <w:lang w:val="en-GB"/>
        </w:rPr>
        <w:tab/>
      </w:r>
      <w:r w:rsidRPr="0096338A">
        <w:t xml:space="preserve">Het bestaan van de voornoemde </w:t>
      </w:r>
      <w:r w:rsidR="008827C9" w:rsidRPr="0096338A">
        <w:t>‘</w:t>
      </w:r>
      <w:r w:rsidRPr="0096338A">
        <w:t>household economy</w:t>
      </w:r>
      <w:r w:rsidR="008827C9" w:rsidRPr="0096338A">
        <w:t>’</w:t>
      </w:r>
      <w:r w:rsidRPr="0096338A">
        <w:rPr>
          <w:i/>
        </w:rPr>
        <w:t xml:space="preserve"> </w:t>
      </w:r>
      <w:r w:rsidRPr="0096338A">
        <w:t>komt duidelijk naar vo</w:t>
      </w:r>
      <w:r w:rsidR="008219AA" w:rsidRPr="0096338A">
        <w:t>or</w:t>
      </w:r>
      <w:r w:rsidRPr="0096338A">
        <w:t xml:space="preserve"> in het Leuvense stadsleven tijdens </w:t>
      </w:r>
      <w:r w:rsidR="0097333F" w:rsidRPr="0096338A">
        <w:t xml:space="preserve">de vijftiende eeuw. Howell </w:t>
      </w:r>
      <w:r w:rsidR="002564EE" w:rsidRPr="0096338A">
        <w:t xml:space="preserve">schetst een algemeen beeld van het </w:t>
      </w:r>
      <w:r w:rsidRPr="0096338A">
        <w:t>getrouwd</w:t>
      </w:r>
      <w:r w:rsidR="002564EE" w:rsidRPr="0096338A">
        <w:t>e</w:t>
      </w:r>
      <w:r w:rsidRPr="0096338A">
        <w:t xml:space="preserve"> koppel </w:t>
      </w:r>
      <w:r w:rsidR="002564EE" w:rsidRPr="0096338A">
        <w:t xml:space="preserve">dat </w:t>
      </w:r>
      <w:r w:rsidRPr="0096338A">
        <w:t xml:space="preserve">samen het huishouden </w:t>
      </w:r>
      <w:r w:rsidR="0097333F" w:rsidRPr="0096338A">
        <w:t>beheerde</w:t>
      </w:r>
      <w:r w:rsidRPr="0096338A">
        <w:t>.</w:t>
      </w:r>
      <w:r w:rsidRPr="0096338A">
        <w:rPr>
          <w:rStyle w:val="Voetnootmarkering"/>
        </w:rPr>
        <w:footnoteReference w:id="163"/>
      </w:r>
      <w:r w:rsidRPr="0096338A">
        <w:t xml:space="preserve"> Gilissen </w:t>
      </w:r>
      <w:r w:rsidR="008219AA" w:rsidRPr="0096338A">
        <w:t xml:space="preserve">veronderstelde </w:t>
      </w:r>
      <w:r w:rsidRPr="0096338A">
        <w:t>een vanzelfsprekende ondergeschiktheid van de vrouw binnen de economie van het huishouden. Sinds zijn publicatie in 1962 onderging de opinie hierover een sterke verandering.</w:t>
      </w:r>
      <w:r w:rsidR="008219AA" w:rsidRPr="0096338A">
        <w:t xml:space="preserve"> De aanname in het huidige onderzoek is veeleer die van het bestaan van </w:t>
      </w:r>
      <w:r w:rsidRPr="0096338A">
        <w:t>ondernemingsvrijheid</w:t>
      </w:r>
      <w:r w:rsidR="008219AA" w:rsidRPr="0096338A">
        <w:t xml:space="preserve">, wat </w:t>
      </w:r>
      <w:r w:rsidRPr="0096338A">
        <w:t xml:space="preserve">aansluit bij </w:t>
      </w:r>
      <w:r w:rsidR="008219AA" w:rsidRPr="0096338A">
        <w:t>de inzichten van</w:t>
      </w:r>
      <w:r w:rsidRPr="0096338A">
        <w:t xml:space="preserve"> David Nicholas</w:t>
      </w:r>
      <w:r w:rsidR="008219AA" w:rsidRPr="0096338A">
        <w:t>: “</w:t>
      </w:r>
      <w:r w:rsidRPr="0096338A">
        <w:t>Some were clearly partners of their husbands in forms implying no subordination.”</w:t>
      </w:r>
      <w:r w:rsidRPr="0096338A">
        <w:rPr>
          <w:rStyle w:val="Voetnootmarkering"/>
        </w:rPr>
        <w:footnoteReference w:id="164"/>
      </w:r>
      <w:r w:rsidR="008219AA" w:rsidRPr="0096338A">
        <w:t xml:space="preserve"> </w:t>
      </w:r>
      <w:r w:rsidRPr="0096338A">
        <w:t xml:space="preserve">De Leuvense stadsordonnanties bevatten tal van akten </w:t>
      </w:r>
      <w:r w:rsidR="008219AA" w:rsidRPr="0096338A">
        <w:t>waaruit blijkt dat</w:t>
      </w:r>
      <w:r w:rsidRPr="0096338A">
        <w:t xml:space="preserve"> de vrouw inderdaad binnen </w:t>
      </w:r>
      <w:r w:rsidR="008219AA" w:rsidRPr="0096338A">
        <w:t xml:space="preserve">een </w:t>
      </w:r>
      <w:r w:rsidRPr="0096338A">
        <w:t xml:space="preserve">partnerschap </w:t>
      </w:r>
      <w:r w:rsidR="008219AA" w:rsidRPr="0096338A">
        <w:t xml:space="preserve">werkt, wat in </w:t>
      </w:r>
      <w:r w:rsidR="0097333F" w:rsidRPr="0096338A">
        <w:t>dit onderzoek bevestigt</w:t>
      </w:r>
      <w:r w:rsidRPr="0096338A">
        <w:t xml:space="preserve"> </w:t>
      </w:r>
      <w:r w:rsidR="008219AA" w:rsidRPr="0096338A">
        <w:t>wordt</w:t>
      </w:r>
      <w:r w:rsidRPr="0096338A">
        <w:t xml:space="preserve">. Het </w:t>
      </w:r>
      <w:r w:rsidR="008219AA" w:rsidRPr="0096338A">
        <w:t>blijkt</w:t>
      </w:r>
      <w:r w:rsidRPr="0096338A">
        <w:t xml:space="preserve"> echter duidelijk dat ze </w:t>
      </w:r>
      <w:r w:rsidR="008219AA" w:rsidRPr="0096338A">
        <w:t xml:space="preserve">hierin een onvervangbare </w:t>
      </w:r>
      <w:r w:rsidRPr="0096338A">
        <w:t>rol speelde, wat duidt op eigen ondernemerschap. Zo eisten ambachten regelmatig dat een vrouw in het ambacht moest treden indien ze haar man dagelijks hielp.</w:t>
      </w:r>
      <w:r w:rsidRPr="0096338A">
        <w:rPr>
          <w:rStyle w:val="Voetnootmarkering"/>
        </w:rPr>
        <w:footnoteReference w:id="165"/>
      </w:r>
      <w:r w:rsidRPr="0096338A">
        <w:t xml:space="preserve"> Het gaat hier om een beschermende maatregel </w:t>
      </w:r>
      <w:r w:rsidR="0097333F" w:rsidRPr="0096338A">
        <w:t>van het ambacht</w:t>
      </w:r>
      <w:r w:rsidR="008219AA" w:rsidRPr="0096338A">
        <w:t xml:space="preserve">, om bijvoorbeeld gebrek aan controle </w:t>
      </w:r>
      <w:r w:rsidRPr="0096338A">
        <w:t xml:space="preserve">te vermijden. Nochtans toont het </w:t>
      </w:r>
      <w:r w:rsidR="008219AA" w:rsidRPr="0096338A">
        <w:t xml:space="preserve">eveneens </w:t>
      </w:r>
      <w:r w:rsidRPr="0096338A">
        <w:t xml:space="preserve">dat de vrouw genoeg werk </w:t>
      </w:r>
      <w:r w:rsidR="008219AA" w:rsidRPr="0096338A">
        <w:t>verrichtte</w:t>
      </w:r>
      <w:r w:rsidRPr="0096338A">
        <w:t xml:space="preserve"> om binnen het ambacht te moeten </w:t>
      </w:r>
      <w:r w:rsidR="008219AA" w:rsidRPr="0096338A">
        <w:t>treden</w:t>
      </w:r>
      <w:r w:rsidRPr="0096338A">
        <w:t xml:space="preserve"> en </w:t>
      </w:r>
      <w:r w:rsidR="008219AA" w:rsidRPr="0096338A">
        <w:t xml:space="preserve">dat ze </w:t>
      </w:r>
      <w:r w:rsidRPr="0096338A">
        <w:t>dus niet enkel vanop de zijlijn de kleine klussen uitvoerde. De</w:t>
      </w:r>
      <w:r w:rsidR="00054D91" w:rsidRPr="0096338A">
        <w:t>r</w:t>
      </w:r>
      <w:r w:rsidRPr="0096338A">
        <w:t>gelijke beslissingen van de stadsr</w:t>
      </w:r>
      <w:r w:rsidR="0097333F" w:rsidRPr="0096338A">
        <w:t xml:space="preserve">aad en de ambachten zelf </w:t>
      </w:r>
      <w:r w:rsidR="008508C9" w:rsidRPr="0096338A">
        <w:t xml:space="preserve">weerleggen </w:t>
      </w:r>
      <w:r w:rsidR="00784E33" w:rsidRPr="0096338A">
        <w:t>de stellingen</w:t>
      </w:r>
      <w:r w:rsidRPr="0096338A">
        <w:t xml:space="preserve"> van Kowaleski en Zemon Davis. Zij stellen namelijk dat de hulp van een vrouw aan haar echtgenoot niet in een constante lijn verliep</w:t>
      </w:r>
      <w:r w:rsidR="008508C9" w:rsidRPr="0096338A">
        <w:t xml:space="preserve">. Afhankelijk van arbeidsgelegenheid en seizoensgebonden omstandigheden was er een plaats voor de vrouw in de </w:t>
      </w:r>
      <w:r w:rsidR="008827C9" w:rsidRPr="0096338A">
        <w:t>‘</w:t>
      </w:r>
      <w:r w:rsidR="008508C9" w:rsidRPr="0096338A">
        <w:t>family production unit</w:t>
      </w:r>
      <w:r w:rsidR="008827C9" w:rsidRPr="0096338A">
        <w:t>’</w:t>
      </w:r>
      <w:r w:rsidRPr="0096338A">
        <w:t>.</w:t>
      </w:r>
      <w:r w:rsidRPr="0096338A">
        <w:rPr>
          <w:rStyle w:val="Voetnootmarkering"/>
        </w:rPr>
        <w:footnoteReference w:id="166"/>
      </w:r>
      <w:r w:rsidRPr="0096338A">
        <w:t xml:space="preserve"> Meer onderzoek is zeker nodig om de vaststellingen voor Leuven te kunnen bevestigen, maar de teneur van de ordonnanties lijkt dus</w:t>
      </w:r>
      <w:r w:rsidR="008508C9" w:rsidRPr="0096338A">
        <w:t xml:space="preserve"> te zijn dat getrouwde vrouwen hun man het hele jaar bijstonden.</w:t>
      </w:r>
    </w:p>
    <w:p w:rsidR="00B80C41" w:rsidRPr="0096338A" w:rsidRDefault="008508C9" w:rsidP="00B80C41">
      <w:r w:rsidRPr="0096338A">
        <w:tab/>
        <w:t>Nog duidelijker zijn</w:t>
      </w:r>
      <w:r w:rsidR="00B80C41" w:rsidRPr="0096338A">
        <w:t xml:space="preserve"> tal van regels die de stadsraad oplegt voor de gezworenen van het ambacht, maar evengoed v</w:t>
      </w:r>
      <w:r w:rsidRPr="0096338A">
        <w:t xml:space="preserve">oor hun huisvrouw en kinderen. </w:t>
      </w:r>
      <w:r w:rsidR="00B80C41" w:rsidRPr="0096338A">
        <w:rPr>
          <w:i/>
        </w:rPr>
        <w:t>[…] noch zij noch hun huysvrouw</w:t>
      </w:r>
      <w:r w:rsidRPr="0096338A">
        <w:rPr>
          <w:i/>
        </w:rPr>
        <w:t>en hen daermede moegen behelpen</w:t>
      </w:r>
      <w:r w:rsidR="00B80C41" w:rsidRPr="0096338A">
        <w:t xml:space="preserve">, is een alomtegenwoordige verwoording </w:t>
      </w:r>
      <w:r w:rsidR="002564EE" w:rsidRPr="0096338A">
        <w:t>in de</w:t>
      </w:r>
      <w:r w:rsidRPr="0096338A">
        <w:t xml:space="preserve"> </w:t>
      </w:r>
      <w:r w:rsidR="002564EE" w:rsidRPr="0096338A">
        <w:t>stads</w:t>
      </w:r>
      <w:r w:rsidR="00B80C41" w:rsidRPr="0096338A">
        <w:t xml:space="preserve">ordonnanties en het was dan ook duidelijk een gangbare praktijk. </w:t>
      </w:r>
      <w:r w:rsidRPr="0096338A">
        <w:t xml:space="preserve">Zo </w:t>
      </w:r>
      <w:r w:rsidR="00B80C41" w:rsidRPr="0096338A">
        <w:t xml:space="preserve">mochten vleeshouwers of hun vrouw bijvoorbeeld geen onverkocht vlees toch nog gaan verkopen in </w:t>
      </w:r>
      <w:r w:rsidR="00B80C41" w:rsidRPr="0096338A">
        <w:lastRenderedPageBreak/>
        <w:t>tavernen of bij mensen aan huis.</w:t>
      </w:r>
      <w:r w:rsidR="00B80C41" w:rsidRPr="0096338A">
        <w:rPr>
          <w:rStyle w:val="Voetnootmarkering"/>
        </w:rPr>
        <w:footnoteReference w:id="167"/>
      </w:r>
      <w:r w:rsidR="00B80C41" w:rsidRPr="0096338A">
        <w:t xml:space="preserve"> De praktijk van een helpend</w:t>
      </w:r>
      <w:r w:rsidR="0097333F" w:rsidRPr="0096338A">
        <w:t>e huisvrouw lijkt trouwens veel</w:t>
      </w:r>
      <w:r w:rsidR="00B80C41" w:rsidRPr="0096338A">
        <w:t xml:space="preserve">voorkomend te zijn binnen dit reeds besproken </w:t>
      </w:r>
      <w:r w:rsidRPr="0096338A">
        <w:t>‘</w:t>
      </w:r>
      <w:r w:rsidR="00B80C41" w:rsidRPr="0096338A">
        <w:t>mannenambacht</w:t>
      </w:r>
      <w:r w:rsidRPr="0096338A">
        <w:t>’</w:t>
      </w:r>
      <w:r w:rsidR="00B80C41" w:rsidRPr="0096338A">
        <w:t xml:space="preserve">. Restricties lijken steeds te gelden voor zowel de </w:t>
      </w:r>
      <w:r w:rsidR="00215577" w:rsidRPr="0096338A">
        <w:t>gezworenen van het ambacht zelf</w:t>
      </w:r>
      <w:r w:rsidR="00B80C41" w:rsidRPr="0096338A">
        <w:t xml:space="preserve"> als voor hun echtgenotes. Hoewel getrouwde vrouwen in theorie niet in het ambacht mochten, h</w:t>
      </w:r>
      <w:r w:rsidRPr="0096338A">
        <w:t>iel</w:t>
      </w:r>
      <w:r w:rsidR="00B80C41" w:rsidRPr="0096338A">
        <w:t>den de bestuurders er duidelijk rekening mee dat ze er ook niet volledig buiten stonden.</w:t>
      </w:r>
      <w:r w:rsidRPr="0096338A">
        <w:t xml:space="preserve"> Het gegeven dat slechts een zeer beperkt aantal ambachten de hulp van huisvrouwen verbood, toont ook aan dat de bestuurders van corporaties die hulp niet per se negatief en overbodig achtten. Het argument dat hulp van de echtgenotes noodzakelijk was, kan hier eveneens een verklaring voor bieden. De stadsraad kon getrouwde vrouwen gewoon niet volledig uit de ambachtenwereld zetten.</w:t>
      </w:r>
    </w:p>
    <w:p w:rsidR="00B80C41" w:rsidRPr="0096338A" w:rsidRDefault="00B80C41" w:rsidP="00B80C41">
      <w:r w:rsidRPr="0096338A">
        <w:tab/>
        <w:t xml:space="preserve">Een ander opvallend element dat de economische eenheid van het kerngezin kenmerkt, zijn de regels die de ambachten en de stadsraad opstelden in verband met getrouwde vrouwen en het ontvangen van het </w:t>
      </w:r>
      <w:r w:rsidRPr="0096338A">
        <w:rPr>
          <w:i/>
        </w:rPr>
        <w:t>goetdoen</w:t>
      </w:r>
      <w:r w:rsidRPr="0096338A">
        <w:t>. Tal van ambachten, zoals bijvoorbeeld de smeden, stelden regels op voor huisvrouwen die deze bijstand eveneens ontvingen indien ze niet konden werken, al gaat het slechts om de helft van het bedrag dat hun man ontving.</w:t>
      </w:r>
      <w:r w:rsidRPr="0096338A">
        <w:rPr>
          <w:rStyle w:val="Voetnootmarkering"/>
        </w:rPr>
        <w:footnoteReference w:id="168"/>
      </w:r>
      <w:r w:rsidR="008508C9" w:rsidRPr="0096338A">
        <w:t xml:space="preserve"> Dit wijst er wederom op dat vrouwen lid waren van de ambachten, zij het dat dit </w:t>
      </w:r>
      <w:r w:rsidR="008508C9" w:rsidRPr="0096338A">
        <w:rPr>
          <w:i/>
        </w:rPr>
        <w:t>goetdoen</w:t>
      </w:r>
      <w:r w:rsidR="008508C9" w:rsidRPr="0096338A">
        <w:t xml:space="preserve"> binnen de caritatieve kant van de </w:t>
      </w:r>
      <w:r w:rsidR="002564EE" w:rsidRPr="0096338A">
        <w:t>corporaties</w:t>
      </w:r>
      <w:r w:rsidR="008508C9" w:rsidRPr="0096338A">
        <w:t xml:space="preserve"> hoorde. Er zijn bovendien twee argumenten te vinden voor een werkelijke erkenning van de </w:t>
      </w:r>
      <w:r w:rsidR="008827C9" w:rsidRPr="0096338A">
        <w:t>‘</w:t>
      </w:r>
      <w:r w:rsidR="008508C9" w:rsidRPr="0096338A">
        <w:t>family production unit</w:t>
      </w:r>
      <w:r w:rsidR="008827C9" w:rsidRPr="0096338A">
        <w:t>’</w:t>
      </w:r>
      <w:r w:rsidR="008508C9" w:rsidRPr="0096338A">
        <w:rPr>
          <w:i/>
        </w:rPr>
        <w:t xml:space="preserve"> </w:t>
      </w:r>
      <w:r w:rsidR="008508C9" w:rsidRPr="0096338A">
        <w:t>als wezenlijke kern van het economische leven</w:t>
      </w:r>
      <w:r w:rsidR="002564EE" w:rsidRPr="0096338A">
        <w:t xml:space="preserve"> in de laatmiddeleeuwse stad</w:t>
      </w:r>
      <w:r w:rsidR="008508C9" w:rsidRPr="0096338A">
        <w:t xml:space="preserve">. </w:t>
      </w:r>
      <w:r w:rsidRPr="0096338A">
        <w:t xml:space="preserve">Ten eerste is er het simpele feit dat de verwoording steeds hetzelfde is en duidelijk gaat om echtgenotes van </w:t>
      </w:r>
      <w:r w:rsidR="002564EE" w:rsidRPr="0096338A">
        <w:t>gezellen, waarbij geen aanduiding volgt van lidmaatschap van de vrouwen zelf</w:t>
      </w:r>
      <w:r w:rsidRPr="0096338A">
        <w:t xml:space="preserve">. </w:t>
      </w:r>
    </w:p>
    <w:p w:rsidR="00B80C41" w:rsidRPr="0096338A" w:rsidRDefault="00780234" w:rsidP="00B80C41">
      <w:pPr>
        <w:ind w:left="708"/>
      </w:pPr>
      <w:r w:rsidRPr="0096338A">
        <w:rPr>
          <w:i/>
        </w:rPr>
        <w:t>[…]</w:t>
      </w:r>
      <w:r w:rsidR="004C4455" w:rsidRPr="0096338A">
        <w:rPr>
          <w:i/>
        </w:rPr>
        <w:t>wanneer ee</w:t>
      </w:r>
      <w:r w:rsidR="00405765" w:rsidRPr="0096338A">
        <w:rPr>
          <w:i/>
        </w:rPr>
        <w:t>nich wijff daer</w:t>
      </w:r>
      <w:r w:rsidR="00B80C41" w:rsidRPr="0096338A">
        <w:rPr>
          <w:i/>
        </w:rPr>
        <w:t>aff de man de voirs</w:t>
      </w:r>
      <w:r w:rsidR="004C4455" w:rsidRPr="0096338A">
        <w:rPr>
          <w:i/>
        </w:rPr>
        <w:t>creven</w:t>
      </w:r>
      <w:r w:rsidR="00B80C41" w:rsidRPr="0096338A">
        <w:rPr>
          <w:i/>
        </w:rPr>
        <w:t xml:space="preserve"> ordinantien aengenomen heeft ende t</w:t>
      </w:r>
      <w:r w:rsidR="00897A49" w:rsidRPr="0096338A">
        <w:rPr>
          <w:i/>
        </w:rPr>
        <w:t xml:space="preserve"> </w:t>
      </w:r>
      <w:r w:rsidR="00B80C41" w:rsidRPr="0096338A">
        <w:rPr>
          <w:i/>
        </w:rPr>
        <w:t>voirs</w:t>
      </w:r>
      <w:r w:rsidR="004C4455" w:rsidRPr="0096338A">
        <w:rPr>
          <w:i/>
        </w:rPr>
        <w:t>creven</w:t>
      </w:r>
      <w:r w:rsidRPr="0096338A">
        <w:rPr>
          <w:i/>
        </w:rPr>
        <w:t xml:space="preserve"> weeckgelt betalen es van nat</w:t>
      </w:r>
      <w:r w:rsidR="00B80C41" w:rsidRPr="0096338A">
        <w:rPr>
          <w:i/>
        </w:rPr>
        <w:t>urlijcker sieck</w:t>
      </w:r>
      <w:r w:rsidRPr="0096338A">
        <w:rPr>
          <w:i/>
        </w:rPr>
        <w:t>t</w:t>
      </w:r>
      <w:r w:rsidR="00B80C41" w:rsidRPr="0096338A">
        <w:rPr>
          <w:i/>
        </w:rPr>
        <w:t xml:space="preserve">en oft bij mercklijcken ongevallen </w:t>
      </w:r>
      <w:r w:rsidRPr="0096338A">
        <w:rPr>
          <w:i/>
        </w:rPr>
        <w:t>[…]</w:t>
      </w:r>
      <w:r w:rsidR="00B80C41" w:rsidRPr="0096338A">
        <w:rPr>
          <w:i/>
        </w:rPr>
        <w:t xml:space="preserve"> t</w:t>
      </w:r>
      <w:r w:rsidR="00897A49" w:rsidRPr="0096338A">
        <w:rPr>
          <w:i/>
        </w:rPr>
        <w:t xml:space="preserve"> </w:t>
      </w:r>
      <w:r w:rsidR="00B80C41" w:rsidRPr="0096338A">
        <w:rPr>
          <w:i/>
        </w:rPr>
        <w:t>voirs</w:t>
      </w:r>
      <w:r w:rsidR="00A372E9" w:rsidRPr="0096338A">
        <w:rPr>
          <w:i/>
        </w:rPr>
        <w:t>creven</w:t>
      </w:r>
      <w:r w:rsidR="00B80C41" w:rsidRPr="0096338A">
        <w:rPr>
          <w:i/>
        </w:rPr>
        <w:t xml:space="preserve"> goetdoen oick hebben ende gebruycken sal</w:t>
      </w:r>
      <w:r w:rsidRPr="0096338A">
        <w:rPr>
          <w:i/>
        </w:rPr>
        <w:t>[…]</w:t>
      </w:r>
      <w:r w:rsidR="00B80C41" w:rsidRPr="0096338A">
        <w:rPr>
          <w:i/>
        </w:rPr>
        <w:t>.</w:t>
      </w:r>
      <w:r w:rsidR="00B80C41" w:rsidRPr="0096338A">
        <w:rPr>
          <w:rStyle w:val="Voetnootmarkering"/>
        </w:rPr>
        <w:footnoteReference w:id="169"/>
      </w:r>
    </w:p>
    <w:p w:rsidR="00B80C41" w:rsidRPr="0096338A" w:rsidRDefault="002564EE" w:rsidP="00B80C41">
      <w:r w:rsidRPr="0096338A">
        <w:t xml:space="preserve">Wanneer een gezel van het schoenmakersambacht de ordonnantie aannam, had zijn vrouw dus ook recht op financiële ziektebijstand. </w:t>
      </w:r>
      <w:r w:rsidR="00B80C41" w:rsidRPr="0096338A">
        <w:t xml:space="preserve">Daarnaast valt het op dat net de ambachten die </w:t>
      </w:r>
      <w:r w:rsidR="00F804DB" w:rsidRPr="0096338A">
        <w:t xml:space="preserve">het lidmaatschap van </w:t>
      </w:r>
      <w:r w:rsidR="00B80C41" w:rsidRPr="0096338A">
        <w:t>getrouwde vrouwen verbieden, deze</w:t>
      </w:r>
      <w:r w:rsidR="00F804DB" w:rsidRPr="0096338A">
        <w:t xml:space="preserve"> zelfde</w:t>
      </w:r>
      <w:r w:rsidR="00B80C41" w:rsidRPr="0096338A">
        <w:t xml:space="preserve"> regel</w:t>
      </w:r>
      <w:r w:rsidR="00F804DB" w:rsidRPr="0096338A">
        <w:t xml:space="preserve"> rond het </w:t>
      </w:r>
      <w:r w:rsidR="00F804DB" w:rsidRPr="0096338A">
        <w:rPr>
          <w:i/>
        </w:rPr>
        <w:t>goetdoen</w:t>
      </w:r>
      <w:r w:rsidR="00B80C41" w:rsidRPr="0096338A">
        <w:t xml:space="preserve"> meermaals</w:t>
      </w:r>
      <w:r w:rsidR="00F804DB" w:rsidRPr="0096338A">
        <w:t xml:space="preserve"> onderschrijven</w:t>
      </w:r>
      <w:r w:rsidR="00B80C41" w:rsidRPr="0096338A">
        <w:t xml:space="preserve">. De kleermakers </w:t>
      </w:r>
      <w:r w:rsidR="00F804DB" w:rsidRPr="0096338A">
        <w:t>-</w:t>
      </w:r>
      <w:r w:rsidR="00B80C41" w:rsidRPr="0096338A">
        <w:t>waar</w:t>
      </w:r>
      <w:r w:rsidR="00B24779" w:rsidRPr="0096338A">
        <w:t>bij</w:t>
      </w:r>
      <w:r w:rsidR="00B80C41" w:rsidRPr="0096338A">
        <w:t xml:space="preserve"> de casus v</w:t>
      </w:r>
      <w:r w:rsidR="00431DA0" w:rsidRPr="0096338A">
        <w:t xml:space="preserve">an Katelijne Brunet </w:t>
      </w:r>
      <w:r w:rsidR="00B24779" w:rsidRPr="0096338A">
        <w:t xml:space="preserve">als voorbeeld van </w:t>
      </w:r>
      <w:r w:rsidR="00B80C41" w:rsidRPr="0096338A">
        <w:t xml:space="preserve">uitsluiting van getrouwde vrouwen uit het ambacht </w:t>
      </w:r>
      <w:r w:rsidR="00B24779" w:rsidRPr="0096338A">
        <w:t>kan dienen</w:t>
      </w:r>
      <w:r w:rsidR="00B80C41" w:rsidRPr="0096338A">
        <w:t>, geven de vrouwen van gezworenen eveneens fi</w:t>
      </w:r>
      <w:r w:rsidR="008508C9" w:rsidRPr="0096338A">
        <w:t>nanciële bijstand wanneer beide personen in het echtpaar</w:t>
      </w:r>
      <w:r w:rsidR="00B80C41" w:rsidRPr="0096338A">
        <w:t xml:space="preserve"> ziek zijn.</w:t>
      </w:r>
      <w:r w:rsidR="00B80C41" w:rsidRPr="0096338A">
        <w:rPr>
          <w:rStyle w:val="Voetnootmarkering"/>
        </w:rPr>
        <w:footnoteReference w:id="170"/>
      </w:r>
      <w:r w:rsidR="00B80C41" w:rsidRPr="0096338A">
        <w:t xml:space="preserve"> Wat het bestaan van de </w:t>
      </w:r>
      <w:r w:rsidR="008827C9" w:rsidRPr="0096338A">
        <w:t>‘</w:t>
      </w:r>
      <w:r w:rsidR="00B80C41" w:rsidRPr="0096338A">
        <w:t>family production unit</w:t>
      </w:r>
      <w:r w:rsidR="008827C9" w:rsidRPr="0096338A">
        <w:t>’</w:t>
      </w:r>
      <w:r w:rsidR="00B80C41" w:rsidRPr="0096338A">
        <w:t xml:space="preserve"> nog duidelijker maakt, </w:t>
      </w:r>
      <w:r w:rsidR="00B80C41" w:rsidRPr="0096338A">
        <w:lastRenderedPageBreak/>
        <w:t>is het gebrek aan bijstand wanneer vrouwen door zwangerschap niet kunnen werken.</w:t>
      </w:r>
      <w:r w:rsidR="00B80C41" w:rsidRPr="0096338A">
        <w:rPr>
          <w:rStyle w:val="Voetnootmarkering"/>
        </w:rPr>
        <w:footnoteReference w:id="171"/>
      </w:r>
      <w:r w:rsidR="00B80C41" w:rsidRPr="0096338A">
        <w:t xml:space="preserve"> De getrouwde vrouw is dus duidelijk een noodzakelijk element in het gezinsinkomen, maar kan geen volledig onafhankelijke positie bekleden door haar taak als moeder.</w:t>
      </w:r>
    </w:p>
    <w:p w:rsidR="00B80C41" w:rsidRPr="0096338A" w:rsidRDefault="00B80C41" w:rsidP="002564EE">
      <w:pPr>
        <w:rPr>
          <w:lang w:val="en-GB"/>
        </w:rPr>
      </w:pPr>
      <w:r w:rsidRPr="0096338A">
        <w:tab/>
        <w:t>Tot slot is het belan</w:t>
      </w:r>
      <w:r w:rsidR="008827C9" w:rsidRPr="0096338A">
        <w:t xml:space="preserve">grijk te duiden welke taken de </w:t>
      </w:r>
      <w:r w:rsidRPr="0096338A">
        <w:rPr>
          <w:i/>
        </w:rPr>
        <w:t>huysvrouw</w:t>
      </w:r>
      <w:r w:rsidRPr="0096338A">
        <w:t xml:space="preserve"> precies uitvoe</w:t>
      </w:r>
      <w:r w:rsidR="002564EE" w:rsidRPr="0096338A">
        <w:t>rde. Kittell stelt</w:t>
      </w:r>
      <w:r w:rsidRPr="0096338A">
        <w:t xml:space="preserve"> dat de taken binnen het huishouden min of meer</w:t>
      </w:r>
      <w:r w:rsidR="008508C9" w:rsidRPr="0096338A">
        <w:t xml:space="preserve"> – maar niet systematisch – op </w:t>
      </w:r>
      <w:r w:rsidRPr="0096338A">
        <w:t xml:space="preserve">basis van gender verdeeld werden. </w:t>
      </w:r>
      <w:r w:rsidRPr="0096338A">
        <w:rPr>
          <w:lang w:val="en-GB"/>
        </w:rPr>
        <w:t>“[…] and while it is possible that some aspects [van het beroep dat het getrouwde koppel uitvoerde] were becoming identified with one gender or another, it cannot be assumed that all functions were determined by gender."</w:t>
      </w:r>
      <w:r w:rsidRPr="0096338A">
        <w:rPr>
          <w:rStyle w:val="Voetnootmarkering"/>
          <w:lang w:val="en-GB"/>
        </w:rPr>
        <w:footnoteReference w:id="172"/>
      </w:r>
      <w:r w:rsidRPr="0096338A">
        <w:rPr>
          <w:lang w:val="en-GB"/>
        </w:rPr>
        <w:t xml:space="preserve"> </w:t>
      </w:r>
      <w:r w:rsidR="00215577" w:rsidRPr="0096338A">
        <w:t xml:space="preserve">Howell geeft </w:t>
      </w:r>
      <w:r w:rsidRPr="0096338A">
        <w:t xml:space="preserve">duidelijk de aard van de taken </w:t>
      </w:r>
      <w:r w:rsidR="00215577" w:rsidRPr="0096338A">
        <w:t xml:space="preserve">weer </w:t>
      </w:r>
      <w:r w:rsidRPr="0096338A">
        <w:t>die als typisch vrouwelijk w</w:t>
      </w:r>
      <w:r w:rsidR="002564EE" w:rsidRPr="0096338A">
        <w:t xml:space="preserve">orden beschouwd door historici. </w:t>
      </w:r>
      <w:r w:rsidRPr="0096338A">
        <w:rPr>
          <w:lang w:val="en-GB"/>
        </w:rPr>
        <w:t>“</w:t>
      </w:r>
      <w:r w:rsidR="00784E33" w:rsidRPr="0096338A">
        <w:rPr>
          <w:lang w:val="en-GB"/>
        </w:rPr>
        <w:t xml:space="preserve">[…] </w:t>
      </w:r>
      <w:r w:rsidRPr="0096338A">
        <w:rPr>
          <w:lang w:val="en-GB"/>
        </w:rPr>
        <w:t>and in cities women specialized in work carried on in the household, while men normally monopolize work that took them away from the home.”</w:t>
      </w:r>
      <w:r w:rsidRPr="0096338A">
        <w:rPr>
          <w:rStyle w:val="Voetnootmarkering"/>
          <w:lang w:val="en-GB"/>
        </w:rPr>
        <w:footnoteReference w:id="173"/>
      </w:r>
    </w:p>
    <w:p w:rsidR="00774828" w:rsidRPr="0096338A" w:rsidRDefault="00B80C41" w:rsidP="002564EE">
      <w:pPr>
        <w:ind w:firstLine="708"/>
      </w:pPr>
      <w:r w:rsidRPr="0096338A">
        <w:t xml:space="preserve">De Leuvense ordonnanties tonen echter een andere kant van de taken die getrouwde vrouwen uitvoerden. </w:t>
      </w:r>
      <w:r w:rsidR="00B8152A" w:rsidRPr="0096338A">
        <w:t xml:space="preserve">Vrouwen </w:t>
      </w:r>
      <w:r w:rsidRPr="0096338A">
        <w:t>namen ongetwijfeld een deel van de productie op zich. Dit blijft echter veelal onzichtbaar in de normatieve bronnen, aangezien</w:t>
      </w:r>
      <w:r w:rsidR="00B8152A" w:rsidRPr="0096338A">
        <w:t xml:space="preserve"> die inzet van arbeid </w:t>
      </w:r>
      <w:r w:rsidRPr="0096338A">
        <w:t>zich veelal binnen het huishouden afspeelde</w:t>
      </w:r>
      <w:r w:rsidR="00B8152A" w:rsidRPr="0096338A">
        <w:t>. Zo toont een ordonnantie die de linnenwevers verbied om bepaalde weegmaterialen in huis te hebben dat het huis inderdaad als werkplaats diende</w:t>
      </w:r>
      <w:r w:rsidRPr="0096338A">
        <w:t>.</w:t>
      </w:r>
      <w:r w:rsidR="00673A7D" w:rsidRPr="0096338A">
        <w:rPr>
          <w:rStyle w:val="Voetnootmarkering"/>
        </w:rPr>
        <w:footnoteReference w:id="174"/>
      </w:r>
      <w:r w:rsidRPr="0096338A">
        <w:t xml:space="preserve"> De stadsraad </w:t>
      </w:r>
      <w:r w:rsidR="00B8152A" w:rsidRPr="0096338A">
        <w:t>nam</w:t>
      </w:r>
      <w:r w:rsidRPr="0096338A">
        <w:t xml:space="preserve"> tal van beslissingen omtrent de verkoop van goederen door getrouwde vrouwen. Er werd al een voorbeeld gegeven van de vleeshouwers en hun vrouwen die niet in tavernen mochten verkopen.</w:t>
      </w:r>
      <w:r w:rsidR="002564EE" w:rsidRPr="0096338A">
        <w:rPr>
          <w:rStyle w:val="Voetnootmarkering"/>
        </w:rPr>
        <w:footnoteReference w:id="175"/>
      </w:r>
      <w:r w:rsidRPr="0096338A">
        <w:t xml:space="preserve"> Andere voorbeelden over de activiteit va</w:t>
      </w:r>
      <w:r w:rsidR="00B8152A" w:rsidRPr="0096338A">
        <w:t xml:space="preserve">n vrouwen bij de verkoop zullen </w:t>
      </w:r>
      <w:r w:rsidRPr="0096338A">
        <w:t xml:space="preserve">nog aan bod komen in een later hoofdstuk, wanneer dit onderzoek </w:t>
      </w:r>
      <w:r w:rsidR="00B8152A" w:rsidRPr="0096338A">
        <w:t>zich toespitst op</w:t>
      </w:r>
      <w:r w:rsidRPr="0096338A">
        <w:t xml:space="preserve"> de vrouw in de marktruimte. De getrouwde vrouw kon dus duidelijk aan meer dan enkel de huiselijke activiteiten deelnemen. De ondernemingszin van de getrouwde vrouw</w:t>
      </w:r>
      <w:r w:rsidR="00B8152A" w:rsidRPr="0096338A">
        <w:t xml:space="preserve"> moet</w:t>
      </w:r>
      <w:r w:rsidRPr="0096338A">
        <w:t xml:space="preserve">, net als van alle vrouwen, </w:t>
      </w:r>
      <w:r w:rsidR="00B8152A" w:rsidRPr="0096338A">
        <w:t>e</w:t>
      </w:r>
      <w:r w:rsidRPr="0096338A">
        <w:t>chter steeds binnen de geldende restricties worden bekeken. Volledig onafhankelijk van haar familie zal ze zelden zijn, zoals Howell ook reeds stelde.</w:t>
      </w:r>
      <w:r w:rsidRPr="0096338A">
        <w:rPr>
          <w:rStyle w:val="Voetnootmarkering"/>
        </w:rPr>
        <w:footnoteReference w:id="176"/>
      </w:r>
    </w:p>
    <w:p w:rsidR="001E639F" w:rsidRPr="0096338A" w:rsidRDefault="003211EA" w:rsidP="001E639F">
      <w:pPr>
        <w:pStyle w:val="Kop2"/>
      </w:pPr>
      <w:bookmarkStart w:id="13" w:name="_Toc452371446"/>
      <w:r w:rsidRPr="0096338A">
        <w:t>3.3</w:t>
      </w:r>
      <w:r w:rsidR="001E639F" w:rsidRPr="0096338A">
        <w:t xml:space="preserve"> Vrouwen in de marge: werken buiten het ambacht</w:t>
      </w:r>
      <w:bookmarkEnd w:id="13"/>
    </w:p>
    <w:p w:rsidR="00774828" w:rsidRPr="0096338A" w:rsidRDefault="00774828" w:rsidP="00774828">
      <w:pPr>
        <w:rPr>
          <w:rFonts w:cs="Times New Roman"/>
          <w:szCs w:val="24"/>
          <w:lang w:val="en-GB"/>
        </w:rPr>
      </w:pPr>
      <w:r w:rsidRPr="0096338A">
        <w:rPr>
          <w:rFonts w:cs="Times New Roman"/>
          <w:szCs w:val="24"/>
        </w:rPr>
        <w:t>Historici vermelden steevast het bestaan van een economische wereld buiten de ambachten</w:t>
      </w:r>
      <w:r w:rsidR="007A58BC" w:rsidRPr="0096338A">
        <w:rPr>
          <w:rFonts w:cs="Times New Roman"/>
          <w:szCs w:val="24"/>
        </w:rPr>
        <w:t>,</w:t>
      </w:r>
      <w:r w:rsidRPr="0096338A">
        <w:rPr>
          <w:rFonts w:cs="Times New Roman"/>
          <w:szCs w:val="24"/>
        </w:rPr>
        <w:t xml:space="preserve"> waar</w:t>
      </w:r>
      <w:r w:rsidR="00B8152A" w:rsidRPr="0096338A">
        <w:rPr>
          <w:rFonts w:cs="Times New Roman"/>
          <w:szCs w:val="24"/>
        </w:rPr>
        <w:t>in</w:t>
      </w:r>
      <w:r w:rsidRPr="0096338A">
        <w:rPr>
          <w:rFonts w:cs="Times New Roman"/>
          <w:szCs w:val="24"/>
        </w:rPr>
        <w:t xml:space="preserve"> vrouwen een grote rol speelden, maar extensief onderzoek naar hun precieze </w:t>
      </w:r>
      <w:r w:rsidR="00B8152A" w:rsidRPr="0096338A">
        <w:rPr>
          <w:rFonts w:cs="Times New Roman"/>
          <w:szCs w:val="24"/>
        </w:rPr>
        <w:t>actieradius op die</w:t>
      </w:r>
      <w:r w:rsidRPr="0096338A">
        <w:rPr>
          <w:rFonts w:cs="Times New Roman"/>
          <w:szCs w:val="24"/>
        </w:rPr>
        <w:t xml:space="preserve"> markt blijft onderbelicht. </w:t>
      </w:r>
      <w:r w:rsidRPr="0096338A">
        <w:rPr>
          <w:rFonts w:cs="Times New Roman"/>
          <w:szCs w:val="24"/>
          <w:lang w:val="en-GB"/>
        </w:rPr>
        <w:t>Peter Stabel stelt bijvoorbeeld:</w:t>
      </w:r>
    </w:p>
    <w:p w:rsidR="00774828" w:rsidRPr="0096338A" w:rsidRDefault="00774828" w:rsidP="00774828">
      <w:pPr>
        <w:ind w:left="708"/>
        <w:rPr>
          <w:rFonts w:cs="Times New Roman"/>
          <w:szCs w:val="24"/>
          <w:lang w:val="en-GB"/>
        </w:rPr>
      </w:pPr>
      <w:r w:rsidRPr="0096338A">
        <w:rPr>
          <w:rFonts w:cs="Times New Roman"/>
          <w:szCs w:val="24"/>
          <w:lang w:val="en-GB"/>
        </w:rPr>
        <w:lastRenderedPageBreak/>
        <w:t>“Manufacture and labour on the one hand, service industries, commerce and retail on the other hand were not only guild regulated activities. They also took place in various forms outside the guild system. Women were undoubtedly more active economically in the margins of the guild economy then they were in the core of the corporate world.”</w:t>
      </w:r>
      <w:r w:rsidRPr="0096338A">
        <w:rPr>
          <w:rStyle w:val="Voetnootmarkering"/>
          <w:rFonts w:cs="Times New Roman"/>
          <w:szCs w:val="24"/>
          <w:lang w:val="en-GB"/>
        </w:rPr>
        <w:footnoteReference w:id="177"/>
      </w:r>
    </w:p>
    <w:p w:rsidR="00774828" w:rsidRPr="0096338A" w:rsidRDefault="00B32826" w:rsidP="00774828">
      <w:pPr>
        <w:rPr>
          <w:rFonts w:cs="Times New Roman"/>
          <w:szCs w:val="24"/>
        </w:rPr>
      </w:pPr>
      <w:r w:rsidRPr="0096338A">
        <w:rPr>
          <w:rFonts w:cs="Times New Roman"/>
          <w:szCs w:val="24"/>
        </w:rPr>
        <w:t xml:space="preserve">Ander onderzoek verklaart eveneens dat er een markt buiten de ambachten bestond. </w:t>
      </w:r>
      <w:r w:rsidR="00774828" w:rsidRPr="0096338A">
        <w:rPr>
          <w:rFonts w:cs="Times New Roman"/>
          <w:szCs w:val="24"/>
        </w:rPr>
        <w:t xml:space="preserve">Hoewel Stabel de wereld buiten de ambachten </w:t>
      </w:r>
      <w:r w:rsidR="00431DA0" w:rsidRPr="0096338A">
        <w:rPr>
          <w:rFonts w:cs="Times New Roman"/>
          <w:szCs w:val="24"/>
        </w:rPr>
        <w:t>vermeldt,</w:t>
      </w:r>
      <w:r w:rsidR="004E5E16" w:rsidRPr="0096338A">
        <w:rPr>
          <w:rFonts w:cs="Times New Roman"/>
          <w:szCs w:val="24"/>
        </w:rPr>
        <w:t xml:space="preserve"> is zijn conclusie</w:t>
      </w:r>
      <w:r w:rsidR="00B844CB" w:rsidRPr="0096338A">
        <w:rPr>
          <w:rFonts w:cs="Times New Roman"/>
          <w:szCs w:val="24"/>
        </w:rPr>
        <w:t xml:space="preserve"> hierover</w:t>
      </w:r>
      <w:r w:rsidR="004E5E16" w:rsidRPr="0096338A">
        <w:rPr>
          <w:rFonts w:cs="Times New Roman"/>
          <w:szCs w:val="24"/>
        </w:rPr>
        <w:t xml:space="preserve"> betwistbaar</w:t>
      </w:r>
      <w:r w:rsidR="00774828" w:rsidRPr="0096338A">
        <w:rPr>
          <w:rFonts w:cs="Times New Roman"/>
          <w:szCs w:val="24"/>
        </w:rPr>
        <w:t xml:space="preserve">. Er </w:t>
      </w:r>
      <w:r w:rsidR="00431DA0" w:rsidRPr="0096338A">
        <w:rPr>
          <w:rFonts w:cs="Times New Roman"/>
          <w:szCs w:val="24"/>
        </w:rPr>
        <w:t xml:space="preserve">is </w:t>
      </w:r>
      <w:r w:rsidR="00774828" w:rsidRPr="0096338A">
        <w:rPr>
          <w:rFonts w:cs="Times New Roman"/>
          <w:szCs w:val="24"/>
        </w:rPr>
        <w:t xml:space="preserve">namelijk een gevoelig verschil tussen </w:t>
      </w:r>
      <w:r w:rsidR="00431DA0" w:rsidRPr="0096338A">
        <w:rPr>
          <w:rFonts w:cs="Times New Roman"/>
          <w:szCs w:val="24"/>
        </w:rPr>
        <w:t xml:space="preserve">arbeid </w:t>
      </w:r>
      <w:r w:rsidR="00774828" w:rsidRPr="0096338A">
        <w:rPr>
          <w:rFonts w:cs="Times New Roman"/>
          <w:szCs w:val="24"/>
        </w:rPr>
        <w:t>in de marge van de ambachten en het werk buiten deze organisaties. Eerder toonde deze studie</w:t>
      </w:r>
      <w:r w:rsidRPr="0096338A">
        <w:rPr>
          <w:rFonts w:cs="Times New Roman"/>
          <w:szCs w:val="24"/>
        </w:rPr>
        <w:t xml:space="preserve"> aan dat vrouwen waarschijnlijk</w:t>
      </w:r>
      <w:r w:rsidR="00774828" w:rsidRPr="0096338A">
        <w:rPr>
          <w:rFonts w:cs="Times New Roman"/>
          <w:szCs w:val="24"/>
        </w:rPr>
        <w:t xml:space="preserve"> centrale plaatsen binnen de ambachten </w:t>
      </w:r>
      <w:r w:rsidRPr="0096338A">
        <w:rPr>
          <w:rFonts w:cs="Times New Roman"/>
          <w:szCs w:val="24"/>
        </w:rPr>
        <w:t xml:space="preserve">konden innemen en dit vanuit </w:t>
      </w:r>
      <w:r w:rsidR="00774828" w:rsidRPr="0096338A">
        <w:rPr>
          <w:rFonts w:cs="Times New Roman"/>
          <w:szCs w:val="24"/>
        </w:rPr>
        <w:t>eigen ondernem</w:t>
      </w:r>
      <w:r w:rsidRPr="0096338A">
        <w:rPr>
          <w:rFonts w:cs="Times New Roman"/>
          <w:szCs w:val="24"/>
        </w:rPr>
        <w:t>erschap enerzijds en</w:t>
      </w:r>
      <w:r w:rsidR="007A58BC" w:rsidRPr="0096338A">
        <w:rPr>
          <w:rFonts w:cs="Times New Roman"/>
          <w:szCs w:val="24"/>
        </w:rPr>
        <w:t xml:space="preserve"> </w:t>
      </w:r>
      <w:r w:rsidR="002564EE" w:rsidRPr="0096338A">
        <w:rPr>
          <w:rFonts w:cs="Times New Roman"/>
          <w:szCs w:val="24"/>
        </w:rPr>
        <w:t xml:space="preserve">vanuit </w:t>
      </w:r>
      <w:r w:rsidR="00B844CB" w:rsidRPr="0096338A">
        <w:rPr>
          <w:rFonts w:cs="Times New Roman"/>
          <w:szCs w:val="24"/>
        </w:rPr>
        <w:t xml:space="preserve">de </w:t>
      </w:r>
      <w:r w:rsidRPr="0096338A">
        <w:rPr>
          <w:rFonts w:cs="Times New Roman"/>
          <w:szCs w:val="24"/>
        </w:rPr>
        <w:t>positie als huisvrouw anderzijds.</w:t>
      </w:r>
      <w:r w:rsidR="00774828" w:rsidRPr="0096338A">
        <w:rPr>
          <w:rFonts w:cs="Times New Roman"/>
          <w:szCs w:val="24"/>
        </w:rPr>
        <w:t xml:space="preserve"> De markt die zich hierbuiten afspeelde was</w:t>
      </w:r>
      <w:r w:rsidR="00B844CB" w:rsidRPr="0096338A">
        <w:rPr>
          <w:rFonts w:cs="Times New Roman"/>
          <w:szCs w:val="24"/>
        </w:rPr>
        <w:t xml:space="preserve"> echter</w:t>
      </w:r>
      <w:r w:rsidR="00774828" w:rsidRPr="0096338A">
        <w:rPr>
          <w:rFonts w:cs="Times New Roman"/>
          <w:szCs w:val="24"/>
        </w:rPr>
        <w:t xml:space="preserve"> ongetwijfeld even zichtbaar in het dagelijkse leven van de middeleeuwse stad e</w:t>
      </w:r>
      <w:r w:rsidR="00431DA0" w:rsidRPr="0096338A">
        <w:rPr>
          <w:rFonts w:cs="Times New Roman"/>
          <w:szCs w:val="24"/>
        </w:rPr>
        <w:t xml:space="preserve">n vrouwen waren hier inderdaad </w:t>
      </w:r>
      <w:r w:rsidR="00774828" w:rsidRPr="0096338A">
        <w:rPr>
          <w:rFonts w:cs="Times New Roman"/>
          <w:szCs w:val="24"/>
        </w:rPr>
        <w:t xml:space="preserve">actief </w:t>
      </w:r>
      <w:r w:rsidR="00B844CB" w:rsidRPr="0096338A">
        <w:rPr>
          <w:rFonts w:cs="Times New Roman"/>
          <w:szCs w:val="24"/>
        </w:rPr>
        <w:t>bij betrokk</w:t>
      </w:r>
      <w:r w:rsidR="007A58BC" w:rsidRPr="0096338A">
        <w:rPr>
          <w:rFonts w:cs="Times New Roman"/>
          <w:szCs w:val="24"/>
        </w:rPr>
        <w:t>en</w:t>
      </w:r>
      <w:r w:rsidR="00774828" w:rsidRPr="0096338A">
        <w:rPr>
          <w:rFonts w:cs="Times New Roman"/>
          <w:szCs w:val="24"/>
        </w:rPr>
        <w:t xml:space="preserve">. </w:t>
      </w:r>
    </w:p>
    <w:p w:rsidR="00774828" w:rsidRPr="0096338A" w:rsidRDefault="0076225E" w:rsidP="00774828">
      <w:pPr>
        <w:ind w:firstLine="708"/>
        <w:rPr>
          <w:rFonts w:cs="Times New Roman"/>
          <w:szCs w:val="24"/>
        </w:rPr>
      </w:pPr>
      <w:r w:rsidRPr="0096338A">
        <w:rPr>
          <w:rFonts w:cs="Times New Roman"/>
          <w:szCs w:val="24"/>
        </w:rPr>
        <w:t>Deze paragraaf</w:t>
      </w:r>
      <w:r w:rsidR="00774828" w:rsidRPr="0096338A">
        <w:rPr>
          <w:rFonts w:cs="Times New Roman"/>
          <w:szCs w:val="24"/>
        </w:rPr>
        <w:t xml:space="preserve"> heeft als doel de </w:t>
      </w:r>
      <w:r w:rsidR="007A58BC" w:rsidRPr="0096338A">
        <w:rPr>
          <w:rFonts w:cs="Times New Roman"/>
          <w:szCs w:val="24"/>
        </w:rPr>
        <w:t>kijk op het economisc</w:t>
      </w:r>
      <w:r w:rsidR="00BA34B8" w:rsidRPr="0096338A">
        <w:rPr>
          <w:rFonts w:cs="Times New Roman"/>
          <w:szCs w:val="24"/>
        </w:rPr>
        <w:t>he proces in de late middeleeuw</w:t>
      </w:r>
      <w:r w:rsidR="007A58BC" w:rsidRPr="0096338A">
        <w:rPr>
          <w:rFonts w:cs="Times New Roman"/>
          <w:szCs w:val="24"/>
        </w:rPr>
        <w:t xml:space="preserve">en </w:t>
      </w:r>
      <w:r w:rsidR="00774828" w:rsidRPr="0096338A">
        <w:rPr>
          <w:rFonts w:cs="Times New Roman"/>
          <w:szCs w:val="24"/>
        </w:rPr>
        <w:t xml:space="preserve">te verbreden en de activiteit van vrouwen hierin </w:t>
      </w:r>
      <w:r w:rsidR="007A58BC" w:rsidRPr="0096338A">
        <w:rPr>
          <w:rFonts w:cs="Times New Roman"/>
          <w:szCs w:val="24"/>
        </w:rPr>
        <w:t>te belichten</w:t>
      </w:r>
      <w:r w:rsidR="00774828" w:rsidRPr="0096338A">
        <w:rPr>
          <w:rFonts w:cs="Times New Roman"/>
          <w:szCs w:val="24"/>
        </w:rPr>
        <w:t xml:space="preserve">. Sheilagh Ogilvie stelt dat </w:t>
      </w:r>
      <w:r w:rsidR="00BA34B8" w:rsidRPr="0096338A">
        <w:rPr>
          <w:rFonts w:cs="Times New Roman"/>
          <w:szCs w:val="24"/>
        </w:rPr>
        <w:t>de ambachten</w:t>
      </w:r>
      <w:r w:rsidR="00774828" w:rsidRPr="0096338A">
        <w:rPr>
          <w:rFonts w:cs="Times New Roman"/>
          <w:szCs w:val="24"/>
        </w:rPr>
        <w:t xml:space="preserve"> in de vroegmoderne tijd </w:t>
      </w:r>
      <w:r w:rsidR="00BA34B8" w:rsidRPr="0096338A">
        <w:rPr>
          <w:rFonts w:cs="Times New Roman"/>
          <w:szCs w:val="24"/>
        </w:rPr>
        <w:t>vrouwelijk lidmaatschap weerden</w:t>
      </w:r>
      <w:r w:rsidR="00774828" w:rsidRPr="0096338A">
        <w:rPr>
          <w:rFonts w:cs="Times New Roman"/>
          <w:szCs w:val="24"/>
        </w:rPr>
        <w:t xml:space="preserve"> en ze hierdoor noodgedwongen op </w:t>
      </w:r>
      <w:r w:rsidR="00B844CB" w:rsidRPr="0096338A">
        <w:rPr>
          <w:rFonts w:cs="Times New Roman"/>
          <w:szCs w:val="24"/>
        </w:rPr>
        <w:t xml:space="preserve">wat zij noemt </w:t>
      </w:r>
      <w:r w:rsidR="00774828" w:rsidRPr="0096338A">
        <w:rPr>
          <w:rFonts w:cs="Times New Roman"/>
          <w:szCs w:val="24"/>
        </w:rPr>
        <w:t>de</w:t>
      </w:r>
      <w:r w:rsidR="007A58BC" w:rsidRPr="0096338A">
        <w:rPr>
          <w:rFonts w:cs="Times New Roman"/>
          <w:szCs w:val="24"/>
        </w:rPr>
        <w:t xml:space="preserve"> </w:t>
      </w:r>
      <w:r w:rsidR="00BA34B8" w:rsidRPr="0096338A">
        <w:rPr>
          <w:rFonts w:cs="Times New Roman"/>
          <w:szCs w:val="24"/>
        </w:rPr>
        <w:t>‘</w:t>
      </w:r>
      <w:r w:rsidR="00774828" w:rsidRPr="0096338A">
        <w:rPr>
          <w:rFonts w:cs="Times New Roman"/>
          <w:szCs w:val="24"/>
        </w:rPr>
        <w:t>zwarte markt</w:t>
      </w:r>
      <w:r w:rsidR="00BA34B8" w:rsidRPr="0096338A">
        <w:rPr>
          <w:rFonts w:cs="Times New Roman"/>
          <w:szCs w:val="24"/>
        </w:rPr>
        <w:t>’</w:t>
      </w:r>
      <w:r w:rsidR="00774828" w:rsidRPr="0096338A">
        <w:rPr>
          <w:rFonts w:cs="Times New Roman"/>
          <w:szCs w:val="24"/>
        </w:rPr>
        <w:t xml:space="preserve"> terecht kwamen. Volgens haar schaadde dit zowel hun eigen positie als de stadseconomie.</w:t>
      </w:r>
      <w:r w:rsidR="00774828" w:rsidRPr="0096338A">
        <w:rPr>
          <w:rStyle w:val="Voetnootmarkering"/>
          <w:rFonts w:cs="Times New Roman"/>
          <w:szCs w:val="24"/>
        </w:rPr>
        <w:footnoteReference w:id="178"/>
      </w:r>
      <w:r w:rsidR="00774828" w:rsidRPr="0096338A">
        <w:rPr>
          <w:rFonts w:cs="Times New Roman"/>
          <w:szCs w:val="24"/>
        </w:rPr>
        <w:t xml:space="preserve"> De </w:t>
      </w:r>
      <w:r w:rsidR="00852787" w:rsidRPr="0096338A">
        <w:rPr>
          <w:rFonts w:cs="Times New Roman"/>
          <w:szCs w:val="24"/>
        </w:rPr>
        <w:t xml:space="preserve">gebruikte </w:t>
      </w:r>
      <w:r w:rsidR="00774828" w:rsidRPr="0096338A">
        <w:rPr>
          <w:rFonts w:cs="Times New Roman"/>
          <w:szCs w:val="24"/>
        </w:rPr>
        <w:t xml:space="preserve">normatieve bronnen </w:t>
      </w:r>
      <w:r w:rsidR="00B32826" w:rsidRPr="0096338A">
        <w:rPr>
          <w:rFonts w:cs="Times New Roman"/>
          <w:szCs w:val="24"/>
        </w:rPr>
        <w:t xml:space="preserve">laten niet toe </w:t>
      </w:r>
      <w:r w:rsidR="00774828" w:rsidRPr="0096338A">
        <w:rPr>
          <w:rFonts w:cs="Times New Roman"/>
          <w:szCs w:val="24"/>
        </w:rPr>
        <w:t>economische ontwikkelingen</w:t>
      </w:r>
      <w:r w:rsidR="00B32826" w:rsidRPr="0096338A">
        <w:rPr>
          <w:rFonts w:cs="Times New Roman"/>
          <w:szCs w:val="24"/>
        </w:rPr>
        <w:t xml:space="preserve"> </w:t>
      </w:r>
      <w:r w:rsidR="00774828" w:rsidRPr="0096338A">
        <w:rPr>
          <w:rFonts w:cs="Times New Roman"/>
          <w:szCs w:val="24"/>
        </w:rPr>
        <w:t xml:space="preserve">vast te stellen, maar duiden wel aan dat de voornoemde markt zeker niet </w:t>
      </w:r>
      <w:r w:rsidR="00BA34B8" w:rsidRPr="0096338A">
        <w:rPr>
          <w:rFonts w:cs="Times New Roman"/>
          <w:szCs w:val="24"/>
        </w:rPr>
        <w:t>‘</w:t>
      </w:r>
      <w:r w:rsidR="00774828" w:rsidRPr="0096338A">
        <w:rPr>
          <w:rFonts w:cs="Times New Roman"/>
          <w:szCs w:val="24"/>
        </w:rPr>
        <w:t>zwart</w:t>
      </w:r>
      <w:r w:rsidR="00BA34B8" w:rsidRPr="0096338A">
        <w:rPr>
          <w:rFonts w:cs="Times New Roman"/>
          <w:szCs w:val="24"/>
        </w:rPr>
        <w:t>’</w:t>
      </w:r>
      <w:r w:rsidR="00774828" w:rsidRPr="0096338A">
        <w:rPr>
          <w:rFonts w:cs="Times New Roman"/>
          <w:szCs w:val="24"/>
        </w:rPr>
        <w:t xml:space="preserve"> was. Het stadsbestuur erkende het bestaan ervan en l</w:t>
      </w:r>
      <w:r w:rsidR="00015AAE" w:rsidRPr="0096338A">
        <w:rPr>
          <w:rFonts w:cs="Times New Roman"/>
          <w:szCs w:val="24"/>
        </w:rPr>
        <w:t>ie</w:t>
      </w:r>
      <w:r w:rsidR="00774828" w:rsidRPr="0096338A">
        <w:rPr>
          <w:rFonts w:cs="Times New Roman"/>
          <w:szCs w:val="24"/>
        </w:rPr>
        <w:t>t het ook toe. Dit zal doorh</w:t>
      </w:r>
      <w:r w:rsidR="001E2ADC" w:rsidRPr="0096338A">
        <w:rPr>
          <w:rFonts w:cs="Times New Roman"/>
          <w:szCs w:val="24"/>
        </w:rPr>
        <w:t>een de paragraaf</w:t>
      </w:r>
      <w:r w:rsidR="00774828" w:rsidRPr="0096338A">
        <w:rPr>
          <w:rFonts w:cs="Times New Roman"/>
          <w:szCs w:val="24"/>
        </w:rPr>
        <w:t xml:space="preserve"> duidelijk worden en hierdoor </w:t>
      </w:r>
      <w:r w:rsidR="009D23A3" w:rsidRPr="0096338A">
        <w:rPr>
          <w:rFonts w:cs="Times New Roman"/>
          <w:szCs w:val="24"/>
        </w:rPr>
        <w:t>viel de keuze niet op de term</w:t>
      </w:r>
      <w:r w:rsidR="00774828" w:rsidRPr="0096338A">
        <w:rPr>
          <w:rFonts w:cs="Times New Roman"/>
          <w:szCs w:val="24"/>
        </w:rPr>
        <w:t xml:space="preserve"> </w:t>
      </w:r>
      <w:r w:rsidR="00BA34B8" w:rsidRPr="0096338A">
        <w:rPr>
          <w:rFonts w:cs="Times New Roman"/>
          <w:szCs w:val="24"/>
        </w:rPr>
        <w:t>‘</w:t>
      </w:r>
      <w:r w:rsidR="00774828" w:rsidRPr="0096338A">
        <w:rPr>
          <w:rFonts w:cs="Times New Roman"/>
          <w:szCs w:val="24"/>
        </w:rPr>
        <w:t>zwarte markt</w:t>
      </w:r>
      <w:r w:rsidR="00BA34B8" w:rsidRPr="0096338A">
        <w:rPr>
          <w:rFonts w:cs="Times New Roman"/>
          <w:szCs w:val="24"/>
        </w:rPr>
        <w:t>’</w:t>
      </w:r>
      <w:r w:rsidR="00774828" w:rsidRPr="0096338A">
        <w:rPr>
          <w:rFonts w:cs="Times New Roman"/>
          <w:szCs w:val="24"/>
        </w:rPr>
        <w:t xml:space="preserve">, dan wel </w:t>
      </w:r>
      <w:r w:rsidR="00015AAE" w:rsidRPr="0096338A">
        <w:rPr>
          <w:rFonts w:cs="Times New Roman"/>
          <w:szCs w:val="24"/>
        </w:rPr>
        <w:t>op de aanduiding</w:t>
      </w:r>
      <w:r w:rsidR="00852787" w:rsidRPr="0096338A">
        <w:rPr>
          <w:rFonts w:cs="Times New Roman"/>
          <w:szCs w:val="24"/>
        </w:rPr>
        <w:t xml:space="preserve"> vrije</w:t>
      </w:r>
      <w:r w:rsidR="007E2CC3" w:rsidRPr="0096338A">
        <w:rPr>
          <w:rFonts w:cs="Times New Roman"/>
          <w:szCs w:val="24"/>
        </w:rPr>
        <w:t xml:space="preserve"> of informele</w:t>
      </w:r>
      <w:r w:rsidR="00774828" w:rsidRPr="0096338A">
        <w:rPr>
          <w:rFonts w:cs="Times New Roman"/>
          <w:szCs w:val="24"/>
        </w:rPr>
        <w:t xml:space="preserve"> markt</w:t>
      </w:r>
      <w:r w:rsidR="007E2CC3" w:rsidRPr="0096338A">
        <w:rPr>
          <w:rFonts w:cs="Times New Roman"/>
          <w:szCs w:val="24"/>
        </w:rPr>
        <w:t xml:space="preserve">, zoals Peter Stabel </w:t>
      </w:r>
      <w:r w:rsidR="00015AAE" w:rsidRPr="0096338A">
        <w:rPr>
          <w:rFonts w:cs="Times New Roman"/>
          <w:szCs w:val="24"/>
        </w:rPr>
        <w:t>aanreikt</w:t>
      </w:r>
      <w:r w:rsidR="00774828" w:rsidRPr="0096338A">
        <w:rPr>
          <w:rFonts w:cs="Times New Roman"/>
          <w:szCs w:val="24"/>
        </w:rPr>
        <w:t>.</w:t>
      </w:r>
      <w:r w:rsidR="007E2CC3" w:rsidRPr="0096338A">
        <w:rPr>
          <w:rStyle w:val="Voetnootmarkering"/>
          <w:rFonts w:cs="Times New Roman"/>
          <w:szCs w:val="24"/>
        </w:rPr>
        <w:footnoteReference w:id="179"/>
      </w:r>
      <w:r w:rsidR="00774828" w:rsidRPr="0096338A">
        <w:rPr>
          <w:rFonts w:cs="Times New Roman"/>
          <w:szCs w:val="24"/>
        </w:rPr>
        <w:t xml:space="preserve"> </w:t>
      </w:r>
      <w:r w:rsidR="007E2CC3" w:rsidRPr="0096338A">
        <w:rPr>
          <w:rFonts w:cs="Times New Roman"/>
          <w:szCs w:val="24"/>
        </w:rPr>
        <w:t xml:space="preserve">Volledig vrij was deze markt niet, het stadsbestuur reguleerde </w:t>
      </w:r>
      <w:r w:rsidR="009D23A3" w:rsidRPr="0096338A">
        <w:rPr>
          <w:rFonts w:cs="Times New Roman"/>
          <w:szCs w:val="24"/>
        </w:rPr>
        <w:t xml:space="preserve">de werking </w:t>
      </w:r>
      <w:r w:rsidR="007E2CC3" w:rsidRPr="0096338A">
        <w:rPr>
          <w:rFonts w:cs="Times New Roman"/>
          <w:szCs w:val="24"/>
        </w:rPr>
        <w:t xml:space="preserve">namelijk ook hier zo veel mogelijk, maar de termen halen de markt in ieder geval uit de </w:t>
      </w:r>
      <w:r w:rsidR="009D23A3" w:rsidRPr="0096338A">
        <w:rPr>
          <w:rFonts w:cs="Times New Roman"/>
          <w:szCs w:val="24"/>
        </w:rPr>
        <w:t xml:space="preserve">suggestie van </w:t>
      </w:r>
      <w:r w:rsidR="007E2CC3" w:rsidRPr="0096338A">
        <w:rPr>
          <w:rFonts w:cs="Times New Roman"/>
          <w:szCs w:val="24"/>
        </w:rPr>
        <w:t xml:space="preserve">illegaliteit. </w:t>
      </w:r>
      <w:r w:rsidR="00B32826" w:rsidRPr="0096338A">
        <w:rPr>
          <w:rFonts w:cs="Times New Roman"/>
          <w:szCs w:val="24"/>
        </w:rPr>
        <w:t xml:space="preserve">De bronnen </w:t>
      </w:r>
      <w:r w:rsidR="00451432" w:rsidRPr="0096338A">
        <w:rPr>
          <w:rFonts w:cs="Times New Roman"/>
          <w:szCs w:val="24"/>
        </w:rPr>
        <w:t xml:space="preserve">maken duidelijk </w:t>
      </w:r>
      <w:r w:rsidR="00B32826" w:rsidRPr="0096338A">
        <w:rPr>
          <w:rFonts w:cs="Times New Roman"/>
          <w:szCs w:val="24"/>
        </w:rPr>
        <w:t xml:space="preserve">dat de </w:t>
      </w:r>
      <w:r w:rsidR="007E2CC3" w:rsidRPr="0096338A">
        <w:rPr>
          <w:rFonts w:cs="Times New Roman"/>
          <w:szCs w:val="24"/>
        </w:rPr>
        <w:t>stad</w:t>
      </w:r>
      <w:r w:rsidR="00015AAE" w:rsidRPr="0096338A">
        <w:rPr>
          <w:rFonts w:cs="Times New Roman"/>
          <w:szCs w:val="24"/>
        </w:rPr>
        <w:t xml:space="preserve"> de mogelijkheid had</w:t>
      </w:r>
      <w:r w:rsidR="00B32826" w:rsidRPr="0096338A">
        <w:rPr>
          <w:rFonts w:cs="Times New Roman"/>
          <w:szCs w:val="24"/>
        </w:rPr>
        <w:t xml:space="preserve"> de markt buiten de ambachten te</w:t>
      </w:r>
      <w:r w:rsidR="00015AAE" w:rsidRPr="0096338A">
        <w:rPr>
          <w:rFonts w:cs="Times New Roman"/>
          <w:szCs w:val="24"/>
        </w:rPr>
        <w:t xml:space="preserve"> reguleren, een element dat van belang is in </w:t>
      </w:r>
      <w:r w:rsidR="001E2ADC" w:rsidRPr="0096338A">
        <w:rPr>
          <w:rFonts w:cs="Times New Roman"/>
          <w:szCs w:val="24"/>
        </w:rPr>
        <w:t>deze paragraaf</w:t>
      </w:r>
      <w:r w:rsidR="00B32826" w:rsidRPr="0096338A">
        <w:rPr>
          <w:rFonts w:cs="Times New Roman"/>
          <w:szCs w:val="24"/>
        </w:rPr>
        <w:t>.</w:t>
      </w:r>
      <w:r w:rsidR="00BA34B8" w:rsidRPr="0096338A">
        <w:rPr>
          <w:rFonts w:cs="Times New Roman"/>
          <w:szCs w:val="24"/>
        </w:rPr>
        <w:t xml:space="preserve"> De informele markt was een spontaan ontstane economische activiteit die niettemin controle van bovenaf kende. </w:t>
      </w:r>
    </w:p>
    <w:p w:rsidR="00774828" w:rsidRPr="0096338A" w:rsidRDefault="00774828" w:rsidP="00774828">
      <w:pPr>
        <w:rPr>
          <w:rFonts w:cs="Times New Roman"/>
          <w:szCs w:val="24"/>
        </w:rPr>
      </w:pPr>
      <w:r w:rsidRPr="0096338A">
        <w:rPr>
          <w:rFonts w:cs="Times New Roman"/>
          <w:szCs w:val="24"/>
        </w:rPr>
        <w:tab/>
        <w:t xml:space="preserve">De stadsordonnanties tonen voor </w:t>
      </w:r>
      <w:r w:rsidR="00B32826" w:rsidRPr="0096338A">
        <w:rPr>
          <w:rFonts w:cs="Times New Roman"/>
          <w:szCs w:val="24"/>
        </w:rPr>
        <w:t>middeleeuws</w:t>
      </w:r>
      <w:r w:rsidRPr="0096338A">
        <w:rPr>
          <w:rFonts w:cs="Times New Roman"/>
          <w:szCs w:val="24"/>
        </w:rPr>
        <w:t xml:space="preserve"> Leuven een duidelijke overeenkomst met eerdere bevindingen aangaande de </w:t>
      </w:r>
      <w:r w:rsidR="00852787" w:rsidRPr="0096338A">
        <w:rPr>
          <w:rFonts w:cs="Times New Roman"/>
          <w:szCs w:val="24"/>
        </w:rPr>
        <w:t>vrije</w:t>
      </w:r>
      <w:r w:rsidRPr="0096338A">
        <w:rPr>
          <w:rFonts w:cs="Times New Roman"/>
          <w:szCs w:val="24"/>
        </w:rPr>
        <w:t xml:space="preserve"> markt. De stadsraad stelde regels op</w:t>
      </w:r>
      <w:r w:rsidR="00083C27" w:rsidRPr="0096338A">
        <w:rPr>
          <w:rFonts w:cs="Times New Roman"/>
          <w:szCs w:val="24"/>
        </w:rPr>
        <w:t xml:space="preserve"> rond </w:t>
      </w:r>
      <w:r w:rsidR="00083C27" w:rsidRPr="0096338A">
        <w:rPr>
          <w:rFonts w:cs="Times New Roman"/>
          <w:szCs w:val="24"/>
        </w:rPr>
        <w:lastRenderedPageBreak/>
        <w:t xml:space="preserve">ongeveer tien ambachten die vrouwen beoefenden zonder lidmaatschap. </w:t>
      </w:r>
      <w:r w:rsidRPr="0096338A">
        <w:rPr>
          <w:rFonts w:cs="Times New Roman"/>
          <w:szCs w:val="24"/>
        </w:rPr>
        <w:t xml:space="preserve">Wat hierbij ten eerste opvalt is een duidelijk discontinuïteit in de woordkeuze van de raad. De regelgeving van de ambachten spreekt herhaaldelijk over de </w:t>
      </w:r>
      <w:r w:rsidRPr="0096338A">
        <w:rPr>
          <w:rFonts w:cs="Times New Roman"/>
          <w:i/>
          <w:szCs w:val="24"/>
        </w:rPr>
        <w:t>goede lieden</w:t>
      </w:r>
      <w:r w:rsidRPr="0096338A">
        <w:rPr>
          <w:rFonts w:cs="Times New Roman"/>
          <w:szCs w:val="24"/>
        </w:rPr>
        <w:t xml:space="preserve"> of zelfs </w:t>
      </w:r>
      <w:r w:rsidRPr="0096338A">
        <w:rPr>
          <w:rFonts w:cs="Times New Roman"/>
          <w:i/>
          <w:szCs w:val="24"/>
        </w:rPr>
        <w:t xml:space="preserve">goede mannen </w:t>
      </w:r>
      <w:r w:rsidRPr="0096338A">
        <w:rPr>
          <w:rFonts w:cs="Times New Roman"/>
          <w:szCs w:val="24"/>
        </w:rPr>
        <w:t>van de ambachten, zelfs met betrekking tot de organisaties waar</w:t>
      </w:r>
      <w:r w:rsidR="00083C27" w:rsidRPr="0096338A">
        <w:rPr>
          <w:rFonts w:cs="Times New Roman"/>
          <w:szCs w:val="24"/>
        </w:rPr>
        <w:t>in</w:t>
      </w:r>
      <w:r w:rsidRPr="0096338A">
        <w:rPr>
          <w:rFonts w:cs="Times New Roman"/>
          <w:szCs w:val="24"/>
        </w:rPr>
        <w:t xml:space="preserve"> vrouwen eveneens zijn toegelaten. Wetgeving in verband met de </w:t>
      </w:r>
      <w:r w:rsidR="00852787" w:rsidRPr="0096338A">
        <w:rPr>
          <w:rFonts w:cs="Times New Roman"/>
          <w:szCs w:val="24"/>
        </w:rPr>
        <w:t>vrije</w:t>
      </w:r>
      <w:r w:rsidRPr="0096338A">
        <w:rPr>
          <w:rFonts w:cs="Times New Roman"/>
          <w:szCs w:val="24"/>
        </w:rPr>
        <w:t xml:space="preserve"> markt </w:t>
      </w:r>
      <w:r w:rsidR="00083C27" w:rsidRPr="0096338A">
        <w:rPr>
          <w:rFonts w:cs="Times New Roman"/>
          <w:szCs w:val="24"/>
        </w:rPr>
        <w:t xml:space="preserve">wijst </w:t>
      </w:r>
      <w:r w:rsidRPr="0096338A">
        <w:rPr>
          <w:rFonts w:cs="Times New Roman"/>
          <w:szCs w:val="24"/>
        </w:rPr>
        <w:t>echter duidelijk</w:t>
      </w:r>
      <w:r w:rsidR="00083C27" w:rsidRPr="0096338A">
        <w:rPr>
          <w:rFonts w:cs="Times New Roman"/>
          <w:szCs w:val="24"/>
        </w:rPr>
        <w:t xml:space="preserve"> op</w:t>
      </w:r>
      <w:r w:rsidRPr="0096338A">
        <w:rPr>
          <w:rFonts w:cs="Times New Roman"/>
          <w:szCs w:val="24"/>
        </w:rPr>
        <w:t xml:space="preserve"> de aanwezigheid </w:t>
      </w:r>
      <w:r w:rsidR="00B32826" w:rsidRPr="0096338A">
        <w:rPr>
          <w:rFonts w:cs="Times New Roman"/>
          <w:szCs w:val="24"/>
        </w:rPr>
        <w:t xml:space="preserve">en actieve rol </w:t>
      </w:r>
      <w:r w:rsidRPr="0096338A">
        <w:rPr>
          <w:rFonts w:cs="Times New Roman"/>
          <w:szCs w:val="24"/>
        </w:rPr>
        <w:t>van vrouwen. Het mere</w:t>
      </w:r>
      <w:r w:rsidR="007F740D" w:rsidRPr="0096338A">
        <w:rPr>
          <w:rFonts w:cs="Times New Roman"/>
          <w:szCs w:val="24"/>
        </w:rPr>
        <w:t xml:space="preserve">ndeel van de beslissingen kent </w:t>
      </w:r>
      <w:r w:rsidRPr="0096338A">
        <w:rPr>
          <w:rFonts w:cs="Times New Roman"/>
          <w:szCs w:val="24"/>
        </w:rPr>
        <w:t xml:space="preserve">de dubbele verwoording die Kittell in de Dowaaise ordonnanties eveneens bemerkt: </w:t>
      </w:r>
      <w:r w:rsidRPr="0096338A">
        <w:rPr>
          <w:rFonts w:cs="Times New Roman"/>
          <w:i/>
          <w:szCs w:val="24"/>
        </w:rPr>
        <w:t xml:space="preserve">[…] </w:t>
      </w:r>
      <w:r w:rsidRPr="0096338A">
        <w:rPr>
          <w:i/>
        </w:rPr>
        <w:t>dat van nu vertaen nyemant man noch wijff […]</w:t>
      </w:r>
      <w:r w:rsidRPr="0096338A">
        <w:t>.</w:t>
      </w:r>
      <w:r w:rsidRPr="0096338A">
        <w:rPr>
          <w:rStyle w:val="Voetnootmarkering"/>
        </w:rPr>
        <w:footnoteReference w:id="180"/>
      </w:r>
      <w:r w:rsidRPr="0096338A">
        <w:t xml:space="preserve"> Andere ordonnanties vormen echter een nog groter contrast met de patriarchale woordkeuze in de ambachtsstatuten. </w:t>
      </w:r>
    </w:p>
    <w:p w:rsidR="00774828" w:rsidRPr="0096338A" w:rsidRDefault="00774828" w:rsidP="00774828">
      <w:pPr>
        <w:ind w:left="708"/>
      </w:pPr>
      <w:r w:rsidRPr="0096338A">
        <w:rPr>
          <w:i/>
        </w:rPr>
        <w:t>[…] alrehande vrouwe personen heymelijck ende openba</w:t>
      </w:r>
      <w:r w:rsidR="00780234" w:rsidRPr="0096338A">
        <w:rPr>
          <w:i/>
        </w:rPr>
        <w:t>ir metten selven ambachte te gen</w:t>
      </w:r>
      <w:r w:rsidRPr="0096338A">
        <w:rPr>
          <w:i/>
        </w:rPr>
        <w:t>e</w:t>
      </w:r>
      <w:r w:rsidR="00780234" w:rsidRPr="0096338A">
        <w:rPr>
          <w:i/>
        </w:rPr>
        <w:t>renen ende deen dander te lee</w:t>
      </w:r>
      <w:r w:rsidRPr="0096338A">
        <w:rPr>
          <w:i/>
        </w:rPr>
        <w:t>ren handschoen nayen sonder dat zij plegen des ambachts recht oft dat zij dat geleert hebben soe dat behoirt.</w:t>
      </w:r>
      <w:r w:rsidRPr="0096338A">
        <w:rPr>
          <w:rStyle w:val="Voetnootmarkering"/>
        </w:rPr>
        <w:footnoteReference w:id="181"/>
      </w:r>
    </w:p>
    <w:p w:rsidR="00774828" w:rsidRPr="0096338A" w:rsidRDefault="00A372E9" w:rsidP="00774828">
      <w:r w:rsidRPr="0096338A">
        <w:t>De beslissing wijst</w:t>
      </w:r>
      <w:r w:rsidR="00BA34B8" w:rsidRPr="0096338A">
        <w:t xml:space="preserve"> </w:t>
      </w:r>
      <w:r w:rsidRPr="0096338A">
        <w:t>duidelijk op vrouwen die op de vrije markt handschoenen naaiden</w:t>
      </w:r>
      <w:r w:rsidR="00780234" w:rsidRPr="0096338A">
        <w:t xml:space="preserve"> en dit onderling nog eens aan elkaar leerden</w:t>
      </w:r>
      <w:r w:rsidRPr="0096338A">
        <w:t xml:space="preserve">. </w:t>
      </w:r>
      <w:r w:rsidR="00774828" w:rsidRPr="0096338A">
        <w:t>Hoewel in dergelijke ordonnanties de beslissing zelf voor mannen en vrouwen gold, verduidelij</w:t>
      </w:r>
      <w:r w:rsidR="00BA34B8" w:rsidRPr="0096338A">
        <w:t>ken de klachten van de ambachtsgezworenen</w:t>
      </w:r>
      <w:r w:rsidR="00774828" w:rsidRPr="0096338A">
        <w:t xml:space="preserve"> dat het voornamelijk vrouwen waren die het werk op de </w:t>
      </w:r>
      <w:r w:rsidR="004C571E" w:rsidRPr="0096338A">
        <w:t>informele</w:t>
      </w:r>
      <w:r w:rsidR="00774828" w:rsidRPr="0096338A">
        <w:t xml:space="preserve"> markt uitvoerden.</w:t>
      </w:r>
      <w:r w:rsidR="00BA34B8" w:rsidRPr="0096338A">
        <w:t xml:space="preserve"> Interessant hierbij is de verwoording </w:t>
      </w:r>
      <w:r w:rsidR="00BA34B8" w:rsidRPr="0096338A">
        <w:rPr>
          <w:i/>
        </w:rPr>
        <w:t>heymelijck ende openbair</w:t>
      </w:r>
      <w:r w:rsidR="00BA34B8" w:rsidRPr="0096338A">
        <w:t xml:space="preserve">. Dit toont namelijk aan hoe het informele karakter van vrouwen hun werk aansloot bij een illegale ‘zwarte markt’. De informele markt kende dus inderdaad een </w:t>
      </w:r>
      <w:r w:rsidR="00BA34B8" w:rsidRPr="0096338A">
        <w:rPr>
          <w:i/>
        </w:rPr>
        <w:t xml:space="preserve">heymelijcke </w:t>
      </w:r>
      <w:r w:rsidR="00BA34B8" w:rsidRPr="0096338A">
        <w:t xml:space="preserve">aard, maar name eveneens plaats in de zichtbare ruimten, wat uit het gebruik van </w:t>
      </w:r>
      <w:r w:rsidR="00BA34B8" w:rsidRPr="0096338A">
        <w:rPr>
          <w:i/>
        </w:rPr>
        <w:t xml:space="preserve">openbair </w:t>
      </w:r>
      <w:r w:rsidR="00BA34B8" w:rsidRPr="0096338A">
        <w:t>naar voor komt.</w:t>
      </w:r>
      <w:r w:rsidR="00774828" w:rsidRPr="0096338A">
        <w:t xml:space="preserve"> </w:t>
      </w:r>
      <w:r w:rsidR="007F740D" w:rsidRPr="0096338A">
        <w:t xml:space="preserve">De restricties voor vrouwen om handschoenen te naaien en de duidelijke verwijzing naar het herhaaldelijk </w:t>
      </w:r>
      <w:r w:rsidR="00451432" w:rsidRPr="0096338A">
        <w:t>doo</w:t>
      </w:r>
      <w:r w:rsidR="00431DA0" w:rsidRPr="0096338A">
        <w:t>rbreken van deze regel in de</w:t>
      </w:r>
      <w:r w:rsidR="00451432" w:rsidRPr="0096338A">
        <w:t xml:space="preserve"> praktijk, </w:t>
      </w:r>
      <w:r w:rsidR="007F740D" w:rsidRPr="0096338A">
        <w:t>ligt in</w:t>
      </w:r>
      <w:r w:rsidR="00451432" w:rsidRPr="0096338A">
        <w:t xml:space="preserve"> de</w:t>
      </w:r>
      <w:r w:rsidR="007F740D" w:rsidRPr="0096338A">
        <w:t xml:space="preserve"> lijn </w:t>
      </w:r>
      <w:r w:rsidR="00451432" w:rsidRPr="0096338A">
        <w:t xml:space="preserve">van </w:t>
      </w:r>
      <w:r w:rsidR="007F740D" w:rsidRPr="0096338A">
        <w:t>de resultaten van Raymond Van Uytven. Volgens hem waren leren handschoenen een gegeerd product van de Leuvense markt en namen veel vrouwen deel aan de productie ervan.</w:t>
      </w:r>
      <w:r w:rsidR="002414C5" w:rsidRPr="0096338A">
        <w:rPr>
          <w:rStyle w:val="Voetnootmarkering"/>
        </w:rPr>
        <w:footnoteReference w:id="182"/>
      </w:r>
      <w:r w:rsidR="007F740D" w:rsidRPr="0096338A">
        <w:t xml:space="preserve"> De conclusie dat vrouwen in Leu</w:t>
      </w:r>
      <w:r w:rsidR="00083C27" w:rsidRPr="0096338A">
        <w:t>ven dus actief konden deelnemen aan</w:t>
      </w:r>
      <w:r w:rsidR="007F740D" w:rsidRPr="0096338A">
        <w:t xml:space="preserve"> het beroepsleven via de </w:t>
      </w:r>
      <w:r w:rsidR="00852787" w:rsidRPr="0096338A">
        <w:t>vrije</w:t>
      </w:r>
      <w:r w:rsidR="007F740D" w:rsidRPr="0096338A">
        <w:t xml:space="preserve"> markt</w:t>
      </w:r>
      <w:r w:rsidR="00083C27" w:rsidRPr="0096338A">
        <w:t xml:space="preserve">, bevestigd de reeds aangehaalde </w:t>
      </w:r>
      <w:r w:rsidR="00774828" w:rsidRPr="0096338A">
        <w:t>stellingen van nagenoeg elke historicus die de positie van de vrouw in de middeleeuwse markt onderzocht.</w:t>
      </w:r>
    </w:p>
    <w:p w:rsidR="00DB5940" w:rsidRPr="0096338A" w:rsidRDefault="00774828" w:rsidP="00DB5940">
      <w:r w:rsidRPr="0096338A">
        <w:tab/>
        <w:t xml:space="preserve">Een tweede bemerking belicht echter een lacune in het tot nu toe gevoerde onderzoek, namelijk de aard van de nijverheden die buiten het ambacht werden uitgeoefend. Deze studie concludeerde reeds dat de Leuvense ambachten met hoger prestige eveneens toegankelijk waren voor vrouwen. De wetgeving </w:t>
      </w:r>
      <w:r w:rsidR="004C571E" w:rsidRPr="0096338A">
        <w:t>met betrekking tot die</w:t>
      </w:r>
      <w:r w:rsidRPr="0096338A">
        <w:t xml:space="preserve"> </w:t>
      </w:r>
      <w:r w:rsidR="00431DA0" w:rsidRPr="0096338A">
        <w:t>ambachten vermeldt echter niets</w:t>
      </w:r>
      <w:r w:rsidRPr="0096338A">
        <w:t xml:space="preserve"> </w:t>
      </w:r>
      <w:r w:rsidRPr="0096338A">
        <w:lastRenderedPageBreak/>
        <w:t xml:space="preserve">over het uitvoeren van deze nijverheden buiten lidmaatschap </w:t>
      </w:r>
      <w:r w:rsidR="004E4123" w:rsidRPr="0096338A">
        <w:t>bij een</w:t>
      </w:r>
      <w:r w:rsidRPr="0096338A">
        <w:t xml:space="preserve"> corporatie</w:t>
      </w:r>
      <w:r w:rsidR="00753D31" w:rsidRPr="0096338A">
        <w:t>. Van Uytven stelde</w:t>
      </w:r>
      <w:r w:rsidR="00431DA0" w:rsidRPr="0096338A">
        <w:t xml:space="preserve">, zoals </w:t>
      </w:r>
      <w:r w:rsidRPr="0096338A">
        <w:t>eerder vermeld, dat het vleeshouwersambacht als rijkere groepering over een monopolie op de vleeshandel beschikte.</w:t>
      </w:r>
      <w:r w:rsidRPr="0096338A">
        <w:rPr>
          <w:rStyle w:val="Voetnootmarkering"/>
        </w:rPr>
        <w:footnoteReference w:id="183"/>
      </w:r>
      <w:r w:rsidRPr="0096338A">
        <w:t xml:space="preserve"> Niet enkel bevestigt deze studie zijn standpunt, het kan zelfs meer veralgemeend worden tot alle hogere ambachten. </w:t>
      </w:r>
      <w:r w:rsidR="00753D31" w:rsidRPr="0096338A">
        <w:t>Het valt namelijk op dat</w:t>
      </w:r>
      <w:r w:rsidR="00083C27" w:rsidRPr="0096338A">
        <w:t xml:space="preserve"> </w:t>
      </w:r>
      <w:r w:rsidR="000548A2" w:rsidRPr="0096338A">
        <w:t>uitspraken over</w:t>
      </w:r>
      <w:r w:rsidR="00753D31" w:rsidRPr="0096338A">
        <w:t xml:space="preserve"> de </w:t>
      </w:r>
      <w:r w:rsidR="00852787" w:rsidRPr="0096338A">
        <w:t>vrije</w:t>
      </w:r>
      <w:r w:rsidR="00753D31" w:rsidRPr="0096338A">
        <w:t xml:space="preserve"> markt </w:t>
      </w:r>
      <w:r w:rsidR="000548A2" w:rsidRPr="0096338A">
        <w:t>nooit verband houde</w:t>
      </w:r>
      <w:r w:rsidR="00083C27" w:rsidRPr="0096338A">
        <w:t>n met</w:t>
      </w:r>
      <w:r w:rsidR="00753D31" w:rsidRPr="0096338A">
        <w:t xml:space="preserve"> ambacht</w:t>
      </w:r>
      <w:r w:rsidR="0021128A" w:rsidRPr="0096338A">
        <w:t>en</w:t>
      </w:r>
      <w:r w:rsidR="00753D31" w:rsidRPr="0096338A">
        <w:t xml:space="preserve"> die volgens de eerder vermelde ordonnantie over de ommegangen van m</w:t>
      </w:r>
      <w:r w:rsidR="0021128A" w:rsidRPr="0096338A">
        <w:t>eer prestige geno</w:t>
      </w:r>
      <w:r w:rsidR="00753D31" w:rsidRPr="0096338A">
        <w:t>t</w:t>
      </w:r>
      <w:r w:rsidR="0021128A" w:rsidRPr="0096338A">
        <w:t>en</w:t>
      </w:r>
      <w:r w:rsidR="00753D31" w:rsidRPr="0096338A">
        <w:t>.</w:t>
      </w:r>
      <w:r w:rsidR="004E4123" w:rsidRPr="0096338A">
        <w:rPr>
          <w:rStyle w:val="Voetnootmarkering"/>
        </w:rPr>
        <w:footnoteReference w:id="184"/>
      </w:r>
      <w:r w:rsidR="00753D31" w:rsidRPr="0096338A">
        <w:t xml:space="preserve"> </w:t>
      </w:r>
      <w:r w:rsidRPr="0096338A">
        <w:t>Een uitzondering hierop zijn de visverkopers, waar</w:t>
      </w:r>
      <w:r w:rsidR="00083C27" w:rsidRPr="0096338A">
        <w:t>over later meer.</w:t>
      </w:r>
    </w:p>
    <w:p w:rsidR="00774828" w:rsidRPr="0096338A" w:rsidRDefault="00774828" w:rsidP="00DB5940">
      <w:pPr>
        <w:ind w:firstLine="708"/>
      </w:pPr>
      <w:r w:rsidRPr="0096338A">
        <w:t xml:space="preserve">De beroepen die vrouwen wel uitoefenden buiten de ambachten om, bevestigen de </w:t>
      </w:r>
      <w:r w:rsidR="004F3C17" w:rsidRPr="0096338A">
        <w:t>beweringen</w:t>
      </w:r>
      <w:r w:rsidRPr="0096338A">
        <w:t xml:space="preserve"> van auteurs als David Nicholas, die stellen dat</w:t>
      </w:r>
      <w:r w:rsidR="00083C27" w:rsidRPr="0096338A">
        <w:t xml:space="preserve"> vrouwen voornamelijk producten voor</w:t>
      </w:r>
      <w:r w:rsidR="000548A2" w:rsidRPr="0096338A">
        <w:t xml:space="preserve"> </w:t>
      </w:r>
      <w:r w:rsidRPr="0096338A">
        <w:t>het huishoudelijke leven op de markt brachten.</w:t>
      </w:r>
      <w:r w:rsidRPr="0096338A">
        <w:rPr>
          <w:rStyle w:val="Voetnootmarkering"/>
        </w:rPr>
        <w:footnoteReference w:id="185"/>
      </w:r>
      <w:r w:rsidRPr="0096338A">
        <w:t xml:space="preserve"> Een ambacht waarbinnen de wetgeving tegen de </w:t>
      </w:r>
      <w:r w:rsidR="00852787" w:rsidRPr="0096338A">
        <w:t>vrije</w:t>
      </w:r>
      <w:r w:rsidRPr="0096338A">
        <w:t xml:space="preserve"> markt sterk opvalt, is het barbiersambacht. </w:t>
      </w:r>
      <w:r w:rsidR="004E4123" w:rsidRPr="0096338A">
        <w:t>Vrouwen mochten geen lid worden de deze corporatie en de praktijk leek de norm ook te volgen, zoals een eerder thema reeds aantoonde.</w:t>
      </w:r>
      <w:r w:rsidR="004E4123" w:rsidRPr="0096338A">
        <w:rPr>
          <w:rStyle w:val="Voetnootmarkering"/>
        </w:rPr>
        <w:footnoteReference w:id="186"/>
      </w:r>
      <w:r w:rsidRPr="0096338A">
        <w:t xml:space="preserve"> De beslissing dat iedereen, man</w:t>
      </w:r>
      <w:r w:rsidR="00083C27" w:rsidRPr="0096338A">
        <w:t xml:space="preserve"> of vrouw</w:t>
      </w:r>
      <w:r w:rsidRPr="0096338A">
        <w:t>, die buiten het ambacht om werkt een halve Hollandse gulden boete moet betalen, kan dus verbazen.</w:t>
      </w:r>
      <w:r w:rsidRPr="0096338A">
        <w:rPr>
          <w:rStyle w:val="Voetnootmarkering"/>
        </w:rPr>
        <w:footnoteReference w:id="187"/>
      </w:r>
      <w:r w:rsidRPr="0096338A">
        <w:t xml:space="preserve"> Ook voor de tassenmakers zijn dergelijke ordonnanties te vinden.</w:t>
      </w:r>
      <w:r w:rsidR="00083C27" w:rsidRPr="0096338A">
        <w:t xml:space="preserve"> Hoewel dit ambacht, zoals reeds besproken, </w:t>
      </w:r>
      <w:r w:rsidR="001B3367" w:rsidRPr="0096338A">
        <w:t>een minder strikt verbod voor vrouwen oplegde</w:t>
      </w:r>
      <w:r w:rsidR="00083C27" w:rsidRPr="0096338A">
        <w:t xml:space="preserve">, </w:t>
      </w:r>
      <w:r w:rsidR="001B3367" w:rsidRPr="0096338A">
        <w:t>valt het op da</w:t>
      </w:r>
      <w:r w:rsidR="00083C27" w:rsidRPr="0096338A">
        <w:t>t</w:t>
      </w:r>
      <w:r w:rsidR="001B3367" w:rsidRPr="0096338A">
        <w:t xml:space="preserve"> vrouwen erg actief leken in de uitoefening van dit beroep op de informele markt</w:t>
      </w:r>
      <w:r w:rsidRPr="0096338A">
        <w:t>.</w:t>
      </w:r>
      <w:r w:rsidRPr="0096338A">
        <w:rPr>
          <w:rStyle w:val="Voetnootmarkering"/>
        </w:rPr>
        <w:footnoteReference w:id="188"/>
      </w:r>
      <w:r w:rsidRPr="0096338A">
        <w:t xml:space="preserve"> </w:t>
      </w:r>
      <w:r w:rsidR="00F52014" w:rsidRPr="0096338A">
        <w:t>Bijlage twee</w:t>
      </w:r>
      <w:r w:rsidR="00083C27" w:rsidRPr="0096338A">
        <w:t xml:space="preserve"> geeft zicht op door vrouwen opgenomen takken in verschillende nijverheden. Die arbeid vond niet alleen plaats binnen, maar ook soms buiten de ambachtskring. </w:t>
      </w:r>
      <w:r w:rsidR="00DB5940" w:rsidRPr="0096338A">
        <w:t>Deze studie nuanceer</w:t>
      </w:r>
      <w:r w:rsidR="00083C27" w:rsidRPr="0096338A">
        <w:t>t</w:t>
      </w:r>
      <w:r w:rsidR="00DB5940" w:rsidRPr="0096338A">
        <w:t xml:space="preserve"> de bevindingen van eerdere onderzoeken</w:t>
      </w:r>
      <w:r w:rsidR="00083C27" w:rsidRPr="0096338A">
        <w:t xml:space="preserve"> door de vaststelling dat vrouwen in Leuven konden deelnemen aan ambachten die niet enkel huishoudelijke taken omvatten. </w:t>
      </w:r>
      <w:r w:rsidR="00F45828" w:rsidRPr="0096338A">
        <w:t>Als het echter gaat over</w:t>
      </w:r>
      <w:r w:rsidR="00083C27" w:rsidRPr="0096338A">
        <w:t xml:space="preserve"> </w:t>
      </w:r>
      <w:r w:rsidR="00DB5940" w:rsidRPr="0096338A">
        <w:t xml:space="preserve">de </w:t>
      </w:r>
      <w:r w:rsidR="00852787" w:rsidRPr="0096338A">
        <w:t>vrije</w:t>
      </w:r>
      <w:r w:rsidR="00DB5940" w:rsidRPr="0096338A">
        <w:t xml:space="preserve"> markt</w:t>
      </w:r>
      <w:r w:rsidR="00083C27" w:rsidRPr="0096338A">
        <w:t xml:space="preserve">, </w:t>
      </w:r>
      <w:r w:rsidR="00DB5940" w:rsidRPr="0096338A">
        <w:t>lijk</w:t>
      </w:r>
      <w:r w:rsidR="00F45828" w:rsidRPr="0096338A">
        <w:t>en de Leuvense bronnen eerdere studies te bevestigen:</w:t>
      </w:r>
      <w:r w:rsidR="00AD0420" w:rsidRPr="0096338A">
        <w:t xml:space="preserve"> vrouwen waren vooral actief in op het huishouden gerichte nijverheden.</w:t>
      </w:r>
      <w:r w:rsidR="00DB5940" w:rsidRPr="0096338A">
        <w:t xml:space="preserve"> </w:t>
      </w:r>
    </w:p>
    <w:p w:rsidR="00774828" w:rsidRPr="0096338A" w:rsidRDefault="00774828" w:rsidP="00774828">
      <w:r w:rsidRPr="0096338A">
        <w:tab/>
        <w:t>Rodney Howard Hilton</w:t>
      </w:r>
      <w:r w:rsidR="00C705C1" w:rsidRPr="0096338A">
        <w:t xml:space="preserve"> </w:t>
      </w:r>
      <w:r w:rsidRPr="0096338A">
        <w:t xml:space="preserve">gaf aan dat de stadsbevolking deze </w:t>
      </w:r>
      <w:r w:rsidR="00852787" w:rsidRPr="0096338A">
        <w:t>buiten-ambachtelijke</w:t>
      </w:r>
      <w:r w:rsidRPr="0096338A">
        <w:t xml:space="preserve"> activiteiten uitvoerde om op die manier aan belastingen te ontkomen.</w:t>
      </w:r>
      <w:r w:rsidRPr="0096338A">
        <w:rPr>
          <w:rStyle w:val="Voetnootmarkering"/>
        </w:rPr>
        <w:footnoteReference w:id="189"/>
      </w:r>
      <w:r w:rsidR="00964CFC" w:rsidRPr="0096338A">
        <w:t xml:space="preserve"> Die</w:t>
      </w:r>
      <w:r w:rsidR="00431DA0" w:rsidRPr="0096338A">
        <w:t xml:space="preserve"> verklaring </w:t>
      </w:r>
      <w:r w:rsidRPr="0096338A">
        <w:t xml:space="preserve">is plausibel en er zijn ook argumenten voor te vinden binnen de Leuvense stadsordonnanties. </w:t>
      </w:r>
      <w:r w:rsidR="00964CFC" w:rsidRPr="0096338A">
        <w:t xml:space="preserve">Zo besliste de stadsraad dat </w:t>
      </w:r>
      <w:r w:rsidRPr="0096338A">
        <w:t xml:space="preserve">vrouwen die </w:t>
      </w:r>
      <w:r w:rsidR="00AD0420" w:rsidRPr="0096338A">
        <w:t xml:space="preserve">zonder lidmaatschap </w:t>
      </w:r>
      <w:r w:rsidRPr="0096338A">
        <w:t>het beroep van de kleermaker uitoefenen</w:t>
      </w:r>
      <w:r w:rsidR="00AD0420" w:rsidRPr="0096338A">
        <w:t>,</w:t>
      </w:r>
      <w:r w:rsidRPr="0096338A">
        <w:t xml:space="preserve"> het ambacht wekelijks twaalf mijten</w:t>
      </w:r>
      <w:r w:rsidR="00DB5940" w:rsidRPr="0096338A">
        <w:t xml:space="preserve"> moesten</w:t>
      </w:r>
      <w:r w:rsidRPr="0096338A">
        <w:t xml:space="preserve"> betalen.</w:t>
      </w:r>
      <w:r w:rsidRPr="0096338A">
        <w:rPr>
          <w:rStyle w:val="Voetnootmarkering"/>
        </w:rPr>
        <w:footnoteReference w:id="190"/>
      </w:r>
      <w:r w:rsidRPr="0096338A">
        <w:t xml:space="preserve"> </w:t>
      </w:r>
      <w:r w:rsidR="00F52014" w:rsidRPr="0096338A">
        <w:t xml:space="preserve">De stadsraad gedoogd in </w:t>
      </w:r>
      <w:r w:rsidR="00F52014" w:rsidRPr="0096338A">
        <w:lastRenderedPageBreak/>
        <w:t>die ordonnantie de informele markt</w:t>
      </w:r>
      <w:r w:rsidRPr="0096338A">
        <w:t>, al gaat het hier duidelijk om geldelijk profijt voor het ambacht en niet voor het stadsbestuur. De boete van één Hollandse gulden die gekoppeld was aan het uitoefenen van het oude klerenkopersambacht ging echter gedeeltelijk naar de stadsraad.</w:t>
      </w:r>
      <w:r w:rsidRPr="0096338A">
        <w:rPr>
          <w:rStyle w:val="Voetnootmarkering"/>
        </w:rPr>
        <w:footnoteReference w:id="191"/>
      </w:r>
      <w:r w:rsidR="00DB5940" w:rsidRPr="0096338A">
        <w:t xml:space="preserve"> Hoewel de </w:t>
      </w:r>
      <w:r w:rsidR="00F5182C" w:rsidRPr="0096338A">
        <w:t>wetgevende</w:t>
      </w:r>
      <w:r w:rsidR="00DB5940" w:rsidRPr="0096338A">
        <w:t xml:space="preserve"> groepen in Leuven</w:t>
      </w:r>
      <w:r w:rsidR="00083C27" w:rsidRPr="0096338A">
        <w:t xml:space="preserve"> – de </w:t>
      </w:r>
      <w:r w:rsidR="00DB5940" w:rsidRPr="0096338A">
        <w:t>stadsraad en de ambachten</w:t>
      </w:r>
      <w:r w:rsidR="00083C27" w:rsidRPr="0096338A">
        <w:t xml:space="preserve"> – dit </w:t>
      </w:r>
      <w:r w:rsidR="00DB5940" w:rsidRPr="0096338A">
        <w:t xml:space="preserve">probeerden te beperkten, haalden verkopers </w:t>
      </w:r>
      <w:r w:rsidR="00F5182C" w:rsidRPr="0096338A">
        <w:t>op</w:t>
      </w:r>
      <w:r w:rsidR="00DB5940" w:rsidRPr="0096338A">
        <w:t xml:space="preserve"> de </w:t>
      </w:r>
      <w:r w:rsidR="00852787" w:rsidRPr="0096338A">
        <w:t>vrije</w:t>
      </w:r>
      <w:r w:rsidR="00DB5940" w:rsidRPr="0096338A">
        <w:t xml:space="preserve"> markt </w:t>
      </w:r>
      <w:r w:rsidR="00430262" w:rsidRPr="0096338A">
        <w:t xml:space="preserve">dus </w:t>
      </w:r>
      <w:r w:rsidR="00DB5940" w:rsidRPr="0096338A">
        <w:t>waarschijnlijk fiscale voordelen uit de verkoop buiten de ambachten.</w:t>
      </w:r>
      <w:r w:rsidRPr="0096338A">
        <w:t xml:space="preserve"> Een belangrijke </w:t>
      </w:r>
      <w:r w:rsidR="00430262" w:rsidRPr="0096338A">
        <w:t xml:space="preserve">nuance </w:t>
      </w:r>
      <w:r w:rsidRPr="0096338A">
        <w:t xml:space="preserve">is dat er een </w:t>
      </w:r>
      <w:r w:rsidR="00430262" w:rsidRPr="0096338A">
        <w:t xml:space="preserve">onderscheid </w:t>
      </w:r>
      <w:r w:rsidR="00F5182C" w:rsidRPr="0096338A">
        <w:t xml:space="preserve">nodig is </w:t>
      </w:r>
      <w:r w:rsidRPr="0096338A">
        <w:t>tussen buiten de</w:t>
      </w:r>
      <w:r w:rsidR="00430262" w:rsidRPr="0096338A">
        <w:t xml:space="preserve"> verkoop buiten de</w:t>
      </w:r>
      <w:r w:rsidRPr="0096338A">
        <w:t xml:space="preserve"> ambachten</w:t>
      </w:r>
      <w:r w:rsidR="0095119F" w:rsidRPr="0096338A">
        <w:t xml:space="preserve"> en buiten de stadswetgeving om</w:t>
      </w:r>
      <w:r w:rsidRPr="0096338A">
        <w:t xml:space="preserve">. De twee gegeven voorbeelden </w:t>
      </w:r>
      <w:r w:rsidR="00431DA0" w:rsidRPr="0096338A">
        <w:t>gaan over</w:t>
      </w:r>
      <w:r w:rsidRPr="0096338A">
        <w:t xml:space="preserve"> inkomsten</w:t>
      </w:r>
      <w:r w:rsidR="00430262" w:rsidRPr="0096338A">
        <w:t xml:space="preserve"> die</w:t>
      </w:r>
      <w:r w:rsidRPr="0096338A">
        <w:t xml:space="preserve"> </w:t>
      </w:r>
      <w:r w:rsidR="00083C27" w:rsidRPr="0096338A">
        <w:t>de ambachten</w:t>
      </w:r>
      <w:r w:rsidR="00430262" w:rsidRPr="0096338A">
        <w:t xml:space="preserve"> </w:t>
      </w:r>
      <w:r w:rsidR="00083C27" w:rsidRPr="0096338A">
        <w:t>mislopen</w:t>
      </w:r>
      <w:r w:rsidRPr="0096338A">
        <w:t xml:space="preserve"> door de </w:t>
      </w:r>
      <w:r w:rsidR="00852787" w:rsidRPr="0096338A">
        <w:t>vrije</w:t>
      </w:r>
      <w:r w:rsidRPr="0096338A">
        <w:t xml:space="preserve"> markt. De wetgeving o</w:t>
      </w:r>
      <w:r w:rsidR="00430262" w:rsidRPr="0096338A">
        <w:t>ver</w:t>
      </w:r>
      <w:r w:rsidRPr="0096338A">
        <w:t xml:space="preserve"> de Leuvense</w:t>
      </w:r>
      <w:r w:rsidR="00431DA0" w:rsidRPr="0096338A">
        <w:t xml:space="preserve"> vismarkt toont echter eveneens</w:t>
      </w:r>
      <w:r w:rsidRPr="0096338A">
        <w:t xml:space="preserve"> aan</w:t>
      </w:r>
      <w:r w:rsidR="00430262" w:rsidRPr="0096338A">
        <w:t xml:space="preserve"> dat ook </w:t>
      </w:r>
      <w:r w:rsidR="00F52014" w:rsidRPr="0096338A">
        <w:t>het inkomen van de stad</w:t>
      </w:r>
      <w:r w:rsidR="00430262" w:rsidRPr="0096338A">
        <w:t xml:space="preserve"> in het geding is</w:t>
      </w:r>
      <w:r w:rsidRPr="0096338A">
        <w:t xml:space="preserve">: </w:t>
      </w:r>
    </w:p>
    <w:p w:rsidR="00774828" w:rsidRPr="0096338A" w:rsidRDefault="00774828" w:rsidP="00774828">
      <w:pPr>
        <w:ind w:left="705"/>
      </w:pPr>
      <w:r w:rsidRPr="0096338A">
        <w:rPr>
          <w:i/>
        </w:rPr>
        <w:t>Item dat nyemant man noch wijf wie hi sij den ghenen die visch harync of botsoren te lovene te co</w:t>
      </w:r>
      <w:r w:rsidR="00FF15DF" w:rsidRPr="0096338A">
        <w:rPr>
          <w:i/>
        </w:rPr>
        <w:t>e</w:t>
      </w:r>
      <w:r w:rsidRPr="0096338A">
        <w:rPr>
          <w:i/>
        </w:rPr>
        <w:t xml:space="preserve">pe brengen of doen brengen </w:t>
      </w:r>
      <w:r w:rsidR="00F5182C" w:rsidRPr="0096338A">
        <w:rPr>
          <w:i/>
        </w:rPr>
        <w:t>[…] deraen st</w:t>
      </w:r>
      <w:r w:rsidRPr="0096338A">
        <w:rPr>
          <w:i/>
        </w:rPr>
        <w:t>aen opte vischmarct noch esswaer om te coepen voer der tijt dat tgoet op</w:t>
      </w:r>
      <w:r w:rsidR="00381BEA" w:rsidRPr="0096338A">
        <w:rPr>
          <w:i/>
        </w:rPr>
        <w:t xml:space="preserve"> </w:t>
      </w:r>
      <w:r w:rsidRPr="0096338A">
        <w:rPr>
          <w:i/>
        </w:rPr>
        <w:t>te vischmarct afgeset ende ontladen sal sijn.</w:t>
      </w:r>
      <w:r w:rsidRPr="0096338A">
        <w:rPr>
          <w:rStyle w:val="Voetnootmarkering"/>
        </w:rPr>
        <w:footnoteReference w:id="192"/>
      </w:r>
    </w:p>
    <w:p w:rsidR="00774828" w:rsidRPr="0096338A" w:rsidRDefault="00F5182C" w:rsidP="00774828">
      <w:r w:rsidRPr="0096338A">
        <w:t xml:space="preserve">Mensen mochten dus niet beginnen met hun verkoop vooraleer ze op de vismarkt </w:t>
      </w:r>
      <w:r w:rsidR="001D3C72" w:rsidRPr="0096338A">
        <w:t>waren aangekomen</w:t>
      </w:r>
      <w:r w:rsidRPr="0096338A">
        <w:t xml:space="preserve">. </w:t>
      </w:r>
      <w:r w:rsidR="00774828" w:rsidRPr="0096338A">
        <w:t xml:space="preserve">De stadsraad wil duidelijk een overzicht </w:t>
      </w:r>
      <w:r w:rsidR="00430262" w:rsidRPr="0096338A">
        <w:t xml:space="preserve">hebben over </w:t>
      </w:r>
      <w:r w:rsidR="002659F1" w:rsidRPr="0096338A">
        <w:t>het volledige gamma aan economische</w:t>
      </w:r>
      <w:r w:rsidR="00F52014" w:rsidRPr="0096338A">
        <w:t xml:space="preserve"> </w:t>
      </w:r>
      <w:r w:rsidR="00430262" w:rsidRPr="0096338A">
        <w:t>activiteiten</w:t>
      </w:r>
      <w:r w:rsidR="00F52014" w:rsidRPr="0096338A">
        <w:t xml:space="preserve"> binnen Leuven</w:t>
      </w:r>
      <w:r w:rsidR="00430262" w:rsidRPr="0096338A">
        <w:t xml:space="preserve">, </w:t>
      </w:r>
      <w:r w:rsidR="00774828" w:rsidRPr="0096338A">
        <w:t>om het te kunnen controleren en er taksen op te kunnen</w:t>
      </w:r>
      <w:r w:rsidR="00F52014" w:rsidRPr="0096338A">
        <w:t xml:space="preserve"> heffen, zoals Hilton dus stelt</w:t>
      </w:r>
      <w:r w:rsidRPr="0096338A">
        <w:t>. In een andere ordonnantie verkondigt de stadsraad dat de verkoop op de vismarkt slechts mag aanvangen vanaf tien uur, wat ook weer de mogelijkheid tot controle opleverde</w:t>
      </w:r>
      <w:r w:rsidR="00774828" w:rsidRPr="0096338A">
        <w:t>.</w:t>
      </w:r>
      <w:r w:rsidRPr="0096338A">
        <w:rPr>
          <w:rStyle w:val="Voetnootmarkering"/>
        </w:rPr>
        <w:footnoteReference w:id="193"/>
      </w:r>
    </w:p>
    <w:p w:rsidR="00774828" w:rsidRPr="0096338A" w:rsidRDefault="00774828" w:rsidP="00774828">
      <w:r w:rsidRPr="0096338A">
        <w:t xml:space="preserve"> </w:t>
      </w:r>
      <w:r w:rsidRPr="0096338A">
        <w:tab/>
        <w:t>Naast regulering in verband met de vereiste taksen</w:t>
      </w:r>
      <w:r w:rsidR="002659F1" w:rsidRPr="0096338A">
        <w:t>,</w:t>
      </w:r>
      <w:r w:rsidRPr="0096338A">
        <w:t xml:space="preserve"> legde de stadsraad echter nog </w:t>
      </w:r>
      <w:r w:rsidR="001D3C72" w:rsidRPr="0096338A">
        <w:t>andere restricties op voor</w:t>
      </w:r>
      <w:r w:rsidRPr="0096338A">
        <w:t xml:space="preserve"> verkopers</w:t>
      </w:r>
      <w:r w:rsidR="001D3C72" w:rsidRPr="0096338A">
        <w:t xml:space="preserve"> die niet tot een corporatie behoorden</w:t>
      </w:r>
      <w:r w:rsidRPr="0096338A">
        <w:t xml:space="preserve">. Enkele specifieke wetten </w:t>
      </w:r>
      <w:r w:rsidR="00484FF3" w:rsidRPr="0096338A">
        <w:t>begrensden</w:t>
      </w:r>
      <w:r w:rsidRPr="0096338A">
        <w:t xml:space="preserve"> de producten die buiten het ambacht om verkocht mochten worden, zoals het verbod op het verkopen van peperkoek voor iedereen behalve de kruideniers, </w:t>
      </w:r>
      <w:r w:rsidR="001D3C72" w:rsidRPr="0096338A">
        <w:t>wie</w:t>
      </w:r>
      <w:r w:rsidR="00E24019" w:rsidRPr="0096338A">
        <w:t>r</w:t>
      </w:r>
      <w:r w:rsidR="001D3C72" w:rsidRPr="0096338A">
        <w:t xml:space="preserve"> statuten bij die van de meerseniers stonden opgelijst</w:t>
      </w:r>
      <w:r w:rsidRPr="0096338A">
        <w:t>.</w:t>
      </w:r>
      <w:r w:rsidR="00F52014" w:rsidRPr="0096338A">
        <w:rPr>
          <w:rStyle w:val="Voetnootmarkering"/>
        </w:rPr>
        <w:footnoteReference w:id="194"/>
      </w:r>
      <w:r w:rsidR="00F52014" w:rsidRPr="0096338A">
        <w:t xml:space="preserve"> </w:t>
      </w:r>
      <w:r w:rsidRPr="0096338A">
        <w:t>Maar de stadsordonnanties bevestigen voornamelijk het bestaan van een vrije marktdag.</w:t>
      </w:r>
      <w:r w:rsidR="00F52014" w:rsidRPr="0096338A">
        <w:t xml:space="preserve"> </w:t>
      </w:r>
      <w:r w:rsidRPr="0096338A">
        <w:t xml:space="preserve">De Leuvense stadsraad poogde de vrije verkoop te belemmeren, maar slaagde </w:t>
      </w:r>
      <w:r w:rsidR="00E24019" w:rsidRPr="0096338A">
        <w:t xml:space="preserve">er </w:t>
      </w:r>
      <w:r w:rsidRPr="0096338A">
        <w:t xml:space="preserve">duidelijk niet </w:t>
      </w:r>
      <w:r w:rsidR="00E24019" w:rsidRPr="0096338A">
        <w:t xml:space="preserve">in </w:t>
      </w:r>
      <w:r w:rsidR="00484FF3" w:rsidRPr="0096338A">
        <w:t xml:space="preserve">een </w:t>
      </w:r>
      <w:r w:rsidRPr="0096338A">
        <w:t>markt van</w:t>
      </w:r>
      <w:r w:rsidR="00484FF3" w:rsidRPr="0096338A">
        <w:t xml:space="preserve"> louter</w:t>
      </w:r>
      <w:r w:rsidRPr="0096338A">
        <w:t xml:space="preserve"> ambachten te creëren. </w:t>
      </w:r>
      <w:r w:rsidR="00484FF3" w:rsidRPr="0096338A">
        <w:t>Hierdoor</w:t>
      </w:r>
      <w:r w:rsidR="00431DA0" w:rsidRPr="0096338A">
        <w:t xml:space="preserve"> liet ze een</w:t>
      </w:r>
      <w:r w:rsidR="00E24019" w:rsidRPr="0096338A">
        <w:t xml:space="preserve"> kans open </w:t>
      </w:r>
      <w:r w:rsidRPr="0096338A">
        <w:t>voor mensen buiten het ambacht in de vorm van de vrije marktdag, die waarschijnlijk steeds op maandag plaatsvond.</w:t>
      </w:r>
      <w:r w:rsidR="00F52014" w:rsidRPr="0096338A">
        <w:t xml:space="preserve"> Hierbij gaat het mogelijks </w:t>
      </w:r>
      <w:r w:rsidR="00F52014" w:rsidRPr="0096338A">
        <w:lastRenderedPageBreak/>
        <w:t>om een organisch gegroeide traditie, waar het stadsbestuur toch een vorm van controle op wilde hebben.</w:t>
      </w:r>
      <w:r w:rsidRPr="0096338A">
        <w:t xml:space="preserve"> Zo beslist de raad </w:t>
      </w:r>
      <w:r w:rsidR="00FF15DF" w:rsidRPr="0096338A">
        <w:t>in 1416</w:t>
      </w:r>
      <w:r w:rsidRPr="0096338A">
        <w:t xml:space="preserve"> bijvoorbeeld: </w:t>
      </w:r>
    </w:p>
    <w:p w:rsidR="00774828" w:rsidRPr="0096338A" w:rsidRDefault="00FF15DF" w:rsidP="00774828">
      <w:pPr>
        <w:ind w:left="705"/>
      </w:pPr>
      <w:r w:rsidRPr="0096338A">
        <w:rPr>
          <w:i/>
        </w:rPr>
        <w:t>Item dat ny</w:t>
      </w:r>
      <w:r w:rsidR="00774828" w:rsidRPr="0096338A">
        <w:rPr>
          <w:i/>
        </w:rPr>
        <w:t>emant van bu</w:t>
      </w:r>
      <w:r w:rsidRPr="0096338A">
        <w:rPr>
          <w:i/>
        </w:rPr>
        <w:t>y</w:t>
      </w:r>
      <w:r w:rsidR="00774828" w:rsidRPr="0096338A">
        <w:rPr>
          <w:i/>
        </w:rPr>
        <w:t>ten of van bynnen dye int ambacht van</w:t>
      </w:r>
      <w:r w:rsidR="00381BEA" w:rsidRPr="0096338A">
        <w:rPr>
          <w:i/>
        </w:rPr>
        <w:t xml:space="preserve"> </w:t>
      </w:r>
      <w:r w:rsidR="00774828" w:rsidRPr="0096338A">
        <w:rPr>
          <w:i/>
        </w:rPr>
        <w:t>de mandemakers nyet en is mannen oft wijven of duergelijcke den ambacht van</w:t>
      </w:r>
      <w:r w:rsidR="00381BEA" w:rsidRPr="0096338A">
        <w:rPr>
          <w:i/>
        </w:rPr>
        <w:t xml:space="preserve"> </w:t>
      </w:r>
      <w:r w:rsidR="00774828" w:rsidRPr="0096338A">
        <w:rPr>
          <w:i/>
        </w:rPr>
        <w:t>den mandemakers aengaende coopen of vercoopen en sal anders dan op den vrijen marcktdag.</w:t>
      </w:r>
      <w:r w:rsidR="00774828" w:rsidRPr="0096338A">
        <w:rPr>
          <w:rStyle w:val="Voetnootmarkering"/>
        </w:rPr>
        <w:footnoteReference w:id="195"/>
      </w:r>
    </w:p>
    <w:p w:rsidR="00774828" w:rsidRPr="0096338A" w:rsidRDefault="004C62BA" w:rsidP="00774828">
      <w:r w:rsidRPr="0096338A">
        <w:t xml:space="preserve">Iedereen die niet in het mandenmakersambacht zat, mocht slechts op de vrije marktdag goederen van dit ambacht verkopen. Andere beslissingen tonen aan dat de raad voornamelijk de dagelijkse verkoop </w:t>
      </w:r>
      <w:r w:rsidR="00E24019" w:rsidRPr="0096338A">
        <w:t xml:space="preserve">wilde afremmen </w:t>
      </w:r>
      <w:r w:rsidRPr="0096338A">
        <w:t>van producten</w:t>
      </w:r>
      <w:r w:rsidR="00F52014" w:rsidRPr="0096338A">
        <w:t xml:space="preserve"> die werden</w:t>
      </w:r>
      <w:r w:rsidR="00E24019" w:rsidRPr="0096338A">
        <w:t xml:space="preserve"> aangemaakt</w:t>
      </w:r>
      <w:r w:rsidRPr="0096338A">
        <w:t xml:space="preserve"> </w:t>
      </w:r>
      <w:r w:rsidR="00E24019" w:rsidRPr="0096338A">
        <w:t>buite</w:t>
      </w:r>
      <w:r w:rsidR="002659F1" w:rsidRPr="0096338A">
        <w:t xml:space="preserve">n het daartoe bevoegde ambacht. </w:t>
      </w:r>
      <w:r w:rsidRPr="0096338A">
        <w:t>De fruiteniers pleitten</w:t>
      </w:r>
      <w:r w:rsidR="00774828" w:rsidRPr="0096338A">
        <w:t xml:space="preserve"> bijvoorbeeld </w:t>
      </w:r>
      <w:r w:rsidRPr="0096338A">
        <w:t>voor een verbod op de dagelijkse verkoop van fruit</w:t>
      </w:r>
      <w:r w:rsidR="00E24019" w:rsidRPr="0096338A">
        <w:t xml:space="preserve"> voor producenten die niet in</w:t>
      </w:r>
      <w:r w:rsidRPr="0096338A">
        <w:t xml:space="preserve"> het ambacht </w:t>
      </w:r>
      <w:r w:rsidR="002659F1" w:rsidRPr="0096338A">
        <w:t>zaten</w:t>
      </w:r>
      <w:r w:rsidR="00E24019" w:rsidRPr="0096338A">
        <w:t>;</w:t>
      </w:r>
      <w:r w:rsidR="001D3C72" w:rsidRPr="0096338A">
        <w:t xml:space="preserve"> enkel de vrije marktdag liet </w:t>
      </w:r>
      <w:r w:rsidR="00E24019" w:rsidRPr="0096338A">
        <w:t xml:space="preserve">deze verkoop </w:t>
      </w:r>
      <w:r w:rsidR="001D3C72" w:rsidRPr="0096338A">
        <w:t xml:space="preserve">nog toe. Daarenboven </w:t>
      </w:r>
      <w:r w:rsidR="00E24019" w:rsidRPr="0096338A">
        <w:t xml:space="preserve">kregen </w:t>
      </w:r>
      <w:r w:rsidR="001D3C72" w:rsidRPr="0096338A">
        <w:t xml:space="preserve">vrouwen die fruit buiten het ambacht verkochten enkel </w:t>
      </w:r>
      <w:r w:rsidR="00E24019" w:rsidRPr="0096338A">
        <w:t xml:space="preserve">toestemming daarvoor </w:t>
      </w:r>
      <w:r w:rsidR="001D3C72" w:rsidRPr="0096338A">
        <w:t>wanneer ze dit</w:t>
      </w:r>
      <w:r w:rsidR="002659F1" w:rsidRPr="0096338A">
        <w:t xml:space="preserve"> fruit </w:t>
      </w:r>
      <w:r w:rsidR="001D3C72" w:rsidRPr="0096338A">
        <w:t>aankochten van een fruitenier binnen het ambacht</w:t>
      </w:r>
      <w:r w:rsidR="00774828" w:rsidRPr="0096338A">
        <w:t>.</w:t>
      </w:r>
      <w:r w:rsidR="00774828" w:rsidRPr="0096338A">
        <w:rPr>
          <w:rStyle w:val="Voetnootmarkering"/>
        </w:rPr>
        <w:footnoteReference w:id="196"/>
      </w:r>
      <w:r w:rsidR="00F52014" w:rsidRPr="0096338A">
        <w:t xml:space="preserve"> Het ging waarschijnlijk dus om kleinschalige verkoopsactiviteiten.</w:t>
      </w:r>
    </w:p>
    <w:p w:rsidR="00774828" w:rsidRPr="0096338A" w:rsidRDefault="00774828" w:rsidP="00774828">
      <w:r w:rsidRPr="0096338A">
        <w:tab/>
        <w:t xml:space="preserve">De Leuvenaars hadden echter </w:t>
      </w:r>
      <w:r w:rsidR="002659F1" w:rsidRPr="0096338A">
        <w:t>meer</w:t>
      </w:r>
      <w:r w:rsidRPr="0096338A">
        <w:t xml:space="preserve"> mogelijkheden om </w:t>
      </w:r>
      <w:r w:rsidR="005E58C5" w:rsidRPr="0096338A">
        <w:t xml:space="preserve">op andere tijdstippen dan de vrije marktdag </w:t>
      </w:r>
      <w:r w:rsidRPr="0096338A">
        <w:t>het beroep van een bepaald ambacht uit te oefenen. Het middeleeuwse kerk</w:t>
      </w:r>
      <w:r w:rsidR="00243A75" w:rsidRPr="0096338A">
        <w:t>hof vormde volgens Van Uytven</w:t>
      </w:r>
      <w:r w:rsidRPr="0096338A">
        <w:t xml:space="preserve"> niet enkel een plaats van religieuze</w:t>
      </w:r>
      <w:r w:rsidR="002659F1" w:rsidRPr="0096338A">
        <w:t xml:space="preserve"> activiteiten</w:t>
      </w:r>
      <w:r w:rsidRPr="0096338A">
        <w:t xml:space="preserve">, het was eveneens een sociale </w:t>
      </w:r>
      <w:r w:rsidR="00F52014" w:rsidRPr="0096338A">
        <w:t>omgeving, waar bijvoorbeeld d</w:t>
      </w:r>
      <w:r w:rsidR="002659F1" w:rsidRPr="0096338A">
        <w:t xml:space="preserve">e loterijen </w:t>
      </w:r>
      <w:r w:rsidR="00F52014" w:rsidRPr="0096338A">
        <w:t>plaatsvonden</w:t>
      </w:r>
      <w:r w:rsidRPr="0096338A">
        <w:t>.</w:t>
      </w:r>
      <w:r w:rsidRPr="0096338A">
        <w:rPr>
          <w:rStyle w:val="Voetnootmarkering"/>
        </w:rPr>
        <w:footnoteReference w:id="197"/>
      </w:r>
      <w:r w:rsidRPr="0096338A">
        <w:t xml:space="preserve"> Een analyse van de stadsordonnanties toont aan dat het kerkhof net zo goed kon dienen als marktplaats. De stadsraad maakt</w:t>
      </w:r>
      <w:r w:rsidR="002659F1" w:rsidRPr="0096338A">
        <w:t>e</w:t>
      </w:r>
      <w:r w:rsidRPr="0096338A">
        <w:t xml:space="preserve"> een uitzondering op de hierboven aangegeven </w:t>
      </w:r>
      <w:r w:rsidR="00243A75" w:rsidRPr="0096338A">
        <w:t xml:space="preserve">beperking op de dagen van verkoop buiten het mandenmakersambacht om. </w:t>
      </w:r>
      <w:r w:rsidRPr="0096338A">
        <w:t xml:space="preserve">Mensen die dit beroep buiten de corporatie om wilden uitoefenen, mochten dit namelijk wel dagelijks </w:t>
      </w:r>
      <w:r w:rsidR="00243A75" w:rsidRPr="0096338A">
        <w:t xml:space="preserve">doen indien ze </w:t>
      </w:r>
      <w:r w:rsidRPr="0096338A">
        <w:t>voor het kerkhof stonden.</w:t>
      </w:r>
      <w:r w:rsidRPr="0096338A">
        <w:rPr>
          <w:rStyle w:val="Voetnootmarkering"/>
        </w:rPr>
        <w:footnoteReference w:id="198"/>
      </w:r>
      <w:r w:rsidR="00802BF0" w:rsidRPr="0096338A">
        <w:t xml:space="preserve"> Die </w:t>
      </w:r>
      <w:r w:rsidRPr="0096338A">
        <w:t>uitzondering valt mogelijk</w:t>
      </w:r>
      <w:r w:rsidR="003C6F1B" w:rsidRPr="0096338A">
        <w:t>s</w:t>
      </w:r>
      <w:r w:rsidRPr="0096338A">
        <w:t xml:space="preserve"> te verklaren vanuit oude tradities </w:t>
      </w:r>
      <w:r w:rsidR="00802BF0" w:rsidRPr="0096338A">
        <w:t>die het stadsbestuur moest tolereren</w:t>
      </w:r>
      <w:r w:rsidRPr="0096338A">
        <w:t xml:space="preserve">. Een andere beslissing die de duidelijke inmenging van de stad in de ambachtenregulering </w:t>
      </w:r>
      <w:r w:rsidR="00417024" w:rsidRPr="0096338A">
        <w:t>illustreert</w:t>
      </w:r>
      <w:r w:rsidR="002659F1" w:rsidRPr="0096338A">
        <w:t xml:space="preserve">, </w:t>
      </w:r>
      <w:r w:rsidR="00417024" w:rsidRPr="0096338A">
        <w:t>verwijst ook naar</w:t>
      </w:r>
      <w:r w:rsidRPr="0096338A">
        <w:t xml:space="preserve"> meer </w:t>
      </w:r>
      <w:r w:rsidR="002659F1" w:rsidRPr="0096338A">
        <w:t xml:space="preserve">alternatieven </w:t>
      </w:r>
      <w:r w:rsidRPr="0096338A">
        <w:t xml:space="preserve">die </w:t>
      </w:r>
      <w:r w:rsidR="00243A75" w:rsidRPr="0096338A">
        <w:t>verkopers hadden</w:t>
      </w:r>
      <w:r w:rsidRPr="0096338A">
        <w:t xml:space="preserve">. De stadsraad verbood </w:t>
      </w:r>
      <w:r w:rsidR="000B352E" w:rsidRPr="0096338A">
        <w:t xml:space="preserve">namelijk </w:t>
      </w:r>
      <w:r w:rsidRPr="0096338A">
        <w:t xml:space="preserve">iedereen het beroep van oude kleerkoper </w:t>
      </w:r>
      <w:r w:rsidR="00417024" w:rsidRPr="0096338A">
        <w:t xml:space="preserve">buiten het ambacht om </w:t>
      </w:r>
      <w:r w:rsidRPr="0096338A">
        <w:t>uit te oefenen. Nochtans maakte ze hierbij een opvallende uitzondering:</w:t>
      </w:r>
    </w:p>
    <w:p w:rsidR="00774828" w:rsidRPr="0096338A" w:rsidRDefault="00774828" w:rsidP="00FF15DF">
      <w:pPr>
        <w:ind w:left="705"/>
        <w:rPr>
          <w:i/>
        </w:rPr>
      </w:pPr>
      <w:r w:rsidRPr="0096338A">
        <w:rPr>
          <w:i/>
        </w:rPr>
        <w:t>Behoudelijck dien oft yeman</w:t>
      </w:r>
      <w:r w:rsidR="00FF15DF" w:rsidRPr="0096338A">
        <w:rPr>
          <w:i/>
        </w:rPr>
        <w:t>d</w:t>
      </w:r>
      <w:r w:rsidRPr="0096338A">
        <w:rPr>
          <w:i/>
        </w:rPr>
        <w:t xml:space="preserve"> eenige cleeden den innegeseten vanden stadt toebehoiren ende daer anders niet dan sijn loon af en hadde vercocht het waere</w:t>
      </w:r>
      <w:r w:rsidR="00FF15DF" w:rsidRPr="0096338A">
        <w:rPr>
          <w:i/>
        </w:rPr>
        <w:t>n</w:t>
      </w:r>
      <w:r w:rsidRPr="0096338A">
        <w:rPr>
          <w:i/>
        </w:rPr>
        <w:t xml:space="preserve"> op</w:t>
      </w:r>
      <w:r w:rsidR="00381BEA" w:rsidRPr="0096338A">
        <w:rPr>
          <w:i/>
        </w:rPr>
        <w:t xml:space="preserve"> </w:t>
      </w:r>
      <w:r w:rsidRPr="0096338A">
        <w:rPr>
          <w:i/>
        </w:rPr>
        <w:lastRenderedPageBreak/>
        <w:t>de merct oft elder</w:t>
      </w:r>
      <w:r w:rsidR="00FF15DF" w:rsidRPr="0096338A">
        <w:rPr>
          <w:i/>
        </w:rPr>
        <w:t>s</w:t>
      </w:r>
      <w:r w:rsidRPr="0096338A">
        <w:rPr>
          <w:i/>
        </w:rPr>
        <w:t xml:space="preserve"> sonder crae</w:t>
      </w:r>
      <w:r w:rsidR="00FF15DF" w:rsidRPr="0096338A">
        <w:rPr>
          <w:i/>
        </w:rPr>
        <w:t>m oft voervinsteren te houden. D</w:t>
      </w:r>
      <w:r w:rsidRPr="0096338A">
        <w:rPr>
          <w:i/>
        </w:rPr>
        <w:t>at die int voirs</w:t>
      </w:r>
      <w:r w:rsidR="004C4455" w:rsidRPr="0096338A">
        <w:rPr>
          <w:i/>
        </w:rPr>
        <w:t>creven</w:t>
      </w:r>
      <w:r w:rsidRPr="0096338A">
        <w:rPr>
          <w:i/>
        </w:rPr>
        <w:t xml:space="preserve"> overdrach niet gehouden en soude zijn.</w:t>
      </w:r>
      <w:r w:rsidRPr="0096338A">
        <w:rPr>
          <w:rStyle w:val="Voetnootmarkering"/>
        </w:rPr>
        <w:footnoteReference w:id="199"/>
      </w:r>
    </w:p>
    <w:p w:rsidR="00774828" w:rsidRPr="0096338A" w:rsidRDefault="002659F1" w:rsidP="00774828">
      <w:r w:rsidRPr="0096338A">
        <w:t>In interactie met een gezworene</w:t>
      </w:r>
      <w:r w:rsidR="00FB7655" w:rsidRPr="0096338A">
        <w:t xml:space="preserve"> van de stadsraad, mocht iedereen het beroep van de oude klerenkopers dus uitoefenen zonder de boete te betalen die ze eerder had bepaald. </w:t>
      </w:r>
      <w:r w:rsidR="00774828" w:rsidRPr="0096338A">
        <w:t xml:space="preserve">Hoewel het stadsbestuur </w:t>
      </w:r>
      <w:r w:rsidR="000B352E" w:rsidRPr="0096338A">
        <w:t>de informele</w:t>
      </w:r>
      <w:r w:rsidR="00774828" w:rsidRPr="0096338A">
        <w:t xml:space="preserve"> markt wilde reguleren en controleren, valt he</w:t>
      </w:r>
      <w:r w:rsidR="00802BF0" w:rsidRPr="0096338A">
        <w:t>t dus op dat</w:t>
      </w:r>
      <w:r w:rsidR="00774828" w:rsidRPr="0096338A">
        <w:t xml:space="preserve"> </w:t>
      </w:r>
      <w:r w:rsidR="00802BF0" w:rsidRPr="0096338A">
        <w:t>de stadsraad slechts regulering opstelde die voor henzelf voordelig kon zijn</w:t>
      </w:r>
      <w:r w:rsidR="00774828" w:rsidRPr="0096338A">
        <w:t>. Wanneer het financieel voordeel opleverde, steunden ze dus wel mensen die buiten het ambacht om werkten.</w:t>
      </w:r>
      <w:r w:rsidR="00243A75" w:rsidRPr="0096338A">
        <w:t xml:space="preserve"> </w:t>
      </w:r>
      <w:r w:rsidR="00802BF0" w:rsidRPr="0096338A">
        <w:t>Dit onderdeel verduidelijkte reeds</w:t>
      </w:r>
      <w:r w:rsidR="000B352E" w:rsidRPr="0096338A">
        <w:t xml:space="preserve"> </w:t>
      </w:r>
      <w:r w:rsidR="00243A75" w:rsidRPr="0096338A">
        <w:t xml:space="preserve">dat de </w:t>
      </w:r>
      <w:r w:rsidR="000B352E" w:rsidRPr="0096338A">
        <w:t xml:space="preserve">informele </w:t>
      </w:r>
      <w:r w:rsidR="00243A75" w:rsidRPr="0096338A">
        <w:t xml:space="preserve">marktverkopers aan bepaalde restricties onderhevig waren, </w:t>
      </w:r>
      <w:r w:rsidR="00802BF0" w:rsidRPr="0096338A">
        <w:t xml:space="preserve">maar dat </w:t>
      </w:r>
      <w:r w:rsidR="00243A75" w:rsidRPr="0096338A">
        <w:t xml:space="preserve">de mogelijkheden </w:t>
      </w:r>
      <w:r w:rsidR="00FB7655" w:rsidRPr="0096338A">
        <w:t xml:space="preserve">toch nog vrij breed bleven. </w:t>
      </w:r>
    </w:p>
    <w:p w:rsidR="00774828" w:rsidRPr="0096338A" w:rsidRDefault="00774828" w:rsidP="00774828">
      <w:r w:rsidRPr="0096338A">
        <w:tab/>
        <w:t xml:space="preserve">Een interessante </w:t>
      </w:r>
      <w:r w:rsidR="00802BF0" w:rsidRPr="0096338A">
        <w:t>casus</w:t>
      </w:r>
      <w:r w:rsidR="00431DA0" w:rsidRPr="0096338A">
        <w:t xml:space="preserve"> </w:t>
      </w:r>
      <w:r w:rsidRPr="0096338A">
        <w:t xml:space="preserve">die reeds enkele keren werd aangestipt, zijn de ordonnanties in verband met de </w:t>
      </w:r>
      <w:r w:rsidR="00852787" w:rsidRPr="0096338A">
        <w:t>vrije</w:t>
      </w:r>
      <w:r w:rsidRPr="0096338A">
        <w:t xml:space="preserve"> markt en het ambacht van de visverkopers. Hoewel de corporatie van een bepaalde status genoot, konden ze toch niet rekenen op een monopolie, zoals het geval was bij de vleeshouwers. </w:t>
      </w:r>
      <w:r w:rsidRPr="0096338A">
        <w:rPr>
          <w:lang w:val="en-GB"/>
        </w:rPr>
        <w:t>Goldberg stelde reeds: “The fish trade is another area in which women were regularly found, both as legitimate traders or as forestallers.”</w:t>
      </w:r>
      <w:r w:rsidRPr="0096338A">
        <w:rPr>
          <w:rStyle w:val="Voetnootmarkering"/>
          <w:lang w:val="en-GB"/>
        </w:rPr>
        <w:footnoteReference w:id="200"/>
      </w:r>
      <w:r w:rsidRPr="0096338A">
        <w:rPr>
          <w:lang w:val="en-GB"/>
        </w:rPr>
        <w:t xml:space="preserve"> </w:t>
      </w:r>
      <w:r w:rsidR="00802BF0" w:rsidRPr="0096338A">
        <w:t>Een vorig thema belichtte reeds het lidmaatschap van vrouwen binnen dit ambacht</w:t>
      </w:r>
      <w:r w:rsidR="00502E88" w:rsidRPr="0096338A">
        <w:t xml:space="preserve">. </w:t>
      </w:r>
      <w:r w:rsidRPr="0096338A">
        <w:t xml:space="preserve">De Leuvense ordonnanties leggen echter nog meer nadruk op de activiteit van vrouwen buiten </w:t>
      </w:r>
      <w:r w:rsidR="00802BF0" w:rsidRPr="0096338A">
        <w:t>het vissersambacht</w:t>
      </w:r>
      <w:r w:rsidRPr="0096338A">
        <w:t xml:space="preserve">. </w:t>
      </w:r>
      <w:r w:rsidR="00417024" w:rsidRPr="0096338A">
        <w:t>De minder strikte controle op deze</w:t>
      </w:r>
      <w:r w:rsidR="00852787" w:rsidRPr="0096338A">
        <w:t xml:space="preserve"> </w:t>
      </w:r>
      <w:r w:rsidRPr="0096338A">
        <w:t xml:space="preserve">activiteit valt </w:t>
      </w:r>
      <w:r w:rsidR="00417024" w:rsidRPr="0096338A">
        <w:t>te begrijpen vanuit twee perspectieven.</w:t>
      </w:r>
      <w:r w:rsidRPr="0096338A">
        <w:t xml:space="preserve"> Enerzijds illustreren de ordonnanties het belang van tradities </w:t>
      </w:r>
      <w:r w:rsidR="00502E88" w:rsidRPr="0096338A">
        <w:t>in</w:t>
      </w:r>
      <w:r w:rsidRPr="0096338A">
        <w:t xml:space="preserve"> de positie van de vrouw als visverkoopsters. </w:t>
      </w:r>
    </w:p>
    <w:p w:rsidR="00774828" w:rsidRPr="0096338A" w:rsidRDefault="00381BEA" w:rsidP="00774828">
      <w:pPr>
        <w:ind w:left="708"/>
      </w:pPr>
      <w:r w:rsidRPr="0096338A">
        <w:rPr>
          <w:i/>
        </w:rPr>
        <w:t>[…] als vo</w:t>
      </w:r>
      <w:r w:rsidR="004C4455" w:rsidRPr="0096338A">
        <w:rPr>
          <w:i/>
        </w:rPr>
        <w:t>i</w:t>
      </w:r>
      <w:r w:rsidRPr="0096338A">
        <w:rPr>
          <w:i/>
        </w:rPr>
        <w:t>rscrev</w:t>
      </w:r>
      <w:r w:rsidR="00061793" w:rsidRPr="0096338A">
        <w:rPr>
          <w:i/>
        </w:rPr>
        <w:t>en es bij alsoe dat sij daer</w:t>
      </w:r>
      <w:r w:rsidR="00774828" w:rsidRPr="0096338A">
        <w:rPr>
          <w:i/>
        </w:rPr>
        <w:t>mede staen sullen moeten altijt ter plaetsen daer die vrouwen van outs met alsulken visch gheploghen hebben te staen.</w:t>
      </w:r>
      <w:r w:rsidR="00774828" w:rsidRPr="0096338A">
        <w:rPr>
          <w:rStyle w:val="Voetnootmarkering"/>
        </w:rPr>
        <w:footnoteReference w:id="201"/>
      </w:r>
    </w:p>
    <w:p w:rsidR="00774828" w:rsidRPr="0096338A" w:rsidRDefault="00827D5C" w:rsidP="00774828">
      <w:r w:rsidRPr="0096338A">
        <w:t xml:space="preserve">Er heerste dus een traditie dat vrouwen op een bepaalde plaats op de vismarkt bepaalde vissen konden verkopen. </w:t>
      </w:r>
      <w:r w:rsidR="00774828" w:rsidRPr="0096338A">
        <w:t xml:space="preserve">De verkoop van vis door vrouwen lijkt ook in andere steden gebruikelijk geweest te zijn. Goldberg stelt dat </w:t>
      </w:r>
      <w:r w:rsidR="00802BF0" w:rsidRPr="0096338A">
        <w:t>in York het voornamelijk vrouwen waren die vis verkochten</w:t>
      </w:r>
      <w:r w:rsidR="00774828" w:rsidRPr="0096338A">
        <w:t>.</w:t>
      </w:r>
      <w:r w:rsidR="00774828" w:rsidRPr="0096338A">
        <w:rPr>
          <w:rStyle w:val="Voetnootmarkering"/>
        </w:rPr>
        <w:footnoteReference w:id="202"/>
      </w:r>
      <w:r w:rsidR="00502E88" w:rsidRPr="0096338A">
        <w:t xml:space="preserve"> </w:t>
      </w:r>
      <w:r w:rsidR="00774828" w:rsidRPr="0096338A">
        <w:t xml:space="preserve">Anderzijds </w:t>
      </w:r>
      <w:r w:rsidR="00502E88" w:rsidRPr="0096338A">
        <w:t>is de</w:t>
      </w:r>
      <w:r w:rsidR="00774828" w:rsidRPr="0096338A">
        <w:t xml:space="preserve"> grote activiteit van </w:t>
      </w:r>
      <w:r w:rsidR="00502E88" w:rsidRPr="0096338A">
        <w:t>visverkopers buiten het ambacht</w:t>
      </w:r>
      <w:r w:rsidR="00A46571" w:rsidRPr="0096338A">
        <w:t xml:space="preserve"> te verklaren door de aard</w:t>
      </w:r>
      <w:r w:rsidR="00774828" w:rsidRPr="0096338A">
        <w:t xml:space="preserve"> van het </w:t>
      </w:r>
      <w:r w:rsidR="00802BF0" w:rsidRPr="0096338A">
        <w:t>beroep</w:t>
      </w:r>
      <w:r w:rsidR="00774828" w:rsidRPr="0096338A">
        <w:t xml:space="preserve">, wat </w:t>
      </w:r>
      <w:r w:rsidR="00A46571" w:rsidRPr="0096338A">
        <w:t xml:space="preserve">meteen ook </w:t>
      </w:r>
      <w:r w:rsidR="00502E88" w:rsidRPr="0096338A">
        <w:t>inefficiëntie van de</w:t>
      </w:r>
      <w:r w:rsidR="00A46571" w:rsidRPr="0096338A">
        <w:t xml:space="preserve"> restricties </w:t>
      </w:r>
      <w:r w:rsidR="00502E88" w:rsidRPr="0096338A">
        <w:t>door de stadsraad ook</w:t>
      </w:r>
      <w:r w:rsidR="00A46571" w:rsidRPr="0096338A">
        <w:t xml:space="preserve"> verheldert</w:t>
      </w:r>
      <w:r w:rsidR="00774828" w:rsidRPr="0096338A">
        <w:t>. Vissen kon namelijk zowat overal gebeuren, zowel in de gebieden van de stad of</w:t>
      </w:r>
      <w:r w:rsidR="00A46571" w:rsidRPr="0096338A">
        <w:t xml:space="preserve"> de</w:t>
      </w:r>
      <w:r w:rsidR="00774828" w:rsidRPr="0096338A">
        <w:t xml:space="preserve"> heer, als op een eigen terrein. Een extra broodwinning door de verkoop van </w:t>
      </w:r>
      <w:r w:rsidR="00774828" w:rsidRPr="0096338A">
        <w:lastRenderedPageBreak/>
        <w:t xml:space="preserve">vis was dan ook niet uitzonderlijk. </w:t>
      </w:r>
      <w:r w:rsidRPr="0096338A">
        <w:t>Meer nog dan de verkoop van vis op de markt door niet-gezworenen klaagt het vissersambacht dit aan.</w:t>
      </w:r>
    </w:p>
    <w:p w:rsidR="00774828" w:rsidRPr="0096338A" w:rsidRDefault="00774828" w:rsidP="00774828">
      <w:pPr>
        <w:ind w:left="705"/>
      </w:pPr>
      <w:r w:rsidRPr="0096338A">
        <w:rPr>
          <w:i/>
        </w:rPr>
        <w:t>Om t</w:t>
      </w:r>
      <w:r w:rsidR="00802BF0" w:rsidRPr="0096338A">
        <w:rPr>
          <w:i/>
        </w:rPr>
        <w:t xml:space="preserve"> </w:t>
      </w:r>
      <w:r w:rsidRPr="0096338A">
        <w:rPr>
          <w:i/>
        </w:rPr>
        <w:t>groot verzuen dat voer den rade van</w:t>
      </w:r>
      <w:r w:rsidR="00381BEA" w:rsidRPr="0096338A">
        <w:rPr>
          <w:i/>
        </w:rPr>
        <w:t xml:space="preserve"> </w:t>
      </w:r>
      <w:r w:rsidRPr="0096338A">
        <w:rPr>
          <w:i/>
        </w:rPr>
        <w:t>der s</w:t>
      </w:r>
      <w:r w:rsidR="00061793" w:rsidRPr="0096338A">
        <w:rPr>
          <w:i/>
        </w:rPr>
        <w:t>tad comen es daghelijx ende soe</w:t>
      </w:r>
      <w:r w:rsidRPr="0096338A">
        <w:rPr>
          <w:i/>
        </w:rPr>
        <w:t>lange zoe meer compt van</w:t>
      </w:r>
      <w:r w:rsidR="00381BEA" w:rsidRPr="0096338A">
        <w:rPr>
          <w:i/>
        </w:rPr>
        <w:t xml:space="preserve"> </w:t>
      </w:r>
      <w:r w:rsidRPr="0096338A">
        <w:rPr>
          <w:i/>
        </w:rPr>
        <w:t>den gheswoirnen van</w:t>
      </w:r>
      <w:r w:rsidR="00381BEA" w:rsidRPr="0096338A">
        <w:rPr>
          <w:i/>
        </w:rPr>
        <w:t xml:space="preserve"> </w:t>
      </w:r>
      <w:r w:rsidRPr="0096338A">
        <w:rPr>
          <w:i/>
        </w:rPr>
        <w:t>den visscher ambachte. Van d</w:t>
      </w:r>
      <w:r w:rsidR="00381BEA" w:rsidRPr="0096338A">
        <w:rPr>
          <w:i/>
        </w:rPr>
        <w:t>at t</w:t>
      </w:r>
      <w:r w:rsidR="00802BF0" w:rsidRPr="0096338A">
        <w:rPr>
          <w:i/>
        </w:rPr>
        <w:t xml:space="preserve"> </w:t>
      </w:r>
      <w:r w:rsidR="00381BEA" w:rsidRPr="0096338A">
        <w:rPr>
          <w:i/>
        </w:rPr>
        <w:t>selve ambacht daghelijx seer</w:t>
      </w:r>
      <w:r w:rsidRPr="0096338A">
        <w:rPr>
          <w:i/>
        </w:rPr>
        <w:t>e verarmpt en gheschapen es met alle te nieute te gane.</w:t>
      </w:r>
      <w:r w:rsidRPr="0096338A">
        <w:rPr>
          <w:rStyle w:val="Voetnootmarkering"/>
        </w:rPr>
        <w:footnoteReference w:id="203"/>
      </w:r>
    </w:p>
    <w:p w:rsidR="00774828" w:rsidRPr="0096338A" w:rsidRDefault="00ED596A" w:rsidP="00774828">
      <w:r w:rsidRPr="0096338A">
        <w:t xml:space="preserve">De vissers klaagden dat hun ambacht nadeel ondervond van mensen die binnen de stad visten. De stadsraad besloot dan ook dat dit niet meer mocht gebeuren. </w:t>
      </w:r>
      <w:r w:rsidR="00774828" w:rsidRPr="0096338A">
        <w:t xml:space="preserve">Epstein veronderstelt dat de visverkopers de vis in openbare </w:t>
      </w:r>
      <w:r w:rsidR="00A46571" w:rsidRPr="0096338A">
        <w:t xml:space="preserve">wateren </w:t>
      </w:r>
      <w:r w:rsidR="00774828" w:rsidRPr="0096338A">
        <w:t xml:space="preserve">als hun eigendom </w:t>
      </w:r>
      <w:r w:rsidR="00A46571" w:rsidRPr="0096338A">
        <w:t xml:space="preserve">beschouwden </w:t>
      </w:r>
      <w:r w:rsidR="00774828" w:rsidRPr="0096338A">
        <w:t>en hierdoor de visactiviteiten van anderen probeerden te beknotten.</w:t>
      </w:r>
      <w:r w:rsidR="00774828" w:rsidRPr="0096338A">
        <w:rPr>
          <w:rStyle w:val="Voetnootmarkering"/>
        </w:rPr>
        <w:footnoteReference w:id="204"/>
      </w:r>
      <w:r w:rsidR="00774828" w:rsidRPr="0096338A">
        <w:t xml:space="preserve"> Verschillende ordonnanties tonen echter aan dat </w:t>
      </w:r>
      <w:r w:rsidR="00802BF0" w:rsidRPr="0096338A">
        <w:t>het stadsbestuur die informele praktijken niet volledig kon inperken</w:t>
      </w:r>
      <w:r w:rsidR="00774828" w:rsidRPr="0096338A">
        <w:t xml:space="preserve">. De verkoop van karpers werd in 1453 bijvoorbeeld verboden voor mannen en vrouwen van buiten de stad. Er hingen echter enkele clausules vast aan dit verbod. Mensen konden namelijk </w:t>
      </w:r>
      <w:r w:rsidR="00A46571" w:rsidRPr="0096338A">
        <w:t xml:space="preserve">de vissen </w:t>
      </w:r>
      <w:r w:rsidR="00774828" w:rsidRPr="0096338A">
        <w:t xml:space="preserve">wel blijven verkopen indien ze het ambacht een bepaald bedrag betaalden. Verder gold deze beslissing niet voor </w:t>
      </w:r>
      <w:r w:rsidRPr="0096338A">
        <w:t xml:space="preserve">wie </w:t>
      </w:r>
      <w:r w:rsidR="00774828" w:rsidRPr="0096338A">
        <w:t>karpers verkocht die afkomstig waren van hun eigen grondgebied.</w:t>
      </w:r>
      <w:r w:rsidR="00774828" w:rsidRPr="0096338A">
        <w:rPr>
          <w:rStyle w:val="Voetnootmarkering"/>
        </w:rPr>
        <w:footnoteReference w:id="205"/>
      </w:r>
      <w:r w:rsidR="00B547F8" w:rsidRPr="0096338A">
        <w:t xml:space="preserve"> Het belemmeren van de </w:t>
      </w:r>
      <w:r w:rsidR="00852787" w:rsidRPr="0096338A">
        <w:t>vrije</w:t>
      </w:r>
      <w:r w:rsidR="00B547F8" w:rsidRPr="0096338A">
        <w:t xml:space="preserve"> markt binnen het vissersambacht was dus duidelijk moeilijk in de praktijk te brengen. </w:t>
      </w:r>
    </w:p>
    <w:p w:rsidR="00502E88" w:rsidRPr="0096338A" w:rsidRDefault="004E5E08" w:rsidP="00502E88">
      <w:pPr>
        <w:ind w:firstLine="708"/>
      </w:pPr>
      <w:r w:rsidRPr="0096338A">
        <w:t xml:space="preserve">Dezelfde oorkonde waarin de </w:t>
      </w:r>
      <w:r w:rsidR="004F5050" w:rsidRPr="0096338A">
        <w:t>stadsraad</w:t>
      </w:r>
      <w:r w:rsidRPr="0096338A">
        <w:t xml:space="preserve"> de aanklachten van de vissers beantwoordt, biedt ook meer informatie over de identiteit van de visverkopers buiten de groepering. </w:t>
      </w:r>
      <w:r w:rsidRPr="0096338A">
        <w:rPr>
          <w:i/>
        </w:rPr>
        <w:t>Item want vele goede liede beyde mannen ende vrouwen buyten de stad en</w:t>
      </w:r>
      <w:r w:rsidR="004F5050" w:rsidRPr="0096338A">
        <w:rPr>
          <w:i/>
        </w:rPr>
        <w:t>de</w:t>
      </w:r>
      <w:r w:rsidRPr="0096338A">
        <w:rPr>
          <w:i/>
        </w:rPr>
        <w:t xml:space="preserve"> vryheyt van Lovene […]</w:t>
      </w:r>
      <w:r w:rsidRPr="0096338A">
        <w:t>.</w:t>
      </w:r>
      <w:r w:rsidRPr="0096338A">
        <w:rPr>
          <w:rStyle w:val="Voetnootmarkering"/>
        </w:rPr>
        <w:footnoteReference w:id="206"/>
      </w:r>
      <w:r w:rsidR="00B062BD" w:rsidRPr="0096338A">
        <w:t xml:space="preserve"> De verkopers kwamen dus waarschijnlijk van het platteland en zochten de stad op om hun overschotten te verkopen. De plattelandsbewoners waren echter niet de enigen die vis verkochten buiten de corporatie van het vissersambacht. </w:t>
      </w:r>
      <w:r w:rsidR="00774828" w:rsidRPr="0096338A">
        <w:t>Een geschilbeslechting va</w:t>
      </w:r>
      <w:r w:rsidR="00502E88" w:rsidRPr="0096338A">
        <w:t>n 1504 geeft een heldere inzage</w:t>
      </w:r>
      <w:r w:rsidR="00A46571" w:rsidRPr="0096338A">
        <w:t xml:space="preserve"> in </w:t>
      </w:r>
      <w:r w:rsidR="00774828" w:rsidRPr="0096338A">
        <w:t>de conflicten die de verkoop buiten de ambachten teweeg kon brengen. Twee gezworenen van de vissers klaagden enkele vrouwen aan die rond</w:t>
      </w:r>
      <w:r w:rsidR="00381BEA" w:rsidRPr="0096338A">
        <w:t xml:space="preserve"> de vismarkt woonden, namelijk </w:t>
      </w:r>
      <w:r w:rsidR="00381BEA" w:rsidRPr="0096338A">
        <w:rPr>
          <w:i/>
        </w:rPr>
        <w:t>de huysvrouwe Joanne de Cuypere Mychiel van</w:t>
      </w:r>
      <w:r w:rsidR="004F5050" w:rsidRPr="0096338A">
        <w:rPr>
          <w:i/>
        </w:rPr>
        <w:t xml:space="preserve"> </w:t>
      </w:r>
      <w:r w:rsidR="00381BEA" w:rsidRPr="0096338A">
        <w:rPr>
          <w:i/>
        </w:rPr>
        <w:t>den Vekene, de weduwe Gielijs in I</w:t>
      </w:r>
      <w:r w:rsidR="00774828" w:rsidRPr="0096338A">
        <w:rPr>
          <w:i/>
        </w:rPr>
        <w:t>nghelant e</w:t>
      </w:r>
      <w:r w:rsidR="00381BEA" w:rsidRPr="0096338A">
        <w:rPr>
          <w:i/>
        </w:rPr>
        <w:t>nde de huysvrouwe Joanne van Z</w:t>
      </w:r>
      <w:r w:rsidR="00774828" w:rsidRPr="0096338A">
        <w:rPr>
          <w:i/>
        </w:rPr>
        <w:t>allaken</w:t>
      </w:r>
      <w:r w:rsidR="00774828" w:rsidRPr="0096338A">
        <w:t>”.</w:t>
      </w:r>
      <w:r w:rsidR="00774828" w:rsidRPr="0096338A">
        <w:rPr>
          <w:rStyle w:val="Voetnootmarkering"/>
        </w:rPr>
        <w:footnoteReference w:id="207"/>
      </w:r>
      <w:r w:rsidR="00774828" w:rsidRPr="0096338A">
        <w:t xml:space="preserve"> De vrouwen verkochten zeevissen op hun erf, dat </w:t>
      </w:r>
      <w:r w:rsidR="00B062BD" w:rsidRPr="0096338A">
        <w:t>aan</w:t>
      </w:r>
      <w:r w:rsidR="00774828" w:rsidRPr="0096338A">
        <w:t xml:space="preserve"> de vismarkt </w:t>
      </w:r>
      <w:r w:rsidR="00B062BD" w:rsidRPr="0096338A">
        <w:t>grensde</w:t>
      </w:r>
      <w:r w:rsidR="00774828" w:rsidRPr="0096338A">
        <w:t xml:space="preserve">. De verkoop van zeevissen was echter een privilege van het ambacht, aangezien deze producten in Leuven niet van een eigen erf konden komen. De vrouwen brachten hier tegenin dat het vissersambacht eveneens in fout was, aangezien </w:t>
      </w:r>
      <w:r w:rsidR="00781515" w:rsidRPr="0096338A">
        <w:t xml:space="preserve">de gezellen van de corporatie vis verkochten op het erf dat deze dames </w:t>
      </w:r>
      <w:r w:rsidR="00781515" w:rsidRPr="0096338A">
        <w:lastRenderedPageBreak/>
        <w:t>toebehoorden</w:t>
      </w:r>
      <w:r w:rsidR="00774828" w:rsidRPr="0096338A">
        <w:t xml:space="preserve">. De stadsraad besliste dan wel in </w:t>
      </w:r>
      <w:r w:rsidR="00502E88" w:rsidRPr="0096338A">
        <w:t xml:space="preserve">het </w:t>
      </w:r>
      <w:r w:rsidR="00774828" w:rsidRPr="0096338A">
        <w:t>voordeel van de gezworenen</w:t>
      </w:r>
      <w:r w:rsidR="00502E88" w:rsidRPr="0096338A">
        <w:t xml:space="preserve"> – de </w:t>
      </w:r>
      <w:r w:rsidR="00774828" w:rsidRPr="0096338A">
        <w:t>vrouwen mochten geen vissen meer verkopen</w:t>
      </w:r>
      <w:r w:rsidR="00502E88" w:rsidRPr="0096338A">
        <w:t xml:space="preserve"> – maar </w:t>
      </w:r>
      <w:r w:rsidR="00774828" w:rsidRPr="0096338A">
        <w:t>de beslissing leek meer een formaliteit die niet gepraktiseerd zou worden.</w:t>
      </w:r>
      <w:r w:rsidR="00774828" w:rsidRPr="0096338A">
        <w:rPr>
          <w:rStyle w:val="Voetnootmarkering"/>
        </w:rPr>
        <w:footnoteReference w:id="208"/>
      </w:r>
      <w:r w:rsidR="00774828" w:rsidRPr="0096338A">
        <w:t xml:space="preserve"> De stadsraad besl</w:t>
      </w:r>
      <w:r w:rsidR="001A7506" w:rsidRPr="0096338A">
        <w:t>oo</w:t>
      </w:r>
      <w:r w:rsidR="00774828" w:rsidRPr="0096338A">
        <w:t>t bijvoorbeeld niets over de verkoop op het</w:t>
      </w:r>
      <w:r w:rsidR="00502E88" w:rsidRPr="0096338A">
        <w:t xml:space="preserve"> eigen</w:t>
      </w:r>
      <w:r w:rsidR="00774828" w:rsidRPr="0096338A">
        <w:t xml:space="preserve"> erf van de vrouwen</w:t>
      </w:r>
      <w:r w:rsidR="00502E88" w:rsidRPr="0096338A">
        <w:t xml:space="preserve">, maar </w:t>
      </w:r>
      <w:r w:rsidR="00774828" w:rsidRPr="0096338A">
        <w:t xml:space="preserve">spreekt louter over </w:t>
      </w:r>
      <w:r w:rsidR="001A7506" w:rsidRPr="0096338A">
        <w:t xml:space="preserve">het verbod tot </w:t>
      </w:r>
      <w:r w:rsidR="00774828" w:rsidRPr="0096338A">
        <w:t>verko</w:t>
      </w:r>
      <w:r w:rsidR="001A7506" w:rsidRPr="0096338A">
        <w:t>o</w:t>
      </w:r>
      <w:r w:rsidR="00774828" w:rsidRPr="0096338A">
        <w:t>p op de markt. Ook de specificering over zeevissen valt weg, terwijl vrouwen wel degelijk bepaalde vissoorten mochten verkopen. De ontwijkende formulering laat dus veel speelruimte voor de vrouwen.</w:t>
      </w:r>
      <w:r w:rsidR="00B062BD" w:rsidRPr="0096338A">
        <w:t xml:space="preserve"> </w:t>
      </w:r>
      <w:r w:rsidR="00502E88" w:rsidRPr="0096338A">
        <w:t>De Leuvense meiersrekeningen tonen ook aan dat vrouwen erg actief waren in de vrije markt van de visverkoop. Zo moest Machteliden Poerloecx op bedevaart nadat ze de visverkopers had beledigd.</w:t>
      </w:r>
    </w:p>
    <w:p w:rsidR="00502E88" w:rsidRPr="0096338A" w:rsidRDefault="00502E88" w:rsidP="00502E88">
      <w:pPr>
        <w:ind w:left="708"/>
      </w:pPr>
      <w:r w:rsidRPr="0096338A">
        <w:rPr>
          <w:i/>
        </w:rPr>
        <w:t>Van Machteliden Poerloecx omdat se seide dat die waierdeerders vanden vischambachten seker opladise qualec gewarendeert hadden en dat sij stoncken […].</w:t>
      </w:r>
      <w:r w:rsidR="00765495" w:rsidRPr="0096338A">
        <w:rPr>
          <w:rStyle w:val="Voetnootmarkering"/>
          <w:i/>
        </w:rPr>
        <w:footnoteReference w:id="209"/>
      </w:r>
    </w:p>
    <w:p w:rsidR="00774828" w:rsidRPr="0096338A" w:rsidRDefault="00502E88" w:rsidP="00765495">
      <w:r w:rsidRPr="0096338A">
        <w:t xml:space="preserve">Het is niet geweten of de vrouw op de markt aanwezig was als verkoopster, dan wel koopster. Wel blijkt duidelijk dat </w:t>
      </w:r>
      <w:r w:rsidR="00765495" w:rsidRPr="0096338A">
        <w:t xml:space="preserve">de Leuvense vrouw op de vismarkt zelfstandig </w:t>
      </w:r>
      <w:r w:rsidR="00781515" w:rsidRPr="0096338A">
        <w:t>optrad</w:t>
      </w:r>
      <w:r w:rsidR="00765495" w:rsidRPr="0096338A">
        <w:t xml:space="preserve"> en </w:t>
      </w:r>
      <w:r w:rsidR="00781515" w:rsidRPr="0096338A">
        <w:t>de</w:t>
      </w:r>
      <w:r w:rsidR="00765495" w:rsidRPr="0096338A">
        <w:t xml:space="preserve"> overtreding ook aan haarzelf werd toegeschreven. </w:t>
      </w:r>
      <w:r w:rsidR="00553275" w:rsidRPr="0096338A">
        <w:t xml:space="preserve">De datering van </w:t>
      </w:r>
      <w:r w:rsidR="00765495" w:rsidRPr="0096338A">
        <w:t>het geschil tussen de vrouwen aan de Leuvense vismarkt en de gezworenen van het vissersambacht</w:t>
      </w:r>
      <w:r w:rsidR="00553275" w:rsidRPr="0096338A">
        <w:t xml:space="preserve"> duidt ook aan dat in 1504 vrouwen wel degelijk nog op de markt te vinden waren. Een </w:t>
      </w:r>
      <w:r w:rsidR="00765495" w:rsidRPr="0096338A">
        <w:t>volgende paragraaf</w:t>
      </w:r>
      <w:r w:rsidR="00553275" w:rsidRPr="0096338A">
        <w:t xml:space="preserve"> vertrekt vanuit dit standpunt en zal zo </w:t>
      </w:r>
      <w:r w:rsidR="00765495" w:rsidRPr="0096338A">
        <w:t xml:space="preserve">een </w:t>
      </w:r>
      <w:r w:rsidR="00553275" w:rsidRPr="0096338A">
        <w:t>nuance</w:t>
      </w:r>
      <w:r w:rsidR="00765495" w:rsidRPr="0096338A">
        <w:t>ring</w:t>
      </w:r>
      <w:r w:rsidR="00553275" w:rsidRPr="0096338A">
        <w:t xml:space="preserve"> aanbrengen </w:t>
      </w:r>
      <w:r w:rsidR="00765495" w:rsidRPr="0096338A">
        <w:t>van standpunten in</w:t>
      </w:r>
      <w:r w:rsidR="00553275" w:rsidRPr="0096338A">
        <w:t xml:space="preserve"> de bestaande literatuur.</w:t>
      </w:r>
    </w:p>
    <w:p w:rsidR="00C07878" w:rsidRPr="0096338A" w:rsidRDefault="00C07878" w:rsidP="009A0183">
      <w:pPr>
        <w:pStyle w:val="Kop2"/>
        <w:spacing w:line="360" w:lineRule="auto"/>
        <w:rPr>
          <w:szCs w:val="24"/>
        </w:rPr>
      </w:pPr>
      <w:bookmarkStart w:id="14" w:name="_Toc448756013"/>
      <w:bookmarkStart w:id="15" w:name="_Toc452371447"/>
      <w:r w:rsidRPr="0096338A">
        <w:rPr>
          <w:szCs w:val="24"/>
        </w:rPr>
        <w:t xml:space="preserve">3.4 Gebeten door tijd: de </w:t>
      </w:r>
      <w:r w:rsidR="00EA12F5" w:rsidRPr="0096338A">
        <w:rPr>
          <w:szCs w:val="24"/>
        </w:rPr>
        <w:t xml:space="preserve">veronderstelde </w:t>
      </w:r>
      <w:r w:rsidRPr="0096338A">
        <w:rPr>
          <w:szCs w:val="24"/>
        </w:rPr>
        <w:t>maatschappelijke verandering en haar oorzaken</w:t>
      </w:r>
      <w:bookmarkEnd w:id="14"/>
      <w:bookmarkEnd w:id="15"/>
    </w:p>
    <w:p w:rsidR="00C07878" w:rsidRPr="0096338A" w:rsidRDefault="00A15858" w:rsidP="00A15858">
      <w:pPr>
        <w:rPr>
          <w:szCs w:val="24"/>
        </w:rPr>
      </w:pPr>
      <w:r w:rsidRPr="0096338A">
        <w:rPr>
          <w:szCs w:val="24"/>
        </w:rPr>
        <w:t xml:space="preserve">De vorige hoofdstukken verduidelijkten reeds dat de vrouw </w:t>
      </w:r>
      <w:r w:rsidR="00F9371E" w:rsidRPr="0096338A">
        <w:rPr>
          <w:szCs w:val="24"/>
        </w:rPr>
        <w:t>gedurende de vijftiende eeuw</w:t>
      </w:r>
      <w:r w:rsidR="006F591F" w:rsidRPr="0096338A">
        <w:rPr>
          <w:szCs w:val="24"/>
        </w:rPr>
        <w:t xml:space="preserve"> </w:t>
      </w:r>
      <w:r w:rsidRPr="0096338A">
        <w:rPr>
          <w:szCs w:val="24"/>
        </w:rPr>
        <w:t xml:space="preserve">in Leuven wel degelijk toegang had tot de ambachten en de wereld </w:t>
      </w:r>
      <w:r w:rsidR="00CE50BC" w:rsidRPr="0096338A">
        <w:rPr>
          <w:szCs w:val="24"/>
        </w:rPr>
        <w:t>er omheen</w:t>
      </w:r>
      <w:r w:rsidR="00F9371E" w:rsidRPr="0096338A">
        <w:rPr>
          <w:szCs w:val="24"/>
        </w:rPr>
        <w:t>.</w:t>
      </w:r>
      <w:r w:rsidRPr="0096338A">
        <w:rPr>
          <w:szCs w:val="24"/>
        </w:rPr>
        <w:t xml:space="preserve"> Er lag echter weinig focus op de chronologie van de ordonnanties en wat die tijdsbepaling impliceert. Reeds in de jaren tachtig van de vorige eeuw </w:t>
      </w:r>
      <w:r w:rsidR="00566DA1" w:rsidRPr="0096338A">
        <w:rPr>
          <w:szCs w:val="24"/>
        </w:rPr>
        <w:t>spoorden historici een verandering op in de sociaaleconomische constellatie van verschillende laatmiddeleeuwse steden. Vrouwen zouden steeds meer van de markt zijn gebannen en in de huiselijke sfeer zijn</w:t>
      </w:r>
      <w:r w:rsidR="006F591F" w:rsidRPr="0096338A">
        <w:rPr>
          <w:szCs w:val="24"/>
        </w:rPr>
        <w:t xml:space="preserve"> beland</w:t>
      </w:r>
      <w:r w:rsidR="00566DA1" w:rsidRPr="0096338A">
        <w:rPr>
          <w:szCs w:val="24"/>
        </w:rPr>
        <w:t>. Dit hoofdstuk biedt een overzicht van de verschillende stellingname</w:t>
      </w:r>
      <w:r w:rsidR="006F591F" w:rsidRPr="0096338A">
        <w:rPr>
          <w:szCs w:val="24"/>
        </w:rPr>
        <w:t>n</w:t>
      </w:r>
      <w:r w:rsidR="00566DA1" w:rsidRPr="0096338A">
        <w:rPr>
          <w:szCs w:val="24"/>
        </w:rPr>
        <w:t xml:space="preserve"> rond die verschuiving, die Claire </w:t>
      </w:r>
      <w:r w:rsidR="00566DA1" w:rsidRPr="0096338A">
        <w:rPr>
          <w:szCs w:val="24"/>
        </w:rPr>
        <w:lastRenderedPageBreak/>
        <w:t xml:space="preserve">Crowston als de </w:t>
      </w:r>
      <w:r w:rsidR="00E8163A">
        <w:rPr>
          <w:szCs w:val="24"/>
        </w:rPr>
        <w:t>‘</w:t>
      </w:r>
      <w:r w:rsidR="00566DA1" w:rsidRPr="00E8163A">
        <w:rPr>
          <w:szCs w:val="24"/>
        </w:rPr>
        <w:t>decline-thesis</w:t>
      </w:r>
      <w:r w:rsidR="00E8163A">
        <w:rPr>
          <w:szCs w:val="24"/>
        </w:rPr>
        <w:t>’</w:t>
      </w:r>
      <w:r w:rsidR="00566DA1" w:rsidRPr="0096338A">
        <w:rPr>
          <w:i/>
          <w:szCs w:val="24"/>
        </w:rPr>
        <w:t xml:space="preserve"> </w:t>
      </w:r>
      <w:r w:rsidR="00FD1FC1" w:rsidRPr="0096338A">
        <w:rPr>
          <w:szCs w:val="24"/>
        </w:rPr>
        <w:t>benoemt</w:t>
      </w:r>
      <w:r w:rsidR="00566DA1" w:rsidRPr="0096338A">
        <w:rPr>
          <w:szCs w:val="24"/>
        </w:rPr>
        <w:t>.</w:t>
      </w:r>
      <w:r w:rsidR="00566DA1" w:rsidRPr="0096338A">
        <w:rPr>
          <w:rStyle w:val="Voetnootmarkering"/>
          <w:szCs w:val="24"/>
        </w:rPr>
        <w:footnoteReference w:id="210"/>
      </w:r>
      <w:r w:rsidR="00566DA1" w:rsidRPr="0096338A">
        <w:rPr>
          <w:szCs w:val="24"/>
        </w:rPr>
        <w:t xml:space="preserve"> Aan de hand van het beperkte Leuvense bronnenbestand zal dit onderzoek eveneens een standpunt innemen in het debat.</w:t>
      </w:r>
    </w:p>
    <w:p w:rsidR="00566DA1" w:rsidRPr="0096338A" w:rsidRDefault="00566DA1" w:rsidP="00A15858">
      <w:pPr>
        <w:rPr>
          <w:szCs w:val="24"/>
        </w:rPr>
      </w:pPr>
      <w:r w:rsidRPr="0096338A">
        <w:rPr>
          <w:szCs w:val="24"/>
        </w:rPr>
        <w:tab/>
        <w:t>Als eerste volgt een sche</w:t>
      </w:r>
      <w:r w:rsidR="004816B0" w:rsidRPr="0096338A">
        <w:rPr>
          <w:szCs w:val="24"/>
        </w:rPr>
        <w:t xml:space="preserve">ts van de verschillende </w:t>
      </w:r>
      <w:r w:rsidR="00BE6863" w:rsidRPr="0096338A">
        <w:rPr>
          <w:szCs w:val="24"/>
        </w:rPr>
        <w:t>opvatt</w:t>
      </w:r>
      <w:r w:rsidR="00431DA0" w:rsidRPr="0096338A">
        <w:rPr>
          <w:szCs w:val="24"/>
        </w:rPr>
        <w:t>ingen van historici wat betreft</w:t>
      </w:r>
      <w:r w:rsidR="004816B0" w:rsidRPr="0096338A">
        <w:rPr>
          <w:szCs w:val="24"/>
        </w:rPr>
        <w:t xml:space="preserve"> </w:t>
      </w:r>
      <w:r w:rsidR="00BE6863" w:rsidRPr="0096338A">
        <w:rPr>
          <w:szCs w:val="24"/>
        </w:rPr>
        <w:t xml:space="preserve">de </w:t>
      </w:r>
      <w:r w:rsidR="004816B0" w:rsidRPr="0096338A">
        <w:rPr>
          <w:szCs w:val="24"/>
        </w:rPr>
        <w:t xml:space="preserve">tijd </w:t>
      </w:r>
      <w:r w:rsidR="00BE6863" w:rsidRPr="0096338A">
        <w:rPr>
          <w:szCs w:val="24"/>
        </w:rPr>
        <w:t xml:space="preserve">waarin bepaalde evoluties plaatsvonden. </w:t>
      </w:r>
      <w:r w:rsidR="004816B0" w:rsidRPr="0096338A">
        <w:rPr>
          <w:szCs w:val="24"/>
        </w:rPr>
        <w:t xml:space="preserve">Daarna geeft </w:t>
      </w:r>
      <w:r w:rsidR="00431DA0" w:rsidRPr="0096338A">
        <w:rPr>
          <w:szCs w:val="24"/>
        </w:rPr>
        <w:t>dit</w:t>
      </w:r>
      <w:r w:rsidR="004816B0" w:rsidRPr="0096338A">
        <w:rPr>
          <w:szCs w:val="24"/>
        </w:rPr>
        <w:t xml:space="preserve"> </w:t>
      </w:r>
      <w:r w:rsidR="00431DA0" w:rsidRPr="0096338A">
        <w:rPr>
          <w:szCs w:val="24"/>
        </w:rPr>
        <w:t xml:space="preserve">thema </w:t>
      </w:r>
      <w:r w:rsidR="004816B0" w:rsidRPr="0096338A">
        <w:rPr>
          <w:szCs w:val="24"/>
        </w:rPr>
        <w:t>een overzicht van de verklaringen voor de</w:t>
      </w:r>
      <w:r w:rsidR="00431DA0" w:rsidRPr="0096338A">
        <w:rPr>
          <w:szCs w:val="24"/>
        </w:rPr>
        <w:t xml:space="preserve"> mogelijke</w:t>
      </w:r>
      <w:r w:rsidR="004816B0" w:rsidRPr="0096338A">
        <w:rPr>
          <w:szCs w:val="24"/>
        </w:rPr>
        <w:t xml:space="preserve"> </w:t>
      </w:r>
      <w:r w:rsidR="006B3BD6" w:rsidRPr="0096338A">
        <w:rPr>
          <w:szCs w:val="24"/>
        </w:rPr>
        <w:t xml:space="preserve">maatschappelijke </w:t>
      </w:r>
      <w:r w:rsidR="004816B0" w:rsidRPr="0096338A">
        <w:rPr>
          <w:szCs w:val="24"/>
        </w:rPr>
        <w:t>verandering</w:t>
      </w:r>
      <w:r w:rsidR="006B3BD6" w:rsidRPr="0096338A">
        <w:rPr>
          <w:szCs w:val="24"/>
        </w:rPr>
        <w:t>en</w:t>
      </w:r>
      <w:r w:rsidR="00431DA0" w:rsidRPr="0096338A">
        <w:rPr>
          <w:szCs w:val="24"/>
        </w:rPr>
        <w:t xml:space="preserve">. </w:t>
      </w:r>
      <w:r w:rsidR="00CE50BC" w:rsidRPr="0096338A">
        <w:rPr>
          <w:szCs w:val="24"/>
        </w:rPr>
        <w:t>Er bestaan in de historiografie hierover drie grote casuele tendensen</w:t>
      </w:r>
      <w:r w:rsidR="00431DA0" w:rsidRPr="0096338A">
        <w:rPr>
          <w:szCs w:val="24"/>
        </w:rPr>
        <w:t xml:space="preserve">. </w:t>
      </w:r>
      <w:r w:rsidR="00BE6863" w:rsidRPr="0096338A">
        <w:rPr>
          <w:szCs w:val="24"/>
        </w:rPr>
        <w:t>Verschillende onderzoekers hebben uiteenlopende opvattingen over het belang</w:t>
      </w:r>
      <w:r w:rsidR="006B3BD6" w:rsidRPr="0096338A">
        <w:rPr>
          <w:szCs w:val="24"/>
        </w:rPr>
        <w:t xml:space="preserve"> van deze tendensen voor de verklaring van de evoluties.</w:t>
      </w:r>
      <w:r w:rsidR="004816B0" w:rsidRPr="0096338A">
        <w:rPr>
          <w:szCs w:val="24"/>
        </w:rPr>
        <w:t xml:space="preserve"> Shennan Hutton legt de oorzaak bij een culturele verschuiving naar een meer patriarchale samenleving. Daar</w:t>
      </w:r>
      <w:r w:rsidR="00431DA0" w:rsidRPr="0096338A">
        <w:rPr>
          <w:szCs w:val="24"/>
        </w:rPr>
        <w:t xml:space="preserve">naast </w:t>
      </w:r>
      <w:r w:rsidR="006B3BD6" w:rsidRPr="0096338A">
        <w:rPr>
          <w:szCs w:val="24"/>
        </w:rPr>
        <w:t>zien</w:t>
      </w:r>
      <w:r w:rsidR="004816B0" w:rsidRPr="0096338A">
        <w:rPr>
          <w:szCs w:val="24"/>
        </w:rPr>
        <w:t xml:space="preserve"> historici vaak de opkomst van het kapitalisme </w:t>
      </w:r>
      <w:r w:rsidR="006B3BD6" w:rsidRPr="0096338A">
        <w:rPr>
          <w:szCs w:val="24"/>
        </w:rPr>
        <w:t xml:space="preserve">als </w:t>
      </w:r>
      <w:r w:rsidR="004816B0" w:rsidRPr="0096338A">
        <w:rPr>
          <w:szCs w:val="24"/>
        </w:rPr>
        <w:t xml:space="preserve">grondslag van de verandering. Voor </w:t>
      </w:r>
      <w:r w:rsidR="00431DA0" w:rsidRPr="0096338A">
        <w:rPr>
          <w:szCs w:val="24"/>
        </w:rPr>
        <w:t>deze</w:t>
      </w:r>
      <w:r w:rsidR="004816B0" w:rsidRPr="0096338A">
        <w:rPr>
          <w:szCs w:val="24"/>
        </w:rPr>
        <w:t xml:space="preserve"> theo</w:t>
      </w:r>
      <w:r w:rsidR="00FD1FC1" w:rsidRPr="0096338A">
        <w:rPr>
          <w:szCs w:val="24"/>
        </w:rPr>
        <w:t>rie is echter steeds minder aan</w:t>
      </w:r>
      <w:r w:rsidR="00431DA0" w:rsidRPr="0096338A">
        <w:rPr>
          <w:szCs w:val="24"/>
        </w:rPr>
        <w:t>h</w:t>
      </w:r>
      <w:r w:rsidR="004816B0" w:rsidRPr="0096338A">
        <w:rPr>
          <w:szCs w:val="24"/>
        </w:rPr>
        <w:t xml:space="preserve">ang te vinden. Ten slotte wordt de reden regelmatig bij de </w:t>
      </w:r>
      <w:r w:rsidR="00431DA0" w:rsidRPr="0096338A">
        <w:rPr>
          <w:szCs w:val="24"/>
        </w:rPr>
        <w:t xml:space="preserve">toenemende </w:t>
      </w:r>
      <w:r w:rsidR="004816B0" w:rsidRPr="0096338A">
        <w:rPr>
          <w:szCs w:val="24"/>
        </w:rPr>
        <w:t>groepering van beroepen in ambachten gelegd. De beperkte informatie die de ordonnanties bevat</w:t>
      </w:r>
      <w:r w:rsidR="00FD1FC1" w:rsidRPr="0096338A">
        <w:rPr>
          <w:szCs w:val="24"/>
        </w:rPr>
        <w:t>ten</w:t>
      </w:r>
      <w:r w:rsidR="00431DA0" w:rsidRPr="0096338A">
        <w:rPr>
          <w:szCs w:val="24"/>
        </w:rPr>
        <w:t>,</w:t>
      </w:r>
      <w:r w:rsidR="004816B0" w:rsidRPr="0096338A">
        <w:rPr>
          <w:szCs w:val="24"/>
        </w:rPr>
        <w:t xml:space="preserve"> laat echter niet toe een werkelijke verandering waar te nemen. Verschillende beslissingen dateren inderdaad uit de vijftiende eeuw, maar d</w:t>
      </w:r>
      <w:r w:rsidR="006B3BD6" w:rsidRPr="0096338A">
        <w:rPr>
          <w:szCs w:val="24"/>
        </w:rPr>
        <w:t xml:space="preserve">eze teksten zijn meteen ook </w:t>
      </w:r>
      <w:r w:rsidR="004816B0" w:rsidRPr="0096338A">
        <w:rPr>
          <w:szCs w:val="24"/>
        </w:rPr>
        <w:t xml:space="preserve">de eerste </w:t>
      </w:r>
      <w:r w:rsidR="006B3BD6" w:rsidRPr="0096338A">
        <w:rPr>
          <w:szCs w:val="24"/>
        </w:rPr>
        <w:t xml:space="preserve">geschreven bronnen over de </w:t>
      </w:r>
      <w:r w:rsidR="004816B0" w:rsidRPr="0096338A">
        <w:rPr>
          <w:szCs w:val="24"/>
        </w:rPr>
        <w:t xml:space="preserve">Leuvense ambachtsstatuten. </w:t>
      </w:r>
      <w:r w:rsidR="00CE50BC" w:rsidRPr="0096338A">
        <w:rPr>
          <w:szCs w:val="24"/>
        </w:rPr>
        <w:t>Er bestond simpelweg geen eerdere weergave van de wetgeving</w:t>
      </w:r>
      <w:r w:rsidR="004816B0" w:rsidRPr="0096338A">
        <w:rPr>
          <w:szCs w:val="24"/>
        </w:rPr>
        <w:t>. Het onderdeel van dit hoofdstuk dat de verandering verklaart</w:t>
      </w:r>
      <w:r w:rsidR="006B3BD6" w:rsidRPr="0096338A">
        <w:rPr>
          <w:szCs w:val="24"/>
        </w:rPr>
        <w:t>,</w:t>
      </w:r>
      <w:r w:rsidR="004816B0" w:rsidRPr="0096338A">
        <w:rPr>
          <w:szCs w:val="24"/>
        </w:rPr>
        <w:t xml:space="preserve"> zal dus </w:t>
      </w:r>
      <w:r w:rsidR="00431DA0" w:rsidRPr="0096338A">
        <w:rPr>
          <w:szCs w:val="24"/>
        </w:rPr>
        <w:t>hypothetisch</w:t>
      </w:r>
      <w:r w:rsidR="004816B0" w:rsidRPr="0096338A">
        <w:rPr>
          <w:szCs w:val="24"/>
        </w:rPr>
        <w:t xml:space="preserve"> uitgaan van het bestaan </w:t>
      </w:r>
      <w:r w:rsidR="00FD1FC1" w:rsidRPr="0096338A">
        <w:rPr>
          <w:szCs w:val="24"/>
        </w:rPr>
        <w:t>van een verschuiving</w:t>
      </w:r>
      <w:r w:rsidR="004816B0" w:rsidRPr="0096338A">
        <w:rPr>
          <w:szCs w:val="24"/>
        </w:rPr>
        <w:t xml:space="preserve"> (enkele bevindingen bevestigen dit ook). Steunend op die hypothese, zal dit onderzoek zich aansluiten bij de derde verklaring, namelijk dat de ambachten een stuwende kracht waren in </w:t>
      </w:r>
      <w:r w:rsidR="00CE50BC" w:rsidRPr="0096338A">
        <w:rPr>
          <w:szCs w:val="24"/>
        </w:rPr>
        <w:t>de uitsluiting</w:t>
      </w:r>
      <w:r w:rsidR="004816B0" w:rsidRPr="0096338A">
        <w:rPr>
          <w:szCs w:val="24"/>
        </w:rPr>
        <w:t xml:space="preserve"> van de vrouw. Wat echter opvalt is het verschil tussen de beslissingen van de Leuvense stadsraad e</w:t>
      </w:r>
      <w:r w:rsidR="00FD1FC1" w:rsidRPr="0096338A">
        <w:rPr>
          <w:szCs w:val="24"/>
        </w:rPr>
        <w:t>n</w:t>
      </w:r>
      <w:r w:rsidR="004816B0" w:rsidRPr="0096338A">
        <w:rPr>
          <w:szCs w:val="24"/>
        </w:rPr>
        <w:t xml:space="preserve"> de w</w:t>
      </w:r>
      <w:r w:rsidR="00FD1FC1" w:rsidRPr="0096338A">
        <w:rPr>
          <w:szCs w:val="24"/>
        </w:rPr>
        <w:t>aarneming</w:t>
      </w:r>
      <w:r w:rsidR="004816B0" w:rsidRPr="0096338A">
        <w:rPr>
          <w:szCs w:val="24"/>
        </w:rPr>
        <w:t xml:space="preserve"> van </w:t>
      </w:r>
      <w:r w:rsidR="00FD1FC1" w:rsidRPr="0096338A">
        <w:rPr>
          <w:szCs w:val="24"/>
        </w:rPr>
        <w:t>een</w:t>
      </w:r>
      <w:r w:rsidR="004816B0" w:rsidRPr="0096338A">
        <w:rPr>
          <w:szCs w:val="24"/>
        </w:rPr>
        <w:t xml:space="preserve"> verschuiving in eerdere onderzoeken. Een derde deel zal daarom aantonen dat de Leuvense ambachtenwereld wel degelijk plaats liet voor vrouwen en er dus nuance nodig is in eerdere stellingname</w:t>
      </w:r>
      <w:r w:rsidR="00431DA0" w:rsidRPr="0096338A">
        <w:rPr>
          <w:szCs w:val="24"/>
        </w:rPr>
        <w:t>n</w:t>
      </w:r>
      <w:r w:rsidR="004816B0" w:rsidRPr="0096338A">
        <w:rPr>
          <w:szCs w:val="24"/>
        </w:rPr>
        <w:t xml:space="preserve">. Hoewel er dus waarschijnlijk enige verandering optrad ten opzichte van de veertiende eeuw, is de </w:t>
      </w:r>
      <w:r w:rsidR="00431DA0" w:rsidRPr="0096338A">
        <w:rPr>
          <w:szCs w:val="24"/>
        </w:rPr>
        <w:t xml:space="preserve">negatieve kijk </w:t>
      </w:r>
      <w:r w:rsidR="004816B0" w:rsidRPr="0096338A">
        <w:rPr>
          <w:szCs w:val="24"/>
        </w:rPr>
        <w:t xml:space="preserve">die over het algemeen de tendens vormt in onderzoek naar de positie van de vrouw niet volledig accuraat. </w:t>
      </w:r>
    </w:p>
    <w:p w:rsidR="00C07878" w:rsidRPr="0096338A" w:rsidRDefault="00C07878" w:rsidP="00C07878">
      <w:pPr>
        <w:pStyle w:val="Kop3"/>
        <w:rPr>
          <w:szCs w:val="24"/>
        </w:rPr>
      </w:pPr>
      <w:bookmarkStart w:id="16" w:name="_Toc452371448"/>
      <w:r w:rsidRPr="0096338A">
        <w:rPr>
          <w:szCs w:val="24"/>
        </w:rPr>
        <w:t xml:space="preserve">3.4.1 </w:t>
      </w:r>
      <w:r w:rsidR="00EA12F5" w:rsidRPr="0096338A">
        <w:rPr>
          <w:szCs w:val="24"/>
        </w:rPr>
        <w:t>De uiteenlopende chronologie in de geschiedschrijving</w:t>
      </w:r>
      <w:bookmarkEnd w:id="16"/>
    </w:p>
    <w:p w:rsidR="00FB7238" w:rsidRPr="0096338A" w:rsidRDefault="00FB7238" w:rsidP="00FB7238">
      <w:pPr>
        <w:rPr>
          <w:szCs w:val="24"/>
        </w:rPr>
      </w:pPr>
      <w:r w:rsidRPr="0096338A">
        <w:t>Over het algemeen aanvaarden onderzoekers steeds het bestaan van de verandering in de positie van de vrouw. Er heerst echter onenigheid over de situering</w:t>
      </w:r>
      <w:r w:rsidR="00EE5978" w:rsidRPr="0096338A">
        <w:t xml:space="preserve"> daarvan</w:t>
      </w:r>
      <w:r w:rsidRPr="0096338A">
        <w:t xml:space="preserve"> in tijd, wat een erg gedifferentieerde tijds</w:t>
      </w:r>
      <w:r w:rsidR="00EE5978" w:rsidRPr="0096338A">
        <w:t xml:space="preserve">aanduiding </w:t>
      </w:r>
      <w:r w:rsidRPr="0096338A">
        <w:t xml:space="preserve">oplevert. Kathryn Reyerson plaatst de origine van de verschuiving reeds in de elfde eeuw. Ze stelt dat die begon bij vrouwen van adel, die steeds minder </w:t>
      </w:r>
      <w:r w:rsidR="00EE5978" w:rsidRPr="0096338A">
        <w:t xml:space="preserve">van </w:t>
      </w:r>
      <w:r w:rsidRPr="0096338A">
        <w:t xml:space="preserve">bewegingsvrijheid konden genieten. Een meer algemene </w:t>
      </w:r>
      <w:r w:rsidR="00F243EC" w:rsidRPr="0096338A">
        <w:t>uitsluiting</w:t>
      </w:r>
      <w:r w:rsidRPr="0096338A">
        <w:t xml:space="preserve"> van de vrouw </w:t>
      </w:r>
      <w:r w:rsidRPr="0096338A">
        <w:lastRenderedPageBreak/>
        <w:t>plaatst ze in de loop van de veertiende eeuw, na de Zwarte Dood die Europa rond 1350 teisterde.</w:t>
      </w:r>
      <w:r w:rsidRPr="0096338A">
        <w:rPr>
          <w:rStyle w:val="Voetnootmarkering"/>
        </w:rPr>
        <w:footnoteReference w:id="211"/>
      </w:r>
      <w:r w:rsidRPr="0096338A">
        <w:t xml:space="preserve"> Dit gaat echter in tegen andere onderzoekers, die stellen dat de epidemie zorgde voor meer gelegenheden voor vrouwen om een groter inkomen te verkrijgen.</w:t>
      </w:r>
      <w:r w:rsidRPr="0096338A">
        <w:rPr>
          <w:rStyle w:val="Voetnootmarkering"/>
        </w:rPr>
        <w:footnoteReference w:id="212"/>
      </w:r>
      <w:r w:rsidRPr="0096338A">
        <w:t xml:space="preserve"> Queller en Kittell wijten de verandering aan de opkomende instituties die de vrijheid van de vrouw reeds vanaf de twaalfde eeuw gingen beperken.</w:t>
      </w:r>
      <w:r w:rsidRPr="0096338A">
        <w:rPr>
          <w:rStyle w:val="Voetnootmarkering"/>
        </w:rPr>
        <w:footnoteReference w:id="213"/>
      </w:r>
      <w:r w:rsidRPr="0096338A">
        <w:t xml:space="preserve"> Peter Stabel plaatst de verschuiving echter pas in de vroegmoderne tijd. Hij stelt bijvoorbeeld dat het lidmaatschap van vrouwen en kinderen bij de ambachten in </w:t>
      </w:r>
      <w:r w:rsidR="00EE5978" w:rsidRPr="0096338A">
        <w:t>vraag gesteld werd</w:t>
      </w:r>
      <w:r w:rsidRPr="0096338A">
        <w:t xml:space="preserve"> doorheen de zestiende en zelfs de zeventiende eeuw.</w:t>
      </w:r>
      <w:r w:rsidRPr="0096338A">
        <w:rPr>
          <w:rStyle w:val="Voetnootmarkering"/>
        </w:rPr>
        <w:footnoteReference w:id="214"/>
      </w:r>
      <w:r w:rsidR="00CB5DF8" w:rsidRPr="0096338A">
        <w:t xml:space="preserve"> </w:t>
      </w:r>
      <w:r w:rsidR="00F243EC" w:rsidRPr="0096338A">
        <w:t>D</w:t>
      </w:r>
      <w:r w:rsidR="00CB5DF8" w:rsidRPr="0096338A">
        <w:t xml:space="preserve">oorgaans aanvaarden onderzoekers echter dat </w:t>
      </w:r>
      <w:r w:rsidR="00EE5978" w:rsidRPr="0096338A">
        <w:t>de situatie van vrouwen in de middeleeuwse stad</w:t>
      </w:r>
      <w:r w:rsidR="00A660F1" w:rsidRPr="0096338A">
        <w:t xml:space="preserve"> – zowel </w:t>
      </w:r>
      <w:r w:rsidR="00EE5978" w:rsidRPr="0096338A">
        <w:t xml:space="preserve">voor </w:t>
      </w:r>
      <w:r w:rsidR="00A660F1" w:rsidRPr="0096338A">
        <w:t xml:space="preserve">de hogere als de lagere standen – tegen </w:t>
      </w:r>
      <w:r w:rsidR="00CB5DF8" w:rsidRPr="0096338A">
        <w:t>het einde van de vijftiende eeuw</w:t>
      </w:r>
      <w:r w:rsidR="00EE5978" w:rsidRPr="0096338A">
        <w:t xml:space="preserve"> </w:t>
      </w:r>
      <w:r w:rsidR="00CB5DF8" w:rsidRPr="0096338A">
        <w:t xml:space="preserve">gekanteld was. </w:t>
      </w:r>
      <w:r w:rsidR="00CB5DF8" w:rsidRPr="0096338A">
        <w:rPr>
          <w:lang w:val="en-GB"/>
        </w:rPr>
        <w:t>Hutton stelt bijvoorbeeld: “</w:t>
      </w:r>
      <w:r w:rsidR="00CB5DF8" w:rsidRPr="0096338A">
        <w:rPr>
          <w:szCs w:val="24"/>
          <w:lang w:val="en-GB"/>
        </w:rPr>
        <w:t>By the early fifteenth century, women were losing access to middling economic niches and their economic activities were increasingly determined by their marital status.”</w:t>
      </w:r>
      <w:r w:rsidR="00CB5DF8" w:rsidRPr="0096338A">
        <w:rPr>
          <w:rStyle w:val="Voetnootmarkering"/>
          <w:szCs w:val="24"/>
          <w:lang w:val="en-GB"/>
        </w:rPr>
        <w:footnoteReference w:id="215"/>
      </w:r>
      <w:r w:rsidR="00CB5DF8" w:rsidRPr="0096338A">
        <w:rPr>
          <w:szCs w:val="24"/>
          <w:lang w:val="en-GB"/>
        </w:rPr>
        <w:t xml:space="preserve"> </w:t>
      </w:r>
      <w:r w:rsidR="00CB5DF8" w:rsidRPr="0096338A">
        <w:rPr>
          <w:szCs w:val="24"/>
        </w:rPr>
        <w:t>Hiermee geeft ze echter een aanleiding voor een belangrijke opmerking over de veronderstelling dat een verandering zich inderdaad vo</w:t>
      </w:r>
      <w:r w:rsidR="00FD1FC1" w:rsidRPr="0096338A">
        <w:rPr>
          <w:szCs w:val="24"/>
        </w:rPr>
        <w:t>ltrok. Vrouwen konden misschien moeilijker aan posities van hogere status geraken, ze bleven ongetwijfeld aanwezig binnen de ambachten.</w:t>
      </w:r>
      <w:r w:rsidR="00FD1FC1" w:rsidRPr="0096338A">
        <w:rPr>
          <w:rStyle w:val="Voetnootmarkering"/>
          <w:szCs w:val="24"/>
        </w:rPr>
        <w:footnoteReference w:id="216"/>
      </w:r>
      <w:r w:rsidR="00FD1FC1" w:rsidRPr="0096338A">
        <w:rPr>
          <w:szCs w:val="24"/>
        </w:rPr>
        <w:t xml:space="preserve"> Het is erg belangrijk dit steeds te onthouden bij het onderzoek naar de positie van de vrouw in de ambachtenwereld. </w:t>
      </w:r>
    </w:p>
    <w:p w:rsidR="00FD1FC1" w:rsidRPr="0096338A" w:rsidRDefault="00FD1FC1" w:rsidP="00FB7238">
      <w:pPr>
        <w:rPr>
          <w:szCs w:val="24"/>
        </w:rPr>
      </w:pPr>
      <w:r w:rsidRPr="0096338A">
        <w:rPr>
          <w:szCs w:val="24"/>
        </w:rPr>
        <w:tab/>
        <w:t>De Leuvense ordonnantieboeken bieden weinig informatie over de posities die voor vrouwen toegankelijk waren</w:t>
      </w:r>
      <w:r w:rsidR="00EE5978" w:rsidRPr="0096338A">
        <w:rPr>
          <w:szCs w:val="24"/>
        </w:rPr>
        <w:t xml:space="preserve"> binnen de ambachten</w:t>
      </w:r>
      <w:r w:rsidRPr="0096338A">
        <w:rPr>
          <w:szCs w:val="24"/>
        </w:rPr>
        <w:t xml:space="preserve">. Toch stipt dit onderzoek een lacune in eerdere studies aan. In Leuven konden vrouwen in de vijftiende eeuw ongetwijfeld zelfstandig ondernemen, zoals eerder uitvoerig aan bod kwam. Het </w:t>
      </w:r>
      <w:r w:rsidR="00A660F1" w:rsidRPr="0096338A">
        <w:rPr>
          <w:szCs w:val="24"/>
        </w:rPr>
        <w:t>eerder</w:t>
      </w:r>
      <w:r w:rsidRPr="0096338A">
        <w:rPr>
          <w:szCs w:val="24"/>
        </w:rPr>
        <w:t xml:space="preserve"> vermel</w:t>
      </w:r>
      <w:r w:rsidR="003C6F1B" w:rsidRPr="0096338A">
        <w:rPr>
          <w:szCs w:val="24"/>
        </w:rPr>
        <w:t>d</w:t>
      </w:r>
      <w:r w:rsidRPr="0096338A">
        <w:rPr>
          <w:szCs w:val="24"/>
        </w:rPr>
        <w:t>e conflict tussen enerzijds Henric Mychiels en zijn vrouw Kateline en anderzijds de gezworenen van het vleeshouwersambacht toon</w:t>
      </w:r>
      <w:r w:rsidR="00A660F1" w:rsidRPr="0096338A">
        <w:rPr>
          <w:szCs w:val="24"/>
        </w:rPr>
        <w:t>t</w:t>
      </w:r>
      <w:r w:rsidRPr="0096338A">
        <w:rPr>
          <w:szCs w:val="24"/>
        </w:rPr>
        <w:t xml:space="preserve"> dit bijvoorbeeld al aan. Kateline verkocht </w:t>
      </w:r>
      <w:r w:rsidR="00DF09B6" w:rsidRPr="0096338A">
        <w:rPr>
          <w:szCs w:val="24"/>
        </w:rPr>
        <w:t xml:space="preserve">voor </w:t>
      </w:r>
      <w:r w:rsidR="00A660F1" w:rsidRPr="0096338A">
        <w:rPr>
          <w:szCs w:val="24"/>
        </w:rPr>
        <w:t xml:space="preserve">ze hertrouwde </w:t>
      </w:r>
      <w:r w:rsidRPr="0096338A">
        <w:rPr>
          <w:szCs w:val="24"/>
        </w:rPr>
        <w:t>reeds vlees</w:t>
      </w:r>
      <w:r w:rsidR="00DF09B6" w:rsidRPr="0096338A">
        <w:rPr>
          <w:szCs w:val="24"/>
        </w:rPr>
        <w:t xml:space="preserve"> als alleenstaande vrouw</w:t>
      </w:r>
      <w:r w:rsidRPr="0096338A">
        <w:rPr>
          <w:szCs w:val="24"/>
        </w:rPr>
        <w:t xml:space="preserve">, het ging dus niet louter om een lage positie als hulp </w:t>
      </w:r>
      <w:r w:rsidR="00A660F1" w:rsidRPr="0096338A">
        <w:rPr>
          <w:szCs w:val="24"/>
        </w:rPr>
        <w:t>van haar man na hun</w:t>
      </w:r>
      <w:r w:rsidRPr="0096338A">
        <w:rPr>
          <w:szCs w:val="24"/>
        </w:rPr>
        <w:t xml:space="preserve"> huwelijk.</w:t>
      </w:r>
      <w:r w:rsidRPr="0096338A">
        <w:rPr>
          <w:rStyle w:val="Voetnootmarkering"/>
          <w:szCs w:val="24"/>
        </w:rPr>
        <w:footnoteReference w:id="217"/>
      </w:r>
      <w:r w:rsidRPr="0096338A">
        <w:rPr>
          <w:szCs w:val="24"/>
        </w:rPr>
        <w:t xml:space="preserve"> Jan Van Gerven nuanceerde ook de pessimistische </w:t>
      </w:r>
      <w:r w:rsidR="00684C3F" w:rsidRPr="0096338A">
        <w:rPr>
          <w:szCs w:val="24"/>
        </w:rPr>
        <w:t>k</w:t>
      </w:r>
      <w:r w:rsidRPr="0096338A">
        <w:rPr>
          <w:szCs w:val="24"/>
        </w:rPr>
        <w:t xml:space="preserve">ijk op de mogelijkheden voor vrouwen doorheen de vijftiende eeuw. Hij stelt dat de dalende economie aan de basis lag voor de </w:t>
      </w:r>
      <w:r w:rsidR="00F243EC" w:rsidRPr="0096338A">
        <w:rPr>
          <w:szCs w:val="24"/>
        </w:rPr>
        <w:t>uitsluiting</w:t>
      </w:r>
      <w:r w:rsidRPr="0096338A">
        <w:rPr>
          <w:szCs w:val="24"/>
        </w:rPr>
        <w:t xml:space="preserve"> van de vrouw. </w:t>
      </w:r>
      <w:r w:rsidR="00684C3F" w:rsidRPr="0096338A">
        <w:rPr>
          <w:szCs w:val="24"/>
        </w:rPr>
        <w:t xml:space="preserve">Het stadsbestuur probeerde namelijk werkloosheid bij mannen te voorkomen ten koste van de positie van de vrouw in de arbeidswereld. Een gunstige economische situatie liet dan wel weer toe dat een vrouw actief </w:t>
      </w:r>
      <w:r w:rsidR="00684C3F" w:rsidRPr="0096338A">
        <w:rPr>
          <w:szCs w:val="24"/>
        </w:rPr>
        <w:lastRenderedPageBreak/>
        <w:t>werk ondernam.</w:t>
      </w:r>
      <w:r w:rsidR="00684C3F" w:rsidRPr="0096338A">
        <w:rPr>
          <w:rStyle w:val="Voetnootmarkering"/>
          <w:szCs w:val="24"/>
        </w:rPr>
        <w:footnoteReference w:id="218"/>
      </w:r>
      <w:r w:rsidR="00684C3F" w:rsidRPr="0096338A">
        <w:rPr>
          <w:szCs w:val="24"/>
        </w:rPr>
        <w:t xml:space="preserve"> De Leuvense ordon</w:t>
      </w:r>
      <w:r w:rsidR="00A660F1" w:rsidRPr="0096338A">
        <w:rPr>
          <w:szCs w:val="24"/>
        </w:rPr>
        <w:t xml:space="preserve">nanties suggereren </w:t>
      </w:r>
      <w:r w:rsidR="00684C3F" w:rsidRPr="0096338A">
        <w:rPr>
          <w:szCs w:val="24"/>
        </w:rPr>
        <w:t>echter het tegengestelde. Het gebrek aan beslissingen in verband met vrouwen in de ambachtenwereld in de periodes van zware crisis wijst hier op. Voor de periode tussen 1477 en 1490, ee</w:t>
      </w:r>
      <w:r w:rsidR="00A660F1" w:rsidRPr="0096338A">
        <w:rPr>
          <w:szCs w:val="24"/>
        </w:rPr>
        <w:t>n</w:t>
      </w:r>
      <w:r w:rsidR="00684C3F" w:rsidRPr="0096338A">
        <w:rPr>
          <w:szCs w:val="24"/>
        </w:rPr>
        <w:t xml:space="preserve"> periode die in Leuven zeker als crisisperiode gold, zijn geen ordonnanties te vinden </w:t>
      </w:r>
      <w:r w:rsidR="00A660F1" w:rsidRPr="0096338A">
        <w:rPr>
          <w:szCs w:val="24"/>
        </w:rPr>
        <w:t>rond bijkomende</w:t>
      </w:r>
      <w:r w:rsidR="00684C3F" w:rsidRPr="0096338A">
        <w:rPr>
          <w:szCs w:val="24"/>
        </w:rPr>
        <w:t xml:space="preserve"> restricties voor de werkende vrouw. Pas in 1493 vaardigt de stadsraad een ordonnantie ui</w:t>
      </w:r>
      <w:r w:rsidR="009C127D" w:rsidRPr="0096338A">
        <w:rPr>
          <w:szCs w:val="24"/>
        </w:rPr>
        <w:t>t waar vrouwen in vermeld staan</w:t>
      </w:r>
      <w:r w:rsidR="00684C3F" w:rsidRPr="0096338A">
        <w:rPr>
          <w:szCs w:val="24"/>
        </w:rPr>
        <w:t xml:space="preserve">. Namelijk beslissingen met betrekking tot het </w:t>
      </w:r>
      <w:r w:rsidR="00684C3F" w:rsidRPr="0096338A">
        <w:rPr>
          <w:i/>
          <w:szCs w:val="24"/>
        </w:rPr>
        <w:t>goetdoen</w:t>
      </w:r>
      <w:r w:rsidR="00A75E66" w:rsidRPr="0096338A">
        <w:rPr>
          <w:szCs w:val="24"/>
        </w:rPr>
        <w:t xml:space="preserve"> voor de leden van</w:t>
      </w:r>
      <w:r w:rsidR="00684C3F" w:rsidRPr="0096338A">
        <w:rPr>
          <w:szCs w:val="24"/>
        </w:rPr>
        <w:t xml:space="preserve"> het bakkersambacht.</w:t>
      </w:r>
      <w:r w:rsidR="00684C3F" w:rsidRPr="0096338A">
        <w:rPr>
          <w:rStyle w:val="Voetnootmarkering"/>
          <w:szCs w:val="24"/>
        </w:rPr>
        <w:footnoteReference w:id="219"/>
      </w:r>
      <w:r w:rsidR="00684C3F" w:rsidRPr="0096338A">
        <w:rPr>
          <w:szCs w:val="24"/>
        </w:rPr>
        <w:t xml:space="preserve"> </w:t>
      </w:r>
      <w:r w:rsidR="00A75E66" w:rsidRPr="0096338A">
        <w:rPr>
          <w:szCs w:val="24"/>
        </w:rPr>
        <w:t xml:space="preserve">In de praktijk kan de stilte in de bronnen echter ook wijzen op een vergrotende informele markt waar het stadsbestuur in tijden van crisis weinig aandacht op vestigde. Vrouwen werkten dus niet per se binnen de corporaties, maar – nog belangrijker – ze werkten waarschijnlijk wel. </w:t>
      </w:r>
      <w:r w:rsidR="00684C3F" w:rsidRPr="0096338A">
        <w:rPr>
          <w:szCs w:val="24"/>
        </w:rPr>
        <w:t xml:space="preserve">Zoals een volgend </w:t>
      </w:r>
      <w:r w:rsidR="00A660F1" w:rsidRPr="0096338A">
        <w:rPr>
          <w:szCs w:val="24"/>
        </w:rPr>
        <w:t>onderdeel</w:t>
      </w:r>
      <w:r w:rsidR="0076225E" w:rsidRPr="0096338A">
        <w:rPr>
          <w:szCs w:val="24"/>
        </w:rPr>
        <w:t xml:space="preserve"> </w:t>
      </w:r>
      <w:r w:rsidR="00A660F1" w:rsidRPr="0096338A">
        <w:rPr>
          <w:szCs w:val="24"/>
        </w:rPr>
        <w:t>aantoont</w:t>
      </w:r>
      <w:r w:rsidR="0076225E" w:rsidRPr="0096338A">
        <w:rPr>
          <w:szCs w:val="24"/>
        </w:rPr>
        <w:t>,</w:t>
      </w:r>
      <w:r w:rsidR="001E09D4" w:rsidRPr="0096338A">
        <w:rPr>
          <w:szCs w:val="24"/>
        </w:rPr>
        <w:t xml:space="preserve"> bevatten d</w:t>
      </w:r>
      <w:r w:rsidR="00684C3F" w:rsidRPr="0096338A">
        <w:rPr>
          <w:szCs w:val="24"/>
        </w:rPr>
        <w:t xml:space="preserve">e regelingen </w:t>
      </w:r>
      <w:r w:rsidR="001E09D4" w:rsidRPr="0096338A">
        <w:rPr>
          <w:szCs w:val="24"/>
        </w:rPr>
        <w:t xml:space="preserve">uit die crisisperiode </w:t>
      </w:r>
      <w:r w:rsidR="00684C3F" w:rsidRPr="0096338A">
        <w:rPr>
          <w:szCs w:val="24"/>
        </w:rPr>
        <w:t xml:space="preserve">evenmin grote nadelen voor vrouwen, hoewel ze slechts de helft van het armengeld ontvingen. </w:t>
      </w:r>
      <w:r w:rsidR="001E09D4" w:rsidRPr="0096338A">
        <w:rPr>
          <w:szCs w:val="24"/>
        </w:rPr>
        <w:t xml:space="preserve">Daarenboven </w:t>
      </w:r>
      <w:r w:rsidR="00A660F1" w:rsidRPr="0096338A">
        <w:rPr>
          <w:szCs w:val="24"/>
        </w:rPr>
        <w:t xml:space="preserve">kan het betekenen dat het stadsbestuur het in deze moeilijkere periodes ook gewoon toeliet. </w:t>
      </w:r>
      <w:r w:rsidR="00684C3F" w:rsidRPr="0096338A">
        <w:rPr>
          <w:szCs w:val="24"/>
        </w:rPr>
        <w:t xml:space="preserve">Andere periodes bevatten namelijk </w:t>
      </w:r>
      <w:r w:rsidR="001E09D4" w:rsidRPr="0096338A">
        <w:rPr>
          <w:szCs w:val="24"/>
        </w:rPr>
        <w:t xml:space="preserve">wel </w:t>
      </w:r>
      <w:r w:rsidR="00684C3F" w:rsidRPr="0096338A">
        <w:rPr>
          <w:szCs w:val="24"/>
        </w:rPr>
        <w:t xml:space="preserve">verschillende ordonnanties die zijn opgesteld na het </w:t>
      </w:r>
      <w:r w:rsidR="00A660F1" w:rsidRPr="0096338A">
        <w:rPr>
          <w:szCs w:val="24"/>
        </w:rPr>
        <w:t xml:space="preserve">vaststellen </w:t>
      </w:r>
      <w:r w:rsidR="00684C3F" w:rsidRPr="0096338A">
        <w:rPr>
          <w:szCs w:val="24"/>
        </w:rPr>
        <w:t>van een overtreding van de regels.</w:t>
      </w:r>
      <w:r w:rsidR="00684C3F" w:rsidRPr="0096338A">
        <w:rPr>
          <w:rStyle w:val="Voetnootmarkering"/>
          <w:szCs w:val="24"/>
        </w:rPr>
        <w:footnoteReference w:id="220"/>
      </w:r>
    </w:p>
    <w:p w:rsidR="00CA559E" w:rsidRPr="0096338A" w:rsidRDefault="00CA559E" w:rsidP="00FB7238">
      <w:pPr>
        <w:rPr>
          <w:szCs w:val="24"/>
        </w:rPr>
      </w:pPr>
      <w:r w:rsidRPr="0096338A">
        <w:rPr>
          <w:szCs w:val="24"/>
        </w:rPr>
        <w:tab/>
        <w:t>Een significant probleem bij de interpretatie van de bronnen is het gebrek aan eerdere schriftelijke weergave</w:t>
      </w:r>
      <w:r w:rsidR="00A660F1" w:rsidRPr="0096338A">
        <w:rPr>
          <w:szCs w:val="24"/>
        </w:rPr>
        <w:t>n</w:t>
      </w:r>
      <w:r w:rsidRPr="0096338A">
        <w:rPr>
          <w:szCs w:val="24"/>
        </w:rPr>
        <w:t xml:space="preserve"> van de stadsregels en ambachtenprivileges. Het valt bijvoorbeeld op dat de meest veelzeggende ordonnanties voornamelijk in de eerste helft van de vijftiende eeuw werden opgesteld. Hieruit volgt echter niet </w:t>
      </w:r>
      <w:r w:rsidR="00A660F1" w:rsidRPr="0096338A">
        <w:rPr>
          <w:szCs w:val="24"/>
        </w:rPr>
        <w:t xml:space="preserve">noodzakelijk </w:t>
      </w:r>
      <w:r w:rsidRPr="0096338A">
        <w:rPr>
          <w:szCs w:val="24"/>
        </w:rPr>
        <w:t>de conclusie dat er</w:t>
      </w:r>
      <w:r w:rsidR="00A660F1" w:rsidRPr="0096338A">
        <w:rPr>
          <w:szCs w:val="24"/>
        </w:rPr>
        <w:t xml:space="preserve"> zich</w:t>
      </w:r>
      <w:r w:rsidRPr="0096338A">
        <w:rPr>
          <w:szCs w:val="24"/>
        </w:rPr>
        <w:t xml:space="preserve"> een duidelijke verandering voltrok in die periode. Dit besluit zou overhaast zij</w:t>
      </w:r>
      <w:r w:rsidR="00A660F1" w:rsidRPr="0096338A">
        <w:rPr>
          <w:szCs w:val="24"/>
        </w:rPr>
        <w:t>n</w:t>
      </w:r>
      <w:r w:rsidRPr="0096338A">
        <w:rPr>
          <w:szCs w:val="24"/>
        </w:rPr>
        <w:t xml:space="preserve">, aangezien het waarschijnlijk om de overgang van </w:t>
      </w:r>
      <w:r w:rsidR="00A660F1" w:rsidRPr="0096338A">
        <w:rPr>
          <w:szCs w:val="24"/>
        </w:rPr>
        <w:t xml:space="preserve">een </w:t>
      </w:r>
      <w:r w:rsidRPr="0096338A">
        <w:rPr>
          <w:szCs w:val="24"/>
        </w:rPr>
        <w:t>mondelinge naar</w:t>
      </w:r>
      <w:r w:rsidR="00A660F1" w:rsidRPr="0096338A">
        <w:rPr>
          <w:szCs w:val="24"/>
        </w:rPr>
        <w:t xml:space="preserve"> een</w:t>
      </w:r>
      <w:r w:rsidRPr="0096338A">
        <w:rPr>
          <w:szCs w:val="24"/>
        </w:rPr>
        <w:t xml:space="preserve"> schriftelijke traditie gaat. De wetgeving was dus niet per se nieuw, maar werd wel voor de eerste keer materieel vastgelegd. Ook het taalgebruik </w:t>
      </w:r>
      <w:r w:rsidR="00A660F1" w:rsidRPr="0096338A">
        <w:rPr>
          <w:szCs w:val="24"/>
        </w:rPr>
        <w:t>g</w:t>
      </w:r>
      <w:r w:rsidRPr="0096338A">
        <w:rPr>
          <w:szCs w:val="24"/>
        </w:rPr>
        <w:t>eeft weinig blijk van een veranderende opinie over genderverschillen in de ambachten doorheen de vijftiende eeuw. Queller en Kittell merken</w:t>
      </w:r>
      <w:r w:rsidR="00A660F1" w:rsidRPr="0096338A">
        <w:rPr>
          <w:szCs w:val="24"/>
        </w:rPr>
        <w:t xml:space="preserve"> op </w:t>
      </w:r>
      <w:r w:rsidRPr="0096338A">
        <w:rPr>
          <w:szCs w:val="24"/>
        </w:rPr>
        <w:t xml:space="preserve">dat de vijftiende-eeuwse Dowaaise ordonnanties nog zelden spreken over </w:t>
      </w:r>
      <w:r w:rsidRPr="0096338A">
        <w:rPr>
          <w:i/>
          <w:szCs w:val="24"/>
        </w:rPr>
        <w:t>hom ne feme</w:t>
      </w:r>
      <w:r w:rsidRPr="0096338A">
        <w:rPr>
          <w:szCs w:val="24"/>
        </w:rPr>
        <w:t xml:space="preserve">, de Franse vorm van </w:t>
      </w:r>
      <w:r w:rsidRPr="0096338A">
        <w:rPr>
          <w:i/>
          <w:szCs w:val="24"/>
        </w:rPr>
        <w:t>mannen ofte vrouwen</w:t>
      </w:r>
      <w:r w:rsidRPr="0096338A">
        <w:rPr>
          <w:szCs w:val="24"/>
        </w:rPr>
        <w:t>, zoals eerder</w:t>
      </w:r>
      <w:r w:rsidR="00A660F1" w:rsidRPr="0096338A">
        <w:rPr>
          <w:szCs w:val="24"/>
        </w:rPr>
        <w:t xml:space="preserve"> wel</w:t>
      </w:r>
      <w:r w:rsidRPr="0096338A">
        <w:rPr>
          <w:szCs w:val="24"/>
        </w:rPr>
        <w:t xml:space="preserve"> steeds </w:t>
      </w:r>
      <w:r w:rsidR="00A660F1" w:rsidRPr="0096338A">
        <w:rPr>
          <w:szCs w:val="24"/>
        </w:rPr>
        <w:t>het geval was</w:t>
      </w:r>
      <w:r w:rsidRPr="0096338A">
        <w:rPr>
          <w:szCs w:val="24"/>
        </w:rPr>
        <w:t xml:space="preserve">. Zij verklaren dit door een veranderende beoordeling van de ambachtenwereld als iets mannelijks, </w:t>
      </w:r>
      <w:r w:rsidR="00A660F1" w:rsidRPr="0096338A">
        <w:rPr>
          <w:szCs w:val="24"/>
        </w:rPr>
        <w:t>waarin voor</w:t>
      </w:r>
      <w:r w:rsidRPr="0096338A">
        <w:rPr>
          <w:szCs w:val="24"/>
        </w:rPr>
        <w:t xml:space="preserve"> vrouwen dus geen plaats meer </w:t>
      </w:r>
      <w:r w:rsidR="00A660F1" w:rsidRPr="0096338A">
        <w:rPr>
          <w:szCs w:val="24"/>
        </w:rPr>
        <w:t>is</w:t>
      </w:r>
      <w:r w:rsidRPr="0096338A">
        <w:rPr>
          <w:szCs w:val="24"/>
        </w:rPr>
        <w:t>.</w:t>
      </w:r>
      <w:r w:rsidRPr="0096338A">
        <w:rPr>
          <w:rStyle w:val="Voetnootmarkering"/>
          <w:szCs w:val="24"/>
        </w:rPr>
        <w:footnoteReference w:id="221"/>
      </w:r>
      <w:r w:rsidRPr="0096338A">
        <w:rPr>
          <w:szCs w:val="24"/>
        </w:rPr>
        <w:t xml:space="preserve"> De Leuvense stadsraad bleef die formulering gebruiken</w:t>
      </w:r>
      <w:r w:rsidR="00A660F1" w:rsidRPr="0096338A">
        <w:rPr>
          <w:szCs w:val="24"/>
        </w:rPr>
        <w:t xml:space="preserve">, al zijn er nu en dan voorbeelden van een duidelijk gegenderd taalgebruik (zie verder). </w:t>
      </w:r>
      <w:r w:rsidRPr="0096338A">
        <w:rPr>
          <w:szCs w:val="24"/>
        </w:rPr>
        <w:t xml:space="preserve">De ordonnanties </w:t>
      </w:r>
      <w:r w:rsidRPr="0096338A">
        <w:rPr>
          <w:szCs w:val="24"/>
        </w:rPr>
        <w:lastRenderedPageBreak/>
        <w:t>gebruikten dit dubbel taalgebruik echter nog voor de wetgeving van verscheidene ambachten, wat de relatieve vrijheid van vrouwen in de corporaties aantoont.</w:t>
      </w:r>
    </w:p>
    <w:p w:rsidR="00CA559E" w:rsidRPr="0096338A" w:rsidRDefault="00CA559E" w:rsidP="00FB7238">
      <w:pPr>
        <w:rPr>
          <w:szCs w:val="24"/>
        </w:rPr>
      </w:pPr>
      <w:r w:rsidRPr="0096338A">
        <w:rPr>
          <w:szCs w:val="24"/>
        </w:rPr>
        <w:tab/>
        <w:t xml:space="preserve">Doorheen de vijftiende eeuw was er slechts weinig evolutie in de wetgeving met betrekking tot gender in de ambachtenwereld. Een uitzondering hierop zijn de ordonnanties over het </w:t>
      </w:r>
      <w:r w:rsidRPr="0096338A">
        <w:rPr>
          <w:i/>
          <w:szCs w:val="24"/>
        </w:rPr>
        <w:t>goetdoen</w:t>
      </w:r>
      <w:r w:rsidRPr="0096338A">
        <w:rPr>
          <w:szCs w:val="24"/>
        </w:rPr>
        <w:t>, die bijna uitsluitend in de tweede helft van de eeuw tot stand kwamen. D</w:t>
      </w:r>
      <w:r w:rsidR="001706A6" w:rsidRPr="0096338A">
        <w:rPr>
          <w:szCs w:val="24"/>
        </w:rPr>
        <w:t>it staat nochtans</w:t>
      </w:r>
      <w:r w:rsidRPr="0096338A">
        <w:rPr>
          <w:szCs w:val="24"/>
        </w:rPr>
        <w:t xml:space="preserve"> niet per se in verband met een veranderende positie van de vrouw. Zoals reeds vermeld, heerste</w:t>
      </w:r>
      <w:r w:rsidR="0064301E" w:rsidRPr="0096338A">
        <w:rPr>
          <w:szCs w:val="24"/>
        </w:rPr>
        <w:t xml:space="preserve"> </w:t>
      </w:r>
      <w:r w:rsidRPr="0096338A">
        <w:rPr>
          <w:szCs w:val="24"/>
        </w:rPr>
        <w:t xml:space="preserve">de gewoonte dat getrouwde vrouwen slechts de helft van het bedrag kregen in verhouding tot dat van mannen in het ambacht. Leuvense vrouwen ondervonden echter geen nadeel door de ontwikkeling van dit uitkeringssysteem. </w:t>
      </w:r>
      <w:r w:rsidR="001706A6" w:rsidRPr="0096338A">
        <w:rPr>
          <w:szCs w:val="24"/>
        </w:rPr>
        <w:t xml:space="preserve">Ongetrouwde vrouwen kregen bijvoorbeeld het volledige bedrag. De lagere som voor getrouwde vrouwen betekende waarschijnlijk de erkenning van de </w:t>
      </w:r>
      <w:r w:rsidR="008827C9" w:rsidRPr="0096338A">
        <w:rPr>
          <w:szCs w:val="24"/>
        </w:rPr>
        <w:t>‘</w:t>
      </w:r>
      <w:r w:rsidR="001706A6" w:rsidRPr="0096338A">
        <w:rPr>
          <w:szCs w:val="24"/>
        </w:rPr>
        <w:t>family production unit</w:t>
      </w:r>
      <w:r w:rsidR="008827C9" w:rsidRPr="0096338A">
        <w:rPr>
          <w:szCs w:val="24"/>
        </w:rPr>
        <w:t>’</w:t>
      </w:r>
      <w:r w:rsidR="001706A6" w:rsidRPr="0096338A">
        <w:rPr>
          <w:szCs w:val="24"/>
        </w:rPr>
        <w:t>, waar</w:t>
      </w:r>
      <w:r w:rsidR="0064301E" w:rsidRPr="0096338A">
        <w:rPr>
          <w:szCs w:val="24"/>
        </w:rPr>
        <w:t>in</w:t>
      </w:r>
      <w:r w:rsidR="001706A6" w:rsidRPr="0096338A">
        <w:rPr>
          <w:szCs w:val="24"/>
        </w:rPr>
        <w:t xml:space="preserve"> vrouwen net een zeer belangrijke rol speelden.</w:t>
      </w:r>
      <w:r w:rsidR="001706A6" w:rsidRPr="0096338A">
        <w:rPr>
          <w:rStyle w:val="Voetnootmarkering"/>
          <w:szCs w:val="24"/>
        </w:rPr>
        <w:footnoteReference w:id="222"/>
      </w:r>
      <w:r w:rsidR="001706A6" w:rsidRPr="0096338A">
        <w:rPr>
          <w:szCs w:val="24"/>
        </w:rPr>
        <w:t xml:space="preserve"> Het gebrek aan ordonnanties over </w:t>
      </w:r>
      <w:r w:rsidR="001706A6" w:rsidRPr="0096338A">
        <w:rPr>
          <w:i/>
          <w:szCs w:val="24"/>
        </w:rPr>
        <w:t>goetdoen</w:t>
      </w:r>
      <w:r w:rsidR="001706A6" w:rsidRPr="0096338A">
        <w:rPr>
          <w:szCs w:val="24"/>
        </w:rPr>
        <w:t xml:space="preserve"> in de eerste helft van de vijftiende eeuw duidt daarenboven niet op een verandering in de loop van de eeuw, </w:t>
      </w:r>
      <w:r w:rsidR="00C8160D" w:rsidRPr="0096338A">
        <w:rPr>
          <w:szCs w:val="24"/>
        </w:rPr>
        <w:t xml:space="preserve">dan </w:t>
      </w:r>
      <w:r w:rsidR="001706A6" w:rsidRPr="0096338A">
        <w:rPr>
          <w:szCs w:val="24"/>
        </w:rPr>
        <w:t>wel op de institutionalisering van d</w:t>
      </w:r>
      <w:r w:rsidR="00A660F1" w:rsidRPr="0096338A">
        <w:rPr>
          <w:szCs w:val="24"/>
        </w:rPr>
        <w:t>i</w:t>
      </w:r>
      <w:r w:rsidR="001706A6" w:rsidRPr="0096338A">
        <w:rPr>
          <w:szCs w:val="24"/>
        </w:rPr>
        <w:t>e primaire vorm van ziektebijstand. Van Uytven stelt zelfs dat de instelling pas ontstond in de tweede helft van de eeuw.</w:t>
      </w:r>
      <w:r w:rsidR="001706A6" w:rsidRPr="0096338A">
        <w:rPr>
          <w:rStyle w:val="Voetnootmarkering"/>
          <w:szCs w:val="24"/>
        </w:rPr>
        <w:footnoteReference w:id="223"/>
      </w:r>
      <w:r w:rsidR="001706A6" w:rsidRPr="0096338A">
        <w:rPr>
          <w:szCs w:val="24"/>
        </w:rPr>
        <w:t xml:space="preserve"> Enige nuance is bij zijn resultaten echter nodig, aangezien de meer complexe organisatie en </w:t>
      </w:r>
      <w:r w:rsidR="0064301E" w:rsidRPr="0096338A">
        <w:rPr>
          <w:szCs w:val="24"/>
        </w:rPr>
        <w:t xml:space="preserve">schriftelijke weergave </w:t>
      </w:r>
      <w:r w:rsidR="001706A6" w:rsidRPr="0096338A">
        <w:rPr>
          <w:szCs w:val="24"/>
        </w:rPr>
        <w:t>ervan niet betekent dat ze daarvoor niet bestond. Die institutionalisering verklaart eveneens het gebrek aan differentiatie in wetgeving</w:t>
      </w:r>
      <w:r w:rsidR="0064301E" w:rsidRPr="0096338A">
        <w:rPr>
          <w:szCs w:val="24"/>
        </w:rPr>
        <w:t>;</w:t>
      </w:r>
      <w:r w:rsidR="00A660F1" w:rsidRPr="0096338A">
        <w:rPr>
          <w:szCs w:val="24"/>
        </w:rPr>
        <w:t xml:space="preserve"> </w:t>
      </w:r>
      <w:r w:rsidR="001706A6" w:rsidRPr="0096338A">
        <w:rPr>
          <w:szCs w:val="24"/>
        </w:rPr>
        <w:t>alle ambachten gebruikten namelijk ongeveer dezelfde formulering.</w:t>
      </w:r>
      <w:r w:rsidR="001706A6" w:rsidRPr="0096338A">
        <w:rPr>
          <w:rStyle w:val="Voetnootmarkering"/>
          <w:szCs w:val="24"/>
        </w:rPr>
        <w:footnoteReference w:id="224"/>
      </w:r>
    </w:p>
    <w:p w:rsidR="001706A6" w:rsidRPr="0096338A" w:rsidRDefault="001706A6" w:rsidP="00FB7238">
      <w:r w:rsidRPr="0096338A">
        <w:rPr>
          <w:szCs w:val="24"/>
        </w:rPr>
        <w:tab/>
        <w:t>Hoewel de resultaten voor Leuven, ondanks hun kleine schaal, dus duidelijk nuance</w:t>
      </w:r>
      <w:r w:rsidR="0064301E" w:rsidRPr="0096338A">
        <w:rPr>
          <w:szCs w:val="24"/>
        </w:rPr>
        <w:t>ring</w:t>
      </w:r>
      <w:r w:rsidRPr="0096338A">
        <w:rPr>
          <w:szCs w:val="24"/>
        </w:rPr>
        <w:t xml:space="preserve"> vragen, gaat deze studie in een volgend deel uit van het bestaan van enige vorm van </w:t>
      </w:r>
      <w:r w:rsidR="0064301E" w:rsidRPr="0096338A">
        <w:rPr>
          <w:szCs w:val="24"/>
        </w:rPr>
        <w:t>evolutie in de genderverhoudingen</w:t>
      </w:r>
      <w:r w:rsidR="007F2929" w:rsidRPr="0096338A">
        <w:rPr>
          <w:szCs w:val="24"/>
        </w:rPr>
        <w:t>, onder andere</w:t>
      </w:r>
      <w:r w:rsidR="0064301E" w:rsidRPr="0096338A">
        <w:rPr>
          <w:szCs w:val="24"/>
        </w:rPr>
        <w:t xml:space="preserve"> op economisch vlak</w:t>
      </w:r>
      <w:r w:rsidR="007F2929" w:rsidRPr="0096338A">
        <w:rPr>
          <w:szCs w:val="24"/>
        </w:rPr>
        <w:t>.</w:t>
      </w:r>
      <w:r w:rsidR="00A660F1" w:rsidRPr="0096338A">
        <w:rPr>
          <w:szCs w:val="24"/>
        </w:rPr>
        <w:t xml:space="preserve"> Naast de </w:t>
      </w:r>
      <w:r w:rsidRPr="0096338A">
        <w:rPr>
          <w:szCs w:val="24"/>
        </w:rPr>
        <w:t>verklaringen die onderzoekers reeds opperden voor de acht</w:t>
      </w:r>
      <w:r w:rsidR="00A660F1" w:rsidRPr="0096338A">
        <w:rPr>
          <w:szCs w:val="24"/>
        </w:rPr>
        <w:t xml:space="preserve">eruitgang van de positie van de </w:t>
      </w:r>
      <w:r w:rsidRPr="0096338A">
        <w:rPr>
          <w:szCs w:val="24"/>
        </w:rPr>
        <w:t>vrouw</w:t>
      </w:r>
      <w:r w:rsidR="007F2929" w:rsidRPr="0096338A">
        <w:rPr>
          <w:szCs w:val="24"/>
        </w:rPr>
        <w:t>,</w:t>
      </w:r>
      <w:r w:rsidRPr="0096338A">
        <w:rPr>
          <w:szCs w:val="24"/>
        </w:rPr>
        <w:t xml:space="preserve"> </w:t>
      </w:r>
      <w:r w:rsidR="007F2929" w:rsidRPr="0096338A">
        <w:rPr>
          <w:szCs w:val="24"/>
        </w:rPr>
        <w:t>volgt een eigen positionering binnen dit debat op basis van de Leuvense gegevens</w:t>
      </w:r>
      <w:r w:rsidRPr="0096338A">
        <w:rPr>
          <w:szCs w:val="24"/>
        </w:rPr>
        <w:t xml:space="preserve">. </w:t>
      </w:r>
    </w:p>
    <w:p w:rsidR="00C07878" w:rsidRPr="0096338A" w:rsidRDefault="00FB725A" w:rsidP="00C07878">
      <w:pPr>
        <w:pStyle w:val="Kop3"/>
        <w:rPr>
          <w:szCs w:val="24"/>
        </w:rPr>
      </w:pPr>
      <w:bookmarkStart w:id="17" w:name="_Toc452371449"/>
      <w:r w:rsidRPr="0096338A">
        <w:rPr>
          <w:szCs w:val="24"/>
        </w:rPr>
        <w:lastRenderedPageBreak/>
        <w:t xml:space="preserve">3.4.2 </w:t>
      </w:r>
      <w:r w:rsidR="00EA12F5" w:rsidRPr="0096338A">
        <w:rPr>
          <w:szCs w:val="24"/>
        </w:rPr>
        <w:t>Reflecties over de ‘decline-thesis’ en mogelijke oorzaken</w:t>
      </w:r>
      <w:bookmarkEnd w:id="17"/>
    </w:p>
    <w:p w:rsidR="001706A6" w:rsidRPr="0096338A" w:rsidRDefault="007C3761" w:rsidP="001706A6">
      <w:r w:rsidRPr="0096338A">
        <w:t xml:space="preserve">De </w:t>
      </w:r>
      <w:r w:rsidR="007F2929" w:rsidRPr="0096338A">
        <w:t xml:space="preserve">evolutie in genderverhoudingen </w:t>
      </w:r>
      <w:r w:rsidRPr="0096338A">
        <w:t xml:space="preserve">mag dan niet duidelijk terug te vinden zijn in het beperkte Leuvense bronnenbestand, </w:t>
      </w:r>
      <w:r w:rsidR="007F2929" w:rsidRPr="0096338A">
        <w:t xml:space="preserve">toch gaat enige aandacht naar de mogelijkheid van </w:t>
      </w:r>
      <w:r w:rsidRPr="0096338A">
        <w:t>het bestaan ervan. Het is namelijk duidelijk dat vrouwen in de ambachten zeker enige hinder</w:t>
      </w:r>
      <w:r w:rsidR="007F2929" w:rsidRPr="0096338A">
        <w:t>nissen</w:t>
      </w:r>
      <w:r w:rsidRPr="0096338A">
        <w:t xml:space="preserve"> ondervonden, waarover later meer. Uitgaande van die restricties als resultaat van een verandering, is het belangrijk om de reden hier</w:t>
      </w:r>
      <w:r w:rsidR="007F2929" w:rsidRPr="0096338A">
        <w:t>van</w:t>
      </w:r>
      <w:r w:rsidR="007B2F01" w:rsidRPr="0096338A">
        <w:t xml:space="preserve"> te zoeken. </w:t>
      </w:r>
      <w:r w:rsidRPr="0096338A">
        <w:t xml:space="preserve">Van de drie reeds genoemde redenen </w:t>
      </w:r>
      <w:r w:rsidR="007F2929" w:rsidRPr="0096338A">
        <w:t>lijkt</w:t>
      </w:r>
      <w:r w:rsidRPr="0096338A">
        <w:t xml:space="preserve"> </w:t>
      </w:r>
      <w:r w:rsidR="007F2929" w:rsidRPr="0096338A">
        <w:t xml:space="preserve">de opkomst van de ambachten op basis van gegevens uit </w:t>
      </w:r>
      <w:r w:rsidRPr="0096338A">
        <w:t xml:space="preserve">de stadsordonnanties </w:t>
      </w:r>
      <w:r w:rsidR="007F2929" w:rsidRPr="0096338A">
        <w:t xml:space="preserve">de </w:t>
      </w:r>
      <w:r w:rsidRPr="0096338A">
        <w:t xml:space="preserve">meest geloofwaardige </w:t>
      </w:r>
      <w:r w:rsidR="007F2929" w:rsidRPr="0096338A">
        <w:t>hypothese</w:t>
      </w:r>
      <w:r w:rsidRPr="0096338A">
        <w:t>.</w:t>
      </w:r>
      <w:r w:rsidR="007B2F01" w:rsidRPr="0096338A">
        <w:t xml:space="preserve"> </w:t>
      </w:r>
      <w:r w:rsidR="00D6773E" w:rsidRPr="0096338A">
        <w:t>Het blijft belangrijk te spreken van een veronderstelde verschuiving, die in realiteit wellicht een geleidelijke evolutie zonder</w:t>
      </w:r>
      <w:r w:rsidR="007B2F01" w:rsidRPr="0096338A">
        <w:t xml:space="preserve"> vast tijdsmarkeringen inhoudt.</w:t>
      </w:r>
    </w:p>
    <w:p w:rsidR="00747D00" w:rsidRPr="0096338A" w:rsidRDefault="00747D00" w:rsidP="001706A6">
      <w:r w:rsidRPr="0096338A">
        <w:tab/>
      </w:r>
      <w:r w:rsidR="003E4AB2" w:rsidRPr="0096338A">
        <w:t>Shennan Hutton stelt dat de verschuiving in de positie van de vrouw doorheen de vijftiende en zestiende eeuw een culturele mentaliteitsverschuiving als oorzaak heeft. De opvatting over werkende en alleenstaande vrouwen zou door</w:t>
      </w:r>
      <w:r w:rsidR="00A660F1" w:rsidRPr="0096338A">
        <w:t>h</w:t>
      </w:r>
      <w:r w:rsidR="003E4AB2" w:rsidRPr="0096338A">
        <w:t xml:space="preserve">een die eeuw drastisch </w:t>
      </w:r>
      <w:r w:rsidR="00D6773E" w:rsidRPr="0096338A">
        <w:t xml:space="preserve">veranderd </w:t>
      </w:r>
      <w:r w:rsidR="003E4AB2" w:rsidRPr="0096338A">
        <w:t xml:space="preserve">zijn. De mannelijke bestuurders van de steden en corporaties stonden met meer argwaan tegenover </w:t>
      </w:r>
      <w:r w:rsidR="007B2F01" w:rsidRPr="0096338A">
        <w:t>vrouwen</w:t>
      </w:r>
      <w:r w:rsidR="003E4AB2" w:rsidRPr="0096338A">
        <w:t>. Daarbij ontstond een (mannelijke) publieke opinie over de ideale vrouw als getrouwd en onder het toezicht van een man geplaatst</w:t>
      </w:r>
      <w:r w:rsidR="00D6773E" w:rsidRPr="0096338A">
        <w:t>e vrouw</w:t>
      </w:r>
      <w:r w:rsidR="003E4AB2" w:rsidRPr="0096338A">
        <w:t>.</w:t>
      </w:r>
      <w:r w:rsidR="003E4AB2" w:rsidRPr="0096338A">
        <w:rPr>
          <w:rStyle w:val="Voetnootmarkering"/>
        </w:rPr>
        <w:footnoteReference w:id="225"/>
      </w:r>
      <w:r w:rsidR="003E4AB2" w:rsidRPr="0096338A">
        <w:t xml:space="preserve"> Hutton beweert dat er een verandering kwam van een </w:t>
      </w:r>
      <w:r w:rsidR="008827C9" w:rsidRPr="0096338A">
        <w:t>‘</w:t>
      </w:r>
      <w:r w:rsidR="003E4AB2" w:rsidRPr="0096338A">
        <w:t>burgher construction</w:t>
      </w:r>
      <w:r w:rsidR="008827C9" w:rsidRPr="0096338A">
        <w:t>’</w:t>
      </w:r>
      <w:r w:rsidR="003E4AB2" w:rsidRPr="0096338A">
        <w:t xml:space="preserve">, waarin de opinie heerste dat vrouwen zelf economische beslissingen konden nemen, naar een </w:t>
      </w:r>
      <w:r w:rsidR="008827C9" w:rsidRPr="0096338A">
        <w:t>‘</w:t>
      </w:r>
      <w:r w:rsidR="003E4AB2" w:rsidRPr="0096338A">
        <w:t>patrimonial construction</w:t>
      </w:r>
      <w:r w:rsidR="008827C9" w:rsidRPr="0096338A">
        <w:t>’</w:t>
      </w:r>
      <w:r w:rsidR="003E4AB2" w:rsidRPr="0096338A">
        <w:t xml:space="preserve">. </w:t>
      </w:r>
    </w:p>
    <w:p w:rsidR="003E4AB2" w:rsidRPr="0096338A" w:rsidRDefault="003E4AB2" w:rsidP="003E4AB2">
      <w:pPr>
        <w:ind w:left="705"/>
        <w:rPr>
          <w:lang w:val="en-GB"/>
        </w:rPr>
      </w:pPr>
      <w:r w:rsidRPr="0096338A">
        <w:rPr>
          <w:lang w:val="en-GB"/>
        </w:rPr>
        <w:t>“Daughters’ inheritances were limited to dowries and widows’ to usufruct to preserve property for the patrilineal family or agnatic lineage. A man’s honor rested in part on his authority over the women of his household, […].”</w:t>
      </w:r>
      <w:r w:rsidRPr="0096338A">
        <w:rPr>
          <w:vertAlign w:val="superscript"/>
          <w:lang w:val="en-GB"/>
        </w:rPr>
        <w:footnoteReference w:id="226"/>
      </w:r>
    </w:p>
    <w:p w:rsidR="003E4AB2" w:rsidRPr="0096338A" w:rsidRDefault="003E4AB2" w:rsidP="003E4AB2">
      <w:r w:rsidRPr="0096338A">
        <w:t>Dat Kittell en Queller een veranderende opinie van het stadsbestuur waarnemen aan de hand van een vermindering in het dyadisch taalgebruik, sluit aan bij Huttons pleidooi voor een culturele verschuiving.</w:t>
      </w:r>
      <w:r w:rsidRPr="0096338A">
        <w:rPr>
          <w:rStyle w:val="Voetnootmarkering"/>
        </w:rPr>
        <w:footnoteReference w:id="227"/>
      </w:r>
      <w:r w:rsidRPr="0096338A">
        <w:t xml:space="preserve"> </w:t>
      </w:r>
      <w:r w:rsidR="002A0497" w:rsidRPr="0096338A">
        <w:t>Dit evoluerende culturele paradigma als oorzaak b</w:t>
      </w:r>
      <w:r w:rsidR="00C8160D" w:rsidRPr="0096338A">
        <w:t>lijkt</w:t>
      </w:r>
      <w:r w:rsidR="002A0497" w:rsidRPr="0096338A">
        <w:t xml:space="preserve"> wei</w:t>
      </w:r>
      <w:r w:rsidR="007B2F01" w:rsidRPr="0096338A">
        <w:t xml:space="preserve">nig onderbouwd in het licht van </w:t>
      </w:r>
      <w:r w:rsidR="002A0497" w:rsidRPr="0096338A">
        <w:t>de Leuvense stadsordonnanties</w:t>
      </w:r>
      <w:r w:rsidR="007B2F01" w:rsidRPr="0096338A">
        <w:t xml:space="preserve">. </w:t>
      </w:r>
      <w:r w:rsidRPr="0096338A">
        <w:t xml:space="preserve">Ten eerste </w:t>
      </w:r>
      <w:r w:rsidR="002A0497" w:rsidRPr="0096338A">
        <w:t xml:space="preserve">hanteert </w:t>
      </w:r>
      <w:r w:rsidRPr="0096338A">
        <w:t>een aanzienlijk deel van de</w:t>
      </w:r>
      <w:r w:rsidR="002A0497" w:rsidRPr="0096338A">
        <w:t>ze</w:t>
      </w:r>
      <w:r w:rsidRPr="0096338A">
        <w:t xml:space="preserve"> ordonnanties dit dubbel taalgebruik </w:t>
      </w:r>
      <w:r w:rsidR="002A0497" w:rsidRPr="0096338A">
        <w:t xml:space="preserve">nog steeds </w:t>
      </w:r>
      <w:r w:rsidRPr="0096338A">
        <w:t>in de vijfti</w:t>
      </w:r>
      <w:r w:rsidR="007B2F01" w:rsidRPr="0096338A">
        <w:t xml:space="preserve">ende eeuw, zoals reeds vermeld. </w:t>
      </w:r>
      <w:r w:rsidRPr="0096338A">
        <w:t>Daarnaast kwam wetgeving met betrekking tot ongetrouwde vrouwen in de stadsordonnanties eveneens voor, zoals reeds aangetoond. De argwaan van het stadbestuur</w:t>
      </w:r>
      <w:r w:rsidR="007B2F01" w:rsidRPr="0096338A">
        <w:t xml:space="preserve"> ten aanzien van werkende vrouwen </w:t>
      </w:r>
      <w:r w:rsidRPr="0096338A">
        <w:t xml:space="preserve">was dus </w:t>
      </w:r>
      <w:r w:rsidR="007B2F01" w:rsidRPr="0096338A">
        <w:t xml:space="preserve">eerder selectief. </w:t>
      </w:r>
      <w:r w:rsidRPr="0096338A">
        <w:t>Wel is het noodzakelijk op te merken dat er mogelijk</w:t>
      </w:r>
      <w:r w:rsidR="003C6F1B" w:rsidRPr="0096338A">
        <w:t>s</w:t>
      </w:r>
      <w:r w:rsidRPr="0096338A">
        <w:t xml:space="preserve"> ook in Leuven een culturele genderbreuk plaats</w:t>
      </w:r>
      <w:r w:rsidR="002A0497" w:rsidRPr="0096338A">
        <w:t xml:space="preserve"> </w:t>
      </w:r>
      <w:r w:rsidR="007B2F01" w:rsidRPr="0096338A">
        <w:lastRenderedPageBreak/>
        <w:t>had</w:t>
      </w:r>
      <w:r w:rsidRPr="0096338A">
        <w:t>. De ord</w:t>
      </w:r>
      <w:r w:rsidR="001B412B" w:rsidRPr="0096338A">
        <w:t xml:space="preserve">onnantie in verband met de ziektebijdrage voor de nieuwe schoenmakers spreekt bijvoorbeeld consistent over de </w:t>
      </w:r>
      <w:r w:rsidR="001B412B" w:rsidRPr="0096338A">
        <w:rPr>
          <w:i/>
        </w:rPr>
        <w:t>goede mannen</w:t>
      </w:r>
      <w:r w:rsidR="001B412B" w:rsidRPr="0096338A">
        <w:t>. Dit neemt echter niet weg dat deze beslissingen ook voor vrouwen golden, die later in de ordonnantie plots aan bod komen.</w:t>
      </w:r>
      <w:r w:rsidR="001B412B" w:rsidRPr="0096338A">
        <w:rPr>
          <w:rStyle w:val="Voetnootmarkering"/>
        </w:rPr>
        <w:footnoteReference w:id="228"/>
      </w:r>
      <w:r w:rsidR="001B412B" w:rsidRPr="0096338A">
        <w:t xml:space="preserve"> Verder noteert de stadsraad: </w:t>
      </w:r>
      <w:r w:rsidR="001B412B" w:rsidRPr="0096338A">
        <w:rPr>
          <w:i/>
        </w:rPr>
        <w:t>Dat t</w:t>
      </w:r>
      <w:r w:rsidR="00CA52D6" w:rsidRPr="0096338A">
        <w:rPr>
          <w:i/>
        </w:rPr>
        <w:t xml:space="preserve"> </w:t>
      </w:r>
      <w:r w:rsidR="001B412B" w:rsidRPr="0096338A">
        <w:rPr>
          <w:i/>
        </w:rPr>
        <w:t>meeste deel van den goede mannen van den voirscreven ambacht</w:t>
      </w:r>
      <w:r w:rsidR="001B412B" w:rsidRPr="0096338A">
        <w:t xml:space="preserve"> naar de raad kwam voor het neerschrijven van de beslissingen.</w:t>
      </w:r>
      <w:r w:rsidR="001B412B" w:rsidRPr="0096338A">
        <w:rPr>
          <w:rStyle w:val="Voetnootmarkering"/>
        </w:rPr>
        <w:footnoteReference w:id="229"/>
      </w:r>
      <w:r w:rsidR="001B412B" w:rsidRPr="0096338A">
        <w:t xml:space="preserve"> De gezworenen die het ambacht vertegenwoordigden, pleitten echter eveneens voor de </w:t>
      </w:r>
      <w:r w:rsidR="002A0497" w:rsidRPr="0096338A">
        <w:t xml:space="preserve">belangen van </w:t>
      </w:r>
      <w:r w:rsidR="001B412B" w:rsidRPr="0096338A">
        <w:t>vrouwen die in het a</w:t>
      </w:r>
      <w:r w:rsidR="007B2F01" w:rsidRPr="0096338A">
        <w:t>mbacht zaten. De stadsraad vermeldde de vertegenwoordigde vrouwen echter nergens</w:t>
      </w:r>
      <w:r w:rsidR="001B412B" w:rsidRPr="0096338A">
        <w:t>. De veranderende opinie die het ambacht als een mannelijke organisatie doet verschijnen</w:t>
      </w:r>
      <w:r w:rsidR="002A0497" w:rsidRPr="0096338A">
        <w:t>,</w:t>
      </w:r>
      <w:r w:rsidR="001B412B" w:rsidRPr="0096338A">
        <w:t xml:space="preserve"> lijkt echter eerder het gevolg van een reeds doorgevoerde verstrenging voor vrouwen, dan de oorzaak</w:t>
      </w:r>
      <w:r w:rsidR="002A0497" w:rsidRPr="0096338A">
        <w:t xml:space="preserve"> ervan</w:t>
      </w:r>
      <w:r w:rsidR="001B412B" w:rsidRPr="0096338A">
        <w:t>.</w:t>
      </w:r>
    </w:p>
    <w:p w:rsidR="00CA52D6" w:rsidRPr="0096338A" w:rsidRDefault="00E73A1D" w:rsidP="003E4AB2">
      <w:r w:rsidRPr="0096338A">
        <w:tab/>
        <w:t>Martha Howell biedt een overzichtelijke, beknopte samenvatting van de stellingen van eerdere onderzoekers over het kapitalisme als oorzaak van de verslechterende positie va</w:t>
      </w:r>
      <w:r w:rsidR="007B2F01" w:rsidRPr="0096338A">
        <w:t>n</w:t>
      </w:r>
      <w:r w:rsidRPr="0096338A">
        <w:t xml:space="preserve"> vrouwen in de late middeleeuwen. </w:t>
      </w:r>
    </w:p>
    <w:p w:rsidR="00CA52D6" w:rsidRPr="0096338A" w:rsidRDefault="00E73A1D" w:rsidP="00CA52D6">
      <w:pPr>
        <w:ind w:left="708"/>
        <w:rPr>
          <w:lang w:val="en-GB"/>
        </w:rPr>
      </w:pPr>
      <w:r w:rsidRPr="0096338A">
        <w:rPr>
          <w:lang w:val="en-GB"/>
        </w:rPr>
        <w:t>"It has become almost a commonplace among many Marxist and feminist historians that capitalism diminished women’s roles in economic production by diminishing the family’s role in market production.”</w:t>
      </w:r>
      <w:r w:rsidRPr="0096338A">
        <w:rPr>
          <w:vertAlign w:val="superscript"/>
          <w:lang w:val="en-GB"/>
        </w:rPr>
        <w:footnoteReference w:id="230"/>
      </w:r>
      <w:r w:rsidRPr="0096338A">
        <w:rPr>
          <w:lang w:val="en-GB"/>
        </w:rPr>
        <w:t xml:space="preserve"> </w:t>
      </w:r>
    </w:p>
    <w:p w:rsidR="00E73A1D" w:rsidRPr="0096338A" w:rsidRDefault="00E73A1D" w:rsidP="00CA52D6">
      <w:r w:rsidRPr="0096338A">
        <w:t>Het vernieuwde productieproces liet niet toe dat de kernfamilie hier</w:t>
      </w:r>
      <w:r w:rsidR="007B2F01" w:rsidRPr="0096338A">
        <w:t>in</w:t>
      </w:r>
      <w:r w:rsidRPr="0096338A">
        <w:t xml:space="preserve"> nog een voorname rol</w:t>
      </w:r>
      <w:r w:rsidR="007B2F01" w:rsidRPr="0096338A">
        <w:t xml:space="preserve"> </w:t>
      </w:r>
      <w:r w:rsidRPr="0096338A">
        <w:t xml:space="preserve">speelde. Die </w:t>
      </w:r>
      <w:r w:rsidR="00CA52D6" w:rsidRPr="0096338A">
        <w:t>uitsluiting</w:t>
      </w:r>
      <w:r w:rsidRPr="0096338A">
        <w:t xml:space="preserve"> uit het proces gebeurde door middel van nieuwe werkuren die niet geschikt waren voor een familieleven. Daarnaast ontstond er een fysieke scheiding tussen werkplaats en woonplaats, wat de vrouw in de huiselijke sfeer achterliet.</w:t>
      </w:r>
      <w:r w:rsidRPr="0096338A">
        <w:rPr>
          <w:rStyle w:val="Voetnootmarkering"/>
        </w:rPr>
        <w:footnoteReference w:id="231"/>
      </w:r>
      <w:r w:rsidRPr="0096338A">
        <w:t xml:space="preserve"> Anderen nemen ook aan dat de middeleeuwse </w:t>
      </w:r>
      <w:r w:rsidR="006857D3" w:rsidRPr="0096338A">
        <w:t xml:space="preserve">urbanisatie, die aan de grondslag van het </w:t>
      </w:r>
      <w:r w:rsidR="00271E5D" w:rsidRPr="0096338A">
        <w:t>commercieel</w:t>
      </w:r>
      <w:r w:rsidR="006857D3" w:rsidRPr="0096338A">
        <w:t xml:space="preserve"> kapitalisme lag, zorgde voor een verminderende vrouwelijke werkgelegenheid. Deze argumenten kwamen reeds aan bod in </w:t>
      </w:r>
      <w:r w:rsidR="0095119F" w:rsidRPr="0096338A">
        <w:t>een vorige paragraaf</w:t>
      </w:r>
      <w:r w:rsidR="006857D3" w:rsidRPr="0096338A">
        <w:t>.</w:t>
      </w:r>
      <w:r w:rsidR="006857D3" w:rsidRPr="0096338A">
        <w:rPr>
          <w:rStyle w:val="Voetnootmarkering"/>
        </w:rPr>
        <w:footnoteReference w:id="232"/>
      </w:r>
      <w:r w:rsidR="006857D3" w:rsidRPr="0096338A">
        <w:t xml:space="preserve"> Kittell en Queller veronderstellen dat het ontstaan van meer instituties onder invloed van de urbanisatie in de twaalfde eeuw zorgde voor een achteruitgang</w:t>
      </w:r>
      <w:r w:rsidR="007B2F01" w:rsidRPr="0096338A">
        <w:t xml:space="preserve"> in de vrouwelijke status</w:t>
      </w:r>
      <w:r w:rsidR="006857D3" w:rsidRPr="0096338A">
        <w:t>.</w:t>
      </w:r>
      <w:r w:rsidR="006857D3" w:rsidRPr="0096338A">
        <w:rPr>
          <w:rStyle w:val="Voetnootmarkering"/>
        </w:rPr>
        <w:footnoteReference w:id="233"/>
      </w:r>
      <w:r w:rsidR="006857D3" w:rsidRPr="0096338A">
        <w:t xml:space="preserve"> Stabel verklaart dat het ontstaan van het kapitalisme zorgde voor een verdeling van de samenleving in een beperkte groep rijken en een pril ontstaan </w:t>
      </w:r>
      <w:r w:rsidR="00CA52D6" w:rsidRPr="0096338A">
        <w:t>‘</w:t>
      </w:r>
      <w:r w:rsidR="006857D3" w:rsidRPr="0096338A">
        <w:t>proletariaat</w:t>
      </w:r>
      <w:r w:rsidR="00CA52D6" w:rsidRPr="0096338A">
        <w:t>’</w:t>
      </w:r>
      <w:r w:rsidR="006857D3" w:rsidRPr="0096338A">
        <w:t>.</w:t>
      </w:r>
      <w:r w:rsidR="006857D3" w:rsidRPr="0096338A">
        <w:rPr>
          <w:rStyle w:val="Voetnootmarkering"/>
        </w:rPr>
        <w:footnoteReference w:id="234"/>
      </w:r>
      <w:r w:rsidR="006857D3" w:rsidRPr="0096338A">
        <w:t xml:space="preserve"> De kan</w:t>
      </w:r>
      <w:r w:rsidR="007B2F01" w:rsidRPr="0096338A">
        <w:t>s</w:t>
      </w:r>
      <w:r w:rsidR="006857D3" w:rsidRPr="0096338A">
        <w:t xml:space="preserve"> dat vrouwen een hoge </w:t>
      </w:r>
      <w:r w:rsidR="006857D3" w:rsidRPr="0096338A">
        <w:lastRenderedPageBreak/>
        <w:t xml:space="preserve">status konden innemen binnen de corporaties slonk dan ook. Hier ligt echter een eerste tegenargument voor </w:t>
      </w:r>
      <w:r w:rsidR="007B2F01" w:rsidRPr="0096338A">
        <w:t xml:space="preserve">het prille kapitalisme als verklaring, </w:t>
      </w:r>
      <w:r w:rsidR="00271E5D" w:rsidRPr="0096338A">
        <w:t>een bezwaar dat</w:t>
      </w:r>
      <w:r w:rsidR="007B2F01" w:rsidRPr="0096338A">
        <w:t xml:space="preserve"> </w:t>
      </w:r>
      <w:r w:rsidR="006857D3" w:rsidRPr="0096338A">
        <w:t xml:space="preserve">Howell eveneens </w:t>
      </w:r>
      <w:r w:rsidR="00271E5D" w:rsidRPr="0096338A">
        <w:t>naar voor schuift</w:t>
      </w:r>
      <w:r w:rsidR="006857D3" w:rsidRPr="0096338A">
        <w:t xml:space="preserve">. Ze onderscheidt namelijk drie productiemethoden in </w:t>
      </w:r>
      <w:r w:rsidR="00AF494C" w:rsidRPr="0096338A">
        <w:t xml:space="preserve">de laatmiddeleeuwse steden: de </w:t>
      </w:r>
      <w:r w:rsidR="00CA52D6" w:rsidRPr="0096338A">
        <w:t>‘</w:t>
      </w:r>
      <w:r w:rsidR="00AF494C" w:rsidRPr="0096338A">
        <w:t>medieval craft production</w:t>
      </w:r>
      <w:r w:rsidR="00CA52D6" w:rsidRPr="0096338A">
        <w:t>’</w:t>
      </w:r>
      <w:r w:rsidR="00AF494C" w:rsidRPr="0096338A">
        <w:t xml:space="preserve">, </w:t>
      </w:r>
      <w:r w:rsidR="00CA52D6" w:rsidRPr="0096338A">
        <w:t>‘</w:t>
      </w:r>
      <w:r w:rsidR="00AF494C" w:rsidRPr="0096338A">
        <w:t>capitalism</w:t>
      </w:r>
      <w:r w:rsidR="00CA52D6" w:rsidRPr="0096338A">
        <w:t>’</w:t>
      </w:r>
      <w:r w:rsidR="00AF494C" w:rsidRPr="0096338A">
        <w:t xml:space="preserve"> en de </w:t>
      </w:r>
      <w:r w:rsidR="00CA52D6" w:rsidRPr="0096338A">
        <w:t>‘</w:t>
      </w:r>
      <w:r w:rsidR="00AF494C" w:rsidRPr="0096338A">
        <w:t>small commodity production</w:t>
      </w:r>
      <w:r w:rsidR="00CA52D6" w:rsidRPr="0096338A">
        <w:t>’</w:t>
      </w:r>
      <w:r w:rsidR="00AF494C" w:rsidRPr="0096338A">
        <w:t>.</w:t>
      </w:r>
      <w:r w:rsidR="00AF494C" w:rsidRPr="0096338A">
        <w:rPr>
          <w:vertAlign w:val="superscript"/>
        </w:rPr>
        <w:footnoteReference w:id="235"/>
      </w:r>
      <w:r w:rsidR="00AF494C" w:rsidRPr="0096338A">
        <w:t xml:space="preserve"> Leuven hoort echter niet bij dit tweede type, waar een verandering als gevolg van een opkomend kapitalisme aannemelijk is. De verminderende positie van de vrouw in de Brabantse stad </w:t>
      </w:r>
      <w:r w:rsidR="007B2F01" w:rsidRPr="0096338A">
        <w:t xml:space="preserve">aan de Dijle </w:t>
      </w:r>
      <w:r w:rsidR="00AF494C" w:rsidRPr="0096338A">
        <w:t>kan dus onmogelijk veroorzaakt zijn door het ontstaan van het commerciee</w:t>
      </w:r>
      <w:r w:rsidR="00CA52D6" w:rsidRPr="0096338A">
        <w:t xml:space="preserve">l kapitalisme, aangezien dit hier </w:t>
      </w:r>
      <w:r w:rsidR="00AF494C" w:rsidRPr="0096338A">
        <w:t xml:space="preserve">nog niet echt heerste. </w:t>
      </w:r>
    </w:p>
    <w:p w:rsidR="00AF494C" w:rsidRPr="0096338A" w:rsidRDefault="00AF494C" w:rsidP="003E4AB2">
      <w:r w:rsidRPr="0096338A">
        <w:tab/>
        <w:t xml:space="preserve">Aangezien dit onderzoek de </w:t>
      </w:r>
      <w:r w:rsidR="007B2F01" w:rsidRPr="0096338A">
        <w:t xml:space="preserve">twee </w:t>
      </w:r>
      <w:r w:rsidRPr="0096338A">
        <w:t>eerste voorgestelde verklaring</w:t>
      </w:r>
      <w:r w:rsidR="007B2F01" w:rsidRPr="0096338A">
        <w:t>en</w:t>
      </w:r>
      <w:r w:rsidRPr="0096338A">
        <w:t xml:space="preserve"> grotendeels verwierp, is er dus een andere verklaring nodig voor de hypothetische verandering. </w:t>
      </w:r>
      <w:r w:rsidR="00786F98" w:rsidRPr="0096338A">
        <w:t>Shulamith Shahar merkt zeer correct op dat de verandering niet louter door de economische ontwikkeling kan worden verklaard.</w:t>
      </w:r>
    </w:p>
    <w:p w:rsidR="00786F98" w:rsidRPr="0096338A" w:rsidRDefault="00786F98" w:rsidP="00786F98">
      <w:pPr>
        <w:ind w:left="705"/>
        <w:rPr>
          <w:lang w:val="en-GB"/>
        </w:rPr>
      </w:pPr>
      <w:r w:rsidRPr="0096338A">
        <w:rPr>
          <w:lang w:val="en-GB"/>
        </w:rPr>
        <w:t>“The restriction of the rights of urban women was reflected primarily in the fact that women played no part in running the town. Different forms of government evolved in different towns, […]. But in none, whatever their regimes, did women plat a part in government.”</w:t>
      </w:r>
      <w:r w:rsidRPr="0096338A">
        <w:rPr>
          <w:vertAlign w:val="superscript"/>
          <w:lang w:val="en-GB"/>
        </w:rPr>
        <w:footnoteReference w:id="236"/>
      </w:r>
    </w:p>
    <w:p w:rsidR="00FF0AD2" w:rsidRPr="0096338A" w:rsidRDefault="00786F98" w:rsidP="00786F98">
      <w:pPr>
        <w:rPr>
          <w:lang w:val="en-GB"/>
        </w:rPr>
      </w:pPr>
      <w:r w:rsidRPr="0096338A">
        <w:t xml:space="preserve">Een derde </w:t>
      </w:r>
      <w:r w:rsidR="003C6F1B" w:rsidRPr="0096338A">
        <w:t xml:space="preserve">hypothese, </w:t>
      </w:r>
      <w:r w:rsidRPr="0096338A">
        <w:t xml:space="preserve">die de politieke onmondigheid van vrouwen </w:t>
      </w:r>
      <w:r w:rsidR="003C6F1B" w:rsidRPr="0096338A">
        <w:t>belicht</w:t>
      </w:r>
      <w:r w:rsidRPr="0096338A">
        <w:t>, is dus nodig. De organisatie van de ambachten die zich doorheen de late middeleeuwen voltrok, biedt die verklaring. De organisatie van beroepen in ambachten ging in de loop van de veertiende eeuw</w:t>
      </w:r>
      <w:r w:rsidR="003C6F1B" w:rsidRPr="0096338A">
        <w:t xml:space="preserve">, </w:t>
      </w:r>
      <w:r w:rsidRPr="0096338A">
        <w:t>in Leuven aan het einde van die eeuw</w:t>
      </w:r>
      <w:r w:rsidR="003C6F1B" w:rsidRPr="0096338A">
        <w:t>,</w:t>
      </w:r>
      <w:r w:rsidRPr="0096338A">
        <w:t xml:space="preserve"> gepaard met de verwerving van politieke rechten. Ambachten en politiek geraakten nauw verweven met elkaar. Aangezien vrouwen in die laatste tak van het openbare leven weinig aanwezig waren</w:t>
      </w:r>
      <w:r w:rsidR="003C6F1B" w:rsidRPr="0096338A">
        <w:t xml:space="preserve">, </w:t>
      </w:r>
      <w:r w:rsidRPr="0096338A">
        <w:t>konden ze bijgevolg bepaalde rollen niet opnemen en onmogelijk volwaardig</w:t>
      </w:r>
      <w:r w:rsidR="00CA52D6" w:rsidRPr="0096338A">
        <w:t>e leden</w:t>
      </w:r>
      <w:r w:rsidRPr="0096338A">
        <w:t xml:space="preserve"> van de ambachten zijn.</w:t>
      </w:r>
      <w:r w:rsidRPr="0096338A">
        <w:rPr>
          <w:rStyle w:val="Voetnootmarkering"/>
        </w:rPr>
        <w:footnoteReference w:id="237"/>
      </w:r>
      <w:r w:rsidR="007A31BD" w:rsidRPr="0096338A">
        <w:t xml:space="preserve"> De reeds vermelde gewoonte waarbij vrouwen slechts de helft van het ambachtsgeld moesten betalen lijkt bij deze vaststelling aan te sluiten.</w:t>
      </w:r>
      <w:r w:rsidR="007A31BD" w:rsidRPr="0096338A">
        <w:rPr>
          <w:rStyle w:val="Voetnootmarkering"/>
        </w:rPr>
        <w:footnoteReference w:id="238"/>
      </w:r>
      <w:r w:rsidR="00FF0AD2" w:rsidRPr="0096338A">
        <w:t xml:space="preserve"> De niet-volwaardige positie die ze in de groep konden innemen </w:t>
      </w:r>
      <w:r w:rsidR="00CA52D6" w:rsidRPr="0096338A">
        <w:t>kent weerspiegeling</w:t>
      </w:r>
      <w:r w:rsidR="00FF0AD2" w:rsidRPr="0096338A">
        <w:t xml:space="preserve"> in </w:t>
      </w:r>
      <w:r w:rsidR="00CA52D6" w:rsidRPr="0096338A">
        <w:t>het vereiste bedrag</w:t>
      </w:r>
      <w:r w:rsidR="00FF0AD2" w:rsidRPr="0096338A">
        <w:t xml:space="preserve">. De ambachten leken inderdaad een begrenzend effect te hebben op de vrijheid van vrouwen. </w:t>
      </w:r>
      <w:r w:rsidR="00FF0AD2" w:rsidRPr="0096338A">
        <w:rPr>
          <w:lang w:val="en-GB"/>
        </w:rPr>
        <w:t xml:space="preserve">Stabel stelt: </w:t>
      </w:r>
    </w:p>
    <w:p w:rsidR="00786F98" w:rsidRPr="0096338A" w:rsidRDefault="00FF0AD2" w:rsidP="00FF0AD2">
      <w:pPr>
        <w:ind w:left="708"/>
        <w:rPr>
          <w:lang w:val="en-GB"/>
        </w:rPr>
      </w:pPr>
      <w:r w:rsidRPr="0096338A">
        <w:rPr>
          <w:lang w:val="en-GB"/>
        </w:rPr>
        <w:lastRenderedPageBreak/>
        <w:t>“Perhaps most important of all, guilds were crucial for the establishment and control of social relations and social networks in the cities and for the development of group solidarity and collective identity.”</w:t>
      </w:r>
      <w:r w:rsidRPr="0096338A">
        <w:rPr>
          <w:vertAlign w:val="superscript"/>
          <w:lang w:val="en-GB"/>
        </w:rPr>
        <w:footnoteReference w:id="239"/>
      </w:r>
    </w:p>
    <w:p w:rsidR="00FF0AD2" w:rsidRPr="0096338A" w:rsidRDefault="00C76E24" w:rsidP="00FF0AD2">
      <w:r w:rsidRPr="0096338A">
        <w:t>De ambachten bouwden</w:t>
      </w:r>
      <w:r w:rsidR="00FF0AD2" w:rsidRPr="0096338A">
        <w:t xml:space="preserve"> grotendeels het sociale leven in de middeleeuwse stad uit. Dit was in Leuven zeker ook het geval, aangezien ze er erg veel inspraak</w:t>
      </w:r>
      <w:r w:rsidR="003C6F1B" w:rsidRPr="0096338A">
        <w:t xml:space="preserve"> hadden </w:t>
      </w:r>
      <w:r w:rsidR="00FF0AD2" w:rsidRPr="0096338A">
        <w:t>in het bestuur en de grote meerderheid van de bevolking bij de groeperingen hoorde.</w:t>
      </w:r>
      <w:r w:rsidR="00FF0AD2" w:rsidRPr="0096338A">
        <w:rPr>
          <w:rStyle w:val="Voetnootmarkering"/>
        </w:rPr>
        <w:footnoteReference w:id="240"/>
      </w:r>
      <w:r w:rsidR="00447219" w:rsidRPr="0096338A">
        <w:t xml:space="preserve"> De uitsluiting van vrouwen uit de corporaties was dan ook cruciaal voor hun uitsluiting uit de marktruimte.</w:t>
      </w:r>
      <w:r w:rsidR="00447219" w:rsidRPr="0096338A">
        <w:rPr>
          <w:rStyle w:val="Voetnootmarkering"/>
        </w:rPr>
        <w:footnoteReference w:id="241"/>
      </w:r>
      <w:r w:rsidR="00447219" w:rsidRPr="0096338A">
        <w:t xml:space="preserve"> Deze studie toonde reeds aan dat het verbod op vrouwelijk lidmaatschap in de ambachten in Leuven slechts in beperkte mate </w:t>
      </w:r>
      <w:r w:rsidR="003C6F1B" w:rsidRPr="0096338A">
        <w:t>gebruikelijk was</w:t>
      </w:r>
      <w:r w:rsidR="00447219" w:rsidRPr="0096338A">
        <w:t>. Toch is het duidelijk dat de ambachten optraden om de economische participatie van vrouwen te reguleren. De stadsordonnanties zijn een ui</w:t>
      </w:r>
      <w:r w:rsidR="007D6C68" w:rsidRPr="0096338A">
        <w:t>tstekende bron om dit naar voor</w:t>
      </w:r>
      <w:r w:rsidR="00447219" w:rsidRPr="0096338A">
        <w:t xml:space="preserve"> te brengen. Hoewel de stadsraad de teksten uitvaardigde, waren ze vaak niet de initiator van de regelgeving.</w:t>
      </w:r>
      <w:r w:rsidR="00447219" w:rsidRPr="0096338A">
        <w:rPr>
          <w:rStyle w:val="Voetnootmarkering"/>
        </w:rPr>
        <w:footnoteReference w:id="242"/>
      </w:r>
      <w:r w:rsidR="00447219" w:rsidRPr="0096338A">
        <w:t xml:space="preserve"> Tweeëntwintig van de eenenzestig gebruikte ordonnanties kwamen tot stand op expliciete vraag van de ambachten, wat overeenkomt met zesendertig procent van het gebruikte bronnenbestand. Het merendeel van de</w:t>
      </w:r>
      <w:r w:rsidR="003C6F1B" w:rsidRPr="0096338A">
        <w:t xml:space="preserve"> overige</w:t>
      </w:r>
      <w:r w:rsidR="00447219" w:rsidRPr="0096338A">
        <w:t xml:space="preserve"> ordonnanties</w:t>
      </w:r>
      <w:r w:rsidR="003C6F1B" w:rsidRPr="0096338A">
        <w:t xml:space="preserve"> </w:t>
      </w:r>
      <w:r w:rsidR="00447219" w:rsidRPr="0096338A">
        <w:t>geven echter geen andere initiator op en kunnen dus mogelijk</w:t>
      </w:r>
      <w:r w:rsidR="003C6F1B" w:rsidRPr="0096338A">
        <w:t>s</w:t>
      </w:r>
      <w:r w:rsidR="00447219" w:rsidRPr="0096338A">
        <w:t xml:space="preserve"> ook op vraag van de ambachten zijn ontst</w:t>
      </w:r>
      <w:r w:rsidRPr="0096338A">
        <w:t>aan. Zo herhaalt de raad in 1439</w:t>
      </w:r>
      <w:r w:rsidR="00447219" w:rsidRPr="0096338A">
        <w:t xml:space="preserve"> bijvoorbeeld het verbod op vrouwen in de ambachten, dat een jaar eerder reeds werd uitgevaardigd.</w:t>
      </w:r>
    </w:p>
    <w:p w:rsidR="00447219" w:rsidRPr="0096338A" w:rsidRDefault="00447219" w:rsidP="00447219">
      <w:pPr>
        <w:ind w:left="705"/>
        <w:rPr>
          <w:i/>
        </w:rPr>
      </w:pPr>
      <w:r w:rsidRPr="0096338A">
        <w:rPr>
          <w:i/>
        </w:rPr>
        <w:t>Dese ordinancien heeft de stat geconsenteert ende vernuwt den barbieren te hebben ende te houden tot hueren wederroepen […].</w:t>
      </w:r>
      <w:r w:rsidRPr="0096338A">
        <w:rPr>
          <w:i/>
          <w:vertAlign w:val="superscript"/>
        </w:rPr>
        <w:footnoteReference w:id="243"/>
      </w:r>
    </w:p>
    <w:p w:rsidR="00447219" w:rsidRPr="0096338A" w:rsidRDefault="00447219" w:rsidP="00447219">
      <w:r w:rsidRPr="0096338A">
        <w:t>Mogelijk</w:t>
      </w:r>
      <w:r w:rsidR="003C6F1B" w:rsidRPr="0096338A">
        <w:t>s</w:t>
      </w:r>
      <w:r w:rsidRPr="0096338A">
        <w:t xml:space="preserve"> stelt de oorspronkelijke ordonnantie, die helaas ontbreekt, dat de regel op vraag van de ambachten werd opgesteld. Andere beslissingen maken duidelijk dat de ambachten meer controle op de markt wilden en hiertoe restricties voor vrouwen oplegden. De gezworenen van de ambachten vroegen regelmatig om een bevestiging van hun rechten.</w:t>
      </w:r>
    </w:p>
    <w:p w:rsidR="00447219" w:rsidRPr="0096338A" w:rsidRDefault="00447219" w:rsidP="00447219">
      <w:pPr>
        <w:ind w:left="705"/>
      </w:pPr>
      <w:r w:rsidRPr="0096338A">
        <w:rPr>
          <w:i/>
        </w:rPr>
        <w:t>Item want de gesworene van den oudscoenme</w:t>
      </w:r>
      <w:r w:rsidR="00825A54" w:rsidRPr="0096338A">
        <w:rPr>
          <w:i/>
        </w:rPr>
        <w:t xml:space="preserve">kers ambachte te Lovene te meer </w:t>
      </w:r>
      <w:r w:rsidRPr="0096338A">
        <w:rPr>
          <w:i/>
        </w:rPr>
        <w:t>scouden ende oic op ten dach van heden comen sijn by den rade van den stad van Loevenen int langhe op doende […].</w:t>
      </w:r>
      <w:r w:rsidRPr="0096338A">
        <w:rPr>
          <w:i/>
          <w:vertAlign w:val="superscript"/>
        </w:rPr>
        <w:footnoteReference w:id="244"/>
      </w:r>
    </w:p>
    <w:p w:rsidR="00447219" w:rsidRPr="0096338A" w:rsidRDefault="00447219" w:rsidP="00FF0AD2">
      <w:r w:rsidRPr="0096338A">
        <w:t xml:space="preserve">De stadsraad kwam tegemoet aan de rekesten van de ambachten, die formuleringen gebruikten waaruit bleek dat het ambacht zwaar </w:t>
      </w:r>
      <w:r w:rsidR="007B2F01" w:rsidRPr="0096338A">
        <w:t xml:space="preserve">zou lijden </w:t>
      </w:r>
      <w:r w:rsidRPr="0096338A">
        <w:t xml:space="preserve">onder de wanpraktijken die ze </w:t>
      </w:r>
      <w:r w:rsidRPr="0096338A">
        <w:lastRenderedPageBreak/>
        <w:t>aanklaagden.</w:t>
      </w:r>
      <w:r w:rsidR="005455B7" w:rsidRPr="0096338A">
        <w:t xml:space="preserve"> </w:t>
      </w:r>
      <w:r w:rsidRPr="0096338A">
        <w:t xml:space="preserve">De regulering van vrouwen in de Leuvense economische wereld was dus ongetwijfeld onderhevig aan de </w:t>
      </w:r>
      <w:r w:rsidR="005455B7" w:rsidRPr="0096338A">
        <w:t xml:space="preserve">macht van de ambachten. </w:t>
      </w:r>
    </w:p>
    <w:p w:rsidR="005455B7" w:rsidRPr="0096338A" w:rsidRDefault="00FF0AD2" w:rsidP="00786F98">
      <w:r w:rsidRPr="0096338A">
        <w:tab/>
      </w:r>
      <w:r w:rsidR="005455B7" w:rsidRPr="0096338A">
        <w:t>Enkele kanttekeningen zijn echter nodig bij de</w:t>
      </w:r>
      <w:r w:rsidR="007B2F01" w:rsidRPr="0096338A">
        <w:t xml:space="preserve"> veronderstelde rol van de </w:t>
      </w:r>
      <w:r w:rsidR="005455B7" w:rsidRPr="0096338A">
        <w:t xml:space="preserve">ambachten als oorzaak van een </w:t>
      </w:r>
      <w:r w:rsidR="007B2F01" w:rsidRPr="0096338A">
        <w:t xml:space="preserve">hypothetische </w:t>
      </w:r>
      <w:r w:rsidR="005455B7" w:rsidRPr="0096338A">
        <w:t>versl</w:t>
      </w:r>
      <w:r w:rsidR="007B2F01" w:rsidRPr="0096338A">
        <w:t xml:space="preserve">echterende positie voor vrouwen. </w:t>
      </w:r>
      <w:r w:rsidR="008B75FD" w:rsidRPr="0096338A">
        <w:t>Ten eerste lijkt de achteruitstelling van vrouwelijk lidmaatschap enige nuance te vragen. De fruiteniers bepalen in 1442 bijvoorbeeld dat vrouwen en mannen hetzelfde bedrag moesten betalen om bij het ambacht te mogen komen.</w:t>
      </w:r>
      <w:r w:rsidR="008B75FD" w:rsidRPr="0096338A">
        <w:rPr>
          <w:rStyle w:val="Voetnootmarkering"/>
        </w:rPr>
        <w:footnoteReference w:id="245"/>
      </w:r>
      <w:r w:rsidR="008B75FD" w:rsidRPr="0096338A">
        <w:t xml:space="preserve"> Dit mag verbazen, aangezien het een unicum is in de Leuvense stadordonnanties. Het ambacht bestond natuurlijk wel voornamelijk uit taken die van huishoudelijke aard zijn en genoot </w:t>
      </w:r>
      <w:r w:rsidR="00CF1D91" w:rsidRPr="0096338A">
        <w:t xml:space="preserve">een </w:t>
      </w:r>
      <w:r w:rsidR="008B75FD" w:rsidRPr="0096338A">
        <w:t>minder politiek prestige, zoals ui</w:t>
      </w:r>
      <w:r w:rsidR="00617FB6" w:rsidRPr="0096338A">
        <w:t>t de ommegangen-lijst naar voor</w:t>
      </w:r>
      <w:r w:rsidR="008B75FD" w:rsidRPr="0096338A">
        <w:t xml:space="preserve"> komt.</w:t>
      </w:r>
      <w:r w:rsidR="008B75FD" w:rsidRPr="0096338A">
        <w:rPr>
          <w:rStyle w:val="Voetnootmarkering"/>
        </w:rPr>
        <w:footnoteReference w:id="246"/>
      </w:r>
      <w:r w:rsidR="008B75FD" w:rsidRPr="0096338A">
        <w:t xml:space="preserve"> Een tweede kanttekening is dat verder onderzoek zal moeten uitwijzen of de politieke macht van vrouwen inderdaad zo gering was. De klachten van spinsters die via andere corporaties bij het stadsbestuur terecht kwamen, </w:t>
      </w:r>
      <w:r w:rsidR="007B2F01" w:rsidRPr="0096338A">
        <w:t xml:space="preserve">toonden </w:t>
      </w:r>
      <w:r w:rsidR="008B75FD" w:rsidRPr="0096338A">
        <w:t>reeds aan dat vrouwen onrechtstreeks politieke inspraak in de ambachtenwereld konden hebben.</w:t>
      </w:r>
      <w:r w:rsidR="008B75FD" w:rsidRPr="0096338A">
        <w:rPr>
          <w:vertAlign w:val="superscript"/>
        </w:rPr>
        <w:footnoteReference w:id="247"/>
      </w:r>
      <w:r w:rsidR="008B75FD" w:rsidRPr="0096338A">
        <w:t xml:space="preserve"> Verhavert vermeldt eveneens dat drie vrouwen samen met Pieter Couthereel de stad moesten verlaten</w:t>
      </w:r>
      <w:r w:rsidR="007C62F2" w:rsidRPr="0096338A">
        <w:t xml:space="preserve"> na de opstand van 1360</w:t>
      </w:r>
      <w:r w:rsidR="008B75FD" w:rsidRPr="0096338A">
        <w:t>, al geeft hij hier geen verdere uitleg bij.</w:t>
      </w:r>
      <w:r w:rsidR="008B75FD" w:rsidRPr="0096338A">
        <w:rPr>
          <w:vertAlign w:val="superscript"/>
        </w:rPr>
        <w:footnoteReference w:id="248"/>
      </w:r>
      <w:r w:rsidR="008B75FD" w:rsidRPr="0096338A">
        <w:t xml:space="preserve"> Ook andere</w:t>
      </w:r>
      <w:r w:rsidR="00AE6E89">
        <w:t xml:space="preserve"> studies</w:t>
      </w:r>
      <w:r w:rsidR="008B75FD" w:rsidRPr="0096338A">
        <w:t xml:space="preserve"> </w:t>
      </w:r>
      <w:r w:rsidR="007C62F2" w:rsidRPr="0096338A">
        <w:t xml:space="preserve">doen </w:t>
      </w:r>
      <w:r w:rsidR="008B75FD" w:rsidRPr="0096338A">
        <w:t>de aanwezigheid van vrouwen in politieke conflicten</w:t>
      </w:r>
      <w:r w:rsidR="007C62F2" w:rsidRPr="0096338A">
        <w:t xml:space="preserve"> vermoeden</w:t>
      </w:r>
      <w:r w:rsidR="008B75FD" w:rsidRPr="0096338A">
        <w:t>.</w:t>
      </w:r>
      <w:r w:rsidR="008B75FD" w:rsidRPr="0096338A">
        <w:rPr>
          <w:vertAlign w:val="superscript"/>
        </w:rPr>
        <w:footnoteReference w:id="249"/>
      </w:r>
      <w:r w:rsidR="008B75FD" w:rsidRPr="0096338A">
        <w:t xml:space="preserve"> De aanwezigheid van de ambachten in de politieke wereld als verklaring voor de</w:t>
      </w:r>
      <w:r w:rsidR="007C62F2" w:rsidRPr="0096338A">
        <w:t xml:space="preserve"> </w:t>
      </w:r>
      <w:r w:rsidR="00CF1D91" w:rsidRPr="0096338A">
        <w:t>oorzaak van een evolutie</w:t>
      </w:r>
      <w:r w:rsidR="008B75FD" w:rsidRPr="0096338A">
        <w:t xml:space="preserve"> moet dus voorzichtig behandeld worden en verder onderzoek hiernaar is zeker vereist. </w:t>
      </w:r>
      <w:r w:rsidR="008A7555" w:rsidRPr="0096338A">
        <w:t xml:space="preserve">Ten slotte is het belangrijk op te merken dat de ambachten voornamelijk vrouwen </w:t>
      </w:r>
      <w:r w:rsidR="00CF1D91" w:rsidRPr="0096338A">
        <w:t xml:space="preserve">belemmerden </w:t>
      </w:r>
      <w:r w:rsidR="008A7555" w:rsidRPr="0096338A">
        <w:t>die in de informele markt opereerden. Eenmaal een vrouw lid w</w:t>
      </w:r>
      <w:r w:rsidR="00994F1D">
        <w:t>as van een corporatie, lijkt het</w:t>
      </w:r>
      <w:r w:rsidR="008A7555" w:rsidRPr="0096338A">
        <w:t xml:space="preserve"> dat ze gro</w:t>
      </w:r>
      <w:r w:rsidR="00CF1D91" w:rsidRPr="0096338A">
        <w:t>s</w:t>
      </w:r>
      <w:r w:rsidR="008A7555" w:rsidRPr="0096338A">
        <w:t xml:space="preserve">so modo op gelijke voet stond met de </w:t>
      </w:r>
      <w:r w:rsidR="007C62F2" w:rsidRPr="0096338A">
        <w:t xml:space="preserve">economische positie die </w:t>
      </w:r>
      <w:r w:rsidR="008A7555" w:rsidRPr="0096338A">
        <w:t>mannelijke</w:t>
      </w:r>
      <w:r w:rsidR="007C62F2" w:rsidRPr="0096338A">
        <w:t xml:space="preserve"> genoten hadden binnen de corporatie.</w:t>
      </w:r>
    </w:p>
    <w:p w:rsidR="00FF0AD2" w:rsidRPr="0096338A" w:rsidRDefault="008A7555" w:rsidP="008A7555">
      <w:pPr>
        <w:ind w:firstLine="708"/>
      </w:pPr>
      <w:r w:rsidRPr="0096338A">
        <w:t>De</w:t>
      </w:r>
      <w:r w:rsidR="00FF0AD2" w:rsidRPr="0096338A">
        <w:t xml:space="preserve"> nuances tonen aan dat ook de verklaring</w:t>
      </w:r>
      <w:r w:rsidR="00FD6094" w:rsidRPr="0096338A">
        <w:t xml:space="preserve"> van evo</w:t>
      </w:r>
      <w:r w:rsidR="00C8160D" w:rsidRPr="0096338A">
        <w:t>luties in de genderverhoudingen</w:t>
      </w:r>
      <w:r w:rsidR="00FF0AD2" w:rsidRPr="0096338A">
        <w:t xml:space="preserve"> aan de hand van ambachten </w:t>
      </w:r>
      <w:r w:rsidR="00FD6094" w:rsidRPr="0096338A">
        <w:t xml:space="preserve">onvolledig </w:t>
      </w:r>
      <w:r w:rsidR="00FF0AD2" w:rsidRPr="0096338A">
        <w:t>is.</w:t>
      </w:r>
      <w:r w:rsidR="00447219" w:rsidRPr="0096338A">
        <w:t xml:space="preserve"> Ongetwijfeld stelden ze regels op die de vrijheid van vrouwen begrensden, maar of die vanuit een</w:t>
      </w:r>
      <w:r w:rsidR="007C62F2" w:rsidRPr="0096338A">
        <w:t xml:space="preserve"> gegenderd </w:t>
      </w:r>
      <w:r w:rsidR="00447219" w:rsidRPr="0096338A">
        <w:t>gedachtengoed kwamen is nog maar de vraag</w:t>
      </w:r>
      <w:r w:rsidRPr="0096338A">
        <w:t xml:space="preserve">. Meer waarschijnlijk is dat </w:t>
      </w:r>
      <w:r w:rsidR="00FD6094" w:rsidRPr="0096338A">
        <w:t>de corporaties</w:t>
      </w:r>
      <w:r w:rsidRPr="0096338A">
        <w:t xml:space="preserve"> hun macht wilden consolideren en </w:t>
      </w:r>
      <w:r w:rsidRPr="0096338A">
        <w:lastRenderedPageBreak/>
        <w:t xml:space="preserve">hierbij niet </w:t>
      </w:r>
      <w:r w:rsidR="00FD6094" w:rsidRPr="0096338A">
        <w:t>zozeer</w:t>
      </w:r>
      <w:r w:rsidRPr="0096338A">
        <w:t xml:space="preserve"> vrouwen binnen de groep </w:t>
      </w:r>
      <w:r w:rsidR="007C62F2" w:rsidRPr="0096338A">
        <w:t>viseerden, dan wel het grote aantal vrouwen die op</w:t>
      </w:r>
      <w:r w:rsidRPr="0096338A">
        <w:t xml:space="preserve"> de vrije markt ageerden</w:t>
      </w:r>
      <w:r w:rsidR="00447219" w:rsidRPr="0096338A">
        <w:t>.</w:t>
      </w:r>
      <w:r w:rsidR="00FF0AD2" w:rsidRPr="0096338A">
        <w:t xml:space="preserve"> </w:t>
      </w:r>
      <w:r w:rsidR="002E1ED6" w:rsidRPr="0096338A">
        <w:t xml:space="preserve">Daarenboven stelden historici ook een verandering in de rol van de vrouw vast in steden waar de ambachten niet zo politiek machtig waren als in leuven. </w:t>
      </w:r>
      <w:r w:rsidRPr="0096338A">
        <w:t>Mogelijk</w:t>
      </w:r>
      <w:r w:rsidR="003C6F1B" w:rsidRPr="0096338A">
        <w:t>s</w:t>
      </w:r>
      <w:r w:rsidRPr="0096338A">
        <w:t xml:space="preserve"> is het gebrek aan een eenduidige verklaring een eerste aanduiding dat de </w:t>
      </w:r>
      <w:r w:rsidR="00E8163A">
        <w:t>‘</w:t>
      </w:r>
      <w:r w:rsidRPr="00E8163A">
        <w:t>decline-theorie</w:t>
      </w:r>
      <w:r w:rsidR="00E8163A">
        <w:t>’</w:t>
      </w:r>
      <w:r w:rsidRPr="0096338A">
        <w:rPr>
          <w:i/>
        </w:rPr>
        <w:t xml:space="preserve"> </w:t>
      </w:r>
      <w:r w:rsidRPr="0096338A">
        <w:t>van nuance</w:t>
      </w:r>
      <w:r w:rsidR="007C62F2" w:rsidRPr="0096338A">
        <w:t>s</w:t>
      </w:r>
      <w:r w:rsidRPr="0096338A">
        <w:t xml:space="preserve"> moet worden voorzien. Een volgen</w:t>
      </w:r>
      <w:r w:rsidR="007C62F2" w:rsidRPr="0096338A">
        <w:t>de paragraaf zal hier verder op ingaan</w:t>
      </w:r>
      <w:r w:rsidRPr="0096338A">
        <w:t xml:space="preserve">. </w:t>
      </w:r>
    </w:p>
    <w:p w:rsidR="00C07878" w:rsidRPr="0096338A" w:rsidRDefault="00C07878" w:rsidP="007C3761">
      <w:pPr>
        <w:pStyle w:val="Kop3"/>
        <w:rPr>
          <w:szCs w:val="24"/>
        </w:rPr>
      </w:pPr>
      <w:bookmarkStart w:id="18" w:name="_Toc452371450"/>
      <w:r w:rsidRPr="0096338A">
        <w:rPr>
          <w:szCs w:val="24"/>
        </w:rPr>
        <w:t>3.4.3 De Leuvense markt: een plaats voor nuance</w:t>
      </w:r>
      <w:bookmarkEnd w:id="18"/>
    </w:p>
    <w:p w:rsidR="00A1684C" w:rsidRPr="0096338A" w:rsidRDefault="00A1684C" w:rsidP="00A1684C">
      <w:r w:rsidRPr="0096338A">
        <w:t xml:space="preserve">Dit hoofdstuk belichtte reeds uitvoerig de problematiek </w:t>
      </w:r>
      <w:r w:rsidR="007C62F2" w:rsidRPr="0096338A">
        <w:t xml:space="preserve">van </w:t>
      </w:r>
      <w:r w:rsidRPr="0096338A">
        <w:t xml:space="preserve">de zoektocht naar een </w:t>
      </w:r>
      <w:r w:rsidR="003B0E24" w:rsidRPr="0096338A">
        <w:t xml:space="preserve">mogelijke </w:t>
      </w:r>
      <w:r w:rsidR="007C62F2" w:rsidRPr="0096338A">
        <w:t>verandering in de</w:t>
      </w:r>
      <w:r w:rsidR="003B0E24" w:rsidRPr="0096338A">
        <w:t xml:space="preserve"> genderverhoudingen bij </w:t>
      </w:r>
      <w:r w:rsidRPr="0096338A">
        <w:t>de ambachten</w:t>
      </w:r>
      <w:r w:rsidR="007C62F2" w:rsidRPr="0096338A">
        <w:t xml:space="preserve"> in de loop van</w:t>
      </w:r>
      <w:r w:rsidR="003B0E24" w:rsidRPr="0096338A">
        <w:t xml:space="preserve"> de vijftiende eeuw</w:t>
      </w:r>
      <w:r w:rsidRPr="0096338A">
        <w:t>. Een aantal argumenten</w:t>
      </w:r>
      <w:r w:rsidR="007C62F2" w:rsidRPr="0096338A">
        <w:t xml:space="preserve"> </w:t>
      </w:r>
      <w:r w:rsidR="003B0E24" w:rsidRPr="0096338A">
        <w:t>van historici</w:t>
      </w:r>
      <w:r w:rsidRPr="0096338A">
        <w:t xml:space="preserve"> kwamen doorheen het hoofdstuk reeds naar vo</w:t>
      </w:r>
      <w:r w:rsidR="003B0E24" w:rsidRPr="0096338A">
        <w:t>or</w:t>
      </w:r>
      <w:r w:rsidRPr="0096338A">
        <w:t xml:space="preserve">, maar een nauwkeurige analyse van de ordonnanties </w:t>
      </w:r>
      <w:r w:rsidR="003B04E2" w:rsidRPr="0096338A">
        <w:t>sluit niet uit</w:t>
      </w:r>
      <w:r w:rsidRPr="0096338A">
        <w:t xml:space="preserve"> dat de situatie doorheen de vijftiende eeuw </w:t>
      </w:r>
      <w:r w:rsidR="00EB74C6" w:rsidRPr="0096338A">
        <w:t xml:space="preserve">enigszins </w:t>
      </w:r>
      <w:r w:rsidRPr="0096338A">
        <w:t xml:space="preserve">verschilde van eerdere praktijken. Hoewel </w:t>
      </w:r>
      <w:r w:rsidR="00EB74C6" w:rsidRPr="0096338A">
        <w:t xml:space="preserve">er wellicht sprake was van </w:t>
      </w:r>
      <w:r w:rsidRPr="0096338A">
        <w:t xml:space="preserve">meer genderverschil, </w:t>
      </w:r>
      <w:r w:rsidR="00B3280A" w:rsidRPr="0096338A">
        <w:t xml:space="preserve">gaf </w:t>
      </w:r>
      <w:r w:rsidRPr="0096338A">
        <w:t xml:space="preserve">deze studie al meermaals </w:t>
      </w:r>
      <w:r w:rsidR="00B3280A" w:rsidRPr="0096338A">
        <w:t xml:space="preserve">aan </w:t>
      </w:r>
      <w:r w:rsidRPr="0096338A">
        <w:t>dat</w:t>
      </w:r>
      <w:r w:rsidR="00C8160D" w:rsidRPr="0096338A">
        <w:t xml:space="preserve"> vaststellingen hierover steeds</w:t>
      </w:r>
      <w:r w:rsidR="00B3280A" w:rsidRPr="0096338A">
        <w:t xml:space="preserve"> gepaard moeten gaan met een nuancering</w:t>
      </w:r>
      <w:r w:rsidRPr="0096338A">
        <w:t>. Aan de hand van een vergelijking met andere s</w:t>
      </w:r>
      <w:r w:rsidR="00C8160D" w:rsidRPr="0096338A">
        <w:t xml:space="preserve">teden, waaronder Gent en Douai, </w:t>
      </w:r>
      <w:r w:rsidR="00B3280A" w:rsidRPr="0096338A">
        <w:t>vormt zich de indruk</w:t>
      </w:r>
      <w:r w:rsidRPr="0096338A">
        <w:t xml:space="preserve"> dat de verandering in Le</w:t>
      </w:r>
      <w:r w:rsidR="003B04E2" w:rsidRPr="0096338A">
        <w:t xml:space="preserve">uven toch niet zo radicaal was. Zo blijken </w:t>
      </w:r>
      <w:r w:rsidR="00B3280A" w:rsidRPr="0096338A">
        <w:t xml:space="preserve">vrouwen </w:t>
      </w:r>
      <w:r w:rsidRPr="0096338A">
        <w:t xml:space="preserve">bijvoorbeeld nog relatief uitgebreid toegang </w:t>
      </w:r>
      <w:r w:rsidR="00B3280A" w:rsidRPr="0096338A">
        <w:t xml:space="preserve">te hebben </w:t>
      </w:r>
      <w:r w:rsidRPr="0096338A">
        <w:t xml:space="preserve">tot de ambachten en de vrije markt. Bij wijze van conclusie pleit deze studie dus voor voorzichtigheid en een revaluatie </w:t>
      </w:r>
      <w:r w:rsidR="002E1ED6" w:rsidRPr="0096338A">
        <w:t>van bepaalde veronderstellingen, waarbij belemmeringen op basis van gender geleidelijk ontstonden en dit wel degelijk onder invloed van de ambachten.</w:t>
      </w:r>
    </w:p>
    <w:p w:rsidR="00A1684C" w:rsidRPr="0096338A" w:rsidRDefault="00A1684C" w:rsidP="00A1684C">
      <w:r w:rsidRPr="0096338A">
        <w:tab/>
        <w:t>Een ambacht waarin een duidelijke verandering zichtbaar is ten opzichte van eerdere periode</w:t>
      </w:r>
      <w:r w:rsidR="0095558E" w:rsidRPr="0096338A">
        <w:t>n</w:t>
      </w:r>
      <w:r w:rsidRPr="0096338A">
        <w:t>, is het vissersambacht. Op de vrije markt oefenden een groot aantal niet-gezworenen dit beroep uit, iets waar de ambachten en stadsraad steevast een einde aan probeerden</w:t>
      </w:r>
      <w:r w:rsidR="0095558E" w:rsidRPr="0096338A">
        <w:t xml:space="preserve"> te</w:t>
      </w:r>
      <w:r w:rsidRPr="0096338A">
        <w:t xml:space="preserve"> maken. Bepaalde formuleringen in de ordonnanties tonen echter aan dat het niet om wetgeving gaat die in eerdere eeuwen reeds ontstond. Ten eerste lijkt het dat het traditioneel </w:t>
      </w:r>
      <w:r w:rsidR="0095558E" w:rsidRPr="0096338A">
        <w:t xml:space="preserve">vrouwelijke </w:t>
      </w:r>
      <w:r w:rsidRPr="0096338A">
        <w:t xml:space="preserve">beroep in 1453 niet meer </w:t>
      </w:r>
      <w:r w:rsidR="0095558E" w:rsidRPr="0096338A">
        <w:t xml:space="preserve">enkel </w:t>
      </w:r>
      <w:r w:rsidRPr="0096338A">
        <w:t>door vrouwen werd uitgeoefend. Meer zelfs, vrouwen leken nauwelijk</w:t>
      </w:r>
      <w:r w:rsidR="00C8160D" w:rsidRPr="0096338A">
        <w:t>s</w:t>
      </w:r>
      <w:r w:rsidR="002E1ED6" w:rsidRPr="0096338A">
        <w:t xml:space="preserve"> nog</w:t>
      </w:r>
      <w:r w:rsidR="00C8160D" w:rsidRPr="0096338A">
        <w:t xml:space="preserve"> een rol in te</w:t>
      </w:r>
      <w:r w:rsidR="0095558E" w:rsidRPr="0096338A">
        <w:t xml:space="preserve"> spelen</w:t>
      </w:r>
      <w:r w:rsidR="002E1ED6" w:rsidRPr="0096338A">
        <w:t xml:space="preserve"> binnen een corporatief verband</w:t>
      </w:r>
      <w:r w:rsidRPr="0096338A">
        <w:t>.</w:t>
      </w:r>
    </w:p>
    <w:p w:rsidR="00A1684C" w:rsidRPr="0096338A" w:rsidRDefault="00A1684C" w:rsidP="00A1684C">
      <w:pPr>
        <w:ind w:left="705"/>
      </w:pPr>
      <w:r w:rsidRPr="0096338A">
        <w:rPr>
          <w:i/>
        </w:rPr>
        <w:t xml:space="preserve">[…] gruenvissche, carpers, creeften ende dier ghelijcke diemen van outs vrouwen visch gheploghen heeft te heeten </w:t>
      </w:r>
      <w:r w:rsidR="00245EE1" w:rsidRPr="0096338A">
        <w:rPr>
          <w:i/>
        </w:rPr>
        <w:t>[…] staen sullen moeten al</w:t>
      </w:r>
      <w:r w:rsidRPr="0096338A">
        <w:rPr>
          <w:i/>
        </w:rPr>
        <w:t>tijt ter plaetsen daer der vrouwen van outs met alsulken vesschen gheploghen hebben te staen</w:t>
      </w:r>
      <w:r w:rsidRPr="0096338A">
        <w:t>.</w:t>
      </w:r>
      <w:r w:rsidRPr="0096338A">
        <w:rPr>
          <w:vertAlign w:val="superscript"/>
        </w:rPr>
        <w:footnoteReference w:id="250"/>
      </w:r>
    </w:p>
    <w:p w:rsidR="00A1684C" w:rsidRPr="0096338A" w:rsidRDefault="00A1684C" w:rsidP="00A1684C">
      <w:pPr>
        <w:rPr>
          <w:szCs w:val="24"/>
        </w:rPr>
      </w:pPr>
      <w:r w:rsidRPr="0096338A">
        <w:rPr>
          <w:szCs w:val="24"/>
        </w:rPr>
        <w:t>De stadsraad besliste in deze ordonnantie dat</w:t>
      </w:r>
      <w:r w:rsidR="0095558E" w:rsidRPr="0096338A">
        <w:rPr>
          <w:szCs w:val="24"/>
        </w:rPr>
        <w:t xml:space="preserve"> </w:t>
      </w:r>
      <w:r w:rsidRPr="0096338A">
        <w:rPr>
          <w:szCs w:val="24"/>
        </w:rPr>
        <w:t xml:space="preserve">vleeshouwers </w:t>
      </w:r>
      <w:r w:rsidR="003B04E2" w:rsidRPr="0096338A">
        <w:rPr>
          <w:szCs w:val="24"/>
        </w:rPr>
        <w:t xml:space="preserve">ook </w:t>
      </w:r>
      <w:r w:rsidRPr="0096338A">
        <w:rPr>
          <w:szCs w:val="24"/>
        </w:rPr>
        <w:t xml:space="preserve">bepaalde vissen, die ze bestempelen als vrouwenvissen, mochten verkopen, maar dat dit verboden was voor hun </w:t>
      </w:r>
      <w:r w:rsidR="0095558E" w:rsidRPr="0096338A">
        <w:rPr>
          <w:szCs w:val="24"/>
        </w:rPr>
        <w:lastRenderedPageBreak/>
        <w:t>eigen echtgenote</w:t>
      </w:r>
      <w:r w:rsidRPr="0096338A">
        <w:rPr>
          <w:szCs w:val="24"/>
        </w:rPr>
        <w:t xml:space="preserve">, boden of kinderen. Het verbod voor de huisvrouw om een bepaalde taak uit te voeren valt op, maar de verwoording van deze ordonnantie is waarschijnlijk meer betekenisvol. Dat de vissoorten bestempeld zijn als </w:t>
      </w:r>
      <w:r w:rsidRPr="0096338A">
        <w:rPr>
          <w:i/>
          <w:szCs w:val="24"/>
        </w:rPr>
        <w:t>vrouwen visch</w:t>
      </w:r>
      <w:r w:rsidRPr="0096338A">
        <w:rPr>
          <w:szCs w:val="24"/>
        </w:rPr>
        <w:t xml:space="preserve">, toont reeds aan dat het om vissoorten ging die </w:t>
      </w:r>
      <w:r w:rsidR="0095558E" w:rsidRPr="0096338A">
        <w:rPr>
          <w:szCs w:val="24"/>
        </w:rPr>
        <w:t xml:space="preserve">voorheen </w:t>
      </w:r>
      <w:r w:rsidRPr="0096338A">
        <w:rPr>
          <w:szCs w:val="24"/>
        </w:rPr>
        <w:t xml:space="preserve">steeds door vrouwen werden verkocht. Nog opvallender is de </w:t>
      </w:r>
      <w:r w:rsidR="00035110" w:rsidRPr="0096338A">
        <w:rPr>
          <w:szCs w:val="24"/>
        </w:rPr>
        <w:t xml:space="preserve">beschrijving van de </w:t>
      </w:r>
      <w:r w:rsidRPr="0096338A">
        <w:rPr>
          <w:szCs w:val="24"/>
        </w:rPr>
        <w:t xml:space="preserve">plaats waar de vleeshouwers deze vissen mochten verkopen. </w:t>
      </w:r>
      <w:r w:rsidRPr="0096338A">
        <w:rPr>
          <w:i/>
          <w:szCs w:val="24"/>
        </w:rPr>
        <w:t>Daer de vrouwen van oudts met sulcken vischen […]</w:t>
      </w:r>
      <w:r w:rsidRPr="0096338A">
        <w:rPr>
          <w:szCs w:val="24"/>
        </w:rPr>
        <w:t>.</w:t>
      </w:r>
      <w:r w:rsidRPr="0096338A">
        <w:rPr>
          <w:szCs w:val="24"/>
          <w:vertAlign w:val="superscript"/>
        </w:rPr>
        <w:footnoteReference w:id="251"/>
      </w:r>
      <w:r w:rsidRPr="0096338A">
        <w:rPr>
          <w:szCs w:val="24"/>
        </w:rPr>
        <w:t xml:space="preserve"> Dat de mannelijke vleeshouw</w:t>
      </w:r>
      <w:r w:rsidR="002E1ED6" w:rsidRPr="0096338A">
        <w:rPr>
          <w:szCs w:val="24"/>
        </w:rPr>
        <w:t xml:space="preserve">ers er nu vis mogen verkopen en niet </w:t>
      </w:r>
      <w:r w:rsidRPr="0096338A">
        <w:rPr>
          <w:szCs w:val="24"/>
        </w:rPr>
        <w:t>hun v</w:t>
      </w:r>
      <w:r w:rsidR="00C8160D" w:rsidRPr="0096338A">
        <w:rPr>
          <w:szCs w:val="24"/>
        </w:rPr>
        <w:t xml:space="preserve">rouwen, toont aan dat </w:t>
      </w:r>
      <w:r w:rsidR="00035110" w:rsidRPr="0096338A">
        <w:rPr>
          <w:szCs w:val="24"/>
        </w:rPr>
        <w:t>er zekere</w:t>
      </w:r>
      <w:r w:rsidR="00C8160D" w:rsidRPr="0096338A">
        <w:rPr>
          <w:szCs w:val="24"/>
        </w:rPr>
        <w:t xml:space="preserve"> veranderingen </w:t>
      </w:r>
      <w:r w:rsidRPr="0096338A">
        <w:rPr>
          <w:szCs w:val="24"/>
        </w:rPr>
        <w:t>plaatsvond</w:t>
      </w:r>
      <w:r w:rsidR="00035110" w:rsidRPr="0096338A">
        <w:rPr>
          <w:szCs w:val="24"/>
        </w:rPr>
        <w:t>en</w:t>
      </w:r>
      <w:r w:rsidRPr="0096338A">
        <w:rPr>
          <w:szCs w:val="24"/>
        </w:rPr>
        <w:t xml:space="preserve">. Het feit dat </w:t>
      </w:r>
      <w:r w:rsidR="00035110" w:rsidRPr="0096338A">
        <w:rPr>
          <w:szCs w:val="24"/>
        </w:rPr>
        <w:t xml:space="preserve">er in de tekst </w:t>
      </w:r>
      <w:r w:rsidRPr="0096338A">
        <w:rPr>
          <w:szCs w:val="24"/>
        </w:rPr>
        <w:t xml:space="preserve">nog </w:t>
      </w:r>
      <w:r w:rsidR="00035110" w:rsidRPr="0096338A">
        <w:rPr>
          <w:szCs w:val="24"/>
        </w:rPr>
        <w:t xml:space="preserve">een verwijzing is naar de plaats die vroeger al </w:t>
      </w:r>
      <w:r w:rsidR="003B04E2" w:rsidRPr="0096338A">
        <w:rPr>
          <w:szCs w:val="24"/>
        </w:rPr>
        <w:t xml:space="preserve">bedoeld was voor visverkoop, </w:t>
      </w:r>
      <w:r w:rsidRPr="0096338A">
        <w:rPr>
          <w:szCs w:val="24"/>
        </w:rPr>
        <w:t>toont aan dat dit waarschijnlijk in een nabij verleden nog gebeurde.</w:t>
      </w:r>
    </w:p>
    <w:p w:rsidR="00A1684C" w:rsidRPr="0096338A" w:rsidRDefault="00A1684C" w:rsidP="00A1684C">
      <w:pPr>
        <w:rPr>
          <w:szCs w:val="24"/>
        </w:rPr>
      </w:pPr>
      <w:r w:rsidRPr="0096338A">
        <w:rPr>
          <w:szCs w:val="24"/>
        </w:rPr>
        <w:tab/>
        <w:t>Verder be</w:t>
      </w:r>
      <w:r w:rsidR="002E1ED6" w:rsidRPr="0096338A">
        <w:rPr>
          <w:szCs w:val="24"/>
        </w:rPr>
        <w:t>lemmerde de stadsraad in 1460</w:t>
      </w:r>
      <w:r w:rsidRPr="0096338A">
        <w:rPr>
          <w:szCs w:val="24"/>
        </w:rPr>
        <w:t xml:space="preserve"> de vrije verkoop door vrouwelijke visverkopers. De raad besloot dat men bepaalde vissen niet meer mocht verkopen zonder lidmaatschap van het ambacht. Vrouwen die deze vissen verkochten</w:t>
      </w:r>
      <w:r w:rsidR="003B04E2" w:rsidRPr="0096338A">
        <w:rPr>
          <w:szCs w:val="24"/>
        </w:rPr>
        <w:t>,</w:t>
      </w:r>
      <w:r w:rsidRPr="0096338A">
        <w:rPr>
          <w:szCs w:val="24"/>
        </w:rPr>
        <w:t xml:space="preserve"> moesten verplicht toetreden tot de corporatie, maar kenden binnen de groep meer hinder dan mannen. </w:t>
      </w:r>
    </w:p>
    <w:p w:rsidR="00A1684C" w:rsidRPr="0096338A" w:rsidRDefault="00A1684C" w:rsidP="00A1684C">
      <w:pPr>
        <w:ind w:left="705"/>
      </w:pPr>
      <w:r w:rsidRPr="0096338A">
        <w:rPr>
          <w:i/>
        </w:rPr>
        <w:t>Sij sullen den voerscreven ambachte van den viss</w:t>
      </w:r>
      <w:r w:rsidR="00825A54" w:rsidRPr="0096338A">
        <w:rPr>
          <w:i/>
        </w:rPr>
        <w:t>chers gheven van elcker tonnen h</w:t>
      </w:r>
      <w:r w:rsidRPr="0096338A">
        <w:rPr>
          <w:i/>
        </w:rPr>
        <w:t>arin</w:t>
      </w:r>
      <w:r w:rsidR="00825A54" w:rsidRPr="0096338A">
        <w:rPr>
          <w:i/>
        </w:rPr>
        <w:t>xs die sij weycken ende alsoe uut penneweerden viii myten, van elcker manden verschs harincs iiii</w:t>
      </w:r>
      <w:r w:rsidR="007B644D" w:rsidRPr="0096338A">
        <w:rPr>
          <w:i/>
        </w:rPr>
        <w:t xml:space="preserve"> miten, van elker meesen b</w:t>
      </w:r>
      <w:r w:rsidRPr="0096338A">
        <w:rPr>
          <w:i/>
        </w:rPr>
        <w:t>oxshoren</w:t>
      </w:r>
      <w:r w:rsidR="007B644D" w:rsidRPr="0096338A">
        <w:rPr>
          <w:i/>
        </w:rPr>
        <w:t>e iiii</w:t>
      </w:r>
      <w:r w:rsidRPr="0096338A">
        <w:rPr>
          <w:i/>
        </w:rPr>
        <w:t xml:space="preserve"> miten ende van elcker manden Boxshorens </w:t>
      </w:r>
      <w:r w:rsidR="007B644D" w:rsidRPr="0096338A">
        <w:rPr>
          <w:i/>
        </w:rPr>
        <w:t>iiii</w:t>
      </w:r>
      <w:r w:rsidRPr="0096338A">
        <w:rPr>
          <w:i/>
        </w:rPr>
        <w:t xml:space="preserve"> myten</w:t>
      </w:r>
      <w:r w:rsidRPr="0096338A">
        <w:t>.</w:t>
      </w:r>
      <w:r w:rsidRPr="0096338A">
        <w:rPr>
          <w:vertAlign w:val="superscript"/>
        </w:rPr>
        <w:footnoteReference w:id="252"/>
      </w:r>
    </w:p>
    <w:p w:rsidR="00A1684C" w:rsidRPr="0096338A" w:rsidRDefault="00A1684C" w:rsidP="00A1684C">
      <w:r w:rsidRPr="0096338A">
        <w:t xml:space="preserve">Bovenop het halve ambachtsgeld dat ze bij hun toetreding betaalden, moesten ze een bedrag betalen bij de verkoop van een </w:t>
      </w:r>
      <w:r w:rsidR="00FD4301" w:rsidRPr="0096338A">
        <w:t>bepaald aantal vissen. Voor die</w:t>
      </w:r>
      <w:r w:rsidRPr="0096338A">
        <w:t xml:space="preserve"> bijkomende restricties is een mogelijke verklaring te vinden. Het gesloten karakter van de Leuvense ambachten liet niet toe dat buitenstaanders zonder meer in het ambacht toetraden. De ambachten probeerden </w:t>
      </w:r>
      <w:r w:rsidR="009B1E68" w:rsidRPr="0096338A">
        <w:t xml:space="preserve">echter </w:t>
      </w:r>
      <w:r w:rsidRPr="0096338A">
        <w:t>bij wijze van controle op de vrije markt</w:t>
      </w:r>
      <w:r w:rsidR="009B1E68" w:rsidRPr="0096338A">
        <w:t>,</w:t>
      </w:r>
      <w:r w:rsidRPr="0096338A">
        <w:t xml:space="preserve"> iedereen </w:t>
      </w:r>
      <w:r w:rsidR="00FD4301" w:rsidRPr="0096338A">
        <w:t>binnen de groepering te krijgen</w:t>
      </w:r>
      <w:r w:rsidRPr="0096338A">
        <w:t>. De gezworenen van het ambacht probeerden waarschijnlijk te belemmeren dat de nieuwe (vrouwelijke) leden hoge statusposities konden innemen binnen het ambacht. De restricties die ze oplegden dienden dus om dit te vermijden.</w:t>
      </w:r>
    </w:p>
    <w:p w:rsidR="00A1684C" w:rsidRPr="0096338A" w:rsidRDefault="00A1684C" w:rsidP="00A1684C">
      <w:r w:rsidRPr="0096338A">
        <w:tab/>
        <w:t xml:space="preserve">De vissers waren echter niet </w:t>
      </w:r>
      <w:r w:rsidR="00FD4301" w:rsidRPr="0096338A">
        <w:t>de enige groepering die</w:t>
      </w:r>
      <w:r w:rsidRPr="0096338A">
        <w:t xml:space="preserve"> de vrije markt probeerde </w:t>
      </w:r>
      <w:r w:rsidR="009B1E68" w:rsidRPr="0096338A">
        <w:t xml:space="preserve">in </w:t>
      </w:r>
      <w:r w:rsidR="00C8160D" w:rsidRPr="0096338A">
        <w:t xml:space="preserve">te </w:t>
      </w:r>
      <w:r w:rsidR="009B1E68" w:rsidRPr="0096338A">
        <w:t>perken</w:t>
      </w:r>
      <w:r w:rsidRPr="0096338A">
        <w:t>. De bontwerkers stelden in 1424 dat iedereen die pelsen verkocht in het ambacht moest komen.</w:t>
      </w:r>
      <w:r w:rsidRPr="0096338A">
        <w:rPr>
          <w:vertAlign w:val="superscript"/>
        </w:rPr>
        <w:footnoteReference w:id="253"/>
      </w:r>
      <w:r w:rsidRPr="0096338A">
        <w:t xml:space="preserve"> Andere ambachten, zoals de barbiers, eisten echter dat iedereen die het beroep op de </w:t>
      </w:r>
      <w:r w:rsidR="003B04E2" w:rsidRPr="0096338A">
        <w:t>vrije</w:t>
      </w:r>
      <w:r w:rsidRPr="0096338A">
        <w:t xml:space="preserve"> markt uitoefende een boete betaalde, die bij het barbiersberoep overeenkwam met een halve Hollandse gulden.</w:t>
      </w:r>
      <w:r w:rsidRPr="0096338A">
        <w:rPr>
          <w:vertAlign w:val="superscript"/>
        </w:rPr>
        <w:footnoteReference w:id="254"/>
      </w:r>
      <w:r w:rsidRPr="0096338A">
        <w:t xml:space="preserve"> De kleermakers vroegen aan elke vrouw die </w:t>
      </w:r>
      <w:r w:rsidRPr="0096338A">
        <w:lastRenderedPageBreak/>
        <w:t>het beroep uitoefende dan weer 12 myten.</w:t>
      </w:r>
      <w:r w:rsidRPr="0096338A">
        <w:rPr>
          <w:vertAlign w:val="superscript"/>
        </w:rPr>
        <w:footnoteReference w:id="255"/>
      </w:r>
      <w:r w:rsidRPr="0096338A">
        <w:t xml:space="preserve"> Hoe dan ook heerste er </w:t>
      </w:r>
      <w:r w:rsidR="009B1E68" w:rsidRPr="0096338A">
        <w:t xml:space="preserve">in de vijftiende eeuw </w:t>
      </w:r>
      <w:r w:rsidRPr="0096338A">
        <w:t xml:space="preserve">een duidelijke </w:t>
      </w:r>
      <w:r w:rsidR="009B1E68" w:rsidRPr="0096338A">
        <w:t xml:space="preserve">intentie </w:t>
      </w:r>
      <w:r w:rsidRPr="0096338A">
        <w:t>de vrije markt zoveel mogelijk aan banden te leggen of zelfs af t</w:t>
      </w:r>
      <w:r w:rsidR="00A11879" w:rsidRPr="0096338A">
        <w:t>e schaffen. De herhaling in 1593</w:t>
      </w:r>
      <w:r w:rsidRPr="0096338A">
        <w:t xml:space="preserve"> van de beslissing uit 1453 over vleeshouwers die vis mochten verkopen, toont echter aan dat de wetgeving niet</w:t>
      </w:r>
      <w:r w:rsidR="00DF6F23" w:rsidRPr="0096338A">
        <w:t xml:space="preserve"> steeds</w:t>
      </w:r>
      <w:r w:rsidRPr="0096338A">
        <w:t xml:space="preserve"> gevolgd werd.</w:t>
      </w:r>
      <w:r w:rsidRPr="0096338A">
        <w:rPr>
          <w:vertAlign w:val="superscript"/>
        </w:rPr>
        <w:footnoteReference w:id="256"/>
      </w:r>
      <w:r w:rsidRPr="0096338A">
        <w:t xml:space="preserve"> Toch wijst de poging tot een </w:t>
      </w:r>
      <w:r w:rsidR="00DF6F23" w:rsidRPr="0096338A">
        <w:t xml:space="preserve">beperking </w:t>
      </w:r>
      <w:r w:rsidR="003B04E2" w:rsidRPr="0096338A">
        <w:t>van</w:t>
      </w:r>
      <w:r w:rsidR="00DF6F23" w:rsidRPr="0096338A">
        <w:t xml:space="preserve"> het aantal</w:t>
      </w:r>
      <w:r w:rsidRPr="0096338A">
        <w:t xml:space="preserve"> verkopers op een verandering ten opzichte van de vorige eeuwen. De vrije markt, die zoals reeds gesteld cruciaal was voor de economische activiteit van vrouwen, moest inbinden ten voordele van de ambachten. Dit had hoe dan ook impact op de mate waarin vrouwen op de markt aanwezig waren. De vraag rijst echter in welke mate de verandering een gevolg was van een bewuste gender</w:t>
      </w:r>
      <w:r w:rsidR="00F243EC" w:rsidRPr="0096338A">
        <w:t>uitsluiting</w:t>
      </w:r>
      <w:r w:rsidRPr="0096338A">
        <w:t xml:space="preserve">. Evenzeer kan het gaan om een poging van de ambachten tot machtsconsolidatie, waardoor de genderdifferentiatie, ondanks dat ze wel degelijk gebeurde, geen bewuste </w:t>
      </w:r>
      <w:r w:rsidR="003B04E2" w:rsidRPr="0096338A">
        <w:t>discriminatie</w:t>
      </w:r>
      <w:r w:rsidRPr="0096338A">
        <w:t xml:space="preserve"> was.</w:t>
      </w:r>
      <w:r w:rsidR="00FD4301" w:rsidRPr="0096338A">
        <w:t xml:space="preserve"> De poging van de corporaties tot meer controle zorgde hiermee wel voor een geleidelijke verzwakking van de positie van de vrouw in de economische wereld. Die drang naar controle legitimeert de hypothese dat de ambachten de belemmerende kracht waren die een meer genderdifferentiatie veroorzaakte.</w:t>
      </w:r>
    </w:p>
    <w:p w:rsidR="00A1684C" w:rsidRPr="0096338A" w:rsidRDefault="00FD4301" w:rsidP="00A1684C">
      <w:r w:rsidRPr="0096338A">
        <w:tab/>
        <w:t xml:space="preserve">Eerdere studies benadrukken </w:t>
      </w:r>
      <w:r w:rsidR="00A1684C" w:rsidRPr="0096338A">
        <w:t>echter consistent te krachtig</w:t>
      </w:r>
      <w:r w:rsidR="00DF6F23" w:rsidRPr="0096338A">
        <w:t xml:space="preserve"> en dit onderzoek</w:t>
      </w:r>
      <w:r w:rsidR="00DC5FCF" w:rsidRPr="0096338A">
        <w:t xml:space="preserve"> bracht</w:t>
      </w:r>
      <w:r w:rsidR="00DF6F23" w:rsidRPr="0096338A">
        <w:t xml:space="preserve"> herhaaldelijk</w:t>
      </w:r>
      <w:r w:rsidR="00DC5FCF" w:rsidRPr="0096338A">
        <w:t xml:space="preserve"> gegevens aan die </w:t>
      </w:r>
      <w:r w:rsidR="003B04E2" w:rsidRPr="0096338A">
        <w:t>aanzetten</w:t>
      </w:r>
      <w:r w:rsidR="00DC5FCF" w:rsidRPr="0096338A">
        <w:t xml:space="preserve"> tot nuancering</w:t>
      </w:r>
      <w:r w:rsidR="00A1684C" w:rsidRPr="0096338A">
        <w:t>. De dubbele verwoording verdwijnt bijvoorbeeld niet in de Leuvense ordonnanties, wat tegen de stellingen van Queller en Kittell ingaat.</w:t>
      </w:r>
      <w:r w:rsidR="00A1684C" w:rsidRPr="0096338A">
        <w:rPr>
          <w:vertAlign w:val="superscript"/>
        </w:rPr>
        <w:footnoteReference w:id="257"/>
      </w:r>
      <w:r w:rsidR="00A1684C" w:rsidRPr="0096338A">
        <w:t xml:space="preserve"> In Leuven bestond er ook nog vrouwelijk ondernemerschap, wat tegen de theorie van S.D. Smith ingaat.</w:t>
      </w:r>
      <w:r w:rsidR="00A1684C" w:rsidRPr="0096338A">
        <w:rPr>
          <w:vertAlign w:val="superscript"/>
        </w:rPr>
        <w:footnoteReference w:id="258"/>
      </w:r>
      <w:r w:rsidR="00A1684C" w:rsidRPr="0096338A">
        <w:t xml:space="preserve"> Andere argumenten</w:t>
      </w:r>
      <w:r w:rsidR="003B04E2" w:rsidRPr="0096338A">
        <w:t xml:space="preserve"> accentueren nog sterker de nood aan nuancering. De </w:t>
      </w:r>
      <w:r w:rsidR="00DC5FCF" w:rsidRPr="0096338A">
        <w:t xml:space="preserve">talrijke </w:t>
      </w:r>
      <w:r w:rsidR="00A1684C" w:rsidRPr="0096338A">
        <w:t>aanwezigheid van vrouwen in het vleeshouwersambacht</w:t>
      </w:r>
      <w:r w:rsidR="001802DA" w:rsidRPr="0096338A">
        <w:t xml:space="preserve"> </w:t>
      </w:r>
      <w:r w:rsidR="00A1684C" w:rsidRPr="0096338A">
        <w:t>gaat bijvoorbeeld lijnrecht in tegen</w:t>
      </w:r>
      <w:r w:rsidR="00DC5FCF" w:rsidRPr="0096338A">
        <w:t xml:space="preserve"> gegevens uit</w:t>
      </w:r>
      <w:r w:rsidR="00A1684C" w:rsidRPr="0096338A">
        <w:t xml:space="preserve"> het onderzoek van Hutton over de Gentse marktruimte.</w:t>
      </w:r>
      <w:r w:rsidR="00A1684C" w:rsidRPr="0096338A">
        <w:rPr>
          <w:vertAlign w:val="superscript"/>
        </w:rPr>
        <w:footnoteReference w:id="259"/>
      </w:r>
      <w:r w:rsidR="00A1684C" w:rsidRPr="0096338A">
        <w:t xml:space="preserve"> Nog opmerkelijker is het gebrek aan restricties voor vrouwen die reeds in de meeste ambachten zaten. Een aantal beslissingen tonen aan dat er wel degelijk beperkingen voor vrouwen waren, zoals bijvoorbeeld het verbod </w:t>
      </w:r>
      <w:r w:rsidR="008A1052" w:rsidRPr="0096338A">
        <w:t xml:space="preserve">voor de meeste vrouwen </w:t>
      </w:r>
      <w:r w:rsidR="00A1684C" w:rsidRPr="0096338A">
        <w:t>op de verkoop van pensen en de verplichte betaling bij de verkoop van bepaalde vissen.</w:t>
      </w:r>
      <w:r w:rsidR="00A1684C" w:rsidRPr="0096338A">
        <w:rPr>
          <w:vertAlign w:val="superscript"/>
        </w:rPr>
        <w:footnoteReference w:id="260"/>
      </w:r>
      <w:r w:rsidR="00A1684C" w:rsidRPr="0096338A">
        <w:t xml:space="preserve"> De meeste ambachten stelden echter geen regels op die de vrouwelijke leden expliciet bepaalde handelingen verbood. Eenmaal vrouwen in de ambachten zaten</w:t>
      </w:r>
      <w:r w:rsidR="00493875" w:rsidRPr="0096338A">
        <w:t xml:space="preserve">, lijken ze zich </w:t>
      </w:r>
      <w:r w:rsidR="001802DA" w:rsidRPr="0096338A">
        <w:t xml:space="preserve">– met </w:t>
      </w:r>
      <w:r w:rsidR="00493875" w:rsidRPr="0096338A">
        <w:t>uitzondering van de weliswaar belangrijke</w:t>
      </w:r>
      <w:r w:rsidR="00A1684C" w:rsidRPr="0096338A">
        <w:t xml:space="preserve"> politieke functies</w:t>
      </w:r>
      <w:r w:rsidR="001802DA" w:rsidRPr="0096338A">
        <w:t xml:space="preserve"> – op </w:t>
      </w:r>
      <w:r w:rsidR="00A1684C" w:rsidRPr="0096338A">
        <w:t xml:space="preserve">gelijk niveau </w:t>
      </w:r>
      <w:r w:rsidR="001802DA" w:rsidRPr="0096338A">
        <w:t xml:space="preserve">te bevinden </w:t>
      </w:r>
      <w:r w:rsidR="00A1684C" w:rsidRPr="0096338A">
        <w:t>als de mannelijke gezworenen en dus niet per se een lagere status</w:t>
      </w:r>
      <w:r w:rsidR="001802DA" w:rsidRPr="0096338A">
        <w:t xml:space="preserve"> in te nemen. Hoofdstuk vier </w:t>
      </w:r>
      <w:r w:rsidR="001802DA" w:rsidRPr="0096338A">
        <w:lastRenderedPageBreak/>
        <w:t xml:space="preserve">wijst wel op restricties voor vrouwen in de vleeshal, maar toont eveneens dat die ook te nuanceren zijn. </w:t>
      </w:r>
    </w:p>
    <w:p w:rsidR="00A1684C" w:rsidRPr="0096338A" w:rsidRDefault="00A1684C" w:rsidP="00A1684C">
      <w:pPr>
        <w:ind w:firstLine="705"/>
      </w:pPr>
      <w:r w:rsidRPr="0096338A">
        <w:t xml:space="preserve">Hoewel haast elk onderzoek de verandering beklemtoonde, is de nuancering die deze studie aandraagt niet de eerste kanttekening bij de </w:t>
      </w:r>
      <w:r w:rsidR="00E8163A">
        <w:t>‘</w:t>
      </w:r>
      <w:r w:rsidRPr="00E8163A">
        <w:t>decline-thesis</w:t>
      </w:r>
      <w:r w:rsidR="00E8163A">
        <w:t>’</w:t>
      </w:r>
      <w:r w:rsidRPr="0096338A">
        <w:t xml:space="preserve">. Crowston </w:t>
      </w:r>
      <w:r w:rsidR="00493875" w:rsidRPr="0096338A">
        <w:t xml:space="preserve">maakte </w:t>
      </w:r>
      <w:r w:rsidRPr="0096338A">
        <w:t>reeds</w:t>
      </w:r>
      <w:r w:rsidR="001802DA" w:rsidRPr="0096338A">
        <w:t xml:space="preserve"> </w:t>
      </w:r>
      <w:r w:rsidRPr="0096338A">
        <w:t xml:space="preserve">enkele </w:t>
      </w:r>
      <w:r w:rsidR="00493875" w:rsidRPr="0096338A">
        <w:t xml:space="preserve">kritische </w:t>
      </w:r>
      <w:r w:rsidR="001802DA" w:rsidRPr="0096338A">
        <w:t xml:space="preserve">opmerkingen over </w:t>
      </w:r>
      <w:r w:rsidRPr="0096338A">
        <w:t>de</w:t>
      </w:r>
      <w:r w:rsidR="00493875" w:rsidRPr="0096338A">
        <w:t>ze</w:t>
      </w:r>
      <w:r w:rsidR="001802DA" w:rsidRPr="0096338A">
        <w:t xml:space="preserve"> theorie</w:t>
      </w:r>
      <w:r w:rsidRPr="0096338A">
        <w:t>. Ze stelde dat de wetgeving die de verandering tot stand bracht niet in één periode kan worden gesitueerd, maar doorheen de eeuwen geleidelijk aan doorsijpelde.</w:t>
      </w:r>
      <w:r w:rsidRPr="0096338A">
        <w:rPr>
          <w:vertAlign w:val="superscript"/>
        </w:rPr>
        <w:footnoteReference w:id="261"/>
      </w:r>
      <w:r w:rsidRPr="0096338A">
        <w:t xml:space="preserve"> Het Leuvense bronnenbestand bevat weinig beslissingen over de ambachten van eerde</w:t>
      </w:r>
      <w:r w:rsidR="00C8160D" w:rsidRPr="0096338A">
        <w:t>re eeuwen, maar de geleidelijke</w:t>
      </w:r>
      <w:r w:rsidR="00F3590F" w:rsidRPr="0096338A">
        <w:t xml:space="preserve"> statusverandering van vrouwen </w:t>
      </w:r>
      <w:r w:rsidRPr="0096338A">
        <w:t>kan ook aan de hand van de vijftiende-eeuwse ordonnanties opgespoord worden.</w:t>
      </w:r>
    </w:p>
    <w:p w:rsidR="00A1684C" w:rsidRPr="0096338A" w:rsidRDefault="00A1684C" w:rsidP="00A1684C">
      <w:pPr>
        <w:ind w:left="705"/>
      </w:pPr>
      <w:r w:rsidRPr="0096338A">
        <w:rPr>
          <w:i/>
        </w:rPr>
        <w:t xml:space="preserve">Alse van dat de voirsceven gezworenen meynden </w:t>
      </w:r>
      <w:r w:rsidR="007B644D" w:rsidRPr="0096338A">
        <w:rPr>
          <w:i/>
        </w:rPr>
        <w:t>wat</w:t>
      </w:r>
      <w:r w:rsidRPr="0096338A">
        <w:rPr>
          <w:i/>
        </w:rPr>
        <w:t xml:space="preserve"> doude costume onder dambachten van</w:t>
      </w:r>
      <w:r w:rsidR="007B644D" w:rsidRPr="0096338A">
        <w:rPr>
          <w:i/>
        </w:rPr>
        <w:t xml:space="preserve"> </w:t>
      </w:r>
      <w:r w:rsidRPr="0096338A">
        <w:rPr>
          <w:i/>
        </w:rPr>
        <w:t>den stadt van outs gesusteneert. Dat de voirs Henrick sculdich waere in dambacht te comen oft dat zijn voirs wijff tselve ambacht soude laten</w:t>
      </w:r>
      <w:r w:rsidRPr="0096338A">
        <w:t>.</w:t>
      </w:r>
      <w:r w:rsidRPr="0096338A">
        <w:rPr>
          <w:vertAlign w:val="superscript"/>
        </w:rPr>
        <w:footnoteReference w:id="262"/>
      </w:r>
    </w:p>
    <w:p w:rsidR="00A1684C" w:rsidRPr="0096338A" w:rsidRDefault="00A1684C" w:rsidP="00A1684C">
      <w:r w:rsidRPr="0096338A">
        <w:t xml:space="preserve">In 1445 besliste de stadsraad na een conflict tussen de gezworenen van het kleermakersambacht en een getrouwd koppel, dat de vrouw uit het ambacht moest gaan wanneer de man zich erin kocht, aangezien de traditie dit voorschreef. Het belang van de </w:t>
      </w:r>
      <w:r w:rsidRPr="0096338A">
        <w:rPr>
          <w:i/>
        </w:rPr>
        <w:t xml:space="preserve">oude costumen </w:t>
      </w:r>
      <w:r w:rsidRPr="0096338A">
        <w:t xml:space="preserve">in het Leuvense stadsrecht toont aan dat genderbepaalde wetgeving al voor de vijftiende eeuw ontstond. De veranderingen doorheen de vijftiende eeuw zijn waarschijnlijk dus een geleidelijke verderzetting van een proces dat </w:t>
      </w:r>
      <w:r w:rsidR="00F3590F" w:rsidRPr="0096338A">
        <w:t xml:space="preserve">reeds </w:t>
      </w:r>
      <w:r w:rsidRPr="0096338A">
        <w:t>aanwezig was. Crowston brengt verder aan dat vrouwelijk lidmaatschap in de ambachten nooit helemaal los stond van de relatie met een man.</w:t>
      </w:r>
      <w:r w:rsidRPr="0096338A">
        <w:rPr>
          <w:vertAlign w:val="superscript"/>
        </w:rPr>
        <w:footnoteReference w:id="263"/>
      </w:r>
      <w:r w:rsidRPr="0096338A">
        <w:t xml:space="preserve"> Hoewel deze studie reeds aandroeg dat dit geen zekerheid is, </w:t>
      </w:r>
      <w:r w:rsidR="00C8160D" w:rsidRPr="0096338A">
        <w:t>bewijst</w:t>
      </w:r>
      <w:r w:rsidRPr="0096338A">
        <w:t xml:space="preserve"> de hoge status van weduwen </w:t>
      </w:r>
      <w:r w:rsidR="00F3590F" w:rsidRPr="0096338A">
        <w:t xml:space="preserve">bijvoorbeeld </w:t>
      </w:r>
      <w:r w:rsidRPr="0096338A">
        <w:t xml:space="preserve">dat een verwantschap met een man inderdaad een </w:t>
      </w:r>
      <w:r w:rsidR="001802DA" w:rsidRPr="0096338A">
        <w:t xml:space="preserve">stuwende </w:t>
      </w:r>
      <w:r w:rsidRPr="0096338A">
        <w:t xml:space="preserve">factor was. Crowston onderzoekt echter de vroegmoderne periode, een belangrijk verschil met deze studie dus. Haar bevindingen blijven echter cruciaal, aangezien een relatieve vrijheid in de vroegmoderne periode eveneens mogelijkheden voor vrouwen in de late middeleeuwen </w:t>
      </w:r>
      <w:r w:rsidR="004620B6" w:rsidRPr="0096338A">
        <w:t>plausibel maakt</w:t>
      </w:r>
      <w:r w:rsidRPr="0096338A">
        <w:t xml:space="preserve">. </w:t>
      </w:r>
    </w:p>
    <w:p w:rsidR="00A1684C" w:rsidRPr="0096338A" w:rsidRDefault="001802DA" w:rsidP="00A1684C">
      <w:r w:rsidRPr="0096338A">
        <w:tab/>
        <w:t>Welke verklaring</w:t>
      </w:r>
      <w:r w:rsidR="00AC60BD" w:rsidRPr="0096338A">
        <w:t xml:space="preserve"> kan er zijn voor</w:t>
      </w:r>
      <w:r w:rsidR="00A1684C" w:rsidRPr="0096338A">
        <w:t xml:space="preserve"> het verschil </w:t>
      </w:r>
      <w:r w:rsidRPr="0096338A">
        <w:t>tussen</w:t>
      </w:r>
      <w:r w:rsidR="00A1684C" w:rsidRPr="0096338A">
        <w:t xml:space="preserve"> bevinding</w:t>
      </w:r>
      <w:r w:rsidRPr="0096338A">
        <w:t>en over de Leuvense situatie</w:t>
      </w:r>
      <w:r w:rsidR="00AC60BD" w:rsidRPr="0096338A">
        <w:t xml:space="preserve"> en de resultaten van</w:t>
      </w:r>
      <w:r w:rsidR="00A1684C" w:rsidRPr="0096338A">
        <w:t xml:space="preserve"> eerdere studies over andere steden? De stadsordonnanties zijn te beperkt om een volledig a</w:t>
      </w:r>
      <w:r w:rsidRPr="0096338A">
        <w:t>ntwoord op deze vraag te kunnen geven</w:t>
      </w:r>
      <w:r w:rsidR="00A1684C" w:rsidRPr="0096338A">
        <w:t>. Een bronnenbestand</w:t>
      </w:r>
      <w:r w:rsidRPr="0096338A">
        <w:t>,</w:t>
      </w:r>
      <w:r w:rsidR="00EE26EC" w:rsidRPr="0096338A">
        <w:t xml:space="preserve"> </w:t>
      </w:r>
      <w:r w:rsidRPr="0096338A">
        <w:t>daterend uit</w:t>
      </w:r>
      <w:r w:rsidR="00A1684C" w:rsidRPr="0096338A">
        <w:t xml:space="preserve"> eerdere eeuwen</w:t>
      </w:r>
      <w:r w:rsidRPr="0096338A">
        <w:t xml:space="preserve">, </w:t>
      </w:r>
      <w:r w:rsidR="00A1684C" w:rsidRPr="0096338A">
        <w:t>is hier</w:t>
      </w:r>
      <w:r w:rsidRPr="0096338A">
        <w:t xml:space="preserve">voor </w:t>
      </w:r>
      <w:r w:rsidR="00A1684C" w:rsidRPr="0096338A">
        <w:t xml:space="preserve">zeker </w:t>
      </w:r>
      <w:r w:rsidR="00AC60BD" w:rsidRPr="0096338A">
        <w:t>noodzakelijk</w:t>
      </w:r>
      <w:r w:rsidR="00A1684C" w:rsidRPr="0096338A">
        <w:t xml:space="preserve">. Kittell en Queller stellen bijvoorbeeld dat de Franse </w:t>
      </w:r>
      <w:r w:rsidRPr="0096338A">
        <w:t xml:space="preserve">invloed – zelf gebaseerd op het Romeins recht, voor een beperking </w:t>
      </w:r>
      <w:r w:rsidRPr="0096338A">
        <w:lastRenderedPageBreak/>
        <w:t xml:space="preserve">van </w:t>
      </w:r>
      <w:r w:rsidR="00A1684C" w:rsidRPr="0096338A">
        <w:t>de mogelijkheden van Dowaaise vrouwen zorgde.</w:t>
      </w:r>
      <w:r w:rsidR="00A1684C" w:rsidRPr="0096338A">
        <w:rPr>
          <w:vertAlign w:val="superscript"/>
        </w:rPr>
        <w:footnoteReference w:id="264"/>
      </w:r>
      <w:r w:rsidR="00A1684C" w:rsidRPr="0096338A">
        <w:t xml:space="preserve"> Verder onderzoek kan uitwijzen of de geringere </w:t>
      </w:r>
      <w:r w:rsidRPr="0096338A">
        <w:t xml:space="preserve">invloed </w:t>
      </w:r>
      <w:r w:rsidR="00A1684C" w:rsidRPr="0096338A">
        <w:t xml:space="preserve">hiervan in Brabant een verklaring voor het verschil is. Hutton oppert dat de positie van de Gentse vrouwen achteruit ging onder invloed van de crisis in de lakenhandel. De florerende nijverheid waarin vrouwen veel tewerkstelling kenden, kwam in het gedrang en hierdoor eveneens hun mogelijkheid tot ondernemerschap. In de plaats van de lakenhandel kwamen andere nijverheden op </w:t>
      </w:r>
      <w:r w:rsidRPr="0096338A">
        <w:t xml:space="preserve">de voorgrond </w:t>
      </w:r>
      <w:r w:rsidR="00A1684C" w:rsidRPr="0096338A">
        <w:t xml:space="preserve">die meer genderdifferentiatie kenden, namelijk de graanhandel en </w:t>
      </w:r>
      <w:r w:rsidRPr="0096338A">
        <w:t xml:space="preserve">de </w:t>
      </w:r>
      <w:r w:rsidR="00A1684C" w:rsidRPr="0096338A">
        <w:t>vleeshandel.</w:t>
      </w:r>
      <w:r w:rsidR="00A1684C" w:rsidRPr="0096338A">
        <w:rPr>
          <w:vertAlign w:val="superscript"/>
        </w:rPr>
        <w:footnoteReference w:id="265"/>
      </w:r>
      <w:r w:rsidR="00A1684C" w:rsidRPr="0096338A">
        <w:t xml:space="preserve"> Hoewel de Leuvense lakennijverheid in eerdere eeuwen eveneens een bloeiperiode meemaakte, bleef ze steeds op kleinere schaal dan in Gent. De teloorgang van deze nijverheid in de late veertiende eeuw </w:t>
      </w:r>
      <w:r w:rsidRPr="0096338A">
        <w:t xml:space="preserve">had </w:t>
      </w:r>
      <w:r w:rsidR="00A1684C" w:rsidRPr="0096338A">
        <w:t xml:space="preserve">waarschijnlijk dus minder </w:t>
      </w:r>
      <w:r w:rsidRPr="0096338A">
        <w:t xml:space="preserve">effect </w:t>
      </w:r>
      <w:r w:rsidR="00A1684C" w:rsidRPr="0096338A">
        <w:t>op de wetgeving dan in de Vlaamse stad. Bovendien groeide de kleinere huishoudeconomie in Leuven en werden vrouwen niet belemmerd door het stijgende belang van bijvoorbeel</w:t>
      </w:r>
      <w:r w:rsidR="00FD4301" w:rsidRPr="0096338A">
        <w:t>d de graanmarkt, die in Leuven net als in Gent</w:t>
      </w:r>
      <w:r w:rsidR="00A1684C" w:rsidRPr="0096338A">
        <w:t xml:space="preserve"> een mannelijk karakter had</w:t>
      </w:r>
      <w:r w:rsidRPr="0096338A">
        <w:t xml:space="preserve">. Daarenboven was de vleeshandel in Leuven </w:t>
      </w:r>
      <w:r w:rsidR="00A1684C" w:rsidRPr="0096338A">
        <w:t>wel toegankelijk voor vrouwen</w:t>
      </w:r>
      <w:r w:rsidRPr="0096338A">
        <w:t>, zoals reeds uitvoerig aangetoond</w:t>
      </w:r>
      <w:r w:rsidR="00A1684C" w:rsidRPr="0096338A">
        <w:t xml:space="preserve">. Hun hogere positie </w:t>
      </w:r>
      <w:r w:rsidR="00527630" w:rsidRPr="0096338A">
        <w:t>was dus niet in het nadeel van</w:t>
      </w:r>
      <w:r w:rsidR="00A1684C" w:rsidRPr="0096338A">
        <w:t xml:space="preserve"> vrouwen, zoals in Gent het geval was. De verandering in Leuven was waarschijnlijk dus minder fundamenteel dan in Gent. De twee geopperde verklaringen bevatten echter een groot aantal lacunes en verder onderzoek naar </w:t>
      </w:r>
      <w:r w:rsidRPr="0096338A">
        <w:t xml:space="preserve">de verschillen tussen de steden – of </w:t>
      </w:r>
      <w:r w:rsidR="00A1684C" w:rsidRPr="0096338A">
        <w:t xml:space="preserve">een algemene hertekening van de </w:t>
      </w:r>
      <w:r w:rsidR="00E8163A">
        <w:t>‘</w:t>
      </w:r>
      <w:r w:rsidR="00A1684C" w:rsidRPr="00E8163A">
        <w:t>decline-thesis</w:t>
      </w:r>
      <w:r w:rsidR="00E8163A">
        <w:t>’</w:t>
      </w:r>
      <w:r w:rsidRPr="0096338A">
        <w:t xml:space="preserve"> – is </w:t>
      </w:r>
      <w:r w:rsidR="00A1684C" w:rsidRPr="0096338A">
        <w:t>dus nodig.</w:t>
      </w:r>
    </w:p>
    <w:p w:rsidR="0096338A" w:rsidRDefault="0096338A">
      <w:pPr>
        <w:spacing w:after="200" w:line="276" w:lineRule="auto"/>
        <w:jc w:val="left"/>
        <w:rPr>
          <w:rFonts w:eastAsiaTheme="majorEastAsia" w:cstheme="majorBidi"/>
          <w:b/>
          <w:bCs/>
          <w:sz w:val="28"/>
          <w:szCs w:val="28"/>
          <w:u w:val="single"/>
        </w:rPr>
      </w:pPr>
      <w:bookmarkStart w:id="19" w:name="_Toc449350942"/>
      <w:r>
        <w:br w:type="page"/>
      </w:r>
    </w:p>
    <w:p w:rsidR="00266F09" w:rsidRPr="0096338A" w:rsidRDefault="00266F09" w:rsidP="00266F09">
      <w:pPr>
        <w:pStyle w:val="Kop1"/>
      </w:pPr>
      <w:bookmarkStart w:id="20" w:name="_Toc452371451"/>
      <w:r w:rsidRPr="0096338A">
        <w:lastRenderedPageBreak/>
        <w:t xml:space="preserve">4. </w:t>
      </w:r>
      <w:bookmarkEnd w:id="19"/>
      <w:r w:rsidRPr="0096338A">
        <w:t xml:space="preserve">Een nieuwe stap in het prille onderzoek: gender </w:t>
      </w:r>
      <w:r w:rsidR="009C127D" w:rsidRPr="0096338A">
        <w:t xml:space="preserve">en </w:t>
      </w:r>
      <w:r w:rsidRPr="0096338A">
        <w:t>de Leuvense marktruimte</w:t>
      </w:r>
      <w:bookmarkEnd w:id="20"/>
    </w:p>
    <w:p w:rsidR="00266F09" w:rsidRPr="0096338A" w:rsidRDefault="00FB69C9" w:rsidP="00266F09">
      <w:r w:rsidRPr="0096338A">
        <w:t>In de voorgaande beschrijving was er sprake van</w:t>
      </w:r>
      <w:r w:rsidR="00266F09" w:rsidRPr="0096338A">
        <w:t xml:space="preserve"> </w:t>
      </w:r>
      <w:r w:rsidRPr="0096338A">
        <w:t xml:space="preserve">stedelijke sites </w:t>
      </w:r>
      <w:r w:rsidR="00266F09" w:rsidRPr="0096338A">
        <w:t>waar vrouwen regelmatig economisch actief waren. Zo konden vleeshouwers vissen verkopen op de plaats waar vrouwen dit in het verleden deden.</w:t>
      </w:r>
      <w:r w:rsidR="00266F09" w:rsidRPr="0096338A">
        <w:rPr>
          <w:rStyle w:val="Voetnootmarkering"/>
        </w:rPr>
        <w:footnoteReference w:id="266"/>
      </w:r>
      <w:r w:rsidR="00266F09" w:rsidRPr="0096338A">
        <w:t xml:space="preserve"> Het kerkhof was een plaats waar </w:t>
      </w:r>
      <w:r w:rsidRPr="0096338A">
        <w:t xml:space="preserve">de </w:t>
      </w:r>
      <w:r w:rsidR="00266F09" w:rsidRPr="0096338A">
        <w:t>markt</w:t>
      </w:r>
      <w:r w:rsidR="000D31C6" w:rsidRPr="0096338A">
        <w:t xml:space="preserve"> regelmatig actief </w:t>
      </w:r>
      <w:r w:rsidRPr="0096338A">
        <w:t>was</w:t>
      </w:r>
      <w:r w:rsidR="000D31C6" w:rsidRPr="0096338A">
        <w:t xml:space="preserve">. </w:t>
      </w:r>
      <w:r w:rsidR="00266F09" w:rsidRPr="0096338A">
        <w:t xml:space="preserve">Vrouwen mochten hier bijvoorbeeld buiten het </w:t>
      </w:r>
      <w:r w:rsidR="000D31C6" w:rsidRPr="0096338A">
        <w:t>mandenmakers</w:t>
      </w:r>
      <w:r w:rsidR="00266F09" w:rsidRPr="0096338A">
        <w:t>ambacht om verkopen.</w:t>
      </w:r>
      <w:r w:rsidR="00266F09" w:rsidRPr="0096338A">
        <w:rPr>
          <w:rStyle w:val="Voetnootmarkering"/>
        </w:rPr>
        <w:footnoteReference w:id="267"/>
      </w:r>
      <w:r w:rsidR="00266F09" w:rsidRPr="0096338A">
        <w:t xml:space="preserve"> Die plaatsen hebben echter meer betekenis dan louter hun materiële </w:t>
      </w:r>
      <w:r w:rsidR="000D31C6" w:rsidRPr="0096338A">
        <w:t>kader</w:t>
      </w:r>
      <w:r w:rsidR="00266F09" w:rsidRPr="0096338A">
        <w:t xml:space="preserve">. Door in verschillende plaatsen van de stad te opereren als kopers en verkopers, bepaalden vrouwen mee de economische ruimte van de stad. Die ruimte werd echter </w:t>
      </w:r>
      <w:r w:rsidR="00016C84" w:rsidRPr="0096338A">
        <w:t>terzelfder</w:t>
      </w:r>
      <w:r w:rsidR="00266F09" w:rsidRPr="0096338A">
        <w:t xml:space="preserve">tijd door verschillende instanties </w:t>
      </w:r>
      <w:r w:rsidR="00016C84" w:rsidRPr="0096338A">
        <w:t>beïnvloed</w:t>
      </w:r>
      <w:r w:rsidR="00266F09" w:rsidRPr="0096338A">
        <w:t>,</w:t>
      </w:r>
      <w:r w:rsidR="006169FE" w:rsidRPr="0096338A">
        <w:t xml:space="preserve"> die mogelijk ook </w:t>
      </w:r>
      <w:r w:rsidR="00266F09" w:rsidRPr="0096338A">
        <w:t xml:space="preserve">genderverschillen </w:t>
      </w:r>
      <w:r w:rsidR="006169FE" w:rsidRPr="0096338A">
        <w:t>inbouwden</w:t>
      </w:r>
      <w:r w:rsidR="00266F09" w:rsidRPr="0096338A">
        <w:t>. Een volgend</w:t>
      </w:r>
      <w:r w:rsidR="001E2ADC" w:rsidRPr="0096338A">
        <w:t>e paragraaf</w:t>
      </w:r>
      <w:r w:rsidR="00266F09" w:rsidRPr="0096338A">
        <w:t xml:space="preserve"> maakt duidelijk wat het concept ‘ruimte’ precies omvat en hoe het belangrijk is voor de studie van de middeleeuwse stad. Daarbij is het concept eveneens belangrijk om de positie van vrouwen in de stedelijke ruimte te begrijpen. De stadsordonnanties laten namelijk in beperkte mate toe om te onderzoeken hoe de stedelijke overheid de </w:t>
      </w:r>
      <w:r w:rsidR="006169FE" w:rsidRPr="0096338A">
        <w:t>toegang tot</w:t>
      </w:r>
      <w:r w:rsidR="00266F09" w:rsidRPr="0096338A">
        <w:t xml:space="preserve"> haar (economische) ruimte verdeelde volgens gendergrenzen. </w:t>
      </w:r>
    </w:p>
    <w:p w:rsidR="00266F09" w:rsidRPr="0096338A" w:rsidRDefault="00266F09" w:rsidP="00266F09">
      <w:r w:rsidRPr="0096338A">
        <w:tab/>
        <w:t xml:space="preserve">Het onderzoek naar de middeleeuwse ruimte en </w:t>
      </w:r>
      <w:r w:rsidR="00FD4301" w:rsidRPr="0096338A">
        <w:t xml:space="preserve">de </w:t>
      </w:r>
      <w:r w:rsidRPr="0096338A">
        <w:t>gender</w:t>
      </w:r>
      <w:r w:rsidR="00FD4301" w:rsidRPr="0096338A">
        <w:t>indeling ervan</w:t>
      </w:r>
      <w:r w:rsidRPr="0096338A">
        <w:t xml:space="preserve"> staat nog in zijn kinderschoenen. Enkele historici, zoals Dennis Romano, probeerden reeds een overzicht te bieden. Het gaat hier echter veelal over onderzoek naar de Italiaanse steden in de late middeleeuwen en de positie van de edelvrouw in die stadsruimte</w:t>
      </w:r>
      <w:r w:rsidR="006169FE" w:rsidRPr="0096338A">
        <w:t>n</w:t>
      </w:r>
      <w:r w:rsidRPr="0096338A">
        <w:t>. Die steden vormen echter geen ideaal vergelijkingspunt voor deze studie, aangezien vrouwen in Zuid-Europa over het algemeen van minder vrijheden genoten.</w:t>
      </w:r>
      <w:r w:rsidRPr="0096338A">
        <w:rPr>
          <w:rStyle w:val="Voetnootmarkering"/>
        </w:rPr>
        <w:footnoteReference w:id="268"/>
      </w:r>
      <w:r w:rsidRPr="0096338A">
        <w:t xml:space="preserve"> Met betrekking tot de middeleeuwse Nederlanden vormt Huttons artikel, </w:t>
      </w:r>
      <w:r w:rsidRPr="0096338A">
        <w:rPr>
          <w:i/>
        </w:rPr>
        <w:t>Women, Men, and Markets: The Gendering of Market Space in Late Medieval Ghent</w:t>
      </w:r>
      <w:r w:rsidRPr="0096338A">
        <w:t>,</w:t>
      </w:r>
      <w:r w:rsidRPr="0096338A">
        <w:rPr>
          <w:i/>
        </w:rPr>
        <w:t xml:space="preserve"> </w:t>
      </w:r>
      <w:r w:rsidRPr="0096338A">
        <w:t xml:space="preserve">een unicum </w:t>
      </w:r>
      <w:r w:rsidR="00654771" w:rsidRPr="0096338A">
        <w:t>op dit domein</w:t>
      </w:r>
      <w:r w:rsidRPr="0096338A">
        <w:t xml:space="preserve">. Het artikel dient naast leidraad eveneens als ijkpunt voor een </w:t>
      </w:r>
      <w:r w:rsidR="00B57173" w:rsidRPr="0096338A">
        <w:t xml:space="preserve">hypothesevormende </w:t>
      </w:r>
      <w:r w:rsidRPr="0096338A">
        <w:t xml:space="preserve">vergelijking in deze studie. Hutton verkent niet enkel gender in de Gentse stadsruimte, ze </w:t>
      </w:r>
      <w:r w:rsidR="006169FE" w:rsidRPr="0096338A">
        <w:t xml:space="preserve">bestudeert </w:t>
      </w:r>
      <w:r w:rsidRPr="0096338A">
        <w:t xml:space="preserve">ook hoe de genderindeling ervan toch ondernemingsmogelijkheden voor de vrouw doet ontstaan. De discrepanties </w:t>
      </w:r>
      <w:r w:rsidR="006169FE" w:rsidRPr="0096338A">
        <w:t xml:space="preserve">met </w:t>
      </w:r>
      <w:r w:rsidRPr="0096338A">
        <w:t xml:space="preserve">de Leuvense situatie </w:t>
      </w:r>
      <w:r w:rsidR="00B57173" w:rsidRPr="0096338A">
        <w:t>suggereren de noodzaak aan verder</w:t>
      </w:r>
      <w:r w:rsidRPr="0096338A">
        <w:t xml:space="preserve"> onderzoek en </w:t>
      </w:r>
      <w:r w:rsidR="00B57173" w:rsidRPr="0096338A">
        <w:t xml:space="preserve">mogelijks aan een hertekening van </w:t>
      </w:r>
      <w:r w:rsidR="006169FE" w:rsidRPr="0096338A">
        <w:t>de gendergeschiedenis</w:t>
      </w:r>
      <w:r w:rsidRPr="0096338A">
        <w:t xml:space="preserve">. </w:t>
      </w:r>
      <w:r w:rsidRPr="0096338A">
        <w:rPr>
          <w:lang w:val="en-GB"/>
        </w:rPr>
        <w:t>Sarah Rees Jones stelt: “A history of women’s work and gender relations awaits location in a larger framework of spatial reorganization.”</w:t>
      </w:r>
      <w:r w:rsidRPr="0096338A">
        <w:rPr>
          <w:rStyle w:val="Voetnootmarkering"/>
          <w:lang w:val="en-GB"/>
        </w:rPr>
        <w:footnoteReference w:id="269"/>
      </w:r>
      <w:r w:rsidRPr="0096338A">
        <w:rPr>
          <w:lang w:val="en-GB"/>
        </w:rPr>
        <w:t xml:space="preserve"> </w:t>
      </w:r>
      <w:r w:rsidR="00FD4301" w:rsidRPr="0096338A">
        <w:t xml:space="preserve">Dit hoofdstuk </w:t>
      </w:r>
      <w:r w:rsidR="00FD4301" w:rsidRPr="0096338A">
        <w:lastRenderedPageBreak/>
        <w:t>probeert</w:t>
      </w:r>
      <w:r w:rsidRPr="0096338A">
        <w:t xml:space="preserve"> tegemoet te komen aan de lacune die de middeleeuwse genderstudies tot nu toe kenmerkt. Daarbij veronderstelt deze studie</w:t>
      </w:r>
      <w:r w:rsidR="006169FE" w:rsidRPr="0096338A">
        <w:t xml:space="preserve"> – op basis van een aantal bevindingen – dat </w:t>
      </w:r>
      <w:r w:rsidRPr="0096338A">
        <w:t xml:space="preserve">de Leuvense ruimte een minder strikte of verregaande genderindeling kende </w:t>
      </w:r>
      <w:r w:rsidR="006169FE" w:rsidRPr="0096338A">
        <w:t xml:space="preserve">dan </w:t>
      </w:r>
      <w:r w:rsidRPr="0096338A">
        <w:t xml:space="preserve">andere steden. De publieke ruimte, die zeker niet louter mannelijk was, werd door mannelijke bestuurders gereguleerd, maar vrouwen waren aanwezig in verschillende </w:t>
      </w:r>
      <w:r w:rsidR="006169FE" w:rsidRPr="0096338A">
        <w:t xml:space="preserve">geledingen </w:t>
      </w:r>
      <w:r w:rsidRPr="0096338A">
        <w:t xml:space="preserve">ervan en konden </w:t>
      </w:r>
      <w:r w:rsidR="006169FE" w:rsidRPr="0096338A">
        <w:t xml:space="preserve">hierbinnen </w:t>
      </w:r>
      <w:r w:rsidRPr="0096338A">
        <w:t>relatief vrij opereren.</w:t>
      </w:r>
      <w:r w:rsidR="004270F2" w:rsidRPr="0096338A">
        <w:t xml:space="preserve"> Niettemin duiden de stadsordonnanties wel op een zekere genderindeling van de marktruimte, iets dat eveneens aan bod komt in dit hoofdstuk.</w:t>
      </w:r>
    </w:p>
    <w:p w:rsidR="00266F09" w:rsidRPr="0096338A" w:rsidRDefault="00266F09" w:rsidP="00266F09">
      <w:r w:rsidRPr="0096338A">
        <w:tab/>
        <w:t>Een eerste deel zal het concept ‘ruimte’ en de impact ervan op het stadsleven en de genderindeling van de stad</w:t>
      </w:r>
      <w:r w:rsidR="00AA311E" w:rsidRPr="0096338A">
        <w:t xml:space="preserve"> verder uitwerken</w:t>
      </w:r>
      <w:r w:rsidRPr="0096338A">
        <w:t xml:space="preserve">. Een tweede </w:t>
      </w:r>
      <w:r w:rsidR="00AA311E" w:rsidRPr="0096338A">
        <w:t xml:space="preserve">thema behandelt </w:t>
      </w:r>
      <w:r w:rsidRPr="0096338A">
        <w:t xml:space="preserve">het </w:t>
      </w:r>
      <w:r w:rsidR="00AA311E" w:rsidRPr="0096338A">
        <w:t xml:space="preserve">eerder minimale </w:t>
      </w:r>
      <w:r w:rsidRPr="0096338A">
        <w:t>onderscheid tussen de Leuvense publieke en private ruimte</w:t>
      </w:r>
      <w:r w:rsidR="00E70DE1" w:rsidRPr="0096338A">
        <w:t xml:space="preserve">; </w:t>
      </w:r>
      <w:r w:rsidR="00AA311E" w:rsidRPr="0096338A">
        <w:t xml:space="preserve">minimaal in vergelijking met </w:t>
      </w:r>
      <w:r w:rsidRPr="0096338A">
        <w:t xml:space="preserve">andere steden. Vrouwen leken in Leuven over relatief veel vrijheden te beschikken en gaven </w:t>
      </w:r>
      <w:r w:rsidR="00AA311E" w:rsidRPr="0096338A">
        <w:t xml:space="preserve">door hun aanwezigheid erin, actief mee vorm aan </w:t>
      </w:r>
      <w:r w:rsidRPr="0096338A">
        <w:t>de stadsruimte. Een derde deel focust op de markthallen, die een vooraanstaande en prestigieuze positie in de marktruimte innamen. Hier ligt een gevoelig v</w:t>
      </w:r>
      <w:r w:rsidR="00E70DE1" w:rsidRPr="0096338A">
        <w:t xml:space="preserve">erschil met de Gentse situatie. </w:t>
      </w:r>
      <w:r w:rsidR="00126B61" w:rsidRPr="0096338A">
        <w:t xml:space="preserve">Vooral </w:t>
      </w:r>
      <w:r w:rsidRPr="0096338A">
        <w:t xml:space="preserve">de talrijke voorbeelden van de </w:t>
      </w:r>
      <w:r w:rsidR="00126B61" w:rsidRPr="0096338A">
        <w:t xml:space="preserve">in de vleeshal te Leuven werkende </w:t>
      </w:r>
      <w:r w:rsidRPr="0096338A">
        <w:t>vrouw zijn erg opvallend, aangezien deze hal voor vrouwen in Gent niet toegankelijk was.</w:t>
      </w:r>
      <w:r w:rsidRPr="0096338A">
        <w:rPr>
          <w:rStyle w:val="Voetnootmarkering"/>
        </w:rPr>
        <w:footnoteReference w:id="270"/>
      </w:r>
      <w:r w:rsidRPr="0096338A">
        <w:t xml:space="preserve"> </w:t>
      </w:r>
      <w:r w:rsidR="0076225E" w:rsidRPr="0096338A">
        <w:t>De paragraaf</w:t>
      </w:r>
      <w:r w:rsidRPr="0096338A">
        <w:t xml:space="preserve"> </w:t>
      </w:r>
      <w:r w:rsidRPr="0096338A">
        <w:rPr>
          <w:i/>
        </w:rPr>
        <w:t xml:space="preserve">Vrouwen in de marge: werken buiten het ambacht </w:t>
      </w:r>
      <w:r w:rsidRPr="0096338A">
        <w:t xml:space="preserve">bood reeds een inkijk </w:t>
      </w:r>
      <w:r w:rsidR="00126B61" w:rsidRPr="0096338A">
        <w:t xml:space="preserve">in </w:t>
      </w:r>
      <w:r w:rsidRPr="0096338A">
        <w:t xml:space="preserve">een deel van de Leuvense marktruimte in de vijftiende eeuw. Het verduidelijkte dat de ramen, de kleine steegjes en het kerkhof zelfs als marktplaats dienden. Een laatste </w:t>
      </w:r>
      <w:r w:rsidR="00126B61" w:rsidRPr="0096338A">
        <w:t xml:space="preserve">onderwerp </w:t>
      </w:r>
      <w:r w:rsidR="00E70DE1" w:rsidRPr="0096338A">
        <w:t>beschrijft</w:t>
      </w:r>
      <w:r w:rsidRPr="0096338A">
        <w:t xml:space="preserve"> hoe de marktruimte zich </w:t>
      </w:r>
      <w:r w:rsidR="004270F2" w:rsidRPr="0096338A">
        <w:t>situeerde in de hele stad en hoe vrouwen hierin opereerden</w:t>
      </w:r>
      <w:r w:rsidRPr="0096338A">
        <w:t xml:space="preserve">. </w:t>
      </w:r>
    </w:p>
    <w:p w:rsidR="00266F09" w:rsidRPr="0096338A" w:rsidRDefault="00266F09" w:rsidP="00266F09">
      <w:pPr>
        <w:pStyle w:val="Kop2"/>
      </w:pPr>
      <w:bookmarkStart w:id="21" w:name="_Toc452371452"/>
      <w:r w:rsidRPr="0096338A">
        <w:t>4.1 Het concept ‘ruimte’ en de middeleeuwse stad</w:t>
      </w:r>
      <w:bookmarkEnd w:id="21"/>
    </w:p>
    <w:p w:rsidR="00266F09" w:rsidRPr="0096338A" w:rsidRDefault="00266F09" w:rsidP="00266F09">
      <w:pPr>
        <w:ind w:left="705"/>
        <w:rPr>
          <w:lang w:val="en-GB"/>
        </w:rPr>
      </w:pPr>
      <w:r w:rsidRPr="0096338A">
        <w:rPr>
          <w:lang w:val="en-GB"/>
        </w:rPr>
        <w:t>“In other words, there is a certain type of social grammar that allows the individual to perceive the urban space in the first place, and to determine that space from a social perspective in the second place […].”</w:t>
      </w:r>
      <w:r w:rsidRPr="0096338A">
        <w:rPr>
          <w:rStyle w:val="Voetnootmarkering"/>
          <w:lang w:val="en-GB"/>
        </w:rPr>
        <w:footnoteReference w:id="271"/>
      </w:r>
    </w:p>
    <w:p w:rsidR="00266F09" w:rsidRPr="0096338A" w:rsidRDefault="00266F09" w:rsidP="00266F09">
      <w:r w:rsidRPr="0096338A">
        <w:t xml:space="preserve">In 1974 verscheen Henri Lefebvres </w:t>
      </w:r>
      <w:r w:rsidRPr="0096338A">
        <w:rPr>
          <w:i/>
        </w:rPr>
        <w:t>La production de l’espace</w:t>
      </w:r>
      <w:r w:rsidRPr="0096338A">
        <w:t>, een boek dat een geheel nieuwe onderzoeksmethode</w:t>
      </w:r>
      <w:r w:rsidR="00E70DE1" w:rsidRPr="0096338A">
        <w:t xml:space="preserve"> opperde </w:t>
      </w:r>
      <w:r w:rsidRPr="0096338A">
        <w:t>voor verschillende takken van de humane weten</w:t>
      </w:r>
      <w:r w:rsidR="004270F2" w:rsidRPr="0096338A">
        <w:t>schappen en het begin was van een</w:t>
      </w:r>
      <w:r w:rsidRPr="0096338A">
        <w:t xml:space="preserve"> ‘spatial turn’. Lefebvre onderzocht de impact van ruimte, een begrip dat zo meteen verdere uitleg krijgt, op het ontstaan van de kapitalistische </w:t>
      </w:r>
      <w:r w:rsidRPr="0096338A">
        <w:lastRenderedPageBreak/>
        <w:t>stad.</w:t>
      </w:r>
      <w:r w:rsidRPr="0096338A">
        <w:rPr>
          <w:rStyle w:val="Voetnootmarkering"/>
        </w:rPr>
        <w:footnoteReference w:id="272"/>
      </w:r>
      <w:r w:rsidRPr="0096338A">
        <w:t xml:space="preserve"> Sinds het verschijnen van dit werk drong het concept ruimte in alle takken van de humane wetenschappen door, al </w:t>
      </w:r>
      <w:r w:rsidR="00126B61" w:rsidRPr="0096338A">
        <w:t xml:space="preserve">ging </w:t>
      </w:r>
      <w:r w:rsidRPr="0096338A">
        <w:t>er slechts een geringe interesse</w:t>
      </w:r>
      <w:r w:rsidR="00126B61" w:rsidRPr="0096338A">
        <w:t xml:space="preserve"> naar uit</w:t>
      </w:r>
      <w:r w:rsidRPr="0096338A">
        <w:t xml:space="preserve"> vanwege de historische wetenschap.</w:t>
      </w:r>
      <w:r w:rsidRPr="0096338A">
        <w:rPr>
          <w:rStyle w:val="Voetnootmarkering"/>
        </w:rPr>
        <w:footnoteReference w:id="273"/>
      </w:r>
      <w:r w:rsidRPr="0096338A">
        <w:t xml:space="preserve"> In de jaren tachtig verschenen enkele publicaties van </w:t>
      </w:r>
      <w:r w:rsidR="004270F2" w:rsidRPr="0096338A">
        <w:t>mediëvisten</w:t>
      </w:r>
      <w:r w:rsidRPr="0096338A">
        <w:t xml:space="preserve"> die zich waagden aan dit nieuwe onderzoeksveld. Vanaf 2000 brak het thema meer door, maar de lacunes in dit onderzoeksthema blijven talrijk. </w:t>
      </w:r>
    </w:p>
    <w:p w:rsidR="00266F09" w:rsidRPr="0096338A" w:rsidRDefault="00266F09" w:rsidP="00266F09">
      <w:pPr>
        <w:ind w:firstLine="708"/>
      </w:pPr>
      <w:r w:rsidRPr="0096338A">
        <w:t xml:space="preserve">Hoewel verschillende studies een bijdrage leveren aan de visie van dit onderzoek op het concept ‘ruimte’, biedt de filosoof Michel de Certeau een eerste, fundamentele inkijk. </w:t>
      </w:r>
      <w:r w:rsidRPr="0096338A">
        <w:rPr>
          <w:lang w:val="en-GB"/>
        </w:rPr>
        <w:t>“He [de Certeau] claimed that a place, which is the combination of a physical location and strategies, was transformed into a space by the operations and everyday tactics of historical subjects.”</w:t>
      </w:r>
      <w:r w:rsidRPr="0096338A">
        <w:rPr>
          <w:rStyle w:val="Voetnootmarkering"/>
          <w:lang w:val="en-GB"/>
        </w:rPr>
        <w:footnoteReference w:id="274"/>
      </w:r>
      <w:r w:rsidRPr="0096338A">
        <w:rPr>
          <w:lang w:val="en-GB"/>
        </w:rPr>
        <w:t xml:space="preserve"> </w:t>
      </w:r>
      <w:r w:rsidRPr="0096338A">
        <w:t>Deze uitleg vraagt echter verduidelijking. Er bestaat een belangrijk onderscheid tussen enerzijds plaats, de louter fysieke verschijning van objecten en locaties, en anderzijds ruimte, dat betekenis geeft aan een plaats en de relaties tussen verschillende plaatsen</w:t>
      </w:r>
      <w:r w:rsidR="00E70DE1" w:rsidRPr="0096338A">
        <w:t xml:space="preserve"> – met inbegrip van activiteiten van personen – bepaald</w:t>
      </w:r>
      <w:r w:rsidRPr="0096338A">
        <w:t>. Op die manier komt de Certeau tot de versimpelde uitleg: “Space is a practiced place”, waarbij de Engelse verwoording het nauwe verband tussen de twee begrippen duidelijk beter dekt.</w:t>
      </w:r>
      <w:r w:rsidRPr="0096338A">
        <w:rPr>
          <w:rStyle w:val="Voetnootmarkering"/>
        </w:rPr>
        <w:t xml:space="preserve"> </w:t>
      </w:r>
      <w:r w:rsidRPr="0096338A">
        <w:rPr>
          <w:rStyle w:val="Voetnootmarkering"/>
        </w:rPr>
        <w:footnoteReference w:id="275"/>
      </w:r>
    </w:p>
    <w:p w:rsidR="00266F09" w:rsidRPr="0096338A" w:rsidRDefault="00266F09" w:rsidP="00266F09">
      <w:pPr>
        <w:ind w:firstLine="708"/>
      </w:pPr>
      <w:r w:rsidRPr="0096338A">
        <w:t>De stadsruimte, die dus niet louter de fysieke plaats omvatte, kende een o</w:t>
      </w:r>
      <w:r w:rsidR="00F9371E" w:rsidRPr="0096338A">
        <w:t>pdeling in verschillende ruimten</w:t>
      </w:r>
      <w:r w:rsidRPr="0096338A">
        <w:t>.</w:t>
      </w:r>
      <w:r w:rsidRPr="0096338A">
        <w:rPr>
          <w:rStyle w:val="Voetnootmarkering"/>
        </w:rPr>
        <w:footnoteReference w:id="276"/>
      </w:r>
      <w:r w:rsidRPr="0096338A">
        <w:t xml:space="preserve"> Een eerste belangrijke onderverdeling onderscheidt de publieke en de private ruimte van elkaar. De publieke sfeer kent echter een verdere </w:t>
      </w:r>
      <w:r w:rsidR="00F9371E" w:rsidRPr="0096338A">
        <w:t>indeling in verscheidene ruimten</w:t>
      </w:r>
      <w:r w:rsidRPr="0096338A">
        <w:t>, zoals bijvoorbeeld de politieke -, de kerkelijke - en de marktruimte.</w:t>
      </w:r>
      <w:r w:rsidRPr="0096338A">
        <w:rPr>
          <w:rStyle w:val="Voetnootmarkering"/>
        </w:rPr>
        <w:footnoteReference w:id="277"/>
      </w:r>
      <w:r w:rsidRPr="0096338A">
        <w:t xml:space="preserve"> Het is echter belangrijk op te merken dat de verschillende sferen niet volledig van elkaar gescheiden zijn. Hutton geeft het voorbeeld van de Gentse Vrijdagmarkt, die regelmatig gebruikt werd voor politiek vertoon. De marktruimte en politieke ruimte vloeien in dit voorbeeld dus in elkaar over.</w:t>
      </w:r>
      <w:r w:rsidRPr="0096338A">
        <w:rPr>
          <w:rStyle w:val="Voetnootmarkering"/>
        </w:rPr>
        <w:footnoteReference w:id="278"/>
      </w:r>
    </w:p>
    <w:p w:rsidR="00266F09" w:rsidRPr="0096338A" w:rsidRDefault="00266F09" w:rsidP="00266F09">
      <w:pPr>
        <w:ind w:firstLine="708"/>
      </w:pPr>
      <w:r w:rsidRPr="0096338A">
        <w:t>Waren de gewone man en vrouw zich bewust van het bestaan van een ruimte die de stad vormgaf en die actief kon worden beïnvloed? Eerder onderzoek gaf een bevestigend antwoord op die vraag. De inwoner van een stad onderscheidde zich bijvoorbeeld van plattelandsbewoners.</w:t>
      </w:r>
      <w:r w:rsidRPr="0096338A">
        <w:rPr>
          <w:rStyle w:val="Voetnootmarkering"/>
        </w:rPr>
        <w:footnoteReference w:id="279"/>
      </w:r>
      <w:r w:rsidRPr="0096338A">
        <w:t xml:space="preserve"> Wie bepaalde ruimte</w:t>
      </w:r>
      <w:r w:rsidR="00E70DE1" w:rsidRPr="0096338A">
        <w:t xml:space="preserve">n </w:t>
      </w:r>
      <w:r w:rsidRPr="0096338A">
        <w:t xml:space="preserve">in handen had, kon macht verkrijgen. Howell </w:t>
      </w:r>
      <w:r w:rsidRPr="0096338A">
        <w:lastRenderedPageBreak/>
        <w:t>verklaart zelfs dat het aantal verschillende ruimten waarin een individu een positie kon verwerven, de macht en bewegingsvrijheid van d</w:t>
      </w:r>
      <w:r w:rsidR="00E70DE1" w:rsidRPr="0096338A">
        <w:t>ie</w:t>
      </w:r>
      <w:r w:rsidRPr="0096338A">
        <w:t xml:space="preserve"> persoon bepaalden. Howells stelling impliceert dat </w:t>
      </w:r>
      <w:r w:rsidR="000F6B0D" w:rsidRPr="0096338A">
        <w:t>de afwezigheid</w:t>
      </w:r>
      <w:r w:rsidRPr="0096338A">
        <w:t xml:space="preserve"> van vrouwen in de politieke wereld vanzelfsprekend </w:t>
      </w:r>
      <w:r w:rsidR="000F6B0D" w:rsidRPr="0096338A">
        <w:t xml:space="preserve">leidde tot </w:t>
      </w:r>
      <w:r w:rsidRPr="0096338A">
        <w:t xml:space="preserve">minder macht, aangezien </w:t>
      </w:r>
      <w:r w:rsidR="000F6B0D" w:rsidRPr="0096338A">
        <w:t>er</w:t>
      </w:r>
      <w:r w:rsidR="00E70DE1" w:rsidRPr="0096338A">
        <w:t xml:space="preserve"> </w:t>
      </w:r>
      <w:r w:rsidRPr="0096338A">
        <w:t>één ruimte was waarin ze geen inspraak hadden.</w:t>
      </w:r>
      <w:r w:rsidRPr="0096338A">
        <w:rPr>
          <w:rStyle w:val="Voetnootmarkering"/>
        </w:rPr>
        <w:footnoteReference w:id="280"/>
      </w:r>
      <w:r w:rsidRPr="0096338A">
        <w:t xml:space="preserve"> Carol Symes stelt dat de stadsbevolking zich niet enkel bewust was van het bestaan van de stadsruimte, maar deze eveneens doeltreffend probeerde</w:t>
      </w:r>
      <w:r w:rsidR="00E70DE1" w:rsidRPr="0096338A">
        <w:t xml:space="preserve"> te</w:t>
      </w:r>
      <w:r w:rsidRPr="0096338A">
        <w:t xml:space="preserve"> vervormen. Er bestond een bewustzijn dat bijvoorbeeld mondelinge acties en wetgeving een nieuwe betekenis konden geven aan de verschillende ruimte</w:t>
      </w:r>
      <w:r w:rsidR="00E70DE1" w:rsidRPr="0096338A">
        <w:t>n</w:t>
      </w:r>
      <w:r w:rsidRPr="0096338A">
        <w:t>.</w:t>
      </w:r>
      <w:r w:rsidRPr="0096338A">
        <w:rPr>
          <w:rStyle w:val="Voetnootmarkering"/>
        </w:rPr>
        <w:footnoteReference w:id="281"/>
      </w:r>
      <w:r w:rsidR="00617FB6" w:rsidRPr="0096338A">
        <w:t xml:space="preserve"> Dit bewustzijn komt naar voor</w:t>
      </w:r>
      <w:r w:rsidRPr="0096338A">
        <w:t xml:space="preserve"> uit de klacht van een notaris, die </w:t>
      </w:r>
      <w:r w:rsidR="00E70DE1" w:rsidRPr="0096338A">
        <w:t xml:space="preserve">reeds </w:t>
      </w:r>
      <w:r w:rsidRPr="0096338A">
        <w:t>in de twaalfde eeuw aanklaagde dat het groeien</w:t>
      </w:r>
      <w:r w:rsidR="00E70DE1" w:rsidRPr="0096338A">
        <w:t xml:space="preserve">de </w:t>
      </w:r>
      <w:r w:rsidRPr="0096338A">
        <w:t>handelsverkeer in de stad eveneens een plaats creëerde voor sociale mobiliteit.</w:t>
      </w:r>
      <w:r w:rsidRPr="0096338A">
        <w:rPr>
          <w:rStyle w:val="Voetnootmarkering"/>
        </w:rPr>
        <w:footnoteReference w:id="282"/>
      </w:r>
      <w:r w:rsidRPr="0096338A">
        <w:t xml:space="preserve"> </w:t>
      </w:r>
      <w:r w:rsidRPr="0096338A">
        <w:rPr>
          <w:lang w:val="en-GB"/>
        </w:rPr>
        <w:t>Howell stelt: “Spaces were socially produced, and they were socially productive.”</w:t>
      </w:r>
      <w:r w:rsidRPr="0096338A">
        <w:rPr>
          <w:rStyle w:val="Voetnootmarkering"/>
          <w:lang w:val="en-GB"/>
        </w:rPr>
        <w:footnoteReference w:id="283"/>
      </w:r>
      <w:r w:rsidRPr="0096338A">
        <w:rPr>
          <w:lang w:val="en-GB"/>
        </w:rPr>
        <w:t xml:space="preserve"> </w:t>
      </w:r>
      <w:r w:rsidRPr="0096338A">
        <w:t>De bevolkin</w:t>
      </w:r>
      <w:r w:rsidR="00E70DE1" w:rsidRPr="0096338A">
        <w:t xml:space="preserve">g van een middeleeuwse stad was zich </w:t>
      </w:r>
      <w:r w:rsidRPr="0096338A">
        <w:t>dus bewust van het bestaan van de verschillende stadsruimte</w:t>
      </w:r>
      <w:r w:rsidR="00E70DE1" w:rsidRPr="0096338A">
        <w:t>n</w:t>
      </w:r>
      <w:r w:rsidRPr="0096338A">
        <w:t xml:space="preserve">, ageerde hierop en controleerde deze actief. </w:t>
      </w:r>
    </w:p>
    <w:p w:rsidR="00266F09" w:rsidRPr="0096338A" w:rsidRDefault="00266F09" w:rsidP="00266F09">
      <w:pPr>
        <w:ind w:firstLine="708"/>
      </w:pPr>
      <w:r w:rsidRPr="0096338A">
        <w:t>De kennis van het bestaan van een stadsruimte komt ook naar vo</w:t>
      </w:r>
      <w:r w:rsidR="00E70DE1" w:rsidRPr="0096338A">
        <w:t>or</w:t>
      </w:r>
      <w:r w:rsidRPr="0096338A">
        <w:t xml:space="preserve"> uit de wetge</w:t>
      </w:r>
      <w:r w:rsidR="00C22A07" w:rsidRPr="0096338A">
        <w:t xml:space="preserve">vende bronnen die dit onderzoek </w:t>
      </w:r>
      <w:r w:rsidRPr="0096338A">
        <w:t>gebruikt. Ordonnanties bevatten reguleringen waarmee het stadsbestuur de indeling van de stadsruimte bepaalde. De volkstaal waarin ze opgesteld zijn</w:t>
      </w:r>
      <w:r w:rsidR="00C22A07" w:rsidRPr="0096338A">
        <w:t>,</w:t>
      </w:r>
      <w:r w:rsidRPr="0096338A">
        <w:t xml:space="preserve"> toont bijvoorbeeld aan dat het doel van de ordonnanties </w:t>
      </w:r>
      <w:r w:rsidR="00C22A07" w:rsidRPr="0096338A">
        <w:t xml:space="preserve">was </w:t>
      </w:r>
      <w:r w:rsidRPr="0096338A">
        <w:t xml:space="preserve">om het dagelijkse leven effectief </w:t>
      </w:r>
      <w:r w:rsidR="00C22A07" w:rsidRPr="0096338A">
        <w:t>te beïnvloeden</w:t>
      </w:r>
      <w:r w:rsidRPr="0096338A">
        <w:t>.</w:t>
      </w:r>
      <w:r w:rsidRPr="0096338A">
        <w:rPr>
          <w:rStyle w:val="Voetnootmarkering"/>
        </w:rPr>
        <w:footnoteReference w:id="284"/>
      </w:r>
      <w:r w:rsidRPr="0096338A">
        <w:t xml:space="preserve"> De overeenkomsten tussen de wetgeving in verschillende steden </w:t>
      </w:r>
      <w:r w:rsidR="00B62DC6" w:rsidRPr="0096338A">
        <w:t>vormen een interessant uitgangspunt voor</w:t>
      </w:r>
      <w:r w:rsidRPr="0096338A">
        <w:t xml:space="preserve"> vergelijkende studies tussen de verschillende middeleeuwse steden.</w:t>
      </w:r>
      <w:r w:rsidRPr="0096338A">
        <w:rPr>
          <w:rStyle w:val="Voetnootmarkering"/>
        </w:rPr>
        <w:footnoteReference w:id="285"/>
      </w:r>
      <w:r w:rsidRPr="0096338A">
        <w:t xml:space="preserve"> Een beperkte vergelijking tussen gender in de Leuvense en Gentse marktruimte komt in dit hoofdstuk aan bod, maar de schaarste van de Leuvense bronnen </w:t>
      </w:r>
      <w:r w:rsidR="00B62DC6" w:rsidRPr="0096338A">
        <w:t>noodzaakt</w:t>
      </w:r>
      <w:r w:rsidRPr="0096338A">
        <w:t xml:space="preserve"> </w:t>
      </w:r>
      <w:r w:rsidR="00C8160D" w:rsidRPr="0096338A">
        <w:t xml:space="preserve">verder </w:t>
      </w:r>
      <w:r w:rsidRPr="0096338A">
        <w:t>onderzoek. Daar</w:t>
      </w:r>
      <w:r w:rsidR="00B62DC6" w:rsidRPr="0096338A">
        <w:t xml:space="preserve">naast lag er eerder in deze scriptie reeds een accent op </w:t>
      </w:r>
      <w:r w:rsidRPr="0096338A">
        <w:t>het verschille</w:t>
      </w:r>
      <w:r w:rsidR="00C22A07" w:rsidRPr="0096338A">
        <w:t>nde karakter van de twee steden</w:t>
      </w:r>
      <w:r w:rsidRPr="0096338A">
        <w:t>. De inzichten van dit hoofdstuk over de meer lokale middeleeuwse stad zouden dus</w:t>
      </w:r>
      <w:r w:rsidR="00B62DC6" w:rsidRPr="0096338A">
        <w:t xml:space="preserve"> een</w:t>
      </w:r>
      <w:r w:rsidRPr="0096338A">
        <w:t xml:space="preserve"> toetsing moeten ondergaan aan </w:t>
      </w:r>
      <w:r w:rsidR="00B62DC6" w:rsidRPr="0096338A">
        <w:t xml:space="preserve">de situatie in </w:t>
      </w:r>
      <w:r w:rsidRPr="0096338A">
        <w:t>gelijkaardige steden.</w:t>
      </w:r>
    </w:p>
    <w:p w:rsidR="00266F09" w:rsidRPr="0096338A" w:rsidRDefault="00266F09" w:rsidP="00266F09">
      <w:pPr>
        <w:ind w:firstLine="708"/>
      </w:pPr>
      <w:r w:rsidRPr="0096338A">
        <w:t>De nieuwe kijk op de middeleeuwse stedelijke ruimte heeft niet enkel impact op een beter begrip van de werking van de gehele stad</w:t>
      </w:r>
      <w:r w:rsidR="00C22A07" w:rsidRPr="0096338A">
        <w:t>. G</w:t>
      </w:r>
      <w:r w:rsidRPr="0096338A">
        <w:t>enderstudies kunnen er</w:t>
      </w:r>
      <w:r w:rsidR="00C22A07" w:rsidRPr="0096338A">
        <w:t xml:space="preserve"> eveneens</w:t>
      </w:r>
      <w:r w:rsidRPr="0096338A">
        <w:t xml:space="preserve"> nieuwe inzichten uit halen. Sarah Rees Jones stelt duidelijk dat de middeleeuwse ruimte zeker </w:t>
      </w:r>
      <w:r w:rsidR="00876549" w:rsidRPr="0096338A">
        <w:t xml:space="preserve">een </w:t>
      </w:r>
      <w:r w:rsidR="00876549" w:rsidRPr="0096338A">
        <w:lastRenderedPageBreak/>
        <w:t>gender</w:t>
      </w:r>
      <w:r w:rsidR="004270F2" w:rsidRPr="0096338A">
        <w:t>indeling kende</w:t>
      </w:r>
      <w:r w:rsidRPr="0096338A">
        <w:t>.</w:t>
      </w:r>
      <w:r w:rsidRPr="0096338A">
        <w:rPr>
          <w:rStyle w:val="Voetnootmarkering"/>
        </w:rPr>
        <w:footnoteReference w:id="286"/>
      </w:r>
      <w:r w:rsidRPr="0096338A">
        <w:t xml:space="preserve"> Dit betekent dat genderverschillen de stadsruimte mee bepaalden, iets wat dit onderzoek in een verder </w:t>
      </w:r>
      <w:r w:rsidR="001E2ADC" w:rsidRPr="0096338A">
        <w:t>thema</w:t>
      </w:r>
      <w:r w:rsidRPr="0096338A">
        <w:t xml:space="preserve"> analyseert. De verschillen tussen man en vrouw</w:t>
      </w:r>
      <w:r w:rsidR="004270F2" w:rsidRPr="0096338A">
        <w:t xml:space="preserve"> in de Leuvense marktruimte</w:t>
      </w:r>
      <w:r w:rsidRPr="0096338A">
        <w:t xml:space="preserve"> kwamen reeds aan bod, maar </w:t>
      </w:r>
      <w:r w:rsidR="004270F2" w:rsidRPr="0096338A">
        <w:t>een ruimtelijk oogpunt zal hier een nieuwe invalshoek voor bieden</w:t>
      </w:r>
      <w:r w:rsidR="00C8160D" w:rsidRPr="0096338A">
        <w:t>. Verder is er</w:t>
      </w:r>
      <w:r w:rsidR="00876549" w:rsidRPr="0096338A">
        <w:t xml:space="preserve"> sprake van een</w:t>
      </w:r>
      <w:r w:rsidRPr="0096338A">
        <w:t xml:space="preserve"> wisselwerking. Gender bepaalde de stadsruimte, maar die</w:t>
      </w:r>
      <w:r w:rsidR="004270F2" w:rsidRPr="0096338A">
        <w:t xml:space="preserve"> ruimte</w:t>
      </w:r>
      <w:r w:rsidRPr="0096338A">
        <w:t xml:space="preserve"> had eveneens impact op de positie van de vrouw.</w:t>
      </w:r>
      <w:r w:rsidRPr="0096338A">
        <w:rPr>
          <w:rStyle w:val="Voetnootmarkering"/>
        </w:rPr>
        <w:footnoteReference w:id="287"/>
      </w:r>
      <w:r w:rsidRPr="0096338A">
        <w:t xml:space="preserve"> </w:t>
      </w:r>
      <w:r w:rsidR="00876549" w:rsidRPr="0096338A">
        <w:t xml:space="preserve">In deze context volgt een poging deze wisselwerking </w:t>
      </w:r>
      <w:r w:rsidRPr="0096338A">
        <w:t xml:space="preserve">aan de hand van het beperkte bronnenbestand </w:t>
      </w:r>
      <w:r w:rsidR="00876549" w:rsidRPr="0096338A">
        <w:t xml:space="preserve">van </w:t>
      </w:r>
      <w:r w:rsidR="00C22A07" w:rsidRPr="0096338A">
        <w:t>beide kanten</w:t>
      </w:r>
      <w:r w:rsidR="00876549" w:rsidRPr="0096338A">
        <w:t xml:space="preserve"> te belichten</w:t>
      </w:r>
      <w:r w:rsidRPr="0096338A">
        <w:t xml:space="preserve">. </w:t>
      </w:r>
      <w:r w:rsidR="00876549" w:rsidRPr="0096338A">
        <w:t>Onderzoek naar de plaats van de vrouw in de publieke ruimte zal leiden tot e</w:t>
      </w:r>
      <w:r w:rsidRPr="0096338A">
        <w:t xml:space="preserve">en groter begrip van </w:t>
      </w:r>
      <w:r w:rsidR="00876549" w:rsidRPr="0096338A">
        <w:t xml:space="preserve">haar </w:t>
      </w:r>
      <w:r w:rsidR="00C8160D" w:rsidRPr="0096338A">
        <w:t xml:space="preserve">positie </w:t>
      </w:r>
      <w:r w:rsidRPr="0096338A">
        <w:t>in de stedelijke samenleving</w:t>
      </w:r>
      <w:r w:rsidR="00C22A07" w:rsidRPr="0096338A">
        <w:t>.</w:t>
      </w:r>
      <w:r w:rsidRPr="0096338A">
        <w:rPr>
          <w:rStyle w:val="Voetnootmarkering"/>
        </w:rPr>
        <w:footnoteReference w:id="288"/>
      </w:r>
    </w:p>
    <w:p w:rsidR="00266F09" w:rsidRPr="0096338A" w:rsidRDefault="00266F09" w:rsidP="00266F09">
      <w:pPr>
        <w:pStyle w:val="Kop2"/>
      </w:pPr>
      <w:bookmarkStart w:id="22" w:name="_Toc452371453"/>
      <w:r w:rsidRPr="0096338A">
        <w:t xml:space="preserve">4.2 Genderverdeling in de stad? De </w:t>
      </w:r>
      <w:r w:rsidR="009C127D" w:rsidRPr="0096338A">
        <w:t xml:space="preserve">vage </w:t>
      </w:r>
      <w:r w:rsidRPr="0096338A">
        <w:t>scheiding tussen publieke en private ruimte</w:t>
      </w:r>
      <w:r w:rsidR="009C127D" w:rsidRPr="0096338A">
        <w:t>n</w:t>
      </w:r>
      <w:bookmarkEnd w:id="22"/>
    </w:p>
    <w:p w:rsidR="00266F09" w:rsidRPr="0096338A" w:rsidRDefault="00266F09" w:rsidP="00266F09">
      <w:r w:rsidRPr="0096338A">
        <w:t xml:space="preserve">Ten gevolge van de opkomst van de steden </w:t>
      </w:r>
      <w:r w:rsidR="00707B09" w:rsidRPr="0096338A">
        <w:t xml:space="preserve">gedurende </w:t>
      </w:r>
      <w:r w:rsidRPr="0096338A">
        <w:t>de hoge middeleeuwen, ontstond er een onderscheid tussen publieke en private ruimte</w:t>
      </w:r>
      <w:r w:rsidR="00707B09" w:rsidRPr="0096338A">
        <w:t>n</w:t>
      </w:r>
      <w:r w:rsidRPr="0096338A">
        <w:t xml:space="preserve"> in de stadsgemeenschappen. Dagelijkse interacties haalden de inwoners uit hun private sfeer en zorgden op die manier voor de</w:t>
      </w:r>
      <w:r w:rsidR="00707B09" w:rsidRPr="0096338A">
        <w:t>ze</w:t>
      </w:r>
      <w:r w:rsidRPr="0096338A">
        <w:t xml:space="preserve"> scheiding.</w:t>
      </w:r>
      <w:r w:rsidRPr="0096338A">
        <w:rPr>
          <w:rStyle w:val="Voetnootmarkering"/>
        </w:rPr>
        <w:footnoteReference w:id="289"/>
      </w:r>
      <w:r w:rsidRPr="0096338A">
        <w:t xml:space="preserve"> Die kende echter (nog) geen strikte begrenzing en het ging zeker niet om twee vastliggende </w:t>
      </w:r>
      <w:r w:rsidR="00707B09" w:rsidRPr="0096338A">
        <w:t>ruimten</w:t>
      </w:r>
      <w:r w:rsidRPr="0096338A">
        <w:t xml:space="preserve">. </w:t>
      </w:r>
      <w:r w:rsidR="004270F2" w:rsidRPr="0096338A">
        <w:t xml:space="preserve">Rees </w:t>
      </w:r>
      <w:r w:rsidRPr="0096338A">
        <w:t>Jones stelt bijvoorbeeld dat de twee ruimte</w:t>
      </w:r>
      <w:r w:rsidR="008906F9" w:rsidRPr="0096338A">
        <w:t>n</w:t>
      </w:r>
      <w:r w:rsidRPr="0096338A">
        <w:t xml:space="preserve"> vaak overlapping kenden en eveneens konden veranderen</w:t>
      </w:r>
      <w:r w:rsidR="008906F9" w:rsidRPr="0096338A">
        <w:t>,</w:t>
      </w:r>
      <w:r w:rsidRPr="0096338A">
        <w:t xml:space="preserve"> afhankelijk van tijd en locatie.</w:t>
      </w:r>
      <w:r w:rsidRPr="0096338A">
        <w:rPr>
          <w:rStyle w:val="Voetnootmarkering"/>
        </w:rPr>
        <w:footnoteReference w:id="290"/>
      </w:r>
      <w:r w:rsidRPr="0096338A">
        <w:t xml:space="preserve"> Dennis Romano, </w:t>
      </w:r>
      <w:r w:rsidR="008906F9" w:rsidRPr="0096338A">
        <w:t xml:space="preserve">een </w:t>
      </w:r>
      <w:r w:rsidRPr="0096338A">
        <w:t xml:space="preserve">pionier in het ruimtelijk genderonderzoek, stelt echter dat vrouwen in </w:t>
      </w:r>
      <w:r w:rsidR="00707B09" w:rsidRPr="0096338A">
        <w:t xml:space="preserve">het </w:t>
      </w:r>
      <w:r w:rsidRPr="0096338A">
        <w:t>laatmiddeleeuws</w:t>
      </w:r>
      <w:r w:rsidR="00707B09" w:rsidRPr="0096338A">
        <w:t>e</w:t>
      </w:r>
      <w:r w:rsidRPr="0096338A">
        <w:t xml:space="preserve"> Venetië </w:t>
      </w:r>
      <w:r w:rsidR="00707B09" w:rsidRPr="0096338A">
        <w:t xml:space="preserve">enkel </w:t>
      </w:r>
      <w:r w:rsidRPr="0096338A">
        <w:t xml:space="preserve">in de huiselijke sfeer verantwoordelijkheden konden </w:t>
      </w:r>
      <w:r w:rsidR="00707B09" w:rsidRPr="0096338A">
        <w:t>op</w:t>
      </w:r>
      <w:r w:rsidR="008906F9" w:rsidRPr="0096338A">
        <w:t>nemen. Omwille van het rituele leven sijpelde</w:t>
      </w:r>
      <w:r w:rsidRPr="0096338A">
        <w:t xml:space="preserve"> deze private ruimte soms door naar buiten, maar dit ging steeds gepaard met een grote mate van controle.</w:t>
      </w:r>
      <w:r w:rsidRPr="0096338A">
        <w:rPr>
          <w:rStyle w:val="Voetnootmarkering"/>
        </w:rPr>
        <w:footnoteReference w:id="291"/>
      </w:r>
      <w:r w:rsidRPr="0096338A">
        <w:t xml:space="preserve"> Romano onderzoekt echter slechts de positie van edelvrouwen in de stedelijke omgeving. In zijn </w:t>
      </w:r>
      <w:r w:rsidR="008906F9" w:rsidRPr="0096338A">
        <w:t>be</w:t>
      </w:r>
      <w:r w:rsidRPr="0096338A">
        <w:t xml:space="preserve">toog </w:t>
      </w:r>
      <w:r w:rsidR="008906F9" w:rsidRPr="0096338A">
        <w:t xml:space="preserve">is </w:t>
      </w:r>
      <w:r w:rsidRPr="0096338A">
        <w:t xml:space="preserve">hij </w:t>
      </w:r>
      <w:r w:rsidR="00707B09" w:rsidRPr="0096338A">
        <w:t>voorzichtig</w:t>
      </w:r>
      <w:r w:rsidRPr="0096338A">
        <w:t xml:space="preserve"> </w:t>
      </w:r>
      <w:r w:rsidR="00707B09" w:rsidRPr="0096338A">
        <w:t xml:space="preserve">met het generaliseren van </w:t>
      </w:r>
      <w:r w:rsidR="008906F9" w:rsidRPr="0096338A">
        <w:t>zijn stelling</w:t>
      </w:r>
      <w:r w:rsidR="00707B09" w:rsidRPr="0096338A">
        <w:t xml:space="preserve"> naar </w:t>
      </w:r>
      <w:r w:rsidR="008906F9" w:rsidRPr="0096338A">
        <w:t xml:space="preserve">de gehele groep </w:t>
      </w:r>
      <w:r w:rsidR="00707B09" w:rsidRPr="0096338A">
        <w:t>vrouwen</w:t>
      </w:r>
      <w:r w:rsidRPr="0096338A">
        <w:t xml:space="preserve">: </w:t>
      </w:r>
    </w:p>
    <w:p w:rsidR="00266F09" w:rsidRPr="0096338A" w:rsidRDefault="00266F09" w:rsidP="00266F09">
      <w:pPr>
        <w:ind w:left="705"/>
        <w:rPr>
          <w:lang w:val="en-GB"/>
        </w:rPr>
      </w:pPr>
      <w:r w:rsidRPr="0096338A">
        <w:rPr>
          <w:lang w:val="en-GB"/>
        </w:rPr>
        <w:t>“In point of fact, many women could be found there. Artisans’ wives assisted their husbands in various trades, and certain guilds allowed widows, under carefully prescribed circumstances, to maintain their deceased husbands’ shops.”</w:t>
      </w:r>
      <w:r w:rsidRPr="0096338A">
        <w:rPr>
          <w:rStyle w:val="Voetnootmarkering"/>
          <w:lang w:val="en-GB"/>
        </w:rPr>
        <w:footnoteReference w:id="292"/>
      </w:r>
    </w:p>
    <w:p w:rsidR="00266F09" w:rsidRPr="0096338A" w:rsidRDefault="00266F09" w:rsidP="00266F09">
      <w:r w:rsidRPr="0096338A">
        <w:t xml:space="preserve">Deze uitspraak heeft betrekking op het commerciële centrum van de stad. Zoals reeds gesteld, hadden vrouwen van alle standen in de Zuid-Europese steden minder vrijheden, maar het is </w:t>
      </w:r>
      <w:r w:rsidRPr="0096338A">
        <w:lastRenderedPageBreak/>
        <w:t xml:space="preserve">duidelijk dat de publieke ruimte ook daar niet louter mannelijk was. Romano besluit </w:t>
      </w:r>
      <w:r w:rsidR="008906F9" w:rsidRPr="0096338A">
        <w:t>wel dat</w:t>
      </w:r>
      <w:r w:rsidRPr="0096338A">
        <w:t xml:space="preserve"> edelvrouwen er geen speelruimte hadden. </w:t>
      </w:r>
    </w:p>
    <w:p w:rsidR="00266F09" w:rsidRPr="0096338A" w:rsidRDefault="00266F09" w:rsidP="00266F09">
      <w:pPr>
        <w:ind w:firstLine="708"/>
      </w:pPr>
      <w:r w:rsidRPr="0096338A">
        <w:t xml:space="preserve">Dit onderzoek zal </w:t>
      </w:r>
      <w:r w:rsidR="008906F9" w:rsidRPr="0096338A">
        <w:t>be</w:t>
      </w:r>
      <w:r w:rsidRPr="0096338A">
        <w:t>argumenteren dat vrouwen een belangrijke rol speelden in de publieke ruimte, maar d</w:t>
      </w:r>
      <w:r w:rsidR="008906F9" w:rsidRPr="0096338A">
        <w:t>at</w:t>
      </w:r>
      <w:r w:rsidRPr="0096338A">
        <w:t xml:space="preserve"> genderindeling </w:t>
      </w:r>
      <w:r w:rsidR="008906F9" w:rsidRPr="0096338A">
        <w:t>ook voorkwam in</w:t>
      </w:r>
      <w:r w:rsidRPr="0096338A">
        <w:t xml:space="preserve"> bepaalde plaatsen. </w:t>
      </w:r>
      <w:r w:rsidRPr="0096338A">
        <w:rPr>
          <w:lang w:val="en-GB"/>
        </w:rPr>
        <w:t>Howell schrijft: “The process of gendering certain spaces as male was dialectically linked to a process of gendering other spaces female […].”</w:t>
      </w:r>
      <w:r w:rsidRPr="0096338A">
        <w:rPr>
          <w:rStyle w:val="Voetnootmarkering"/>
          <w:lang w:val="en-GB"/>
        </w:rPr>
        <w:footnoteReference w:id="293"/>
      </w:r>
      <w:r w:rsidRPr="0096338A">
        <w:rPr>
          <w:lang w:val="en-GB"/>
        </w:rPr>
        <w:t xml:space="preserve"> </w:t>
      </w:r>
      <w:r w:rsidRPr="0096338A">
        <w:t>De Leuvense stadsruimte kende ongetwijfeld een zeker proces van gendering. Hoewel ondertussen duidelijk is dat vrouwen een grote rol in de ambachtenwereld innamen, is een deel van die wereld bijvoorbeeld duidelijk mannelijk. Eén van de aanspraken van de ambachten was de controle op de publieke ruimte waarbinnen ze</w:t>
      </w:r>
      <w:r w:rsidR="000B611A" w:rsidRPr="0096338A">
        <w:t xml:space="preserve"> uiteraard</w:t>
      </w:r>
      <w:r w:rsidR="008906F9" w:rsidRPr="0096338A">
        <w:t xml:space="preserve"> </w:t>
      </w:r>
      <w:r w:rsidRPr="0096338A">
        <w:t>hun beroep uitoefen</w:t>
      </w:r>
      <w:r w:rsidR="000B611A" w:rsidRPr="0096338A">
        <w:t>d</w:t>
      </w:r>
      <w:r w:rsidRPr="0096338A">
        <w:t>en.</w:t>
      </w:r>
      <w:r w:rsidRPr="0096338A">
        <w:rPr>
          <w:rStyle w:val="Voetnootmarkering"/>
        </w:rPr>
        <w:footnoteReference w:id="294"/>
      </w:r>
      <w:r w:rsidRPr="0096338A">
        <w:t xml:space="preserve"> Deze controle bleef echter in mannelijke handen. De busmeesters van de ambachten, die regelingen omtrent het werkgeld en het </w:t>
      </w:r>
      <w:r w:rsidRPr="0096338A">
        <w:rPr>
          <w:i/>
        </w:rPr>
        <w:t>goetdoen</w:t>
      </w:r>
      <w:r w:rsidRPr="0096338A">
        <w:t xml:space="preserve"> troffen, waren bijvoorbeeld steeds mannen, zoals onder meer een ordonnantie van de nieuwe schoenmakers </w:t>
      </w:r>
      <w:r w:rsidR="008906F9" w:rsidRPr="0096338A">
        <w:t>aan</w:t>
      </w:r>
      <w:r w:rsidRPr="0096338A">
        <w:t>toont.</w:t>
      </w:r>
      <w:r w:rsidRPr="0096338A">
        <w:rPr>
          <w:rStyle w:val="Voetnootmarkering"/>
        </w:rPr>
        <w:footnoteReference w:id="295"/>
      </w:r>
      <w:r w:rsidRPr="0096338A">
        <w:t xml:space="preserve"> De meer gepolitiseerde kant van de ambachtenwereld lijkt op deze manier uitsluitend mannelijk te zijn.</w:t>
      </w:r>
    </w:p>
    <w:p w:rsidR="00266F09" w:rsidRPr="0096338A" w:rsidRDefault="00266F09" w:rsidP="00266F09">
      <w:pPr>
        <w:ind w:firstLine="708"/>
      </w:pPr>
      <w:r w:rsidRPr="0096338A">
        <w:t xml:space="preserve">De mannelijke politieke ruimte binnen de ambachtenwereld toont echter maar </w:t>
      </w:r>
      <w:r w:rsidR="000B611A" w:rsidRPr="0096338A">
        <w:t>één kant van de</w:t>
      </w:r>
      <w:r w:rsidRPr="0096338A">
        <w:t xml:space="preserve"> gender</w:t>
      </w:r>
      <w:r w:rsidR="009264E1" w:rsidRPr="0096338A">
        <w:t xml:space="preserve">ing van </w:t>
      </w:r>
      <w:r w:rsidRPr="0096338A">
        <w:t>de stedelijke omgeving. Eric Bousmar wees reeds op bepaalde louter vrouwelijke ruimte</w:t>
      </w:r>
      <w:r w:rsidR="009264E1" w:rsidRPr="0096338A">
        <w:t>n</w:t>
      </w:r>
      <w:r w:rsidRPr="0096338A">
        <w:t>. Hij verwijst bijvoorbeeld naar een vonnis uit Mechelen in de vijftiende eeuw. Een man luisterde mee tijdens de bevalling van een vrouw, wat vanzelfsprekend in de private sfeer gebeurde. Op dit moment was die ruimte dus louter vrouwelijk.</w:t>
      </w:r>
      <w:r w:rsidRPr="0096338A">
        <w:rPr>
          <w:rStyle w:val="Voetnootmarkering"/>
        </w:rPr>
        <w:footnoteReference w:id="296"/>
      </w:r>
      <w:r w:rsidRPr="0096338A">
        <w:t xml:space="preserve"> De Leuvense ordonnanties wijzen eveneens op de gender</w:t>
      </w:r>
      <w:r w:rsidR="009264E1" w:rsidRPr="0096338A">
        <w:t>politiek</w:t>
      </w:r>
      <w:r w:rsidRPr="0096338A">
        <w:t xml:space="preserve"> van de stad en dit in het nadeel van vrouwen. In 1445 ordonneerde het stadsbestuur dat:</w:t>
      </w:r>
    </w:p>
    <w:p w:rsidR="00266F09" w:rsidRPr="0096338A" w:rsidRDefault="00266F09" w:rsidP="00266F09">
      <w:pPr>
        <w:ind w:left="708"/>
        <w:rPr>
          <w:i/>
        </w:rPr>
      </w:pPr>
      <w:r w:rsidRPr="0096338A">
        <w:rPr>
          <w:i/>
        </w:rPr>
        <w:t>[…] gheen bordeelwive bynnen den ouden vesten van Lovene noch nerghens elder bynnen Lovene bordeel en selen mogen houden dan in de Ravenstrate ocht de Vleemyncstrate ende in den Bornewech […].</w:t>
      </w:r>
      <w:r w:rsidRPr="0096338A">
        <w:rPr>
          <w:rStyle w:val="Voetnootmarkering"/>
        </w:rPr>
        <w:footnoteReference w:id="297"/>
      </w:r>
    </w:p>
    <w:p w:rsidR="00266F09" w:rsidRPr="0096338A" w:rsidRDefault="00266F09" w:rsidP="00266F09">
      <w:r w:rsidRPr="0096338A">
        <w:rPr>
          <w:i/>
        </w:rPr>
        <w:t>Bordeelwive</w:t>
      </w:r>
      <w:r w:rsidRPr="0096338A">
        <w:t>, dit waren vrouwen die een bordeel beheerden, mochten dit enkel nog doen in de drie</w:t>
      </w:r>
      <w:r w:rsidR="009264E1" w:rsidRPr="0096338A">
        <w:t xml:space="preserve"> </w:t>
      </w:r>
      <w:r w:rsidR="000B611A" w:rsidRPr="0096338A">
        <w:t>genoemde</w:t>
      </w:r>
      <w:r w:rsidRPr="0096338A">
        <w:t xml:space="preserve"> straten.</w:t>
      </w:r>
      <w:r w:rsidR="004270F2" w:rsidRPr="0096338A">
        <w:rPr>
          <w:rStyle w:val="Voetnootmarkering"/>
        </w:rPr>
        <w:footnoteReference w:id="298"/>
      </w:r>
      <w:r w:rsidRPr="0096338A">
        <w:t xml:space="preserve"> De economische activiteit van vrouwen als prostituees of </w:t>
      </w:r>
      <w:r w:rsidRPr="0096338A">
        <w:lastRenderedPageBreak/>
        <w:t xml:space="preserve">bordeelhouders werd dus uit het originele centrum van de stad gebannen, waar deze zedenschennis </w:t>
      </w:r>
      <w:r w:rsidR="009264E1" w:rsidRPr="0096338A">
        <w:t xml:space="preserve">door vrouwen </w:t>
      </w:r>
      <w:r w:rsidRPr="0096338A">
        <w:t xml:space="preserve">niet langer gedoogd werd. </w:t>
      </w:r>
      <w:r w:rsidR="009264E1" w:rsidRPr="0096338A">
        <w:t>Op een</w:t>
      </w:r>
      <w:r w:rsidRPr="0096338A">
        <w:t xml:space="preserve"> overtreding van de ordonnantie volgde een boete van drie Hollandse gulden en de ontruiming van het bordeel. Een jaar eerder besloot de stadsraad reeds dat prostituees niet </w:t>
      </w:r>
      <w:r w:rsidRPr="0096338A">
        <w:rPr>
          <w:i/>
        </w:rPr>
        <w:t xml:space="preserve">openbaerlic </w:t>
      </w:r>
      <w:r w:rsidRPr="0096338A">
        <w:t xml:space="preserve">mochten wonen of in het openbaar anderen gezelschap mochten houden. Het stadsbeeld moest met andere woorden vrij blijven van vrouwen die </w:t>
      </w:r>
      <w:r w:rsidR="009264E1" w:rsidRPr="0096338A">
        <w:t xml:space="preserve">een </w:t>
      </w:r>
      <w:r w:rsidRPr="0096338A">
        <w:t xml:space="preserve">onzedelijk </w:t>
      </w:r>
      <w:r w:rsidR="009264E1" w:rsidRPr="0096338A">
        <w:t xml:space="preserve">beroep uitoefenden. </w:t>
      </w:r>
      <w:r w:rsidRPr="0096338A">
        <w:t>Indien ze de regel overtraden mochten ze gedurende een jaar niet in de stad komen.</w:t>
      </w:r>
      <w:r w:rsidRPr="0096338A">
        <w:rPr>
          <w:rStyle w:val="Voetnootmarkering"/>
        </w:rPr>
        <w:footnoteReference w:id="299"/>
      </w:r>
      <w:r w:rsidR="00C8160D" w:rsidRPr="0096338A">
        <w:t xml:space="preserve"> </w:t>
      </w:r>
      <w:r w:rsidRPr="0096338A">
        <w:t>De straffen waren niet gering</w:t>
      </w:r>
      <w:r w:rsidR="00B56024" w:rsidRPr="0096338A">
        <w:t>;</w:t>
      </w:r>
      <w:r w:rsidRPr="0096338A">
        <w:t xml:space="preserve"> ze meenden dus dat er een einde </w:t>
      </w:r>
      <w:r w:rsidR="00B56024" w:rsidRPr="0096338A">
        <w:t xml:space="preserve">moest komen </w:t>
      </w:r>
      <w:r w:rsidRPr="0096338A">
        <w:t>aan openbare seksuele activiteiten in</w:t>
      </w:r>
      <w:r w:rsidR="00151695" w:rsidRPr="0096338A">
        <w:t xml:space="preserve"> de stad. De ordonnantie van 149</w:t>
      </w:r>
      <w:r w:rsidRPr="0096338A">
        <w:t>5</w:t>
      </w:r>
      <w:r w:rsidR="00B56024" w:rsidRPr="0096338A">
        <w:t xml:space="preserve"> bepaalde</w:t>
      </w:r>
      <w:r w:rsidRPr="0096338A">
        <w:t xml:space="preserve"> bijvoorbeeld verder dat alle bordelen die niet in de drie genoemde straten lagen, </w:t>
      </w:r>
      <w:r w:rsidR="00B56024" w:rsidRPr="0096338A">
        <w:t xml:space="preserve">binnen de acht dagen </w:t>
      </w:r>
      <w:r w:rsidRPr="0096338A">
        <w:t>moesten verdwijnen</w:t>
      </w:r>
      <w:r w:rsidR="009264E1" w:rsidRPr="0096338A">
        <w:t xml:space="preserve"> – al </w:t>
      </w:r>
      <w:r w:rsidRPr="0096338A">
        <w:t xml:space="preserve">is niet geweten </w:t>
      </w:r>
      <w:r w:rsidR="00B56024" w:rsidRPr="0096338A">
        <w:t xml:space="preserve">of </w:t>
      </w:r>
      <w:r w:rsidRPr="0096338A">
        <w:t xml:space="preserve">de beslissing ook </w:t>
      </w:r>
      <w:r w:rsidR="00D55472" w:rsidRPr="0096338A">
        <w:t>opv</w:t>
      </w:r>
      <w:r w:rsidR="00B56024" w:rsidRPr="0096338A">
        <w:t>o</w:t>
      </w:r>
      <w:r w:rsidR="00D55472" w:rsidRPr="0096338A">
        <w:t>lging kreeg</w:t>
      </w:r>
      <w:r w:rsidRPr="0096338A">
        <w:t>.</w:t>
      </w:r>
      <w:r w:rsidRPr="0096338A">
        <w:rPr>
          <w:rStyle w:val="Voetnootmarkering"/>
        </w:rPr>
        <w:footnoteReference w:id="300"/>
      </w:r>
      <w:r w:rsidRPr="0096338A">
        <w:t xml:space="preserve"> Hoewel deze ruimte geen vrouwen uit hogere klassen omvatte, waren de drie straten een afgebakende vrouwelijke ruimte. Bordelen werden immers voornamelijk door vrouwen beheerd, prostituees waren vrouwen, kortom; vrouwen bepaalden deze ruimte</w:t>
      </w:r>
      <w:r w:rsidR="00D55472" w:rsidRPr="0096338A">
        <w:t xml:space="preserve"> mee</w:t>
      </w:r>
      <w:r w:rsidRPr="0096338A">
        <w:t>, die Romano accuraat aanduidt als een afgebakend deel van de publieke ruimte.</w:t>
      </w:r>
      <w:r w:rsidRPr="0096338A">
        <w:rPr>
          <w:rStyle w:val="Voetnootmarkering"/>
        </w:rPr>
        <w:footnoteReference w:id="301"/>
      </w:r>
      <w:r w:rsidRPr="0096338A">
        <w:t xml:space="preserve"> De casus van de bordeelwijken </w:t>
      </w:r>
      <w:r w:rsidR="009264E1" w:rsidRPr="0096338A">
        <w:t>vormt</w:t>
      </w:r>
      <w:r w:rsidRPr="0096338A">
        <w:t xml:space="preserve"> echter </w:t>
      </w:r>
      <w:r w:rsidR="00B56024" w:rsidRPr="0096338A">
        <w:t xml:space="preserve">een </w:t>
      </w:r>
      <w:r w:rsidRPr="0096338A">
        <w:t>goed</w:t>
      </w:r>
      <w:r w:rsidR="00C8160D" w:rsidRPr="0096338A">
        <w:t>e aanleiding voor</w:t>
      </w:r>
      <w:r w:rsidRPr="0096338A">
        <w:t xml:space="preserve"> een belangrijke opmerking </w:t>
      </w:r>
      <w:r w:rsidR="009264E1" w:rsidRPr="0096338A">
        <w:t>bij</w:t>
      </w:r>
      <w:r w:rsidR="00B56024" w:rsidRPr="0096338A">
        <w:t xml:space="preserve"> de bespreking</w:t>
      </w:r>
      <w:r w:rsidRPr="0096338A">
        <w:t xml:space="preserve"> van </w:t>
      </w:r>
      <w:r w:rsidR="009264E1" w:rsidRPr="0096338A">
        <w:t>gegenderde ruimten</w:t>
      </w:r>
      <w:r w:rsidRPr="0096338A">
        <w:t xml:space="preserve">. Vrouwen waren namelijk niet de enigen die in deze straten ageerden. Hun mannelijk cliënteel sloeg een overduidelijke brug tussen de twee seksen. </w:t>
      </w:r>
      <w:r w:rsidR="00D55472" w:rsidRPr="0096338A">
        <w:t xml:space="preserve">Dit onderzoek toonde aan dat vrouwen mogelijks konden infiltreren in de politieke ruimte. Ook de straten waarin prostituees en vrouwelijke bordeelhouders de publieke ruimte mee vormden, kende dus geen strikte genderonderscheiding. Dit roept de vraag op of er wel strikt gegenderde publieke ruimten bestonden in het vijftiende-eeuwse Leuven. </w:t>
      </w:r>
      <w:r w:rsidRPr="0096338A">
        <w:t>Bousmar stelt dat de marktruimte, waarover later meer, ondanks de aanwezigheid van verscheidene vrouwen toch mannelijk was.</w:t>
      </w:r>
      <w:r w:rsidRPr="0096338A">
        <w:rPr>
          <w:rStyle w:val="Voetnootmarkering"/>
        </w:rPr>
        <w:footnoteReference w:id="302"/>
      </w:r>
      <w:r w:rsidRPr="0096338A">
        <w:t xml:space="preserve"> Het lijkt echter dat dit niet zo eenduidig het geval was in Leuven. Eerdere </w:t>
      </w:r>
      <w:r w:rsidR="00B56024" w:rsidRPr="0096338A">
        <w:t xml:space="preserve">aangebrachte gegevens </w:t>
      </w:r>
      <w:r w:rsidRPr="0096338A">
        <w:t xml:space="preserve">toonden reeds aan dat vrouwen volwaardig lid waren van deze ruimte en actief konden ondernemen. Het stadsbestuur hield daarenboven rekening met de aanwezigheid van vrouwen in de stadsruimte, wat bijvoorbeeld te zien is in het dubbel taalgebruik. Hoewel </w:t>
      </w:r>
      <w:r w:rsidR="00B56024" w:rsidRPr="0096338A">
        <w:t xml:space="preserve">de positie van </w:t>
      </w:r>
      <w:r w:rsidR="009264E1" w:rsidRPr="0096338A">
        <w:t>vrouwen een aantal restricties</w:t>
      </w:r>
      <w:r w:rsidR="00B56024" w:rsidRPr="0096338A">
        <w:t xml:space="preserve"> kende</w:t>
      </w:r>
      <w:r w:rsidRPr="0096338A">
        <w:t xml:space="preserve">, waren ze een aanvaarde groep in de marktruimte. </w:t>
      </w:r>
      <w:r w:rsidR="00D55472" w:rsidRPr="0096338A">
        <w:t>Vermoedelijk heeft Bousmar een punt en was de teneur in de marktruimte mannelijk, maar dit sloot de ruimte niet af voor vrouwen.</w:t>
      </w:r>
    </w:p>
    <w:p w:rsidR="00266F09" w:rsidRPr="0096338A" w:rsidRDefault="00266F09" w:rsidP="00266F09">
      <w:pPr>
        <w:ind w:firstLine="708"/>
      </w:pPr>
      <w:r w:rsidRPr="0096338A">
        <w:lastRenderedPageBreak/>
        <w:t xml:space="preserve">De aanwezigheid van vrouwen in </w:t>
      </w:r>
      <w:r w:rsidR="00176D84" w:rsidRPr="0096338A">
        <w:t xml:space="preserve">de rechtspraak </w:t>
      </w:r>
      <w:r w:rsidRPr="0096338A">
        <w:t xml:space="preserve">toont eveneens aan hoe de vrouw in de Leuvense publieke ruimte kon opereren. De vrijwillige rechtspraak die in de schepenregisters terug te vinden is, bevat een groot aantal vonnissen waarbij vrouwen als aanklager naar de rechtbank stapten. </w:t>
      </w:r>
      <w:r w:rsidR="009264E1" w:rsidRPr="0096338A">
        <w:t xml:space="preserve">De </w:t>
      </w:r>
      <w:r w:rsidRPr="0096338A">
        <w:t xml:space="preserve">aanwezigheid van vrouwen </w:t>
      </w:r>
      <w:r w:rsidR="00176D84" w:rsidRPr="0096338A">
        <w:t xml:space="preserve">in die </w:t>
      </w:r>
      <w:r w:rsidR="009264E1" w:rsidRPr="0096338A">
        <w:t xml:space="preserve">ruimte vereiste niet per se </w:t>
      </w:r>
      <w:r w:rsidRPr="0096338A">
        <w:t>mannelijke legitimatie (in de vorm van een voogd), behalve voor getrouwde vrouwen. Weduwen en ongetrouwde vrouwen konden dus zelf stappen ondernemen</w:t>
      </w:r>
      <w:r w:rsidR="00D55472" w:rsidRPr="0096338A">
        <w:t>, al werden ze in de vijftiende eeuw ook regelmatig begeleid door een man</w:t>
      </w:r>
      <w:r w:rsidRPr="0096338A">
        <w:t>.</w:t>
      </w:r>
      <w:r w:rsidRPr="0096338A">
        <w:rPr>
          <w:rStyle w:val="Voetnootmarkering"/>
        </w:rPr>
        <w:footnoteReference w:id="303"/>
      </w:r>
      <w:r w:rsidRPr="0096338A">
        <w:t xml:space="preserve"> De schepenbank zelf bestond dan wel louter uit mannen, wat de ruimte eveneens mannelijk inkleurde, ook hier konden vrouwen relatief vrij opereren.</w:t>
      </w:r>
      <w:r w:rsidRPr="0096338A">
        <w:rPr>
          <w:rStyle w:val="Voetnootmarkering"/>
        </w:rPr>
        <w:footnoteReference w:id="304"/>
      </w:r>
    </w:p>
    <w:p w:rsidR="00266F09" w:rsidRPr="0096338A" w:rsidRDefault="00266F09" w:rsidP="00266F09">
      <w:r w:rsidRPr="0096338A">
        <w:tab/>
        <w:t xml:space="preserve">Bepaalde restricties wijzen toch op een poging om </w:t>
      </w:r>
      <w:r w:rsidR="009264E1" w:rsidRPr="0096338A">
        <w:t xml:space="preserve">de </w:t>
      </w:r>
      <w:r w:rsidRPr="0096338A">
        <w:t xml:space="preserve">private en publieke sfeer </w:t>
      </w:r>
      <w:r w:rsidR="009264E1" w:rsidRPr="0096338A">
        <w:t xml:space="preserve">op basis van </w:t>
      </w:r>
      <w:r w:rsidRPr="0096338A">
        <w:t>gender uiteen te houden. Een getrouwde vrouw hoorde bijvoorbeeld meer thuis in de private sfeer en dit was volgens Rees Jones zeker het geval bij vrouwen van hogere status.</w:t>
      </w:r>
      <w:r w:rsidRPr="0096338A">
        <w:rPr>
          <w:rStyle w:val="Voetnootmarkering"/>
        </w:rPr>
        <w:footnoteReference w:id="305"/>
      </w:r>
      <w:r w:rsidRPr="0096338A">
        <w:t xml:space="preserve"> Bousmar wijst ook op de beperkingen die een getrouwde vrouw ondervond, al bleef ze wel aanwezig in de publieke ruimte.</w:t>
      </w:r>
    </w:p>
    <w:p w:rsidR="00266F09" w:rsidRPr="0096338A" w:rsidRDefault="00266F09" w:rsidP="00266F09">
      <w:pPr>
        <w:ind w:left="708"/>
        <w:rPr>
          <w:lang w:val="en-GB"/>
        </w:rPr>
      </w:pPr>
      <w:r w:rsidRPr="0096338A">
        <w:rPr>
          <w:lang w:val="en-GB"/>
        </w:rPr>
        <w:t>“Contrary to the image of a rigid role and gendered space, urban women took part in economic life, be it inside the household economy […], or as servants (both situations that could be regarded as a mere natural extension of housewifery).”</w:t>
      </w:r>
      <w:r w:rsidRPr="0096338A">
        <w:rPr>
          <w:rStyle w:val="Voetnootmarkering"/>
          <w:lang w:val="en-GB"/>
        </w:rPr>
        <w:footnoteReference w:id="306"/>
      </w:r>
    </w:p>
    <w:p w:rsidR="00266F09" w:rsidRPr="0096338A" w:rsidRDefault="00266F09" w:rsidP="00266F09">
      <w:r w:rsidRPr="0096338A">
        <w:t xml:space="preserve">Hoewel </w:t>
      </w:r>
      <w:r w:rsidR="00176D84" w:rsidRPr="0096338A">
        <w:t xml:space="preserve">de economische activiteiten van </w:t>
      </w:r>
      <w:r w:rsidRPr="0096338A">
        <w:t>een getrouwde vrouw</w:t>
      </w:r>
      <w:r w:rsidR="009264E1" w:rsidRPr="0096338A">
        <w:rPr>
          <w:rStyle w:val="Verwijzingopmerking"/>
        </w:rPr>
        <w:t xml:space="preserve"> </w:t>
      </w:r>
      <w:r w:rsidR="009264E1" w:rsidRPr="0096338A">
        <w:t>in</w:t>
      </w:r>
      <w:r w:rsidR="00151695" w:rsidRPr="0096338A">
        <w:t xml:space="preserve">derdaad veelal verbonden </w:t>
      </w:r>
      <w:r w:rsidRPr="0096338A">
        <w:t xml:space="preserve">waren aan die van hun man, </w:t>
      </w:r>
      <w:r w:rsidR="009264E1" w:rsidRPr="0096338A">
        <w:t>behoeft</w:t>
      </w:r>
      <w:r w:rsidR="00151695" w:rsidRPr="0096338A">
        <w:t xml:space="preserve"> </w:t>
      </w:r>
      <w:r w:rsidRPr="0096338A">
        <w:t>Bousmars stelling meer nuance. De rol van de getrouwde</w:t>
      </w:r>
      <w:r w:rsidR="00151695" w:rsidRPr="0096338A">
        <w:t xml:space="preserve"> </w:t>
      </w:r>
      <w:r w:rsidRPr="0096338A">
        <w:t>vrouw strekte zich ook uit buiten de private sfeer. Dat de vrouw van een vleeshouwer onverkocht vlees niet in tavernen of bij mensen aan huis mochten verkopen,</w:t>
      </w:r>
      <w:r w:rsidR="009264E1" w:rsidRPr="0096338A">
        <w:t xml:space="preserve"> </w:t>
      </w:r>
      <w:r w:rsidR="00176D84" w:rsidRPr="0096338A">
        <w:t xml:space="preserve">wijst er </w:t>
      </w:r>
      <w:r w:rsidRPr="0096338A">
        <w:t>bijvoorbeeld</w:t>
      </w:r>
      <w:r w:rsidR="00176D84" w:rsidRPr="0096338A">
        <w:t xml:space="preserve"> op</w:t>
      </w:r>
      <w:r w:rsidRPr="0096338A">
        <w:t xml:space="preserve"> hoe aanwezig ze in de publieke ruimte was.</w:t>
      </w:r>
      <w:r w:rsidRPr="0096338A">
        <w:rPr>
          <w:rStyle w:val="Voetnootmarkering"/>
        </w:rPr>
        <w:footnoteReference w:id="307"/>
      </w:r>
      <w:r w:rsidRPr="0096338A">
        <w:t xml:space="preserve"> Wetgeving duidt namelijk steeds aan dat de praktijk wel degelijk </w:t>
      </w:r>
      <w:r w:rsidR="004C112A" w:rsidRPr="0096338A">
        <w:t xml:space="preserve">plaats vond </w:t>
      </w:r>
      <w:r w:rsidRPr="0096338A">
        <w:t xml:space="preserve">voor </w:t>
      </w:r>
      <w:r w:rsidR="004C112A" w:rsidRPr="0096338A">
        <w:t xml:space="preserve">men ertegen optrad. </w:t>
      </w:r>
      <w:r w:rsidRPr="0096338A">
        <w:t>Daarenboven wordt in deze beslissing geen onderscheid gemaakt tussen mannen en vrouwen</w:t>
      </w:r>
      <w:r w:rsidR="004C112A" w:rsidRPr="0096338A">
        <w:t>;</w:t>
      </w:r>
      <w:r w:rsidRPr="0096338A">
        <w:t xml:space="preserve"> zowe</w:t>
      </w:r>
      <w:r w:rsidR="009264E1" w:rsidRPr="0096338A">
        <w:t>l de vleeshouwer als zijn vrouw</w:t>
      </w:r>
      <w:r w:rsidR="004C112A" w:rsidRPr="0096338A">
        <w:t xml:space="preserve"> moesten zich aan dit verbod houden</w:t>
      </w:r>
      <w:r w:rsidRPr="0096338A">
        <w:t>.</w:t>
      </w:r>
    </w:p>
    <w:p w:rsidR="00266F09" w:rsidRPr="0096338A" w:rsidRDefault="00266F09" w:rsidP="00266F09">
      <w:r w:rsidRPr="0096338A">
        <w:tab/>
      </w:r>
      <w:r w:rsidR="00D55472" w:rsidRPr="0096338A">
        <w:t>Dit onderzoek geeft dus aan hoe</w:t>
      </w:r>
      <w:r w:rsidRPr="0096338A">
        <w:t xml:space="preserve"> </w:t>
      </w:r>
      <w:r w:rsidR="007327A9" w:rsidRPr="0096338A">
        <w:t xml:space="preserve">vaag </w:t>
      </w:r>
      <w:r w:rsidRPr="0096338A">
        <w:t xml:space="preserve">het onderscheid tussen de twee sferen was. Dit verklaart mee waarom de vrouw in Leuven zo veel bewegingsvrijheid kende. De productieplaats viel in Leuven zeker samen met de woonplaats. Aangezien de productieplaats een deel vormde van de marktruimte, gaf die overlapping volgens Hutton de mogelijkheid aan </w:t>
      </w:r>
      <w:r w:rsidRPr="0096338A">
        <w:lastRenderedPageBreak/>
        <w:t xml:space="preserve">vrouwen om te ageren binnen de marktruimte. Zolang de productie dus plaatsvond in het huishouden, had de vrouw kans op een positie binnen de </w:t>
      </w:r>
      <w:r w:rsidR="008827C9" w:rsidRPr="0096338A">
        <w:t>‘</w:t>
      </w:r>
      <w:r w:rsidRPr="0096338A">
        <w:t>household-econom</w:t>
      </w:r>
      <w:r w:rsidRPr="0096338A">
        <w:rPr>
          <w:i/>
        </w:rPr>
        <w:t>y</w:t>
      </w:r>
      <w:r w:rsidR="008827C9" w:rsidRPr="0096338A">
        <w:t>’</w:t>
      </w:r>
      <w:r w:rsidRPr="0096338A">
        <w:t>.</w:t>
      </w:r>
      <w:r w:rsidRPr="0096338A">
        <w:rPr>
          <w:rStyle w:val="Voetnootmarkering"/>
        </w:rPr>
        <w:footnoteReference w:id="308"/>
      </w:r>
      <w:r w:rsidRPr="0096338A">
        <w:rPr>
          <w:rStyle w:val="Voetnootmarkering"/>
        </w:rPr>
        <w:t xml:space="preserve"> </w:t>
      </w:r>
      <w:r w:rsidRPr="0096338A">
        <w:t xml:space="preserve">Natalie Zemon Davis benadrukt hoe de scheiding van werk- en woonplaats </w:t>
      </w:r>
      <w:r w:rsidR="007A205A" w:rsidRPr="0096338A">
        <w:t xml:space="preserve">resulteerde </w:t>
      </w:r>
      <w:r w:rsidRPr="0096338A">
        <w:t xml:space="preserve">in </w:t>
      </w:r>
      <w:r w:rsidR="007327A9" w:rsidRPr="0096338A">
        <w:t>een kleinere actieradius</w:t>
      </w:r>
      <w:r w:rsidRPr="0096338A">
        <w:t xml:space="preserve"> voor de vrouw.</w:t>
      </w:r>
      <w:r w:rsidRPr="0096338A">
        <w:rPr>
          <w:rStyle w:val="Voetnootmarkering"/>
        </w:rPr>
        <w:footnoteReference w:id="309"/>
      </w:r>
      <w:r w:rsidRPr="0096338A">
        <w:t xml:space="preserve"> De Leuvense ordonnanties wijzen eerder op een behoud van de woon- en productieplaats op eenzelfde locatie. Een gebruik dat het behoud van de woonplaats als commercieel centrum aantoont, is de verkoop aan het raam</w:t>
      </w:r>
      <w:r w:rsidR="007A205A" w:rsidRPr="0096338A">
        <w:t xml:space="preserve">, is een praktijk die vaak </w:t>
      </w:r>
      <w:r w:rsidRPr="0096338A">
        <w:t xml:space="preserve">plaatsvond. </w:t>
      </w:r>
    </w:p>
    <w:p w:rsidR="00266F09" w:rsidRPr="0096338A" w:rsidRDefault="00266F09" w:rsidP="00266F09">
      <w:pPr>
        <w:ind w:left="708"/>
      </w:pPr>
      <w:r w:rsidRPr="0096338A">
        <w:rPr>
          <w:i/>
        </w:rPr>
        <w:t>[…] ontichlijck gaen sitten wercken ende hue</w:t>
      </w:r>
      <w:r w:rsidR="000D510A" w:rsidRPr="0096338A">
        <w:rPr>
          <w:i/>
        </w:rPr>
        <w:t>re</w:t>
      </w:r>
      <w:r w:rsidRPr="0096338A">
        <w:rPr>
          <w:i/>
        </w:rPr>
        <w:t xml:space="preserve"> ambacht doen ende oick op huere vinsteren voer huere doren hen werck voortdoen ende voortsetten […].</w:t>
      </w:r>
      <w:r w:rsidRPr="0096338A">
        <w:rPr>
          <w:rStyle w:val="Voetnootmarkering"/>
          <w:i/>
        </w:rPr>
        <w:footnoteReference w:id="310"/>
      </w:r>
    </w:p>
    <w:p w:rsidR="00266F09" w:rsidRPr="0096338A" w:rsidRDefault="00266F09" w:rsidP="00266F09">
      <w:r w:rsidRPr="0096338A">
        <w:t xml:space="preserve">Het </w:t>
      </w:r>
      <w:r w:rsidRPr="0096338A">
        <w:rPr>
          <w:i/>
        </w:rPr>
        <w:t>vinsteren</w:t>
      </w:r>
      <w:r w:rsidRPr="0096338A">
        <w:t xml:space="preserve"> diende dus letterlijk als brug tussen de publieke en private ruimte</w:t>
      </w:r>
      <w:r w:rsidR="00F9371E" w:rsidRPr="0096338A">
        <w:t>n</w:t>
      </w:r>
      <w:r w:rsidRPr="0096338A">
        <w:t xml:space="preserve">, die in de vijftiende eeuw niet erg </w:t>
      </w:r>
      <w:r w:rsidR="007327A9" w:rsidRPr="0096338A">
        <w:t>onderscheiden waren</w:t>
      </w:r>
      <w:r w:rsidRPr="0096338A">
        <w:t xml:space="preserve">. </w:t>
      </w:r>
      <w:r w:rsidR="007327A9" w:rsidRPr="0096338A">
        <w:t>Eerde</w:t>
      </w:r>
      <w:r w:rsidR="0041568B" w:rsidRPr="0096338A">
        <w:t>r</w:t>
      </w:r>
      <w:r w:rsidR="007327A9" w:rsidRPr="0096338A">
        <w:t xml:space="preserve"> gesuggereer</w:t>
      </w:r>
      <w:r w:rsidR="007A205A" w:rsidRPr="0096338A">
        <w:t xml:space="preserve">de dit onderzoek </w:t>
      </w:r>
      <w:r w:rsidRPr="0096338A">
        <w:t xml:space="preserve">dat meer onderzoek nodig is om </w:t>
      </w:r>
      <w:r w:rsidR="0041568B" w:rsidRPr="0096338A">
        <w:t xml:space="preserve">een verklaring te vinden voor het verschil in </w:t>
      </w:r>
      <w:r w:rsidR="007A205A" w:rsidRPr="0096338A">
        <w:t xml:space="preserve">de </w:t>
      </w:r>
      <w:r w:rsidR="007327A9" w:rsidRPr="0096338A">
        <w:t>evoluties</w:t>
      </w:r>
      <w:r w:rsidRPr="0096338A">
        <w:t xml:space="preserve"> </w:t>
      </w:r>
      <w:r w:rsidR="0041568B" w:rsidRPr="0096338A">
        <w:t>betreffende</w:t>
      </w:r>
      <w:r w:rsidR="007327A9" w:rsidRPr="0096338A">
        <w:t xml:space="preserve"> </w:t>
      </w:r>
      <w:r w:rsidRPr="0096338A">
        <w:t xml:space="preserve">de positie van de </w:t>
      </w:r>
      <w:r w:rsidR="0041568B" w:rsidRPr="0096338A">
        <w:t xml:space="preserve">Leuvense </w:t>
      </w:r>
      <w:r w:rsidR="007A205A" w:rsidRPr="0096338A">
        <w:t xml:space="preserve">vrouw </w:t>
      </w:r>
      <w:r w:rsidR="0041568B" w:rsidRPr="0096338A">
        <w:t>in vergelijking met dergelijke evoluties in</w:t>
      </w:r>
      <w:r w:rsidRPr="0096338A">
        <w:t xml:space="preserve"> andere steden. De ruimtelijke kadering van de gendergeschie</w:t>
      </w:r>
      <w:r w:rsidR="007A205A" w:rsidRPr="0096338A">
        <w:t>denis kan hier dus eveneens een</w:t>
      </w:r>
      <w:r w:rsidR="0041568B" w:rsidRPr="0096338A">
        <w:t xml:space="preserve"> bijdrage toe leveren</w:t>
      </w:r>
      <w:r w:rsidR="007A205A" w:rsidRPr="0096338A">
        <w:t xml:space="preserve">. </w:t>
      </w:r>
      <w:r w:rsidRPr="0096338A">
        <w:t xml:space="preserve">Zolang de publieke en private sfeer geen duidelijk onderscheid kenden, konden vrouwen makkelijk tussen beiden opereren. Pas wanneer die schemerzone wegviel, werden ze richting de private sfeer </w:t>
      </w:r>
      <w:r w:rsidR="007A205A" w:rsidRPr="0096338A">
        <w:t>gedirigeerd</w:t>
      </w:r>
      <w:r w:rsidRPr="0096338A">
        <w:t>.</w:t>
      </w:r>
      <w:r w:rsidRPr="0096338A">
        <w:rPr>
          <w:rStyle w:val="Voetnootmarkering"/>
        </w:rPr>
        <w:footnoteReference w:id="311"/>
      </w:r>
      <w:r w:rsidRPr="0096338A">
        <w:t xml:space="preserve"> Dit verklaart ook hoe het verschil in toegang tot de publieke ruimte afhankelijk </w:t>
      </w:r>
      <w:r w:rsidR="0041568B" w:rsidRPr="0096338A">
        <w:t xml:space="preserve">was </w:t>
      </w:r>
      <w:r w:rsidRPr="0096338A">
        <w:t>van de sociale status van de vrouw. In armere huishoudens was de scheiding tussen werk- en woonplaats niet mogelijk en was er dus geen genderverdeling, zoals bij de rijkere huishoudens.</w:t>
      </w:r>
      <w:r w:rsidRPr="0096338A">
        <w:rPr>
          <w:rStyle w:val="Voetnootmarkering"/>
        </w:rPr>
        <w:footnoteReference w:id="312"/>
      </w:r>
    </w:p>
    <w:p w:rsidR="00266F09" w:rsidRPr="0096338A" w:rsidRDefault="00266F09" w:rsidP="00266F09">
      <w:r w:rsidRPr="0096338A">
        <w:tab/>
        <w:t>De beperkte indicaties in de</w:t>
      </w:r>
      <w:r w:rsidR="00EA3C70" w:rsidRPr="0096338A">
        <w:t xml:space="preserve"> stadsordonnanties lijken erop te wijzen dat een </w:t>
      </w:r>
      <w:r w:rsidRPr="0096338A">
        <w:t xml:space="preserve">strikte scheiding tussen de publieke en de private sfeer </w:t>
      </w:r>
      <w:r w:rsidR="0041568B" w:rsidRPr="0096338A">
        <w:t>in het vijftiende-eeuwse Leuven</w:t>
      </w:r>
      <w:r w:rsidR="0041568B" w:rsidRPr="0096338A" w:rsidDel="0041568B">
        <w:t xml:space="preserve"> </w:t>
      </w:r>
      <w:r w:rsidR="0041568B" w:rsidRPr="0096338A">
        <w:t xml:space="preserve">nauwelijks </w:t>
      </w:r>
      <w:r w:rsidRPr="0096338A">
        <w:t>bestond. De indeling van bepaalde ruimte</w:t>
      </w:r>
      <w:r w:rsidR="0041568B" w:rsidRPr="0096338A">
        <w:t>n</w:t>
      </w:r>
      <w:r w:rsidRPr="0096338A">
        <w:t xml:space="preserve"> op basis van gender kwam voor, maar beperkte de bewegingsvrijheid van vrouwen in de andere ruimte</w:t>
      </w:r>
      <w:r w:rsidR="0041568B" w:rsidRPr="0096338A">
        <w:t>n</w:t>
      </w:r>
      <w:r w:rsidRPr="0096338A">
        <w:t xml:space="preserve"> niet </w:t>
      </w:r>
      <w:r w:rsidR="0041568B" w:rsidRPr="0096338A">
        <w:t>al te drastisch</w:t>
      </w:r>
      <w:r w:rsidRPr="0096338A">
        <w:t>. De afwezigheid van vrouwen in de politieke constellatie van de stad zorgde zeker voor bepaalde genderongelijkheden.</w:t>
      </w:r>
      <w:r w:rsidRPr="0096338A">
        <w:rPr>
          <w:rStyle w:val="Voetnootmarkering"/>
        </w:rPr>
        <w:footnoteReference w:id="313"/>
      </w:r>
      <w:r w:rsidRPr="0096338A">
        <w:t xml:space="preserve"> Howell stelt dat </w:t>
      </w:r>
      <w:r w:rsidR="0041568B" w:rsidRPr="0096338A">
        <w:t>politieke zeggenschap</w:t>
      </w:r>
      <w:r w:rsidR="00C8160D" w:rsidRPr="0096338A">
        <w:t xml:space="preserve"> status gaf een degenen die </w:t>
      </w:r>
      <w:r w:rsidR="002E5FDF" w:rsidRPr="0096338A">
        <w:t>eraan participeerden</w:t>
      </w:r>
      <w:r w:rsidRPr="0096338A">
        <w:t xml:space="preserve"> en diezelfde status wegnam van degenen die ervan uitgesloten waren.</w:t>
      </w:r>
      <w:r w:rsidRPr="0096338A">
        <w:rPr>
          <w:rStyle w:val="Voetnootmarkering"/>
        </w:rPr>
        <w:footnoteReference w:id="314"/>
      </w:r>
      <w:r w:rsidRPr="0096338A">
        <w:t xml:space="preserve"> Rees Jones sluit hierbij aan en stelt dat de nauwe band tussen het stadsbeeld en de politieke </w:t>
      </w:r>
      <w:r w:rsidRPr="0096338A">
        <w:lastRenderedPageBreak/>
        <w:t>ruimte elkaar versterkten en op deze manier bijdroeg aan de uitsluiting van vrouwen uit het publieke leven. De politieke</w:t>
      </w:r>
      <w:r w:rsidR="002E5FDF" w:rsidRPr="0096338A">
        <w:t xml:space="preserve"> ruimte</w:t>
      </w:r>
      <w:r w:rsidRPr="0096338A">
        <w:t xml:space="preserve"> was namelijk de meest zichtbare, in de vorm van onder andere belforten en stadshuizen, en drukte dan ook haar stempel op de stad.</w:t>
      </w:r>
      <w:r w:rsidRPr="0096338A">
        <w:rPr>
          <w:rStyle w:val="Voetnootmarkering"/>
        </w:rPr>
        <w:footnoteReference w:id="315"/>
      </w:r>
      <w:r w:rsidRPr="0096338A">
        <w:t xml:space="preserve"> Het gebrekkige bronnenaanbod in Leuven beperkt echter de mogelijkheden tot het onderzoek </w:t>
      </w:r>
      <w:r w:rsidR="002E5FDF" w:rsidRPr="0096338A">
        <w:t>naar</w:t>
      </w:r>
      <w:r w:rsidRPr="0096338A">
        <w:t xml:space="preserve"> deze politieke sfeer. Een andere, eens zo belangrijke, ruimte toont echter aan hoe vrouwen zich in de middeleeuwse stad plaatsten en het stadsbeeld wel degelijk mee bepaalden. De marktruimte vormde een wezenlijk onderdeel van de publieke ruimte. De gepolitiseerde ambachten ageerden hierin, maar ook de verkopers op de informele markt gaven er betekenis aan. Wat volgt zijn de resultaten van een nauwkeurige analyse van de stadordonnanties, die aantonen hoe de genderindeling van de Leuvense marktruimte (of het gebrek era</w:t>
      </w:r>
      <w:r w:rsidR="002E5FDF" w:rsidRPr="0096338A">
        <w:t>an</w:t>
      </w:r>
      <w:r w:rsidRPr="0096338A">
        <w:t xml:space="preserve">) een ander licht werpen op eerdere </w:t>
      </w:r>
      <w:r w:rsidR="00EA3C70" w:rsidRPr="0096338A">
        <w:t>studies</w:t>
      </w:r>
      <w:r w:rsidRPr="0096338A">
        <w:t>.</w:t>
      </w:r>
    </w:p>
    <w:p w:rsidR="00266F09" w:rsidRPr="0096338A" w:rsidRDefault="00266F09" w:rsidP="00266F09">
      <w:pPr>
        <w:pStyle w:val="Kop2"/>
      </w:pPr>
      <w:bookmarkStart w:id="23" w:name="_Toc452371454"/>
      <w:r w:rsidRPr="0096338A">
        <w:t>4.3 De Leuvense markthallen</w:t>
      </w:r>
      <w:r w:rsidR="009C127D" w:rsidRPr="0096338A">
        <w:t xml:space="preserve"> en de actieradius van </w:t>
      </w:r>
      <w:r w:rsidRPr="0096338A">
        <w:t>vrouwen</w:t>
      </w:r>
      <w:bookmarkEnd w:id="23"/>
    </w:p>
    <w:p w:rsidR="00266F09" w:rsidRPr="0096338A" w:rsidRDefault="00266F09" w:rsidP="00266F09">
      <w:pPr>
        <w:ind w:left="708"/>
        <w:rPr>
          <w:lang w:val="en-GB"/>
        </w:rPr>
      </w:pPr>
      <w:r w:rsidRPr="0096338A">
        <w:rPr>
          <w:lang w:val="en-GB"/>
        </w:rPr>
        <w:t>“Still more telling, during the Late Middle Ages women could not participate in other activities outside the household as independently as they could in the market.”</w:t>
      </w:r>
      <w:r w:rsidRPr="0096338A">
        <w:rPr>
          <w:rStyle w:val="Voetnootmarkering"/>
          <w:lang w:val="en-GB"/>
        </w:rPr>
        <w:footnoteReference w:id="316"/>
      </w:r>
    </w:p>
    <w:p w:rsidR="00266F09" w:rsidRPr="0096338A" w:rsidRDefault="00266F09" w:rsidP="00266F09">
      <w:r w:rsidRPr="0096338A">
        <w:t>In de middeleeuwse markthallen ontplooide de prominente marktruimte zich het meest zichtbaar. Martha Howell stelt dat het stadsbestuur een plaats voor de markt</w:t>
      </w:r>
      <w:r w:rsidR="002F25A8" w:rsidRPr="0096338A">
        <w:t xml:space="preserve"> creëerde</w:t>
      </w:r>
      <w:r w:rsidR="00C8160D" w:rsidRPr="0096338A">
        <w:t xml:space="preserve"> – en </w:t>
      </w:r>
      <w:r w:rsidR="002F25A8" w:rsidRPr="0096338A">
        <w:t>op die manier eveneens grotendeels de marktruimte zelf</w:t>
      </w:r>
      <w:r w:rsidRPr="0096338A">
        <w:t xml:space="preserve">. Het gesloten karakter van de plaats gaf de markt een juridisch, politiek en economisch bestaansrecht. Hier kon het bestuur een overzicht hebben van de marktruimte en er controle op </w:t>
      </w:r>
      <w:r w:rsidR="002F25A8" w:rsidRPr="0096338A">
        <w:t>uitoefenen</w:t>
      </w:r>
      <w:r w:rsidRPr="0096338A">
        <w:t>.</w:t>
      </w:r>
      <w:r w:rsidRPr="0096338A">
        <w:rPr>
          <w:rStyle w:val="Voetnootmarkering"/>
        </w:rPr>
        <w:footnoteReference w:id="317"/>
      </w:r>
      <w:r w:rsidR="00C8160D" w:rsidRPr="0096338A">
        <w:t xml:space="preserve"> </w:t>
      </w:r>
      <w:r w:rsidR="002F25A8" w:rsidRPr="0096338A">
        <w:t>In</w:t>
      </w:r>
      <w:r w:rsidRPr="0096338A">
        <w:t xml:space="preserve"> de straten, waar mensen </w:t>
      </w:r>
      <w:r w:rsidR="002F25A8" w:rsidRPr="0096338A">
        <w:t xml:space="preserve">hun goederen </w:t>
      </w:r>
      <w:r w:rsidRPr="0096338A">
        <w:t>in stegen en huizen op de informele markt verk</w:t>
      </w:r>
      <w:r w:rsidR="00C8160D" w:rsidRPr="0096338A">
        <w:t>ochten, was dit minder evident.</w:t>
      </w:r>
      <w:r w:rsidRPr="0096338A">
        <w:t xml:space="preserve"> Die stegen en huizen waren eveneens een deel van de marktruimte</w:t>
      </w:r>
      <w:r w:rsidR="002F25A8" w:rsidRPr="0096338A">
        <w:t>,</w:t>
      </w:r>
      <w:r w:rsidRPr="0096338A">
        <w:t xml:space="preserve"> </w:t>
      </w:r>
      <w:r w:rsidR="002F25A8" w:rsidRPr="0096338A">
        <w:t>waarover verder meer</w:t>
      </w:r>
      <w:r w:rsidRPr="0096338A">
        <w:t>. Dit deel heeft echter als doel</w:t>
      </w:r>
      <w:r w:rsidR="00EA3C70" w:rsidRPr="0096338A">
        <w:t xml:space="preserve"> de positie van de vrouw in</w:t>
      </w:r>
      <w:r w:rsidRPr="0096338A">
        <w:t xml:space="preserve"> het meer zichtbare deel </w:t>
      </w:r>
      <w:r w:rsidR="00EA3C70" w:rsidRPr="0096338A">
        <w:t>van de marktruimte te analyseren</w:t>
      </w:r>
      <w:r w:rsidRPr="0096338A">
        <w:t xml:space="preserve">. </w:t>
      </w:r>
    </w:p>
    <w:p w:rsidR="00266F09" w:rsidRPr="0096338A" w:rsidRDefault="00266F09" w:rsidP="00266F09">
      <w:r w:rsidRPr="0096338A">
        <w:tab/>
        <w:t>Binnen de oudste muur van de stad bevonden zich verschillende marktplaatsen, waar de verkoop bijna dagelijks plaatsvond.</w:t>
      </w:r>
      <w:r w:rsidRPr="0096338A">
        <w:rPr>
          <w:rStyle w:val="Voetnootmarkering"/>
        </w:rPr>
        <w:footnoteReference w:id="318"/>
      </w:r>
      <w:r w:rsidRPr="0096338A">
        <w:t xml:space="preserve"> Op zondag en bepaalde kerkelijke feestdagen was het verboden het werk uit te voeren en was de markthal, in principe, gesloten. De ordonnantie die voor het smedenambacht </w:t>
      </w:r>
      <w:r w:rsidR="002F25A8" w:rsidRPr="0096338A">
        <w:t xml:space="preserve">het werken op zondag </w:t>
      </w:r>
      <w:r w:rsidRPr="0096338A">
        <w:t>extra reguleer</w:t>
      </w:r>
      <w:r w:rsidR="002F25A8" w:rsidRPr="0096338A">
        <w:t>de,</w:t>
      </w:r>
      <w:r w:rsidRPr="0096338A">
        <w:t xml:space="preserve"> </w:t>
      </w:r>
      <w:r w:rsidR="002F25A8" w:rsidRPr="0096338A">
        <w:t xml:space="preserve">geeft aan </w:t>
      </w:r>
      <w:r w:rsidRPr="0096338A">
        <w:t xml:space="preserve">dat de </w:t>
      </w:r>
      <w:r w:rsidR="00EA3C70" w:rsidRPr="0096338A">
        <w:t xml:space="preserve">praktijk </w:t>
      </w:r>
      <w:r w:rsidR="00EA3C70" w:rsidRPr="0096338A">
        <w:lastRenderedPageBreak/>
        <w:t>niet steeds de norm volgde</w:t>
      </w:r>
      <w:r w:rsidRPr="0096338A">
        <w:t>. Maar de beslissing be</w:t>
      </w:r>
      <w:r w:rsidR="002F25A8" w:rsidRPr="0096338A">
        <w:t>schrijft</w:t>
      </w:r>
      <w:r w:rsidRPr="0096338A">
        <w:t xml:space="preserve"> duidelijk dat de overtreders zich buiten de markthallen met hun beroep bezig hielden.</w:t>
      </w:r>
    </w:p>
    <w:p w:rsidR="00266F09" w:rsidRPr="0096338A" w:rsidRDefault="00266F09" w:rsidP="00266F09">
      <w:pPr>
        <w:ind w:left="708"/>
      </w:pPr>
      <w:r w:rsidRPr="0096338A">
        <w:rPr>
          <w:i/>
        </w:rPr>
        <w:t>Want sommighe van den gesellen van den smede ambachte […] op sondage vigilic dage ende andere geboden heylige dage ont</w:t>
      </w:r>
      <w:r w:rsidR="000D510A" w:rsidRPr="0096338A">
        <w:rPr>
          <w:i/>
        </w:rPr>
        <w:t>id</w:t>
      </w:r>
      <w:r w:rsidRPr="0096338A">
        <w:rPr>
          <w:i/>
        </w:rPr>
        <w:t>ichlijck gaen sitten wercken ende hueren ambacht doen ende oick op hueren vinsteren voer hueren doren hen werck voortdoen ende voortsetten […]</w:t>
      </w:r>
      <w:r w:rsidRPr="0096338A">
        <w:t>.</w:t>
      </w:r>
      <w:r w:rsidRPr="0096338A">
        <w:rPr>
          <w:rStyle w:val="Voetnootmarkering"/>
        </w:rPr>
        <w:footnoteReference w:id="319"/>
      </w:r>
    </w:p>
    <w:p w:rsidR="00266F09" w:rsidRPr="0096338A" w:rsidRDefault="00266F09" w:rsidP="00266F09">
      <w:r w:rsidRPr="0096338A">
        <w:t xml:space="preserve">De controle van de stad lijkt dus inderdaad meer effectief </w:t>
      </w:r>
      <w:r w:rsidR="0072319F" w:rsidRPr="0096338A">
        <w:t xml:space="preserve">te </w:t>
      </w:r>
      <w:r w:rsidRPr="0096338A">
        <w:t xml:space="preserve">zijn geweest in de hallen dan erbuiten. De meest voorname hallen stonden in het hart van de stad, nabij de huidige Grote Markt. Dit waren de lakenhal, de vleeshal en de </w:t>
      </w:r>
      <w:r w:rsidR="00EA3C70" w:rsidRPr="0096338A">
        <w:t>graan</w:t>
      </w:r>
      <w:r w:rsidRPr="0096338A">
        <w:t>hal. De muren die de hal omringden sloten ze letterlijk af van andere stadsdelen.</w:t>
      </w:r>
      <w:r w:rsidRPr="0096338A">
        <w:rPr>
          <w:rStyle w:val="Voetnootmarkering"/>
        </w:rPr>
        <w:footnoteReference w:id="320"/>
      </w:r>
      <w:r w:rsidRPr="0096338A">
        <w:t xml:space="preserve"> Toegang tot die gesloten plaats schiep, volgens Peter Arnade, Walter Simons en Martha Howell</w:t>
      </w:r>
      <w:r w:rsidR="0072319F" w:rsidRPr="0096338A">
        <w:t xml:space="preserve"> </w:t>
      </w:r>
      <w:r w:rsidRPr="0096338A">
        <w:t>een zekere vrijheid</w:t>
      </w:r>
      <w:r w:rsidR="0072319F" w:rsidRPr="0096338A">
        <w:t>, ondanks alle regelgeving die er gold</w:t>
      </w:r>
      <w:r w:rsidRPr="0096338A">
        <w:t>. Eenmaal in de markthal waren er namelijk enkel de regels die voor een specifieke markthal golden</w:t>
      </w:r>
      <w:r w:rsidR="0072319F" w:rsidRPr="0096338A">
        <w:t>;</w:t>
      </w:r>
      <w:r w:rsidR="00C8160D" w:rsidRPr="0096338A">
        <w:t xml:space="preserve"> </w:t>
      </w:r>
      <w:r w:rsidRPr="0096338A">
        <w:t>alle regels van de stadsruimte erbuiten werden tijdelijk ongedaan gemaakt.</w:t>
      </w:r>
      <w:r w:rsidRPr="0096338A">
        <w:rPr>
          <w:rStyle w:val="Voetnootmarkering"/>
        </w:rPr>
        <w:footnoteReference w:id="321"/>
      </w:r>
      <w:r w:rsidRPr="0096338A">
        <w:t xml:space="preserve"> D</w:t>
      </w:r>
      <w:r w:rsidR="0072319F" w:rsidRPr="0096338A">
        <w:t>eze</w:t>
      </w:r>
      <w:r w:rsidR="00C8160D" w:rsidRPr="0096338A">
        <w:t xml:space="preserve"> uitspraak vereist echter enige</w:t>
      </w:r>
      <w:r w:rsidR="0072319F" w:rsidRPr="0096338A">
        <w:t xml:space="preserve"> </w:t>
      </w:r>
      <w:r w:rsidRPr="0096338A">
        <w:t xml:space="preserve">nuance. </w:t>
      </w:r>
      <w:r w:rsidR="00EA3C70" w:rsidRPr="0096338A">
        <w:t>Het dagelijkse leven</w:t>
      </w:r>
      <w:r w:rsidRPr="0096338A">
        <w:t xml:space="preserve"> buiten de hallen had namelijk wel degelijk impact op de transacties in de hal. Later bespreekt dit </w:t>
      </w:r>
      <w:r w:rsidR="0076225E" w:rsidRPr="0096338A">
        <w:t>thema</w:t>
      </w:r>
      <w:r w:rsidRPr="0096338A">
        <w:t xml:space="preserve"> bijvoorbeeld de impact van reputatie op de marktruimte. Die reputatie vormde zich net zo goed buiten de marktplaats als erbinnen.</w:t>
      </w:r>
    </w:p>
    <w:p w:rsidR="00266F09" w:rsidRPr="0096338A" w:rsidRDefault="00266F09" w:rsidP="00266F09">
      <w:r w:rsidRPr="0096338A">
        <w:tab/>
        <w:t xml:space="preserve">De Leuvense ordonnantieboeken verduidelijken dat vrouwen te vinden waren </w:t>
      </w:r>
      <w:r w:rsidR="0072319F" w:rsidRPr="0096338A">
        <w:t>op</w:t>
      </w:r>
      <w:r w:rsidR="00C8160D" w:rsidRPr="0096338A">
        <w:t xml:space="preserve"> </w:t>
      </w:r>
      <w:r w:rsidRPr="0096338A">
        <w:t>nagenoeg alle ‘officiële’ marktplaatsen. Ze waren zeer actief in de vleeshal, een bevinding die in het licht van Shennan Huttons onderzoek mag verbazen. Ze namen eveneens deel aan de koop en verkoop in de meershal, waar een zeer verscheiden aanbod van producten was.</w:t>
      </w:r>
      <w:r w:rsidRPr="0096338A">
        <w:rPr>
          <w:rStyle w:val="Voetnootmarkering"/>
        </w:rPr>
        <w:footnoteReference w:id="322"/>
      </w:r>
      <w:r w:rsidRPr="0096338A">
        <w:t xml:space="preserve"> De vrije marktdag, die door de stad getolereerd werd, vond voor tassenmakers van buiten het ambacht op maandag ook plaats in de meershal.</w:t>
      </w:r>
      <w:r w:rsidRPr="0096338A">
        <w:rPr>
          <w:rStyle w:val="Voetnootmarkering"/>
        </w:rPr>
        <w:footnoteReference w:id="323"/>
      </w:r>
      <w:r w:rsidRPr="0096338A">
        <w:t xml:space="preserve"> Vrouwen waren verder ook te vinden in de lakenhal, hoewel de informatie hierover zeer schaar is. De vismarkt, die weliswaar niet in een gebouw plaatsvond, was eveneens toegankelijk voor vrouwen.</w:t>
      </w:r>
      <w:r w:rsidRPr="0096338A">
        <w:rPr>
          <w:rStyle w:val="Voetnootmarkering"/>
        </w:rPr>
        <w:footnoteReference w:id="324"/>
      </w:r>
      <w:r w:rsidRPr="0096338A">
        <w:t xml:space="preserve"> </w:t>
      </w:r>
      <w:r w:rsidR="00EA3C70" w:rsidRPr="0096338A">
        <w:t xml:space="preserve">Het thema </w:t>
      </w:r>
      <w:r w:rsidR="00EA3C70" w:rsidRPr="0096338A">
        <w:rPr>
          <w:i/>
        </w:rPr>
        <w:t xml:space="preserve">Vrouwen in de </w:t>
      </w:r>
      <w:r w:rsidR="00EA3C70" w:rsidRPr="0096338A">
        <w:rPr>
          <w:i/>
        </w:rPr>
        <w:lastRenderedPageBreak/>
        <w:t>marge</w:t>
      </w:r>
      <w:r w:rsidR="00EA3C70" w:rsidRPr="0096338A">
        <w:t xml:space="preserve"> toonde reeds aan dat de vismarkt moeilijk te beregelen was. Het gebrek aan muren rond deze verkoopplaats bevestigt Huttons stelling dat die omwalling ook voor een letterlijke geslotenheid van de marktruimte zorgde. </w:t>
      </w:r>
      <w:r w:rsidRPr="0096338A">
        <w:t xml:space="preserve">De enige marktplaats waarin vrouwen afwezig leken te zijn, was het </w:t>
      </w:r>
      <w:r w:rsidRPr="0096338A">
        <w:rPr>
          <w:i/>
        </w:rPr>
        <w:t>corenhuys</w:t>
      </w:r>
      <w:r w:rsidRPr="0096338A">
        <w:t>. Het stadsbestuur vaardigde geen enkel ordonnantie uit waar melding wordt gemaakt van vrouwen in de graanhal. Hutton stelt eveneens vast dat de Gentse graanmarkt, die hier niet in een hal plaatsvond, een bijna louter mannelijke ruimte was.</w:t>
      </w:r>
      <w:r w:rsidRPr="0096338A">
        <w:rPr>
          <w:rStyle w:val="Voetnootmarkering"/>
        </w:rPr>
        <w:footnoteReference w:id="325"/>
      </w:r>
      <w:r w:rsidRPr="0096338A">
        <w:t xml:space="preserve"> De afwezigheid van wetgeving met betrekking tot </w:t>
      </w:r>
      <w:r w:rsidR="0072319F" w:rsidRPr="0096338A">
        <w:t xml:space="preserve">activiteit van </w:t>
      </w:r>
      <w:r w:rsidR="00C8160D" w:rsidRPr="0096338A">
        <w:t xml:space="preserve">vrouwen </w:t>
      </w:r>
      <w:r w:rsidR="00EA3C70" w:rsidRPr="0096338A">
        <w:t>in de graanhal</w:t>
      </w:r>
      <w:r w:rsidRPr="0096338A">
        <w:t xml:space="preserve"> zou </w:t>
      </w:r>
      <w:r w:rsidR="00C8160D" w:rsidRPr="0096338A">
        <w:t>net zo goed</w:t>
      </w:r>
      <w:r w:rsidRPr="0096338A">
        <w:t xml:space="preserve"> kunnen wijzen op een volledige </w:t>
      </w:r>
      <w:r w:rsidR="0072319F" w:rsidRPr="0096338A">
        <w:t>gender</w:t>
      </w:r>
      <w:r w:rsidRPr="0096338A">
        <w:t xml:space="preserve">gelijkheid </w:t>
      </w:r>
      <w:r w:rsidR="00C8160D" w:rsidRPr="0096338A">
        <w:t>voor wat betreft</w:t>
      </w:r>
      <w:r w:rsidRPr="0096338A">
        <w:t xml:space="preserve"> deze marktplaats. De aanwezigheid van vrouwen kon zo dagdagelijks zijn, dat het niet werd vastgelegd in schriftelijke bronnen. Naast Huttons </w:t>
      </w:r>
      <w:r w:rsidR="00765779" w:rsidRPr="0096338A">
        <w:t>stelling</w:t>
      </w:r>
      <w:r w:rsidRPr="0096338A">
        <w:t xml:space="preserve">, wijzen </w:t>
      </w:r>
      <w:r w:rsidR="00765779" w:rsidRPr="0096338A">
        <w:t xml:space="preserve">ook </w:t>
      </w:r>
      <w:r w:rsidR="00C8160D" w:rsidRPr="0096338A">
        <w:t xml:space="preserve">Leuvense bronnen </w:t>
      </w:r>
      <w:r w:rsidR="00765779" w:rsidRPr="0096338A">
        <w:t>in de richting van een andere interpretatie</w:t>
      </w:r>
      <w:r w:rsidRPr="0096338A">
        <w:t xml:space="preserve">. Het stadsbestuur vaardigde bijvoorbeeld ordonnanties uit met betrekking tot de hoeveelheid graan die mannen in de graanhal mochten kopen. </w:t>
      </w:r>
    </w:p>
    <w:p w:rsidR="00266F09" w:rsidRPr="0096338A" w:rsidRDefault="00266F09" w:rsidP="00266F09">
      <w:pPr>
        <w:ind w:left="708"/>
        <w:rPr>
          <w:i/>
        </w:rPr>
      </w:pPr>
      <w:r w:rsidRPr="0096338A">
        <w:rPr>
          <w:i/>
        </w:rPr>
        <w:t>Behou</w:t>
      </w:r>
      <w:r w:rsidR="000D510A" w:rsidRPr="0096338A">
        <w:rPr>
          <w:i/>
        </w:rPr>
        <w:t>delijc dien dat een yegelijc voir sijn huysgezijn vroetcoeren</w:t>
      </w:r>
      <w:r w:rsidRPr="0096338A">
        <w:rPr>
          <w:i/>
        </w:rPr>
        <w:t xml:space="preserve"> van</w:t>
      </w:r>
      <w:r w:rsidR="000D510A" w:rsidRPr="0096338A">
        <w:rPr>
          <w:i/>
        </w:rPr>
        <w:t xml:space="preserve"> den sinen sal mo</w:t>
      </w:r>
      <w:r w:rsidRPr="0096338A">
        <w:rPr>
          <w:i/>
        </w:rPr>
        <w:t>g</w:t>
      </w:r>
      <w:r w:rsidR="000D510A" w:rsidRPr="0096338A">
        <w:rPr>
          <w:i/>
        </w:rPr>
        <w:t>h</w:t>
      </w:r>
      <w:r w:rsidRPr="0096338A">
        <w:rPr>
          <w:i/>
        </w:rPr>
        <w:t>e</w:t>
      </w:r>
      <w:r w:rsidR="000D510A" w:rsidRPr="0096338A">
        <w:rPr>
          <w:i/>
        </w:rPr>
        <w:t>n</w:t>
      </w:r>
      <w:r w:rsidRPr="0096338A">
        <w:rPr>
          <w:i/>
        </w:rPr>
        <w:t xml:space="preserve"> behouden te wetene vo</w:t>
      </w:r>
      <w:r w:rsidR="000D510A" w:rsidRPr="0096338A">
        <w:rPr>
          <w:i/>
        </w:rPr>
        <w:t>i</w:t>
      </w:r>
      <w:r w:rsidRPr="0096338A">
        <w:rPr>
          <w:i/>
        </w:rPr>
        <w:t>r el</w:t>
      </w:r>
      <w:r w:rsidR="000D510A" w:rsidRPr="0096338A">
        <w:rPr>
          <w:i/>
        </w:rPr>
        <w:t>ken persoen van si</w:t>
      </w:r>
      <w:r w:rsidRPr="0096338A">
        <w:rPr>
          <w:i/>
        </w:rPr>
        <w:t>n</w:t>
      </w:r>
      <w:r w:rsidR="000D510A" w:rsidRPr="0096338A">
        <w:rPr>
          <w:i/>
        </w:rPr>
        <w:t>en huyse twee</w:t>
      </w:r>
      <w:r w:rsidRPr="0096338A">
        <w:rPr>
          <w:i/>
        </w:rPr>
        <w:t xml:space="preserve"> mudde ende niet </w:t>
      </w:r>
      <w:r w:rsidR="000D510A" w:rsidRPr="0096338A">
        <w:rPr>
          <w:i/>
        </w:rPr>
        <w:t>me</w:t>
      </w:r>
      <w:r w:rsidRPr="0096338A">
        <w:rPr>
          <w:i/>
        </w:rPr>
        <w:t>e</w:t>
      </w:r>
      <w:r w:rsidR="000D510A" w:rsidRPr="0096338A">
        <w:rPr>
          <w:i/>
        </w:rPr>
        <w:t>r</w:t>
      </w:r>
      <w:r w:rsidRPr="0096338A">
        <w:rPr>
          <w:i/>
        </w:rPr>
        <w:t>.</w:t>
      </w:r>
      <w:r w:rsidRPr="0096338A">
        <w:rPr>
          <w:rStyle w:val="Voetnootmarkering"/>
        </w:rPr>
        <w:footnoteReference w:id="326"/>
      </w:r>
    </w:p>
    <w:p w:rsidR="00266F09" w:rsidRPr="0096338A" w:rsidRDefault="00266F09" w:rsidP="00266F09">
      <w:pPr>
        <w:rPr>
          <w:lang w:val="en-GB"/>
        </w:rPr>
      </w:pPr>
      <w:r w:rsidRPr="0096338A">
        <w:t xml:space="preserve">Mannen mochten dus meer graan aankopen indien ze eveneens een voorraad voor hun gezin moesten voorzien. Die beslissing </w:t>
      </w:r>
      <w:r w:rsidR="00765779" w:rsidRPr="0096338A">
        <w:t>suggereert</w:t>
      </w:r>
      <w:r w:rsidRPr="0096338A">
        <w:t xml:space="preserve"> dat vrouwen, of toch zeker getrouwde vrouwen, zelf niet in de graanhal konden komen om er </w:t>
      </w:r>
      <w:r w:rsidR="00765779" w:rsidRPr="0096338A">
        <w:t>aan</w:t>
      </w:r>
      <w:r w:rsidRPr="0096338A">
        <w:t>kopen</w:t>
      </w:r>
      <w:r w:rsidR="00765779" w:rsidRPr="0096338A">
        <w:t xml:space="preserve"> te doen</w:t>
      </w:r>
      <w:r w:rsidRPr="0096338A">
        <w:t xml:space="preserve">. Hutton legt de verklaring bij de aard van de hal. Het ging om zwaar werk dat veelal door mannen werd uitgevoerd. </w:t>
      </w:r>
      <w:r w:rsidRPr="0096338A">
        <w:rPr>
          <w:lang w:val="en-GB"/>
        </w:rPr>
        <w:t>“Women stood a good chance of being jostles, pushed, ogled, insulted, and propositioned by an assortment of unsavory characters.”</w:t>
      </w:r>
      <w:r w:rsidRPr="0096338A">
        <w:rPr>
          <w:rStyle w:val="Voetnootmarkering"/>
        </w:rPr>
        <w:footnoteReference w:id="327"/>
      </w:r>
    </w:p>
    <w:p w:rsidR="00266F09" w:rsidRPr="0096338A" w:rsidRDefault="00266F09" w:rsidP="00266F09">
      <w:r w:rsidRPr="0096338A">
        <w:rPr>
          <w:lang w:val="en-GB"/>
        </w:rPr>
        <w:tab/>
      </w:r>
      <w:r w:rsidRPr="0096338A">
        <w:t xml:space="preserve">Op de graanhal na, leek de toegang tot de Leuvense marktplaatsen dus </w:t>
      </w:r>
      <w:r w:rsidR="00EA3C70" w:rsidRPr="0096338A">
        <w:t>weinig genderbepaald</w:t>
      </w:r>
      <w:r w:rsidR="00C8160D" w:rsidRPr="0096338A">
        <w:t xml:space="preserve"> </w:t>
      </w:r>
      <w:r w:rsidRPr="0096338A">
        <w:t xml:space="preserve">geweest te zijn. Nochtans kan ook in Leuven een zekere vorm van genderindeling van de markthallen worden vastgesteld. Voornamelijk het </w:t>
      </w:r>
      <w:r w:rsidRPr="0096338A">
        <w:rPr>
          <w:i/>
        </w:rPr>
        <w:t xml:space="preserve">vleeshuys </w:t>
      </w:r>
      <w:r w:rsidR="00765779" w:rsidRPr="0096338A">
        <w:t xml:space="preserve">geeft </w:t>
      </w:r>
      <w:r w:rsidR="00C8160D" w:rsidRPr="0096338A">
        <w:t xml:space="preserve">een goed </w:t>
      </w:r>
      <w:r w:rsidR="00765779" w:rsidRPr="0096338A">
        <w:t>beeld</w:t>
      </w:r>
      <w:r w:rsidRPr="0096338A">
        <w:t xml:space="preserve"> </w:t>
      </w:r>
      <w:r w:rsidR="00765779" w:rsidRPr="0096338A">
        <w:t xml:space="preserve">van </w:t>
      </w:r>
      <w:r w:rsidRPr="0096338A">
        <w:t>die gende</w:t>
      </w:r>
      <w:r w:rsidR="00C8160D" w:rsidRPr="0096338A">
        <w:t xml:space="preserve">ring, aangezien de ordonnanties </w:t>
      </w:r>
      <w:r w:rsidR="00765779" w:rsidRPr="0096338A">
        <w:t xml:space="preserve">veel informatie </w:t>
      </w:r>
      <w:r w:rsidRPr="0096338A">
        <w:t>hier</w:t>
      </w:r>
      <w:r w:rsidR="00765779" w:rsidRPr="0096338A">
        <w:t>over</w:t>
      </w:r>
      <w:r w:rsidRPr="0096338A">
        <w:t xml:space="preserve"> bevatten. Net als in </w:t>
      </w:r>
      <w:r w:rsidR="00EA3C70" w:rsidRPr="0096338A">
        <w:t xml:space="preserve">de </w:t>
      </w:r>
      <w:r w:rsidRPr="0096338A">
        <w:t>Gent</w:t>
      </w:r>
      <w:r w:rsidR="00EA3C70" w:rsidRPr="0096338A">
        <w:t>se lakenhal</w:t>
      </w:r>
      <w:r w:rsidRPr="0096338A">
        <w:t xml:space="preserve">, kende de </w:t>
      </w:r>
      <w:r w:rsidR="00EA3C70" w:rsidRPr="0096338A">
        <w:t>Leuvense vlees</w:t>
      </w:r>
      <w:r w:rsidRPr="0096338A">
        <w:t>hal een bepaalde vorm van opdeling. Enerzijds waren er banken (dus marktkramen), anderzijds werd het vlees eveneens verkocht in de open ruimte voor de banken.</w:t>
      </w:r>
      <w:r w:rsidRPr="0096338A">
        <w:rPr>
          <w:rStyle w:val="Voetnootmarkering"/>
        </w:rPr>
        <w:footnoteReference w:id="328"/>
      </w:r>
      <w:r w:rsidRPr="0096338A">
        <w:t xml:space="preserve"> De gendering van de marktruimte vond plaats in die </w:t>
      </w:r>
      <w:r w:rsidRPr="0096338A">
        <w:lastRenderedPageBreak/>
        <w:t xml:space="preserve">verdeling. Net als in de Gentse lakenhal, moesten vrouwelijke verkopers </w:t>
      </w:r>
      <w:r w:rsidR="005B661A" w:rsidRPr="0096338A">
        <w:t xml:space="preserve">bij de verkoop van vlees </w:t>
      </w:r>
      <w:r w:rsidRPr="0096338A">
        <w:t>achter hun bank blijven.</w:t>
      </w:r>
      <w:r w:rsidRPr="0096338A">
        <w:rPr>
          <w:rStyle w:val="Voetnootmarkering"/>
          <w:i/>
        </w:rPr>
        <w:t xml:space="preserve"> </w:t>
      </w:r>
      <w:r w:rsidRPr="0096338A">
        <w:rPr>
          <w:rStyle w:val="Voetnootmarkering"/>
        </w:rPr>
        <w:footnoteReference w:id="329"/>
      </w:r>
      <w:r w:rsidRPr="0096338A">
        <w:t xml:space="preserve"> Hutton stelt vast dat het stadsbestuur in Gent de banken toewees aan de verkopers.</w:t>
      </w:r>
      <w:r w:rsidRPr="0096338A">
        <w:rPr>
          <w:rStyle w:val="Voetnootmarkering"/>
        </w:rPr>
        <w:footnoteReference w:id="330"/>
      </w:r>
      <w:r w:rsidRPr="0096338A">
        <w:t xml:space="preserve"> Voor de Leuvense vleeshal kunnen dergelijke regelingen niet worden gevonden</w:t>
      </w:r>
      <w:r w:rsidR="005B661A" w:rsidRPr="0096338A">
        <w:t>.</w:t>
      </w:r>
      <w:r w:rsidRPr="0096338A">
        <w:t xml:space="preserve"> </w:t>
      </w:r>
      <w:r w:rsidR="005B661A" w:rsidRPr="0096338A">
        <w:t>D</w:t>
      </w:r>
      <w:r w:rsidRPr="0096338A">
        <w:t>e regelingen betreffende de meershal d</w:t>
      </w:r>
      <w:r w:rsidR="00EA3C70" w:rsidRPr="0096338A">
        <w:t>uiden echter op een gelijkaardige organisatie</w:t>
      </w:r>
      <w:r w:rsidRPr="0096338A">
        <w:t>, waarbij verkopers banken kregen toebedeeld via een systeem dat de ordonnanties als loting aanduid</w:t>
      </w:r>
      <w:r w:rsidR="005B661A" w:rsidRPr="0096338A">
        <w:t>d</w:t>
      </w:r>
      <w:r w:rsidRPr="0096338A">
        <w:t>en.</w:t>
      </w:r>
      <w:r w:rsidRPr="0096338A">
        <w:rPr>
          <w:rStyle w:val="Voetnootmarkering"/>
        </w:rPr>
        <w:footnoteReference w:id="331"/>
      </w:r>
      <w:r w:rsidRPr="0096338A">
        <w:t xml:space="preserve"> Mannen konden </w:t>
      </w:r>
      <w:r w:rsidR="005B661A" w:rsidRPr="0096338A">
        <w:t xml:space="preserve">hun goederen promoten </w:t>
      </w:r>
      <w:r w:rsidRPr="0096338A">
        <w:t>in het centrum van de zaal. Volgens Hutton resulteerde dit in een coöperatie tussen mannen en vrouwen in de marktruimte. De mannelijke verkopers moesten hun koopwaar namelijk kunnen opbergen, waardoor er interactie ontstond met de vrouwelijke verkopers. Waarschijnlijk verwezen ze ook klanten naar elkaar door. De fysieke scheiding die de banken creëerden, werd op deze manier een brug tussen de twee genders.</w:t>
      </w:r>
      <w:r w:rsidRPr="0096338A">
        <w:rPr>
          <w:rStyle w:val="Voetnootmarkering"/>
        </w:rPr>
        <w:footnoteReference w:id="332"/>
      </w:r>
      <w:r w:rsidRPr="0096338A">
        <w:t xml:space="preserve"> Hoewel Huttons stelling geloofwaardig is, bevatten de stadordonnanties geen</w:t>
      </w:r>
      <w:r w:rsidR="005B661A" w:rsidRPr="0096338A">
        <w:t xml:space="preserve"> onweerlegbaar </w:t>
      </w:r>
      <w:r w:rsidRPr="0096338A">
        <w:t>bewijs van een overeenkomstig</w:t>
      </w:r>
      <w:r w:rsidR="005B661A" w:rsidRPr="0096338A">
        <w:t>e</w:t>
      </w:r>
      <w:r w:rsidRPr="0096338A">
        <w:t xml:space="preserve"> </w:t>
      </w:r>
      <w:r w:rsidR="005B661A" w:rsidRPr="0096338A">
        <w:t xml:space="preserve">regeling </w:t>
      </w:r>
      <w:r w:rsidRPr="0096338A">
        <w:t xml:space="preserve">in de Leuvense marktruimte. Vrouwen en mannen werkten wel degelijk samen in de vleeshal, maar de ordonnanties </w:t>
      </w:r>
      <w:r w:rsidR="005B661A" w:rsidRPr="0096338A">
        <w:t xml:space="preserve">regelen </w:t>
      </w:r>
      <w:r w:rsidRPr="0096338A">
        <w:t xml:space="preserve">dit enkel </w:t>
      </w:r>
      <w:r w:rsidR="00EA3C70" w:rsidRPr="0096338A">
        <w:t>zichtbaar voor</w:t>
      </w:r>
      <w:r w:rsidRPr="0096338A">
        <w:t xml:space="preserve"> getrouwde koppels. </w:t>
      </w:r>
    </w:p>
    <w:p w:rsidR="00266F09" w:rsidRPr="0096338A" w:rsidRDefault="00266F09" w:rsidP="00266F09">
      <w:pPr>
        <w:ind w:left="705"/>
      </w:pPr>
      <w:r w:rsidRPr="0096338A">
        <w:rPr>
          <w:i/>
        </w:rPr>
        <w:t>Maer in absentien van huere mans als die buyten ter merct weert zijn zullen […] ende alsdan sullen de vrouwen mog</w:t>
      </w:r>
      <w:r w:rsidR="000D510A" w:rsidRPr="0096338A">
        <w:rPr>
          <w:i/>
        </w:rPr>
        <w:t>h</w:t>
      </w:r>
      <w:r w:rsidRPr="0096338A">
        <w:rPr>
          <w:i/>
        </w:rPr>
        <w:t>en voer de banck staen en</w:t>
      </w:r>
      <w:r w:rsidR="000D510A" w:rsidRPr="0096338A">
        <w:rPr>
          <w:i/>
        </w:rPr>
        <w:t>de</w:t>
      </w:r>
      <w:r w:rsidRPr="0096338A">
        <w:rPr>
          <w:i/>
        </w:rPr>
        <w:t xml:space="preserve"> toesien ende anders nyet.</w:t>
      </w:r>
      <w:r w:rsidRPr="0096338A">
        <w:rPr>
          <w:rStyle w:val="Voetnootmarkering"/>
          <w:i/>
        </w:rPr>
        <w:footnoteReference w:id="333"/>
      </w:r>
    </w:p>
    <w:p w:rsidR="00266F09" w:rsidRPr="0096338A" w:rsidRDefault="00266F09" w:rsidP="00266F09">
      <w:r w:rsidRPr="0096338A">
        <w:t>De stadsraad besluit dat vrouwen vlees mochten verkopen voor de bank</w:t>
      </w:r>
      <w:r w:rsidR="005B661A" w:rsidRPr="0096338A">
        <w:t xml:space="preserve"> indien hun man afwezig was</w:t>
      </w:r>
      <w:r w:rsidRPr="0096338A">
        <w:t xml:space="preserve">. De letterlijke scheiding op basis van gender viel op dit moment dus weg. Verder mochten vrouwen ook voor de bank vlees verkopen op dagen dat gezellen van dezelfde meester </w:t>
      </w:r>
      <w:r w:rsidR="005B661A" w:rsidRPr="0096338A">
        <w:t xml:space="preserve">eveneens </w:t>
      </w:r>
      <w:r w:rsidRPr="0096338A">
        <w:t>hun koopwaar in de hal aanboden.</w:t>
      </w:r>
      <w:r w:rsidRPr="0096338A">
        <w:rPr>
          <w:rStyle w:val="Voetnootmarkering"/>
        </w:rPr>
        <w:footnoteReference w:id="334"/>
      </w:r>
      <w:r w:rsidRPr="0096338A">
        <w:t xml:space="preserve"> Dit wijst erop dat vrouwen dezelfde positie </w:t>
      </w:r>
      <w:r w:rsidR="005B661A" w:rsidRPr="0096338A">
        <w:t xml:space="preserve">konden innemen </w:t>
      </w:r>
      <w:r w:rsidRPr="0096338A">
        <w:t>als gezellen van het ambacht</w:t>
      </w:r>
      <w:r w:rsidR="00C8160D" w:rsidRPr="0096338A">
        <w:t>, mogelijks dus zelf ook als gezel</w:t>
      </w:r>
      <w:r w:rsidRPr="0096338A">
        <w:t xml:space="preserve">. De beslissing stelt </w:t>
      </w:r>
      <w:r w:rsidR="005B661A" w:rsidRPr="0096338A">
        <w:t xml:space="preserve">verder </w:t>
      </w:r>
      <w:r w:rsidRPr="0096338A">
        <w:t>niet duidelijk dat het hier om getrouwde vrouwen gaat. De vleeshal was mogelijk</w:t>
      </w:r>
      <w:r w:rsidR="003C6F1B" w:rsidRPr="0096338A">
        <w:t>s</w:t>
      </w:r>
      <w:r w:rsidRPr="0096338A">
        <w:t xml:space="preserve"> dus niet enkel toegankelijk voor de vrouw van een vleeshouwer</w:t>
      </w:r>
      <w:r w:rsidR="005B661A" w:rsidRPr="0096338A">
        <w:t>;</w:t>
      </w:r>
      <w:r w:rsidRPr="0096338A">
        <w:t xml:space="preserve"> vrouwen konden </w:t>
      </w:r>
      <w:r w:rsidR="00B47FF3" w:rsidRPr="0096338A">
        <w:t xml:space="preserve">er </w:t>
      </w:r>
      <w:r w:rsidRPr="0096338A">
        <w:t xml:space="preserve">ook onafhankelijk van een man </w:t>
      </w:r>
      <w:r w:rsidR="00B47FF3" w:rsidRPr="0096338A">
        <w:t>vlees verkopen</w:t>
      </w:r>
      <w:r w:rsidRPr="0096338A">
        <w:t>. Meer bewijs voor deze stelling is echter nodig voor hier</w:t>
      </w:r>
      <w:r w:rsidR="005B661A" w:rsidRPr="0096338A">
        <w:t>over</w:t>
      </w:r>
      <w:r w:rsidRPr="0096338A">
        <w:t xml:space="preserve"> </w:t>
      </w:r>
      <w:r w:rsidR="005B661A" w:rsidRPr="0096338A">
        <w:t xml:space="preserve">solide </w:t>
      </w:r>
      <w:r w:rsidRPr="0096338A">
        <w:t>uitspraken</w:t>
      </w:r>
      <w:r w:rsidR="00C8160D" w:rsidRPr="0096338A">
        <w:t xml:space="preserve"> </w:t>
      </w:r>
      <w:r w:rsidRPr="0096338A">
        <w:t xml:space="preserve">kunnen gebeuren. Binnen de vleeshal konden vrouwen alleszins </w:t>
      </w:r>
      <w:r w:rsidR="005B661A" w:rsidRPr="0096338A">
        <w:t>vlees verkopen</w:t>
      </w:r>
      <w:r w:rsidR="00265216" w:rsidRPr="0096338A">
        <w:t xml:space="preserve"> achter een bank</w:t>
      </w:r>
      <w:r w:rsidRPr="0096338A">
        <w:t>, maar</w:t>
      </w:r>
      <w:r w:rsidR="005B661A" w:rsidRPr="0096338A">
        <w:t xml:space="preserve"> ze</w:t>
      </w:r>
      <w:r w:rsidRPr="0096338A">
        <w:t xml:space="preserve"> hadden eveneens de kans om op bepaalde ogenblikken de </w:t>
      </w:r>
      <w:r w:rsidR="005B661A" w:rsidRPr="0096338A">
        <w:t>gender</w:t>
      </w:r>
      <w:r w:rsidRPr="0096338A">
        <w:t xml:space="preserve">barrière te doorbreken. </w:t>
      </w:r>
      <w:r w:rsidR="002F376A" w:rsidRPr="0096338A">
        <w:t>Bovendien</w:t>
      </w:r>
      <w:r w:rsidR="00265216" w:rsidRPr="0096338A">
        <w:t xml:space="preserve"> </w:t>
      </w:r>
      <w:r w:rsidRPr="0096338A">
        <w:t xml:space="preserve">gebeurde de verkoop van vlees ook </w:t>
      </w:r>
      <w:r w:rsidRPr="0096338A">
        <w:lastRenderedPageBreak/>
        <w:t xml:space="preserve">op andere plaatsen dan het </w:t>
      </w:r>
      <w:r w:rsidRPr="0096338A">
        <w:rPr>
          <w:i/>
        </w:rPr>
        <w:t>Vleeshuys</w:t>
      </w:r>
      <w:r w:rsidRPr="0096338A">
        <w:t>.</w:t>
      </w:r>
      <w:r w:rsidRPr="0096338A">
        <w:rPr>
          <w:rStyle w:val="Voetnootmarkering"/>
        </w:rPr>
        <w:footnoteReference w:id="335"/>
      </w:r>
      <w:r w:rsidRPr="0096338A">
        <w:t xml:space="preserve"> Vrouwen hadden zelfs met lidmaatschap binnen het ambacht dus nog de mogelijkheden om </w:t>
      </w:r>
      <w:r w:rsidR="002F376A" w:rsidRPr="0096338A">
        <w:t xml:space="preserve">hun koopwaar </w:t>
      </w:r>
      <w:r w:rsidRPr="0096338A">
        <w:t xml:space="preserve">buiten de gesloten ruimte te kunnen aanbieden. </w:t>
      </w:r>
    </w:p>
    <w:p w:rsidR="00266F09" w:rsidRPr="0096338A" w:rsidRDefault="00266F09" w:rsidP="00266F09">
      <w:r w:rsidRPr="0096338A">
        <w:tab/>
        <w:t>Naast een gender</w:t>
      </w:r>
      <w:r w:rsidR="00265216" w:rsidRPr="0096338A">
        <w:t xml:space="preserve">onderscheid </w:t>
      </w:r>
      <w:r w:rsidR="002F376A" w:rsidRPr="0096338A">
        <w:t>bij de praktijk rond kopen en verkopen</w:t>
      </w:r>
      <w:r w:rsidRPr="0096338A">
        <w:t>, kende de Leuvense marktruimte eveneens beperkingen in verband met de communicatie in de markthallen. Arnade, Simons en Howell duidden reeds op</w:t>
      </w:r>
      <w:r w:rsidR="00B47FF3" w:rsidRPr="0096338A">
        <w:t xml:space="preserve"> het belang van prestatie</w:t>
      </w:r>
      <w:r w:rsidRPr="0096338A">
        <w:t xml:space="preserve"> in de stadsruimte</w:t>
      </w:r>
      <w:r w:rsidR="00F9371E" w:rsidRPr="0096338A">
        <w:t>n</w:t>
      </w:r>
      <w:r w:rsidRPr="0096338A">
        <w:t>. Publiek vertoon zou volgens hen een uiting van macht zijn geweest.</w:t>
      </w:r>
      <w:r w:rsidRPr="0096338A">
        <w:rPr>
          <w:rStyle w:val="Voetnootmarkering"/>
        </w:rPr>
        <w:footnoteReference w:id="336"/>
      </w:r>
      <w:r w:rsidRPr="0096338A">
        <w:t xml:space="preserve"> De markthallen waren waarschijnlijk </w:t>
      </w:r>
      <w:r w:rsidR="002F376A" w:rsidRPr="0096338A">
        <w:t xml:space="preserve">inderdaad </w:t>
      </w:r>
      <w:r w:rsidRPr="0096338A">
        <w:t>een plaats van machtsvertoon. Zowel de meershal als het vleeshuis kregen restricties opgelegd met betrekking tot de communicatie die er gebeurde.</w:t>
      </w:r>
    </w:p>
    <w:p w:rsidR="00266F09" w:rsidRPr="0096338A" w:rsidRDefault="00266F09" w:rsidP="00266F09">
      <w:pPr>
        <w:ind w:left="705"/>
        <w:rPr>
          <w:i/>
        </w:rPr>
      </w:pPr>
      <w:r w:rsidRPr="0096338A">
        <w:rPr>
          <w:i/>
        </w:rPr>
        <w:t xml:space="preserve">[…] dat nyemant van den vleeschhuyse op ten anderen int vleeschuys scelden en sal noch vloeken noch qualic toespreken </w:t>
      </w:r>
      <w:r w:rsidR="00D0487B" w:rsidRPr="0096338A">
        <w:rPr>
          <w:i/>
        </w:rPr>
        <w:t>met</w:t>
      </w:r>
      <w:r w:rsidRPr="0096338A">
        <w:rPr>
          <w:i/>
        </w:rPr>
        <w:t xml:space="preserve"> quaden noch met sassemen, noch met ontameliken worden in gheenre manieren.</w:t>
      </w:r>
      <w:r w:rsidRPr="0096338A">
        <w:rPr>
          <w:rStyle w:val="Voetnootmarkering"/>
          <w:i/>
        </w:rPr>
        <w:footnoteReference w:id="337"/>
      </w:r>
    </w:p>
    <w:p w:rsidR="00266F09" w:rsidRPr="0096338A" w:rsidRDefault="00266F09" w:rsidP="00266F09">
      <w:r w:rsidRPr="0096338A">
        <w:t xml:space="preserve">Het belang van reputatie in de middeleeuwse samenleving maakte dat beledigingen en geruchten zeer schadelijk waren. Van Uytven stelde vast dat de vleeshouwers een groepering </w:t>
      </w:r>
      <w:r w:rsidR="002F376A" w:rsidRPr="0096338A">
        <w:t xml:space="preserve">vormden </w:t>
      </w:r>
      <w:r w:rsidRPr="0096338A">
        <w:t>waar dit frequent gebeurde.</w:t>
      </w:r>
      <w:r w:rsidRPr="0096338A">
        <w:rPr>
          <w:rStyle w:val="Voetnootmarkering"/>
        </w:rPr>
        <w:footnoteReference w:id="338"/>
      </w:r>
      <w:r w:rsidRPr="0096338A">
        <w:t xml:space="preserve"> De verklaring bevindt zich echter niet in het louter mannelijke karakter van het ambacht</w:t>
      </w:r>
      <w:r w:rsidR="002F376A" w:rsidRPr="0096338A">
        <w:t>.</w:t>
      </w:r>
      <w:r w:rsidRPr="0096338A">
        <w:t xml:space="preserve"> </w:t>
      </w:r>
      <w:r w:rsidR="002F376A" w:rsidRPr="0096338A">
        <w:t>D</w:t>
      </w:r>
      <w:r w:rsidRPr="0096338A">
        <w:t xml:space="preserve">eze studie toonde namelijk aan dat dit in Leuven niet het geval was. Daarbij komt dat het stadsbestuur een gelijkaardig besluit voor de meershal uitvaardigde, al </w:t>
      </w:r>
      <w:r w:rsidR="00265216" w:rsidRPr="0096338A">
        <w:t>s</w:t>
      </w:r>
      <w:r w:rsidRPr="0096338A">
        <w:t xml:space="preserve">loeg dit slechts </w:t>
      </w:r>
      <w:r w:rsidR="002F376A" w:rsidRPr="0096338A">
        <w:t xml:space="preserve">op bepalingen over </w:t>
      </w:r>
      <w:r w:rsidRPr="0096338A">
        <w:rPr>
          <w:i/>
        </w:rPr>
        <w:t>wynken noch roepen</w:t>
      </w:r>
      <w:r w:rsidRPr="0096338A">
        <w:t xml:space="preserve">, </w:t>
      </w:r>
      <w:r w:rsidR="002F376A" w:rsidRPr="0096338A">
        <w:t xml:space="preserve">om </w:t>
      </w:r>
      <w:r w:rsidRPr="0096338A">
        <w:t xml:space="preserve">de sfeer in de hal dus </w:t>
      </w:r>
      <w:r w:rsidR="002F376A" w:rsidRPr="0096338A">
        <w:t>onder controle te houden</w:t>
      </w:r>
      <w:r w:rsidRPr="0096338A">
        <w:t>.</w:t>
      </w:r>
      <w:r w:rsidRPr="0096338A">
        <w:rPr>
          <w:rStyle w:val="Voetnootmarkering"/>
        </w:rPr>
        <w:footnoteReference w:id="339"/>
      </w:r>
      <w:r w:rsidR="00265216" w:rsidRPr="0096338A">
        <w:t xml:space="preserve"> Ook de bedevaart die Machteliden Poerloecx moest ondernemen na het beledigen van de visverkopers toont de deelname van vrouwen aan mondelinge vernederingen.</w:t>
      </w:r>
      <w:r w:rsidR="00265216" w:rsidRPr="0096338A">
        <w:rPr>
          <w:rStyle w:val="Voetnootmarkering"/>
        </w:rPr>
        <w:footnoteReference w:id="340"/>
      </w:r>
    </w:p>
    <w:p w:rsidR="00266F09" w:rsidRPr="0096338A" w:rsidRDefault="00266F09" w:rsidP="00266F09">
      <w:r w:rsidRPr="0096338A">
        <w:tab/>
        <w:t xml:space="preserve">Opvallend is echter dat de gedragsbepalingen weinig </w:t>
      </w:r>
      <w:r w:rsidR="002F376A" w:rsidRPr="0096338A">
        <w:t xml:space="preserve">gendergericht </w:t>
      </w:r>
      <w:r w:rsidRPr="0096338A">
        <w:t xml:space="preserve">waren. </w:t>
      </w:r>
      <w:r w:rsidR="004270F2" w:rsidRPr="0096338A">
        <w:t xml:space="preserve">Rees </w:t>
      </w:r>
      <w:r w:rsidRPr="0096338A">
        <w:t xml:space="preserve">Jones argumenteert dat het risico op statusverlies vrouwen uit de marktruimte haalde. </w:t>
      </w:r>
      <w:r w:rsidRPr="0096338A">
        <w:rPr>
          <w:lang w:val="en-GB"/>
        </w:rPr>
        <w:t>“Working women, precisely because of their high visibility outside the home, were particularly at risk of being treated as vulgar, morally inferior, and incapable of virtue.”</w:t>
      </w:r>
      <w:r w:rsidRPr="0096338A">
        <w:rPr>
          <w:rStyle w:val="Voetnootmarkering"/>
          <w:lang w:val="en-GB"/>
        </w:rPr>
        <w:footnoteReference w:id="341"/>
      </w:r>
      <w:r w:rsidRPr="0096338A">
        <w:rPr>
          <w:lang w:val="en-GB"/>
        </w:rPr>
        <w:t xml:space="preserve"> </w:t>
      </w:r>
      <w:r w:rsidRPr="0096338A">
        <w:t xml:space="preserve">Ze haalt voorbeelden aan van hoe dit risico directe impact had op de aanwezigheid van vrouwen op de marktplaatsen. </w:t>
      </w:r>
      <w:r w:rsidR="004270F2" w:rsidRPr="0096338A">
        <w:t xml:space="preserve">Rees </w:t>
      </w:r>
      <w:r w:rsidRPr="0096338A">
        <w:t xml:space="preserve">Jones’ onderzoek </w:t>
      </w:r>
      <w:r w:rsidR="007C3085" w:rsidRPr="0096338A">
        <w:t xml:space="preserve">gaat </w:t>
      </w:r>
      <w:r w:rsidRPr="0096338A">
        <w:t xml:space="preserve">echter </w:t>
      </w:r>
      <w:r w:rsidR="007C3085" w:rsidRPr="0096338A">
        <w:t xml:space="preserve">over </w:t>
      </w:r>
      <w:r w:rsidRPr="0096338A">
        <w:t xml:space="preserve">de genderverdeling in de publieke ruimte doorheen </w:t>
      </w:r>
      <w:r w:rsidRPr="0096338A">
        <w:lastRenderedPageBreak/>
        <w:t xml:space="preserve">heel Europa. Door dit brede geografische veld verliest haar </w:t>
      </w:r>
      <w:r w:rsidR="00EB4231" w:rsidRPr="0096338A">
        <w:t>be</w:t>
      </w:r>
      <w:r w:rsidRPr="0096338A">
        <w:t xml:space="preserve">toog kracht en nuance. </w:t>
      </w:r>
      <w:r w:rsidR="00B47FF3" w:rsidRPr="0096338A">
        <w:t>Ze veronderstelt echter zeer correct het belang van reputatie in de marktruimte</w:t>
      </w:r>
      <w:r w:rsidRPr="0096338A">
        <w:t xml:space="preserve">. </w:t>
      </w:r>
      <w:r w:rsidRPr="0096338A">
        <w:rPr>
          <w:lang w:val="en-GB"/>
        </w:rPr>
        <w:t>“The single most pressing earthly concern of every medieval artisan was the establishment of a good personal reputation.”</w:t>
      </w:r>
      <w:r w:rsidRPr="0096338A">
        <w:rPr>
          <w:rStyle w:val="Voetnootmarkering"/>
          <w:lang w:val="en-GB"/>
        </w:rPr>
        <w:footnoteReference w:id="342"/>
      </w:r>
      <w:r w:rsidRPr="0096338A">
        <w:rPr>
          <w:lang w:val="en-GB"/>
        </w:rPr>
        <w:t xml:space="preserve"> </w:t>
      </w:r>
      <w:r w:rsidRPr="0096338A">
        <w:t xml:space="preserve">Het stadsbestuur in </w:t>
      </w:r>
      <w:r w:rsidR="00EB4231" w:rsidRPr="0096338A">
        <w:t xml:space="preserve">het </w:t>
      </w:r>
      <w:r w:rsidRPr="0096338A">
        <w:t>vijftiende-eeuws</w:t>
      </w:r>
      <w:r w:rsidR="00EB4231" w:rsidRPr="0096338A">
        <w:t>e</w:t>
      </w:r>
      <w:r w:rsidRPr="0096338A">
        <w:t xml:space="preserve"> Leuven </w:t>
      </w:r>
      <w:r w:rsidR="00EB4231" w:rsidRPr="0096338A">
        <w:t>bekommerde zich</w:t>
      </w:r>
      <w:r w:rsidR="00265216" w:rsidRPr="0096338A">
        <w:t xml:space="preserve"> bij het vastleggen </w:t>
      </w:r>
      <w:r w:rsidR="00EB4231" w:rsidRPr="0096338A">
        <w:t>van gedragsbepalingen echter niet enkel om</w:t>
      </w:r>
      <w:r w:rsidRPr="0096338A">
        <w:t xml:space="preserve"> de reputatie van vrouwen </w:t>
      </w:r>
      <w:r w:rsidR="00B47FF3" w:rsidRPr="0096338A">
        <w:t>in de markthallen</w:t>
      </w:r>
      <w:r w:rsidR="00EB4231" w:rsidRPr="0096338A">
        <w:t>.</w:t>
      </w:r>
      <w:r w:rsidR="00265216" w:rsidRPr="0096338A">
        <w:t xml:space="preserve"> Een ordonnantie uit 1593</w:t>
      </w:r>
      <w:r w:rsidRPr="0096338A">
        <w:t xml:space="preserve"> toont aan dat zowel mannen als vrouwen dezelfde overtredingen </w:t>
      </w:r>
      <w:r w:rsidR="00265216" w:rsidRPr="0096338A">
        <w:t xml:space="preserve">begingen en maakte geen </w:t>
      </w:r>
      <w:r w:rsidR="00EB4231" w:rsidRPr="0096338A">
        <w:t xml:space="preserve">onderscheid </w:t>
      </w:r>
      <w:r w:rsidRPr="0096338A">
        <w:t>tussen de twee genders.</w:t>
      </w:r>
      <w:r w:rsidRPr="0096338A">
        <w:rPr>
          <w:rStyle w:val="Voetnootmarkering"/>
        </w:rPr>
        <w:footnoteReference w:id="343"/>
      </w:r>
      <w:r w:rsidR="00265216" w:rsidRPr="0096338A">
        <w:t xml:space="preserve"> </w:t>
      </w:r>
      <w:r w:rsidR="00EB4231" w:rsidRPr="0096338A">
        <w:t>Het was zowel de</w:t>
      </w:r>
      <w:r w:rsidR="00265216" w:rsidRPr="0096338A">
        <w:t xml:space="preserve"> </w:t>
      </w:r>
      <w:r w:rsidR="00265216" w:rsidRPr="0096338A">
        <w:rPr>
          <w:i/>
        </w:rPr>
        <w:t xml:space="preserve">vleeshouwers </w:t>
      </w:r>
      <w:r w:rsidR="00265216" w:rsidRPr="0096338A">
        <w:t xml:space="preserve">[als de] </w:t>
      </w:r>
      <w:r w:rsidRPr="0096338A">
        <w:rPr>
          <w:i/>
        </w:rPr>
        <w:t>pensvrouwen</w:t>
      </w:r>
      <w:r w:rsidRPr="0096338A">
        <w:t xml:space="preserve"> </w:t>
      </w:r>
      <w:r w:rsidR="00EB4231" w:rsidRPr="0096338A">
        <w:t xml:space="preserve">in de vijftiende eeuw ongetwijfeld niet toegestaan bepaalde </w:t>
      </w:r>
      <w:r w:rsidRPr="0096338A">
        <w:t xml:space="preserve">overtredingen </w:t>
      </w:r>
      <w:r w:rsidR="00EB4231" w:rsidRPr="0096338A">
        <w:t xml:space="preserve">te </w:t>
      </w:r>
      <w:r w:rsidRPr="0096338A">
        <w:t>begaan.</w:t>
      </w:r>
      <w:r w:rsidR="00D0487B" w:rsidRPr="0096338A">
        <w:rPr>
          <w:rStyle w:val="Voetnootmarkering"/>
        </w:rPr>
        <w:footnoteReference w:id="344"/>
      </w:r>
      <w:r w:rsidRPr="0096338A">
        <w:t xml:space="preserve"> De sociale</w:t>
      </w:r>
      <w:r w:rsidR="0095119F" w:rsidRPr="0096338A">
        <w:t>-ethische</w:t>
      </w:r>
      <w:r w:rsidRPr="0096338A">
        <w:t xml:space="preserve"> invulling van de marktruimte leek dus weinig genderonderscheid te hebben gekend.</w:t>
      </w:r>
    </w:p>
    <w:p w:rsidR="00266F09" w:rsidRPr="0096338A" w:rsidRDefault="00266F09" w:rsidP="00266F09">
      <w:r w:rsidRPr="0096338A">
        <w:tab/>
        <w:t xml:space="preserve">Andere gedragingen die de stadsraad niet tolereerde, hadden nog meer impact op de reputatie. Niet enkel de Kerk </w:t>
      </w:r>
      <w:r w:rsidR="00EB4231" w:rsidRPr="0096338A">
        <w:t xml:space="preserve">vervolgde </w:t>
      </w:r>
      <w:r w:rsidRPr="0096338A">
        <w:t xml:space="preserve">overspel en buitenechtelijk samenwonen, ook de wereldlijke autoriteiten controleerden dit. Binnen de ambachten was het bijvoorbeeld erg belangrijk </w:t>
      </w:r>
      <w:r w:rsidR="00EB4231" w:rsidRPr="0096338A">
        <w:t xml:space="preserve">deze </w:t>
      </w:r>
      <w:r w:rsidR="00F605A7" w:rsidRPr="0096338A">
        <w:t>ondeugden te voorkomen</w:t>
      </w:r>
      <w:r w:rsidRPr="0096338A">
        <w:t>, want het zou de goede naam van het gehele ambacht in</w:t>
      </w:r>
      <w:r w:rsidR="00F605A7" w:rsidRPr="0096338A">
        <w:t xml:space="preserve"> opspraak</w:t>
      </w:r>
      <w:r w:rsidRPr="0096338A">
        <w:t xml:space="preserve"> brengen.</w:t>
      </w:r>
      <w:r w:rsidRPr="0096338A">
        <w:rPr>
          <w:rStyle w:val="Voetnootmarkering"/>
        </w:rPr>
        <w:footnoteReference w:id="345"/>
      </w:r>
      <w:r w:rsidRPr="0096338A">
        <w:t xml:space="preserve"> De straffen die het stadsbestuur </w:t>
      </w:r>
      <w:r w:rsidR="00265216" w:rsidRPr="0096338A">
        <w:t xml:space="preserve">hierover </w:t>
      </w:r>
      <w:r w:rsidRPr="0096338A">
        <w:t>uitsprak</w:t>
      </w:r>
      <w:r w:rsidR="00265216" w:rsidRPr="0096338A">
        <w:t>,</w:t>
      </w:r>
      <w:r w:rsidRPr="0096338A">
        <w:t xml:space="preserve"> waren dan ook niet gering. </w:t>
      </w:r>
    </w:p>
    <w:p w:rsidR="00266F09" w:rsidRPr="0096338A" w:rsidRDefault="00266F09" w:rsidP="00266F09">
      <w:pPr>
        <w:ind w:left="708"/>
      </w:pPr>
      <w:r w:rsidRPr="0096338A">
        <w:rPr>
          <w:i/>
        </w:rPr>
        <w:t xml:space="preserve">Item soe en sal nyemant in de voirs halle staen man die met anderen </w:t>
      </w:r>
      <w:r w:rsidR="00D0487B" w:rsidRPr="0096338A">
        <w:rPr>
          <w:i/>
        </w:rPr>
        <w:t>wiven</w:t>
      </w:r>
      <w:r w:rsidRPr="0096338A">
        <w:rPr>
          <w:i/>
        </w:rPr>
        <w:t xml:space="preserve"> sidt noch wijff met anderen mannen oft in amyscape</w:t>
      </w:r>
      <w:r w:rsidR="00D0487B" w:rsidRPr="0096338A">
        <w:rPr>
          <w:i/>
        </w:rPr>
        <w:t>,</w:t>
      </w:r>
      <w:r w:rsidR="00B47FF3" w:rsidRPr="0096338A">
        <w:rPr>
          <w:i/>
        </w:rPr>
        <w:t xml:space="preserve"> dat es te verstaen in over</w:t>
      </w:r>
      <w:r w:rsidRPr="0096338A">
        <w:rPr>
          <w:i/>
        </w:rPr>
        <w:t>spele</w:t>
      </w:r>
      <w:r w:rsidRPr="0096338A">
        <w:t>.</w:t>
      </w:r>
      <w:r w:rsidRPr="0096338A">
        <w:rPr>
          <w:rStyle w:val="Voetnootmarkering"/>
        </w:rPr>
        <w:footnoteReference w:id="346"/>
      </w:r>
    </w:p>
    <w:p w:rsidR="00266F09" w:rsidRPr="0096338A" w:rsidRDefault="00266F09" w:rsidP="00266F09">
      <w:r w:rsidRPr="0096338A">
        <w:t>Mannen en vrouwen die overspelig waren mochten niet meer verkopen in de meershal. Ongetwijfeld kenden andere marktplaatsen gelijkaardige wetgeving of gebruiken</w:t>
      </w:r>
      <w:r w:rsidR="00265216" w:rsidRPr="0096338A">
        <w:t>. D</w:t>
      </w:r>
      <w:r w:rsidRPr="0096338A">
        <w:t xml:space="preserve">eze </w:t>
      </w:r>
      <w:r w:rsidR="00F605A7" w:rsidRPr="0096338A">
        <w:t xml:space="preserve">bepalingen </w:t>
      </w:r>
      <w:r w:rsidRPr="0096338A">
        <w:t xml:space="preserve">werden </w:t>
      </w:r>
      <w:r w:rsidR="00F605A7" w:rsidRPr="0096338A">
        <w:t xml:space="preserve">echter </w:t>
      </w:r>
      <w:r w:rsidRPr="0096338A">
        <w:t xml:space="preserve">niet neergeschreven in de </w:t>
      </w:r>
      <w:r w:rsidR="00B47FF3" w:rsidRPr="0096338A">
        <w:t xml:space="preserve">Leuvense </w:t>
      </w:r>
      <w:r w:rsidRPr="0096338A">
        <w:t xml:space="preserve">ordonnantieboeken. De ordonnanties </w:t>
      </w:r>
      <w:r w:rsidR="00F605A7" w:rsidRPr="0096338A">
        <w:t>contrasteren wel op</w:t>
      </w:r>
      <w:r w:rsidRPr="0096338A">
        <w:t>vallen</w:t>
      </w:r>
      <w:r w:rsidR="00F605A7" w:rsidRPr="0096338A">
        <w:t>d met</w:t>
      </w:r>
      <w:r w:rsidRPr="0096338A">
        <w:t xml:space="preserve"> de bevindingen in eerder onderzoek. Mariann Naessens stelt dat juridische bronnen in Vlaanderen nauwelijks spraken</w:t>
      </w:r>
      <w:r w:rsidR="00265216" w:rsidRPr="0096338A">
        <w:t xml:space="preserve"> over overspelige vrouwen en </w:t>
      </w:r>
      <w:r w:rsidR="00F605A7" w:rsidRPr="0096338A">
        <w:t>dat eventuele</w:t>
      </w:r>
      <w:r w:rsidR="00265216" w:rsidRPr="0096338A">
        <w:t xml:space="preserve"> </w:t>
      </w:r>
      <w:r w:rsidRPr="0096338A">
        <w:t>vervolging eveneens verschilde</w:t>
      </w:r>
      <w:r w:rsidR="00265216" w:rsidRPr="0096338A">
        <w:t xml:space="preserve"> naargelang gender</w:t>
      </w:r>
      <w:r w:rsidRPr="0096338A">
        <w:t>.</w:t>
      </w:r>
      <w:r w:rsidRPr="0096338A">
        <w:rPr>
          <w:rStyle w:val="Voetnootmarkering"/>
        </w:rPr>
        <w:footnoteReference w:id="347"/>
      </w:r>
      <w:r w:rsidRPr="0096338A">
        <w:t xml:space="preserve"> De ordonnanties spreken echter duidelijk over </w:t>
      </w:r>
      <w:r w:rsidRPr="0096338A">
        <w:rPr>
          <w:i/>
        </w:rPr>
        <w:t>man noch wijff</w:t>
      </w:r>
      <w:r w:rsidRPr="0096338A">
        <w:t xml:space="preserve"> en lijken ook geen verschillende </w:t>
      </w:r>
      <w:r w:rsidRPr="0096338A">
        <w:lastRenderedPageBreak/>
        <w:t>bestraffing te bepleiten. Ook hier ve</w:t>
      </w:r>
      <w:r w:rsidR="0095119F" w:rsidRPr="0096338A">
        <w:t>rtoont de Leuvense situatie dus</w:t>
      </w:r>
      <w:r w:rsidRPr="0096338A">
        <w:t xml:space="preserve"> </w:t>
      </w:r>
      <w:r w:rsidR="00F605A7" w:rsidRPr="0096338A">
        <w:t xml:space="preserve">verschillen </w:t>
      </w:r>
      <w:r w:rsidRPr="0096338A">
        <w:t xml:space="preserve">ten opzichte van </w:t>
      </w:r>
      <w:r w:rsidR="00F605A7" w:rsidRPr="0096338A">
        <w:t xml:space="preserve">gegevens uit </w:t>
      </w:r>
      <w:r w:rsidRPr="0096338A">
        <w:t>eerder onderzoek. Mogelijk</w:t>
      </w:r>
      <w:r w:rsidR="003C6F1B" w:rsidRPr="0096338A">
        <w:t>s</w:t>
      </w:r>
      <w:r w:rsidRPr="0096338A">
        <w:t xml:space="preserve"> gebruikte de stadraad het dubbel taalgebruik slechts om de beslissing duidelijk voor iedereen te laten gelden en het belang ervan te beklemtonen. De consistentie van de subtiele variaties ten opzichte van andere steden doet echter vermoeden dat de marktruimte in Leuven niet zo een groot </w:t>
      </w:r>
      <w:r w:rsidR="001B6EED" w:rsidRPr="0096338A">
        <w:t xml:space="preserve">onderscheid in </w:t>
      </w:r>
      <w:r w:rsidRPr="0096338A">
        <w:t>gender</w:t>
      </w:r>
      <w:r w:rsidR="001B6EED" w:rsidRPr="0096338A">
        <w:t xml:space="preserve"> </w:t>
      </w:r>
      <w:r w:rsidR="00B47FF3" w:rsidRPr="0096338A">
        <w:t>kende</w:t>
      </w:r>
      <w:r w:rsidR="001B6EED" w:rsidRPr="0096338A">
        <w:t xml:space="preserve"> als</w:t>
      </w:r>
      <w:r w:rsidR="002B1F85" w:rsidRPr="0096338A">
        <w:t xml:space="preserve"> de marktruimte in</w:t>
      </w:r>
      <w:r w:rsidR="001B6EED" w:rsidRPr="0096338A">
        <w:t xml:space="preserve"> </w:t>
      </w:r>
      <w:r w:rsidR="00265216" w:rsidRPr="0096338A">
        <w:t xml:space="preserve">eerder onderzochte steden. </w:t>
      </w:r>
      <w:r w:rsidRPr="0096338A">
        <w:t xml:space="preserve">Een laatste </w:t>
      </w:r>
      <w:r w:rsidR="001E2ADC" w:rsidRPr="0096338A">
        <w:t>thema</w:t>
      </w:r>
      <w:r w:rsidRPr="0096338A">
        <w:t xml:space="preserve"> zal de marktruimte rond de markthallen bondig analyseren en trachten een conclusie te trekken uit de bevindingen.</w:t>
      </w:r>
    </w:p>
    <w:p w:rsidR="00266F09" w:rsidRPr="0096338A" w:rsidRDefault="00266F09" w:rsidP="00266F09">
      <w:pPr>
        <w:pStyle w:val="Kop2"/>
      </w:pPr>
      <w:bookmarkStart w:id="24" w:name="_Toc452371455"/>
      <w:r w:rsidRPr="0096338A">
        <w:t>4.4</w:t>
      </w:r>
      <w:r w:rsidR="009C127D" w:rsidRPr="0096338A">
        <w:t xml:space="preserve"> Vrouwen in het geheel van de Leuvense </w:t>
      </w:r>
      <w:r w:rsidRPr="0096338A">
        <w:t>marktruimte</w:t>
      </w:r>
      <w:bookmarkEnd w:id="24"/>
    </w:p>
    <w:p w:rsidR="00266F09" w:rsidRPr="0096338A" w:rsidRDefault="00266F09" w:rsidP="00266F09">
      <w:r w:rsidRPr="0096338A">
        <w:t xml:space="preserve">De middeleeuwse marktruimte was niet </w:t>
      </w:r>
      <w:r w:rsidR="00B932AA" w:rsidRPr="0096338A">
        <w:t>beperkt tot</w:t>
      </w:r>
      <w:r w:rsidRPr="0096338A">
        <w:t xml:space="preserve"> de beschermende omgeving van de prestigieuze markthallen</w:t>
      </w:r>
      <w:r w:rsidR="002B1F85" w:rsidRPr="0096338A">
        <w:t>;</w:t>
      </w:r>
      <w:r w:rsidRPr="0096338A">
        <w:t xml:space="preserve"> ze ontwikkelde zich in het geheel van de stadsruimte. Symes stelt dat de stad weinig </w:t>
      </w:r>
      <w:r w:rsidR="00C65716" w:rsidRPr="0096338A">
        <w:t>onbebouwde</w:t>
      </w:r>
      <w:r w:rsidRPr="0096338A">
        <w:t xml:space="preserve"> plaatsen kenden. De open ruimte</w:t>
      </w:r>
      <w:r w:rsidR="00C65716" w:rsidRPr="0096338A">
        <w:t>n</w:t>
      </w:r>
      <w:r w:rsidRPr="0096338A">
        <w:t xml:space="preserve"> kregen daarenboven een meer politiek</w:t>
      </w:r>
      <w:r w:rsidR="00C65716" w:rsidRPr="0096338A">
        <w:t>e</w:t>
      </w:r>
      <w:r w:rsidRPr="0096338A">
        <w:t xml:space="preserve"> invulling. De markt moest zich, naast de hallen, dus vormen in de straten en stegen tussen de dichte bebouwing.</w:t>
      </w:r>
      <w:r w:rsidRPr="0096338A">
        <w:rPr>
          <w:rStyle w:val="Voetnootmarkering"/>
        </w:rPr>
        <w:footnoteReference w:id="348"/>
      </w:r>
      <w:r w:rsidRPr="0096338A">
        <w:t xml:space="preserve"> Het verdwijnen van de kleinere </w:t>
      </w:r>
      <w:r w:rsidR="00B932AA" w:rsidRPr="0096338A">
        <w:t>‘</w:t>
      </w:r>
      <w:r w:rsidRPr="0096338A">
        <w:t>workshops</w:t>
      </w:r>
      <w:r w:rsidR="00B932AA" w:rsidRPr="0096338A">
        <w:t>’</w:t>
      </w:r>
      <w:r w:rsidRPr="0096338A">
        <w:t xml:space="preserve">, </w:t>
      </w:r>
      <w:r w:rsidR="00C65716" w:rsidRPr="0096338A">
        <w:t xml:space="preserve">wat volgens </w:t>
      </w:r>
      <w:r w:rsidRPr="0096338A">
        <w:t xml:space="preserve">Howell </w:t>
      </w:r>
      <w:r w:rsidR="00C65716" w:rsidRPr="0096338A">
        <w:t>een</w:t>
      </w:r>
      <w:r w:rsidRPr="0096338A">
        <w:t xml:space="preserve"> oorzaak </w:t>
      </w:r>
      <w:r w:rsidR="002B1F85" w:rsidRPr="0096338A">
        <w:t xml:space="preserve">is </w:t>
      </w:r>
      <w:r w:rsidRPr="0096338A">
        <w:t>v</w:t>
      </w:r>
      <w:r w:rsidR="00C65716" w:rsidRPr="0096338A">
        <w:t>oor</w:t>
      </w:r>
      <w:r w:rsidRPr="0096338A">
        <w:t xml:space="preserve"> de </w:t>
      </w:r>
      <w:r w:rsidR="002B1F85" w:rsidRPr="0096338A">
        <w:t>verzwakkende</w:t>
      </w:r>
      <w:r w:rsidR="00C65716" w:rsidRPr="0096338A">
        <w:t xml:space="preserve"> </w:t>
      </w:r>
      <w:r w:rsidRPr="0096338A">
        <w:t>positie van de vrouw in de vijftiende eeuw, was in Leuven</w:t>
      </w:r>
      <w:r w:rsidR="00B932AA" w:rsidRPr="0096338A">
        <w:t xml:space="preserve"> vermoedelijk</w:t>
      </w:r>
      <w:r w:rsidR="002B1F85" w:rsidRPr="0096338A">
        <w:t xml:space="preserve"> ook niet zo drastisch</w:t>
      </w:r>
      <w:r w:rsidRPr="0096338A">
        <w:t>.</w:t>
      </w:r>
      <w:r w:rsidRPr="0096338A">
        <w:rPr>
          <w:rStyle w:val="Voetnootmarkering"/>
        </w:rPr>
        <w:footnoteReference w:id="349"/>
      </w:r>
      <w:r w:rsidRPr="0096338A">
        <w:t xml:space="preserve"> De stadsordonnanties bieden geen bewijs van het bestaan van kleine winkeltjes, maar de straten dienden wel duidelijk als commerciële plaatsen. </w:t>
      </w:r>
      <w:r w:rsidR="002B1F85" w:rsidRPr="0096338A">
        <w:t>Deze paragraaf</w:t>
      </w:r>
      <w:r w:rsidRPr="0096338A">
        <w:t xml:space="preserve"> </w:t>
      </w:r>
      <w:r w:rsidR="0054320F" w:rsidRPr="0096338A">
        <w:t xml:space="preserve">handelt </w:t>
      </w:r>
      <w:r w:rsidRPr="0096338A">
        <w:t xml:space="preserve">ten eerste </w:t>
      </w:r>
      <w:r w:rsidR="0054320F" w:rsidRPr="0096338A">
        <w:t xml:space="preserve">over </w:t>
      </w:r>
      <w:r w:rsidRPr="0096338A">
        <w:t>de plaatsen die de ordonnanties aangeven als marktruimte</w:t>
      </w:r>
      <w:r w:rsidR="0054320F" w:rsidRPr="0096338A">
        <w:t xml:space="preserve"> die</w:t>
      </w:r>
      <w:r w:rsidRPr="0096338A">
        <w:t xml:space="preserve"> </w:t>
      </w:r>
      <w:r w:rsidR="0054320F" w:rsidRPr="0096338A">
        <w:t xml:space="preserve">buiten </w:t>
      </w:r>
      <w:r w:rsidRPr="0096338A">
        <w:t>de streng gereguleerde hallen val</w:t>
      </w:r>
      <w:r w:rsidR="00C65716" w:rsidRPr="0096338A">
        <w:t xml:space="preserve">len. Daarnaast </w:t>
      </w:r>
      <w:r w:rsidR="0054320F" w:rsidRPr="0096338A">
        <w:t>bespreekt deze paragraaf</w:t>
      </w:r>
      <w:r w:rsidRPr="0096338A">
        <w:t xml:space="preserve"> een korte conclusie met betrekking tot gender in de Leuvense marktruimte. Hierbij is het belangrijk te onthouden dat dit onderzoek slechts</w:t>
      </w:r>
      <w:r w:rsidR="0054320F" w:rsidRPr="0096338A">
        <w:t xml:space="preserve"> tot</w:t>
      </w:r>
      <w:r w:rsidRPr="0096338A">
        <w:t xml:space="preserve"> voorzichtige</w:t>
      </w:r>
      <w:r w:rsidR="005D6847" w:rsidRPr="0096338A">
        <w:t xml:space="preserve">, in </w:t>
      </w:r>
      <w:r w:rsidR="0054320F" w:rsidRPr="0096338A">
        <w:t>hypothetische</w:t>
      </w:r>
      <w:r w:rsidR="005D6847" w:rsidRPr="0096338A">
        <w:t xml:space="preserve"> vorm gestelde</w:t>
      </w:r>
      <w:r w:rsidRPr="0096338A">
        <w:t xml:space="preserve"> </w:t>
      </w:r>
      <w:r w:rsidR="0054320F" w:rsidRPr="0096338A">
        <w:t xml:space="preserve">besluiten </w:t>
      </w:r>
      <w:r w:rsidRPr="0096338A">
        <w:t xml:space="preserve">kan </w:t>
      </w:r>
      <w:r w:rsidR="0054320F" w:rsidRPr="0096338A">
        <w:t xml:space="preserve">komen </w:t>
      </w:r>
      <w:r w:rsidRPr="0096338A">
        <w:t xml:space="preserve">door de beperktheid van het bronnenmateriaal. </w:t>
      </w:r>
    </w:p>
    <w:p w:rsidR="00266F09" w:rsidRPr="0096338A" w:rsidRDefault="00266F09" w:rsidP="00266F09">
      <w:pPr>
        <w:ind w:firstLine="708"/>
      </w:pPr>
      <w:r w:rsidRPr="0096338A">
        <w:t xml:space="preserve">De verkoop van goederen ging, zoals eerder gesteld, niet louter door in de markthallen. De ordonnanties wijzen op verschillende plaatsen in uiteenlopende hoeken van de stad, naast het reeds genoemde kerkhof en </w:t>
      </w:r>
      <w:r w:rsidRPr="0096338A">
        <w:rPr>
          <w:i/>
        </w:rPr>
        <w:t>vinsteren</w:t>
      </w:r>
      <w:r w:rsidRPr="0096338A">
        <w:t xml:space="preserve"> waar de vrije markt plaatsvond. Ten eerste </w:t>
      </w:r>
      <w:r w:rsidR="00C65716" w:rsidRPr="0096338A">
        <w:t>verwijst</w:t>
      </w:r>
      <w:r w:rsidRPr="0096338A">
        <w:t xml:space="preserve"> de reeds genoemde ordonnantie in verband met het verkopen van oud vlees </w:t>
      </w:r>
      <w:r w:rsidR="005D6847" w:rsidRPr="0096338A">
        <w:t xml:space="preserve">naar de praktijk van de verkoop </w:t>
      </w:r>
      <w:r w:rsidRPr="0096338A">
        <w:t>in tavernen of direct aan huis.</w:t>
      </w:r>
      <w:r w:rsidRPr="0096338A">
        <w:rPr>
          <w:rStyle w:val="Voetnootmarkering"/>
        </w:rPr>
        <w:footnoteReference w:id="350"/>
      </w:r>
      <w:r w:rsidR="00B932AA" w:rsidRPr="0096338A">
        <w:t xml:space="preserve"> Een</w:t>
      </w:r>
      <w:r w:rsidRPr="0096338A">
        <w:t xml:space="preserve"> ordonnantie die de </w:t>
      </w:r>
      <w:r w:rsidRPr="0096338A">
        <w:lastRenderedPageBreak/>
        <w:t xml:space="preserve">regelgeving in de meershal vastlegt, toont dat buitenkoopmannen eveneens </w:t>
      </w:r>
      <w:r w:rsidR="005D6847" w:rsidRPr="0096338A">
        <w:t xml:space="preserve">goederen verkochten </w:t>
      </w:r>
      <w:r w:rsidRPr="0096338A">
        <w:t>in de herberg of locatie waar ze verbleven. Meer zelfs, de stadsraad stelde dat ze dit moesten doen, behalve wanneer ze door het bestuur een andere plaats kregen toegewezen.</w:t>
      </w:r>
      <w:r w:rsidRPr="0096338A">
        <w:rPr>
          <w:rStyle w:val="Voetnootmarkering"/>
        </w:rPr>
        <w:footnoteReference w:id="351"/>
      </w:r>
      <w:r w:rsidRPr="0096338A">
        <w:t xml:space="preserve"> Dit besluit </w:t>
      </w:r>
      <w:r w:rsidR="003B2452" w:rsidRPr="0096338A">
        <w:t xml:space="preserve">weerspiegelt </w:t>
      </w:r>
      <w:r w:rsidRPr="0096338A">
        <w:t>ongetwijfeld de beschermende houding van het stadsbestuur ten opzichte van het handelswezen</w:t>
      </w:r>
      <w:r w:rsidR="003B2452" w:rsidRPr="0096338A">
        <w:t>; een houding</w:t>
      </w:r>
      <w:r w:rsidRPr="0096338A">
        <w:t xml:space="preserve"> die eveneens ui</w:t>
      </w:r>
      <w:r w:rsidR="00617FB6" w:rsidRPr="0096338A">
        <w:t>t andere ordonnanties naar voor</w:t>
      </w:r>
      <w:r w:rsidRPr="0096338A">
        <w:t xml:space="preserve"> komt. De raad creëerde hierdoor echter een legaal kader voor een supplementaire marktruimte, namelijk die in de herbergen. Hutton stelt dat vrouwen </w:t>
      </w:r>
      <w:r w:rsidR="00C65716" w:rsidRPr="0096338A">
        <w:t>de</w:t>
      </w:r>
      <w:r w:rsidRPr="0096338A">
        <w:t xml:space="preserve"> herbergen eveneens</w:t>
      </w:r>
      <w:r w:rsidR="003B2452" w:rsidRPr="0096338A">
        <w:t xml:space="preserve"> aanwendden voor commerciële activiteiten en dus</w:t>
      </w:r>
      <w:r w:rsidRPr="0096338A">
        <w:t xml:space="preserve"> deel waren van de</w:t>
      </w:r>
      <w:r w:rsidR="003B2452" w:rsidRPr="0096338A">
        <w:t>ze</w:t>
      </w:r>
      <w:r w:rsidRPr="0096338A">
        <w:t xml:space="preserve"> marktruimte. </w:t>
      </w:r>
      <w:r w:rsidRPr="0096338A">
        <w:rPr>
          <w:lang w:val="en-GB"/>
        </w:rPr>
        <w:t>“Having a wife to manage the domestic side of innkeeping was necessary, and by extension, wives of hostellers and brokers could handle sales that took place within the inns.”</w:t>
      </w:r>
      <w:r w:rsidRPr="0096338A">
        <w:rPr>
          <w:rStyle w:val="Voetnootmarkering"/>
          <w:lang w:val="en-GB"/>
        </w:rPr>
        <w:footnoteReference w:id="352"/>
      </w:r>
      <w:r w:rsidR="00B932AA" w:rsidRPr="0096338A">
        <w:rPr>
          <w:lang w:val="en-GB"/>
        </w:rPr>
        <w:t xml:space="preserve"> </w:t>
      </w:r>
      <w:r w:rsidR="00B932AA" w:rsidRPr="0096338A">
        <w:t xml:space="preserve">Vrouwen van vleeshouwers maakten ook deel uit van die marktruimte wanneer zee r vlees gingen verkopen. </w:t>
      </w:r>
      <w:r w:rsidRPr="0096338A">
        <w:t>Verder legitimeerde het stadsbestuur eveneens de verkoop van goederen in de eigen woonplaats. Houders van een kraam in de meershal mochten op dagen dat de hal gesloten was namelijk in hun eigen huis verkopen.</w:t>
      </w:r>
      <w:r w:rsidRPr="0096338A">
        <w:rPr>
          <w:rStyle w:val="Voetnootmarkering"/>
        </w:rPr>
        <w:footnoteReference w:id="353"/>
      </w:r>
      <w:r w:rsidRPr="0096338A">
        <w:t xml:space="preserve"> Naast duidelijk te onderscheiden plekken gebeurde de verkoop ook gewoon in de straten van de stad. De ordonnantie die bepaalt dat visverkopers slechts mochten beginnen met hun verkoop wanneer ze hun kar op de vismarkt hadden leeggehaald, impliceert dat verschillende verkopers reeds elders in de stad hun waar verkochten.</w:t>
      </w:r>
      <w:r w:rsidRPr="0096338A">
        <w:rPr>
          <w:rStyle w:val="Voetnootmarkering"/>
        </w:rPr>
        <w:footnoteReference w:id="354"/>
      </w:r>
      <w:r w:rsidRPr="0096338A">
        <w:t xml:space="preserve"> Opvallend is de identiteit van de verkopers in de straat. </w:t>
      </w:r>
    </w:p>
    <w:p w:rsidR="00266F09" w:rsidRPr="0096338A" w:rsidRDefault="00266F09" w:rsidP="00266F09">
      <w:pPr>
        <w:ind w:left="708"/>
      </w:pPr>
      <w:r w:rsidRPr="0096338A">
        <w:rPr>
          <w:i/>
        </w:rPr>
        <w:t>Jerst dat egheen knape maerte mans oft vrouwe</w:t>
      </w:r>
      <w:r w:rsidR="00D0487B" w:rsidRPr="0096338A">
        <w:rPr>
          <w:i/>
        </w:rPr>
        <w:t>n persoen knecht oft meystien ou</w:t>
      </w:r>
      <w:r w:rsidRPr="0096338A">
        <w:rPr>
          <w:i/>
        </w:rPr>
        <w:t>derscoenen halen roepen coopen oft vercopen en sal achterstraten in de lederhuys oft erghens elder in eningher manneren […].</w:t>
      </w:r>
      <w:r w:rsidRPr="0096338A">
        <w:rPr>
          <w:rStyle w:val="Voetnootmarkering"/>
        </w:rPr>
        <w:footnoteReference w:id="355"/>
      </w:r>
    </w:p>
    <w:p w:rsidR="00266F09" w:rsidRPr="0096338A" w:rsidRDefault="00266F09" w:rsidP="00266F09">
      <w:r w:rsidRPr="0096338A">
        <w:t xml:space="preserve">De gezworenen van het ambacht konden in de markthal verkopen. Hun leerknapen en –meisjes </w:t>
      </w:r>
      <w:r w:rsidR="00B932AA" w:rsidRPr="0096338A">
        <w:t>kregen hier echter niet steeds toestemming voor</w:t>
      </w:r>
      <w:r w:rsidRPr="0096338A">
        <w:t>. Verschillende ordonnanties die de verkoop in de straat verbieden, richten zich specifiek op deze groep</w:t>
      </w:r>
      <w:r w:rsidR="00B932AA" w:rsidRPr="0096338A">
        <w:t xml:space="preserve"> van leerknapen</w:t>
      </w:r>
      <w:r w:rsidRPr="0096338A">
        <w:t xml:space="preserve">. Het ging dus niet enkel om mensen die geen lidmaatschap bij het ambacht hadden, de ambachtslieden verkochten eveneens buiten de besloten markthallen. De verkoop op de straat verliep, hoewel de ordonnanties ze vaak verbood, zowel openbaar als </w:t>
      </w:r>
      <w:r w:rsidRPr="0096338A">
        <w:rPr>
          <w:i/>
        </w:rPr>
        <w:t>heymelic</w:t>
      </w:r>
      <w:r w:rsidRPr="0096338A">
        <w:t>.</w:t>
      </w:r>
      <w:r w:rsidRPr="0096338A">
        <w:rPr>
          <w:rStyle w:val="Voetnootmarkering"/>
        </w:rPr>
        <w:footnoteReference w:id="356"/>
      </w:r>
      <w:r w:rsidRPr="0096338A">
        <w:t xml:space="preserve"> De </w:t>
      </w:r>
      <w:r w:rsidR="00B932AA" w:rsidRPr="0096338A">
        <w:t xml:space="preserve">‘illegale’ </w:t>
      </w:r>
      <w:r w:rsidRPr="0096338A">
        <w:t>vrije markt had dus zijn plaats naast de gereguleerde verkoop in de markthallen. Ondanks</w:t>
      </w:r>
      <w:r w:rsidR="003B2452" w:rsidRPr="0096338A">
        <w:t xml:space="preserve"> </w:t>
      </w:r>
      <w:r w:rsidRPr="0096338A">
        <w:t>pogingen</w:t>
      </w:r>
      <w:r w:rsidR="003B2452" w:rsidRPr="0096338A">
        <w:t xml:space="preserve"> tot </w:t>
      </w:r>
      <w:r w:rsidR="003B2452" w:rsidRPr="0096338A">
        <w:lastRenderedPageBreak/>
        <w:t>regelgeving</w:t>
      </w:r>
      <w:r w:rsidRPr="0096338A">
        <w:t xml:space="preserve"> van</w:t>
      </w:r>
      <w:r w:rsidR="003B2452" w:rsidRPr="0096338A">
        <w:t>wege</w:t>
      </w:r>
      <w:r w:rsidRPr="0096338A">
        <w:t xml:space="preserve"> het stadsbestuur en de gezworenen van de ambachten, kende de marktruimte dus weinig strikte grenzen.</w:t>
      </w:r>
      <w:r w:rsidRPr="0096338A">
        <w:rPr>
          <w:rStyle w:val="Voetnootmarkering"/>
        </w:rPr>
        <w:footnoteReference w:id="357"/>
      </w:r>
      <w:r w:rsidRPr="0096338A">
        <w:t xml:space="preserve"> Zelfs in het vleeshouwersambacht, dat, zoals reeds gesteld, zijn monopolie goed kon bewaken, was extra regulering nodig </w:t>
      </w:r>
      <w:r w:rsidR="003B2452" w:rsidRPr="0096338A">
        <w:t>in een poging</w:t>
      </w:r>
      <w:r w:rsidRPr="0096338A">
        <w:t xml:space="preserve"> de marktruimte ook fysiek te beperken.</w:t>
      </w:r>
    </w:p>
    <w:p w:rsidR="00266F09" w:rsidRPr="0096338A" w:rsidRDefault="00266F09" w:rsidP="00266F09">
      <w:r w:rsidRPr="0096338A">
        <w:tab/>
        <w:t xml:space="preserve">Dit hoofdstuk probeerde het reeds gevoerde onderzoek met betrekking tot het thema van gender en ruimte aan te vullen door een overzicht te bieden van de gevolgen die de marktruimte op genderongelijkheid had en visa versa. Daarbij viel het op dat de Leuvense stadsruimte, hoewel gelijkaardig aan andere steden, steeds </w:t>
      </w:r>
      <w:r w:rsidR="00857179" w:rsidRPr="0096338A">
        <w:t xml:space="preserve">ook </w:t>
      </w:r>
      <w:r w:rsidRPr="0096338A">
        <w:t>verschillen vertoonde. De Gentse lakenhal lijkt bijvoorbeeld een gelijkaardige situatie te vertonen met de Leuvense vleeshal. In d</w:t>
      </w:r>
      <w:r w:rsidR="00857179" w:rsidRPr="0096338A">
        <w:t>i</w:t>
      </w:r>
      <w:r w:rsidRPr="0096338A">
        <w:t>e Vlaamse stad was de vleeshandel echter uitgesloten voor vrouwen, wat een eerste erg belangrijk verschil aantoont. Een vergelijking tussen de ruimtelijke genderindeling van de Leuvense en de Gentse lakenhal is niet</w:t>
      </w:r>
      <w:r w:rsidR="00B932AA" w:rsidRPr="0096338A">
        <w:t xml:space="preserve"> echt</w:t>
      </w:r>
      <w:r w:rsidRPr="0096338A">
        <w:t xml:space="preserve"> mogelijk wegens een bronnentekort. Toch mag er niet getwijfeld worden aan de aanwezigheid van vrouwen in de Leuvense lakennijverheid. De ordonnantie die beslist dat iedereen, </w:t>
      </w:r>
      <w:r w:rsidRPr="0096338A">
        <w:rPr>
          <w:i/>
        </w:rPr>
        <w:t>man oft wijf</w:t>
      </w:r>
      <w:r w:rsidRPr="0096338A">
        <w:t>, na een betaling aan de Gilde</w:t>
      </w:r>
      <w:r w:rsidR="00C65716" w:rsidRPr="0096338A">
        <w:t xml:space="preserve"> lakens mocht verkopen, </w:t>
      </w:r>
      <w:r w:rsidR="00857179" w:rsidRPr="0096338A">
        <w:t xml:space="preserve">bewijst </w:t>
      </w:r>
      <w:r w:rsidRPr="0096338A">
        <w:t>bijvoorbeeld dat vrouwen</w:t>
      </w:r>
      <w:r w:rsidR="00B932AA" w:rsidRPr="0096338A">
        <w:t xml:space="preserve"> eveneens aanwezig waren in die</w:t>
      </w:r>
      <w:r w:rsidRPr="0096338A">
        <w:t xml:space="preserve"> nijverheid.</w:t>
      </w:r>
      <w:r w:rsidRPr="0096338A">
        <w:rPr>
          <w:rStyle w:val="Voetnootmarkering"/>
        </w:rPr>
        <w:footnoteReference w:id="358"/>
      </w:r>
      <w:r w:rsidRPr="0096338A">
        <w:t xml:space="preserve"> Andere verschillen tussen Leuven en andere steden kwamen eveneens aan bod. Regelingen met betrekking tot de gedragingen in de markthallen tonen bijvoorbeeld dat vrouwen in Leuven juridisch meer gelijk </w:t>
      </w:r>
      <w:r w:rsidR="00B932AA" w:rsidRPr="0096338A">
        <w:t>stonden met</w:t>
      </w:r>
      <w:r w:rsidR="00857179" w:rsidRPr="0096338A">
        <w:t xml:space="preserve"> </w:t>
      </w:r>
      <w:r w:rsidRPr="0096338A">
        <w:t xml:space="preserve">mannen, terwijl bijvoorbeeld Naessens een </w:t>
      </w:r>
      <w:r w:rsidR="00857179" w:rsidRPr="0096338A">
        <w:t xml:space="preserve">gendergericht </w:t>
      </w:r>
      <w:r w:rsidRPr="0096338A">
        <w:t>verschil zag in de Gentse rechtspraak.</w:t>
      </w:r>
      <w:r w:rsidR="00D64522" w:rsidRPr="0096338A">
        <w:rPr>
          <w:rStyle w:val="Voetnootmarkering"/>
        </w:rPr>
        <w:footnoteReference w:id="359"/>
      </w:r>
      <w:r w:rsidRPr="0096338A">
        <w:t xml:space="preserve"> Praktijkbronnen moeten echter uitwijzen of de berechting van zedelijke overtredingen in de markthallen </w:t>
      </w:r>
      <w:r w:rsidR="00857179" w:rsidRPr="0096338A">
        <w:t>al dan niet</w:t>
      </w:r>
      <w:r w:rsidR="0095119F" w:rsidRPr="0096338A">
        <w:t xml:space="preserve"> </w:t>
      </w:r>
      <w:r w:rsidRPr="0096338A">
        <w:t xml:space="preserve">gendergebonden was. </w:t>
      </w:r>
    </w:p>
    <w:p w:rsidR="00266F09" w:rsidRPr="0096338A" w:rsidRDefault="00266F09" w:rsidP="00266F09">
      <w:pPr>
        <w:ind w:firstLine="708"/>
      </w:pPr>
      <w:r w:rsidRPr="0096338A">
        <w:t>Hoe dan ook lijkt het dat er</w:t>
      </w:r>
      <w:r w:rsidR="00857179" w:rsidRPr="0096338A">
        <w:t>op dat er</w:t>
      </w:r>
      <w:r w:rsidRPr="0096338A">
        <w:t xml:space="preserve"> wel sprake was van een genderindeling van de marktruimte</w:t>
      </w:r>
      <w:r w:rsidR="00857179" w:rsidRPr="0096338A">
        <w:t>.</w:t>
      </w:r>
      <w:r w:rsidRPr="0096338A">
        <w:t xml:space="preserve"> </w:t>
      </w:r>
      <w:r w:rsidR="00857179" w:rsidRPr="0096338A">
        <w:t>V</w:t>
      </w:r>
      <w:r w:rsidRPr="0096338A">
        <w:t xml:space="preserve">rouwen waren bijvoorbeeld niet aanwezig in de graanhal. De genderindeling gebeurde echter niet zo </w:t>
      </w:r>
      <w:r w:rsidR="00857179" w:rsidRPr="0096338A">
        <w:t xml:space="preserve">strikt </w:t>
      </w:r>
      <w:r w:rsidRPr="0096338A">
        <w:t xml:space="preserve">als in bijvoorbeeld de Italiaanse steden die historici reeds bestudeerden. De situatie in Leuven kan door verschillende factoren beïnvloed zijn geweest. De duidelijk grote schaal van de vrije markt in de stad bemoeilijkte waarschijnlijk een </w:t>
      </w:r>
      <w:r w:rsidR="00857179" w:rsidRPr="0096338A">
        <w:t xml:space="preserve">gerichte </w:t>
      </w:r>
      <w:r w:rsidRPr="0096338A">
        <w:t xml:space="preserve">uitsluiting van vrouwen. Vrouwen konden op deze informele markt makkelijker blijven opereren en het stadsbestuur kon hier minder tegen ondernemen. Het lijkt echter alsof de vrije markt in andere steden net zo omvangrijk was. Howell trekt voor andere steden bijvoorbeeld eveneens de conclusie dat de door ordonnanties afgebakende marktruimte niet de </w:t>
      </w:r>
      <w:r w:rsidRPr="0096338A">
        <w:lastRenderedPageBreak/>
        <w:t xml:space="preserve">enige </w:t>
      </w:r>
      <w:r w:rsidR="00D858E9" w:rsidRPr="0096338A">
        <w:t>marktplaats</w:t>
      </w:r>
      <w:r w:rsidRPr="0096338A">
        <w:t xml:space="preserve"> was.</w:t>
      </w:r>
      <w:r w:rsidRPr="0096338A">
        <w:rPr>
          <w:rStyle w:val="Voetnootmarkering"/>
        </w:rPr>
        <w:footnoteReference w:id="360"/>
      </w:r>
      <w:r w:rsidRPr="0096338A">
        <w:t xml:space="preserve"> Het verschillende karakte</w:t>
      </w:r>
      <w:r w:rsidR="00C65716" w:rsidRPr="0096338A">
        <w:t>r van het meer regionale Leuven en het grotere</w:t>
      </w:r>
      <w:r w:rsidRPr="0096338A">
        <w:t xml:space="preserve"> Gent</w:t>
      </w:r>
      <w:r w:rsidR="00C65716" w:rsidRPr="0096338A">
        <w:t xml:space="preserve"> </w:t>
      </w:r>
      <w:r w:rsidRPr="0096338A">
        <w:t>als stapelmarkt</w:t>
      </w:r>
      <w:r w:rsidR="00C65716" w:rsidRPr="0096338A">
        <w:t xml:space="preserve">, </w:t>
      </w:r>
      <w:r w:rsidRPr="0096338A">
        <w:t xml:space="preserve">biedt een tweede antwoord. Hutton stelt dat de aard van de primerende markthal de positie van vrouwen in de marktruimte </w:t>
      </w:r>
      <w:r w:rsidR="00857179" w:rsidRPr="0096338A">
        <w:t xml:space="preserve">mee </w:t>
      </w:r>
      <w:r w:rsidRPr="0096338A">
        <w:t>bepaalde. De</w:t>
      </w:r>
      <w:r w:rsidR="00E44CE1" w:rsidRPr="0096338A">
        <w:t xml:space="preserve"> Gentse</w:t>
      </w:r>
      <w:r w:rsidRPr="0096338A">
        <w:t xml:space="preserve"> lakenhal</w:t>
      </w:r>
      <w:r w:rsidR="00E44CE1" w:rsidRPr="0096338A">
        <w:t xml:space="preserve"> </w:t>
      </w:r>
      <w:r w:rsidRPr="0096338A">
        <w:t>liet</w:t>
      </w:r>
      <w:r w:rsidR="00E44CE1" w:rsidRPr="0096338A">
        <w:t xml:space="preserve"> volgens haar</w:t>
      </w:r>
      <w:r w:rsidRPr="0096338A">
        <w:t xml:space="preserve"> toe dat vrouwen voorname posities innamen en gaf hen dus veel bewegingsvrijheid. Wanneer de lakenhandel in Gent in crisis kwam en de graanhal een belangrijke functie kreeg in de stadseconomie</w:t>
      </w:r>
      <w:r w:rsidR="00E44CE1" w:rsidRPr="0096338A">
        <w:t>,</w:t>
      </w:r>
      <w:r w:rsidRPr="0096338A">
        <w:t xml:space="preserve"> veranderde ook de positie van vrouwen hierin, aangezien ze </w:t>
      </w:r>
      <w:r w:rsidR="00E44CE1" w:rsidRPr="0096338A">
        <w:t xml:space="preserve">niet </w:t>
      </w:r>
      <w:r w:rsidRPr="0096338A">
        <w:t xml:space="preserve">in de </w:t>
      </w:r>
      <w:r w:rsidR="00E44CE1" w:rsidRPr="0096338A">
        <w:t xml:space="preserve">graanhal </w:t>
      </w:r>
      <w:r w:rsidRPr="0096338A">
        <w:t>toegelaten waren.</w:t>
      </w:r>
      <w:r w:rsidRPr="0096338A">
        <w:rPr>
          <w:rStyle w:val="Voetnootmarkering"/>
        </w:rPr>
        <w:footnoteReference w:id="361"/>
      </w:r>
      <w:r w:rsidRPr="0096338A">
        <w:t xml:space="preserve"> De relatieve vrijheid van vrouwen op de Gentse Vrijdagmarkt, waar een grote diversiteit aan producten te vinden was, </w:t>
      </w:r>
      <w:r w:rsidR="00B4728C" w:rsidRPr="0096338A">
        <w:t xml:space="preserve">ondersteunt </w:t>
      </w:r>
      <w:r w:rsidR="00E44CE1" w:rsidRPr="0096338A">
        <w:t>dit argument</w:t>
      </w:r>
      <w:r w:rsidRPr="0096338A">
        <w:t>.</w:t>
      </w:r>
      <w:r w:rsidRPr="0096338A">
        <w:rPr>
          <w:rStyle w:val="Voetnootmarkering"/>
        </w:rPr>
        <w:footnoteReference w:id="362"/>
      </w:r>
      <w:r w:rsidRPr="0096338A">
        <w:t xml:space="preserve"> </w:t>
      </w:r>
      <w:r w:rsidR="00D858E9" w:rsidRPr="0096338A">
        <w:t>Daar vormde namelijk meer dan één groepering de beslissing met betrekking tot die marktplaats</w:t>
      </w:r>
      <w:r w:rsidRPr="0096338A">
        <w:t>. De Leuvense markt,</w:t>
      </w:r>
      <w:r w:rsidR="00E44CE1" w:rsidRPr="0096338A">
        <w:t xml:space="preserve"> waar niet slechts </w:t>
      </w:r>
      <w:r w:rsidRPr="0096338A">
        <w:t xml:space="preserve">één ambacht </w:t>
      </w:r>
      <w:r w:rsidR="00B4728C" w:rsidRPr="0096338A">
        <w:t>domineerde</w:t>
      </w:r>
      <w:r w:rsidRPr="0096338A">
        <w:t>, kende deze shift in voorname ruimte</w:t>
      </w:r>
      <w:r w:rsidR="00B4728C" w:rsidRPr="0096338A">
        <w:t>n</w:t>
      </w:r>
      <w:r w:rsidRPr="0096338A">
        <w:t xml:space="preserve"> dan ook niet.</w:t>
      </w:r>
      <w:r w:rsidRPr="0096338A">
        <w:rPr>
          <w:rStyle w:val="Voetnootmarkering"/>
        </w:rPr>
        <w:footnoteReference w:id="363"/>
      </w:r>
      <w:r w:rsidRPr="0096338A">
        <w:t xml:space="preserve"> Meer onderzoek naar gelijkaardige steden zou kunnen aantonen of de Leuvense situatie uniek is of niet, </w:t>
      </w:r>
      <w:r w:rsidR="00D858E9" w:rsidRPr="0096338A">
        <w:t>wat die verklaring kan bevestigen of</w:t>
      </w:r>
      <w:r w:rsidRPr="0096338A">
        <w:t xml:space="preserve"> nieuwe verklaringen </w:t>
      </w:r>
      <w:r w:rsidR="00D858E9" w:rsidRPr="0096338A">
        <w:t>kan doen</w:t>
      </w:r>
      <w:r w:rsidRPr="0096338A">
        <w:t xml:space="preserve"> ontstaan. </w:t>
      </w:r>
    </w:p>
    <w:p w:rsidR="003F03BB" w:rsidRPr="0096338A" w:rsidRDefault="003F03BB">
      <w:pPr>
        <w:spacing w:after="200" w:line="276" w:lineRule="auto"/>
        <w:jc w:val="left"/>
        <w:rPr>
          <w:rFonts w:eastAsiaTheme="majorEastAsia" w:cstheme="majorBidi"/>
          <w:b/>
          <w:bCs/>
          <w:sz w:val="28"/>
          <w:szCs w:val="28"/>
          <w:u w:val="single"/>
        </w:rPr>
      </w:pPr>
      <w:r w:rsidRPr="0096338A">
        <w:br w:type="page"/>
      </w:r>
    </w:p>
    <w:p w:rsidR="009765F9" w:rsidRPr="0096338A" w:rsidRDefault="009765F9" w:rsidP="009765F9">
      <w:pPr>
        <w:pStyle w:val="Kop1"/>
      </w:pPr>
      <w:bookmarkStart w:id="25" w:name="_Toc452371456"/>
      <w:bookmarkStart w:id="26" w:name="_Toc450927406"/>
      <w:r w:rsidRPr="0096338A">
        <w:lastRenderedPageBreak/>
        <w:t>Slotbeschouwingen</w:t>
      </w:r>
      <w:bookmarkEnd w:id="25"/>
    </w:p>
    <w:p w:rsidR="009765F9" w:rsidRPr="0096338A" w:rsidRDefault="009765F9" w:rsidP="009765F9">
      <w:r w:rsidRPr="0096338A">
        <w:t xml:space="preserve">Dit onderzoek had als hoofddoel de rol van de vrouw in de Leuvense ambachtenwereld te schetsen om op die manier de </w:t>
      </w:r>
      <w:r w:rsidR="00E8163A">
        <w:t xml:space="preserve">oorzaak van </w:t>
      </w:r>
      <w:r w:rsidRPr="0096338A">
        <w:t>genderindeling</w:t>
      </w:r>
      <w:r w:rsidR="00D66130">
        <w:t>en in die contex</w:t>
      </w:r>
      <w:r w:rsidR="001B35C3">
        <w:t>t</w:t>
      </w:r>
      <w:r w:rsidR="00E8163A">
        <w:t xml:space="preserve"> </w:t>
      </w:r>
      <w:r w:rsidRPr="0096338A">
        <w:t xml:space="preserve">te achterhalen. </w:t>
      </w:r>
      <w:r w:rsidR="00AE092E" w:rsidRPr="0096338A">
        <w:t>H</w:t>
      </w:r>
      <w:r w:rsidRPr="0096338A">
        <w:t>et normatie</w:t>
      </w:r>
      <w:r w:rsidR="00B0293B" w:rsidRPr="0096338A">
        <w:t xml:space="preserve">ve kader van die genderindeling </w:t>
      </w:r>
      <w:r w:rsidR="00AE092E" w:rsidRPr="0096338A">
        <w:t>werd in beeld gebracht aan de hand van een</w:t>
      </w:r>
      <w:r w:rsidRPr="0096338A">
        <w:t xml:space="preserve"> raadpleging van de stadsordonnanties. </w:t>
      </w:r>
      <w:r w:rsidR="00E8163A">
        <w:t>Vrouwen hadden in Leuven een zekere actieradius, zo bleek</w:t>
      </w:r>
      <w:r w:rsidRPr="0096338A">
        <w:t xml:space="preserve">, die vrij breed was in vergelijking met andere steden. </w:t>
      </w:r>
      <w:r w:rsidR="00E8163A">
        <w:t>Ze</w:t>
      </w:r>
      <w:r w:rsidRPr="0096338A">
        <w:t xml:space="preserve"> konden toegang krijgen tot verschillende ambachtsgroepen, die in Leuven een gesloten karakter hadden. </w:t>
      </w:r>
    </w:p>
    <w:p w:rsidR="009765F9" w:rsidRPr="0096338A" w:rsidRDefault="009765F9" w:rsidP="009765F9">
      <w:pPr>
        <w:ind w:firstLine="708"/>
      </w:pPr>
      <w:r w:rsidRPr="0096338A">
        <w:t>Een eerste punt dat in dit onderzoek opvalt, is de aard van de co</w:t>
      </w:r>
      <w:r w:rsidR="00D23F32" w:rsidRPr="0096338A">
        <w:t xml:space="preserve">rporaties waarvan vrouwen deel </w:t>
      </w:r>
      <w:r w:rsidRPr="0096338A">
        <w:t xml:space="preserve">konden uitmaken. Niet alleen waren ze toegelaten in ongeveer de helft van de corporaties – en wel als meer dan louter loonwerksters – het ging ook niet uitsluitend om beroepen van huishoudelijke aard. Vooral de aanwezigheid van vrouwen in het smeden– </w:t>
      </w:r>
      <w:r w:rsidR="001B35C3">
        <w:t>en vleeshouwersambacht valt daar</w:t>
      </w:r>
      <w:r w:rsidRPr="0096338A">
        <w:t>bij op. De twee groeperingen hoorden bij de meest prestigieuze corporaties in de stad en worden door historici bovendien als meer mannelijk van aard geacht door het zware karakter van het werk. Meer zelfs, het vleeshouwersambacht – en de daarbij horende vleeshal – was volgens Shennan Hutton in Gent niet toegankelijk voor vrouwen. Het mag dus verbazen dat uit de Leuvense ordonnanties duidelijk vee</w:t>
      </w:r>
      <w:r w:rsidR="00D23F32" w:rsidRPr="0096338A">
        <w:t>lvuldig vrouwelijk lidmaatschap</w:t>
      </w:r>
      <w:r w:rsidRPr="0096338A">
        <w:t xml:space="preserve"> blijkt. Slechts het barbiersambacht en de tassenmakers verbieden vrouwelijk lidmaatschap. De barbiers maken hierbij een uitzondering voor weduwen, de tassenmakers niet, maar het lijkt dat dit v</w:t>
      </w:r>
      <w:r w:rsidR="00E8163A">
        <w:t>erbod niet steeds bleef bestaan</w:t>
      </w:r>
      <w:r w:rsidRPr="0096338A">
        <w:t xml:space="preserve">. </w:t>
      </w:r>
      <w:r w:rsidR="00E8163A">
        <w:t>Daarenboven voerden vrouwen het beroep duidelijk nog uit op de informele markt.</w:t>
      </w:r>
    </w:p>
    <w:p w:rsidR="009765F9" w:rsidRPr="0096338A" w:rsidRDefault="009765F9" w:rsidP="009765F9">
      <w:r w:rsidRPr="0096338A">
        <w:tab/>
        <w:t xml:space="preserve">Een tweede waarneming is de familiale status van de vrouwen in de groeperingen, voor zover de normatieve bronnen het </w:t>
      </w:r>
      <w:r w:rsidR="00D23F32" w:rsidRPr="0096338A">
        <w:t>toelaten hiervan een vast kader</w:t>
      </w:r>
      <w:r w:rsidRPr="0096338A">
        <w:t xml:space="preserve"> te schetsen. Hoewel de weduwen in Leuven net als in andere steden waarschijnlijk de posities met de hoogste status</w:t>
      </w:r>
      <w:r w:rsidR="00A83CBE">
        <w:t>sen</w:t>
      </w:r>
      <w:r w:rsidRPr="0096338A">
        <w:t xml:space="preserve"> konden innemen, was er ook plaats voor </w:t>
      </w:r>
      <w:r w:rsidR="001B35C3">
        <w:t>vrouwen, onafhankelijk van hun huwelijksstatus</w:t>
      </w:r>
      <w:r w:rsidRPr="0096338A">
        <w:t>. Wat opvalt</w:t>
      </w:r>
      <w:r w:rsidR="001B35C3">
        <w:t>,</w:t>
      </w:r>
      <w:r w:rsidRPr="0096338A">
        <w:t xml:space="preserve"> is dat </w:t>
      </w:r>
      <w:r w:rsidR="00A83CBE">
        <w:t xml:space="preserve">in </w:t>
      </w:r>
      <w:r w:rsidRPr="0096338A">
        <w:t xml:space="preserve">de regelingen over het </w:t>
      </w:r>
      <w:r w:rsidRPr="0096338A">
        <w:rPr>
          <w:i/>
        </w:rPr>
        <w:t xml:space="preserve">goetdoen </w:t>
      </w:r>
      <w:r w:rsidRPr="0096338A">
        <w:t xml:space="preserve">ongetrouwde vrouwen </w:t>
      </w:r>
      <w:r w:rsidR="00A83CBE">
        <w:t xml:space="preserve">op </w:t>
      </w:r>
      <w:r w:rsidR="001B35C3">
        <w:t>gelijke</w:t>
      </w:r>
      <w:r w:rsidR="00A83CBE">
        <w:t xml:space="preserve"> hoogte staan als mannen. </w:t>
      </w:r>
      <w:r w:rsidR="00E8163A">
        <w:t>Alleenstaande</w:t>
      </w:r>
      <w:r w:rsidR="00A83CBE">
        <w:t xml:space="preserve"> v</w:t>
      </w:r>
      <w:r w:rsidRPr="0096338A">
        <w:t xml:space="preserve">rouwen konden rekenen op </w:t>
      </w:r>
      <w:r w:rsidR="00E8163A">
        <w:t>dezelfde financiële steun</w:t>
      </w:r>
      <w:r w:rsidR="00D23F32" w:rsidRPr="0096338A">
        <w:t xml:space="preserve"> als</w:t>
      </w:r>
      <w:r w:rsidRPr="0096338A">
        <w:t xml:space="preserve"> mannelijke gezellen. De verklaring dat vrouwen door de afwezigheid van een politieke functie binnen het ambacht mi</w:t>
      </w:r>
      <w:r w:rsidR="00D23F32" w:rsidRPr="0096338A">
        <w:t xml:space="preserve">nder </w:t>
      </w:r>
      <w:r w:rsidR="001B35C3">
        <w:t>ambachts</w:t>
      </w:r>
      <w:r w:rsidR="00D23F32" w:rsidRPr="0096338A">
        <w:t>geld moesten betalen en</w:t>
      </w:r>
      <w:r w:rsidRPr="0096338A">
        <w:t xml:space="preserve"> minder bijstand ontvingen</w:t>
      </w:r>
      <w:r w:rsidR="001B35C3">
        <w:t>,</w:t>
      </w:r>
      <w:r w:rsidRPr="0096338A">
        <w:t xml:space="preserve"> heeft dus nuancering nodig. Een logische uitleg voor de relatief grote bewegingsvrijheid van de vrouw ligt in het bestaan van de </w:t>
      </w:r>
      <w:r w:rsidR="008827C9" w:rsidRPr="0096338A">
        <w:t>‘</w:t>
      </w:r>
      <w:r w:rsidRPr="0096338A">
        <w:t>family production unit</w:t>
      </w:r>
      <w:r w:rsidR="008827C9" w:rsidRPr="0096338A">
        <w:t>’</w:t>
      </w:r>
      <w:r w:rsidRPr="0096338A">
        <w:rPr>
          <w:i/>
        </w:rPr>
        <w:t xml:space="preserve"> </w:t>
      </w:r>
      <w:r w:rsidRPr="0096338A">
        <w:t xml:space="preserve">in het Leuvense stadsleven. Een getrouwde vrouw ontving slechts de helft van de bijstand, </w:t>
      </w:r>
      <w:r w:rsidR="00A83CBE">
        <w:t>aangezien</w:t>
      </w:r>
      <w:r w:rsidRPr="0096338A">
        <w:t xml:space="preserve"> ze niet volledig onafhankelijk van haar m</w:t>
      </w:r>
      <w:r w:rsidR="00D23F32" w:rsidRPr="0096338A">
        <w:t xml:space="preserve">an werkte. Nochtans zijn er in </w:t>
      </w:r>
      <w:r w:rsidRPr="0096338A">
        <w:t xml:space="preserve">dit onderzoek ook voorbeelden van getrouwde vrouwen die wel degelijk zelfstandig leken te </w:t>
      </w:r>
      <w:r w:rsidRPr="0096338A">
        <w:lastRenderedPageBreak/>
        <w:t>ondernemen. Vrouwen konden, zoals een beslissing over de vleeshouwers aanduidt, in een ander ambacht dan hun man werken. Het conflict waarin Machteld Van Wynge naar voor komt als lid van het vleeshouwersambacht, toont ook aan dat ze, toen ze</w:t>
      </w:r>
      <w:r w:rsidR="00A83CBE">
        <w:t xml:space="preserve"> hertrouwde met een vleeshouwer</w:t>
      </w:r>
      <w:r w:rsidR="001B35C3">
        <w:t>,</w:t>
      </w:r>
      <w:r w:rsidR="00A83CBE">
        <w:t xml:space="preserve"> haar ondernemingsvrijheid behield</w:t>
      </w:r>
      <w:r w:rsidRPr="0096338A">
        <w:t>.</w:t>
      </w:r>
    </w:p>
    <w:p w:rsidR="009765F9" w:rsidRPr="0096338A" w:rsidRDefault="009765F9" w:rsidP="009765F9">
      <w:r w:rsidRPr="0096338A">
        <w:tab/>
        <w:t>Naast de ruime toegang voor vrouwen tot de corporaties, bestond er in Leuven ook een uitgebreide informele mark</w:t>
      </w:r>
      <w:r w:rsidR="00D23F32" w:rsidRPr="0096338A">
        <w:t>t waarin ze een belangrijke rol</w:t>
      </w:r>
      <w:r w:rsidRPr="0096338A">
        <w:t xml:space="preserve"> speelden. Voornamelijk op de vismarkt kende de aanwezigheid van de informele markt een opvallende genderindeling. Ho</w:t>
      </w:r>
      <w:r w:rsidR="001B35C3">
        <w:t>ewel vrouwen eveneens binnen da</w:t>
      </w:r>
      <w:r w:rsidR="00E8163A">
        <w:t>t</w:t>
      </w:r>
      <w:r w:rsidRPr="0096338A">
        <w:t xml:space="preserve"> ambacht konden werken, waren ze vooral actief op de markt erbuiten. Zowel de schaarse praktijkbronnen in de ordonnantieboeken als de vonnissen uit de meiersrekening tonen aan dat de vrouwen op de informele markt er bovendien voor ijverden hun positie hierin te behouden. </w:t>
      </w:r>
      <w:r w:rsidR="00E8163A">
        <w:t>O</w:t>
      </w:r>
      <w:r w:rsidRPr="0096338A">
        <w:t xml:space="preserve">ok andere ambachten, zij het voornamelijk met minder prestige, kenden een </w:t>
      </w:r>
      <w:r w:rsidR="00A83CBE">
        <w:t>tegenhanger</w:t>
      </w:r>
      <w:r w:rsidRPr="0096338A">
        <w:t xml:space="preserve"> op de vrije markt waar vrouwen sterk actief waren. De stad voerde daarenboven een gedoogbeleid tegenover dit werken buiten het ambacht. Verschillende ordonnanties eisen een boete voor de verkoop buiten de corporatie, maar de vrouwen op de informele mark</w:t>
      </w:r>
      <w:r w:rsidR="00D23F32" w:rsidRPr="0096338A">
        <w:t xml:space="preserve">t hadden veel mogelijkheden om </w:t>
      </w:r>
      <w:r w:rsidRPr="0096338A">
        <w:t xml:space="preserve">hun activiteit alsnog uit te oefenen. Onder andere de vrije marktdag en de verkoop aan het kerkhof liet hen toe hun koopwaar op de markt aan te bieden. </w:t>
      </w:r>
      <w:r w:rsidR="00E8163A">
        <w:t xml:space="preserve">Dit onderzoek kon door het beperkte bronnenbestand slechts kort ingaan op de vrouw in de informele marktruimte. Nochtans zijn de bevindingen niet onbelangrijk, aangezien ze kunnen verklaren waarom eerder onderzoek de positie van de vrouw zo laag inschatte. Door louter te focussen op de formele economische instituties in de laatmiddeleeuwse stad ontsnapt een wezenlijk deel van de economische activiteiten van vrouwen aan de kritische analyse van historici. </w:t>
      </w:r>
    </w:p>
    <w:p w:rsidR="009765F9" w:rsidRPr="0096338A" w:rsidRDefault="00E8163A" w:rsidP="009765F9">
      <w:pPr>
        <w:ind w:firstLine="708"/>
      </w:pPr>
      <w:r>
        <w:t>Een</w:t>
      </w:r>
      <w:r w:rsidR="009765F9" w:rsidRPr="0096338A">
        <w:t xml:space="preserve"> controlemiddel </w:t>
      </w:r>
      <w:r>
        <w:t xml:space="preserve">van het stadsbestuur </w:t>
      </w:r>
      <w:r w:rsidR="009765F9" w:rsidRPr="0096338A">
        <w:t>voor de informele markt was het verplichte lidmaatschap bij het ambacht. Hoewel de positie die de vro</w:t>
      </w:r>
      <w:r w:rsidR="00D23F32" w:rsidRPr="0096338A">
        <w:t>uwen in die corporaties innamen moeilijk in te schatten</w:t>
      </w:r>
      <w:r w:rsidR="009765F9" w:rsidRPr="0096338A">
        <w:t xml:space="preserve"> is, hadden vrouwen in de vijftiende eeuw duidelijk nog uitgebreid toegang tot de ambach</w:t>
      </w:r>
      <w:r w:rsidR="00D23F32" w:rsidRPr="0096338A">
        <w:t>ten. Dit onderzoek resulteerde</w:t>
      </w:r>
      <w:r w:rsidR="009765F9" w:rsidRPr="0096338A">
        <w:t xml:space="preserve"> </w:t>
      </w:r>
      <w:r w:rsidR="001B35C3">
        <w:t xml:space="preserve">daarnaast dus </w:t>
      </w:r>
      <w:r w:rsidR="009765F9" w:rsidRPr="0096338A">
        <w:t xml:space="preserve">in argumenten voor een hertekening van de </w:t>
      </w:r>
      <w:r>
        <w:t>‘</w:t>
      </w:r>
      <w:r w:rsidR="009765F9" w:rsidRPr="00E8163A">
        <w:t>decline-thesis</w:t>
      </w:r>
      <w:r>
        <w:t>’</w:t>
      </w:r>
      <w:r w:rsidR="009765F9" w:rsidRPr="0096338A">
        <w:t xml:space="preserve">, die onder andere Shennan Hutton en Martha Howell onderlijnen. Toegang voor vrouwen tot het economische stadsleven werd in beperkt opzicht belemmerd doorheen de vijftiende eeuw, maar er valt zeker niet te spreken over een drastische afname van vrouwelijk lidmaatschap. De afwezigheid van oudere bronnen in Leuven maakt dat </w:t>
      </w:r>
      <w:r>
        <w:t xml:space="preserve">de ordonnantieboeken de hypothese over de geringe verandering in die stad niet onweerlegbaar kunnen onderschrijven, </w:t>
      </w:r>
      <w:r w:rsidR="009765F9" w:rsidRPr="0096338A">
        <w:t xml:space="preserve">maar het is een interessante denkpiste die zeker verdere studie rechtvaardigt. In ieder geval doet het normatieve kader veronderstellen dat </w:t>
      </w:r>
      <w:r w:rsidR="009765F9" w:rsidRPr="0096338A">
        <w:lastRenderedPageBreak/>
        <w:t>vrouwen in Leuven, zelfs in de vijftiende eeuw, weinig restricties kenden, eenmaal ze lid waren van de ambachten.</w:t>
      </w:r>
    </w:p>
    <w:p w:rsidR="009765F9" w:rsidRDefault="009765F9" w:rsidP="009765F9">
      <w:pPr>
        <w:ind w:firstLine="708"/>
      </w:pPr>
      <w:r w:rsidRPr="0096338A">
        <w:t>Een laatste hoofdstuk van deze scriptie concentreerde zich op de aanwezigheid van vrouwen in de Leuvense laatmiddeleeuwse marktruimte. Hoewel het bronnenbestand niet toeliet dit onderwerp uitgebreid te bestuderen, leek de beperkte analyse van de marktruimte weerom te wijzen op de handelingsvrijheid van de vrouw in Leuven. Ze was aanwezig in de meeste markthallen, waarbij de graanhal een uitzondering vormde. In de ordonnanties over ethische regelingen binnen de hallen werd ze op dezelfde manier berecht als mannelijke verkopers. Haar aanwezigheid in de vleeshal was, zoals reeds gesteld, zeer opmerkelijk gezien het grote verschil met de Gentse tegenhanger. In die hal heerste wel het reglement dat ze achter haar bank moest blijven, maar er waren eveneens uitzonderingen op deze regeling. Bovendien vormde, zoals Hutton reeds stelde, de verkoopkraam van vrouwen mogelijks een brug tussen de twee genders, aangezien mannen hun vlees hier konden stokkeren. De stadsordonnanties leveren hiervoor he</w:t>
      </w:r>
      <w:r w:rsidR="00DD1A5A">
        <w:t>laas geen onbetwistbaar bewijs.</w:t>
      </w:r>
    </w:p>
    <w:p w:rsidR="00DD1A5A" w:rsidRPr="0096338A" w:rsidRDefault="00DD1A5A" w:rsidP="009765F9">
      <w:pPr>
        <w:ind w:firstLine="708"/>
      </w:pPr>
      <w:r>
        <w:t>Deze scriptie stipte dus enkele opmerkelijke bevindingen aan over de positie die vrouwen in de Leuvense ambachtenwereld konden innemen. Een vaste verklaring voor de vrijheid die ze hadden en de elementen van belemmering die alsnog speelden werd echter niet gevonden. De hypothese blijft dat de groepering van beroepen in ambachten hierin me</w:t>
      </w:r>
      <w:r w:rsidR="001965EE">
        <w:t>espeelde. De wens tot controle z</w:t>
      </w:r>
      <w:r>
        <w:t>orgde in ieder geval voor pogingen tot belemmering van de info</w:t>
      </w:r>
      <w:r w:rsidR="001965EE">
        <w:t>rmele markt, die voor vrouwen</w:t>
      </w:r>
      <w:r>
        <w:t xml:space="preserve"> veel mogelijkheden bracht. Een vaste verklaring en een nuancering van de ‘decline-thesis’ zouden een gewens</w:t>
      </w:r>
      <w:r w:rsidR="001965EE">
        <w:t>t vervolg zijn op dit onderzoek waarbij een groter bronnenbestand</w:t>
      </w:r>
      <w:r>
        <w:t xml:space="preserve"> meer antwoorden</w:t>
      </w:r>
      <w:r w:rsidR="001965EE">
        <w:t xml:space="preserve"> kan bieden. Daarbij</w:t>
      </w:r>
      <w:r>
        <w:t xml:space="preserve"> is het niet enkel belangrijk de situatie in verschillende steden te vergelijken, er is eveneens meer vergelijking nodig tussen onder andere de vrouwen hun familiale statussen, hun leeftijd en de chronologische situering van de bronnen. Hoewel de stadsordonnanties zeker een degelijk begin voor dit onderzoek vormden, is er dus nood aan een verbreding door middel van juridische praktijkbronnen en kwantificeerbaar materiaal, zoals bijvoorbeeld ledenlijsten van de ambachten.</w:t>
      </w:r>
    </w:p>
    <w:p w:rsidR="00C039CC" w:rsidRPr="0096338A" w:rsidRDefault="009765F9" w:rsidP="009765F9">
      <w:pPr>
        <w:ind w:firstLine="708"/>
      </w:pPr>
      <w:r w:rsidRPr="0096338A">
        <w:t xml:space="preserve">De minder strikte genderindeling van de Leuvense marktruimte nodigt </w:t>
      </w:r>
      <w:r w:rsidR="00DD1A5A">
        <w:t xml:space="preserve">dus </w:t>
      </w:r>
      <w:r w:rsidR="001965EE">
        <w:t>uit tot diepgaander</w:t>
      </w:r>
      <w:r w:rsidRPr="0096338A">
        <w:t xml:space="preserve"> en meer onderzoek naar dit thema. De significante verschillen tussen de Leuvense en Gentse situatie doen namelijk vermoeden dat de genderregel</w:t>
      </w:r>
      <w:r w:rsidR="00D23F32" w:rsidRPr="0096338A">
        <w:t>ingen in de Nederlanden niet zo</w:t>
      </w:r>
      <w:r w:rsidRPr="0096338A">
        <w:t xml:space="preserve"> eenvormig waren als steeds beschreven. Een ander thema dat zeker meer onderzoek behoeft, is de politieke functie van vrouwen binnen de ambachten. Dit onderzoek </w:t>
      </w:r>
      <w:r w:rsidRPr="0096338A">
        <w:lastRenderedPageBreak/>
        <w:t xml:space="preserve">droeg verschillende keren aan dat de politieke onmondigheid van vrouwen binnen de corporaties te betwisten valt. Als vrouwen inderdaad politiek mondiger </w:t>
      </w:r>
      <w:r w:rsidR="001965EE">
        <w:t>waren</w:t>
      </w:r>
      <w:r w:rsidRPr="0096338A">
        <w:t xml:space="preserve"> dan steeds wordt vermoed, kan dit gegeven het genderonderzoek een nieuwe wending geven. Het bronnente</w:t>
      </w:r>
      <w:r w:rsidR="00DD1A5A">
        <w:t>kort in Leuven vraagt echter om een bredere analyse</w:t>
      </w:r>
      <w:r w:rsidRPr="0096338A">
        <w:t>, om op die manier tot duidelijker omschreven resultaten te komen. Hoe dan ook opent deze studie de vraag naar meer onderzoek over de gewone ambachtsman … en vrouw.</w:t>
      </w:r>
    </w:p>
    <w:p w:rsidR="00DD1A5A" w:rsidRDefault="00DD1A5A" w:rsidP="00DD1A5A">
      <w:pPr>
        <w:rPr>
          <w:rFonts w:eastAsiaTheme="majorEastAsia" w:cstheme="majorBidi"/>
          <w:b/>
          <w:bCs/>
          <w:sz w:val="28"/>
          <w:szCs w:val="28"/>
          <w:u w:val="single"/>
        </w:rPr>
      </w:pPr>
      <w:r>
        <w:br w:type="page"/>
      </w:r>
    </w:p>
    <w:p w:rsidR="00A11879" w:rsidRPr="0096338A" w:rsidRDefault="00A11879" w:rsidP="00D87969">
      <w:pPr>
        <w:pStyle w:val="Kop1"/>
        <w:spacing w:line="240" w:lineRule="auto"/>
      </w:pPr>
      <w:bookmarkStart w:id="27" w:name="_Toc452371457"/>
      <w:r w:rsidRPr="0096338A">
        <w:lastRenderedPageBreak/>
        <w:t>Bibliografie</w:t>
      </w:r>
      <w:bookmarkEnd w:id="26"/>
      <w:bookmarkEnd w:id="27"/>
    </w:p>
    <w:p w:rsidR="00A11879" w:rsidRPr="0096338A" w:rsidRDefault="00A11879" w:rsidP="00A11879">
      <w:pPr>
        <w:pStyle w:val="Kop2"/>
      </w:pPr>
      <w:bookmarkStart w:id="28" w:name="_Toc450927407"/>
      <w:bookmarkStart w:id="29" w:name="_Toc452371458"/>
      <w:r w:rsidRPr="0096338A">
        <w:t>Bronnen</w:t>
      </w:r>
      <w:bookmarkEnd w:id="28"/>
      <w:bookmarkEnd w:id="29"/>
    </w:p>
    <w:p w:rsidR="00A11879" w:rsidRPr="0096338A" w:rsidRDefault="00A11879" w:rsidP="00A11879">
      <w:r w:rsidRPr="0096338A">
        <w:t xml:space="preserve">BRUSSEL, Algemeen Rijksarchief, </w:t>
      </w:r>
      <w:r w:rsidRPr="0096338A">
        <w:rPr>
          <w:i/>
        </w:rPr>
        <w:t>Fonds van de Rekenkamer</w:t>
      </w:r>
      <w:r w:rsidRPr="0096338A">
        <w:t>, nr. 12654, fol. 344v, 1422 – 1423.</w:t>
      </w:r>
    </w:p>
    <w:p w:rsidR="009019FF" w:rsidRPr="0096338A" w:rsidRDefault="009019FF" w:rsidP="00A11879">
      <w:r w:rsidRPr="0096338A">
        <w:t xml:space="preserve">BRUSSEL, Algemeen Rijksarchief, </w:t>
      </w:r>
      <w:r w:rsidRPr="0096338A">
        <w:rPr>
          <w:i/>
        </w:rPr>
        <w:t>Fonds van de Rekenkamer</w:t>
      </w:r>
      <w:r w:rsidRPr="0096338A">
        <w:t>, nr. 12654, fol. 492v, 1427.</w:t>
      </w:r>
    </w:p>
    <w:p w:rsidR="00A11879" w:rsidRPr="0096338A" w:rsidRDefault="00A11879" w:rsidP="00A11879">
      <w:r w:rsidRPr="0096338A">
        <w:t xml:space="preserve">LEUVEN, Stadsarchief, </w:t>
      </w:r>
      <w:r w:rsidRPr="0096338A">
        <w:rPr>
          <w:i/>
        </w:rPr>
        <w:t>‘t Groot Gemeynboeck B</w:t>
      </w:r>
      <w:r w:rsidRPr="0096338A">
        <w:t>, nr. 1523, fol. 53r – 53v.</w:t>
      </w:r>
    </w:p>
    <w:p w:rsidR="00A11879" w:rsidRPr="0096338A" w:rsidRDefault="00A11879" w:rsidP="00A11879">
      <w:r w:rsidRPr="0096338A">
        <w:t xml:space="preserve">LEUVEN, Stadsarchief, </w:t>
      </w:r>
      <w:r w:rsidRPr="0096338A">
        <w:rPr>
          <w:i/>
        </w:rPr>
        <w:t>‘t Groot Gemeynboeck B</w:t>
      </w:r>
      <w:r w:rsidRPr="0096338A">
        <w:t>, nr. 1523, fol. 61r, 10 januari 1424.</w:t>
      </w:r>
    </w:p>
    <w:p w:rsidR="00A11879" w:rsidRPr="0096338A" w:rsidRDefault="00A11879" w:rsidP="00A11879">
      <w:r w:rsidRPr="0096338A">
        <w:t xml:space="preserve">LEUVEN, Stadsarchief, </w:t>
      </w:r>
      <w:r w:rsidRPr="0096338A">
        <w:rPr>
          <w:i/>
        </w:rPr>
        <w:t>‘t Groot Gemeynboeck B</w:t>
      </w:r>
      <w:r w:rsidRPr="0096338A">
        <w:t>, nr. 1523, fol. 63v – 65r, 29 november 1416.</w:t>
      </w:r>
    </w:p>
    <w:p w:rsidR="00A11879" w:rsidRPr="0096338A" w:rsidRDefault="00A11879" w:rsidP="00A11879">
      <w:r w:rsidRPr="0096338A">
        <w:t xml:space="preserve">LEUVEN, Stadsarchief, </w:t>
      </w:r>
      <w:r w:rsidRPr="0096338A">
        <w:rPr>
          <w:i/>
        </w:rPr>
        <w:t>‘t Groot Gemeynboeck B</w:t>
      </w:r>
      <w:r w:rsidRPr="0096338A">
        <w:t>, nr. 1523, fol. 67v – 68v, 9 september 1420.</w:t>
      </w:r>
    </w:p>
    <w:p w:rsidR="00A11879" w:rsidRPr="0096338A" w:rsidRDefault="00A11879" w:rsidP="00A11879">
      <w:r w:rsidRPr="0096338A">
        <w:t xml:space="preserve">LEUVEN, Stadsarchief, </w:t>
      </w:r>
      <w:r w:rsidRPr="0096338A">
        <w:rPr>
          <w:i/>
        </w:rPr>
        <w:t>‘t Groot Gemeynboeck B</w:t>
      </w:r>
      <w:r w:rsidRPr="0096338A">
        <w:t>, nr. 1523, fol. 69r – 69v, 20 september 1426.</w:t>
      </w:r>
    </w:p>
    <w:p w:rsidR="00A11879" w:rsidRPr="0096338A" w:rsidRDefault="00A11879" w:rsidP="00A11879">
      <w:r w:rsidRPr="0096338A">
        <w:t xml:space="preserve">LEUVEN, Stadsarchief, </w:t>
      </w:r>
      <w:r w:rsidRPr="0096338A">
        <w:rPr>
          <w:i/>
        </w:rPr>
        <w:t>‘t Groot Gemeynboeck B</w:t>
      </w:r>
      <w:r w:rsidRPr="0096338A">
        <w:t>, nr. 1523, fol. 70v – 71v, 30 augustus 1461.</w:t>
      </w:r>
    </w:p>
    <w:p w:rsidR="00A11879" w:rsidRPr="0096338A" w:rsidRDefault="00A11879" w:rsidP="00A11879">
      <w:r w:rsidRPr="0096338A">
        <w:t xml:space="preserve">LEUVEN, Stadsarchief, </w:t>
      </w:r>
      <w:r w:rsidRPr="0096338A">
        <w:rPr>
          <w:i/>
        </w:rPr>
        <w:t>‘t Groot Gemeynboeck B</w:t>
      </w:r>
      <w:r w:rsidRPr="0096338A">
        <w:t>, nr. 1523, fol. 72r, 22 juni 1470.</w:t>
      </w:r>
    </w:p>
    <w:p w:rsidR="00A11879" w:rsidRPr="0096338A" w:rsidRDefault="00A11879" w:rsidP="00A11879">
      <w:r w:rsidRPr="0096338A">
        <w:t xml:space="preserve">LEUVEN, Stadsarchief, </w:t>
      </w:r>
      <w:r w:rsidRPr="0096338A">
        <w:rPr>
          <w:i/>
        </w:rPr>
        <w:t>‘t Groot Gemeynboeck B</w:t>
      </w:r>
      <w:r w:rsidRPr="0096338A">
        <w:t>, nr. 1523, fol. 73r – 74v, 9 juni 1471.</w:t>
      </w:r>
    </w:p>
    <w:p w:rsidR="00A11879" w:rsidRPr="0096338A" w:rsidRDefault="00A11879" w:rsidP="00A11879">
      <w:r w:rsidRPr="0096338A">
        <w:t xml:space="preserve">LEUVEN, Stadsarchief, </w:t>
      </w:r>
      <w:r w:rsidRPr="0096338A">
        <w:rPr>
          <w:i/>
        </w:rPr>
        <w:t>’t Groot Gemeynboeck B</w:t>
      </w:r>
      <w:r w:rsidRPr="0096338A">
        <w:t>, nr. 1523, fol. 78v, 10 oktober 1495.</w:t>
      </w:r>
    </w:p>
    <w:p w:rsidR="00BD1535" w:rsidRPr="0096338A" w:rsidRDefault="00BD1535" w:rsidP="00A11879">
      <w:r w:rsidRPr="0096338A">
        <w:t xml:space="preserve">LEUVEN, Stadsarchief, </w:t>
      </w:r>
      <w:r w:rsidRPr="0096338A">
        <w:rPr>
          <w:i/>
        </w:rPr>
        <w:t>’t Groot Gemeynboeck B</w:t>
      </w:r>
      <w:r w:rsidRPr="0096338A">
        <w:t>, nr. 1523, fol. 121r, 28 juli 1496.</w:t>
      </w:r>
    </w:p>
    <w:p w:rsidR="00A11879" w:rsidRPr="0096338A" w:rsidRDefault="00A11879" w:rsidP="00A11879">
      <w:r w:rsidRPr="0096338A">
        <w:t xml:space="preserve">LEUVEN, Stadsarchief, </w:t>
      </w:r>
      <w:r w:rsidRPr="0096338A">
        <w:rPr>
          <w:i/>
        </w:rPr>
        <w:t>‘t Groot Gemeynboeck B</w:t>
      </w:r>
      <w:r w:rsidRPr="0096338A">
        <w:t>, nr. 1523, fol. 127v – 128r, 7 juni 1424.</w:t>
      </w:r>
    </w:p>
    <w:p w:rsidR="00A11879" w:rsidRPr="0096338A" w:rsidRDefault="00A11879" w:rsidP="00A11879">
      <w:r w:rsidRPr="0096338A">
        <w:t xml:space="preserve">LEUVEN, Stadsarchief, </w:t>
      </w:r>
      <w:r w:rsidRPr="0096338A">
        <w:rPr>
          <w:i/>
        </w:rPr>
        <w:t>‘t Groot Gemeynboeck B</w:t>
      </w:r>
      <w:r w:rsidRPr="0096338A">
        <w:t>, nr. 1523, fol. 129v, 14 februari 1439.</w:t>
      </w:r>
    </w:p>
    <w:p w:rsidR="00A11879" w:rsidRPr="0096338A" w:rsidRDefault="00A11879" w:rsidP="00A11879">
      <w:r w:rsidRPr="0096338A">
        <w:t xml:space="preserve">LEUVEN, Stadsarchief, </w:t>
      </w:r>
      <w:r w:rsidRPr="0096338A">
        <w:rPr>
          <w:i/>
        </w:rPr>
        <w:t>‘t Groot Gemeynboeck B</w:t>
      </w:r>
      <w:r w:rsidRPr="0096338A">
        <w:t>, nr. 1523, fol. 145r, 28 mei 1451.</w:t>
      </w:r>
    </w:p>
    <w:p w:rsidR="00A11879" w:rsidRPr="0096338A" w:rsidRDefault="00A11879" w:rsidP="00A11879">
      <w:r w:rsidRPr="0096338A">
        <w:t xml:space="preserve">LEUVEN, Stadsarchief, </w:t>
      </w:r>
      <w:r w:rsidRPr="0096338A">
        <w:rPr>
          <w:i/>
        </w:rPr>
        <w:t>‘t Groot Gemeynboeck B</w:t>
      </w:r>
      <w:r w:rsidRPr="0096338A">
        <w:t>, nr. 1523, fol. 151v, 9 april 1472.</w:t>
      </w:r>
    </w:p>
    <w:p w:rsidR="00A11879" w:rsidRPr="0096338A" w:rsidRDefault="00A11879" w:rsidP="00A11879">
      <w:r w:rsidRPr="0096338A">
        <w:t xml:space="preserve">LEUVEN, Stadsarchief, </w:t>
      </w:r>
      <w:r w:rsidRPr="0096338A">
        <w:rPr>
          <w:i/>
        </w:rPr>
        <w:t>‘t Groot Gemeynboeck B</w:t>
      </w:r>
      <w:r w:rsidRPr="0096338A">
        <w:t>, nr. 1523, fol.155r – 156r, 23 mei 1424.</w:t>
      </w:r>
    </w:p>
    <w:p w:rsidR="00A11879" w:rsidRPr="0096338A" w:rsidRDefault="00A11879" w:rsidP="00A11879">
      <w:r w:rsidRPr="0096338A">
        <w:t xml:space="preserve">LEUVEN, Stadsarchief, </w:t>
      </w:r>
      <w:r w:rsidRPr="0096338A">
        <w:rPr>
          <w:i/>
        </w:rPr>
        <w:t>‘t Groot Gemeynboeck B</w:t>
      </w:r>
      <w:r w:rsidRPr="0096338A">
        <w:t>, nr. 1523, fol. 176r, 6 december 1433.</w:t>
      </w:r>
    </w:p>
    <w:p w:rsidR="00A11879" w:rsidRPr="0096338A" w:rsidRDefault="00A11879" w:rsidP="00A11879">
      <w:r w:rsidRPr="0096338A">
        <w:t xml:space="preserve">LEUVEN, Stadsarchief, </w:t>
      </w:r>
      <w:r w:rsidRPr="0096338A">
        <w:rPr>
          <w:i/>
        </w:rPr>
        <w:t>‘t Groot Gemeynboeck B</w:t>
      </w:r>
      <w:r w:rsidRPr="0096338A">
        <w:t>, nr. 1523, fol. 180v – 182r, 27 juni 1442.</w:t>
      </w:r>
    </w:p>
    <w:p w:rsidR="00A11879" w:rsidRPr="0096338A" w:rsidRDefault="00A11879" w:rsidP="00A11879">
      <w:r w:rsidRPr="0096338A">
        <w:t xml:space="preserve">LEUVEN, Stadsarchief, </w:t>
      </w:r>
      <w:r w:rsidRPr="0096338A">
        <w:rPr>
          <w:i/>
        </w:rPr>
        <w:t>‘t Groot Gemeynboeck B</w:t>
      </w:r>
      <w:r w:rsidRPr="0096338A">
        <w:t>, nr. 1523, fol. 202r – 204r, 23 maart 1479.</w:t>
      </w:r>
    </w:p>
    <w:p w:rsidR="00A11879" w:rsidRPr="0096338A" w:rsidRDefault="00A11879" w:rsidP="00A11879">
      <w:r w:rsidRPr="0096338A">
        <w:t xml:space="preserve">LEUVEN, Stadsarchief, </w:t>
      </w:r>
      <w:r w:rsidRPr="0096338A">
        <w:rPr>
          <w:i/>
        </w:rPr>
        <w:t>‘t Groot Gemeynboeck B</w:t>
      </w:r>
      <w:r w:rsidRPr="0096338A">
        <w:t>, nr. 1523, fol. 207r – 210v, 22 augustus 1403.</w:t>
      </w:r>
    </w:p>
    <w:p w:rsidR="00A11879" w:rsidRPr="0096338A" w:rsidRDefault="00A11879" w:rsidP="00A11879">
      <w:r w:rsidRPr="0096338A">
        <w:t xml:space="preserve">LEUVEN, Stadsarchief, </w:t>
      </w:r>
      <w:r w:rsidRPr="0096338A">
        <w:rPr>
          <w:i/>
        </w:rPr>
        <w:t>‘t Groot Gemeynboeck B</w:t>
      </w:r>
      <w:r w:rsidRPr="0096338A">
        <w:t>, nr. 1523, fol. 217r.</w:t>
      </w:r>
    </w:p>
    <w:p w:rsidR="00A11879" w:rsidRPr="0096338A" w:rsidRDefault="00A11879" w:rsidP="00A11879">
      <w:r w:rsidRPr="0096338A">
        <w:lastRenderedPageBreak/>
        <w:t xml:space="preserve">LEUVEN, Stadsarchief, </w:t>
      </w:r>
      <w:r w:rsidRPr="0096338A">
        <w:rPr>
          <w:i/>
        </w:rPr>
        <w:t>‘t Groot Gemeynboeck B</w:t>
      </w:r>
      <w:r w:rsidRPr="0096338A">
        <w:t>, nr. 1524, fol. 193r – 193v, december 1436.</w:t>
      </w:r>
    </w:p>
    <w:p w:rsidR="00A11879" w:rsidRPr="0096338A" w:rsidRDefault="00A11879" w:rsidP="00A11879">
      <w:r w:rsidRPr="0096338A">
        <w:t xml:space="preserve">LEUVEN, Stadsarchief, </w:t>
      </w:r>
      <w:r w:rsidRPr="0096338A">
        <w:rPr>
          <w:i/>
        </w:rPr>
        <w:t>‘t Groot Gemeynboeck B</w:t>
      </w:r>
      <w:r w:rsidRPr="0096338A">
        <w:t>, nr. 1524, fol. 202r – 202v, 12 december 1458.</w:t>
      </w:r>
    </w:p>
    <w:p w:rsidR="00A11879" w:rsidRPr="0096338A" w:rsidRDefault="00A11879" w:rsidP="00A11879">
      <w:r w:rsidRPr="0096338A">
        <w:t xml:space="preserve">LEUVEN, Stadsarchief, </w:t>
      </w:r>
      <w:r w:rsidRPr="0096338A">
        <w:rPr>
          <w:i/>
        </w:rPr>
        <w:t>‘t Groot Gemeynboeck B</w:t>
      </w:r>
      <w:r w:rsidRPr="0096338A">
        <w:t>, nr. 1524, fol. 203v, 26 mei 1481.</w:t>
      </w:r>
    </w:p>
    <w:p w:rsidR="00A11879" w:rsidRPr="0096338A" w:rsidRDefault="00A11879" w:rsidP="00A11879">
      <w:r w:rsidRPr="0096338A">
        <w:t xml:space="preserve">LEUVEN, Stadsarchief, </w:t>
      </w:r>
      <w:r w:rsidRPr="0096338A">
        <w:rPr>
          <w:i/>
        </w:rPr>
        <w:t>‘t Groot Gemeynboeck B</w:t>
      </w:r>
      <w:r w:rsidRPr="0096338A">
        <w:t>, nr. 1524, fol. 235v – 236v, 31 juli 1439.</w:t>
      </w:r>
    </w:p>
    <w:p w:rsidR="00A11879" w:rsidRPr="00BE2EE9" w:rsidRDefault="00A11879" w:rsidP="00A11879">
      <w:pPr>
        <w:rPr>
          <w:lang w:val="de-DE"/>
        </w:rPr>
      </w:pPr>
      <w:r w:rsidRPr="00BE2EE9">
        <w:rPr>
          <w:lang w:val="de-DE"/>
        </w:rPr>
        <w:t xml:space="preserve">LEUVEN, Stadsarchief, </w:t>
      </w:r>
      <w:r w:rsidRPr="00BE2EE9">
        <w:rPr>
          <w:i/>
          <w:lang w:val="de-DE"/>
        </w:rPr>
        <w:t>‘t Groot Gemeynboeck B</w:t>
      </w:r>
      <w:r w:rsidRPr="00BE2EE9">
        <w:rPr>
          <w:lang w:val="de-DE"/>
        </w:rPr>
        <w:t>, nr. 1524, fol. 258v, 8 juli 1444.</w:t>
      </w:r>
    </w:p>
    <w:p w:rsidR="00A11879" w:rsidRPr="0096338A" w:rsidRDefault="00A11879" w:rsidP="00A11879">
      <w:r w:rsidRPr="0096338A">
        <w:t xml:space="preserve">LEUVEN, Stadsarchief, </w:t>
      </w:r>
      <w:r w:rsidRPr="0096338A">
        <w:rPr>
          <w:i/>
        </w:rPr>
        <w:t>‘t Groot Gemeynboeck B</w:t>
      </w:r>
      <w:r w:rsidRPr="0096338A">
        <w:t>, nr. 1524, fol. 277r – 278r, 18 maart 1465.</w:t>
      </w:r>
    </w:p>
    <w:p w:rsidR="00A11879" w:rsidRPr="0096338A" w:rsidRDefault="00A11879" w:rsidP="00A11879">
      <w:r w:rsidRPr="0096338A">
        <w:t xml:space="preserve">LEUVEN, Stadsarchief, </w:t>
      </w:r>
      <w:r w:rsidRPr="0096338A">
        <w:rPr>
          <w:i/>
        </w:rPr>
        <w:t>‘t Groot Gemeynboeck B</w:t>
      </w:r>
      <w:r w:rsidRPr="0096338A">
        <w:t>, nr. 1524, fol. 287r – 290v, 18 mei 1415.</w:t>
      </w:r>
    </w:p>
    <w:p w:rsidR="00A11879" w:rsidRPr="0096338A" w:rsidRDefault="00A11879" w:rsidP="00A11879">
      <w:r w:rsidRPr="0096338A">
        <w:t xml:space="preserve">LEUVEN, Stadsarchief, </w:t>
      </w:r>
      <w:r w:rsidRPr="0096338A">
        <w:rPr>
          <w:i/>
        </w:rPr>
        <w:t>‘t Groot Gemeynboeck B</w:t>
      </w:r>
      <w:r w:rsidRPr="0096338A">
        <w:t>, nr. 1524, fol. 301r – 302r, 26 april 1417.</w:t>
      </w:r>
    </w:p>
    <w:p w:rsidR="00A11879" w:rsidRPr="0096338A" w:rsidRDefault="00A11879" w:rsidP="00A11879">
      <w:r w:rsidRPr="0096338A">
        <w:t xml:space="preserve">LEUVEN, Stadsarchief, </w:t>
      </w:r>
      <w:r w:rsidRPr="0096338A">
        <w:rPr>
          <w:i/>
        </w:rPr>
        <w:t>’t Groot Gemeynboeck B</w:t>
      </w:r>
      <w:r w:rsidR="00DA538A" w:rsidRPr="0096338A">
        <w:t xml:space="preserve">, nr. 1524, fol. 326v – 327v, </w:t>
      </w:r>
      <w:r w:rsidRPr="0096338A">
        <w:t>28 mei 1433.</w:t>
      </w:r>
    </w:p>
    <w:p w:rsidR="00A11879" w:rsidRPr="0096338A" w:rsidRDefault="00A11879" w:rsidP="00A11879">
      <w:r w:rsidRPr="0096338A">
        <w:t xml:space="preserve">LEUVEN, Stadsarchief, </w:t>
      </w:r>
      <w:r w:rsidRPr="0096338A">
        <w:rPr>
          <w:i/>
        </w:rPr>
        <w:t>‘t Groot Gemeynboeck B</w:t>
      </w:r>
      <w:r w:rsidRPr="0096338A">
        <w:t>, nr. 1524, fol. 375r – 376r, 13 september 1493.</w:t>
      </w:r>
    </w:p>
    <w:p w:rsidR="00A11879" w:rsidRPr="0096338A" w:rsidRDefault="00A11879" w:rsidP="00A11879">
      <w:r w:rsidRPr="0096338A">
        <w:t xml:space="preserve">LEUVEN, Stadsarchief, </w:t>
      </w:r>
      <w:r w:rsidRPr="0096338A">
        <w:rPr>
          <w:i/>
        </w:rPr>
        <w:t>‘t Groot Gemeynboeck B</w:t>
      </w:r>
      <w:r w:rsidRPr="0096338A">
        <w:t>, nr. 1524, fol. 398r – 401v, 13 augustus 1424.</w:t>
      </w:r>
    </w:p>
    <w:p w:rsidR="00A11879" w:rsidRPr="0096338A" w:rsidRDefault="00A11879" w:rsidP="00A11879">
      <w:r w:rsidRPr="0096338A">
        <w:t xml:space="preserve">LEUVEN, Stadsarchief, </w:t>
      </w:r>
      <w:r w:rsidRPr="0096338A">
        <w:rPr>
          <w:i/>
        </w:rPr>
        <w:t>‘t Groot Gemeynboeck B</w:t>
      </w:r>
      <w:r w:rsidRPr="0096338A">
        <w:t>, nr. 1524, fol. 411r, 20 juni 1463.</w:t>
      </w:r>
    </w:p>
    <w:p w:rsidR="00A11879" w:rsidRPr="0096338A" w:rsidRDefault="00A11879" w:rsidP="00A11879">
      <w:r w:rsidRPr="0096338A">
        <w:t xml:space="preserve">LEUVEN, Stadsarchief, </w:t>
      </w:r>
      <w:r w:rsidRPr="0096338A">
        <w:rPr>
          <w:i/>
        </w:rPr>
        <w:t>‘t Groot Gemeynboeck B</w:t>
      </w:r>
      <w:r w:rsidRPr="0096338A">
        <w:t>, nr. 1524, fol. 421r – 422v, 13 december 1504.</w:t>
      </w:r>
    </w:p>
    <w:p w:rsidR="00A11879" w:rsidRPr="0096338A" w:rsidRDefault="00A11879" w:rsidP="00A11879">
      <w:r w:rsidRPr="0096338A">
        <w:t xml:space="preserve">LEUVEN, Stadsarchief, </w:t>
      </w:r>
      <w:r w:rsidRPr="0096338A">
        <w:rPr>
          <w:i/>
        </w:rPr>
        <w:t>Gemijn boeck oft clijn ordonnantie boeck CC</w:t>
      </w:r>
      <w:r w:rsidRPr="0096338A">
        <w:t>, nr. 1526, fol. 291r – 292r, 16 januari 1530.</w:t>
      </w:r>
    </w:p>
    <w:p w:rsidR="00A11879" w:rsidRPr="0096338A" w:rsidRDefault="00A11879" w:rsidP="00A11879">
      <w:pPr>
        <w:rPr>
          <w:lang w:val="fr-FR"/>
        </w:rPr>
      </w:pPr>
      <w:r w:rsidRPr="0096338A">
        <w:rPr>
          <w:lang w:val="fr-FR"/>
        </w:rPr>
        <w:t>LEUVEN, Stadsarchief,</w:t>
      </w:r>
      <w:r w:rsidRPr="0096338A">
        <w:rPr>
          <w:i/>
          <w:lang w:val="fr-FR"/>
        </w:rPr>
        <w:t xml:space="preserve"> Ordonnances et règlements de la ville de Louvain</w:t>
      </w:r>
      <w:r w:rsidRPr="0096338A">
        <w:rPr>
          <w:lang w:val="fr-FR"/>
        </w:rPr>
        <w:t>, nr. 1527, 1593.</w:t>
      </w:r>
    </w:p>
    <w:p w:rsidR="00A11879" w:rsidRPr="0096338A" w:rsidRDefault="00A11879" w:rsidP="00A11879">
      <w:pPr>
        <w:rPr>
          <w:lang w:val="fr-FR"/>
        </w:rPr>
      </w:pPr>
      <w:r w:rsidRPr="0096338A">
        <w:rPr>
          <w:lang w:val="fr-FR"/>
        </w:rPr>
        <w:t xml:space="preserve">LEUVEN, Stadsarchief, </w:t>
      </w:r>
      <w:r w:rsidRPr="0096338A">
        <w:rPr>
          <w:i/>
          <w:lang w:val="fr-FR"/>
        </w:rPr>
        <w:t>Ordonnances et autres actes</w:t>
      </w:r>
      <w:r w:rsidRPr="0096338A">
        <w:rPr>
          <w:lang w:val="fr-FR"/>
        </w:rPr>
        <w:t>, nr. 1528, fol. 36r, 18 juni 1413.</w:t>
      </w:r>
    </w:p>
    <w:p w:rsidR="00A11879" w:rsidRPr="0096338A" w:rsidRDefault="00A11879" w:rsidP="00A11879">
      <w:pPr>
        <w:rPr>
          <w:lang w:val="fr-FR"/>
        </w:rPr>
      </w:pPr>
      <w:r w:rsidRPr="0096338A">
        <w:rPr>
          <w:lang w:val="fr-FR"/>
        </w:rPr>
        <w:t xml:space="preserve">LEUVEN, Stadsarchief, </w:t>
      </w:r>
      <w:r w:rsidRPr="0096338A">
        <w:rPr>
          <w:i/>
          <w:lang w:val="fr-FR"/>
        </w:rPr>
        <w:t>Ordonnances et autres actes</w:t>
      </w:r>
      <w:r w:rsidRPr="0096338A">
        <w:rPr>
          <w:lang w:val="fr-FR"/>
        </w:rPr>
        <w:t>, nr. 1528, fol. 37v, 13 augustus 1424.</w:t>
      </w:r>
    </w:p>
    <w:p w:rsidR="00A11879" w:rsidRPr="0096338A" w:rsidRDefault="00A11879" w:rsidP="00A11879">
      <w:pPr>
        <w:rPr>
          <w:lang w:val="fr-FR"/>
        </w:rPr>
      </w:pPr>
      <w:r w:rsidRPr="0096338A">
        <w:rPr>
          <w:lang w:val="fr-FR"/>
        </w:rPr>
        <w:t xml:space="preserve">LEUVEN, Stadsarchief, </w:t>
      </w:r>
      <w:r w:rsidRPr="0096338A">
        <w:rPr>
          <w:i/>
          <w:lang w:val="fr-FR"/>
        </w:rPr>
        <w:t>Ordonnances et autres actes</w:t>
      </w:r>
      <w:r w:rsidRPr="0096338A">
        <w:rPr>
          <w:lang w:val="fr-FR"/>
        </w:rPr>
        <w:t>, nr. 1528, fol. 39r, 1419.</w:t>
      </w:r>
    </w:p>
    <w:p w:rsidR="00A11879" w:rsidRPr="0096338A" w:rsidRDefault="00A11879" w:rsidP="00A11879">
      <w:pPr>
        <w:rPr>
          <w:lang w:val="fr-FR"/>
        </w:rPr>
      </w:pPr>
      <w:r w:rsidRPr="0096338A">
        <w:rPr>
          <w:lang w:val="fr-FR"/>
        </w:rPr>
        <w:t xml:space="preserve">LEUVEN, Stadsarchief, </w:t>
      </w:r>
      <w:r w:rsidRPr="0096338A">
        <w:rPr>
          <w:i/>
          <w:lang w:val="fr-FR"/>
        </w:rPr>
        <w:t>Ordonnances et autres actes</w:t>
      </w:r>
      <w:r w:rsidRPr="0096338A">
        <w:rPr>
          <w:lang w:val="fr-FR"/>
        </w:rPr>
        <w:t>, nr. 1528, fol. 77r – 77v, 25 september 1437.</w:t>
      </w:r>
    </w:p>
    <w:p w:rsidR="00A11879" w:rsidRPr="0096338A" w:rsidRDefault="00A11879" w:rsidP="00A11879">
      <w:pPr>
        <w:rPr>
          <w:lang w:val="fr-FR"/>
        </w:rPr>
      </w:pPr>
      <w:r w:rsidRPr="0096338A">
        <w:rPr>
          <w:lang w:val="fr-FR"/>
        </w:rPr>
        <w:t xml:space="preserve">LEUVEN, Stadsarchief, </w:t>
      </w:r>
      <w:r w:rsidRPr="0096338A">
        <w:rPr>
          <w:i/>
          <w:lang w:val="fr-FR"/>
        </w:rPr>
        <w:t>Ordonnances et autres actes</w:t>
      </w:r>
      <w:r w:rsidRPr="0096338A">
        <w:rPr>
          <w:lang w:val="fr-FR"/>
        </w:rPr>
        <w:t>, nr. 1528, fol. 123v, 17 augustus 1461.</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3r – 4v, 2 juni 1417.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9r – 9v.</w:t>
      </w:r>
    </w:p>
    <w:p w:rsidR="00A11879" w:rsidRPr="0096338A" w:rsidRDefault="00A11879" w:rsidP="00A11879">
      <w:pPr>
        <w:rPr>
          <w:lang w:val="fr-FR"/>
        </w:rPr>
      </w:pPr>
      <w:r w:rsidRPr="0096338A">
        <w:rPr>
          <w:lang w:val="fr-FR"/>
        </w:rPr>
        <w:lastRenderedPageBreak/>
        <w:t xml:space="preserve">LEUVEN, Stadsarchief, </w:t>
      </w:r>
      <w:r w:rsidRPr="0096338A">
        <w:rPr>
          <w:i/>
          <w:lang w:val="fr-FR"/>
        </w:rPr>
        <w:t>Ordonnances générales concernant tous les métiers</w:t>
      </w:r>
      <w:r w:rsidRPr="0096338A">
        <w:rPr>
          <w:lang w:val="fr-FR"/>
        </w:rPr>
        <w:t>, nr. 4648, fol. 12r, 27 juni 1436.</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12v – 13r, 6 december 1433.</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19r – 22r, 23 maart 1479.</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22r – 22v, 30 maart 1507.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168r – 172v, 31 januari 1467.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173v, maart 1458.</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174r – 174v, 4 februari 1477.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197r, 31 juli 1407.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250r – 259r, 20 juli 1468.</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262r – 262v, 13 december 1504.</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270v – 271v, 19 januari 1451.</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390v – 392r, 7 december 1439.</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397r – 397v, 22 november 1454.</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420r – 422v, 7 juli 1437.</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444r – 444v, 5 februari 1445.</w:t>
      </w:r>
    </w:p>
    <w:p w:rsidR="00A11879" w:rsidRPr="0096338A" w:rsidRDefault="00A11879" w:rsidP="00A11879">
      <w:pPr>
        <w:rPr>
          <w:lang w:val="fr-FR"/>
        </w:rPr>
      </w:pPr>
      <w:r w:rsidRPr="0096338A">
        <w:rPr>
          <w:lang w:val="fr-FR"/>
        </w:rPr>
        <w:lastRenderedPageBreak/>
        <w:t xml:space="preserve">LEUVEN, Stadsarchief, </w:t>
      </w:r>
      <w:r w:rsidRPr="0096338A">
        <w:rPr>
          <w:i/>
          <w:lang w:val="fr-FR"/>
        </w:rPr>
        <w:t>Ordonnances générales concernant tous les métiers</w:t>
      </w:r>
      <w:r w:rsidRPr="0096338A">
        <w:rPr>
          <w:lang w:val="fr-FR"/>
        </w:rPr>
        <w:t>, nr. 4648, fol. 446r – 450r, 9 juni 1471.</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453r – 454r, 4 maart 1484.</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459r, 5 februari 1445.</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459r – 459v, 10 juni 1452.</w:t>
      </w:r>
    </w:p>
    <w:p w:rsidR="00A11879" w:rsidRPr="0096338A" w:rsidRDefault="00A11879" w:rsidP="00A11879">
      <w:pPr>
        <w:rPr>
          <w:lang w:val="fr-FR"/>
        </w:rPr>
      </w:pPr>
      <w:r w:rsidRPr="0096338A">
        <w:rPr>
          <w:lang w:val="fr-FR"/>
        </w:rPr>
        <w:t xml:space="preserve">LEUVEN, Stadsarchief, </w:t>
      </w:r>
      <w:r w:rsidRPr="0096338A">
        <w:rPr>
          <w:i/>
          <w:lang w:val="fr-FR"/>
        </w:rPr>
        <w:t>Ordonnances générales concernant tous les métiers</w:t>
      </w:r>
      <w:r w:rsidRPr="0096338A">
        <w:rPr>
          <w:lang w:val="fr-FR"/>
        </w:rPr>
        <w:t>, nr. 4648, fol. 470r – 472r, december 1426.</w:t>
      </w:r>
    </w:p>
    <w:p w:rsidR="00A11879" w:rsidRPr="0096338A" w:rsidRDefault="00A11879" w:rsidP="00A11879">
      <w:pPr>
        <w:rPr>
          <w:lang w:val="fr-FR"/>
        </w:rPr>
      </w:pPr>
      <w:r w:rsidRPr="0096338A">
        <w:rPr>
          <w:lang w:val="fr-FR"/>
        </w:rPr>
        <w:t xml:space="preserve">LEUVEN, Stadsarchief, </w:t>
      </w:r>
      <w:r w:rsidRPr="0096338A">
        <w:rPr>
          <w:i/>
          <w:lang w:val="fr-FR"/>
        </w:rPr>
        <w:t>Ordonnances des métiers des merciers, tondeurs, fruitiers, vanniers, orfèvres, tanneurs, cordonniers, tapissiers, tisserands de toile, maçons, tailleurs de pierre, plafonneurs, couvreurs en paille</w:t>
      </w:r>
      <w:r w:rsidRPr="0096338A">
        <w:rPr>
          <w:lang w:val="fr-FR"/>
        </w:rPr>
        <w:t>, nr. 4650, fol. 93v – 99r, 16 maart 1416.</w:t>
      </w:r>
    </w:p>
    <w:p w:rsidR="00A11879" w:rsidRPr="0096338A" w:rsidRDefault="00A11879" w:rsidP="00A11879">
      <w:pPr>
        <w:rPr>
          <w:lang w:val="fr-FR"/>
        </w:rPr>
      </w:pPr>
      <w:r w:rsidRPr="0096338A">
        <w:rPr>
          <w:lang w:val="fr-FR"/>
        </w:rPr>
        <w:t xml:space="preserve">LEUVEN, Stadsarchief, </w:t>
      </w:r>
      <w:r w:rsidRPr="0096338A">
        <w:rPr>
          <w:i/>
          <w:lang w:val="fr-FR"/>
        </w:rPr>
        <w:t>Ordonnances des métiers des merciers, tondeurs, fruitiers, vanniers, orfèvres, tanneurs, cordonniers, tapissiers, tisserands de toile, maçons, tailleurs de pierre, plafonneurs, couvreurs en paille</w:t>
      </w:r>
      <w:r w:rsidRPr="0096338A">
        <w:rPr>
          <w:lang w:val="fr-FR"/>
        </w:rPr>
        <w:t>, nr. 4650, fol. 115v – 122r.</w:t>
      </w:r>
    </w:p>
    <w:p w:rsidR="00A11879" w:rsidRPr="0096338A" w:rsidRDefault="00A11879" w:rsidP="00A11879">
      <w:pPr>
        <w:rPr>
          <w:lang w:val="fr-FR"/>
        </w:rPr>
      </w:pPr>
      <w:r w:rsidRPr="0096338A">
        <w:rPr>
          <w:lang w:val="fr-FR"/>
        </w:rPr>
        <w:t xml:space="preserve">LEUVEN, Stadsarchief, </w:t>
      </w:r>
      <w:r w:rsidRPr="0096338A">
        <w:rPr>
          <w:i/>
          <w:lang w:val="fr-FR"/>
        </w:rPr>
        <w:t>Ordonnances relatives au Marché au poisson et aux poissonniers</w:t>
      </w:r>
      <w:r w:rsidRPr="0096338A">
        <w:rPr>
          <w:lang w:val="fr-FR"/>
        </w:rPr>
        <w:t>, nr. 4659, fol. 1r – 9r, 17 </w:t>
      </w:r>
      <w:r w:rsidR="00462B6A" w:rsidRPr="0096338A">
        <w:rPr>
          <w:lang w:val="fr-FR"/>
        </w:rPr>
        <w:t xml:space="preserve">juli </w:t>
      </w:r>
      <w:r w:rsidRPr="0096338A">
        <w:rPr>
          <w:lang w:val="fr-FR"/>
        </w:rPr>
        <w:t>1453.</w:t>
      </w:r>
    </w:p>
    <w:p w:rsidR="00A11879" w:rsidRPr="0096338A" w:rsidRDefault="00A11879" w:rsidP="00A11879">
      <w:pPr>
        <w:rPr>
          <w:lang w:val="fr-FR"/>
        </w:rPr>
      </w:pPr>
      <w:r w:rsidRPr="0096338A">
        <w:rPr>
          <w:lang w:val="fr-FR"/>
        </w:rPr>
        <w:t xml:space="preserve">LEUVEN, Stadsarchief, </w:t>
      </w:r>
      <w:r w:rsidRPr="0096338A">
        <w:rPr>
          <w:i/>
          <w:lang w:val="fr-FR"/>
        </w:rPr>
        <w:t>Ordonnances relatives au Marché au poisson et aux poissonniers</w:t>
      </w:r>
      <w:r w:rsidRPr="0096338A">
        <w:rPr>
          <w:lang w:val="fr-FR"/>
        </w:rPr>
        <w:t>, nr. 4659, fol. 9r – 9v, 20 maart 1460.</w:t>
      </w:r>
    </w:p>
    <w:p w:rsidR="00A11879" w:rsidRPr="0096338A" w:rsidRDefault="00A11879" w:rsidP="00A11879">
      <w:pPr>
        <w:rPr>
          <w:lang w:val="fr-FR"/>
        </w:rPr>
      </w:pPr>
      <w:r w:rsidRPr="0096338A">
        <w:rPr>
          <w:lang w:val="fr-FR"/>
        </w:rPr>
        <w:t xml:space="preserve">LEUVEN, Stadsarchief, </w:t>
      </w:r>
      <w:r w:rsidRPr="0096338A">
        <w:rPr>
          <w:i/>
          <w:lang w:val="fr-FR"/>
        </w:rPr>
        <w:t>Ordonnances relatives au Marché au poisson et aux poissonniers</w:t>
      </w:r>
      <w:r w:rsidRPr="0096338A">
        <w:rPr>
          <w:lang w:val="fr-FR"/>
        </w:rPr>
        <w:t>, nr. 4659, fol. 10v – 11v, 18 december 1504.</w:t>
      </w:r>
    </w:p>
    <w:p w:rsidR="00F76C35" w:rsidRPr="005F4F43" w:rsidRDefault="00F76C35" w:rsidP="00A11879">
      <w:r w:rsidRPr="005F4F43">
        <w:t xml:space="preserve">MECHELEN, Stadsarchief, </w:t>
      </w:r>
      <w:r w:rsidR="008704D2" w:rsidRPr="005F4F43">
        <w:rPr>
          <w:i/>
        </w:rPr>
        <w:t>Bannen, submissien, correctien</w:t>
      </w:r>
      <w:r w:rsidRPr="005F4F43">
        <w:rPr>
          <w:i/>
        </w:rPr>
        <w:t>, 1441 – 1569</w:t>
      </w:r>
      <w:r w:rsidRPr="005F4F43">
        <w:t xml:space="preserve">, </w:t>
      </w:r>
      <w:r w:rsidR="008704D2" w:rsidRPr="005F4F43">
        <w:t xml:space="preserve">reeks J, register nr. 1, </w:t>
      </w:r>
      <w:r w:rsidRPr="005F4F43">
        <w:t>fol. 70v, 3 november 1450.</w:t>
      </w:r>
    </w:p>
    <w:p w:rsidR="00F76C35" w:rsidRPr="005F4F43" w:rsidRDefault="00F76C35" w:rsidP="00A11879">
      <w:r w:rsidRPr="005F4F43">
        <w:t xml:space="preserve">MECHELEN, Stadsarchief, </w:t>
      </w:r>
      <w:r w:rsidR="008704D2" w:rsidRPr="005F4F43">
        <w:rPr>
          <w:i/>
        </w:rPr>
        <w:t>Bannen, submissien, correctien</w:t>
      </w:r>
      <w:r w:rsidRPr="005F4F43">
        <w:rPr>
          <w:i/>
        </w:rPr>
        <w:t>, 1441 – 1569</w:t>
      </w:r>
      <w:r w:rsidRPr="005F4F43">
        <w:t xml:space="preserve">, </w:t>
      </w:r>
      <w:r w:rsidR="008704D2" w:rsidRPr="005F4F43">
        <w:t xml:space="preserve">reeks J, register nr. 1, </w:t>
      </w:r>
      <w:r w:rsidRPr="005F4F43">
        <w:t>fol. 175r, 6 juli 1531.</w:t>
      </w:r>
    </w:p>
    <w:p w:rsidR="008704D2" w:rsidRPr="008704D2" w:rsidRDefault="008704D2">
      <w:pPr>
        <w:spacing w:after="200" w:line="276" w:lineRule="auto"/>
        <w:jc w:val="left"/>
        <w:rPr>
          <w:rFonts w:eastAsiaTheme="majorEastAsia" w:cstheme="majorBidi"/>
          <w:b/>
          <w:bCs/>
          <w:szCs w:val="26"/>
        </w:rPr>
      </w:pPr>
      <w:bookmarkStart w:id="30" w:name="_Toc450927408"/>
      <w:r w:rsidRPr="008704D2">
        <w:br w:type="page"/>
      </w:r>
    </w:p>
    <w:p w:rsidR="00A11879" w:rsidRPr="00BE2EE9" w:rsidRDefault="00A11879" w:rsidP="00A11879">
      <w:pPr>
        <w:pStyle w:val="Kop2"/>
      </w:pPr>
      <w:bookmarkStart w:id="31" w:name="_Toc452371459"/>
      <w:r w:rsidRPr="00BE2EE9">
        <w:lastRenderedPageBreak/>
        <w:t>Literatuur</w:t>
      </w:r>
      <w:bookmarkEnd w:id="30"/>
      <w:bookmarkEnd w:id="31"/>
    </w:p>
    <w:p w:rsidR="00A11879" w:rsidRPr="0096338A" w:rsidRDefault="00A11879" w:rsidP="00A11879">
      <w:pPr>
        <w:spacing w:after="240" w:line="276" w:lineRule="auto"/>
        <w:rPr>
          <w:rFonts w:cs="Times New Roman"/>
          <w:lang w:val="en-GB"/>
        </w:rPr>
      </w:pPr>
      <w:r w:rsidRPr="0096338A">
        <w:rPr>
          <w:rFonts w:cs="Times New Roman"/>
          <w:lang w:val="en-GB"/>
        </w:rPr>
        <w:t xml:space="preserve">ARNADE, P., HOWELL, M. en SIMONS, W., ‘Fertile Spaces: The Productivity of Urban Space in Northern Europe’, </w:t>
      </w:r>
      <w:r w:rsidRPr="0096338A">
        <w:rPr>
          <w:rFonts w:cs="Times New Roman"/>
          <w:i/>
          <w:lang w:val="en-GB"/>
        </w:rPr>
        <w:t>The Journal of Interdisciplinary History</w:t>
      </w:r>
      <w:r w:rsidRPr="0096338A">
        <w:rPr>
          <w:rFonts w:cs="Times New Roman"/>
          <w:lang w:val="en-GB"/>
        </w:rPr>
        <w:t>, The Productivity of Urban Spaces in Northern Europe, 32 (2002), 515 – 548.</w:t>
      </w:r>
    </w:p>
    <w:p w:rsidR="00A11879" w:rsidRPr="005F4F43" w:rsidRDefault="00A11879" w:rsidP="00A11879">
      <w:pPr>
        <w:spacing w:after="240" w:line="276" w:lineRule="auto"/>
        <w:rPr>
          <w:rFonts w:cs="Times New Roman"/>
          <w:lang w:val="en-GB"/>
        </w:rPr>
      </w:pPr>
      <w:r w:rsidRPr="005F4F43">
        <w:rPr>
          <w:rFonts w:cs="Times New Roman"/>
          <w:lang w:val="en-GB"/>
        </w:rPr>
        <w:t xml:space="preserve">BENNETT, J. en KARRAS, R. red., </w:t>
      </w:r>
      <w:r w:rsidRPr="005F4F43">
        <w:rPr>
          <w:rFonts w:cs="Times New Roman"/>
          <w:i/>
          <w:lang w:val="en-GB"/>
        </w:rPr>
        <w:t>The Oxford Handbook of Women and Gender in Medieval Europe</w:t>
      </w:r>
      <w:r w:rsidRPr="005F4F43">
        <w:rPr>
          <w:rFonts w:cs="Times New Roman"/>
          <w:lang w:val="en-GB"/>
        </w:rPr>
        <w:t>, Oxford, 2013.</w:t>
      </w:r>
    </w:p>
    <w:p w:rsidR="00A11879" w:rsidRPr="0096338A" w:rsidRDefault="00A11879" w:rsidP="00A11879">
      <w:pPr>
        <w:spacing w:after="240" w:line="276" w:lineRule="auto"/>
      </w:pPr>
      <w:r w:rsidRPr="0096338A">
        <w:rPr>
          <w:rFonts w:cs="Times New Roman"/>
          <w:szCs w:val="24"/>
        </w:rPr>
        <w:t xml:space="preserve">BESSEMANS, L., HONORÉ, I. e.a., </w:t>
      </w:r>
      <w:r w:rsidRPr="0096338A">
        <w:rPr>
          <w:rFonts w:cs="Times New Roman"/>
          <w:i/>
          <w:szCs w:val="24"/>
        </w:rPr>
        <w:t>Leven te Leuven in de late Middeleeuwen: Tentoonstellingscatalogus</w:t>
      </w:r>
      <w:r w:rsidRPr="0096338A">
        <w:rPr>
          <w:rFonts w:cs="Times New Roman"/>
          <w:szCs w:val="24"/>
        </w:rPr>
        <w:t>, Leuven, 1998.</w:t>
      </w:r>
    </w:p>
    <w:p w:rsidR="00A11879" w:rsidRPr="005F4F43" w:rsidRDefault="00A11879" w:rsidP="00A11879">
      <w:pPr>
        <w:spacing w:after="240" w:line="276" w:lineRule="auto"/>
      </w:pPr>
      <w:r w:rsidRPr="005F4F43">
        <w:t xml:space="preserve">BLOCKMANS, W., BOONE, M. en DE HEMPTINNE, T. red., </w:t>
      </w:r>
      <w:r w:rsidRPr="005F4F43">
        <w:rPr>
          <w:i/>
        </w:rPr>
        <w:t>Secretum Scriptorum: Liber alumnorum Walter Prevenier</w:t>
      </w:r>
      <w:r w:rsidRPr="005F4F43">
        <w:t>, Leuven en Apeldoorn, 1999.</w:t>
      </w:r>
    </w:p>
    <w:p w:rsidR="00A11879" w:rsidRPr="005F4F43" w:rsidRDefault="00A11879" w:rsidP="00A11879">
      <w:pPr>
        <w:spacing w:after="240" w:line="276" w:lineRule="auto"/>
      </w:pPr>
      <w:r w:rsidRPr="005F4F43">
        <w:t xml:space="preserve">BLONDÉ, B., STABEL, P. e.a. red., </w:t>
      </w:r>
      <w:r w:rsidRPr="005F4F43">
        <w:rPr>
          <w:i/>
        </w:rPr>
        <w:t>Buyers &amp; Sellers, Retail circuits and practices in medieval and early modern Europe</w:t>
      </w:r>
      <w:r w:rsidRPr="005F4F43">
        <w:t xml:space="preserve"> (Studies in European Urban History (1100 – 1800), 9), Turnhout, 2006.</w:t>
      </w:r>
    </w:p>
    <w:p w:rsidR="00A11879" w:rsidRPr="0096338A" w:rsidRDefault="00A11879" w:rsidP="00A11879">
      <w:pPr>
        <w:spacing w:after="240" w:line="276" w:lineRule="auto"/>
        <w:rPr>
          <w:lang w:val="en-GB"/>
        </w:rPr>
      </w:pPr>
      <w:r w:rsidRPr="0096338A">
        <w:rPr>
          <w:lang w:val="en-GB"/>
        </w:rPr>
        <w:t xml:space="preserve">BOONE, M., DE HEMPTINNE, T. en PREVENIER, W., ‘Gender and early emancipation in the Low Countries in the late Middle Ages and early modern period’, P. RICHARDS en J. MUNNS red., </w:t>
      </w:r>
      <w:r w:rsidRPr="0096338A">
        <w:rPr>
          <w:i/>
          <w:lang w:val="en-GB"/>
        </w:rPr>
        <w:t>Gender, Power and Privilege in Early Modern Europe</w:t>
      </w:r>
      <w:r w:rsidRPr="0096338A">
        <w:rPr>
          <w:lang w:val="en-GB"/>
        </w:rPr>
        <w:t>, Harlow, 2007, 21 – 39.</w:t>
      </w:r>
    </w:p>
    <w:p w:rsidR="00A11879" w:rsidRPr="0096338A" w:rsidRDefault="00A11879" w:rsidP="00A11879">
      <w:pPr>
        <w:spacing w:after="240" w:line="276" w:lineRule="auto"/>
        <w:rPr>
          <w:lang w:val="en-GB"/>
        </w:rPr>
      </w:pPr>
      <w:r w:rsidRPr="0096338A">
        <w:rPr>
          <w:lang w:val="en-GB"/>
        </w:rPr>
        <w:t xml:space="preserve">CASSIDY-WELCH, M., ‘Space and Place in Medieval Contexts’, </w:t>
      </w:r>
      <w:r w:rsidRPr="0096338A">
        <w:rPr>
          <w:i/>
          <w:lang w:val="en-GB"/>
        </w:rPr>
        <w:t>Parergon</w:t>
      </w:r>
      <w:r w:rsidRPr="0096338A">
        <w:rPr>
          <w:lang w:val="en-GB"/>
        </w:rPr>
        <w:t>, 27 (2010), 1 – 12.</w:t>
      </w:r>
    </w:p>
    <w:p w:rsidR="00A11879" w:rsidRPr="005F4F43" w:rsidRDefault="00A11879" w:rsidP="00A11879">
      <w:pPr>
        <w:spacing w:after="240" w:line="276" w:lineRule="auto"/>
        <w:rPr>
          <w:lang w:val="fr-FR"/>
        </w:rPr>
      </w:pPr>
      <w:r w:rsidRPr="005F4F43">
        <w:rPr>
          <w:shd w:val="clear" w:color="auto" w:fill="FFFFFF"/>
          <w:lang w:val="fr-FR"/>
        </w:rPr>
        <w:t>CEUNEN, M.,</w:t>
      </w:r>
      <w:r w:rsidRPr="005F4F43">
        <w:rPr>
          <w:rStyle w:val="apple-converted-space"/>
          <w:rFonts w:ascii="Arial Black" w:hAnsi="Arial Black"/>
          <w:color w:val="444444"/>
          <w:sz w:val="22"/>
          <w:shd w:val="clear" w:color="auto" w:fill="FFFFFF"/>
          <w:lang w:val="fr-FR"/>
        </w:rPr>
        <w:t> </w:t>
      </w:r>
      <w:r w:rsidRPr="005F4F43">
        <w:rPr>
          <w:i/>
          <w:iCs/>
          <w:shd w:val="clear" w:color="auto" w:fill="FFFFFF"/>
          <w:lang w:val="fr-FR"/>
        </w:rPr>
        <w:t>De Leuvense schepenbank</w:t>
      </w:r>
      <w:r w:rsidRPr="005F4F43">
        <w:rPr>
          <w:rStyle w:val="apple-converted-space"/>
          <w:rFonts w:ascii="Arial Black" w:hAnsi="Arial Black"/>
          <w:color w:val="444444"/>
          <w:sz w:val="22"/>
          <w:shd w:val="clear" w:color="auto" w:fill="FFFFFF"/>
          <w:lang w:val="fr-FR"/>
        </w:rPr>
        <w:t> </w:t>
      </w:r>
      <w:r w:rsidRPr="005F4F43">
        <w:rPr>
          <w:shd w:val="clear" w:color="auto" w:fill="FFFFFF"/>
          <w:lang w:val="fr-FR"/>
        </w:rPr>
        <w:t>(Claves Scabinorum; 1), Leuven, 2013.</w:t>
      </w:r>
    </w:p>
    <w:p w:rsidR="00A11879" w:rsidRPr="0096338A" w:rsidRDefault="00A11879" w:rsidP="00A11879">
      <w:pPr>
        <w:spacing w:after="240" w:line="276" w:lineRule="auto"/>
        <w:rPr>
          <w:lang w:val="en-GB"/>
        </w:rPr>
      </w:pPr>
      <w:r w:rsidRPr="0096338A">
        <w:rPr>
          <w:lang w:val="en-GB"/>
        </w:rPr>
        <w:t xml:space="preserve">CLASSEN, A. red., </w:t>
      </w:r>
      <w:r w:rsidRPr="0096338A">
        <w:rPr>
          <w:i/>
          <w:lang w:val="en-GB"/>
        </w:rPr>
        <w:t>Urban Spafrauce in the Middle Ages and the Early Modern Age</w:t>
      </w:r>
      <w:r w:rsidRPr="0096338A">
        <w:rPr>
          <w:lang w:val="en-GB"/>
        </w:rPr>
        <w:t xml:space="preserve"> (Fundamentals of Medieval and Early Modern Culture, 4), Berlijn en New York, 2009.</w:t>
      </w:r>
    </w:p>
    <w:p w:rsidR="00A11879" w:rsidRPr="0096338A" w:rsidRDefault="00A11879" w:rsidP="00A11879">
      <w:pPr>
        <w:spacing w:after="240" w:line="276" w:lineRule="auto"/>
        <w:rPr>
          <w:lang w:val="en-GB"/>
        </w:rPr>
      </w:pPr>
      <w:r w:rsidRPr="0096338A">
        <w:rPr>
          <w:lang w:val="en-GB"/>
        </w:rPr>
        <w:t xml:space="preserve">CROWSTON, C., ‘Women, Gender, and Guilds in Early Modern Europe: An Overview of Recent Research’, </w:t>
      </w:r>
      <w:r w:rsidRPr="0096338A">
        <w:rPr>
          <w:i/>
          <w:lang w:val="en-GB"/>
        </w:rPr>
        <w:t>Internationaal Instituut voor Sociale Geschiedenis</w:t>
      </w:r>
      <w:r w:rsidRPr="0096338A">
        <w:rPr>
          <w:lang w:val="en-GB"/>
        </w:rPr>
        <w:t>, 53 (2008), 19 – 44.</w:t>
      </w:r>
    </w:p>
    <w:p w:rsidR="00A11879" w:rsidRPr="0096338A" w:rsidRDefault="00A11879" w:rsidP="00A11879">
      <w:pPr>
        <w:spacing w:after="240" w:line="276" w:lineRule="auto"/>
      </w:pPr>
      <w:r w:rsidRPr="0096338A">
        <w:t xml:space="preserve">DANNEEL, M., ‘Weduwen en sociale mobiliteit. Het juridisch statuut van de weduwen in Vlaanderen in de 14e-15e eeuw, in het bijzonder te Brugge’, DE BELDER, J., PREVENIER, W. en VANDENBROEKE, C. red., </w:t>
      </w:r>
      <w:r w:rsidRPr="0096338A">
        <w:rPr>
          <w:i/>
        </w:rPr>
        <w:t>Sociale mobiliteit en sociale structuren in Vlaanderen en Brabant van de late Middeleeuwen tot de 20e eeuw</w:t>
      </w:r>
      <w:r w:rsidRPr="0096338A">
        <w:t>, Gent, 1983, 9 – 21.</w:t>
      </w:r>
    </w:p>
    <w:p w:rsidR="00A11879" w:rsidRPr="0096338A" w:rsidRDefault="00A11879" w:rsidP="00A11879">
      <w:pPr>
        <w:spacing w:after="240" w:line="276" w:lineRule="auto"/>
      </w:pPr>
      <w:r w:rsidRPr="0096338A">
        <w:t xml:space="preserve">DANNEEL, M., </w:t>
      </w:r>
      <w:r w:rsidRPr="0096338A">
        <w:rPr>
          <w:i/>
        </w:rPr>
        <w:t xml:space="preserve">Weduwen en wezen in het laat-middeleeuwse Gent </w:t>
      </w:r>
      <w:r w:rsidRPr="0096338A">
        <w:t>(Studies in Urban Social, Economic and Political History of the Medieval and Modern Low Countries, 3), Leuven en Apeldoorn, 1995.</w:t>
      </w:r>
    </w:p>
    <w:p w:rsidR="00A11879" w:rsidRPr="0096338A" w:rsidRDefault="00A11879" w:rsidP="00A11879">
      <w:pPr>
        <w:spacing w:after="240" w:line="276" w:lineRule="auto"/>
        <w:rPr>
          <w:lang w:val="en-GB"/>
        </w:rPr>
      </w:pPr>
      <w:r w:rsidRPr="0096338A">
        <w:rPr>
          <w:lang w:val="en-GB"/>
        </w:rPr>
        <w:t xml:space="preserve">DE CERTEAU, M., </w:t>
      </w:r>
      <w:r w:rsidRPr="0096338A">
        <w:rPr>
          <w:i/>
          <w:lang w:val="en-GB"/>
        </w:rPr>
        <w:t>The Practice of Everyday Live</w:t>
      </w:r>
      <w:r w:rsidRPr="0096338A">
        <w:rPr>
          <w:lang w:val="en-GB"/>
        </w:rPr>
        <w:t>, Berkeley, Los Angeles en Londen, 1984.</w:t>
      </w:r>
    </w:p>
    <w:p w:rsidR="00A11879" w:rsidRPr="0096338A" w:rsidRDefault="00A11879" w:rsidP="00A11879">
      <w:pPr>
        <w:spacing w:after="240" w:line="276" w:lineRule="auto"/>
        <w:rPr>
          <w:lang w:val="en-GB"/>
        </w:rPr>
      </w:pPr>
      <w:r w:rsidRPr="0096338A">
        <w:rPr>
          <w:lang w:val="en-GB"/>
        </w:rPr>
        <w:lastRenderedPageBreak/>
        <w:t xml:space="preserve">DE MOOR, T. en VAN ZANDEN, J.L., ‘Girl power: the European marriage pattern and labour markets in the North Sea region in the late medieval and early modern period’, </w:t>
      </w:r>
      <w:r w:rsidRPr="0096338A">
        <w:rPr>
          <w:i/>
          <w:lang w:val="en-GB"/>
        </w:rPr>
        <w:t>Economic History Review</w:t>
      </w:r>
      <w:r w:rsidRPr="0096338A">
        <w:rPr>
          <w:lang w:val="en-GB"/>
        </w:rPr>
        <w:t>, 63 (2010), 1 – 33.</w:t>
      </w:r>
    </w:p>
    <w:p w:rsidR="00A11879" w:rsidRDefault="00A11879" w:rsidP="00A11879">
      <w:pPr>
        <w:spacing w:after="240" w:line="276" w:lineRule="auto"/>
        <w:rPr>
          <w:lang w:val="en-GB"/>
        </w:rPr>
      </w:pPr>
      <w:r w:rsidRPr="0096338A">
        <w:rPr>
          <w:lang w:val="en-GB"/>
        </w:rPr>
        <w:t xml:space="preserve">EPSTEIN, S.A., </w:t>
      </w:r>
      <w:r w:rsidRPr="0096338A">
        <w:rPr>
          <w:i/>
          <w:lang w:val="en-GB"/>
        </w:rPr>
        <w:t>An Economic and Social History of Later Medieval Europe, 1000 – 1500</w:t>
      </w:r>
      <w:r w:rsidRPr="0096338A">
        <w:rPr>
          <w:lang w:val="en-GB"/>
        </w:rPr>
        <w:t>, Cambridge, 2009.</w:t>
      </w:r>
    </w:p>
    <w:p w:rsidR="000365E3" w:rsidRPr="000365E3" w:rsidRDefault="000365E3" w:rsidP="00A11879">
      <w:pPr>
        <w:spacing w:after="240" w:line="276" w:lineRule="auto"/>
        <w:rPr>
          <w:lang w:val="en-GB"/>
        </w:rPr>
      </w:pPr>
      <w:r w:rsidRPr="000365E3">
        <w:rPr>
          <w:lang w:val="en-GB"/>
        </w:rPr>
        <w:t xml:space="preserve">ERLER, M. en KOWALESKI, M., </w:t>
      </w:r>
      <w:r w:rsidRPr="000365E3">
        <w:rPr>
          <w:i/>
          <w:lang w:val="en-GB"/>
        </w:rPr>
        <w:t>Women and Power in the Middle Ages</w:t>
      </w:r>
      <w:r>
        <w:rPr>
          <w:lang w:val="en-GB"/>
        </w:rPr>
        <w:t>, Athene, 1988.</w:t>
      </w:r>
    </w:p>
    <w:p w:rsidR="00A11879" w:rsidRPr="0096338A" w:rsidRDefault="00A11879" w:rsidP="00A11879">
      <w:pPr>
        <w:spacing w:after="240" w:line="276" w:lineRule="auto"/>
        <w:rPr>
          <w:lang w:val="en-GB"/>
        </w:rPr>
      </w:pPr>
      <w:r w:rsidRPr="0096338A">
        <w:rPr>
          <w:lang w:val="en-GB"/>
        </w:rPr>
        <w:t xml:space="preserve">FLANAGAN, M.A., GIALANELLA VALIULIS, M., ‘Gender and the City: The Awful Being of Invisibility’, </w:t>
      </w:r>
      <w:r w:rsidRPr="0096338A">
        <w:rPr>
          <w:i/>
          <w:lang w:val="en-GB"/>
        </w:rPr>
        <w:t>Frontiers: A Journal of Women Studies</w:t>
      </w:r>
      <w:r w:rsidRPr="0096338A">
        <w:rPr>
          <w:lang w:val="en-GB"/>
        </w:rPr>
        <w:t>, 32 (2011), xiii – xx.</w:t>
      </w:r>
    </w:p>
    <w:p w:rsidR="00A11879" w:rsidRPr="005F4F43" w:rsidRDefault="00A11879" w:rsidP="00A11879">
      <w:pPr>
        <w:spacing w:after="240" w:line="276" w:lineRule="auto"/>
        <w:rPr>
          <w:lang w:val="fr-FR"/>
        </w:rPr>
      </w:pPr>
      <w:r w:rsidRPr="005F4F43">
        <w:rPr>
          <w:lang w:val="fr-FR"/>
        </w:rPr>
        <w:t xml:space="preserve">GILISSEN, J., </w:t>
      </w:r>
      <w:r w:rsidRPr="005F4F43">
        <w:rPr>
          <w:i/>
          <w:lang w:val="fr-FR"/>
        </w:rPr>
        <w:t>Le statut de la femme dans l’ancien droit belge</w:t>
      </w:r>
      <w:r w:rsidRPr="005F4F43">
        <w:rPr>
          <w:lang w:val="fr-FR"/>
        </w:rPr>
        <w:t xml:space="preserve"> (Extrait des Receuils de la Société Jean Bodin. 12: La femme), Brussel 1962.</w:t>
      </w:r>
    </w:p>
    <w:p w:rsidR="00A11879" w:rsidRPr="005F4F43" w:rsidRDefault="00A11879" w:rsidP="00A11879">
      <w:pPr>
        <w:spacing w:after="240" w:line="276" w:lineRule="auto"/>
        <w:rPr>
          <w:lang w:val="fr-FR"/>
        </w:rPr>
      </w:pPr>
      <w:r w:rsidRPr="005F4F43">
        <w:rPr>
          <w:lang w:val="fr-FR"/>
        </w:rPr>
        <w:t xml:space="preserve">GODDING, P., </w:t>
      </w:r>
      <w:r w:rsidRPr="005F4F43">
        <w:rPr>
          <w:i/>
          <w:lang w:val="fr-FR"/>
        </w:rPr>
        <w:t>Le droit privé dans les Pays-Bad méridionaux du 12</w:t>
      </w:r>
      <w:r w:rsidRPr="005F4F43">
        <w:rPr>
          <w:i/>
          <w:vertAlign w:val="superscript"/>
          <w:lang w:val="fr-FR"/>
        </w:rPr>
        <w:t>e</w:t>
      </w:r>
      <w:r w:rsidRPr="005F4F43">
        <w:rPr>
          <w:i/>
          <w:lang w:val="fr-FR"/>
        </w:rPr>
        <w:t xml:space="preserve"> au 18</w:t>
      </w:r>
      <w:r w:rsidRPr="005F4F43">
        <w:rPr>
          <w:i/>
          <w:vertAlign w:val="superscript"/>
          <w:lang w:val="fr-FR"/>
        </w:rPr>
        <w:t>e</w:t>
      </w:r>
      <w:r w:rsidRPr="005F4F43">
        <w:rPr>
          <w:i/>
          <w:lang w:val="fr-FR"/>
        </w:rPr>
        <w:t xml:space="preserve"> siècle </w:t>
      </w:r>
      <w:r w:rsidRPr="005F4F43">
        <w:rPr>
          <w:lang w:val="fr-FR"/>
        </w:rPr>
        <w:t>(</w:t>
      </w:r>
      <w:r w:rsidRPr="005F4F43">
        <w:rPr>
          <w:rFonts w:cs="Times New Roman"/>
          <w:lang w:val="fr-FR"/>
        </w:rPr>
        <w:t>Académie Royale de Belgique. Mémoire de la Classe des Lettres. Collection in-4°, 2e série, XIV, 1)</w:t>
      </w:r>
      <w:r w:rsidRPr="005F4F43">
        <w:rPr>
          <w:lang w:val="fr-FR"/>
        </w:rPr>
        <w:t>, Brussel, 1987.</w:t>
      </w:r>
    </w:p>
    <w:p w:rsidR="00A11879" w:rsidRPr="0096338A" w:rsidRDefault="00A11879" w:rsidP="00A11879">
      <w:pPr>
        <w:spacing w:after="240" w:line="276" w:lineRule="auto"/>
        <w:rPr>
          <w:lang w:val="en-GB"/>
        </w:rPr>
      </w:pPr>
      <w:r w:rsidRPr="0096338A">
        <w:rPr>
          <w:lang w:val="en-GB"/>
        </w:rPr>
        <w:t xml:space="preserve">GOLDBERG, P.J.P, </w:t>
      </w:r>
      <w:r w:rsidRPr="0096338A">
        <w:rPr>
          <w:i/>
          <w:lang w:val="en-GB"/>
        </w:rPr>
        <w:t>Women, Work, and Life Cycle in a Medieval Economy: Women in York and Yorkshire c. 1300 – 1520</w:t>
      </w:r>
      <w:r w:rsidRPr="0096338A">
        <w:rPr>
          <w:lang w:val="en-GB"/>
        </w:rPr>
        <w:t>, Oxford, 1992.</w:t>
      </w:r>
    </w:p>
    <w:p w:rsidR="00AE6E89" w:rsidRDefault="00AE6E89" w:rsidP="00A11879">
      <w:pPr>
        <w:spacing w:after="240" w:line="276" w:lineRule="auto"/>
      </w:pPr>
      <w:r>
        <w:t>HAEMERS, J., ‘</w:t>
      </w:r>
      <w:r>
        <w:rPr>
          <w:color w:val="212121"/>
          <w:shd w:val="clear" w:color="auto" w:fill="FFFFFF"/>
        </w:rPr>
        <w:t xml:space="preserve">Commotie in Mechelen. Over sociale conflicten en politiek protest van mannen én vrouwen in de laatmiddeleeuwse stad’, </w:t>
      </w:r>
      <w:r>
        <w:rPr>
          <w:i/>
          <w:iCs/>
          <w:color w:val="212121"/>
          <w:shd w:val="clear" w:color="auto" w:fill="FFFFFF"/>
        </w:rPr>
        <w:t>Handelingen van de Koninklijke Kring voor Oudheidkunde, Letteren en Kunst van Mechelen</w:t>
      </w:r>
      <w:r>
        <w:rPr>
          <w:color w:val="212121"/>
          <w:shd w:val="clear" w:color="auto" w:fill="FFFFFF"/>
        </w:rPr>
        <w:t>, 120</w:t>
      </w:r>
      <w:r>
        <w:rPr>
          <w:rStyle w:val="apple-converted-space"/>
          <w:color w:val="212121"/>
          <w:shd w:val="clear" w:color="auto" w:fill="FFFFFF"/>
        </w:rPr>
        <w:t> </w:t>
      </w:r>
      <w:r>
        <w:rPr>
          <w:color w:val="212121"/>
          <w:shd w:val="clear" w:color="auto" w:fill="FFFFFF"/>
        </w:rPr>
        <w:t>(2016).</w:t>
      </w:r>
    </w:p>
    <w:p w:rsidR="00A11879" w:rsidRPr="0096338A" w:rsidRDefault="00A11879" w:rsidP="00A11879">
      <w:pPr>
        <w:spacing w:after="240" w:line="276" w:lineRule="auto"/>
      </w:pPr>
      <w:r w:rsidRPr="0096338A">
        <w:t xml:space="preserve">HAEMERS, J., </w:t>
      </w:r>
      <w:r w:rsidRPr="0096338A">
        <w:rPr>
          <w:i/>
        </w:rPr>
        <w:t>Een rebelse stad aan de Dijle. Over conflicten en politiek in laatmiddeleeuws Leuven</w:t>
      </w:r>
      <w:r w:rsidRPr="0096338A">
        <w:t xml:space="preserve"> (Claves Scabinorum, 4), Leuven, 2015.</w:t>
      </w:r>
    </w:p>
    <w:p w:rsidR="00AE6E89" w:rsidRPr="005F4F43" w:rsidRDefault="00A11879" w:rsidP="00A11879">
      <w:pPr>
        <w:spacing w:after="240" w:line="276" w:lineRule="auto"/>
        <w:rPr>
          <w:lang w:val="fr-FR"/>
        </w:rPr>
      </w:pPr>
      <w:r w:rsidRPr="005F4F43">
        <w:rPr>
          <w:lang w:val="fr-FR"/>
        </w:rPr>
        <w:t>HAEMERS, J., ‘Révolte et requête. Les gens de métiers et les conflits sociaux dans les villes de Flandre (XIII</w:t>
      </w:r>
      <w:r w:rsidRPr="005F4F43">
        <w:rPr>
          <w:vertAlign w:val="superscript"/>
          <w:lang w:val="fr-FR"/>
        </w:rPr>
        <w:t>e</w:t>
      </w:r>
      <w:r w:rsidRPr="005F4F43">
        <w:rPr>
          <w:lang w:val="fr-FR"/>
        </w:rPr>
        <w:t xml:space="preserve"> – XV</w:t>
      </w:r>
      <w:r w:rsidRPr="005F4F43">
        <w:rPr>
          <w:vertAlign w:val="superscript"/>
          <w:lang w:val="fr-FR"/>
        </w:rPr>
        <w:t>e</w:t>
      </w:r>
      <w:r w:rsidRPr="005F4F43">
        <w:rPr>
          <w:lang w:val="fr-FR"/>
        </w:rPr>
        <w:t xml:space="preserve"> siècle)’, </w:t>
      </w:r>
      <w:r w:rsidRPr="005F4F43">
        <w:rPr>
          <w:i/>
          <w:lang w:val="fr-FR"/>
        </w:rPr>
        <w:t>Revue historique</w:t>
      </w:r>
      <w:r w:rsidRPr="005F4F43">
        <w:rPr>
          <w:lang w:val="fr-FR"/>
        </w:rPr>
        <w:t>, 677 (2016), 27 – 55.</w:t>
      </w:r>
    </w:p>
    <w:p w:rsidR="00A11879" w:rsidRPr="0096338A" w:rsidRDefault="00A11879" w:rsidP="00A11879">
      <w:pPr>
        <w:spacing w:after="240" w:line="276" w:lineRule="auto"/>
        <w:rPr>
          <w:lang w:val="en-GB"/>
        </w:rPr>
      </w:pPr>
      <w:r w:rsidRPr="0096338A">
        <w:rPr>
          <w:lang w:val="en-GB"/>
        </w:rPr>
        <w:t xml:space="preserve">HANAWALT, B.A. red., </w:t>
      </w:r>
      <w:r w:rsidRPr="0096338A">
        <w:rPr>
          <w:i/>
          <w:lang w:val="en-GB"/>
        </w:rPr>
        <w:t>Women and Work in Preindustrial Europe</w:t>
      </w:r>
      <w:r w:rsidRPr="0096338A">
        <w:rPr>
          <w:lang w:val="en-GB"/>
        </w:rPr>
        <w:t>, Bloomington, 1986.</w:t>
      </w:r>
    </w:p>
    <w:p w:rsidR="00A11879" w:rsidRPr="0096338A" w:rsidRDefault="00A11879" w:rsidP="00A11879">
      <w:pPr>
        <w:spacing w:after="240" w:line="276" w:lineRule="auto"/>
        <w:rPr>
          <w:lang w:val="en-GB"/>
        </w:rPr>
      </w:pPr>
      <w:r w:rsidRPr="0096338A">
        <w:rPr>
          <w:lang w:val="en-GB"/>
        </w:rPr>
        <w:t xml:space="preserve">HILTON, R.H., ‘Medieval Market Towns and Simple Commodity Production’, </w:t>
      </w:r>
      <w:r w:rsidRPr="0096338A">
        <w:rPr>
          <w:i/>
          <w:lang w:val="en-GB"/>
        </w:rPr>
        <w:t>Past &amp; Present</w:t>
      </w:r>
      <w:r w:rsidRPr="0096338A">
        <w:rPr>
          <w:lang w:val="en-GB"/>
        </w:rPr>
        <w:t>, 109 (1985), 3 – 23.</w:t>
      </w:r>
    </w:p>
    <w:p w:rsidR="00A11879" w:rsidRPr="0096338A" w:rsidRDefault="00A11879" w:rsidP="00A11879">
      <w:pPr>
        <w:spacing w:after="240" w:line="276" w:lineRule="auto"/>
        <w:rPr>
          <w:lang w:val="en-GB"/>
        </w:rPr>
      </w:pPr>
      <w:r w:rsidRPr="0096338A">
        <w:rPr>
          <w:lang w:val="en-GB"/>
        </w:rPr>
        <w:t xml:space="preserve">HOWELL, M., ‘Gender in the transition to merchant capitalism’, J. BENNETT en R. KARRAS red., </w:t>
      </w:r>
      <w:r w:rsidRPr="0096338A">
        <w:rPr>
          <w:i/>
          <w:lang w:val="en-GB"/>
        </w:rPr>
        <w:t>The Oxford Handbook of Women and Gender in Medieval Europe</w:t>
      </w:r>
      <w:r w:rsidRPr="0096338A">
        <w:rPr>
          <w:lang w:val="en-GB"/>
        </w:rPr>
        <w:t>, Oxford, 2013, 561 – 576.</w:t>
      </w:r>
    </w:p>
    <w:p w:rsidR="00A11879" w:rsidRPr="0096338A" w:rsidRDefault="00A11879" w:rsidP="00A11879">
      <w:pPr>
        <w:spacing w:after="240" w:line="276" w:lineRule="auto"/>
        <w:rPr>
          <w:lang w:val="en-GB"/>
        </w:rPr>
      </w:pPr>
      <w:r w:rsidRPr="0096338A">
        <w:rPr>
          <w:lang w:val="en-GB"/>
        </w:rPr>
        <w:t xml:space="preserve">HOWELL, M., ‘The Gender of Europe’s Commercial Economy, 1200 – 1700’, </w:t>
      </w:r>
      <w:r w:rsidRPr="0096338A">
        <w:rPr>
          <w:i/>
          <w:lang w:val="en-GB"/>
        </w:rPr>
        <w:t>Gender &amp; History</w:t>
      </w:r>
      <w:r w:rsidRPr="0096338A">
        <w:rPr>
          <w:lang w:val="en-GB"/>
        </w:rPr>
        <w:t>, 20 (2008), 519 – 538.</w:t>
      </w:r>
    </w:p>
    <w:p w:rsidR="00A11879" w:rsidRPr="0096338A" w:rsidRDefault="00A11879" w:rsidP="00A11879">
      <w:pPr>
        <w:spacing w:after="240" w:line="276" w:lineRule="auto"/>
        <w:rPr>
          <w:lang w:val="en-GB"/>
        </w:rPr>
      </w:pPr>
      <w:r w:rsidRPr="0096338A">
        <w:rPr>
          <w:lang w:val="en-GB"/>
        </w:rPr>
        <w:t xml:space="preserve">HOWELL, M., ‘The spaces of late medieval urbanity’, P. STABEL en M. BOONE red., </w:t>
      </w:r>
      <w:r w:rsidRPr="0096338A">
        <w:rPr>
          <w:i/>
          <w:lang w:val="en-GB"/>
        </w:rPr>
        <w:t>Shaping Urban Identity in Late Medieval Europe</w:t>
      </w:r>
      <w:r w:rsidRPr="0096338A">
        <w:rPr>
          <w:lang w:val="en-GB"/>
        </w:rPr>
        <w:t>, Leuven, 2000, 3 – 23.</w:t>
      </w:r>
    </w:p>
    <w:p w:rsidR="00A11879" w:rsidRPr="0096338A" w:rsidRDefault="00A11879" w:rsidP="00A11879">
      <w:pPr>
        <w:spacing w:after="240" w:line="276" w:lineRule="auto"/>
        <w:rPr>
          <w:lang w:val="en-GB"/>
        </w:rPr>
      </w:pPr>
      <w:r w:rsidRPr="0096338A">
        <w:rPr>
          <w:lang w:val="en-GB"/>
        </w:rPr>
        <w:lastRenderedPageBreak/>
        <w:t xml:space="preserve">HOWELL, M., </w:t>
      </w:r>
      <w:r w:rsidRPr="0096338A">
        <w:rPr>
          <w:i/>
          <w:lang w:val="en-GB"/>
        </w:rPr>
        <w:t>Women, Production, and Patriarchy in Late Medieval Cities</w:t>
      </w:r>
      <w:r w:rsidRPr="0096338A">
        <w:rPr>
          <w:lang w:val="en-GB"/>
        </w:rPr>
        <w:t>, Chicago en Londen, 1986.</w:t>
      </w:r>
    </w:p>
    <w:p w:rsidR="00A11879" w:rsidRPr="0096338A" w:rsidRDefault="00A11879" w:rsidP="00A11879">
      <w:pPr>
        <w:spacing w:after="240" w:line="276" w:lineRule="auto"/>
        <w:rPr>
          <w:lang w:val="en-GB"/>
        </w:rPr>
      </w:pPr>
      <w:r w:rsidRPr="0096338A">
        <w:rPr>
          <w:lang w:val="en-GB"/>
        </w:rPr>
        <w:t xml:space="preserve">HUTTON, S., ‘Property, Family and Partnership: Married Women and Legal Capability in Late Medieval Ghent’, C. BEATTIE en M.F. STEVENS red., </w:t>
      </w:r>
      <w:r w:rsidRPr="0096338A">
        <w:rPr>
          <w:i/>
          <w:lang w:val="en-GB"/>
        </w:rPr>
        <w:t>Married Women and the Law in Premodern Northwest Europe</w:t>
      </w:r>
      <w:r w:rsidRPr="0096338A">
        <w:rPr>
          <w:lang w:val="en-GB"/>
        </w:rPr>
        <w:t>, Woodbridge, 2013, 155 – 172.</w:t>
      </w:r>
    </w:p>
    <w:p w:rsidR="00A11879" w:rsidRPr="0096338A" w:rsidRDefault="00A11879" w:rsidP="00A11879">
      <w:pPr>
        <w:spacing w:after="240" w:line="276" w:lineRule="auto"/>
        <w:rPr>
          <w:lang w:val="en-GB"/>
        </w:rPr>
      </w:pPr>
      <w:r w:rsidRPr="0096338A">
        <w:rPr>
          <w:lang w:val="en-GB"/>
        </w:rPr>
        <w:t xml:space="preserve">HUTTON, S., </w:t>
      </w:r>
      <w:r w:rsidRPr="0096338A">
        <w:rPr>
          <w:i/>
          <w:lang w:val="en-GB"/>
        </w:rPr>
        <w:t>Women and Economic Activities in Late Medieval Ghent</w:t>
      </w:r>
      <w:r w:rsidRPr="0096338A">
        <w:rPr>
          <w:lang w:val="en-GB"/>
        </w:rPr>
        <w:t>, New York, 2011.</w:t>
      </w:r>
    </w:p>
    <w:p w:rsidR="00A11879" w:rsidRPr="0096338A" w:rsidRDefault="00A11879" w:rsidP="00A11879">
      <w:pPr>
        <w:spacing w:after="240" w:line="276" w:lineRule="auto"/>
        <w:rPr>
          <w:lang w:val="en-GB"/>
        </w:rPr>
      </w:pPr>
      <w:r w:rsidRPr="0096338A">
        <w:rPr>
          <w:lang w:val="en-GB"/>
        </w:rPr>
        <w:t xml:space="preserve">KITTELL, E.E., ‘“Half as Much as a Man”?: Gender Ideology and Practice in Medieval Flanders, </w:t>
      </w:r>
      <w:r w:rsidRPr="0096338A">
        <w:rPr>
          <w:i/>
          <w:lang w:val="en-GB"/>
        </w:rPr>
        <w:t>Journal of Women’s History</w:t>
      </w:r>
      <w:r w:rsidRPr="0096338A">
        <w:rPr>
          <w:lang w:val="en-GB"/>
        </w:rPr>
        <w:t>, 23 (2011), 132 – 154.</w:t>
      </w:r>
    </w:p>
    <w:p w:rsidR="00A11879" w:rsidRPr="0096338A" w:rsidRDefault="00A11879" w:rsidP="00A11879">
      <w:pPr>
        <w:spacing w:after="240" w:line="276" w:lineRule="auto"/>
        <w:rPr>
          <w:lang w:val="en-GB"/>
        </w:rPr>
      </w:pPr>
      <w:r w:rsidRPr="0096338A">
        <w:rPr>
          <w:lang w:val="en-GB"/>
        </w:rPr>
        <w:t xml:space="preserve">KITTELL, E.E., ‘The Construction of Women’s Social Identity in Medieval Douai: Evidence from Identifying Epithets’, </w:t>
      </w:r>
      <w:r w:rsidRPr="0096338A">
        <w:rPr>
          <w:i/>
          <w:lang w:val="en-GB"/>
        </w:rPr>
        <w:t>Journal of Medieval History</w:t>
      </w:r>
      <w:r w:rsidRPr="0096338A">
        <w:rPr>
          <w:lang w:val="en-GB"/>
        </w:rPr>
        <w:t>, 25 (1999), 215 – 227.</w:t>
      </w:r>
    </w:p>
    <w:p w:rsidR="00A11879" w:rsidRPr="0096338A" w:rsidRDefault="00A11879" w:rsidP="00A11879">
      <w:pPr>
        <w:spacing w:after="240" w:line="276" w:lineRule="auto"/>
        <w:rPr>
          <w:lang w:val="en-GB"/>
        </w:rPr>
      </w:pPr>
      <w:r w:rsidRPr="0096338A">
        <w:rPr>
          <w:lang w:val="en-GB"/>
        </w:rPr>
        <w:t xml:space="preserve">KITELL, E.E., ‘Women, Audience, and Public Acts in Medieval Flanders’, </w:t>
      </w:r>
      <w:r w:rsidRPr="0096338A">
        <w:rPr>
          <w:i/>
          <w:lang w:val="en-GB"/>
        </w:rPr>
        <w:t>Journal of Women’s History</w:t>
      </w:r>
      <w:r w:rsidRPr="0096338A">
        <w:rPr>
          <w:lang w:val="en-GB"/>
        </w:rPr>
        <w:t>, 10 (1998), 74 – 96.</w:t>
      </w:r>
    </w:p>
    <w:p w:rsidR="00A11879" w:rsidRPr="0096338A" w:rsidRDefault="00A11879" w:rsidP="00A11879">
      <w:pPr>
        <w:spacing w:after="240" w:line="276" w:lineRule="auto"/>
        <w:rPr>
          <w:lang w:val="en-GB"/>
        </w:rPr>
      </w:pPr>
      <w:r w:rsidRPr="0096338A">
        <w:rPr>
          <w:lang w:val="en-GB"/>
        </w:rPr>
        <w:t xml:space="preserve">KITTELL, E.E. en QUELLER, K., ‘“Whether man or woman”: Gender Inclusivity in the Town Ordinances of Medieval Douai’, </w:t>
      </w:r>
      <w:r w:rsidRPr="0096338A">
        <w:rPr>
          <w:i/>
          <w:lang w:val="en-GB"/>
        </w:rPr>
        <w:t>Journal of Medieval and Early Modern Studies</w:t>
      </w:r>
      <w:r w:rsidRPr="0096338A">
        <w:rPr>
          <w:lang w:val="en-GB"/>
        </w:rPr>
        <w:t>, 30 (2000), 63 – 100.</w:t>
      </w:r>
    </w:p>
    <w:p w:rsidR="00A11879" w:rsidRPr="0096338A" w:rsidRDefault="00A11879" w:rsidP="00A11879">
      <w:pPr>
        <w:spacing w:after="240" w:line="276" w:lineRule="auto"/>
        <w:rPr>
          <w:lang w:val="en-GB"/>
        </w:rPr>
      </w:pPr>
      <w:r w:rsidRPr="0096338A">
        <w:rPr>
          <w:lang w:val="en-GB"/>
        </w:rPr>
        <w:t xml:space="preserve">KITTELL, E.E. en SUYDAM, M.A. red., </w:t>
      </w:r>
      <w:r w:rsidRPr="0096338A">
        <w:rPr>
          <w:i/>
          <w:lang w:val="en-GB"/>
        </w:rPr>
        <w:t>The Texture of Society: Medieval Women in the Southern Low Countries</w:t>
      </w:r>
      <w:r w:rsidRPr="0096338A">
        <w:rPr>
          <w:lang w:val="en-GB"/>
        </w:rPr>
        <w:t xml:space="preserve"> (The New Middle Ages), New York, 2004.</w:t>
      </w:r>
    </w:p>
    <w:p w:rsidR="00A11879" w:rsidRPr="0096338A" w:rsidRDefault="00A11879" w:rsidP="00A11879">
      <w:pPr>
        <w:spacing w:after="240" w:line="276" w:lineRule="auto"/>
        <w:rPr>
          <w:lang w:val="en-GB"/>
        </w:rPr>
      </w:pPr>
      <w:r w:rsidRPr="0096338A">
        <w:rPr>
          <w:lang w:val="en-GB"/>
        </w:rPr>
        <w:t xml:space="preserve">KOWALESKI, M. en BENNETT, J.M., ‘Crafts, Gilds, and Women in the Middle Ages: Fifty Years after Marian K. Dale’, </w:t>
      </w:r>
      <w:r w:rsidRPr="0096338A">
        <w:rPr>
          <w:i/>
          <w:lang w:val="en-GB"/>
        </w:rPr>
        <w:t>Signs</w:t>
      </w:r>
      <w:r w:rsidRPr="0096338A">
        <w:rPr>
          <w:lang w:val="en-GB"/>
        </w:rPr>
        <w:t>, 14 (1989), 474 – 501.</w:t>
      </w:r>
    </w:p>
    <w:p w:rsidR="00A11879" w:rsidRPr="0096338A" w:rsidRDefault="00A11879" w:rsidP="00A11879">
      <w:pPr>
        <w:spacing w:after="240" w:line="276" w:lineRule="auto"/>
        <w:rPr>
          <w:lang w:val="en-GB"/>
        </w:rPr>
      </w:pPr>
      <w:r w:rsidRPr="0096338A">
        <w:rPr>
          <w:lang w:val="en-GB"/>
        </w:rPr>
        <w:t xml:space="preserve">KUSKOWSKI, A.-M., ‘Inventing Legal Space: From Regional Custom to Common Law in the </w:t>
      </w:r>
      <w:r w:rsidRPr="0096338A">
        <w:rPr>
          <w:i/>
          <w:lang w:val="en-GB"/>
        </w:rPr>
        <w:t xml:space="preserve">Coutumiers </w:t>
      </w:r>
      <w:r w:rsidRPr="0096338A">
        <w:rPr>
          <w:lang w:val="en-GB"/>
        </w:rPr>
        <w:t xml:space="preserve">of Medieval France’, M. COHEN en F. MADELINE red., </w:t>
      </w:r>
      <w:r w:rsidRPr="0096338A">
        <w:rPr>
          <w:i/>
          <w:lang w:val="en-GB"/>
        </w:rPr>
        <w:t>Space in the Medieval West: Places, Territories, and Imagined Geographies</w:t>
      </w:r>
      <w:r w:rsidRPr="0096338A">
        <w:rPr>
          <w:lang w:val="en-GB"/>
        </w:rPr>
        <w:t>, Surrey en Burlington, 2014, 133 – 155.</w:t>
      </w:r>
    </w:p>
    <w:p w:rsidR="00A11879" w:rsidRPr="005F4F43" w:rsidRDefault="00A11879" w:rsidP="00A11879">
      <w:pPr>
        <w:spacing w:after="240" w:line="276" w:lineRule="auto"/>
        <w:rPr>
          <w:lang w:val="fr-FR"/>
        </w:rPr>
      </w:pPr>
      <w:r w:rsidRPr="005F4F43">
        <w:rPr>
          <w:lang w:val="fr-FR"/>
        </w:rPr>
        <w:t xml:space="preserve">LAMBRECHTS, P. en SOSSON, J.-P. red., </w:t>
      </w:r>
      <w:r w:rsidRPr="005F4F43">
        <w:rPr>
          <w:i/>
          <w:lang w:val="fr-FR"/>
        </w:rPr>
        <w:t>Les Métiers au Moyen Âge: Aspects Économiques es sociaux</w:t>
      </w:r>
      <w:r w:rsidRPr="005F4F43">
        <w:rPr>
          <w:lang w:val="fr-FR"/>
        </w:rPr>
        <w:t>, Louvain-la-Neuve, 1994.</w:t>
      </w:r>
    </w:p>
    <w:p w:rsidR="00A11879" w:rsidRPr="0096338A" w:rsidRDefault="00A11879" w:rsidP="00A11879">
      <w:pPr>
        <w:spacing w:after="240" w:line="276" w:lineRule="auto"/>
        <w:rPr>
          <w:lang w:val="en-GB"/>
        </w:rPr>
      </w:pPr>
      <w:r w:rsidRPr="0096338A">
        <w:rPr>
          <w:rFonts w:cs="Times New Roman"/>
          <w:szCs w:val="24"/>
          <w:lang w:val="en-GB"/>
        </w:rPr>
        <w:t xml:space="preserve">LEFEBVRE, H., </w:t>
      </w:r>
      <w:r w:rsidRPr="0096338A">
        <w:rPr>
          <w:rFonts w:cs="Times New Roman"/>
          <w:i/>
          <w:szCs w:val="24"/>
          <w:lang w:val="en-GB"/>
        </w:rPr>
        <w:t>The Production of Space</w:t>
      </w:r>
      <w:r w:rsidRPr="0096338A">
        <w:rPr>
          <w:rFonts w:cs="Times New Roman"/>
          <w:szCs w:val="24"/>
          <w:lang w:val="en-GB"/>
        </w:rPr>
        <w:t>, Malden, Oxford en Carlton, 1991.</w:t>
      </w:r>
    </w:p>
    <w:p w:rsidR="00A11879" w:rsidRPr="0096338A" w:rsidRDefault="00A11879" w:rsidP="00A11879">
      <w:pPr>
        <w:spacing w:after="240" w:line="276" w:lineRule="auto"/>
        <w:rPr>
          <w:rFonts w:cs="Times New Roman"/>
          <w:szCs w:val="24"/>
          <w:lang w:val="en-GB"/>
        </w:rPr>
      </w:pPr>
      <w:r w:rsidRPr="0096338A">
        <w:rPr>
          <w:rFonts w:cs="Times New Roman"/>
          <w:szCs w:val="24"/>
          <w:lang w:val="en-GB"/>
        </w:rPr>
        <w:t xml:space="preserve">MCINTOSH, M., </w:t>
      </w:r>
      <w:r w:rsidRPr="0096338A">
        <w:rPr>
          <w:rFonts w:cs="Times New Roman"/>
          <w:i/>
          <w:szCs w:val="24"/>
          <w:lang w:val="en-GB"/>
        </w:rPr>
        <w:t>Working Women in English Society, 1300-1620</w:t>
      </w:r>
      <w:r w:rsidRPr="0096338A">
        <w:rPr>
          <w:rFonts w:cs="Times New Roman"/>
          <w:szCs w:val="24"/>
          <w:lang w:val="en-GB"/>
        </w:rPr>
        <w:t>, Cambridge, 2005</w:t>
      </w:r>
    </w:p>
    <w:p w:rsidR="00A11879" w:rsidRPr="0096338A" w:rsidRDefault="00A11879" w:rsidP="00A11879">
      <w:pPr>
        <w:spacing w:after="240" w:line="276" w:lineRule="auto"/>
        <w:rPr>
          <w:lang w:val="en-GB"/>
        </w:rPr>
      </w:pPr>
      <w:r w:rsidRPr="0096338A">
        <w:rPr>
          <w:rFonts w:cs="Times New Roman"/>
          <w:szCs w:val="24"/>
          <w:lang w:val="en-GB"/>
        </w:rPr>
        <w:t xml:space="preserve">MUIR, E. en WEISSMAN, R., ‘Social and symbolic places in Renaissance Venice and Florence’, J.A. AGNEW en J.S. DUNCAN, </w:t>
      </w:r>
      <w:r w:rsidRPr="0096338A">
        <w:rPr>
          <w:rFonts w:cs="Times New Roman"/>
          <w:i/>
          <w:szCs w:val="24"/>
          <w:lang w:val="en-GB"/>
        </w:rPr>
        <w:t>The Power of Place. Bringing together geographical and sociological imaginations</w:t>
      </w:r>
      <w:r w:rsidRPr="0096338A">
        <w:rPr>
          <w:rFonts w:cs="Times New Roman"/>
          <w:szCs w:val="24"/>
          <w:lang w:val="en-GB"/>
        </w:rPr>
        <w:t>, Londen, Sydney en Wellington, 1989, 91 – 103.</w:t>
      </w:r>
    </w:p>
    <w:p w:rsidR="00A11879" w:rsidRPr="0096338A" w:rsidRDefault="00A11879" w:rsidP="00A11879">
      <w:pPr>
        <w:spacing w:after="240" w:line="276" w:lineRule="auto"/>
        <w:rPr>
          <w:lang w:val="en-GB"/>
        </w:rPr>
      </w:pPr>
      <w:r w:rsidRPr="0096338A">
        <w:rPr>
          <w:lang w:val="en-GB"/>
        </w:rPr>
        <w:t xml:space="preserve">NICHOLAS, D., </w:t>
      </w:r>
      <w:r w:rsidRPr="0096338A">
        <w:rPr>
          <w:i/>
          <w:lang w:val="en-GB"/>
        </w:rPr>
        <w:t>The Domestic Life of a Medieval City: Women, Children, and the Family in Fourteenth-Century Ghent</w:t>
      </w:r>
      <w:r w:rsidRPr="0096338A">
        <w:rPr>
          <w:lang w:val="en-GB"/>
        </w:rPr>
        <w:t>, Lincoln en Londen, 1985.</w:t>
      </w:r>
    </w:p>
    <w:p w:rsidR="00A11879" w:rsidRPr="0096338A" w:rsidRDefault="00A11879" w:rsidP="00A11879">
      <w:pPr>
        <w:spacing w:after="240" w:line="276" w:lineRule="auto"/>
        <w:rPr>
          <w:lang w:val="en-GB"/>
        </w:rPr>
      </w:pPr>
      <w:r w:rsidRPr="0096338A">
        <w:rPr>
          <w:lang w:val="en-GB"/>
        </w:rPr>
        <w:lastRenderedPageBreak/>
        <w:t xml:space="preserve">NICHOLAS, D., </w:t>
      </w:r>
      <w:r w:rsidRPr="0096338A">
        <w:rPr>
          <w:i/>
          <w:lang w:val="en-GB"/>
        </w:rPr>
        <w:t>The Later Medieval City. 1300 – 1500</w:t>
      </w:r>
      <w:r w:rsidRPr="0096338A">
        <w:rPr>
          <w:lang w:val="en-GB"/>
        </w:rPr>
        <w:t>, Londen, 1997.</w:t>
      </w:r>
    </w:p>
    <w:p w:rsidR="00A11879" w:rsidRPr="0096338A" w:rsidRDefault="00A11879" w:rsidP="00A11879">
      <w:pPr>
        <w:spacing w:after="240" w:line="276" w:lineRule="auto"/>
        <w:rPr>
          <w:lang w:val="en-GB"/>
        </w:rPr>
      </w:pPr>
      <w:r w:rsidRPr="0096338A">
        <w:rPr>
          <w:lang w:val="en-GB"/>
        </w:rPr>
        <w:t xml:space="preserve">OGILVIE, S., ‘How Does Social Capital Affect Women? Guilds and Communities in Early Modern Germany’, </w:t>
      </w:r>
      <w:r w:rsidRPr="0096338A">
        <w:rPr>
          <w:i/>
          <w:lang w:val="en-GB"/>
        </w:rPr>
        <w:t>The American Historical Review</w:t>
      </w:r>
      <w:r w:rsidRPr="0096338A">
        <w:rPr>
          <w:lang w:val="en-GB"/>
        </w:rPr>
        <w:t>, 109 (2004), 325 – 359.</w:t>
      </w:r>
    </w:p>
    <w:p w:rsidR="00A11879" w:rsidRPr="0096338A" w:rsidRDefault="00A11879" w:rsidP="00A11879">
      <w:pPr>
        <w:rPr>
          <w:rFonts w:cs="Times New Roman"/>
          <w:szCs w:val="24"/>
          <w:lang w:val="en-GB"/>
        </w:rPr>
      </w:pPr>
      <w:r w:rsidRPr="0096338A">
        <w:rPr>
          <w:rFonts w:cs="Times New Roman"/>
          <w:szCs w:val="24"/>
          <w:lang w:val="en-GB"/>
        </w:rPr>
        <w:t xml:space="preserve">PRAK, M., LIS, C. e.a. red., </w:t>
      </w:r>
      <w:r w:rsidRPr="0096338A">
        <w:rPr>
          <w:rFonts w:cs="Times New Roman"/>
          <w:i/>
          <w:szCs w:val="24"/>
          <w:lang w:val="en-GB"/>
        </w:rPr>
        <w:t>Craft Guilds in the Early Modern Low Countries</w:t>
      </w:r>
      <w:r w:rsidRPr="0096338A">
        <w:rPr>
          <w:rFonts w:cs="Times New Roman"/>
          <w:szCs w:val="24"/>
          <w:lang w:val="en-GB"/>
        </w:rPr>
        <w:t>, Aldershot en Burlington, 2006.</w:t>
      </w:r>
    </w:p>
    <w:p w:rsidR="00A11879" w:rsidRPr="0096338A" w:rsidRDefault="00A11879" w:rsidP="00A11879">
      <w:pPr>
        <w:spacing w:after="240" w:line="276" w:lineRule="auto"/>
      </w:pPr>
      <w:r w:rsidRPr="0096338A">
        <w:t>PREVENIER, W., ‘Huwelijk en cliëntèle als sociale vangnetten – Leuven in de vijftiende eeuw’, J. COOPMANS en A. VAN DER VEEN red., ’s-Hertogenbosch, 1988, 83 – 91.</w:t>
      </w:r>
    </w:p>
    <w:p w:rsidR="004270F2" w:rsidRPr="0096338A" w:rsidRDefault="004270F2" w:rsidP="00A11879">
      <w:pPr>
        <w:spacing w:after="240" w:line="276" w:lineRule="auto"/>
        <w:rPr>
          <w:lang w:val="en-GB"/>
        </w:rPr>
      </w:pPr>
      <w:r w:rsidRPr="0096338A">
        <w:rPr>
          <w:lang w:val="en-GB"/>
        </w:rPr>
        <w:t xml:space="preserve">REES JONES, S., ‘Public and Private Space and Gender in Medieval Europe’, J. BENNETT en R. KARRAS red., </w:t>
      </w:r>
      <w:r w:rsidRPr="0096338A">
        <w:rPr>
          <w:i/>
          <w:lang w:val="en-GB"/>
        </w:rPr>
        <w:t>The Oxford Handbook of Women and Gender in Medieval Europe</w:t>
      </w:r>
      <w:r w:rsidRPr="0096338A">
        <w:rPr>
          <w:lang w:val="en-GB"/>
        </w:rPr>
        <w:t>, Oxford, 2013, 456 – 461.</w:t>
      </w:r>
    </w:p>
    <w:p w:rsidR="00A11879" w:rsidRPr="0096338A" w:rsidRDefault="00A11879" w:rsidP="00A11879">
      <w:pPr>
        <w:spacing w:after="240" w:line="276" w:lineRule="auto"/>
        <w:rPr>
          <w:lang w:val="en-GB"/>
        </w:rPr>
      </w:pPr>
      <w:r w:rsidRPr="0096338A">
        <w:rPr>
          <w:lang w:val="en-GB"/>
        </w:rPr>
        <w:t xml:space="preserve">ROMANO, D., ‘Gender and the Urban Geography of Renaissance Venice’, </w:t>
      </w:r>
      <w:r w:rsidRPr="0096338A">
        <w:rPr>
          <w:i/>
          <w:lang w:val="en-GB"/>
        </w:rPr>
        <w:t>Journal of Social History</w:t>
      </w:r>
      <w:r w:rsidRPr="0096338A">
        <w:rPr>
          <w:lang w:val="en-GB"/>
        </w:rPr>
        <w:t>, 23 (1989), 339 – 353.</w:t>
      </w:r>
    </w:p>
    <w:p w:rsidR="00A11879" w:rsidRPr="0096338A" w:rsidRDefault="00A11879" w:rsidP="00A11879">
      <w:pPr>
        <w:spacing w:after="240" w:line="276" w:lineRule="auto"/>
        <w:rPr>
          <w:lang w:val="en-GB"/>
        </w:rPr>
      </w:pPr>
      <w:r w:rsidRPr="0096338A">
        <w:rPr>
          <w:lang w:val="en-GB"/>
        </w:rPr>
        <w:t xml:space="preserve">ROSSER, G., ‘Crafts, Guilds and the Negotiation of Work in the Medieval Town’, </w:t>
      </w:r>
      <w:r w:rsidRPr="0096338A">
        <w:rPr>
          <w:i/>
          <w:lang w:val="en-GB"/>
        </w:rPr>
        <w:t>Past &amp; Present</w:t>
      </w:r>
      <w:r w:rsidRPr="0096338A">
        <w:rPr>
          <w:lang w:val="en-GB"/>
        </w:rPr>
        <w:t>, 154 (1997), 3 – 31.</w:t>
      </w:r>
    </w:p>
    <w:p w:rsidR="00A11879" w:rsidRPr="0096338A" w:rsidRDefault="00A11879" w:rsidP="00A11879">
      <w:pPr>
        <w:spacing w:after="240" w:line="276" w:lineRule="auto"/>
        <w:rPr>
          <w:lang w:val="en-GB"/>
        </w:rPr>
      </w:pPr>
      <w:r w:rsidRPr="0096338A">
        <w:rPr>
          <w:lang w:val="en-GB"/>
        </w:rPr>
        <w:t xml:space="preserve">SHAHAR, S., </w:t>
      </w:r>
      <w:r w:rsidRPr="0096338A">
        <w:rPr>
          <w:i/>
          <w:lang w:val="en-GB"/>
        </w:rPr>
        <w:t>The Fourth Estate, A history of women in the Middle Ages</w:t>
      </w:r>
      <w:r w:rsidRPr="0096338A">
        <w:rPr>
          <w:lang w:val="en-GB"/>
        </w:rPr>
        <w:t>, C. GALAI vert., Londen en New York, 2003.</w:t>
      </w:r>
    </w:p>
    <w:p w:rsidR="00A11879" w:rsidRPr="0096338A" w:rsidRDefault="00A11879" w:rsidP="00A11879">
      <w:pPr>
        <w:spacing w:after="240" w:line="276" w:lineRule="auto"/>
        <w:rPr>
          <w:lang w:val="en-GB"/>
        </w:rPr>
      </w:pPr>
      <w:r w:rsidRPr="0096338A">
        <w:rPr>
          <w:lang w:val="en-GB"/>
        </w:rPr>
        <w:t xml:space="preserve">SCHAUS, M. red., </w:t>
      </w:r>
      <w:r w:rsidRPr="0096338A">
        <w:rPr>
          <w:i/>
          <w:lang w:val="en-GB"/>
        </w:rPr>
        <w:t>Women and Gender in Medieval Europe: an Encyclopedia</w:t>
      </w:r>
      <w:r w:rsidRPr="0096338A">
        <w:rPr>
          <w:lang w:val="en-GB"/>
        </w:rPr>
        <w:t>, New York en Londen, 2006.</w:t>
      </w:r>
    </w:p>
    <w:p w:rsidR="00A11879" w:rsidRPr="0096338A" w:rsidRDefault="00A11879" w:rsidP="00A11879">
      <w:pPr>
        <w:spacing w:after="240" w:line="276" w:lineRule="auto"/>
        <w:rPr>
          <w:lang w:val="en-GB"/>
        </w:rPr>
      </w:pPr>
      <w:r w:rsidRPr="0096338A">
        <w:rPr>
          <w:lang w:val="en-GB"/>
        </w:rPr>
        <w:t xml:space="preserve">SCHMIDT, A. en VAN DER HEIJDEN, M., ‘Women Alone in Early Modern Dutch Towns: Opportunities and Strategies to Survive’, </w:t>
      </w:r>
      <w:r w:rsidRPr="0096338A">
        <w:rPr>
          <w:i/>
          <w:lang w:val="en-GB"/>
        </w:rPr>
        <w:t>Journal of Urban History</w:t>
      </w:r>
      <w:r w:rsidRPr="0096338A">
        <w:rPr>
          <w:lang w:val="en-GB"/>
        </w:rPr>
        <w:t>, 42 (2016), 21 – 38.</w:t>
      </w:r>
    </w:p>
    <w:p w:rsidR="00A11879" w:rsidRPr="0096338A" w:rsidRDefault="00A11879" w:rsidP="00A11879">
      <w:pPr>
        <w:spacing w:after="240" w:line="276" w:lineRule="auto"/>
        <w:rPr>
          <w:lang w:val="en-GB"/>
        </w:rPr>
      </w:pPr>
      <w:r w:rsidRPr="0096338A">
        <w:rPr>
          <w:lang w:val="en-GB"/>
        </w:rPr>
        <w:t xml:space="preserve">SMITH, S.D., ‘Women’s Admission to Guilds in Early-Modern England: The Case of the York Merchant Tailors’ Company, 1693 – 1776’, </w:t>
      </w:r>
      <w:r w:rsidRPr="0096338A">
        <w:rPr>
          <w:i/>
          <w:lang w:val="en-GB"/>
        </w:rPr>
        <w:t>Gender &amp; History</w:t>
      </w:r>
      <w:r w:rsidRPr="0096338A">
        <w:rPr>
          <w:lang w:val="en-GB"/>
        </w:rPr>
        <w:t>, 17 (2005), 99 – 126.</w:t>
      </w:r>
    </w:p>
    <w:p w:rsidR="00A11879" w:rsidRPr="0096338A" w:rsidRDefault="00A11879" w:rsidP="00A11879">
      <w:pPr>
        <w:spacing w:after="240" w:line="276" w:lineRule="auto"/>
        <w:rPr>
          <w:lang w:val="en-GB"/>
        </w:rPr>
      </w:pPr>
      <w:r w:rsidRPr="0096338A">
        <w:rPr>
          <w:lang w:val="en-GB"/>
        </w:rPr>
        <w:t xml:space="preserve">SOLY, H., ‘The Political Economy of European Craft Guilds: Power Relations and Economic Strategies of Merchants and Master Artisans in the Medieval and Early Modern Textile Industries’, </w:t>
      </w:r>
      <w:r w:rsidRPr="0096338A">
        <w:rPr>
          <w:i/>
          <w:lang w:val="en-GB"/>
        </w:rPr>
        <w:t>Instituut voor Sociale Geschiedenis</w:t>
      </w:r>
      <w:r w:rsidRPr="0096338A">
        <w:rPr>
          <w:lang w:val="en-GB"/>
        </w:rPr>
        <w:t>, 53 (2008), 45 – 71.</w:t>
      </w:r>
    </w:p>
    <w:p w:rsidR="00A11879" w:rsidRPr="005F4F43" w:rsidRDefault="00A11879" w:rsidP="00A11879">
      <w:pPr>
        <w:spacing w:after="240" w:line="276" w:lineRule="auto"/>
        <w:rPr>
          <w:lang w:val="fr-FR"/>
        </w:rPr>
      </w:pPr>
      <w:r w:rsidRPr="005F4F43">
        <w:rPr>
          <w:lang w:val="fr-FR"/>
        </w:rPr>
        <w:t>SOSSON, J.-P., ‘Les métiers: norme et réalité. L’example des anciens Pays-Bas méridionaux aux XIV</w:t>
      </w:r>
      <w:r w:rsidRPr="005F4F43">
        <w:rPr>
          <w:vertAlign w:val="superscript"/>
          <w:lang w:val="fr-FR"/>
        </w:rPr>
        <w:t>e</w:t>
      </w:r>
      <w:r w:rsidRPr="005F4F43">
        <w:rPr>
          <w:lang w:val="fr-FR"/>
        </w:rPr>
        <w:t xml:space="preserve"> et XV</w:t>
      </w:r>
      <w:r w:rsidRPr="005F4F43">
        <w:rPr>
          <w:vertAlign w:val="superscript"/>
          <w:lang w:val="fr-FR"/>
        </w:rPr>
        <w:t xml:space="preserve"> e</w:t>
      </w:r>
      <w:r w:rsidRPr="005F4F43">
        <w:rPr>
          <w:lang w:val="fr-FR"/>
        </w:rPr>
        <w:t xml:space="preserve"> siècles’, J. HAMESSE en C. MURAILLE-SAMARAN red., </w:t>
      </w:r>
      <w:r w:rsidRPr="005F4F43">
        <w:rPr>
          <w:i/>
          <w:lang w:val="fr-FR"/>
        </w:rPr>
        <w:t>Le travail au moyen âge: une approche interdisciplinaire</w:t>
      </w:r>
      <w:r w:rsidRPr="005F4F43">
        <w:rPr>
          <w:lang w:val="fr-FR"/>
        </w:rPr>
        <w:t>, Louvain-la-Neuve, 1990, 339-348.</w:t>
      </w:r>
    </w:p>
    <w:p w:rsidR="00A11879" w:rsidRPr="0096338A" w:rsidRDefault="00A11879" w:rsidP="00A11879">
      <w:pPr>
        <w:spacing w:after="240" w:line="276" w:lineRule="auto"/>
        <w:rPr>
          <w:lang w:val="en-GB"/>
        </w:rPr>
      </w:pPr>
      <w:r w:rsidRPr="0096338A">
        <w:rPr>
          <w:lang w:val="en-GB"/>
        </w:rPr>
        <w:t xml:space="preserve">STABEL, P., ‘Guilds in late medieval Flanders: myths and realities of guild life in an export-oriented environment’, </w:t>
      </w:r>
      <w:r w:rsidRPr="0096338A">
        <w:rPr>
          <w:i/>
          <w:lang w:val="en-GB"/>
        </w:rPr>
        <w:t>Journal of Medieval History</w:t>
      </w:r>
      <w:r w:rsidRPr="0096338A">
        <w:rPr>
          <w:lang w:val="en-GB"/>
        </w:rPr>
        <w:t>, 30 (2004), 187 – 212.</w:t>
      </w:r>
    </w:p>
    <w:p w:rsidR="00A11879" w:rsidRPr="0096338A" w:rsidRDefault="00A11879" w:rsidP="00A11879">
      <w:pPr>
        <w:spacing w:after="240" w:line="276" w:lineRule="auto"/>
        <w:rPr>
          <w:lang w:val="en-GB"/>
        </w:rPr>
      </w:pPr>
      <w:r w:rsidRPr="0096338A">
        <w:rPr>
          <w:lang w:val="en-GB"/>
        </w:rPr>
        <w:t xml:space="preserve">SYMES, C., ‘Out in the Open, in Arras: Sightlines, Soundscapes, and the Shaping of a Medieval Public Sphere’, C. GOODSON, A.E. LESTER en S. SYMES red., </w:t>
      </w:r>
      <w:r w:rsidRPr="0096338A">
        <w:rPr>
          <w:i/>
          <w:lang w:val="en-GB"/>
        </w:rPr>
        <w:t xml:space="preserve">Cities, Texts and </w:t>
      </w:r>
      <w:r w:rsidRPr="0096338A">
        <w:rPr>
          <w:i/>
          <w:lang w:val="en-GB"/>
        </w:rPr>
        <w:lastRenderedPageBreak/>
        <w:t>Social Networks: 400 – 1500: Experiences and Perceptions of Medieval Urban Space</w:t>
      </w:r>
      <w:r w:rsidRPr="0096338A">
        <w:rPr>
          <w:lang w:val="en-GB"/>
        </w:rPr>
        <w:t>, Surrey en Burlington, 2010, 279 – 302.</w:t>
      </w:r>
    </w:p>
    <w:p w:rsidR="00A11879" w:rsidRPr="0096338A" w:rsidRDefault="00A11879" w:rsidP="00A11879">
      <w:pPr>
        <w:spacing w:after="240" w:line="276" w:lineRule="auto"/>
        <w:rPr>
          <w:lang w:val="en-GB"/>
        </w:rPr>
      </w:pPr>
      <w:r w:rsidRPr="0096338A">
        <w:rPr>
          <w:lang w:val="en-GB"/>
        </w:rPr>
        <w:t xml:space="preserve">TWYCROSS, M., ‘Worthy Women of the Old Testament: The Ambachtsvrouwen of the Leuven Ommegang’, E. STRIETMAN en P. HAPPÉ red., </w:t>
      </w:r>
      <w:r w:rsidRPr="0096338A">
        <w:rPr>
          <w:i/>
          <w:lang w:val="en-GB"/>
        </w:rPr>
        <w:t>Urban Theatre in the Low Countries: 1400 – 1625</w:t>
      </w:r>
      <w:r w:rsidRPr="0096338A">
        <w:rPr>
          <w:lang w:val="en-GB"/>
        </w:rPr>
        <w:t>, Turnhout, 2006, 221 – 250.</w:t>
      </w:r>
    </w:p>
    <w:p w:rsidR="00A11879" w:rsidRPr="0096338A" w:rsidRDefault="00A11879" w:rsidP="00A11879">
      <w:pPr>
        <w:spacing w:after="240" w:line="276" w:lineRule="auto"/>
      </w:pPr>
      <w:r w:rsidRPr="0096338A">
        <w:t xml:space="preserve">VAN GERVEN, J., ‘Vrouwen, arbeid en sociale positie. Een voorlopig onderzoek naar de economische rol en maatschappelijke positie van vrouwen in de Brabantse steden in de late Middeleeuwen’, </w:t>
      </w:r>
      <w:r w:rsidRPr="0096338A">
        <w:rPr>
          <w:i/>
        </w:rPr>
        <w:t>Revue belge de philologie et d’histoire</w:t>
      </w:r>
      <w:r w:rsidRPr="0096338A">
        <w:t>, 73 (1995), 947 – 966.</w:t>
      </w:r>
    </w:p>
    <w:p w:rsidR="00A11879" w:rsidRPr="0096338A" w:rsidRDefault="00A11879" w:rsidP="00A11879">
      <w:pPr>
        <w:spacing w:after="240" w:line="276" w:lineRule="auto"/>
      </w:pPr>
      <w:r w:rsidRPr="0096338A">
        <w:t xml:space="preserve">VAN HOUTTE, J.A., </w:t>
      </w:r>
      <w:r w:rsidRPr="0096338A">
        <w:rPr>
          <w:i/>
        </w:rPr>
        <w:t>Economische geschiedenis van de Lage Landen, 800 – 1800</w:t>
      </w:r>
      <w:r w:rsidRPr="0096338A">
        <w:t>, M. VAN DE PUTTE vert., Haarlem, 1979.</w:t>
      </w:r>
    </w:p>
    <w:p w:rsidR="00A11879" w:rsidRPr="0096338A" w:rsidRDefault="00A11879" w:rsidP="00A11879">
      <w:pPr>
        <w:spacing w:after="240" w:line="276" w:lineRule="auto"/>
      </w:pPr>
      <w:r w:rsidRPr="0096338A">
        <w:t xml:space="preserve">VAN UYTTERHOEVEN, R., </w:t>
      </w:r>
      <w:r w:rsidRPr="0096338A">
        <w:rPr>
          <w:i/>
        </w:rPr>
        <w:t>The Groot Begijnhof of Leuven</w:t>
      </w:r>
      <w:r w:rsidRPr="0096338A">
        <w:t>, G. LATRÉ vert., Leuven, 2000.</w:t>
      </w:r>
    </w:p>
    <w:p w:rsidR="00A11879" w:rsidRPr="0096338A" w:rsidRDefault="00A11879" w:rsidP="00A11879">
      <w:pPr>
        <w:spacing w:after="240" w:line="276" w:lineRule="auto"/>
      </w:pPr>
      <w:r w:rsidRPr="0096338A">
        <w:t xml:space="preserve">VAN UYTVEN, R., </w:t>
      </w:r>
      <w:r w:rsidRPr="0096338A">
        <w:rPr>
          <w:i/>
        </w:rPr>
        <w:t>Het dagelijkse leven in een middeleeuwse stad. Leuven anno 1448</w:t>
      </w:r>
      <w:r w:rsidRPr="0096338A">
        <w:t>, Leuven, 1998.</w:t>
      </w:r>
    </w:p>
    <w:p w:rsidR="00A11879" w:rsidRPr="0096338A" w:rsidRDefault="00A11879" w:rsidP="00A11879">
      <w:pPr>
        <w:spacing w:after="240" w:line="276" w:lineRule="auto"/>
      </w:pPr>
      <w:r w:rsidRPr="0096338A">
        <w:t xml:space="preserve">VAN UYTVEN, R., </w:t>
      </w:r>
      <w:r w:rsidRPr="0096338A">
        <w:rPr>
          <w:i/>
        </w:rPr>
        <w:t>Leuven, “de beste stad van Brabant”. 1: De geschiedenis van het stadsgewest Leuven tot omstreeks 1600</w:t>
      </w:r>
      <w:r w:rsidRPr="0096338A">
        <w:t>, Leuven, 1980.</w:t>
      </w:r>
    </w:p>
    <w:p w:rsidR="00A11879" w:rsidRPr="0096338A" w:rsidRDefault="00A11879" w:rsidP="00A11879">
      <w:pPr>
        <w:spacing w:after="240" w:line="276" w:lineRule="auto"/>
      </w:pPr>
      <w:r w:rsidRPr="0096338A">
        <w:t xml:space="preserve">VAN UYTVEN, R., </w:t>
      </w:r>
      <w:r w:rsidRPr="0096338A">
        <w:rPr>
          <w:i/>
        </w:rPr>
        <w:t>Stadsfinanciën en Stadsekonomie te Leuven van de XII</w:t>
      </w:r>
      <w:r w:rsidRPr="0096338A">
        <w:rPr>
          <w:vertAlign w:val="superscript"/>
        </w:rPr>
        <w:t xml:space="preserve"> e</w:t>
      </w:r>
      <w:r w:rsidRPr="0096338A">
        <w:rPr>
          <w:i/>
        </w:rPr>
        <w:t xml:space="preserve"> tot het einde der XVI</w:t>
      </w:r>
      <w:r w:rsidRPr="0096338A">
        <w:rPr>
          <w:vertAlign w:val="superscript"/>
        </w:rPr>
        <w:t xml:space="preserve"> e</w:t>
      </w:r>
      <w:r w:rsidRPr="0096338A">
        <w:rPr>
          <w:i/>
        </w:rPr>
        <w:t xml:space="preserve"> eeuw</w:t>
      </w:r>
      <w:r w:rsidRPr="0096338A">
        <w:t xml:space="preserve"> (Verhandelingen van de Koninklijke Vlaamse academie voor wetenschappen, letteren en schone kunsten van België. Klasse der letteren, 44), Brussel, 1961.</w:t>
      </w:r>
    </w:p>
    <w:p w:rsidR="00A11879" w:rsidRPr="0096338A" w:rsidRDefault="00A11879" w:rsidP="00A11879">
      <w:pPr>
        <w:spacing w:after="240" w:line="276" w:lineRule="auto"/>
        <w:rPr>
          <w:rFonts w:cs="Times New Roman"/>
          <w:szCs w:val="24"/>
        </w:rPr>
      </w:pPr>
      <w:r w:rsidRPr="0096338A">
        <w:rPr>
          <w:rFonts w:cs="Times New Roman"/>
          <w:szCs w:val="24"/>
        </w:rPr>
        <w:t xml:space="preserve">VAN UYTVEN, R., BRUNEEL, C. e.a. red., </w:t>
      </w:r>
      <w:r w:rsidRPr="0096338A">
        <w:rPr>
          <w:rFonts w:cs="Times New Roman"/>
          <w:i/>
          <w:szCs w:val="24"/>
        </w:rPr>
        <w:t>Geschiedenis van Brabant van het hertogdom tot heden</w:t>
      </w:r>
      <w:r w:rsidRPr="0096338A">
        <w:rPr>
          <w:rFonts w:cs="Times New Roman"/>
          <w:szCs w:val="24"/>
        </w:rPr>
        <w:t>, Leuven, 2004.</w:t>
      </w:r>
    </w:p>
    <w:p w:rsidR="00A11879" w:rsidRPr="0096338A" w:rsidRDefault="00A11879" w:rsidP="00A11879">
      <w:pPr>
        <w:spacing w:after="240" w:line="276" w:lineRule="auto"/>
      </w:pPr>
      <w:r w:rsidRPr="0096338A">
        <w:rPr>
          <w:rFonts w:cs="Times New Roman"/>
          <w:szCs w:val="24"/>
        </w:rPr>
        <w:t xml:space="preserve">VAN UYTVEN, R., BRUNEEL, C. e.a. red., </w:t>
      </w:r>
      <w:r w:rsidRPr="0096338A">
        <w:rPr>
          <w:rFonts w:cs="Times New Roman"/>
          <w:i/>
          <w:szCs w:val="24"/>
        </w:rPr>
        <w:t>De gewestelijke en lokale overheidsinstellingen in Brabant en Mechelen tot 1795</w:t>
      </w:r>
      <w:r w:rsidRPr="0096338A">
        <w:rPr>
          <w:rFonts w:cs="Times New Roman"/>
          <w:szCs w:val="24"/>
        </w:rPr>
        <w:t xml:space="preserve"> (Studia, 82), Brussel, 2000.</w:t>
      </w:r>
    </w:p>
    <w:p w:rsidR="00A11879" w:rsidRPr="0096338A" w:rsidRDefault="00A11879" w:rsidP="00A11879">
      <w:pPr>
        <w:spacing w:after="240" w:line="276" w:lineRule="auto"/>
      </w:pPr>
      <w:r w:rsidRPr="0096338A">
        <w:t xml:space="preserve">VERHAVERT, J., </w:t>
      </w:r>
      <w:r w:rsidRPr="0096338A">
        <w:rPr>
          <w:i/>
        </w:rPr>
        <w:t>Het ambachtswezen te Leuven</w:t>
      </w:r>
      <w:r w:rsidRPr="0096338A">
        <w:t>, Leuven, 1940.</w:t>
      </w:r>
    </w:p>
    <w:p w:rsidR="00A11879" w:rsidRPr="0096338A" w:rsidRDefault="00A11879" w:rsidP="00A11879">
      <w:pPr>
        <w:spacing w:after="240" w:line="276" w:lineRule="auto"/>
        <w:rPr>
          <w:rFonts w:cs="Times New Roman"/>
          <w:szCs w:val="24"/>
        </w:rPr>
      </w:pPr>
      <w:r w:rsidRPr="0096338A">
        <w:rPr>
          <w:rFonts w:cs="Times New Roman"/>
          <w:szCs w:val="24"/>
        </w:rPr>
        <w:t xml:space="preserve">WEILER, A.G., PREVENIER, W. e.a. red., </w:t>
      </w:r>
      <w:r w:rsidRPr="0096338A">
        <w:rPr>
          <w:rFonts w:cs="Times New Roman"/>
          <w:i/>
          <w:szCs w:val="24"/>
        </w:rPr>
        <w:t>Algemene Geschiedenis der Nederlanden</w:t>
      </w:r>
      <w:r w:rsidRPr="0096338A">
        <w:rPr>
          <w:rFonts w:cs="Times New Roman"/>
          <w:szCs w:val="24"/>
        </w:rPr>
        <w:t>, (Middeleeuwen, 4), Haarlem, 1980.</w:t>
      </w:r>
    </w:p>
    <w:p w:rsidR="00A11879" w:rsidRPr="0096338A" w:rsidRDefault="00A11879" w:rsidP="00A11879">
      <w:pPr>
        <w:spacing w:after="240" w:line="276" w:lineRule="auto"/>
        <w:rPr>
          <w:lang w:val="en-GB"/>
        </w:rPr>
      </w:pPr>
      <w:r w:rsidRPr="0096338A">
        <w:rPr>
          <w:rFonts w:cs="Times New Roman"/>
          <w:szCs w:val="24"/>
          <w:lang w:val="en-GB"/>
        </w:rPr>
        <w:t xml:space="preserve">WIESNER, M.E., </w:t>
      </w:r>
      <w:r w:rsidRPr="0096338A">
        <w:rPr>
          <w:rFonts w:cs="Times New Roman"/>
          <w:i/>
          <w:szCs w:val="24"/>
          <w:lang w:val="en-GB"/>
        </w:rPr>
        <w:t xml:space="preserve">Women and Gender in Early Modern Europe </w:t>
      </w:r>
      <w:r w:rsidRPr="0096338A">
        <w:rPr>
          <w:rFonts w:cs="Times New Roman"/>
          <w:szCs w:val="24"/>
          <w:lang w:val="en-GB"/>
        </w:rPr>
        <w:t xml:space="preserve">(New Approaches to European History, 20), </w:t>
      </w:r>
      <w:r w:rsidRPr="0096338A">
        <w:rPr>
          <w:lang w:val="en-GB"/>
        </w:rPr>
        <w:t>2</w:t>
      </w:r>
      <w:r w:rsidRPr="0096338A">
        <w:rPr>
          <w:vertAlign w:val="superscript"/>
          <w:lang w:val="en-GB"/>
        </w:rPr>
        <w:t xml:space="preserve">de </w:t>
      </w:r>
      <w:r w:rsidRPr="0096338A">
        <w:rPr>
          <w:lang w:val="en-GB"/>
        </w:rPr>
        <w:t>uitg., Cambridge, 2000.</w:t>
      </w:r>
    </w:p>
    <w:p w:rsidR="00A11879" w:rsidRPr="0096338A" w:rsidRDefault="00A11879" w:rsidP="00A11879">
      <w:pPr>
        <w:spacing w:after="200" w:line="276" w:lineRule="auto"/>
        <w:jc w:val="left"/>
        <w:rPr>
          <w:rFonts w:eastAsiaTheme="majorEastAsia" w:cstheme="majorBidi"/>
          <w:b/>
          <w:bCs/>
          <w:sz w:val="28"/>
          <w:szCs w:val="28"/>
          <w:u w:val="single"/>
        </w:rPr>
      </w:pPr>
      <w:r w:rsidRPr="0096338A">
        <w:t xml:space="preserve">WYFFELS, C., </w:t>
      </w:r>
      <w:r w:rsidRPr="0096338A">
        <w:rPr>
          <w:i/>
        </w:rPr>
        <w:t xml:space="preserve">De oorsprong der ambachten in Vlaanderen en Brabant </w:t>
      </w:r>
      <w:r w:rsidRPr="0096338A">
        <w:t xml:space="preserve">(Verhandelingen van de Koninklijke Vlaamse academie voor wetenschappen, letteren en schone kunsten van België. Klasse der letteren, 13), Brussel, 1951. </w:t>
      </w:r>
      <w:r w:rsidRPr="0096338A">
        <w:br w:type="page"/>
      </w:r>
    </w:p>
    <w:p w:rsidR="00F05120" w:rsidRPr="0096338A" w:rsidRDefault="00386F15" w:rsidP="00386F15">
      <w:pPr>
        <w:pStyle w:val="Kop1"/>
        <w:spacing w:line="240" w:lineRule="auto"/>
      </w:pPr>
      <w:bookmarkStart w:id="32" w:name="_Toc452371460"/>
      <w:r w:rsidRPr="0096338A">
        <w:lastRenderedPageBreak/>
        <w:t>Bijlagen</w:t>
      </w:r>
      <w:bookmarkEnd w:id="32"/>
    </w:p>
    <w:p w:rsidR="003C1976" w:rsidRPr="00BE2EE9" w:rsidRDefault="00F331B2" w:rsidP="003C1976">
      <w:pPr>
        <w:rPr>
          <w:b/>
        </w:rPr>
      </w:pPr>
      <w:r w:rsidRPr="00BE2EE9">
        <w:rPr>
          <w:b/>
        </w:rPr>
        <w:t>Bijlage 1 – Het prestige van de ambachten volgens de ordonnantie met betrekking tot de Ommegangen</w:t>
      </w:r>
    </w:p>
    <w:p w:rsidR="00BE2EE9" w:rsidRDefault="00F331B2" w:rsidP="003C1976">
      <w:r w:rsidRPr="0096338A">
        <w:rPr>
          <w:noProof/>
          <w:lang w:eastAsia="nl-NL"/>
        </w:rPr>
        <w:drawing>
          <wp:inline distT="0" distB="0" distL="0" distR="0" wp14:anchorId="70E2CAC3" wp14:editId="4789919A">
            <wp:extent cx="4897925" cy="3537391"/>
            <wp:effectExtent l="0" t="0" r="0" b="6350"/>
            <wp:docPr id="6" name="Afbeelding 6" descr="C:\Users\Nena\Downloads\13282645_1107621022628972_4610139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ownloads\13282645_1107621022628972_461013963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04"/>
                    <a:stretch/>
                  </pic:blipFill>
                  <pic:spPr bwMode="auto">
                    <a:xfrm>
                      <a:off x="0" y="0"/>
                      <a:ext cx="4897925" cy="3537391"/>
                    </a:xfrm>
                    <a:prstGeom prst="rect">
                      <a:avLst/>
                    </a:prstGeom>
                    <a:noFill/>
                    <a:ln>
                      <a:noFill/>
                    </a:ln>
                    <a:extLst>
                      <a:ext uri="{53640926-AAD7-44D8-BBD7-CCE9431645EC}">
                        <a14:shadowObscured xmlns:a14="http://schemas.microsoft.com/office/drawing/2010/main"/>
                      </a:ext>
                    </a:extLst>
                  </pic:spPr>
                </pic:pic>
              </a:graphicData>
            </a:graphic>
          </wp:inline>
        </w:drawing>
      </w:r>
    </w:p>
    <w:p w:rsidR="00F331B2" w:rsidRPr="0096338A" w:rsidRDefault="00F331B2" w:rsidP="003C1976">
      <w:pPr>
        <w:rPr>
          <w:noProof/>
          <w:lang w:eastAsia="nl-NL"/>
        </w:rPr>
      </w:pPr>
      <w:r w:rsidRPr="0096338A">
        <w:rPr>
          <w:noProof/>
          <w:lang w:eastAsia="nl-NL"/>
        </w:rPr>
        <w:drawing>
          <wp:inline distT="0" distB="0" distL="0" distR="0" wp14:anchorId="03A3970B" wp14:editId="35E62929">
            <wp:extent cx="4897925" cy="3673444"/>
            <wp:effectExtent l="0" t="0" r="0" b="3810"/>
            <wp:docPr id="7" name="Afbeelding 7" descr="C:\Users\Nena\Downloads\13288127_1107620995962308_1372129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na\Downloads\13288127_1107620995962308_1372129840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7925" cy="3673444"/>
                    </a:xfrm>
                    <a:prstGeom prst="rect">
                      <a:avLst/>
                    </a:prstGeom>
                    <a:noFill/>
                    <a:ln>
                      <a:noFill/>
                    </a:ln>
                  </pic:spPr>
                </pic:pic>
              </a:graphicData>
            </a:graphic>
          </wp:inline>
        </w:drawing>
      </w:r>
      <w:r w:rsidRPr="0096338A">
        <w:br w:type="page"/>
      </w:r>
    </w:p>
    <w:p w:rsidR="002F3D80" w:rsidRDefault="00921D46" w:rsidP="002F3D80">
      <w:pPr>
        <w:keepNext/>
      </w:pPr>
      <w:r w:rsidRPr="0096338A">
        <w:rPr>
          <w:noProof/>
          <w:lang w:eastAsia="nl-NL"/>
        </w:rPr>
        <w:lastRenderedPageBreak/>
        <w:drawing>
          <wp:inline distT="0" distB="0" distL="0" distR="0" wp14:anchorId="59C5CB28" wp14:editId="140F9F64">
            <wp:extent cx="4899600" cy="1471421"/>
            <wp:effectExtent l="0" t="0" r="0" b="0"/>
            <wp:docPr id="8" name="Afbeelding 8" descr="C:\Users\Nena\Downloads\13275448_1107621032628971_18636498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na\Downloads\13275448_1107621032628971_1863649887_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6960" b="12998"/>
                    <a:stretch/>
                  </pic:blipFill>
                  <pic:spPr bwMode="auto">
                    <a:xfrm>
                      <a:off x="0" y="0"/>
                      <a:ext cx="4899600" cy="1471421"/>
                    </a:xfrm>
                    <a:prstGeom prst="rect">
                      <a:avLst/>
                    </a:prstGeom>
                    <a:noFill/>
                    <a:ln>
                      <a:noFill/>
                    </a:ln>
                    <a:extLst>
                      <a:ext uri="{53640926-AAD7-44D8-BBD7-CCE9431645EC}">
                        <a14:shadowObscured xmlns:a14="http://schemas.microsoft.com/office/drawing/2010/main"/>
                      </a:ext>
                    </a:extLst>
                  </pic:spPr>
                </pic:pic>
              </a:graphicData>
            </a:graphic>
          </wp:inline>
        </w:drawing>
      </w:r>
    </w:p>
    <w:p w:rsidR="00921D46" w:rsidRDefault="002F3D80" w:rsidP="003C1976">
      <w:pPr>
        <w:pStyle w:val="Geenafstand"/>
      </w:pPr>
      <w:r>
        <w:t>SAL, 4648, fol. 9r - 9v.</w:t>
      </w:r>
    </w:p>
    <w:p w:rsidR="00BE2EE9" w:rsidRPr="00BE2EE9" w:rsidRDefault="00BE2EE9" w:rsidP="00BE2EE9"/>
    <w:p w:rsidR="00E036E0" w:rsidRPr="00BE2EE9" w:rsidRDefault="00F331B2" w:rsidP="00E036E0">
      <w:pPr>
        <w:rPr>
          <w:b/>
        </w:rPr>
      </w:pPr>
      <w:r w:rsidRPr="00BE2EE9">
        <w:rPr>
          <w:b/>
        </w:rPr>
        <w:t xml:space="preserve">Bijlage 2 – De </w:t>
      </w:r>
      <w:r w:rsidR="00386F15" w:rsidRPr="00BE2EE9">
        <w:rPr>
          <w:b/>
        </w:rPr>
        <w:t>aanwezigheid van vrouwen in of buiten de ambachten</w:t>
      </w:r>
      <w:r w:rsidR="00D4463E" w:rsidRPr="00BE2EE9">
        <w:rPr>
          <w:b/>
        </w:rPr>
        <w:t xml:space="preserve"> gedurende de vijftiende eeuw aan de hand van </w:t>
      </w:r>
      <w:r w:rsidR="00386F15" w:rsidRPr="00BE2EE9">
        <w:rPr>
          <w:b/>
        </w:rPr>
        <w:t>de stadsordonnanties</w:t>
      </w:r>
    </w:p>
    <w:p w:rsidR="00E036E0" w:rsidRPr="00E036E0" w:rsidRDefault="00E036E0" w:rsidP="00E036E0">
      <w:pPr>
        <w:sectPr w:rsidR="00E036E0" w:rsidRPr="00E036E0" w:rsidSect="00567346">
          <w:headerReference w:type="default" r:id="rId16"/>
          <w:footerReference w:type="default" r:id="rId17"/>
          <w:type w:val="continuous"/>
          <w:pgSz w:w="11906" w:h="16838"/>
          <w:pgMar w:top="1417" w:right="1417" w:bottom="1417" w:left="1417" w:header="708" w:footer="708" w:gutter="0"/>
          <w:pgNumType w:start="1"/>
          <w:cols w:space="708"/>
          <w:docGrid w:linePitch="360"/>
        </w:sectPr>
      </w:pPr>
    </w:p>
    <w:tbl>
      <w:tblPr>
        <w:tblStyle w:val="Gemiddeldearcering2-accent3"/>
        <w:tblW w:w="4820" w:type="dxa"/>
        <w:tblLook w:val="04A0" w:firstRow="1" w:lastRow="0" w:firstColumn="1" w:lastColumn="0" w:noHBand="0" w:noVBand="1"/>
      </w:tblPr>
      <w:tblGrid>
        <w:gridCol w:w="2494"/>
        <w:gridCol w:w="1163"/>
        <w:gridCol w:w="1163"/>
      </w:tblGrid>
      <w:tr w:rsidR="00386F15" w:rsidRPr="0096338A" w:rsidTr="00E036E0">
        <w:trPr>
          <w:cnfStyle w:val="100000000000" w:firstRow="1" w:lastRow="0" w:firstColumn="0" w:lastColumn="0" w:oddVBand="0" w:evenVBand="0" w:oddHBand="0" w:evenHBand="0" w:firstRowFirstColumn="0" w:firstRowLastColumn="0" w:lastRowFirstColumn="0" w:lastRowLastColumn="0"/>
          <w:trHeight w:val="822"/>
        </w:trPr>
        <w:tc>
          <w:tcPr>
            <w:cnfStyle w:val="001000000100" w:firstRow="0" w:lastRow="0" w:firstColumn="1" w:lastColumn="0" w:oddVBand="0" w:evenVBand="0" w:oddHBand="0" w:evenHBand="0" w:firstRowFirstColumn="1" w:firstRowLastColumn="0" w:lastRowFirstColumn="0" w:lastRowLastColumn="0"/>
            <w:tcW w:w="2494" w:type="dxa"/>
          </w:tcPr>
          <w:p w:rsidR="00386F15" w:rsidRPr="0096338A" w:rsidRDefault="00386F15" w:rsidP="00921D46">
            <w:pPr>
              <w:spacing w:line="240" w:lineRule="auto"/>
              <w:rPr>
                <w:rFonts w:cs="Times New Roman"/>
                <w:szCs w:val="24"/>
                <w:u w:val="single"/>
              </w:rPr>
            </w:pPr>
            <w:r w:rsidRPr="0096338A">
              <w:rPr>
                <w:rFonts w:cs="Times New Roman"/>
                <w:szCs w:val="24"/>
                <w:u w:val="single"/>
              </w:rPr>
              <w:lastRenderedPageBreak/>
              <w:t>Ambacht</w:t>
            </w:r>
          </w:p>
        </w:tc>
        <w:tc>
          <w:tcPr>
            <w:tcW w:w="1163" w:type="dxa"/>
          </w:tcPr>
          <w:p w:rsidR="00386F15" w:rsidRPr="0096338A" w:rsidRDefault="00386F15" w:rsidP="00921D46">
            <w:pPr>
              <w:spacing w:line="240" w:lineRule="auto"/>
              <w:cnfStyle w:val="100000000000" w:firstRow="1" w:lastRow="0" w:firstColumn="0" w:lastColumn="0" w:oddVBand="0" w:evenVBand="0" w:oddHBand="0" w:evenHBand="0" w:firstRowFirstColumn="0" w:firstRowLastColumn="0" w:lastRowFirstColumn="0" w:lastRowLastColumn="0"/>
              <w:rPr>
                <w:rFonts w:cs="Times New Roman"/>
                <w:szCs w:val="24"/>
                <w:u w:val="single"/>
              </w:rPr>
            </w:pPr>
            <w:r w:rsidRPr="0096338A">
              <w:rPr>
                <w:rFonts w:cs="Times New Roman"/>
                <w:szCs w:val="24"/>
                <w:u w:val="single"/>
              </w:rPr>
              <w:t>Vrouwen in ambacht</w:t>
            </w:r>
          </w:p>
        </w:tc>
        <w:tc>
          <w:tcPr>
            <w:tcW w:w="1163" w:type="dxa"/>
          </w:tcPr>
          <w:p w:rsidR="00386F15" w:rsidRPr="0096338A" w:rsidRDefault="00386F15" w:rsidP="00921D46">
            <w:pPr>
              <w:spacing w:line="240" w:lineRule="auto"/>
              <w:cnfStyle w:val="100000000000" w:firstRow="1" w:lastRow="0" w:firstColumn="0" w:lastColumn="0" w:oddVBand="0" w:evenVBand="0" w:oddHBand="0" w:evenHBand="0" w:firstRowFirstColumn="0" w:firstRowLastColumn="0" w:lastRowFirstColumn="0" w:lastRowLastColumn="0"/>
              <w:rPr>
                <w:rFonts w:cs="Times New Roman"/>
                <w:szCs w:val="24"/>
                <w:u w:val="single"/>
              </w:rPr>
            </w:pPr>
            <w:r w:rsidRPr="0096338A">
              <w:rPr>
                <w:rFonts w:cs="Times New Roman"/>
                <w:szCs w:val="24"/>
                <w:u w:val="single"/>
              </w:rPr>
              <w:t>Vrouwen buiten ambacht</w:t>
            </w:r>
          </w:p>
        </w:tc>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Smeden</w:t>
            </w:r>
          </w:p>
        </w:tc>
        <w:sdt>
          <w:sdtPr>
            <w:id w:val="1787150547"/>
            <w14:checkbox>
              <w14:checked w14:val="1"/>
              <w14:checkedState w14:val="2612" w14:font="MS Gothic"/>
              <w14:uncheckedState w14:val="2610" w14:font="MS Gothic"/>
            </w14:checkbox>
          </w:sdtPr>
          <w:sdtEndPr/>
          <w:sdtContent>
            <w:tc>
              <w:tcPr>
                <w:tcW w:w="1163" w:type="dxa"/>
              </w:tcPr>
              <w:p w:rsidR="00386F15" w:rsidRPr="0096338A" w:rsidRDefault="00BD153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140346896"/>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Metalen potgieters</w:t>
            </w:r>
          </w:p>
        </w:tc>
        <w:sdt>
          <w:sdtPr>
            <w:id w:val="-762300035"/>
            <w14:checkbox>
              <w14:checked w14:val="1"/>
              <w14:checkedState w14:val="2612" w14:font="MS Gothic"/>
              <w14:uncheckedState w14:val="2610" w14:font="MS Gothic"/>
            </w14:checkbox>
          </w:sdtPr>
          <w:sdtEndPr/>
          <w:sdtContent>
            <w:tc>
              <w:tcPr>
                <w:tcW w:w="1163" w:type="dxa"/>
              </w:tcPr>
              <w:p w:rsidR="00386F15" w:rsidRPr="0096338A" w:rsidRDefault="00BD153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551540631"/>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Ketelmakers</w:t>
            </w:r>
          </w:p>
        </w:tc>
        <w:sdt>
          <w:sdtPr>
            <w:id w:val="-1093473176"/>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849394693"/>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Metsers</w:t>
            </w:r>
          </w:p>
        </w:tc>
        <w:sdt>
          <w:sdtPr>
            <w:id w:val="-833299089"/>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611051241"/>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Timmerlieden</w:t>
            </w:r>
          </w:p>
        </w:tc>
        <w:sdt>
          <w:sdtPr>
            <w:id w:val="1513572106"/>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913617989"/>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Vleeshouwers</w:t>
            </w:r>
          </w:p>
        </w:tc>
        <w:sdt>
          <w:sdtPr>
            <w:id w:val="-1508978694"/>
            <w14:checkbox>
              <w14:checked w14:val="1"/>
              <w14:checkedState w14:val="2612" w14:font="MS Gothic"/>
              <w14:uncheckedState w14:val="2610" w14:font="MS Gothic"/>
            </w14:checkbox>
          </w:sdtPr>
          <w:sdtEndPr/>
          <w:sdtContent>
            <w:tc>
              <w:tcPr>
                <w:tcW w:w="1163" w:type="dxa"/>
              </w:tcPr>
              <w:p w:rsidR="00386F15" w:rsidRPr="0096338A" w:rsidRDefault="00BD153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400129650"/>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Visverkopers</w:t>
            </w:r>
          </w:p>
        </w:tc>
        <w:sdt>
          <w:sdtPr>
            <w:id w:val="125594476"/>
            <w14:checkbox>
              <w14:checked w14:val="1"/>
              <w14:checkedState w14:val="2612" w14:font="MS Gothic"/>
              <w14:uncheckedState w14:val="2610" w14:font="MS Gothic"/>
            </w14:checkbox>
          </w:sdtPr>
          <w:sdtEndPr/>
          <w:sdtContent>
            <w:tc>
              <w:tcPr>
                <w:tcW w:w="1163" w:type="dxa"/>
              </w:tcPr>
              <w:p w:rsidR="00386F15" w:rsidRPr="0096338A" w:rsidRDefault="00BD153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687183822"/>
            <w14:checkbox>
              <w14:checked w14:val="1"/>
              <w14:checkedState w14:val="2612" w14:font="MS Gothic"/>
              <w14:uncheckedState w14:val="2610" w14:font="MS Gothic"/>
            </w14:checkbox>
          </w:sdtPr>
          <w:sdtEndPr/>
          <w:sdtContent>
            <w:tc>
              <w:tcPr>
                <w:tcW w:w="1163"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Leerlooiers</w:t>
            </w:r>
          </w:p>
        </w:tc>
        <w:sdt>
          <w:sdtPr>
            <w:id w:val="1878885851"/>
            <w14:checkbox>
              <w14:checked w14:val="1"/>
              <w14:checkedState w14:val="2612" w14:font="MS Gothic"/>
              <w14:uncheckedState w14:val="2610" w14:font="MS Gothic"/>
            </w14:checkbox>
          </w:sdtPr>
          <w:sdtEndPr/>
          <w:sdtContent>
            <w:tc>
              <w:tcPr>
                <w:tcW w:w="1163" w:type="dxa"/>
              </w:tcPr>
              <w:p w:rsidR="00386F15" w:rsidRPr="0096338A" w:rsidRDefault="007C7DED"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893009560"/>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Nieuwe schoenmakers</w:t>
            </w:r>
          </w:p>
        </w:tc>
        <w:sdt>
          <w:sdtPr>
            <w:id w:val="-423729388"/>
            <w14:checkbox>
              <w14:checked w14:val="1"/>
              <w14:checkedState w14:val="2612" w14:font="MS Gothic"/>
              <w14:uncheckedState w14:val="2610" w14:font="MS Gothic"/>
            </w14:checkbox>
          </w:sdtPr>
          <w:sdtEndPr/>
          <w:sdtContent>
            <w:tc>
              <w:tcPr>
                <w:tcW w:w="1163"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721869313"/>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Oude schoenmakers</w:t>
            </w:r>
          </w:p>
        </w:tc>
        <w:sdt>
          <w:sdtPr>
            <w:id w:val="-751200333"/>
            <w14:checkbox>
              <w14:checked w14:val="1"/>
              <w14:checkedState w14:val="2612" w14:font="MS Gothic"/>
              <w14:uncheckedState w14:val="2610" w14:font="MS Gothic"/>
            </w14:checkbox>
          </w:sdtPr>
          <w:sdtEndPr/>
          <w:sdtContent>
            <w:tc>
              <w:tcPr>
                <w:tcW w:w="1163" w:type="dxa"/>
              </w:tcPr>
              <w:p w:rsidR="00386F15" w:rsidRPr="0096338A" w:rsidRDefault="00BD153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300989934"/>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Schippers</w:t>
            </w:r>
          </w:p>
        </w:tc>
        <w:sdt>
          <w:sdtPr>
            <w:id w:val="71714624"/>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358271455"/>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trHeight w:val="326"/>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Molenaars</w:t>
            </w:r>
          </w:p>
        </w:tc>
        <w:sdt>
          <w:sdtPr>
            <w:id w:val="-1363659734"/>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749085782"/>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Bakkers</w:t>
            </w:r>
          </w:p>
        </w:tc>
        <w:sdt>
          <w:sdtPr>
            <w:id w:val="1997832789"/>
            <w14:checkbox>
              <w14:checked w14:val="1"/>
              <w14:checkedState w14:val="2612" w14:font="MS Gothic"/>
              <w14:uncheckedState w14:val="2610" w14:font="MS Gothic"/>
            </w14:checkbox>
          </w:sdtPr>
          <w:sdtEndPr/>
          <w:sdtContent>
            <w:tc>
              <w:tcPr>
                <w:tcW w:w="1163"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164201960"/>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Brouwers</w:t>
            </w:r>
          </w:p>
        </w:tc>
        <w:sdt>
          <w:sdtPr>
            <w:id w:val="1110325269"/>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622079187"/>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Bontwerkers</w:t>
            </w:r>
          </w:p>
        </w:tc>
        <w:sdt>
          <w:sdtPr>
            <w:id w:val="-1014293701"/>
            <w14:checkbox>
              <w14:checked w14:val="1"/>
              <w14:checkedState w14:val="2612" w14:font="MS Gothic"/>
              <w14:uncheckedState w14:val="2610" w14:font="MS Gothic"/>
            </w14:checkbox>
          </w:sdtPr>
          <w:sdtEndPr/>
          <w:sdtContent>
            <w:tc>
              <w:tcPr>
                <w:tcW w:w="1163"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900514872"/>
            <w14:checkbox>
              <w14:checked w14:val="1"/>
              <w14:checkedState w14:val="2612" w14:font="MS Gothic"/>
              <w14:uncheckedState w14:val="2610" w14:font="MS Gothic"/>
            </w14:checkbox>
          </w:sdtPr>
          <w:sdtEndPr/>
          <w:sdtContent>
            <w:tc>
              <w:tcPr>
                <w:tcW w:w="1163"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Kuipers</w:t>
            </w:r>
          </w:p>
        </w:tc>
        <w:sdt>
          <w:sdtPr>
            <w:id w:val="83120306"/>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495226639"/>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Wagenmakers</w:t>
            </w:r>
          </w:p>
        </w:tc>
        <w:sdt>
          <w:sdtPr>
            <w:id w:val="-1895657484"/>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349864573"/>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Draaiers</w:t>
            </w:r>
          </w:p>
        </w:tc>
        <w:sdt>
          <w:sdtPr>
            <w:id w:val="-775566171"/>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54865107"/>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Zeelmakers</w:t>
            </w:r>
          </w:p>
        </w:tc>
        <w:sdt>
          <w:sdtPr>
            <w:id w:val="1173693099"/>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837159011"/>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Schrijnmakers</w:t>
            </w:r>
          </w:p>
        </w:tc>
        <w:sdt>
          <w:sdtPr>
            <w:id w:val="1436011086"/>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654211811"/>
            <w14:checkbox>
              <w14:checked w14:val="0"/>
              <w14:checkedState w14:val="2612" w14:font="MS Gothic"/>
              <w14:uncheckedState w14:val="2610" w14:font="MS Gothic"/>
            </w14:checkbox>
          </w:sdtPr>
          <w:sdtEndPr/>
          <w:sdtContent>
            <w:tc>
              <w:tcPr>
                <w:tcW w:w="1163"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rsidR="00386F15" w:rsidRPr="0096338A" w:rsidRDefault="00386F15" w:rsidP="00921D46">
            <w:pPr>
              <w:spacing w:line="240" w:lineRule="auto"/>
              <w:rPr>
                <w:rFonts w:cs="Times New Roman"/>
                <w:szCs w:val="24"/>
              </w:rPr>
            </w:pPr>
            <w:r w:rsidRPr="0096338A">
              <w:rPr>
                <w:rFonts w:cs="Times New Roman"/>
                <w:szCs w:val="24"/>
              </w:rPr>
              <w:t>Mandenmakers</w:t>
            </w:r>
          </w:p>
        </w:tc>
        <w:sdt>
          <w:sdtPr>
            <w:id w:val="1877506921"/>
            <w14:checkbox>
              <w14:checked w14:val="1"/>
              <w14:checkedState w14:val="2612" w14:font="MS Gothic"/>
              <w14:uncheckedState w14:val="2610" w14:font="MS Gothic"/>
            </w14:checkbox>
          </w:sdtPr>
          <w:sdtEndPr/>
          <w:sdtContent>
            <w:tc>
              <w:tcPr>
                <w:tcW w:w="1163"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sdt>
          <w:sdtPr>
            <w:id w:val="-1437825487"/>
            <w14:checkbox>
              <w14:checked w14:val="1"/>
              <w14:checkedState w14:val="2612" w14:font="MS Gothic"/>
              <w14:uncheckedState w14:val="2610" w14:font="MS Gothic"/>
            </w14:checkbox>
          </w:sdtPr>
          <w:sdtEndPr/>
          <w:sdtContent>
            <w:tc>
              <w:tcPr>
                <w:tcW w:w="1163"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96338A">
                  <w:rPr>
                    <w:rFonts w:ascii="MS Gothic" w:eastAsia="MS Gothic" w:hAnsi="MS Gothic" w:hint="eastAsia"/>
                  </w:rPr>
                  <w:t>☒</w:t>
                </w:r>
              </w:p>
            </w:tc>
          </w:sdtContent>
        </w:sdt>
      </w:tr>
    </w:tbl>
    <w:p w:rsidR="003C1976" w:rsidRPr="0096338A" w:rsidRDefault="003C1976" w:rsidP="00921D46">
      <w:pPr>
        <w:spacing w:line="240" w:lineRule="auto"/>
      </w:pPr>
    </w:p>
    <w:tbl>
      <w:tblPr>
        <w:tblStyle w:val="Gemiddeldearcering2-accent3"/>
        <w:tblW w:w="4550" w:type="dxa"/>
        <w:tblLook w:val="04A0" w:firstRow="1" w:lastRow="0" w:firstColumn="1" w:lastColumn="0" w:noHBand="0" w:noVBand="1"/>
      </w:tblPr>
      <w:tblGrid>
        <w:gridCol w:w="2296"/>
        <w:gridCol w:w="1163"/>
        <w:gridCol w:w="1163"/>
      </w:tblGrid>
      <w:tr w:rsidR="00386F15" w:rsidRPr="0096338A" w:rsidTr="00386F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rsidR="00386F15" w:rsidRPr="0096338A" w:rsidRDefault="00386F15" w:rsidP="00921D46">
            <w:pPr>
              <w:spacing w:line="240" w:lineRule="auto"/>
              <w:rPr>
                <w:rFonts w:cs="Times New Roman"/>
                <w:szCs w:val="24"/>
                <w:u w:val="single"/>
              </w:rPr>
            </w:pPr>
            <w:r w:rsidRPr="0096338A">
              <w:rPr>
                <w:rFonts w:cs="Times New Roman"/>
                <w:szCs w:val="24"/>
                <w:u w:val="single"/>
              </w:rPr>
              <w:lastRenderedPageBreak/>
              <w:t>Ambacht</w:t>
            </w:r>
          </w:p>
        </w:tc>
        <w:tc>
          <w:tcPr>
            <w:tcW w:w="1141" w:type="dxa"/>
          </w:tcPr>
          <w:p w:rsidR="00386F15" w:rsidRPr="0096338A" w:rsidRDefault="00386F15" w:rsidP="00921D46">
            <w:pPr>
              <w:spacing w:line="240" w:lineRule="auto"/>
              <w:cnfStyle w:val="100000000000" w:firstRow="1" w:lastRow="0" w:firstColumn="0" w:lastColumn="0" w:oddVBand="0" w:evenVBand="0" w:oddHBand="0" w:evenHBand="0" w:firstRowFirstColumn="0" w:firstRowLastColumn="0" w:lastRowFirstColumn="0" w:lastRowLastColumn="0"/>
              <w:rPr>
                <w:rFonts w:cs="Times New Roman"/>
                <w:szCs w:val="24"/>
                <w:u w:val="single"/>
              </w:rPr>
            </w:pPr>
            <w:r w:rsidRPr="0096338A">
              <w:rPr>
                <w:rFonts w:cs="Times New Roman"/>
                <w:szCs w:val="24"/>
                <w:u w:val="single"/>
              </w:rPr>
              <w:t>Vrouwen in ambacht</w:t>
            </w:r>
          </w:p>
        </w:tc>
        <w:tc>
          <w:tcPr>
            <w:tcW w:w="1141" w:type="dxa"/>
          </w:tcPr>
          <w:p w:rsidR="00386F15" w:rsidRPr="0096338A" w:rsidRDefault="00386F15" w:rsidP="00921D46">
            <w:pPr>
              <w:spacing w:line="240" w:lineRule="auto"/>
              <w:cnfStyle w:val="100000000000" w:firstRow="1" w:lastRow="0" w:firstColumn="0" w:lastColumn="0" w:oddVBand="0" w:evenVBand="0" w:oddHBand="0" w:evenHBand="0" w:firstRowFirstColumn="0" w:firstRowLastColumn="0" w:lastRowFirstColumn="0" w:lastRowLastColumn="0"/>
              <w:rPr>
                <w:rFonts w:cs="Times New Roman"/>
                <w:szCs w:val="24"/>
                <w:u w:val="single"/>
              </w:rPr>
            </w:pPr>
            <w:r w:rsidRPr="0096338A">
              <w:rPr>
                <w:rFonts w:cs="Times New Roman"/>
                <w:szCs w:val="24"/>
                <w:u w:val="single"/>
              </w:rPr>
              <w:t>Vrouwen buiten ambacht</w:t>
            </w:r>
          </w:p>
        </w:tc>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Ververs</w:t>
            </w:r>
          </w:p>
        </w:tc>
        <w:sdt>
          <w:sdtPr>
            <w:id w:val="1494138781"/>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222914060"/>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Wevers</w:t>
            </w:r>
          </w:p>
        </w:tc>
        <w:sdt>
          <w:sdtPr>
            <w:id w:val="1272044550"/>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980380506"/>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Volders</w:t>
            </w:r>
          </w:p>
        </w:tc>
        <w:sdt>
          <w:sdtPr>
            <w:id w:val="751243817"/>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79263656"/>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Tapijtwevers</w:t>
            </w:r>
          </w:p>
        </w:tc>
        <w:sdt>
          <w:sdtPr>
            <w:id w:val="115418908"/>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466737171"/>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Linnenwevers</w:t>
            </w:r>
          </w:p>
        </w:tc>
        <w:sdt>
          <w:sdtPr>
            <w:id w:val="-1383094990"/>
            <w14:checkbox>
              <w14:checked w14:val="1"/>
              <w14:checkedState w14:val="2612" w14:font="MS Gothic"/>
              <w14:uncheckedState w14:val="2610" w14:font="MS Gothic"/>
            </w14:checkbox>
          </w:sdtPr>
          <w:sdtEndPr/>
          <w:sdtContent>
            <w:tc>
              <w:tcPr>
                <w:tcW w:w="1141" w:type="dxa"/>
              </w:tcPr>
              <w:p w:rsidR="00386F15" w:rsidRPr="0096338A" w:rsidRDefault="00BD153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2051570298"/>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Scheerders</w:t>
            </w:r>
          </w:p>
        </w:tc>
        <w:sdt>
          <w:sdtPr>
            <w:id w:val="-1605877571"/>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884134579"/>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Borduurwerkers</w:t>
            </w:r>
          </w:p>
        </w:tc>
        <w:sdt>
          <w:sdtPr>
            <w:id w:val="-607743100"/>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79550595"/>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Kleermakers</w:t>
            </w:r>
          </w:p>
        </w:tc>
        <w:sdt>
          <w:sdtPr>
            <w:id w:val="-2113658871"/>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2059585903"/>
            <w14:checkbox>
              <w14:checked w14:val="1"/>
              <w14:checkedState w14:val="2612" w14:font="MS Gothic"/>
              <w14:uncheckedState w14:val="2610" w14:font="MS Gothic"/>
            </w14:checkbox>
          </w:sdtPr>
          <w:sdtEndPr/>
          <w:sdtContent>
            <w:tc>
              <w:tcPr>
                <w:tcW w:w="1141" w:type="dxa"/>
              </w:tcPr>
              <w:p w:rsidR="00386F15" w:rsidRPr="0096338A" w:rsidRDefault="00CB3A90"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Kousenmakers</w:t>
            </w:r>
          </w:p>
        </w:tc>
        <w:sdt>
          <w:sdtPr>
            <w:id w:val="1235591861"/>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435163522"/>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CB3A90" w:rsidP="00921D46">
            <w:pPr>
              <w:spacing w:line="240" w:lineRule="auto"/>
              <w:rPr>
                <w:rFonts w:cs="Times New Roman"/>
                <w:szCs w:val="24"/>
              </w:rPr>
            </w:pPr>
            <w:r w:rsidRPr="0096338A">
              <w:rPr>
                <w:rFonts w:cs="Times New Roman"/>
                <w:szCs w:val="24"/>
              </w:rPr>
              <w:t>Onderkleren</w:t>
            </w:r>
            <w:r w:rsidR="00386F15" w:rsidRPr="0096338A">
              <w:rPr>
                <w:rFonts w:cs="Times New Roman"/>
                <w:szCs w:val="24"/>
              </w:rPr>
              <w:t>makers</w:t>
            </w:r>
          </w:p>
        </w:tc>
        <w:sdt>
          <w:sdtPr>
            <w:id w:val="1849750674"/>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68896995"/>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Meerseniers</w:t>
            </w:r>
          </w:p>
        </w:tc>
        <w:sdt>
          <w:sdtPr>
            <w:id w:val="718399419"/>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436982997"/>
            <w14:checkbox>
              <w14:checked w14:val="1"/>
              <w14:checkedState w14:val="2612" w14:font="MS Gothic"/>
              <w14:uncheckedState w14:val="2610" w14:font="MS Gothic"/>
            </w14:checkbox>
          </w:sdtPr>
          <w:sdtEndPr/>
          <w:sdtContent>
            <w:tc>
              <w:tcPr>
                <w:tcW w:w="1141"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Tassenmakers</w:t>
            </w:r>
          </w:p>
        </w:tc>
        <w:sdt>
          <w:sdtPr>
            <w:id w:val="1803722929"/>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2064702354"/>
            <w14:checkbox>
              <w14:checked w14:val="1"/>
              <w14:checkedState w14:val="2612" w14:font="MS Gothic"/>
              <w14:uncheckedState w14:val="2610" w14:font="MS Gothic"/>
            </w14:checkbox>
          </w:sdtPr>
          <w:sdtEndPr/>
          <w:sdtContent>
            <w:tc>
              <w:tcPr>
                <w:tcW w:w="1141" w:type="dxa"/>
              </w:tcPr>
              <w:p w:rsidR="00386F15" w:rsidRPr="0096338A" w:rsidRDefault="00CB3A90"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Kaarsenmakers</w:t>
            </w:r>
          </w:p>
        </w:tc>
        <w:sdt>
          <w:sdtPr>
            <w:id w:val="379826455"/>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618446728"/>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Ticheldekkers</w:t>
            </w:r>
          </w:p>
        </w:tc>
        <w:sdt>
          <w:sdtPr>
            <w:id w:val="870728187"/>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330449739"/>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Strodekkers</w:t>
            </w:r>
          </w:p>
        </w:tc>
        <w:sdt>
          <w:sdtPr>
            <w:id w:val="2103371226"/>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841850675"/>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Fruiteniers</w:t>
            </w:r>
          </w:p>
        </w:tc>
        <w:sdt>
          <w:sdtPr>
            <w:id w:val="906026767"/>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690598063"/>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Barbiers</w:t>
            </w:r>
          </w:p>
        </w:tc>
        <w:sdt>
          <w:sdtPr>
            <w:id w:val="-1702616786"/>
            <w14:checkbox>
              <w14:checked w14:val="1"/>
              <w14:checkedState w14:val="2612" w14:font="MS Gothic"/>
              <w14:uncheckedState w14:val="2610" w14:font="MS Gothic"/>
            </w14:checkbox>
          </w:sdtPr>
          <w:sdtEndPr/>
          <w:sdtContent>
            <w:tc>
              <w:tcPr>
                <w:tcW w:w="1141" w:type="dxa"/>
              </w:tcPr>
              <w:p w:rsidR="00386F15" w:rsidRPr="0096338A" w:rsidRDefault="00BD153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293493505"/>
            <w14:checkbox>
              <w14:checked w14:val="1"/>
              <w14:checkedState w14:val="2612" w14:font="MS Gothic"/>
              <w14:uncheckedState w14:val="2610" w14:font="MS Gothic"/>
            </w14:checkbox>
          </w:sdtPr>
          <w:sdtEndPr/>
          <w:sdtContent>
            <w:tc>
              <w:tcPr>
                <w:tcW w:w="1141"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Erfwinners</w:t>
            </w:r>
          </w:p>
        </w:tc>
        <w:sdt>
          <w:sdtPr>
            <w:id w:val="874117440"/>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749657777"/>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Wijnkopers</w:t>
            </w:r>
          </w:p>
        </w:tc>
        <w:sdt>
          <w:sdtPr>
            <w:id w:val="1821690681"/>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151875634"/>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Cremers</w:t>
            </w:r>
          </w:p>
        </w:tc>
        <w:sdt>
          <w:sdtPr>
            <w:id w:val="-1497095518"/>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496219130"/>
            <w14:checkbox>
              <w14:checked w14:val="0"/>
              <w14:checkedState w14:val="2612" w14:font="MS Gothic"/>
              <w14:uncheckedState w14:val="2610" w14:font="MS Gothic"/>
            </w14:checkbox>
          </w:sdtPr>
          <w:sdtEndPr/>
          <w:sdtContent>
            <w:tc>
              <w:tcPr>
                <w:tcW w:w="1141" w:type="dxa"/>
              </w:tcPr>
              <w:p w:rsidR="00386F15" w:rsidRPr="0096338A" w:rsidRDefault="00386F15" w:rsidP="00921D46">
                <w:pPr>
                  <w:spacing w:line="240" w:lineRule="auto"/>
                  <w:cnfStyle w:val="000000000000" w:firstRow="0" w:lastRow="0" w:firstColumn="0" w:lastColumn="0" w:oddVBand="0" w:evenVBand="0" w:oddHBand="0"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r w:rsidR="00386F15" w:rsidRPr="0096338A" w:rsidTr="00386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86F15" w:rsidRPr="0096338A" w:rsidRDefault="00386F15" w:rsidP="00921D46">
            <w:pPr>
              <w:spacing w:line="240" w:lineRule="auto"/>
              <w:rPr>
                <w:rFonts w:cs="Times New Roman"/>
                <w:szCs w:val="24"/>
              </w:rPr>
            </w:pPr>
            <w:r w:rsidRPr="0096338A">
              <w:rPr>
                <w:rFonts w:cs="Times New Roman"/>
                <w:szCs w:val="24"/>
              </w:rPr>
              <w:t>Oude klerenkopers</w:t>
            </w:r>
          </w:p>
        </w:tc>
        <w:sdt>
          <w:sdtPr>
            <w:id w:val="-511531880"/>
            <w14:checkbox>
              <w14:checked w14:val="1"/>
              <w14:checkedState w14:val="2612" w14:font="MS Gothic"/>
              <w14:uncheckedState w14:val="2610" w14:font="MS Gothic"/>
            </w14:checkbox>
          </w:sdtPr>
          <w:sdtEndPr/>
          <w:sdtContent>
            <w:tc>
              <w:tcPr>
                <w:tcW w:w="1141" w:type="dxa"/>
              </w:tcPr>
              <w:p w:rsidR="00386F15" w:rsidRPr="0096338A" w:rsidRDefault="007C7DED"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sdt>
          <w:sdtPr>
            <w:id w:val="-1281023143"/>
            <w14:checkbox>
              <w14:checked w14:val="1"/>
              <w14:checkedState w14:val="2612" w14:font="MS Gothic"/>
              <w14:uncheckedState w14:val="2610" w14:font="MS Gothic"/>
            </w14:checkbox>
          </w:sdtPr>
          <w:sdtEndPr/>
          <w:sdtContent>
            <w:tc>
              <w:tcPr>
                <w:tcW w:w="1141" w:type="dxa"/>
              </w:tcPr>
              <w:p w:rsidR="00386F15" w:rsidRPr="0096338A" w:rsidRDefault="00CB3A90" w:rsidP="00921D46">
                <w:pPr>
                  <w:spacing w:line="240" w:lineRule="auto"/>
                  <w:cnfStyle w:val="000000100000" w:firstRow="0" w:lastRow="0" w:firstColumn="0" w:lastColumn="0" w:oddVBand="0" w:evenVBand="0" w:oddHBand="1" w:evenHBand="0" w:firstRowFirstColumn="0" w:firstRowLastColumn="0" w:lastRowFirstColumn="0" w:lastRowLastColumn="0"/>
                  <w:rPr>
                    <w:rFonts w:cs="Times New Roman"/>
                    <w:b/>
                    <w:szCs w:val="24"/>
                    <w:u w:val="single"/>
                  </w:rPr>
                </w:pPr>
                <w:r w:rsidRPr="0096338A">
                  <w:rPr>
                    <w:rFonts w:ascii="MS Gothic" w:eastAsia="MS Gothic" w:hAnsi="MS Gothic" w:hint="eastAsia"/>
                  </w:rPr>
                  <w:t>☒</w:t>
                </w:r>
              </w:p>
            </w:tc>
          </w:sdtContent>
        </w:sdt>
      </w:tr>
    </w:tbl>
    <w:p w:rsidR="00386F15" w:rsidRPr="0096338A" w:rsidRDefault="00386F15" w:rsidP="00386F15">
      <w:pPr>
        <w:sectPr w:rsidR="00386F15" w:rsidRPr="0096338A" w:rsidSect="00386F15">
          <w:type w:val="continuous"/>
          <w:pgSz w:w="11906" w:h="16838"/>
          <w:pgMar w:top="1417" w:right="1417" w:bottom="1417" w:left="1417" w:header="708" w:footer="708" w:gutter="0"/>
          <w:pgNumType w:start="1"/>
          <w:cols w:num="2" w:space="708"/>
          <w:docGrid w:linePitch="360"/>
        </w:sectPr>
      </w:pPr>
    </w:p>
    <w:p w:rsidR="003456C1" w:rsidRPr="00BE2EE9" w:rsidRDefault="00F331B2" w:rsidP="00BE2EE9">
      <w:pPr>
        <w:rPr>
          <w:b/>
        </w:rPr>
      </w:pPr>
      <w:r w:rsidRPr="00BE2EE9">
        <w:rPr>
          <w:b/>
        </w:rPr>
        <w:lastRenderedPageBreak/>
        <w:t>Bijlage 3</w:t>
      </w:r>
      <w:r w:rsidR="00D4463E" w:rsidRPr="00BE2EE9">
        <w:rPr>
          <w:b/>
        </w:rPr>
        <w:t xml:space="preserve"> – Zijaanzicht van Leuven, 1605</w:t>
      </w:r>
    </w:p>
    <w:p w:rsidR="003456C1" w:rsidRDefault="00D4463E" w:rsidP="003456C1">
      <w:r w:rsidRPr="0096338A">
        <w:rPr>
          <w:noProof/>
          <w:lang w:eastAsia="nl-NL"/>
        </w:rPr>
        <w:drawing>
          <wp:inline distT="0" distB="0" distL="0" distR="0" wp14:anchorId="36627B59" wp14:editId="7B22CBC3">
            <wp:extent cx="5286681" cy="2860895"/>
            <wp:effectExtent l="0" t="0" r="0" b="0"/>
            <wp:docPr id="3" name="Afbeelding 3" descr="C:\Users\Nena\Pictures\zijaanzicht Leu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Pictures\zijaanzicht Leuven.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81"/>
                    <a:stretch/>
                  </pic:blipFill>
                  <pic:spPr bwMode="auto">
                    <a:xfrm>
                      <a:off x="0" y="0"/>
                      <a:ext cx="5287010" cy="2861073"/>
                    </a:xfrm>
                    <a:prstGeom prst="rect">
                      <a:avLst/>
                    </a:prstGeom>
                    <a:noFill/>
                    <a:ln>
                      <a:noFill/>
                    </a:ln>
                    <a:extLst>
                      <a:ext uri="{53640926-AAD7-44D8-BBD7-CCE9431645EC}">
                        <a14:shadowObscured xmlns:a14="http://schemas.microsoft.com/office/drawing/2010/main"/>
                      </a:ext>
                    </a:extLst>
                  </pic:spPr>
                </pic:pic>
              </a:graphicData>
            </a:graphic>
          </wp:inline>
        </w:drawing>
      </w:r>
    </w:p>
    <w:p w:rsidR="002F3D80" w:rsidRDefault="002F3D80" w:rsidP="002F3D80">
      <w:pPr>
        <w:pStyle w:val="Geenafstand"/>
      </w:pPr>
      <w:r>
        <w:t>BESSEMANS, HONORÉ, e.a.</w:t>
      </w:r>
      <w:r w:rsidRPr="0096338A">
        <w:t xml:space="preserve">, </w:t>
      </w:r>
      <w:r w:rsidRPr="002F3D80">
        <w:rPr>
          <w:i/>
        </w:rPr>
        <w:t>Leven te Leuven in de late Middeleeuwen</w:t>
      </w:r>
      <w:r>
        <w:t>.</w:t>
      </w:r>
    </w:p>
    <w:p w:rsidR="00BE2EE9" w:rsidRPr="00BE2EE9" w:rsidRDefault="00BE2EE9" w:rsidP="00BE2EE9"/>
    <w:p w:rsidR="00D4463E" w:rsidRPr="00BE2EE9" w:rsidRDefault="00F331B2" w:rsidP="00BE2EE9">
      <w:pPr>
        <w:rPr>
          <w:b/>
        </w:rPr>
      </w:pPr>
      <w:r w:rsidRPr="00BE2EE9">
        <w:rPr>
          <w:b/>
        </w:rPr>
        <w:t>Bijlage 4</w:t>
      </w:r>
      <w:r w:rsidR="00D4463E" w:rsidRPr="00BE2EE9">
        <w:rPr>
          <w:b/>
        </w:rPr>
        <w:t xml:space="preserve"> – Kaarten van middeleeuws Leuven</w:t>
      </w:r>
    </w:p>
    <w:p w:rsidR="000C47AA" w:rsidRPr="0096338A" w:rsidRDefault="003456C1" w:rsidP="000C47AA">
      <w:r w:rsidRPr="0096338A">
        <w:rPr>
          <w:noProof/>
          <w:lang w:eastAsia="nl-NL"/>
        </w:rPr>
        <w:drawing>
          <wp:inline distT="0" distB="0" distL="0" distR="0" wp14:anchorId="00EFEE28" wp14:editId="0F9020D1">
            <wp:extent cx="4855422" cy="3892990"/>
            <wp:effectExtent l="0" t="0" r="2540" b="0"/>
            <wp:docPr id="4" name="Afbeelding 4" descr="C:\Users\Nena\Documents\Kaart Leu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ocuments\Kaart Leuve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60" t="6652" r="6289"/>
                    <a:stretch/>
                  </pic:blipFill>
                  <pic:spPr bwMode="auto">
                    <a:xfrm>
                      <a:off x="0" y="0"/>
                      <a:ext cx="4855920" cy="3893389"/>
                    </a:xfrm>
                    <a:prstGeom prst="rect">
                      <a:avLst/>
                    </a:prstGeom>
                    <a:noFill/>
                    <a:ln>
                      <a:noFill/>
                    </a:ln>
                    <a:extLst>
                      <a:ext uri="{53640926-AAD7-44D8-BBD7-CCE9431645EC}">
                        <a14:shadowObscured xmlns:a14="http://schemas.microsoft.com/office/drawing/2010/main"/>
                      </a:ext>
                    </a:extLst>
                  </pic:spPr>
                </pic:pic>
              </a:graphicData>
            </a:graphic>
          </wp:inline>
        </w:drawing>
      </w:r>
    </w:p>
    <w:p w:rsidR="002F3D80" w:rsidRPr="002F3D80" w:rsidRDefault="002F3D80" w:rsidP="002F3D80">
      <w:pPr>
        <w:pStyle w:val="Geenafstand"/>
      </w:pPr>
      <w:r>
        <w:t xml:space="preserve">VAN UYTVEN, </w:t>
      </w:r>
      <w:r w:rsidR="009333AD">
        <w:rPr>
          <w:i/>
        </w:rPr>
        <w:t xml:space="preserve">Leuven </w:t>
      </w:r>
      <w:r w:rsidR="009333AD" w:rsidRPr="009333AD">
        <w:rPr>
          <w:i/>
        </w:rPr>
        <w:t>anno 1448</w:t>
      </w:r>
      <w:r w:rsidR="009333AD">
        <w:t xml:space="preserve">, </w:t>
      </w:r>
      <w:r w:rsidRPr="009333AD">
        <w:t>20</w:t>
      </w:r>
      <w:r>
        <w:t>.</w:t>
      </w:r>
    </w:p>
    <w:p w:rsidR="00B35E88" w:rsidRPr="0096338A" w:rsidRDefault="003456C1" w:rsidP="002F3D80">
      <w:pPr>
        <w:spacing w:line="240" w:lineRule="auto"/>
      </w:pPr>
      <w:r w:rsidRPr="0096338A">
        <w:t>Het vijftiende-eeuwse Leuven, zoals voorgesteld door Raymond Van Uytven.</w:t>
      </w:r>
      <w:r w:rsidR="00B35E88" w:rsidRPr="0096338A">
        <w:br w:type="page"/>
      </w:r>
    </w:p>
    <w:p w:rsidR="00B35E88" w:rsidRPr="00C177A6" w:rsidRDefault="00B35E88" w:rsidP="00C177A6">
      <w:pPr>
        <w:pStyle w:val="Kop1"/>
        <w:rPr>
          <w:sz w:val="22"/>
          <w:szCs w:val="22"/>
          <w:lang w:val="en-GB"/>
        </w:rPr>
      </w:pPr>
      <w:bookmarkStart w:id="33" w:name="_Toc452371461"/>
      <w:r w:rsidRPr="00C177A6">
        <w:rPr>
          <w:sz w:val="22"/>
          <w:szCs w:val="22"/>
          <w:lang w:val="en-GB"/>
        </w:rPr>
        <w:lastRenderedPageBreak/>
        <w:t>Summary</w:t>
      </w:r>
      <w:bookmarkEnd w:id="33"/>
    </w:p>
    <w:p w:rsidR="00B35E88" w:rsidRPr="00C177A6" w:rsidRDefault="00B35E88" w:rsidP="00C177A6">
      <w:pPr>
        <w:rPr>
          <w:rFonts w:cs="Times New Roman"/>
          <w:sz w:val="20"/>
          <w:szCs w:val="20"/>
          <w:lang w:val="en-GB"/>
        </w:rPr>
      </w:pPr>
      <w:r w:rsidRPr="00C177A6">
        <w:rPr>
          <w:rFonts w:cs="Times New Roman"/>
          <w:sz w:val="20"/>
          <w:szCs w:val="20"/>
          <w:lang w:val="en-GB"/>
        </w:rPr>
        <w:t>In the last decennia, medieval Gender Studies have been a booming research field in the Medieval Studies. Several authors argue that in city life, women were more independent than traditionally assumed, especially in the Netherlands. The market was a place not unknown to women and their trades. This thesis contributes to the topic by investigating the position of women in the craft guilds of Leuven during the fifteenth century. The economic position of this Brabantian city declined from the mid</w:t>
      </w:r>
      <w:r w:rsidRPr="00C177A6">
        <w:rPr>
          <w:rStyle w:val="Verwijzingopmerking1"/>
          <w:sz w:val="20"/>
          <w:szCs w:val="20"/>
          <w:lang w:val="en-GB"/>
        </w:rPr>
        <w:t>-</w:t>
      </w:r>
      <w:r w:rsidRPr="00C177A6">
        <w:rPr>
          <w:rFonts w:cs="Times New Roman"/>
          <w:sz w:val="20"/>
          <w:szCs w:val="20"/>
          <w:lang w:val="en-GB"/>
        </w:rPr>
        <w:t xml:space="preserve">fourteenth century onwards. The cloth trade that made the city prosperous decayed and with it the bright future of Leuven. The Louvain crafts that kept their important role in the city's politics, left room for women to operate in, which is clear from the city ordinances that were used for this thesis. In the first chapter, this dissertation shows the large access that women in the fifteenth century still had in the craft guilds and the world surrounding the crafts. According to normative sources, women from different marital statuses could operate semi-independent in the crafts. Notable is that they could work within the butchers' craft and the meat hall, something that was strictly forbidden in Ghent according to Shennan Hutton. A second part of this chapter shows the existence of a broad informal market in Leuven during the fifteenth century. Outside craft membership, women were active in different branches of the economy. It seems that women who worked as fishmongers outside the craft were especially common. At the same time, they also did not hold back in defending their activities; there are several examples for conflicts between the fishmongers and the women on the fish market. </w:t>
      </w:r>
    </w:p>
    <w:p w:rsidR="00F05120" w:rsidRPr="00C177A6" w:rsidRDefault="00B35E88" w:rsidP="00C177A6">
      <w:pPr>
        <w:ind w:firstLine="708"/>
        <w:rPr>
          <w:sz w:val="20"/>
          <w:szCs w:val="20"/>
          <w:lang w:val="en-GB"/>
        </w:rPr>
      </w:pPr>
      <w:r w:rsidRPr="00C177A6">
        <w:rPr>
          <w:rFonts w:cs="Times New Roman"/>
          <w:sz w:val="20"/>
          <w:szCs w:val="20"/>
          <w:lang w:val="en-GB"/>
        </w:rPr>
        <w:t xml:space="preserve">One of the theories in former research to gender in Medieval Studies, is that a change in the position of women occurred during the late Middle Ages because of which women were banned from their public roles and placed into the safe household. A third part of this chapter proves that a rethinking of this theory would be welcome. Although the sources in Leuven do not allow for research into earlier periods, it is not possible to detect a real change through the fifteenth century. The broad access of women to the craft guilds also show that, at least in Leuven, they were not banned from public activities at all. Although the sources could not establish this new hypothesis, the findings show that new research about the existence of this </w:t>
      </w:r>
      <w:r w:rsidR="00E8163A" w:rsidRPr="00C177A6">
        <w:rPr>
          <w:rFonts w:cs="Times New Roman"/>
          <w:sz w:val="20"/>
          <w:szCs w:val="20"/>
          <w:lang w:val="en-GB"/>
        </w:rPr>
        <w:t>‘</w:t>
      </w:r>
      <w:r w:rsidRPr="00C177A6">
        <w:rPr>
          <w:rFonts w:cs="Times New Roman"/>
          <w:sz w:val="20"/>
          <w:szCs w:val="20"/>
          <w:lang w:val="en-GB"/>
        </w:rPr>
        <w:t>decline-theory</w:t>
      </w:r>
      <w:r w:rsidR="00E8163A" w:rsidRPr="00C177A6">
        <w:rPr>
          <w:rFonts w:cs="Times New Roman"/>
          <w:sz w:val="20"/>
          <w:szCs w:val="20"/>
          <w:lang w:val="en-GB"/>
        </w:rPr>
        <w:t>’</w:t>
      </w:r>
      <w:r w:rsidRPr="00C177A6">
        <w:rPr>
          <w:rFonts w:cs="Times New Roman"/>
          <w:sz w:val="20"/>
          <w:szCs w:val="20"/>
          <w:lang w:val="en-GB"/>
        </w:rPr>
        <w:t xml:space="preserve"> is necessary. A second chapter focuses on the booming topic of gender and space in the Middle Ages. The used sources do not allow for a broad analysis of this theme, but the scarce findings on this topic are still useful. The positioning of gender within the </w:t>
      </w:r>
      <w:r w:rsidR="00E8163A" w:rsidRPr="00C177A6">
        <w:rPr>
          <w:rFonts w:cs="Times New Roman"/>
          <w:sz w:val="20"/>
          <w:szCs w:val="20"/>
          <w:lang w:val="en-GB"/>
        </w:rPr>
        <w:t>‘</w:t>
      </w:r>
      <w:r w:rsidRPr="00C177A6">
        <w:rPr>
          <w:rFonts w:cs="Times New Roman"/>
          <w:sz w:val="20"/>
          <w:szCs w:val="20"/>
          <w:lang w:val="en-GB"/>
        </w:rPr>
        <w:t>spatial turn</w:t>
      </w:r>
      <w:r w:rsidR="00E8163A" w:rsidRPr="00C177A6">
        <w:rPr>
          <w:rFonts w:cs="Times New Roman"/>
          <w:sz w:val="20"/>
          <w:szCs w:val="20"/>
          <w:lang w:val="en-GB"/>
        </w:rPr>
        <w:t>’</w:t>
      </w:r>
      <w:r w:rsidRPr="00C177A6">
        <w:rPr>
          <w:rFonts w:cs="Times New Roman"/>
          <w:sz w:val="20"/>
          <w:szCs w:val="20"/>
          <w:lang w:val="en-GB"/>
        </w:rPr>
        <w:t xml:space="preserve"> could deliver new results for this study. In the market space in Leuven, women generally had a lot of leeway. Except for the grain hall, most of the market halls were open to women. Within the halls, there is little evidence to find for a gendered space, as gender-unequal legislation pertained only to the meat hall and ever there the thesis shows nuances. Furthermore, this dissertation uncovers the relative gender equality in jurisdiction about moral behaviour in the market spaces. The informal market that existed in the streets and within the private homes was also occupied by women, who made their living there. Although the public space in Leuven certainly knew gendering, it became clear that this city allowed a lot of leeway for women.</w:t>
      </w:r>
      <w:r w:rsidR="00C177A6" w:rsidRPr="00C177A6">
        <w:rPr>
          <w:rFonts w:cs="Times New Roman"/>
          <w:sz w:val="20"/>
          <w:szCs w:val="20"/>
          <w:lang w:val="en-GB"/>
        </w:rPr>
        <w:t xml:space="preserve"> However the craft guilds certainly had a restrictive effect on women’s economic activities, this dissertation shows the possibilities they still had during the fifteenth century. </w:t>
      </w:r>
    </w:p>
    <w:sectPr w:rsidR="00F05120" w:rsidRPr="00C177A6" w:rsidSect="00BE2EE9">
      <w:type w:val="continuous"/>
      <w:pgSz w:w="11906" w:h="16838"/>
      <w:pgMar w:top="1417" w:right="1417" w:bottom="1417" w:left="1417" w:header="708" w:footer="708" w:gutter="0"/>
      <w:pgNumType w:start="9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97" w:rsidRDefault="00045E97">
      <w:pPr>
        <w:spacing w:after="0" w:line="240" w:lineRule="auto"/>
      </w:pPr>
      <w:r>
        <w:separator/>
      </w:r>
    </w:p>
  </w:endnote>
  <w:endnote w:type="continuationSeparator" w:id="0">
    <w:p w:rsidR="00045E97" w:rsidRDefault="00045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Md">
    <w:altName w:val="Cambria"/>
    <w:panose1 w:val="00000000000000000000"/>
    <w:charset w:val="00"/>
    <w:family w:val="auto"/>
    <w:notTrueType/>
    <w:pitch w:val="default"/>
    <w:sig w:usb0="00000003" w:usb1="00000000" w:usb2="00000000" w:usb3="00000000" w:csb0="00000001" w:csb1="00000000"/>
  </w:font>
  <w:font w:name="HelveticaNeueLTStd-Roman">
    <w:altName w:val="Cambr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E8" w:rsidRDefault="00421AE8">
    <w:pPr>
      <w:pStyle w:val="Voettekst"/>
      <w:jc w:val="right"/>
    </w:pPr>
  </w:p>
  <w:p w:rsidR="00421AE8" w:rsidRDefault="00421AE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E8" w:rsidRDefault="00421AE8">
    <w:pPr>
      <w:pStyle w:val="Voettekst"/>
      <w:jc w:val="right"/>
    </w:pPr>
  </w:p>
  <w:p w:rsidR="00421AE8" w:rsidRDefault="00421AE8" w:rsidP="00DC141C">
    <w:pPr>
      <w:pStyle w:val="Voettekst"/>
      <w:tabs>
        <w:tab w:val="clear" w:pos="4536"/>
        <w:tab w:val="clear" w:pos="9072"/>
        <w:tab w:val="left" w:pos="826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26200"/>
      <w:docPartObj>
        <w:docPartGallery w:val="Page Numbers (Bottom of Page)"/>
        <w:docPartUnique/>
      </w:docPartObj>
    </w:sdtPr>
    <w:sdtEndPr/>
    <w:sdtContent>
      <w:p w:rsidR="00421AE8" w:rsidRDefault="00421AE8">
        <w:pPr>
          <w:pStyle w:val="Voettekst"/>
          <w:jc w:val="right"/>
        </w:pPr>
        <w:r>
          <w:fldChar w:fldCharType="begin"/>
        </w:r>
        <w:r>
          <w:instrText>PAGE   \* MERGEFORMAT</w:instrText>
        </w:r>
        <w:r>
          <w:fldChar w:fldCharType="separate"/>
        </w:r>
        <w:r w:rsidR="004B0A00">
          <w:rPr>
            <w:noProof/>
          </w:rPr>
          <w:t>17</w:t>
        </w:r>
        <w:r>
          <w:fldChar w:fldCharType="end"/>
        </w:r>
      </w:p>
    </w:sdtContent>
  </w:sdt>
  <w:p w:rsidR="00421AE8" w:rsidRDefault="00421AE8" w:rsidP="00DC141C">
    <w:pPr>
      <w:pStyle w:val="Voettekst"/>
      <w:tabs>
        <w:tab w:val="clear" w:pos="4536"/>
        <w:tab w:val="clear" w:pos="9072"/>
        <w:tab w:val="left" w:pos="826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97" w:rsidRDefault="00045E97">
      <w:pPr>
        <w:spacing w:after="0" w:line="240" w:lineRule="auto"/>
      </w:pPr>
      <w:r>
        <w:separator/>
      </w:r>
    </w:p>
  </w:footnote>
  <w:footnote w:type="continuationSeparator" w:id="0">
    <w:p w:rsidR="00045E97" w:rsidRDefault="00045E97">
      <w:pPr>
        <w:spacing w:after="0" w:line="240" w:lineRule="auto"/>
      </w:pPr>
      <w:r>
        <w:continuationSeparator/>
      </w:r>
    </w:p>
  </w:footnote>
  <w:footnote w:id="1">
    <w:p w:rsidR="00421AE8" w:rsidRPr="00F32EEC" w:rsidRDefault="00421AE8" w:rsidP="003F03BB">
      <w:pPr>
        <w:pStyle w:val="Voetnoottekst"/>
        <w:rPr>
          <w:lang w:val="en-GB"/>
        </w:rPr>
      </w:pPr>
      <w:r>
        <w:rPr>
          <w:rStyle w:val="Voetnootmarkering"/>
        </w:rPr>
        <w:footnoteRef/>
      </w:r>
      <w:r w:rsidRPr="00F32EEC">
        <w:rPr>
          <w:lang w:val="en-GB"/>
        </w:rPr>
        <w:t xml:space="preserve"> SAL, 1523, fol. 121r, 28 juli 1496.</w:t>
      </w:r>
    </w:p>
  </w:footnote>
  <w:footnote w:id="2">
    <w:p w:rsidR="00421AE8" w:rsidRPr="00C03793" w:rsidRDefault="00421AE8" w:rsidP="003F03BB">
      <w:pPr>
        <w:pStyle w:val="Geenafstand"/>
        <w:rPr>
          <w:lang w:val="en-GB"/>
        </w:rPr>
      </w:pPr>
      <w:r>
        <w:rPr>
          <w:rStyle w:val="Voetnootmarkering"/>
        </w:rPr>
        <w:footnoteRef/>
      </w:r>
      <w:r w:rsidRPr="00C03793">
        <w:rPr>
          <w:lang w:val="en-GB"/>
        </w:rPr>
        <w:t xml:space="preserve"> SOLY, ‘</w:t>
      </w:r>
      <w:r w:rsidRPr="00D71CF5">
        <w:rPr>
          <w:rFonts w:cs="Times New Roman"/>
          <w:lang w:val="en-GB"/>
        </w:rPr>
        <w:t>The Political Economy of European Craft Guilds: Power Relations and Economic Strategies of Merchants and Master Artisans in the Medieval and Early Modern Textile Industries’</w:t>
      </w:r>
      <w:r>
        <w:rPr>
          <w:rFonts w:cs="Times New Roman"/>
          <w:lang w:val="en-GB"/>
        </w:rPr>
        <w:t>, 52-55.</w:t>
      </w:r>
    </w:p>
  </w:footnote>
  <w:footnote w:id="3">
    <w:p w:rsidR="00421AE8" w:rsidRPr="005D600F" w:rsidRDefault="00421AE8" w:rsidP="003F03BB">
      <w:pPr>
        <w:pStyle w:val="Voetnoottekst"/>
      </w:pPr>
      <w:r>
        <w:rPr>
          <w:rStyle w:val="Voetnootmarkering"/>
        </w:rPr>
        <w:footnoteRef/>
      </w:r>
      <w:r w:rsidRPr="005D600F">
        <w:t xml:space="preserve"> </w:t>
      </w:r>
      <w:r>
        <w:t xml:space="preserve">HAEMERS, </w:t>
      </w:r>
      <w:r w:rsidRPr="000344E4">
        <w:rPr>
          <w:i/>
        </w:rPr>
        <w:t xml:space="preserve">Een rebelse stad aan de Dijle. </w:t>
      </w:r>
      <w:r>
        <w:rPr>
          <w:i/>
        </w:rPr>
        <w:t>Over conflicten en politiek in laatmiddeleeuws Leuven</w:t>
      </w:r>
      <w:r>
        <w:t>, 4 – 7.</w:t>
      </w:r>
    </w:p>
  </w:footnote>
  <w:footnote w:id="4">
    <w:p w:rsidR="00421AE8" w:rsidRPr="00D41A9D" w:rsidRDefault="00421AE8" w:rsidP="003F03BB">
      <w:pPr>
        <w:pStyle w:val="Voetnoottekst"/>
        <w:rPr>
          <w:i/>
          <w:lang w:val="en-GB"/>
        </w:rPr>
      </w:pPr>
      <w:r>
        <w:rPr>
          <w:rStyle w:val="Voetnootmarkering"/>
        </w:rPr>
        <w:footnoteRef/>
      </w:r>
      <w:r w:rsidRPr="00D41A9D">
        <w:rPr>
          <w:lang w:val="en-GB"/>
        </w:rPr>
        <w:t xml:space="preserve"> </w:t>
      </w:r>
      <w:r w:rsidRPr="009454C1">
        <w:rPr>
          <w:lang w:val="en-GB"/>
        </w:rPr>
        <w:t xml:space="preserve">HOWELL, </w:t>
      </w:r>
      <w:r w:rsidRPr="009454C1">
        <w:rPr>
          <w:i/>
          <w:lang w:val="en-GB"/>
        </w:rPr>
        <w:t xml:space="preserve">Women, </w:t>
      </w:r>
      <w:r>
        <w:rPr>
          <w:i/>
          <w:lang w:val="en-GB"/>
        </w:rPr>
        <w:t>Production, and P</w:t>
      </w:r>
      <w:r w:rsidRPr="009454C1">
        <w:rPr>
          <w:i/>
          <w:lang w:val="en-GB"/>
        </w:rPr>
        <w:t>atriarchy</w:t>
      </w:r>
      <w:r>
        <w:rPr>
          <w:i/>
          <w:lang w:val="en-GB"/>
        </w:rPr>
        <w:t xml:space="preserve"> in Late Medieval Cities</w:t>
      </w:r>
      <w:r>
        <w:rPr>
          <w:lang w:val="en-GB"/>
        </w:rPr>
        <w:t>, 1.</w:t>
      </w:r>
    </w:p>
  </w:footnote>
  <w:footnote w:id="5">
    <w:p w:rsidR="00421AE8" w:rsidRPr="006E0B57" w:rsidRDefault="00421AE8" w:rsidP="003F03BB">
      <w:pPr>
        <w:pStyle w:val="Voetnoottekst"/>
        <w:rPr>
          <w:lang w:val="en-GB"/>
        </w:rPr>
      </w:pPr>
      <w:r>
        <w:rPr>
          <w:rStyle w:val="Voetnootmarkering"/>
        </w:rPr>
        <w:footnoteRef/>
      </w:r>
      <w:r w:rsidRPr="006E0B57">
        <w:rPr>
          <w:lang w:val="en-GB"/>
        </w:rPr>
        <w:t xml:space="preserve"> </w:t>
      </w:r>
      <w:r>
        <w:rPr>
          <w:lang w:val="en-GB"/>
        </w:rPr>
        <w:t xml:space="preserve">CROWSTON, </w:t>
      </w:r>
      <w:r w:rsidRPr="00C63139">
        <w:rPr>
          <w:lang w:val="en-GB"/>
        </w:rPr>
        <w:t>‘Women, Gender, and Guilds in Early Modern Europe: An Overview of Recent Research’,</w:t>
      </w:r>
      <w:r>
        <w:rPr>
          <w:lang w:val="en-GB"/>
        </w:rPr>
        <w:t xml:space="preserve"> 20.</w:t>
      </w:r>
    </w:p>
  </w:footnote>
  <w:footnote w:id="6">
    <w:p w:rsidR="00421AE8" w:rsidRPr="004C1B93" w:rsidRDefault="00421AE8" w:rsidP="003F03BB">
      <w:pPr>
        <w:pStyle w:val="Voetnoottekst"/>
        <w:rPr>
          <w:lang w:val="fr-BE"/>
        </w:rPr>
      </w:pPr>
      <w:r>
        <w:rPr>
          <w:rStyle w:val="Voetnootmarkering"/>
        </w:rPr>
        <w:footnoteRef/>
      </w:r>
      <w:r w:rsidRPr="004C1B93">
        <w:rPr>
          <w:lang w:val="fr-BE"/>
        </w:rPr>
        <w:t xml:space="preserve"> GILISSEN, </w:t>
      </w:r>
      <w:r w:rsidRPr="004C1B93">
        <w:rPr>
          <w:i/>
          <w:lang w:val="fr-BE"/>
        </w:rPr>
        <w:t>Le statut de la femme dans l’ancien droit belge</w:t>
      </w:r>
      <w:r w:rsidRPr="004C1B93">
        <w:rPr>
          <w:lang w:val="fr-BE"/>
        </w:rPr>
        <w:t>, 296 – 272.</w:t>
      </w:r>
    </w:p>
  </w:footnote>
  <w:footnote w:id="7">
    <w:p w:rsidR="00421AE8" w:rsidRPr="00736D8C" w:rsidRDefault="00421AE8" w:rsidP="003F03BB">
      <w:pPr>
        <w:pStyle w:val="Voetnoottekst"/>
      </w:pPr>
      <w:r>
        <w:rPr>
          <w:rStyle w:val="Voetnootmarkering"/>
        </w:rPr>
        <w:footnoteRef/>
      </w:r>
      <w:r>
        <w:t xml:space="preserve"> VERHAVERT, </w:t>
      </w:r>
      <w:r>
        <w:rPr>
          <w:i/>
        </w:rPr>
        <w:t>Het ambachtswezen te Leuven</w:t>
      </w:r>
      <w:r>
        <w:t>.</w:t>
      </w:r>
    </w:p>
  </w:footnote>
  <w:footnote w:id="8">
    <w:p w:rsidR="00421AE8" w:rsidRPr="000365E3" w:rsidRDefault="00421AE8" w:rsidP="003F03BB">
      <w:pPr>
        <w:pStyle w:val="Voetnoottekst"/>
        <w:rPr>
          <w:lang w:val="en-GB"/>
        </w:rPr>
      </w:pPr>
      <w:r>
        <w:rPr>
          <w:rStyle w:val="Voetnootmarkering"/>
        </w:rPr>
        <w:footnoteRef/>
      </w:r>
      <w:r w:rsidRPr="00B10D8B">
        <w:rPr>
          <w:lang w:val="en-GB"/>
        </w:rPr>
        <w:t xml:space="preserve"> HOWELL, </w:t>
      </w:r>
      <w:r w:rsidRPr="009454C1">
        <w:rPr>
          <w:i/>
          <w:lang w:val="en-GB"/>
        </w:rPr>
        <w:t xml:space="preserve">Women, </w:t>
      </w:r>
      <w:r>
        <w:rPr>
          <w:i/>
          <w:lang w:val="en-GB"/>
        </w:rPr>
        <w:t>Production, and P</w:t>
      </w:r>
      <w:r w:rsidRPr="009454C1">
        <w:rPr>
          <w:i/>
          <w:lang w:val="en-GB"/>
        </w:rPr>
        <w:t>atriarchy</w:t>
      </w:r>
      <w:r>
        <w:rPr>
          <w:lang w:val="en-GB"/>
        </w:rPr>
        <w:t xml:space="preserve">, 13; HOWELL, M., ‘Citizenship and Gender: Women’s Political Status in Northern Medieval Cities’, M. ERLER en M. KOWALESKI red., </w:t>
      </w:r>
      <w:r>
        <w:rPr>
          <w:i/>
          <w:lang w:val="en-GB"/>
        </w:rPr>
        <w:t>Women and Power in the Middle Ages</w:t>
      </w:r>
      <w:r>
        <w:rPr>
          <w:lang w:val="en-GB"/>
        </w:rPr>
        <w:t>, Athene, 1988, 37 – 61.</w:t>
      </w:r>
    </w:p>
  </w:footnote>
  <w:footnote w:id="9">
    <w:p w:rsidR="00421AE8" w:rsidRPr="007F5F06" w:rsidRDefault="00421AE8">
      <w:pPr>
        <w:pStyle w:val="Voetnoottekst"/>
        <w:rPr>
          <w:lang w:val="en-GB"/>
        </w:rPr>
      </w:pPr>
      <w:r>
        <w:rPr>
          <w:rStyle w:val="Voetnootmarkering"/>
        </w:rPr>
        <w:footnoteRef/>
      </w:r>
      <w:r w:rsidRPr="007F5F06">
        <w:rPr>
          <w:lang w:val="en-GB"/>
        </w:rPr>
        <w:t xml:space="preserve"> </w:t>
      </w:r>
      <w:r>
        <w:rPr>
          <w:lang w:val="en-GB"/>
        </w:rPr>
        <w:t>KOWALESKI en BENNETT ‘Crafts, Gilds, and Women in the Middle Ages: Fifty Years after Marian K. Dale’, 474 – 501.</w:t>
      </w:r>
    </w:p>
  </w:footnote>
  <w:footnote w:id="10">
    <w:p w:rsidR="00421AE8" w:rsidRPr="00C14BFB" w:rsidRDefault="00421AE8" w:rsidP="003F03BB">
      <w:pPr>
        <w:pStyle w:val="Voetnoottekst"/>
        <w:rPr>
          <w:lang w:val="en-GB"/>
        </w:rPr>
      </w:pPr>
      <w:r>
        <w:rPr>
          <w:rStyle w:val="Voetnootmarkering"/>
        </w:rPr>
        <w:footnoteRef/>
      </w:r>
      <w:r>
        <w:rPr>
          <w:lang w:val="en-GB"/>
        </w:rPr>
        <w:t xml:space="preserve"> HANAWALT</w:t>
      </w:r>
      <w:r w:rsidRPr="00C14BFB">
        <w:rPr>
          <w:lang w:val="en-GB"/>
        </w:rPr>
        <w:t xml:space="preserve"> red., </w:t>
      </w:r>
      <w:r w:rsidRPr="00632A69">
        <w:rPr>
          <w:i/>
          <w:lang w:val="en-GB"/>
        </w:rPr>
        <w:t>Women and Work in Preindustrial Europe</w:t>
      </w:r>
      <w:r w:rsidRPr="00C14BFB">
        <w:rPr>
          <w:lang w:val="en-GB"/>
        </w:rPr>
        <w:t>.</w:t>
      </w:r>
    </w:p>
  </w:footnote>
  <w:footnote w:id="11">
    <w:p w:rsidR="00421AE8" w:rsidRPr="005D600F" w:rsidRDefault="00421AE8">
      <w:pPr>
        <w:pStyle w:val="Voetnoottekst"/>
      </w:pPr>
      <w:r>
        <w:rPr>
          <w:rStyle w:val="Voetnootmarkering"/>
        </w:rPr>
        <w:footnoteRef/>
      </w:r>
      <w:r w:rsidRPr="005D600F">
        <w:t xml:space="preserve"> Eén van de </w:t>
      </w:r>
      <w:r>
        <w:t>werken van Shennan Hutton dat belangrijk</w:t>
      </w:r>
      <w:r w:rsidRPr="005D600F">
        <w:t xml:space="preserve"> voor deze studie is:</w:t>
      </w:r>
    </w:p>
    <w:p w:rsidR="00421AE8" w:rsidRPr="005D600F" w:rsidRDefault="00421AE8">
      <w:pPr>
        <w:pStyle w:val="Voetnoottekst"/>
        <w:rPr>
          <w:i/>
          <w:u w:val="single"/>
          <w:lang w:val="en-GB"/>
        </w:rPr>
      </w:pPr>
      <w:r w:rsidRPr="005D600F">
        <w:rPr>
          <w:lang w:val="en-GB"/>
        </w:rPr>
        <w:t xml:space="preserve">HUTTON, </w:t>
      </w:r>
      <w:r w:rsidRPr="005D600F">
        <w:rPr>
          <w:i/>
          <w:lang w:val="en-GB"/>
        </w:rPr>
        <w:t>Women and Economic Activities in Late Medieval Ghent</w:t>
      </w:r>
      <w:r>
        <w:rPr>
          <w:i/>
          <w:u w:val="single"/>
          <w:lang w:val="en-GB"/>
        </w:rPr>
        <w:t>.</w:t>
      </w:r>
    </w:p>
  </w:footnote>
  <w:footnote w:id="12">
    <w:p w:rsidR="00421AE8" w:rsidRPr="00C6299E" w:rsidRDefault="00421AE8" w:rsidP="003F03BB">
      <w:pPr>
        <w:pStyle w:val="Voetnoottekst"/>
        <w:rPr>
          <w:lang w:val="en-GB"/>
        </w:rPr>
      </w:pPr>
      <w:r>
        <w:rPr>
          <w:rStyle w:val="Voetnootmarkering"/>
        </w:rPr>
        <w:footnoteRef/>
      </w:r>
      <w:r w:rsidRPr="00C6299E">
        <w:rPr>
          <w:lang w:val="en-GB"/>
        </w:rPr>
        <w:t xml:space="preserve"> HUTTON, </w:t>
      </w:r>
      <w:r>
        <w:rPr>
          <w:lang w:val="en-GB"/>
        </w:rPr>
        <w:t>‘</w:t>
      </w:r>
      <w:r w:rsidRPr="006058CD">
        <w:rPr>
          <w:lang w:val="en-GB"/>
        </w:rPr>
        <w:t>Women, Men, and Markets: The Gendering of Market Space in Late Medieval Ghen</w:t>
      </w:r>
      <w:r>
        <w:rPr>
          <w:lang w:val="en-GB"/>
        </w:rPr>
        <w:t xml:space="preserve">t’, A. CLASSEN red., </w:t>
      </w:r>
      <w:r>
        <w:rPr>
          <w:i/>
          <w:lang w:val="en-GB"/>
        </w:rPr>
        <w:t xml:space="preserve">Urban Space in the Middle Ages and the Early Modern Age </w:t>
      </w:r>
      <w:r>
        <w:rPr>
          <w:lang w:val="en-GB"/>
        </w:rPr>
        <w:t>(Fundamentals of Medieval and Early Modern Culture, 4), Berlijn en New York, 2009, 409 – 431.</w:t>
      </w:r>
    </w:p>
    <w:p w:rsidR="00421AE8" w:rsidRDefault="00421AE8" w:rsidP="003F03BB">
      <w:pPr>
        <w:pStyle w:val="Voetnoottekst"/>
      </w:pPr>
      <w:r>
        <w:t>Later legt deze inleiding uit wat er precies wordt bedoeld met de term ‘status’.</w:t>
      </w:r>
    </w:p>
  </w:footnote>
  <w:footnote w:id="13">
    <w:p w:rsidR="00421AE8" w:rsidRPr="004C1B93" w:rsidRDefault="00421AE8" w:rsidP="003F03BB">
      <w:pPr>
        <w:pStyle w:val="Voetnoottekst"/>
        <w:rPr>
          <w:lang w:val="en-GB"/>
        </w:rPr>
      </w:pPr>
      <w:r>
        <w:rPr>
          <w:rStyle w:val="Voetnootmarkering"/>
        </w:rPr>
        <w:footnoteRef/>
      </w:r>
      <w:r w:rsidRPr="004C1B93">
        <w:rPr>
          <w:lang w:val="en-GB"/>
        </w:rPr>
        <w:t xml:space="preserve"> </w:t>
      </w:r>
      <w:r w:rsidRPr="00C6299E">
        <w:rPr>
          <w:lang w:val="en-GB"/>
        </w:rPr>
        <w:t xml:space="preserve">HUTTON, </w:t>
      </w:r>
      <w:r>
        <w:rPr>
          <w:lang w:val="en-GB"/>
        </w:rPr>
        <w:t>‘Women, Men, and Markets’.</w:t>
      </w:r>
    </w:p>
  </w:footnote>
  <w:footnote w:id="14">
    <w:p w:rsidR="00421AE8" w:rsidRPr="004C1B93" w:rsidRDefault="00421AE8" w:rsidP="003F03BB">
      <w:pPr>
        <w:pStyle w:val="Voetnoottekst"/>
        <w:rPr>
          <w:lang w:val="en-GB"/>
        </w:rPr>
      </w:pPr>
      <w:r>
        <w:rPr>
          <w:rStyle w:val="Voetnootmarkering"/>
        </w:rPr>
        <w:footnoteRef/>
      </w:r>
      <w:r w:rsidRPr="004C1B93">
        <w:rPr>
          <w:lang w:val="en-GB"/>
        </w:rPr>
        <w:t xml:space="preserve"> </w:t>
      </w:r>
      <w:r>
        <w:rPr>
          <w:lang w:val="en-GB"/>
        </w:rPr>
        <w:t>CROWSTON,</w:t>
      </w:r>
      <w:r w:rsidRPr="00046495">
        <w:rPr>
          <w:lang w:val="en-GB"/>
        </w:rPr>
        <w:t xml:space="preserve"> ‘Women, Gender, and Guilds’</w:t>
      </w:r>
      <w:r>
        <w:rPr>
          <w:lang w:val="en-GB"/>
        </w:rPr>
        <w:t>, 25 – 26.</w:t>
      </w:r>
    </w:p>
  </w:footnote>
  <w:footnote w:id="15">
    <w:p w:rsidR="00421AE8" w:rsidRPr="003F03BB" w:rsidRDefault="00421AE8" w:rsidP="003F03BB">
      <w:pPr>
        <w:pStyle w:val="Voetnoottekst"/>
        <w:rPr>
          <w:lang w:val="en-GB"/>
        </w:rPr>
      </w:pPr>
      <w:r>
        <w:rPr>
          <w:rStyle w:val="Voetnootmarkering"/>
        </w:rPr>
        <w:footnoteRef/>
      </w:r>
      <w:r w:rsidRPr="003F03BB">
        <w:rPr>
          <w:lang w:val="en-GB"/>
        </w:rPr>
        <w:t xml:space="preserve"> Zie onder meer: SCHMIDT en VAN DER HEIJDEN, ‘Women Alone in Early Modern Dutch Towns: Opportunities and Strategies to Survive’.</w:t>
      </w:r>
    </w:p>
  </w:footnote>
  <w:footnote w:id="16">
    <w:p w:rsidR="00421AE8" w:rsidRPr="00A013F7" w:rsidRDefault="00421AE8" w:rsidP="003F03BB">
      <w:pPr>
        <w:pStyle w:val="Voetnoottekst"/>
        <w:rPr>
          <w:lang w:val="en-GB"/>
        </w:rPr>
      </w:pPr>
      <w:r>
        <w:rPr>
          <w:rStyle w:val="Voetnootmarkering"/>
        </w:rPr>
        <w:footnoteRef/>
      </w:r>
      <w:r w:rsidRPr="00A013F7">
        <w:rPr>
          <w:lang w:val="en-GB"/>
        </w:rPr>
        <w:t xml:space="preserve"> </w:t>
      </w:r>
      <w:r>
        <w:rPr>
          <w:lang w:val="en-GB"/>
        </w:rPr>
        <w:t>CROWSTON,</w:t>
      </w:r>
      <w:r w:rsidRPr="00046495">
        <w:rPr>
          <w:lang w:val="en-GB"/>
        </w:rPr>
        <w:t xml:space="preserve"> ‘Women, Gender, and Guilds</w:t>
      </w:r>
      <w:r>
        <w:rPr>
          <w:lang w:val="en-GB"/>
        </w:rPr>
        <w:t>’, 20.</w:t>
      </w:r>
    </w:p>
  </w:footnote>
  <w:footnote w:id="17">
    <w:p w:rsidR="00421AE8" w:rsidRPr="000E0B78" w:rsidRDefault="00421AE8" w:rsidP="003F03BB">
      <w:pPr>
        <w:pStyle w:val="Voetnoottekst"/>
        <w:rPr>
          <w:lang w:val="en-GB"/>
        </w:rPr>
      </w:pPr>
      <w:r>
        <w:rPr>
          <w:rStyle w:val="Voetnootmarkering"/>
        </w:rPr>
        <w:footnoteRef/>
      </w:r>
      <w:r w:rsidRPr="000E0B78">
        <w:rPr>
          <w:lang w:val="en-GB"/>
        </w:rPr>
        <w:t xml:space="preserve"> </w:t>
      </w:r>
      <w:r w:rsidRPr="00EC4580">
        <w:rPr>
          <w:lang w:val="en-GB"/>
        </w:rPr>
        <w:t>HOWELL, M., ‘Women, the Family Economy, and the Structures of Market Production in Cities of Northern Europe during the Late Middle Ages</w:t>
      </w:r>
      <w:r>
        <w:rPr>
          <w:lang w:val="en-GB"/>
        </w:rPr>
        <w:t xml:space="preserve">’, B.A. HANAWALT red., </w:t>
      </w:r>
      <w:r>
        <w:rPr>
          <w:i/>
          <w:lang w:val="en-GB"/>
        </w:rPr>
        <w:t>Women and Work in Preindustrial Europe</w:t>
      </w:r>
      <w:r>
        <w:rPr>
          <w:lang w:val="en-GB"/>
        </w:rPr>
        <w:t xml:space="preserve">, Bloomington, 1986, 198 – 221, 207; HOWELL, M., </w:t>
      </w:r>
      <w:r>
        <w:rPr>
          <w:i/>
          <w:lang w:val="en-GB"/>
        </w:rPr>
        <w:t>Women, Production, and Patriarchy</w:t>
      </w:r>
      <w:r>
        <w:rPr>
          <w:lang w:val="en-GB"/>
        </w:rPr>
        <w:t>.</w:t>
      </w:r>
    </w:p>
  </w:footnote>
  <w:footnote w:id="18">
    <w:p w:rsidR="00421AE8" w:rsidRPr="000E0B78" w:rsidRDefault="00421AE8" w:rsidP="003F03BB">
      <w:pPr>
        <w:pStyle w:val="Voetnoottekst"/>
        <w:rPr>
          <w:lang w:val="en-GB"/>
        </w:rPr>
      </w:pPr>
      <w:r>
        <w:rPr>
          <w:rStyle w:val="Voetnootmarkering"/>
        </w:rPr>
        <w:footnoteRef/>
      </w:r>
      <w:r w:rsidRPr="000E0B78">
        <w:rPr>
          <w:lang w:val="en-GB"/>
        </w:rPr>
        <w:t xml:space="preserve"> </w:t>
      </w:r>
      <w:r>
        <w:rPr>
          <w:lang w:val="en-GB"/>
        </w:rPr>
        <w:t>JONES, ‘Public and Private Space and Gender in Medieval Europe’, 252 – 255.</w:t>
      </w:r>
    </w:p>
  </w:footnote>
  <w:footnote w:id="19">
    <w:p w:rsidR="00421AE8" w:rsidRPr="00430935" w:rsidRDefault="00421AE8" w:rsidP="003F03BB">
      <w:pPr>
        <w:pStyle w:val="Voetnoottekst"/>
        <w:rPr>
          <w:lang w:val="en-GB"/>
        </w:rPr>
      </w:pPr>
      <w:r>
        <w:rPr>
          <w:rStyle w:val="Voetnootmarkering"/>
        </w:rPr>
        <w:footnoteRef/>
      </w:r>
      <w:r w:rsidRPr="00430935">
        <w:rPr>
          <w:lang w:val="en-GB"/>
        </w:rPr>
        <w:t xml:space="preserve"> </w:t>
      </w:r>
      <w:r>
        <w:rPr>
          <w:lang w:val="en-GB"/>
        </w:rPr>
        <w:t>KITTELL en QUELLER, ‘"Whether man or woman": Gender I</w:t>
      </w:r>
      <w:r w:rsidRPr="00430935">
        <w:rPr>
          <w:lang w:val="en-GB"/>
        </w:rPr>
        <w:t>nclusivity in t</w:t>
      </w:r>
      <w:r>
        <w:rPr>
          <w:lang w:val="en-GB"/>
        </w:rPr>
        <w:t>he Town Ordinances of Medieval D</w:t>
      </w:r>
      <w:r w:rsidRPr="00430935">
        <w:rPr>
          <w:lang w:val="en-GB"/>
        </w:rPr>
        <w:t>ouai</w:t>
      </w:r>
      <w:r>
        <w:rPr>
          <w:lang w:val="en-GB"/>
        </w:rPr>
        <w:t>’.</w:t>
      </w:r>
    </w:p>
  </w:footnote>
  <w:footnote w:id="20">
    <w:p w:rsidR="00421AE8" w:rsidRDefault="00421AE8" w:rsidP="003F03BB">
      <w:pPr>
        <w:pStyle w:val="Voetnoottekst"/>
      </w:pPr>
      <w:r>
        <w:rPr>
          <w:rStyle w:val="Voetnootmarkering"/>
        </w:rPr>
        <w:footnoteRef/>
      </w:r>
      <w:r>
        <w:t xml:space="preserve"> VERHAVERT, </w:t>
      </w:r>
      <w:r>
        <w:rPr>
          <w:i/>
        </w:rPr>
        <w:t>Het ambachtswezen te Leuven</w:t>
      </w:r>
      <w:r>
        <w:t>, 7.</w:t>
      </w:r>
    </w:p>
  </w:footnote>
  <w:footnote w:id="21">
    <w:p w:rsidR="00421AE8" w:rsidRPr="007403B4" w:rsidRDefault="00421AE8" w:rsidP="003F03BB">
      <w:pPr>
        <w:pStyle w:val="Voetnoottekst"/>
        <w:rPr>
          <w:lang w:val="en-GB"/>
        </w:rPr>
      </w:pPr>
      <w:r>
        <w:rPr>
          <w:rStyle w:val="Voetnootmarkering"/>
        </w:rPr>
        <w:footnoteRef/>
      </w:r>
      <w:r w:rsidRPr="007403B4">
        <w:rPr>
          <w:lang w:val="en-GB"/>
        </w:rPr>
        <w:t xml:space="preserve"> </w:t>
      </w:r>
      <w:r w:rsidRPr="006C6324">
        <w:rPr>
          <w:lang w:val="en-GB"/>
        </w:rPr>
        <w:t>STABEL</w:t>
      </w:r>
      <w:r>
        <w:rPr>
          <w:lang w:val="en-GB"/>
        </w:rPr>
        <w:t>, P.</w:t>
      </w:r>
      <w:r w:rsidRPr="006C6324">
        <w:rPr>
          <w:lang w:val="en-GB"/>
        </w:rPr>
        <w:t xml:space="preserve">, ‘Women at the Market, Gender and Retail in the Towns of Late Medieval Flanders’, W. BLOCKMANS, M. BOONE en T. DE HEMPTINNE red., </w:t>
      </w:r>
      <w:r w:rsidRPr="006C6324">
        <w:rPr>
          <w:i/>
          <w:lang w:val="en-GB"/>
        </w:rPr>
        <w:t>Secretum Scriptorum: Liber alumnorum Walter Prevenier</w:t>
      </w:r>
      <w:r w:rsidRPr="006C6324">
        <w:rPr>
          <w:lang w:val="en-GB"/>
        </w:rPr>
        <w:t>, Leuven en Apeldoorn, 1999, 259 - 276,</w:t>
      </w:r>
      <w:r>
        <w:rPr>
          <w:lang w:val="en-GB"/>
        </w:rPr>
        <w:t xml:space="preserve"> 267.</w:t>
      </w:r>
    </w:p>
  </w:footnote>
  <w:footnote w:id="22">
    <w:p w:rsidR="00421AE8" w:rsidRPr="00973E50" w:rsidRDefault="00421AE8" w:rsidP="003F03BB">
      <w:pPr>
        <w:pStyle w:val="Voetnoottekst"/>
        <w:rPr>
          <w:b/>
        </w:rPr>
      </w:pPr>
      <w:r>
        <w:rPr>
          <w:rStyle w:val="Voetnootmarkering"/>
        </w:rPr>
        <w:footnoteRef/>
      </w:r>
      <w:r w:rsidRPr="00973E50">
        <w:t xml:space="preserve"> </w:t>
      </w:r>
      <w:r>
        <w:t xml:space="preserve">VERHAVERT, </w:t>
      </w:r>
      <w:r>
        <w:rPr>
          <w:i/>
        </w:rPr>
        <w:t>Het ambachtswezen te Leuven</w:t>
      </w:r>
      <w:r>
        <w:t>, 28 – 41.</w:t>
      </w:r>
    </w:p>
  </w:footnote>
  <w:footnote w:id="23">
    <w:p w:rsidR="00421AE8" w:rsidRPr="0013132A" w:rsidRDefault="00421AE8" w:rsidP="003F03BB">
      <w:pPr>
        <w:pStyle w:val="Voetnoottekst"/>
        <w:rPr>
          <w:lang w:val="en-GB"/>
        </w:rPr>
      </w:pPr>
      <w:r>
        <w:rPr>
          <w:rStyle w:val="Voetnootmarkering"/>
        </w:rPr>
        <w:footnoteRef/>
      </w:r>
      <w:r w:rsidRPr="0013132A">
        <w:rPr>
          <w:lang w:val="en-GB"/>
        </w:rPr>
        <w:t xml:space="preserve"> </w:t>
      </w:r>
      <w:r>
        <w:rPr>
          <w:lang w:val="en-GB"/>
        </w:rPr>
        <w:t xml:space="preserve">OGILVIE, ‘How Does Social Capital Affect Women? Guilds and Communities in Early Modern Germany’, </w:t>
      </w:r>
      <w:r w:rsidRPr="0013132A">
        <w:rPr>
          <w:lang w:val="en-GB"/>
        </w:rPr>
        <w:t>332.</w:t>
      </w:r>
    </w:p>
  </w:footnote>
  <w:footnote w:id="24">
    <w:p w:rsidR="00421AE8" w:rsidRPr="00B5332B" w:rsidRDefault="00421AE8" w:rsidP="003F03BB">
      <w:pPr>
        <w:pStyle w:val="Voetnoottekst"/>
      </w:pPr>
      <w:r>
        <w:rPr>
          <w:rStyle w:val="Voetnootmarkering"/>
        </w:rPr>
        <w:footnoteRef/>
      </w:r>
      <w:r w:rsidRPr="00B5332B">
        <w:t xml:space="preserve"> </w:t>
      </w:r>
      <w:r>
        <w:t>Zie de bibliografie voor een volledig overzicht van de geraadpleegde bronnen.</w:t>
      </w:r>
    </w:p>
  </w:footnote>
  <w:footnote w:id="25">
    <w:p w:rsidR="00421AE8" w:rsidRPr="007403B4" w:rsidRDefault="00421AE8" w:rsidP="003F03BB">
      <w:pPr>
        <w:pStyle w:val="Voetnoottekst"/>
        <w:rPr>
          <w:lang w:val="en-GB"/>
        </w:rPr>
      </w:pPr>
      <w:r>
        <w:rPr>
          <w:rStyle w:val="Voetnootmarkering"/>
        </w:rPr>
        <w:footnoteRef/>
      </w:r>
      <w:r w:rsidRPr="007403B4">
        <w:rPr>
          <w:lang w:val="en-GB"/>
        </w:rPr>
        <w:t xml:space="preserve"> </w:t>
      </w:r>
      <w:r>
        <w:rPr>
          <w:lang w:val="en-GB"/>
        </w:rPr>
        <w:t xml:space="preserve">EPSTEIN, </w:t>
      </w:r>
      <w:r w:rsidRPr="00D75624">
        <w:rPr>
          <w:i/>
          <w:lang w:val="en-GB"/>
        </w:rPr>
        <w:t xml:space="preserve">An Economic and Social History of Later Medieval Europe, 1000 </w:t>
      </w:r>
      <w:r>
        <w:rPr>
          <w:i/>
          <w:lang w:val="en-GB"/>
        </w:rPr>
        <w:t>–</w:t>
      </w:r>
      <w:r w:rsidRPr="00D75624">
        <w:rPr>
          <w:i/>
          <w:lang w:val="en-GB"/>
        </w:rPr>
        <w:t xml:space="preserve"> 1500</w:t>
      </w:r>
      <w:r>
        <w:rPr>
          <w:lang w:val="en-GB"/>
        </w:rPr>
        <w:t>, 101.</w:t>
      </w:r>
    </w:p>
  </w:footnote>
  <w:footnote w:id="26">
    <w:p w:rsidR="00421AE8" w:rsidRPr="00A23FFE" w:rsidRDefault="00421AE8" w:rsidP="003F03BB">
      <w:pPr>
        <w:pStyle w:val="Voetnoottekst"/>
        <w:rPr>
          <w:lang w:val="en-GB"/>
        </w:rPr>
      </w:pPr>
      <w:r>
        <w:rPr>
          <w:rStyle w:val="Voetnootmarkering"/>
        </w:rPr>
        <w:footnoteRef/>
      </w:r>
      <w:r w:rsidRPr="00A23FFE">
        <w:rPr>
          <w:lang w:val="en-GB"/>
        </w:rPr>
        <w:t xml:space="preserve"> </w:t>
      </w:r>
      <w:r w:rsidRPr="00EC4580">
        <w:rPr>
          <w:lang w:val="en-GB"/>
        </w:rPr>
        <w:t xml:space="preserve">HOWELL, M., ‘Women, the Family Economy, and the Structures </w:t>
      </w:r>
      <w:r>
        <w:rPr>
          <w:lang w:val="en-GB"/>
        </w:rPr>
        <w:t>of Market Production, 199.</w:t>
      </w:r>
    </w:p>
  </w:footnote>
  <w:footnote w:id="27">
    <w:p w:rsidR="00421AE8" w:rsidRDefault="00421AE8">
      <w:pPr>
        <w:pStyle w:val="Voetnoottekst"/>
      </w:pPr>
      <w:r>
        <w:rPr>
          <w:rStyle w:val="Voetnootmarkering"/>
        </w:rPr>
        <w:footnoteRef/>
      </w:r>
      <w:r>
        <w:t xml:space="preserve"> VAN UYTVEN, R., ‘Het gewicht van de goede steden’, R. </w:t>
      </w:r>
      <w:r w:rsidRPr="00982DC6">
        <w:rPr>
          <w:rFonts w:cs="Times New Roman"/>
          <w:szCs w:val="24"/>
        </w:rPr>
        <w:t xml:space="preserve">VAN UYTVEN, </w:t>
      </w:r>
      <w:r>
        <w:rPr>
          <w:rFonts w:cs="Times New Roman"/>
          <w:szCs w:val="24"/>
        </w:rPr>
        <w:t xml:space="preserve">C. </w:t>
      </w:r>
      <w:r w:rsidRPr="00982DC6">
        <w:rPr>
          <w:rFonts w:cs="Times New Roman"/>
          <w:szCs w:val="24"/>
        </w:rPr>
        <w:t xml:space="preserve">BRUNEEL, e.a. red., </w:t>
      </w:r>
      <w:r w:rsidRPr="00982DC6">
        <w:rPr>
          <w:rFonts w:cs="Times New Roman"/>
          <w:i/>
          <w:szCs w:val="24"/>
        </w:rPr>
        <w:t>Geschiedenis van Brabant van het hertogdom tot heden</w:t>
      </w:r>
      <w:r w:rsidRPr="00982DC6">
        <w:rPr>
          <w:rFonts w:cs="Times New Roman"/>
          <w:szCs w:val="24"/>
        </w:rPr>
        <w:t>, Leuven, 2004</w:t>
      </w:r>
      <w:r>
        <w:rPr>
          <w:rFonts w:cs="Times New Roman"/>
          <w:szCs w:val="24"/>
        </w:rPr>
        <w:t>, 118 – 125, 118 – 119</w:t>
      </w:r>
      <w:r w:rsidRPr="00982DC6">
        <w:rPr>
          <w:rFonts w:cs="Times New Roman"/>
          <w:szCs w:val="24"/>
        </w:rPr>
        <w:t>.</w:t>
      </w:r>
    </w:p>
  </w:footnote>
  <w:footnote w:id="28">
    <w:p w:rsidR="00421AE8" w:rsidRDefault="00421AE8" w:rsidP="00616D79">
      <w:pPr>
        <w:pStyle w:val="Voetnoottekst"/>
      </w:pPr>
      <w:r>
        <w:rPr>
          <w:rStyle w:val="Voetnootmarkering"/>
        </w:rPr>
        <w:footnoteRef/>
      </w:r>
      <w:r>
        <w:t xml:space="preserve"> VAN UYTVEN, </w:t>
      </w:r>
      <w:r w:rsidRPr="00B113B8">
        <w:rPr>
          <w:i/>
        </w:rPr>
        <w:t xml:space="preserve">Het dagelijkse leven in een middeleeuwse stad. </w:t>
      </w:r>
      <w:r>
        <w:rPr>
          <w:i/>
        </w:rPr>
        <w:t>Leuven anno 1448</w:t>
      </w:r>
      <w:r>
        <w:t>, 32.</w:t>
      </w:r>
    </w:p>
  </w:footnote>
  <w:footnote w:id="29">
    <w:p w:rsidR="00421AE8" w:rsidRDefault="00421AE8" w:rsidP="00616D79">
      <w:pPr>
        <w:pStyle w:val="Voetnoottekst"/>
      </w:pPr>
      <w:r>
        <w:rPr>
          <w:rStyle w:val="Voetnootmarkering"/>
        </w:rPr>
        <w:footnoteRef/>
      </w:r>
      <w:r>
        <w:t xml:space="preserve"> VAN UYTVEN, ‘Het gewicht van de goede steden’, </w:t>
      </w:r>
      <w:r>
        <w:rPr>
          <w:rFonts w:cs="Times New Roman"/>
          <w:szCs w:val="24"/>
        </w:rPr>
        <w:t>118 – 119</w:t>
      </w:r>
      <w:r w:rsidRPr="00982DC6">
        <w:rPr>
          <w:rFonts w:cs="Times New Roman"/>
          <w:szCs w:val="24"/>
        </w:rPr>
        <w:t>.</w:t>
      </w:r>
    </w:p>
  </w:footnote>
  <w:footnote w:id="30">
    <w:p w:rsidR="00421AE8" w:rsidRDefault="00421AE8" w:rsidP="00616D79">
      <w:pPr>
        <w:pStyle w:val="Voetnoottekst"/>
      </w:pPr>
      <w:r>
        <w:rPr>
          <w:rStyle w:val="Voetnootmarkering"/>
        </w:rPr>
        <w:footnoteRef/>
      </w:r>
      <w:r>
        <w:t xml:space="preserve"> VAN UYTVEN, R., ‘Bestuursinstellingen van de stad Leuven’, R. </w:t>
      </w:r>
      <w:r w:rsidRPr="000456DF">
        <w:t xml:space="preserve">VAN UYTVEN, </w:t>
      </w:r>
      <w:r>
        <w:t xml:space="preserve">C. BRUNEEL </w:t>
      </w:r>
      <w:r w:rsidRPr="000456DF">
        <w:t xml:space="preserve">e.a. red., </w:t>
      </w:r>
      <w:r w:rsidRPr="000456DF">
        <w:rPr>
          <w:i/>
        </w:rPr>
        <w:t>De gewestelijke en lokale overheidsinstellingen in Brabant en Mechelen tot 1795</w:t>
      </w:r>
      <w:r w:rsidRPr="000456DF">
        <w:t xml:space="preserve"> (Studia, 82), Brussel, 2000</w:t>
      </w:r>
      <w:r>
        <w:t>, 369 – 392, 383.</w:t>
      </w:r>
    </w:p>
  </w:footnote>
  <w:footnote w:id="31">
    <w:p w:rsidR="00421AE8" w:rsidRDefault="00421AE8" w:rsidP="00616D79">
      <w:pPr>
        <w:pStyle w:val="Voetnoottekst"/>
      </w:pPr>
      <w:r>
        <w:rPr>
          <w:rStyle w:val="Voetnootmarkering"/>
        </w:rPr>
        <w:footnoteRef/>
      </w:r>
      <w:r>
        <w:t xml:space="preserve"> VAN UYTVEN, ‘Bestuursinstellingen van de stad Leuven’, 375 – 387.</w:t>
      </w:r>
    </w:p>
  </w:footnote>
  <w:footnote w:id="32">
    <w:p w:rsidR="00421AE8" w:rsidRPr="00170BC6" w:rsidRDefault="00421AE8" w:rsidP="00616D79">
      <w:pPr>
        <w:pStyle w:val="Voetnoottekst"/>
        <w:rPr>
          <w:lang w:val="fr-BE"/>
        </w:rPr>
      </w:pPr>
      <w:r>
        <w:rPr>
          <w:rStyle w:val="Voetnootmarkering"/>
        </w:rPr>
        <w:footnoteRef/>
      </w:r>
      <w:r w:rsidRPr="00170BC6">
        <w:rPr>
          <w:lang w:val="fr-BE"/>
        </w:rPr>
        <w:t xml:space="preserve"> GILISSEN, </w:t>
      </w:r>
      <w:r w:rsidRPr="00170BC6">
        <w:rPr>
          <w:i/>
          <w:lang w:val="fr-BE"/>
        </w:rPr>
        <w:t>Le s</w:t>
      </w:r>
      <w:r>
        <w:rPr>
          <w:i/>
          <w:lang w:val="fr-BE"/>
        </w:rPr>
        <w:t>tatut de la femme</w:t>
      </w:r>
      <w:r w:rsidRPr="00170BC6">
        <w:rPr>
          <w:lang w:val="fr-BE"/>
        </w:rPr>
        <w:t>, 256 – 257.</w:t>
      </w:r>
    </w:p>
  </w:footnote>
  <w:footnote w:id="33">
    <w:p w:rsidR="00421AE8" w:rsidRDefault="00421AE8" w:rsidP="00616D79">
      <w:pPr>
        <w:pStyle w:val="Voetnoottekst"/>
      </w:pPr>
      <w:r>
        <w:rPr>
          <w:rStyle w:val="Voetnootmarkering"/>
        </w:rPr>
        <w:footnoteRef/>
      </w:r>
      <w:r>
        <w:t xml:space="preserve"> VAN HOUTTE, </w:t>
      </w:r>
      <w:r>
        <w:rPr>
          <w:i/>
        </w:rPr>
        <w:t>Economische geschiedenis van de Lage Landen, 800 – 1800</w:t>
      </w:r>
      <w:r>
        <w:t>, 74.</w:t>
      </w:r>
    </w:p>
  </w:footnote>
  <w:footnote w:id="34">
    <w:p w:rsidR="00421AE8" w:rsidRDefault="00421AE8" w:rsidP="00616D79">
      <w:pPr>
        <w:pStyle w:val="Voetnoottekst"/>
      </w:pPr>
      <w:r>
        <w:rPr>
          <w:rStyle w:val="Voetnootmarkering"/>
        </w:rPr>
        <w:footnoteRef/>
      </w:r>
      <w:r>
        <w:t xml:space="preserve"> VAN HOUTTE, </w:t>
      </w:r>
      <w:r>
        <w:rPr>
          <w:i/>
        </w:rPr>
        <w:t>Economische geschiedenis</w:t>
      </w:r>
      <w:r w:rsidRPr="00E022ED">
        <w:t>,</w:t>
      </w:r>
      <w:r>
        <w:t xml:space="preserve"> 60.</w:t>
      </w:r>
    </w:p>
  </w:footnote>
  <w:footnote w:id="35">
    <w:p w:rsidR="00421AE8" w:rsidRDefault="00421AE8" w:rsidP="00616D79">
      <w:pPr>
        <w:pStyle w:val="Voetnoottekst"/>
      </w:pPr>
      <w:r>
        <w:rPr>
          <w:rStyle w:val="Voetnootmarkering"/>
        </w:rPr>
        <w:footnoteRef/>
      </w:r>
      <w:r>
        <w:t xml:space="preserve"> VAN UYTVEN, </w:t>
      </w:r>
      <w:r w:rsidRPr="00BB66C6">
        <w:rPr>
          <w:i/>
          <w:lang w:eastAsia="nl-BE"/>
        </w:rPr>
        <w:t>Stadsfinanciën en stadsekonomie te Leuven</w:t>
      </w:r>
      <w:r>
        <w:rPr>
          <w:lang w:eastAsia="nl-BE"/>
        </w:rPr>
        <w:t>, 569 – 570.</w:t>
      </w:r>
    </w:p>
  </w:footnote>
  <w:footnote w:id="36">
    <w:p w:rsidR="00421AE8" w:rsidRPr="00B113B8" w:rsidRDefault="00421AE8">
      <w:pPr>
        <w:pStyle w:val="Voetnoottekst"/>
      </w:pPr>
      <w:r w:rsidRPr="00B113B8">
        <w:rPr>
          <w:rStyle w:val="Voetnootmarkering"/>
        </w:rPr>
        <w:footnoteRef/>
      </w:r>
      <w:r w:rsidRPr="00B113B8">
        <w:t xml:space="preserve"> VAN UYTVEN, </w:t>
      </w:r>
      <w:r w:rsidRPr="00B113B8">
        <w:rPr>
          <w:i/>
        </w:rPr>
        <w:t>Leuven anno 1448</w:t>
      </w:r>
      <w:r w:rsidRPr="00B113B8">
        <w:t>, 15.</w:t>
      </w:r>
    </w:p>
  </w:footnote>
  <w:footnote w:id="37">
    <w:p w:rsidR="00421AE8" w:rsidRDefault="00421AE8" w:rsidP="00616D79">
      <w:pPr>
        <w:pStyle w:val="Voetnoottekst"/>
      </w:pPr>
      <w:r>
        <w:rPr>
          <w:rStyle w:val="Voetnootmarkering"/>
        </w:rPr>
        <w:footnoteRef/>
      </w:r>
      <w:r>
        <w:t xml:space="preserve"> VAN UYTVEN, </w:t>
      </w:r>
      <w:r>
        <w:rPr>
          <w:i/>
        </w:rPr>
        <w:t>Leuven, “de beste stad van Brabant”. 1: De geschiedenis van het stadsgewest Leuven tot omstreeks 1600</w:t>
      </w:r>
      <w:r>
        <w:t xml:space="preserve">, 207; VAN UYTVEN, </w:t>
      </w:r>
      <w:r>
        <w:rPr>
          <w:i/>
        </w:rPr>
        <w:t>Leuven, “de beste stad van Brabant”</w:t>
      </w:r>
      <w:r>
        <w:t>, 295.</w:t>
      </w:r>
    </w:p>
  </w:footnote>
  <w:footnote w:id="38">
    <w:p w:rsidR="00421AE8" w:rsidRPr="004B3CB8" w:rsidRDefault="00421AE8" w:rsidP="00616D79">
      <w:pPr>
        <w:pStyle w:val="Voetnoottekst"/>
        <w:rPr>
          <w:lang w:val="en-GB"/>
        </w:rPr>
      </w:pPr>
      <w:r>
        <w:rPr>
          <w:rStyle w:val="Voetnootmarkering"/>
        </w:rPr>
        <w:footnoteRef/>
      </w:r>
      <w:r w:rsidRPr="004B3CB8">
        <w:rPr>
          <w:lang w:val="en-GB"/>
        </w:rPr>
        <w:t xml:space="preserve"> </w:t>
      </w:r>
      <w:r>
        <w:rPr>
          <w:lang w:val="en-GB"/>
        </w:rPr>
        <w:t>HILTON, ‘Medieval Market Towns and Simple Commodity Production’, 4 – 20.</w:t>
      </w:r>
    </w:p>
  </w:footnote>
  <w:footnote w:id="39">
    <w:p w:rsidR="00421AE8" w:rsidRPr="00BE1B79" w:rsidRDefault="00421AE8">
      <w:pPr>
        <w:pStyle w:val="Voetnoottekst"/>
        <w:rPr>
          <w:lang w:val="en-GB"/>
        </w:rPr>
      </w:pPr>
      <w:r>
        <w:rPr>
          <w:rStyle w:val="Voetnootmarkering"/>
        </w:rPr>
        <w:footnoteRef/>
      </w:r>
      <w:r w:rsidRPr="00BE1B79">
        <w:rPr>
          <w:lang w:val="en-GB"/>
        </w:rPr>
        <w:t xml:space="preserve"> Martha Howell doet dit bijvoorbeeld in </w:t>
      </w:r>
      <w:r w:rsidRPr="009454C1">
        <w:rPr>
          <w:i/>
          <w:lang w:val="en-GB"/>
        </w:rPr>
        <w:t xml:space="preserve">Women, </w:t>
      </w:r>
      <w:r>
        <w:rPr>
          <w:i/>
          <w:lang w:val="en-GB"/>
        </w:rPr>
        <w:t>Production, and P</w:t>
      </w:r>
      <w:r w:rsidRPr="009454C1">
        <w:rPr>
          <w:i/>
          <w:lang w:val="en-GB"/>
        </w:rPr>
        <w:t>atriarchy</w:t>
      </w:r>
      <w:r>
        <w:rPr>
          <w:i/>
          <w:lang w:val="en-GB"/>
        </w:rPr>
        <w:t xml:space="preserve"> in Late Medieval Cities</w:t>
      </w:r>
      <w:r>
        <w:rPr>
          <w:lang w:val="en-GB"/>
        </w:rPr>
        <w:t>.</w:t>
      </w:r>
    </w:p>
  </w:footnote>
  <w:footnote w:id="40">
    <w:p w:rsidR="00421AE8" w:rsidRPr="004B3CB8" w:rsidRDefault="00421AE8" w:rsidP="00616D79">
      <w:pPr>
        <w:pStyle w:val="Voetnoottekst"/>
        <w:rPr>
          <w:lang w:val="en-GB"/>
        </w:rPr>
      </w:pPr>
      <w:r>
        <w:rPr>
          <w:rStyle w:val="Voetnootmarkering"/>
        </w:rPr>
        <w:footnoteRef/>
      </w:r>
      <w:r w:rsidRPr="004B3CB8">
        <w:rPr>
          <w:lang w:val="en-GB"/>
        </w:rPr>
        <w:t xml:space="preserve"> </w:t>
      </w:r>
      <w:r w:rsidRPr="009454C1">
        <w:rPr>
          <w:lang w:val="en-GB"/>
        </w:rPr>
        <w:t xml:space="preserve">HOWELL, </w:t>
      </w:r>
      <w:r w:rsidRPr="009454C1">
        <w:rPr>
          <w:i/>
          <w:lang w:val="en-GB"/>
        </w:rPr>
        <w:t xml:space="preserve">Women, </w:t>
      </w:r>
      <w:r>
        <w:rPr>
          <w:i/>
          <w:lang w:val="en-GB"/>
        </w:rPr>
        <w:t>Production, and P</w:t>
      </w:r>
      <w:r w:rsidRPr="009454C1">
        <w:rPr>
          <w:i/>
          <w:lang w:val="en-GB"/>
        </w:rPr>
        <w:t>atriarchy</w:t>
      </w:r>
      <w:r>
        <w:rPr>
          <w:i/>
          <w:lang w:val="en-GB"/>
        </w:rPr>
        <w:t xml:space="preserve"> in Late Medieval Cities</w:t>
      </w:r>
      <w:r>
        <w:rPr>
          <w:lang w:val="en-GB"/>
        </w:rPr>
        <w:t>, 87.</w:t>
      </w:r>
    </w:p>
  </w:footnote>
  <w:footnote w:id="41">
    <w:p w:rsidR="00421AE8" w:rsidRPr="007304CC" w:rsidRDefault="00421AE8" w:rsidP="00616D79">
      <w:pPr>
        <w:pStyle w:val="Voetnoottekst"/>
        <w:rPr>
          <w:lang w:val="en-GB"/>
        </w:rPr>
      </w:pPr>
      <w:r>
        <w:rPr>
          <w:rStyle w:val="Voetnootmarkering"/>
        </w:rPr>
        <w:footnoteRef/>
      </w:r>
      <w:r w:rsidRPr="007304CC">
        <w:rPr>
          <w:lang w:val="en-GB"/>
        </w:rPr>
        <w:t xml:space="preserve"> </w:t>
      </w:r>
      <w:r w:rsidRPr="009454C1">
        <w:rPr>
          <w:lang w:val="en-GB"/>
        </w:rPr>
        <w:t xml:space="preserve">HOWELL, </w:t>
      </w:r>
      <w:r w:rsidRPr="009454C1">
        <w:rPr>
          <w:i/>
          <w:lang w:val="en-GB"/>
        </w:rPr>
        <w:t xml:space="preserve">Women, </w:t>
      </w:r>
      <w:r>
        <w:rPr>
          <w:i/>
          <w:lang w:val="en-GB"/>
        </w:rPr>
        <w:t>Production, and Patriarchy</w:t>
      </w:r>
      <w:r>
        <w:rPr>
          <w:lang w:val="en-GB"/>
        </w:rPr>
        <w:t>, 9 – 11.</w:t>
      </w:r>
    </w:p>
  </w:footnote>
  <w:footnote w:id="42">
    <w:p w:rsidR="00421AE8" w:rsidRPr="007304CC" w:rsidRDefault="00421AE8" w:rsidP="00616D79">
      <w:pPr>
        <w:pStyle w:val="Voetnoottekst"/>
        <w:rPr>
          <w:lang w:val="en-GB"/>
        </w:rPr>
      </w:pPr>
      <w:r>
        <w:rPr>
          <w:rStyle w:val="Voetnootmarkering"/>
        </w:rPr>
        <w:footnoteRef/>
      </w:r>
      <w:r w:rsidRPr="007304CC">
        <w:rPr>
          <w:lang w:val="en-GB"/>
        </w:rPr>
        <w:t xml:space="preserve"> </w:t>
      </w:r>
      <w:r>
        <w:rPr>
          <w:lang w:val="en-GB"/>
        </w:rPr>
        <w:t>KOWALESKI en BENNETT, ‘Crafts, Gilds, and Women in the Middle Ages: Fifty Years after Marian K. Dale’, 479.</w:t>
      </w:r>
    </w:p>
  </w:footnote>
  <w:footnote w:id="43">
    <w:p w:rsidR="00421AE8" w:rsidRPr="00BE2EE9" w:rsidRDefault="00421AE8" w:rsidP="00616D79">
      <w:pPr>
        <w:pStyle w:val="Voetnoottekst"/>
        <w:rPr>
          <w:lang w:val="en-GB"/>
        </w:rPr>
      </w:pPr>
      <w:r>
        <w:rPr>
          <w:rStyle w:val="Voetnootmarkering"/>
        </w:rPr>
        <w:footnoteRef/>
      </w:r>
      <w:r w:rsidRPr="00BE2EE9">
        <w:rPr>
          <w:lang w:val="en-GB"/>
        </w:rPr>
        <w:t xml:space="preserve"> SAL, 1524, fol. 326v – 327v, 28 mei 1433.</w:t>
      </w:r>
    </w:p>
  </w:footnote>
  <w:footnote w:id="44">
    <w:p w:rsidR="00421AE8" w:rsidRDefault="00421AE8" w:rsidP="00616D79">
      <w:pPr>
        <w:pStyle w:val="Voetnoottekst"/>
      </w:pPr>
      <w:r>
        <w:rPr>
          <w:rStyle w:val="Voetnootmarkering"/>
        </w:rPr>
        <w:footnoteRef/>
      </w:r>
      <w:r>
        <w:t xml:space="preserve"> VAN UYTVEN, ‘Beroering onder de Brabantse steden’, R. </w:t>
      </w:r>
      <w:r w:rsidRPr="00982DC6">
        <w:rPr>
          <w:rFonts w:cs="Times New Roman"/>
          <w:szCs w:val="24"/>
        </w:rPr>
        <w:t xml:space="preserve">VAN UYTVEN, </w:t>
      </w:r>
      <w:r>
        <w:rPr>
          <w:rFonts w:cs="Times New Roman"/>
          <w:szCs w:val="24"/>
        </w:rPr>
        <w:t xml:space="preserve">C. </w:t>
      </w:r>
      <w:r w:rsidRPr="00982DC6">
        <w:rPr>
          <w:rFonts w:cs="Times New Roman"/>
          <w:szCs w:val="24"/>
        </w:rPr>
        <w:t xml:space="preserve">BRUNEEL, e.a. red., </w:t>
      </w:r>
      <w:r w:rsidRPr="00982DC6">
        <w:rPr>
          <w:rFonts w:cs="Times New Roman"/>
          <w:i/>
          <w:szCs w:val="24"/>
        </w:rPr>
        <w:t>Geschiedenis van Brabant van het hertogdom tot heden</w:t>
      </w:r>
      <w:r w:rsidRPr="00982DC6">
        <w:rPr>
          <w:rFonts w:cs="Times New Roman"/>
          <w:szCs w:val="24"/>
        </w:rPr>
        <w:t>, Leuven, 2004</w:t>
      </w:r>
      <w:r>
        <w:rPr>
          <w:rFonts w:cs="Times New Roman"/>
          <w:szCs w:val="24"/>
        </w:rPr>
        <w:t xml:space="preserve">, 171 – 179, 177. </w:t>
      </w:r>
    </w:p>
  </w:footnote>
  <w:footnote w:id="45">
    <w:p w:rsidR="00421AE8" w:rsidRDefault="00421AE8" w:rsidP="00616D79">
      <w:pPr>
        <w:pStyle w:val="Voetnoottekst"/>
      </w:pPr>
      <w:r>
        <w:rPr>
          <w:rStyle w:val="Voetnootmarkering"/>
        </w:rPr>
        <w:footnoteRef/>
      </w:r>
      <w:r>
        <w:t xml:space="preserve"> VERHAVERT, </w:t>
      </w:r>
      <w:r>
        <w:rPr>
          <w:i/>
        </w:rPr>
        <w:t>Het ambachtswezen te Leuven</w:t>
      </w:r>
      <w:r>
        <w:t xml:space="preserve">, 28 – 41; HAEMERS, </w:t>
      </w:r>
      <w:r>
        <w:rPr>
          <w:i/>
        </w:rPr>
        <w:t>Een rebelse stad aan de Dijle</w:t>
      </w:r>
      <w:r>
        <w:t>, 13.</w:t>
      </w:r>
    </w:p>
  </w:footnote>
  <w:footnote w:id="46">
    <w:p w:rsidR="00421AE8" w:rsidRPr="00551E71" w:rsidRDefault="00421AE8" w:rsidP="00616D79">
      <w:pPr>
        <w:pStyle w:val="Voetnoottekst"/>
      </w:pPr>
      <w:r>
        <w:rPr>
          <w:rStyle w:val="Voetnootmarkering"/>
        </w:rPr>
        <w:footnoteRef/>
      </w:r>
      <w:r w:rsidRPr="00551E71">
        <w:t xml:space="preserve"> SAL, </w:t>
      </w:r>
      <w:r w:rsidRPr="005F4F43">
        <w:t>4648, fol.</w:t>
      </w:r>
      <w:r w:rsidRPr="00551E71">
        <w:t xml:space="preserve"> 9r – 9v.</w:t>
      </w:r>
    </w:p>
    <w:p w:rsidR="00421AE8" w:rsidRPr="00B0293B" w:rsidRDefault="00421AE8" w:rsidP="00616D79">
      <w:pPr>
        <w:pStyle w:val="Voetnoottekst"/>
      </w:pPr>
      <w:r w:rsidRPr="00B0293B">
        <w:t xml:space="preserve">Deze ordonnantie wordt niet gedateerd, maar uit het handschrift blijkt duidelijk dat het om een vijftiende-eeuwse ordonnantie gaat. </w:t>
      </w:r>
      <w:r>
        <w:t>Bijlage 1 toont de ordonnantie, in bijlage 2 worden de ambachten opgelijst waarbij de volgorde van deze beslissing wordt gevolgd en de meer prestigieuze ambachten dus bovenaan staan.</w:t>
      </w:r>
    </w:p>
  </w:footnote>
  <w:footnote w:id="47">
    <w:p w:rsidR="00421AE8" w:rsidRPr="002D6AD8" w:rsidRDefault="00421AE8" w:rsidP="00616D79">
      <w:pPr>
        <w:pStyle w:val="Voetnoottekst"/>
        <w:rPr>
          <w:lang w:val="en-GB"/>
        </w:rPr>
      </w:pPr>
      <w:r>
        <w:rPr>
          <w:rStyle w:val="Voetnootmarkering"/>
        </w:rPr>
        <w:footnoteRef/>
      </w:r>
      <w:r w:rsidRPr="002D6AD8">
        <w:rPr>
          <w:lang w:val="en-GB"/>
        </w:rPr>
        <w:t xml:space="preserve"> SAL, 1523, fol. 53r – 53v.</w:t>
      </w:r>
    </w:p>
  </w:footnote>
  <w:footnote w:id="48">
    <w:p w:rsidR="00421AE8" w:rsidRPr="00C42A3B" w:rsidRDefault="00421AE8" w:rsidP="00616D79">
      <w:pPr>
        <w:pStyle w:val="Voetnoottekst"/>
        <w:rPr>
          <w:lang w:val="en-GB"/>
        </w:rPr>
      </w:pPr>
      <w:r>
        <w:rPr>
          <w:rStyle w:val="Voetnootmarkering"/>
        </w:rPr>
        <w:footnoteRef/>
      </w:r>
      <w:r w:rsidRPr="00C42A3B">
        <w:rPr>
          <w:lang w:val="en-GB"/>
        </w:rPr>
        <w:t xml:space="preserve"> </w:t>
      </w:r>
      <w:r>
        <w:rPr>
          <w:lang w:val="en-GB"/>
        </w:rPr>
        <w:t xml:space="preserve">SOLY, </w:t>
      </w:r>
      <w:r w:rsidRPr="0052302B">
        <w:rPr>
          <w:lang w:val="en-GB"/>
        </w:rPr>
        <w:t>‘The Political Economy of European Craft Guilds: Power Relations and Economic Strategies of Merchants and Master Artisans in the Medieval and Early Modern Textile Industries</w:t>
      </w:r>
      <w:r>
        <w:rPr>
          <w:lang w:val="en-GB"/>
        </w:rPr>
        <w:t>’, 56.</w:t>
      </w:r>
    </w:p>
  </w:footnote>
  <w:footnote w:id="49">
    <w:p w:rsidR="00421AE8" w:rsidRDefault="00421AE8" w:rsidP="00616D79">
      <w:pPr>
        <w:pStyle w:val="Voetnoottekst"/>
      </w:pPr>
      <w:r>
        <w:rPr>
          <w:rStyle w:val="Voetnootmarkering"/>
        </w:rPr>
        <w:footnoteRef/>
      </w:r>
      <w:r>
        <w:t xml:space="preserve"> VAN HOUTTE, J.A. en VAN UYTVEN, R., ‘Nijverheid en handel’, A.G. </w:t>
      </w:r>
      <w:r>
        <w:rPr>
          <w:rFonts w:cs="Times New Roman"/>
          <w:szCs w:val="24"/>
        </w:rPr>
        <w:t xml:space="preserve">WEILER, W. PREVENIER, </w:t>
      </w:r>
      <w:r w:rsidRPr="00982DC6">
        <w:rPr>
          <w:rFonts w:cs="Times New Roman"/>
          <w:szCs w:val="24"/>
        </w:rPr>
        <w:t xml:space="preserve">e.a. red., </w:t>
      </w:r>
      <w:r w:rsidRPr="00982DC6">
        <w:rPr>
          <w:rFonts w:cs="Times New Roman"/>
          <w:i/>
          <w:szCs w:val="24"/>
        </w:rPr>
        <w:t>Algemene Geschiedenis der Nederlanden</w:t>
      </w:r>
      <w:r w:rsidRPr="00982DC6">
        <w:rPr>
          <w:rFonts w:cs="Times New Roman"/>
          <w:szCs w:val="24"/>
        </w:rPr>
        <w:t>,</w:t>
      </w:r>
      <w:r>
        <w:rPr>
          <w:rFonts w:cs="Times New Roman"/>
          <w:szCs w:val="24"/>
        </w:rPr>
        <w:t xml:space="preserve"> 87 – 111, 98.</w:t>
      </w:r>
    </w:p>
  </w:footnote>
  <w:footnote w:id="50">
    <w:p w:rsidR="00421AE8" w:rsidRDefault="00421AE8" w:rsidP="00616D79">
      <w:pPr>
        <w:pStyle w:val="Voetnoottekst"/>
      </w:pPr>
      <w:r>
        <w:rPr>
          <w:rStyle w:val="Voetnootmarkering"/>
        </w:rPr>
        <w:footnoteRef/>
      </w:r>
      <w:r>
        <w:t xml:space="preserve"> VAN HOUTTE, </w:t>
      </w:r>
      <w:r>
        <w:rPr>
          <w:i/>
        </w:rPr>
        <w:t>Economische geschiedenis</w:t>
      </w:r>
      <w:r w:rsidRPr="00E022ED">
        <w:t>,</w:t>
      </w:r>
      <w:r>
        <w:t xml:space="preserve"> 72 – 73.</w:t>
      </w:r>
    </w:p>
  </w:footnote>
  <w:footnote w:id="51">
    <w:p w:rsidR="00421AE8" w:rsidRPr="00551E71" w:rsidRDefault="00421AE8" w:rsidP="00616D79">
      <w:pPr>
        <w:pStyle w:val="Voetnoottekst"/>
      </w:pPr>
      <w:r>
        <w:rPr>
          <w:rStyle w:val="Voetnootmarkering"/>
        </w:rPr>
        <w:footnoteRef/>
      </w:r>
      <w:r w:rsidRPr="00551E71">
        <w:t xml:space="preserve"> HUTTON, </w:t>
      </w:r>
      <w:r w:rsidRPr="00551E71">
        <w:rPr>
          <w:i/>
        </w:rPr>
        <w:t>Women and Economic Activities</w:t>
      </w:r>
      <w:r w:rsidRPr="00551E71">
        <w:t>, 28.</w:t>
      </w:r>
    </w:p>
  </w:footnote>
  <w:footnote w:id="52">
    <w:p w:rsidR="00421AE8" w:rsidRDefault="00421AE8" w:rsidP="00616D79">
      <w:pPr>
        <w:pStyle w:val="Voetnoottekst"/>
      </w:pPr>
      <w:r>
        <w:rPr>
          <w:rStyle w:val="Voetnootmarkering"/>
        </w:rPr>
        <w:footnoteRef/>
      </w:r>
      <w:r>
        <w:t xml:space="preserve"> VAN UYTVEN, </w:t>
      </w:r>
      <w:r>
        <w:rPr>
          <w:i/>
        </w:rPr>
        <w:t>Leuven anno 1448</w:t>
      </w:r>
      <w:r>
        <w:t xml:space="preserve">, 54 – 55; VERHAVERT, </w:t>
      </w:r>
      <w:r>
        <w:rPr>
          <w:i/>
        </w:rPr>
        <w:t>Het ambachtswezen te Leuven</w:t>
      </w:r>
      <w:r>
        <w:t>, 104 – 105.</w:t>
      </w:r>
    </w:p>
  </w:footnote>
  <w:footnote w:id="53">
    <w:p w:rsidR="00421AE8" w:rsidRPr="0075569E" w:rsidRDefault="00421AE8" w:rsidP="00616D79">
      <w:pPr>
        <w:pStyle w:val="Voetnoottekst"/>
        <w:rPr>
          <w:lang w:val="en-GB"/>
        </w:rPr>
      </w:pPr>
      <w:r>
        <w:rPr>
          <w:rStyle w:val="Voetnootmarkering"/>
        </w:rPr>
        <w:footnoteRef/>
      </w:r>
      <w:r w:rsidRPr="0075569E">
        <w:rPr>
          <w:lang w:val="en-GB"/>
        </w:rPr>
        <w:t xml:space="preserve"> </w:t>
      </w:r>
      <w:r w:rsidRPr="00FA2F30">
        <w:rPr>
          <w:lang w:val="en-GB"/>
        </w:rPr>
        <w:t xml:space="preserve">HUTTON, </w:t>
      </w:r>
      <w:r>
        <w:rPr>
          <w:i/>
          <w:lang w:val="en-GB"/>
        </w:rPr>
        <w:t>Women and Economic Activities</w:t>
      </w:r>
      <w:r>
        <w:rPr>
          <w:lang w:val="en-GB"/>
        </w:rPr>
        <w:t>, 113.</w:t>
      </w:r>
    </w:p>
  </w:footnote>
  <w:footnote w:id="54">
    <w:p w:rsidR="00421AE8" w:rsidRDefault="00421AE8" w:rsidP="00616D79">
      <w:pPr>
        <w:pStyle w:val="Voetnoottekst"/>
      </w:pPr>
      <w:r>
        <w:rPr>
          <w:rStyle w:val="Voetnootmarkering"/>
        </w:rPr>
        <w:footnoteRef/>
      </w:r>
      <w:r>
        <w:t xml:space="preserve"> SAL, 1527, 1593.</w:t>
      </w:r>
    </w:p>
    <w:p w:rsidR="00421AE8" w:rsidRDefault="00421AE8" w:rsidP="00616D79">
      <w:pPr>
        <w:pStyle w:val="Voetnoottekst"/>
      </w:pPr>
      <w:r>
        <w:t>Deze ordonnantie gaat om een kopie uit 1593 van eerdere ordonnanties.</w:t>
      </w:r>
    </w:p>
  </w:footnote>
  <w:footnote w:id="55">
    <w:p w:rsidR="00421AE8" w:rsidRDefault="00421AE8" w:rsidP="00616D79">
      <w:pPr>
        <w:pStyle w:val="Voetnoottekst"/>
      </w:pPr>
      <w:r>
        <w:rPr>
          <w:rStyle w:val="Voetnootmarkering"/>
        </w:rPr>
        <w:footnoteRef/>
      </w:r>
      <w:r>
        <w:t xml:space="preserve"> VAN UYTVEN, </w:t>
      </w:r>
      <w:r>
        <w:rPr>
          <w:i/>
        </w:rPr>
        <w:t>Leuven anno 1448</w:t>
      </w:r>
      <w:r>
        <w:t>, 24.</w:t>
      </w:r>
    </w:p>
  </w:footnote>
  <w:footnote w:id="56">
    <w:p w:rsidR="00421AE8" w:rsidRDefault="00421AE8" w:rsidP="00616D79">
      <w:pPr>
        <w:pStyle w:val="Voetnoottekst"/>
      </w:pPr>
      <w:r>
        <w:rPr>
          <w:rStyle w:val="Voetnootmarkering"/>
        </w:rPr>
        <w:footnoteRef/>
      </w:r>
      <w:r>
        <w:t xml:space="preserve"> VAN HOUTTE, </w:t>
      </w:r>
      <w:r>
        <w:rPr>
          <w:i/>
        </w:rPr>
        <w:t>Economische geschiedenis</w:t>
      </w:r>
      <w:r w:rsidRPr="00E022ED">
        <w:t>,</w:t>
      </w:r>
      <w:r>
        <w:t xml:space="preserve"> 73.</w:t>
      </w:r>
    </w:p>
  </w:footnote>
  <w:footnote w:id="57">
    <w:p w:rsidR="00421AE8" w:rsidRPr="00671655" w:rsidRDefault="00421AE8" w:rsidP="00616D79">
      <w:pPr>
        <w:pStyle w:val="Voetnoottekst"/>
      </w:pPr>
      <w:r>
        <w:rPr>
          <w:rStyle w:val="Voetnootmarkering"/>
        </w:rPr>
        <w:footnoteRef/>
      </w:r>
      <w:r>
        <w:t xml:space="preserve"> WYFFELS, C., </w:t>
      </w:r>
      <w:r>
        <w:rPr>
          <w:i/>
        </w:rPr>
        <w:t>De oorsprong der ambachten in Vlaanderen en Brabant</w:t>
      </w:r>
      <w:r>
        <w:t>, 122.</w:t>
      </w:r>
    </w:p>
  </w:footnote>
  <w:footnote w:id="58">
    <w:p w:rsidR="00421AE8" w:rsidRPr="001E2ADC" w:rsidRDefault="00421AE8" w:rsidP="00616D79">
      <w:pPr>
        <w:pStyle w:val="Voetnoottekst"/>
        <w:rPr>
          <w:lang w:val="fr-BE"/>
        </w:rPr>
      </w:pPr>
      <w:r>
        <w:rPr>
          <w:rStyle w:val="Voetnootmarkering"/>
        </w:rPr>
        <w:footnoteRef/>
      </w:r>
      <w:r w:rsidRPr="001E2ADC">
        <w:rPr>
          <w:lang w:val="fr-BE"/>
        </w:rPr>
        <w:t xml:space="preserve"> VAN UYTVEN, </w:t>
      </w:r>
      <w:r w:rsidRPr="001E2ADC">
        <w:rPr>
          <w:i/>
          <w:lang w:val="fr-BE"/>
        </w:rPr>
        <w:t>Leuven anno 1448</w:t>
      </w:r>
      <w:r w:rsidRPr="001E2ADC">
        <w:rPr>
          <w:lang w:val="fr-BE"/>
        </w:rPr>
        <w:t>, 24.</w:t>
      </w:r>
    </w:p>
  </w:footnote>
  <w:footnote w:id="59">
    <w:p w:rsidR="00421AE8" w:rsidRPr="001E2ADC" w:rsidRDefault="00421AE8" w:rsidP="00616D79">
      <w:pPr>
        <w:pStyle w:val="Voetnoottekst"/>
        <w:rPr>
          <w:lang w:val="fr-BE"/>
        </w:rPr>
      </w:pPr>
      <w:r>
        <w:rPr>
          <w:rStyle w:val="Voetnootmarkering"/>
        </w:rPr>
        <w:footnoteRef/>
      </w:r>
      <w:r w:rsidRPr="001E2ADC">
        <w:rPr>
          <w:lang w:val="fr-BE"/>
        </w:rPr>
        <w:t xml:space="preserve"> HAEMERS, ‘Révolte et requête. Les gens de métiers et les conflits sociaux dans les villes de Flandre (XIII</w:t>
      </w:r>
      <w:r w:rsidRPr="001E2ADC">
        <w:rPr>
          <w:vertAlign w:val="superscript"/>
          <w:lang w:val="fr-BE"/>
        </w:rPr>
        <w:t>e</w:t>
      </w:r>
      <w:r w:rsidRPr="001E2ADC">
        <w:rPr>
          <w:lang w:val="fr-BE"/>
        </w:rPr>
        <w:t xml:space="preserve"> – XV</w:t>
      </w:r>
      <w:r w:rsidRPr="001E2ADC">
        <w:rPr>
          <w:vertAlign w:val="superscript"/>
          <w:lang w:val="fr-BE"/>
        </w:rPr>
        <w:t>e</w:t>
      </w:r>
      <w:r w:rsidRPr="001E2ADC">
        <w:rPr>
          <w:lang w:val="fr-BE"/>
        </w:rPr>
        <w:t xml:space="preserve"> siècle)’, 34 – 35.</w:t>
      </w:r>
    </w:p>
  </w:footnote>
  <w:footnote w:id="60">
    <w:p w:rsidR="00421AE8" w:rsidRPr="007B2F01" w:rsidRDefault="00421AE8" w:rsidP="00616D79">
      <w:pPr>
        <w:pStyle w:val="Voetnoottekst"/>
      </w:pPr>
      <w:r>
        <w:rPr>
          <w:rStyle w:val="Voetnootmarkering"/>
        </w:rPr>
        <w:footnoteRef/>
      </w:r>
      <w:r w:rsidRPr="007B2F01">
        <w:t xml:space="preserve"> VAN UYTVEN, </w:t>
      </w:r>
      <w:r w:rsidRPr="007B2F01">
        <w:rPr>
          <w:i/>
        </w:rPr>
        <w:t>Leuven anno 1448</w:t>
      </w:r>
      <w:r w:rsidRPr="007B2F01">
        <w:t>, 27.</w:t>
      </w:r>
    </w:p>
  </w:footnote>
  <w:footnote w:id="61">
    <w:p w:rsidR="00421AE8" w:rsidRPr="0076225E" w:rsidRDefault="00421AE8">
      <w:pPr>
        <w:pStyle w:val="Voetnoottekst"/>
      </w:pPr>
      <w:r>
        <w:rPr>
          <w:rStyle w:val="Voetnootmarkering"/>
        </w:rPr>
        <w:footnoteRef/>
      </w:r>
      <w:r w:rsidRPr="0076225E">
        <w:t xml:space="preserve"> </w:t>
      </w:r>
      <w:r>
        <w:t xml:space="preserve">VAN GERVEN, </w:t>
      </w:r>
      <w:r w:rsidRPr="00B45E4E">
        <w:t xml:space="preserve">‘Vrouwen, arbeid en sociale </w:t>
      </w:r>
      <w:r>
        <w:t>positie. Een voorlopig onderzoek naar de economische rol en maatschappelijke positie van vrouwen in de Brabantse steden in de late Middeleeuwen’, 948.</w:t>
      </w:r>
    </w:p>
  </w:footnote>
  <w:footnote w:id="62">
    <w:p w:rsidR="00421AE8" w:rsidRPr="005F4F43" w:rsidRDefault="00421AE8">
      <w:pPr>
        <w:pStyle w:val="Voetnoottekst"/>
        <w:rPr>
          <w:lang w:val="fr-FR"/>
        </w:rPr>
      </w:pPr>
      <w:r>
        <w:rPr>
          <w:rStyle w:val="Voetnootmarkering"/>
        </w:rPr>
        <w:footnoteRef/>
      </w:r>
      <w:r w:rsidRPr="005F4F43">
        <w:rPr>
          <w:lang w:val="fr-FR"/>
        </w:rPr>
        <w:t xml:space="preserve"> GODDING, </w:t>
      </w:r>
      <w:r w:rsidRPr="005F4F43">
        <w:rPr>
          <w:i/>
          <w:lang w:val="fr-FR"/>
        </w:rPr>
        <w:t>Le droit privé dans les Pays-Bad méridionaux du 12</w:t>
      </w:r>
      <w:r w:rsidRPr="005F4F43">
        <w:rPr>
          <w:i/>
          <w:vertAlign w:val="superscript"/>
          <w:lang w:val="fr-FR"/>
        </w:rPr>
        <w:t>e</w:t>
      </w:r>
      <w:r w:rsidRPr="005F4F43">
        <w:rPr>
          <w:i/>
          <w:lang w:val="fr-FR"/>
        </w:rPr>
        <w:t xml:space="preserve"> au 18</w:t>
      </w:r>
      <w:r w:rsidRPr="005F4F43">
        <w:rPr>
          <w:i/>
          <w:vertAlign w:val="superscript"/>
          <w:lang w:val="fr-FR"/>
        </w:rPr>
        <w:t>e</w:t>
      </w:r>
      <w:r w:rsidRPr="005F4F43">
        <w:rPr>
          <w:i/>
          <w:lang w:val="fr-FR"/>
        </w:rPr>
        <w:t xml:space="preserve"> siècle</w:t>
      </w:r>
      <w:r w:rsidRPr="005F4F43">
        <w:rPr>
          <w:lang w:val="fr-FR"/>
        </w:rPr>
        <w:t xml:space="preserve">, 78 – 79; GODDING, </w:t>
      </w:r>
      <w:r w:rsidRPr="005F4F43">
        <w:rPr>
          <w:i/>
          <w:lang w:val="fr-FR"/>
        </w:rPr>
        <w:t>Le droit privé</w:t>
      </w:r>
      <w:r w:rsidRPr="005F4F43">
        <w:rPr>
          <w:lang w:val="fr-FR"/>
        </w:rPr>
        <w:t xml:space="preserve">, 266 - 277; HUTTON, </w:t>
      </w:r>
      <w:r w:rsidRPr="005F4F43">
        <w:rPr>
          <w:i/>
          <w:lang w:val="fr-FR"/>
        </w:rPr>
        <w:t>Women and Economic Activities</w:t>
      </w:r>
      <w:r w:rsidRPr="005F4F43">
        <w:rPr>
          <w:lang w:val="fr-FR"/>
        </w:rPr>
        <w:t>, 123 – 124.</w:t>
      </w:r>
    </w:p>
  </w:footnote>
  <w:footnote w:id="63">
    <w:p w:rsidR="00421AE8" w:rsidRPr="00D70B17" w:rsidRDefault="00421AE8" w:rsidP="000F377E">
      <w:pPr>
        <w:pStyle w:val="Voetnoottekst"/>
        <w:rPr>
          <w:lang w:val="en-GB"/>
        </w:rPr>
      </w:pPr>
      <w:r>
        <w:rPr>
          <w:rStyle w:val="Voetnootmarkering"/>
        </w:rPr>
        <w:footnoteRef/>
      </w:r>
      <w:r w:rsidRPr="00D70B17">
        <w:rPr>
          <w:lang w:val="en-GB"/>
        </w:rPr>
        <w:t xml:space="preserve"> HUTTON, </w:t>
      </w:r>
      <w:r>
        <w:rPr>
          <w:i/>
          <w:lang w:val="en-GB"/>
        </w:rPr>
        <w:t>Women and</w:t>
      </w:r>
      <w:r w:rsidRPr="00D70B17">
        <w:rPr>
          <w:i/>
          <w:lang w:val="en-GB"/>
        </w:rPr>
        <w:t xml:space="preserve"> Economic Activities</w:t>
      </w:r>
      <w:r>
        <w:rPr>
          <w:lang w:val="en-GB"/>
        </w:rPr>
        <w:t>, 123 – 124.</w:t>
      </w:r>
    </w:p>
  </w:footnote>
  <w:footnote w:id="64">
    <w:p w:rsidR="00421AE8" w:rsidRPr="000F377E" w:rsidRDefault="00421AE8" w:rsidP="000F377E">
      <w:pPr>
        <w:pStyle w:val="Voetnoottekst"/>
        <w:rPr>
          <w:lang w:val="en-GB"/>
        </w:rPr>
      </w:pPr>
      <w:r>
        <w:rPr>
          <w:rStyle w:val="Voetnootmarkering"/>
        </w:rPr>
        <w:footnoteRef/>
      </w:r>
      <w:r w:rsidRPr="000F377E">
        <w:rPr>
          <w:lang w:val="en-GB"/>
        </w:rPr>
        <w:t xml:space="preserve"> </w:t>
      </w:r>
      <w:r>
        <w:rPr>
          <w:lang w:val="en-GB"/>
        </w:rPr>
        <w:t xml:space="preserve">NICHOLAS, </w:t>
      </w:r>
      <w:r>
        <w:rPr>
          <w:i/>
          <w:lang w:val="en-GB"/>
        </w:rPr>
        <w:t>The Domestic Life of a Medieval City: Women, Children, and the Family in Fourteenth-Century Ghent</w:t>
      </w:r>
      <w:r>
        <w:rPr>
          <w:lang w:val="en-GB"/>
        </w:rPr>
        <w:t xml:space="preserve">, </w:t>
      </w:r>
      <w:r w:rsidRPr="000F377E">
        <w:rPr>
          <w:lang w:val="en-GB"/>
        </w:rPr>
        <w:t>84</w:t>
      </w:r>
      <w:r>
        <w:rPr>
          <w:lang w:val="en-GB"/>
        </w:rPr>
        <w:t>.</w:t>
      </w:r>
    </w:p>
  </w:footnote>
  <w:footnote w:id="65">
    <w:p w:rsidR="00421AE8" w:rsidRPr="0079450B" w:rsidRDefault="00421AE8">
      <w:pPr>
        <w:pStyle w:val="Voetnoottekst"/>
        <w:rPr>
          <w:lang w:val="en-GB"/>
        </w:rPr>
      </w:pPr>
      <w:r>
        <w:rPr>
          <w:rStyle w:val="Voetnootmarkering"/>
        </w:rPr>
        <w:footnoteRef/>
      </w:r>
      <w:r w:rsidRPr="0079450B">
        <w:rPr>
          <w:lang w:val="en-GB"/>
        </w:rPr>
        <w:t xml:space="preserve"> </w:t>
      </w:r>
      <w:r>
        <w:rPr>
          <w:lang w:val="en-GB"/>
        </w:rPr>
        <w:t xml:space="preserve">HOWELL, </w:t>
      </w:r>
      <w:r w:rsidRPr="00EC4580">
        <w:rPr>
          <w:lang w:val="en-GB"/>
        </w:rPr>
        <w:t>‘Women, the Family Economy, and the Structures of Market Production</w:t>
      </w:r>
      <w:r>
        <w:rPr>
          <w:lang w:val="en-GB"/>
        </w:rPr>
        <w:t>’, 210 – 212.</w:t>
      </w:r>
    </w:p>
  </w:footnote>
  <w:footnote w:id="66">
    <w:p w:rsidR="00421AE8" w:rsidRPr="005F4F43" w:rsidRDefault="00421AE8">
      <w:pPr>
        <w:pStyle w:val="Voetnoottekst"/>
        <w:rPr>
          <w:lang w:val="fr-FR"/>
        </w:rPr>
      </w:pPr>
      <w:r>
        <w:rPr>
          <w:rStyle w:val="Voetnootmarkering"/>
        </w:rPr>
        <w:footnoteRef/>
      </w:r>
      <w:r w:rsidRPr="005F4F43">
        <w:rPr>
          <w:lang w:val="fr-FR"/>
        </w:rPr>
        <w:t xml:space="preserve"> Zie paragraaf 3.2.1.</w:t>
      </w:r>
    </w:p>
  </w:footnote>
  <w:footnote w:id="67">
    <w:p w:rsidR="00421AE8" w:rsidRPr="005F4F43" w:rsidRDefault="00421AE8">
      <w:pPr>
        <w:pStyle w:val="Voetnoottekst"/>
        <w:rPr>
          <w:lang w:val="fr-FR"/>
        </w:rPr>
      </w:pPr>
      <w:r>
        <w:rPr>
          <w:rStyle w:val="Voetnootmarkering"/>
        </w:rPr>
        <w:footnoteRef/>
      </w:r>
      <w:r w:rsidRPr="005F4F43">
        <w:rPr>
          <w:lang w:val="fr-FR"/>
        </w:rPr>
        <w:t xml:space="preserve"> GODDING, </w:t>
      </w:r>
      <w:r w:rsidRPr="005F4F43">
        <w:rPr>
          <w:i/>
          <w:lang w:val="fr-FR"/>
        </w:rPr>
        <w:t>Le droit privé</w:t>
      </w:r>
      <w:r w:rsidRPr="005F4F43">
        <w:rPr>
          <w:lang w:val="fr-FR"/>
        </w:rPr>
        <w:t>, 120 – 121.</w:t>
      </w:r>
    </w:p>
  </w:footnote>
  <w:footnote w:id="68">
    <w:p w:rsidR="00421AE8" w:rsidRPr="005F4F43" w:rsidRDefault="00421AE8">
      <w:pPr>
        <w:pStyle w:val="Voetnoottekst"/>
        <w:rPr>
          <w:lang w:val="fr-FR"/>
        </w:rPr>
      </w:pPr>
      <w:r>
        <w:rPr>
          <w:rStyle w:val="Voetnootmarkering"/>
        </w:rPr>
        <w:footnoteRef/>
      </w:r>
      <w:r w:rsidRPr="005F4F43">
        <w:rPr>
          <w:lang w:val="fr-FR"/>
        </w:rPr>
        <w:t xml:space="preserve"> GODDING, </w:t>
      </w:r>
      <w:r w:rsidRPr="005F4F43">
        <w:rPr>
          <w:i/>
          <w:lang w:val="fr-FR"/>
        </w:rPr>
        <w:t>Le droit privé</w:t>
      </w:r>
      <w:r w:rsidRPr="005F4F43">
        <w:rPr>
          <w:lang w:val="fr-FR"/>
        </w:rPr>
        <w:t>, 78.</w:t>
      </w:r>
    </w:p>
  </w:footnote>
  <w:footnote w:id="69">
    <w:p w:rsidR="00421AE8" w:rsidRPr="005F4F43" w:rsidRDefault="00421AE8">
      <w:pPr>
        <w:pStyle w:val="Voetnoottekst"/>
        <w:rPr>
          <w:lang w:val="fr-FR"/>
        </w:rPr>
      </w:pPr>
      <w:r>
        <w:rPr>
          <w:rStyle w:val="Voetnootmarkering"/>
        </w:rPr>
        <w:footnoteRef/>
      </w:r>
      <w:r w:rsidRPr="005F4F43">
        <w:rPr>
          <w:lang w:val="fr-FR"/>
        </w:rPr>
        <w:t xml:space="preserve"> Zie paragraaf 3.2.2.</w:t>
      </w:r>
    </w:p>
  </w:footnote>
  <w:footnote w:id="70">
    <w:p w:rsidR="00421AE8" w:rsidRPr="00062F56" w:rsidRDefault="00421AE8">
      <w:pPr>
        <w:pStyle w:val="Voetnoottekst"/>
        <w:rPr>
          <w:lang w:val="en-GB"/>
        </w:rPr>
      </w:pPr>
      <w:r>
        <w:rPr>
          <w:rStyle w:val="Voetnootmarkering"/>
        </w:rPr>
        <w:footnoteRef/>
      </w:r>
      <w:r w:rsidRPr="00062F56">
        <w:rPr>
          <w:lang w:val="en-GB"/>
        </w:rPr>
        <w:t xml:space="preserve"> </w:t>
      </w:r>
      <w:r w:rsidRPr="006D65B3">
        <w:rPr>
          <w:lang w:val="en-GB"/>
        </w:rPr>
        <w:t xml:space="preserve">GODDING, </w:t>
      </w:r>
      <w:r w:rsidRPr="006D65B3">
        <w:rPr>
          <w:i/>
          <w:lang w:val="en-GB"/>
        </w:rPr>
        <w:t>Le droit privé</w:t>
      </w:r>
      <w:r>
        <w:rPr>
          <w:lang w:val="en-GB"/>
        </w:rPr>
        <w:t>, 79 – 80.</w:t>
      </w:r>
    </w:p>
  </w:footnote>
  <w:footnote w:id="71">
    <w:p w:rsidR="00421AE8" w:rsidRPr="009454C1" w:rsidRDefault="00421AE8" w:rsidP="000F377E">
      <w:pPr>
        <w:pStyle w:val="Voetnoottekst"/>
        <w:rPr>
          <w:lang w:val="en-GB"/>
        </w:rPr>
      </w:pPr>
      <w:r>
        <w:rPr>
          <w:rStyle w:val="Voetnootmarkering"/>
        </w:rPr>
        <w:footnoteRef/>
      </w:r>
      <w:r w:rsidRPr="009454C1">
        <w:rPr>
          <w:lang w:val="en-GB"/>
        </w:rPr>
        <w:t xml:space="preserve"> HOWELL, </w:t>
      </w:r>
      <w:r w:rsidRPr="009454C1">
        <w:rPr>
          <w:i/>
          <w:lang w:val="en-GB"/>
        </w:rPr>
        <w:t xml:space="preserve">Women, </w:t>
      </w:r>
      <w:r>
        <w:rPr>
          <w:i/>
          <w:lang w:val="en-GB"/>
        </w:rPr>
        <w:t>Production, and P</w:t>
      </w:r>
      <w:r w:rsidRPr="009454C1">
        <w:rPr>
          <w:i/>
          <w:lang w:val="en-GB"/>
        </w:rPr>
        <w:t>atriarchy</w:t>
      </w:r>
      <w:r w:rsidRPr="009454C1">
        <w:rPr>
          <w:lang w:val="en-GB"/>
        </w:rPr>
        <w:t>, 19.</w:t>
      </w:r>
    </w:p>
  </w:footnote>
  <w:footnote w:id="72">
    <w:p w:rsidR="00421AE8" w:rsidRPr="005F4F43" w:rsidRDefault="00421AE8" w:rsidP="000F377E">
      <w:pPr>
        <w:pStyle w:val="Voetnoottekst"/>
        <w:rPr>
          <w:lang w:val="fr-FR"/>
        </w:rPr>
      </w:pPr>
      <w:r>
        <w:rPr>
          <w:rStyle w:val="Voetnootmarkering"/>
        </w:rPr>
        <w:footnoteRef/>
      </w:r>
      <w:r w:rsidRPr="005F4F43">
        <w:rPr>
          <w:lang w:val="fr-FR"/>
        </w:rPr>
        <w:t xml:space="preserve"> GODDING, </w:t>
      </w:r>
      <w:r w:rsidRPr="005F4F43">
        <w:rPr>
          <w:i/>
          <w:lang w:val="fr-FR"/>
        </w:rPr>
        <w:t>Le droit privé</w:t>
      </w:r>
      <w:r w:rsidRPr="005F4F43">
        <w:rPr>
          <w:lang w:val="fr-FR"/>
        </w:rPr>
        <w:t>, 80.</w:t>
      </w:r>
    </w:p>
  </w:footnote>
  <w:footnote w:id="73">
    <w:p w:rsidR="00421AE8" w:rsidRPr="005F4F43" w:rsidRDefault="00421AE8">
      <w:pPr>
        <w:pStyle w:val="Voetnoottekst"/>
        <w:rPr>
          <w:lang w:val="fr-FR"/>
        </w:rPr>
      </w:pPr>
      <w:r>
        <w:rPr>
          <w:rStyle w:val="Voetnootmarkering"/>
        </w:rPr>
        <w:footnoteRef/>
      </w:r>
      <w:r w:rsidRPr="005F4F43">
        <w:rPr>
          <w:lang w:val="fr-FR"/>
        </w:rPr>
        <w:t xml:space="preserve"> SAL, 1524, fol. 326v – 327v, 28 mei 1433.</w:t>
      </w:r>
    </w:p>
  </w:footnote>
  <w:footnote w:id="74">
    <w:p w:rsidR="00421AE8" w:rsidRPr="007B2F01" w:rsidRDefault="00421AE8" w:rsidP="000F377E">
      <w:pPr>
        <w:pStyle w:val="Voetnoottekst"/>
        <w:rPr>
          <w:lang w:val="en-GB"/>
        </w:rPr>
      </w:pPr>
      <w:r>
        <w:rPr>
          <w:rStyle w:val="Voetnootmarkering"/>
        </w:rPr>
        <w:footnoteRef/>
      </w:r>
      <w:r w:rsidRPr="007B2F01">
        <w:rPr>
          <w:lang w:val="en-GB"/>
        </w:rPr>
        <w:t xml:space="preserve"> GODDING, </w:t>
      </w:r>
      <w:r w:rsidRPr="007B2F01">
        <w:rPr>
          <w:i/>
          <w:lang w:val="en-GB"/>
        </w:rPr>
        <w:t>Le droit privé</w:t>
      </w:r>
      <w:r w:rsidRPr="007B2F01">
        <w:rPr>
          <w:lang w:val="en-GB"/>
        </w:rPr>
        <w:t>, 79.</w:t>
      </w:r>
    </w:p>
  </w:footnote>
  <w:footnote w:id="75">
    <w:p w:rsidR="00421AE8" w:rsidRPr="001B3D7C" w:rsidRDefault="00421AE8" w:rsidP="00B80C41">
      <w:pPr>
        <w:pStyle w:val="Voetnoottekst"/>
        <w:rPr>
          <w:lang w:val="en-GB"/>
        </w:rPr>
      </w:pPr>
      <w:r>
        <w:rPr>
          <w:rStyle w:val="Voetnootmarkering"/>
        </w:rPr>
        <w:footnoteRef/>
      </w:r>
      <w:r w:rsidRPr="001B3D7C">
        <w:rPr>
          <w:lang w:val="en-GB"/>
        </w:rPr>
        <w:t xml:space="preserve"> </w:t>
      </w:r>
      <w:r w:rsidRPr="006C6324">
        <w:rPr>
          <w:lang w:val="en-GB"/>
        </w:rPr>
        <w:t>STABEL</w:t>
      </w:r>
      <w:r>
        <w:rPr>
          <w:lang w:val="en-GB"/>
        </w:rPr>
        <w:t>, P., ‘Women at the Market’</w:t>
      </w:r>
      <w:r w:rsidRPr="006C6324">
        <w:rPr>
          <w:lang w:val="en-GB"/>
        </w:rPr>
        <w:t xml:space="preserve">, </w:t>
      </w:r>
      <w:r>
        <w:rPr>
          <w:lang w:val="en-GB"/>
        </w:rPr>
        <w:t>270.</w:t>
      </w:r>
    </w:p>
  </w:footnote>
  <w:footnote w:id="76">
    <w:p w:rsidR="00421AE8" w:rsidRPr="00076FC4" w:rsidRDefault="00421AE8" w:rsidP="00B80C41">
      <w:pPr>
        <w:pStyle w:val="Voetnoottekst"/>
        <w:rPr>
          <w:lang w:val="en-GB"/>
        </w:rPr>
      </w:pPr>
      <w:r>
        <w:rPr>
          <w:rStyle w:val="Voetnootmarkering"/>
        </w:rPr>
        <w:footnoteRef/>
      </w:r>
      <w:r>
        <w:rPr>
          <w:lang w:val="en-GB"/>
        </w:rPr>
        <w:t xml:space="preserve"> </w:t>
      </w:r>
      <w:r w:rsidRPr="00E82A5D">
        <w:rPr>
          <w:lang w:val="en-GB"/>
        </w:rPr>
        <w:t xml:space="preserve">SAL, </w:t>
      </w:r>
      <w:r w:rsidRPr="005F4F43">
        <w:rPr>
          <w:lang w:val="en-GB"/>
        </w:rPr>
        <w:t>4648, fol.</w:t>
      </w:r>
      <w:r w:rsidRPr="00E82A5D">
        <w:rPr>
          <w:lang w:val="en-GB"/>
        </w:rPr>
        <w:t xml:space="preserve"> 9r – 9v.</w:t>
      </w:r>
    </w:p>
  </w:footnote>
  <w:footnote w:id="77">
    <w:p w:rsidR="00421AE8" w:rsidRPr="00EC4580" w:rsidRDefault="00421AE8" w:rsidP="00B80C41">
      <w:pPr>
        <w:pStyle w:val="Voetnoottekst"/>
        <w:rPr>
          <w:lang w:val="en-GB"/>
        </w:rPr>
      </w:pPr>
      <w:r>
        <w:rPr>
          <w:rStyle w:val="Voetnootmarkering"/>
        </w:rPr>
        <w:footnoteRef/>
      </w:r>
      <w:r>
        <w:rPr>
          <w:lang w:val="en-GB"/>
        </w:rPr>
        <w:t xml:space="preserve"> HOWELL, </w:t>
      </w:r>
      <w:r w:rsidRPr="00EC4580">
        <w:rPr>
          <w:lang w:val="en-GB"/>
        </w:rPr>
        <w:t>‘Women, the Family Economy, and the Structures of Market Production</w:t>
      </w:r>
      <w:r>
        <w:rPr>
          <w:lang w:val="en-GB"/>
        </w:rPr>
        <w:t>’, 213.</w:t>
      </w:r>
    </w:p>
  </w:footnote>
  <w:footnote w:id="78">
    <w:p w:rsidR="00421AE8" w:rsidRPr="00FD3FB6" w:rsidRDefault="00421AE8">
      <w:pPr>
        <w:pStyle w:val="Voetnoottekst"/>
        <w:rPr>
          <w:lang w:val="en-GB"/>
        </w:rPr>
      </w:pPr>
      <w:r>
        <w:rPr>
          <w:rStyle w:val="Voetnootmarkering"/>
        </w:rPr>
        <w:footnoteRef/>
      </w:r>
      <w:r w:rsidRPr="00FD3FB6">
        <w:rPr>
          <w:lang w:val="en-GB"/>
        </w:rPr>
        <w:t xml:space="preserve"> SAL, </w:t>
      </w:r>
      <w:r w:rsidRPr="005F4F43">
        <w:rPr>
          <w:lang w:val="en-GB"/>
        </w:rPr>
        <w:t>4648, fol.</w:t>
      </w:r>
      <w:r w:rsidRPr="00FD3FB6">
        <w:rPr>
          <w:lang w:val="en-GB"/>
        </w:rPr>
        <w:t xml:space="preserve"> 9r – 9v.</w:t>
      </w:r>
    </w:p>
  </w:footnote>
  <w:footnote w:id="79">
    <w:p w:rsidR="00421AE8" w:rsidRPr="00FD3FB6" w:rsidRDefault="00421AE8">
      <w:pPr>
        <w:pStyle w:val="Voetnoottekst"/>
        <w:rPr>
          <w:lang w:val="en-GB"/>
        </w:rPr>
      </w:pPr>
      <w:r>
        <w:rPr>
          <w:rStyle w:val="Voetnootmarkering"/>
        </w:rPr>
        <w:footnoteRef/>
      </w:r>
      <w:r w:rsidRPr="00FD3FB6">
        <w:rPr>
          <w:lang w:val="en-GB"/>
        </w:rPr>
        <w:t xml:space="preserve"> </w:t>
      </w:r>
      <w:r>
        <w:rPr>
          <w:lang w:val="en-GB"/>
        </w:rPr>
        <w:t xml:space="preserve">VAN UTYVEN, </w:t>
      </w:r>
      <w:r>
        <w:rPr>
          <w:i/>
          <w:lang w:val="en-GB"/>
        </w:rPr>
        <w:t>Leuven anno 1448</w:t>
      </w:r>
      <w:r>
        <w:rPr>
          <w:lang w:val="en-GB"/>
        </w:rPr>
        <w:t>, 122 - 137.</w:t>
      </w:r>
    </w:p>
  </w:footnote>
  <w:footnote w:id="80">
    <w:p w:rsidR="00421AE8" w:rsidRPr="000E27F7" w:rsidRDefault="00421AE8" w:rsidP="00B80C41">
      <w:pPr>
        <w:pStyle w:val="Voetnoottekst"/>
        <w:rPr>
          <w:lang w:val="en-GB"/>
        </w:rPr>
      </w:pPr>
      <w:r>
        <w:rPr>
          <w:rStyle w:val="Voetnootmarkering"/>
        </w:rPr>
        <w:footnoteRef/>
      </w:r>
      <w:r w:rsidRPr="000E27F7">
        <w:rPr>
          <w:lang w:val="en-GB"/>
        </w:rPr>
        <w:t xml:space="preserve"> </w:t>
      </w:r>
      <w:r>
        <w:rPr>
          <w:lang w:val="en-GB"/>
        </w:rPr>
        <w:t>KITTELL en QUELLER, ‘“Whether man or woman”: Gender Inclusivity in the Town Ordinances of Medieval Douai’, 100.</w:t>
      </w:r>
    </w:p>
  </w:footnote>
  <w:footnote w:id="81">
    <w:p w:rsidR="00421AE8" w:rsidRPr="00084FE5" w:rsidRDefault="00421AE8" w:rsidP="00B80C41">
      <w:pPr>
        <w:pStyle w:val="Voetnoottekst"/>
        <w:rPr>
          <w:lang w:val="en-GB"/>
        </w:rPr>
      </w:pPr>
      <w:r>
        <w:rPr>
          <w:rStyle w:val="Voetnootmarkering"/>
        </w:rPr>
        <w:footnoteRef/>
      </w:r>
      <w:r w:rsidRPr="00084FE5">
        <w:rPr>
          <w:lang w:val="en-GB"/>
        </w:rPr>
        <w:t xml:space="preserve"> HOWELL, </w:t>
      </w:r>
      <w:r w:rsidRPr="00084FE5">
        <w:rPr>
          <w:i/>
          <w:lang w:val="en-GB"/>
        </w:rPr>
        <w:t>Women, Production, and Patriarchy</w:t>
      </w:r>
      <w:r>
        <w:rPr>
          <w:lang w:val="en-GB"/>
        </w:rPr>
        <w:t>, 70 – 75.</w:t>
      </w:r>
    </w:p>
  </w:footnote>
  <w:footnote w:id="82">
    <w:p w:rsidR="00421AE8" w:rsidRPr="00C519CE" w:rsidRDefault="00421AE8" w:rsidP="00B80C41">
      <w:pPr>
        <w:pStyle w:val="Voetnoottekst"/>
        <w:rPr>
          <w:lang w:val="en-GB"/>
        </w:rPr>
      </w:pPr>
      <w:r>
        <w:rPr>
          <w:rStyle w:val="Voetnootmarkering"/>
        </w:rPr>
        <w:footnoteRef/>
      </w:r>
      <w:r w:rsidRPr="00C519CE">
        <w:rPr>
          <w:lang w:val="en-GB"/>
        </w:rPr>
        <w:t xml:space="preserve"> SAL, 1523, fol. 155r – 156r, 23 mei 1424.</w:t>
      </w:r>
    </w:p>
  </w:footnote>
  <w:footnote w:id="83">
    <w:p w:rsidR="00421AE8" w:rsidRPr="00C519CE" w:rsidRDefault="00421AE8" w:rsidP="00B80C41">
      <w:pPr>
        <w:pStyle w:val="Voetnoottekst"/>
        <w:rPr>
          <w:lang w:val="en-GB"/>
        </w:rPr>
      </w:pPr>
      <w:r>
        <w:rPr>
          <w:rStyle w:val="Voetnootmarkering"/>
        </w:rPr>
        <w:footnoteRef/>
      </w:r>
      <w:r w:rsidRPr="00C519CE">
        <w:rPr>
          <w:lang w:val="en-GB"/>
        </w:rPr>
        <w:t xml:space="preserve"> SAL, 1523, fol. 155r – 156r, 23 mei 1424.</w:t>
      </w:r>
    </w:p>
  </w:footnote>
  <w:footnote w:id="84">
    <w:p w:rsidR="00421AE8" w:rsidRPr="00257B29" w:rsidRDefault="00421AE8">
      <w:pPr>
        <w:pStyle w:val="Voetnoottekst"/>
      </w:pPr>
      <w:r>
        <w:rPr>
          <w:rStyle w:val="Voetnootmarkering"/>
        </w:rPr>
        <w:footnoteRef/>
      </w:r>
      <w:r w:rsidRPr="00257B29">
        <w:t xml:space="preserve"> SA</w:t>
      </w:r>
      <w:r>
        <w:t>L, 1528, fol. 36r, 13 juni 1418</w:t>
      </w:r>
      <w:r w:rsidRPr="00257B29">
        <w:t xml:space="preserve">; </w:t>
      </w:r>
      <w:r>
        <w:t xml:space="preserve">VAN HOUTTE, </w:t>
      </w:r>
      <w:r>
        <w:rPr>
          <w:i/>
        </w:rPr>
        <w:t>Economische geschiedenis</w:t>
      </w:r>
      <w:r w:rsidRPr="00E022ED">
        <w:t>,</w:t>
      </w:r>
      <w:r>
        <w:t xml:space="preserve"> 77.</w:t>
      </w:r>
    </w:p>
  </w:footnote>
  <w:footnote w:id="85">
    <w:p w:rsidR="00421AE8" w:rsidRPr="00857E22" w:rsidRDefault="00421AE8" w:rsidP="00B80C41">
      <w:pPr>
        <w:pStyle w:val="Voetnoottekst"/>
        <w:rPr>
          <w:lang w:val="en-GB"/>
        </w:rPr>
      </w:pPr>
      <w:r>
        <w:rPr>
          <w:rStyle w:val="Voetnootmarkering"/>
        </w:rPr>
        <w:footnoteRef/>
      </w:r>
      <w:r w:rsidRPr="00857E22">
        <w:rPr>
          <w:lang w:val="en-GB"/>
        </w:rPr>
        <w:t xml:space="preserve"> HUTTON, </w:t>
      </w:r>
      <w:r w:rsidRPr="00857E22">
        <w:rPr>
          <w:i/>
          <w:lang w:val="en-GB"/>
        </w:rPr>
        <w:t>Women and Economic</w:t>
      </w:r>
      <w:r>
        <w:rPr>
          <w:i/>
          <w:lang w:val="en-GB"/>
        </w:rPr>
        <w:t xml:space="preserve"> </w:t>
      </w:r>
      <w:r w:rsidRPr="00857E22">
        <w:rPr>
          <w:i/>
          <w:lang w:val="en-GB"/>
        </w:rPr>
        <w:t>Activities</w:t>
      </w:r>
      <w:r>
        <w:rPr>
          <w:lang w:val="en-GB"/>
        </w:rPr>
        <w:t>, 112 – 113.</w:t>
      </w:r>
    </w:p>
  </w:footnote>
  <w:footnote w:id="86">
    <w:p w:rsidR="00421AE8" w:rsidRPr="0052448A" w:rsidRDefault="00421AE8" w:rsidP="00B80C41">
      <w:pPr>
        <w:pStyle w:val="Voetnoottekst"/>
        <w:rPr>
          <w:lang w:val="en-GB"/>
        </w:rPr>
      </w:pPr>
      <w:r>
        <w:rPr>
          <w:rStyle w:val="Voetnootmarkering"/>
        </w:rPr>
        <w:footnoteRef/>
      </w:r>
      <w:r w:rsidRPr="0052448A">
        <w:rPr>
          <w:lang w:val="en-GB"/>
        </w:rPr>
        <w:t xml:space="preserve"> HUTTON, </w:t>
      </w:r>
      <w:r>
        <w:rPr>
          <w:lang w:val="en-GB"/>
        </w:rPr>
        <w:t xml:space="preserve">‘Women, Men, and </w:t>
      </w:r>
      <w:r w:rsidRPr="00462B6A">
        <w:rPr>
          <w:lang w:val="en-GB"/>
        </w:rPr>
        <w:t>Markets’, 413.</w:t>
      </w:r>
    </w:p>
  </w:footnote>
  <w:footnote w:id="87">
    <w:p w:rsidR="00421AE8" w:rsidRPr="009B3C34" w:rsidRDefault="00421AE8" w:rsidP="00B80C41">
      <w:pPr>
        <w:pStyle w:val="Voetnoottekst"/>
        <w:rPr>
          <w:lang w:val="en-GB"/>
        </w:rPr>
      </w:pPr>
      <w:r>
        <w:rPr>
          <w:rStyle w:val="Voetnootmarkering"/>
        </w:rPr>
        <w:footnoteRef/>
      </w:r>
      <w:r w:rsidRPr="009B3C34">
        <w:rPr>
          <w:lang w:val="en-GB"/>
        </w:rPr>
        <w:t xml:space="preserve"> ZEMON DAVIS, N., ‘Women in the Crafts in Sixteenth-Century Lyon’, </w:t>
      </w:r>
      <w:r>
        <w:rPr>
          <w:lang w:val="en-GB"/>
        </w:rPr>
        <w:t xml:space="preserve">B.A. HANAWALT red., </w:t>
      </w:r>
      <w:r>
        <w:rPr>
          <w:i/>
          <w:lang w:val="en-GB"/>
        </w:rPr>
        <w:t>Women and Work in Preindustrial Europe</w:t>
      </w:r>
      <w:r>
        <w:rPr>
          <w:lang w:val="en-GB"/>
        </w:rPr>
        <w:t>, Bloomington, 1986, 167 – 197, 168 - 169.</w:t>
      </w:r>
    </w:p>
  </w:footnote>
  <w:footnote w:id="88">
    <w:p w:rsidR="00421AE8" w:rsidRDefault="00421AE8">
      <w:pPr>
        <w:pStyle w:val="Voetnoottekst"/>
      </w:pPr>
      <w:r>
        <w:rPr>
          <w:rStyle w:val="Voetnootmarkering"/>
        </w:rPr>
        <w:footnoteRef/>
      </w:r>
      <w:r>
        <w:t xml:space="preserve"> SAL,</w:t>
      </w:r>
      <w:r w:rsidRPr="00D17BC8">
        <w:t xml:space="preserve"> 1524, fol.</w:t>
      </w:r>
      <w:r>
        <w:t xml:space="preserve"> 411r, 20 juni 1463.</w:t>
      </w:r>
    </w:p>
  </w:footnote>
  <w:footnote w:id="89">
    <w:p w:rsidR="00421AE8" w:rsidRPr="004F3C17" w:rsidRDefault="00421AE8" w:rsidP="00B80C41">
      <w:pPr>
        <w:pStyle w:val="Voetnoottekst"/>
      </w:pPr>
      <w:r>
        <w:rPr>
          <w:rStyle w:val="Voetnootmarkering"/>
        </w:rPr>
        <w:footnoteRef/>
      </w:r>
      <w:r w:rsidRPr="004F3C17">
        <w:t xml:space="preserve"> </w:t>
      </w:r>
      <w:r w:rsidRPr="005F4F43">
        <w:t>SAL, 4648, fol. 173v, maart 1458.</w:t>
      </w:r>
    </w:p>
  </w:footnote>
  <w:footnote w:id="90">
    <w:p w:rsidR="00421AE8" w:rsidRPr="001D7934" w:rsidRDefault="00421AE8" w:rsidP="00B80C41">
      <w:pPr>
        <w:pStyle w:val="Voetnoottekst"/>
      </w:pPr>
      <w:r>
        <w:rPr>
          <w:rStyle w:val="Voetnootmarkering"/>
        </w:rPr>
        <w:footnoteRef/>
      </w:r>
      <w:r>
        <w:t xml:space="preserve"> VAN UYTVEN, </w:t>
      </w:r>
      <w:r>
        <w:rPr>
          <w:i/>
        </w:rPr>
        <w:t>Leuven, “de beste stad van Brabant”</w:t>
      </w:r>
      <w:r>
        <w:t>, 137 – 138.</w:t>
      </w:r>
    </w:p>
  </w:footnote>
  <w:footnote w:id="91">
    <w:p w:rsidR="00421AE8" w:rsidRPr="005F4F43" w:rsidRDefault="00421AE8" w:rsidP="00B80C41">
      <w:pPr>
        <w:pStyle w:val="Voetnoottekst"/>
      </w:pPr>
      <w:r>
        <w:rPr>
          <w:rStyle w:val="Voetnootmarkering"/>
        </w:rPr>
        <w:footnoteRef/>
      </w:r>
      <w:r w:rsidRPr="007B2F01">
        <w:t xml:space="preserve"> SAL, </w:t>
      </w:r>
      <w:r w:rsidRPr="005F4F43">
        <w:t>1528, fol. 123v, 17 augustus 1461.</w:t>
      </w:r>
    </w:p>
    <w:p w:rsidR="00421AE8" w:rsidRPr="009224E3" w:rsidRDefault="00421AE8" w:rsidP="00313260">
      <w:pPr>
        <w:pStyle w:val="Voetnoottekst"/>
        <w:rPr>
          <w:i/>
        </w:rPr>
      </w:pPr>
      <w:r>
        <w:rPr>
          <w:i/>
        </w:rPr>
        <w:t>Van Henric M</w:t>
      </w:r>
      <w:r w:rsidRPr="009224E3">
        <w:rPr>
          <w:i/>
        </w:rPr>
        <w:t>ychiels vleeschouwer</w:t>
      </w:r>
    </w:p>
    <w:p w:rsidR="00421AE8" w:rsidRPr="00313260" w:rsidRDefault="00421AE8" w:rsidP="00313260">
      <w:pPr>
        <w:pStyle w:val="Voetnoottekst"/>
        <w:rPr>
          <w:i/>
        </w:rPr>
      </w:pPr>
      <w:r w:rsidRPr="009224E3">
        <w:rPr>
          <w:i/>
        </w:rPr>
        <w:t>[…] Derop de voirscreven Henric andwerden dede zeggen dat hij eens tsvleeschouwers zone waer</w:t>
      </w:r>
      <w:r>
        <w:rPr>
          <w:i/>
        </w:rPr>
        <w:t>e</w:t>
      </w:r>
      <w:r w:rsidRPr="009224E3">
        <w:rPr>
          <w:i/>
        </w:rPr>
        <w:t xml:space="preserve"> ende d</w:t>
      </w:r>
      <w:r>
        <w:rPr>
          <w:i/>
        </w:rPr>
        <w:t>at zijn huysvrouwe alse eens vlee</w:t>
      </w:r>
      <w:r w:rsidRPr="009224E3">
        <w:rPr>
          <w:i/>
        </w:rPr>
        <w:t>schouwers wijf wel pensen vercopene mochte alsoe zij lange gedaen hadden</w:t>
      </w:r>
      <w:r>
        <w:rPr>
          <w:i/>
        </w:rPr>
        <w:t>. H</w:t>
      </w:r>
      <w:r w:rsidRPr="009224E3">
        <w:rPr>
          <w:i/>
        </w:rPr>
        <w:t>open</w:t>
      </w:r>
      <w:r>
        <w:rPr>
          <w:i/>
        </w:rPr>
        <w:t>d</w:t>
      </w:r>
      <w:r w:rsidRPr="009224E3">
        <w:rPr>
          <w:i/>
        </w:rPr>
        <w:t xml:space="preserve"> dat de voirscreven gesworene oic </w:t>
      </w:r>
      <w:r>
        <w:rPr>
          <w:i/>
        </w:rPr>
        <w:t>[papier beschadigd] gethoener en</w:t>
      </w:r>
      <w:r w:rsidRPr="009224E3">
        <w:rPr>
          <w:i/>
        </w:rPr>
        <w:t xml:space="preserve"> zouden dat hij geboren waer geweest eer zij</w:t>
      </w:r>
      <w:r>
        <w:rPr>
          <w:i/>
        </w:rPr>
        <w:t>n vader in dambacht qua</w:t>
      </w:r>
      <w:r w:rsidRPr="009224E3">
        <w:rPr>
          <w:i/>
        </w:rPr>
        <w:t>m</w:t>
      </w:r>
      <w:r>
        <w:rPr>
          <w:i/>
        </w:rPr>
        <w:t>e. Ende de voirscreven Henric en dede ’t letste a</w:t>
      </w:r>
      <w:r w:rsidRPr="009224E3">
        <w:rPr>
          <w:i/>
        </w:rPr>
        <w:t xml:space="preserve">mbacht niet noch oic en dede </w:t>
      </w:r>
      <w:r>
        <w:rPr>
          <w:i/>
        </w:rPr>
        <w:t>Katelinen alsoe ee</w:t>
      </w:r>
      <w:r w:rsidRPr="009224E3">
        <w:rPr>
          <w:i/>
        </w:rPr>
        <w:t>nige vleeschouwer nochtans doen meynen</w:t>
      </w:r>
      <w:r>
        <w:rPr>
          <w:i/>
        </w:rPr>
        <w:t>e</w:t>
      </w:r>
      <w:r w:rsidRPr="009224E3">
        <w:rPr>
          <w:i/>
        </w:rPr>
        <w:t xml:space="preserve"> dat zijn huysvrouwe ongeprae</w:t>
      </w:r>
      <w:r>
        <w:rPr>
          <w:i/>
        </w:rPr>
        <w:t>n</w:t>
      </w:r>
      <w:r w:rsidRPr="009224E3">
        <w:rPr>
          <w:i/>
        </w:rPr>
        <w:t>pt</w:t>
      </w:r>
      <w:r>
        <w:rPr>
          <w:i/>
        </w:rPr>
        <w:t xml:space="preserve"> p</w:t>
      </w:r>
      <w:r w:rsidRPr="009224E3">
        <w:rPr>
          <w:i/>
        </w:rPr>
        <w:t>ensen vort zoude mogen vercopen […].</w:t>
      </w:r>
    </w:p>
  </w:footnote>
  <w:footnote w:id="92">
    <w:p w:rsidR="00421AE8" w:rsidRPr="00B60BED" w:rsidRDefault="00421AE8" w:rsidP="00B80C41">
      <w:pPr>
        <w:pStyle w:val="Voetnoottekst"/>
      </w:pPr>
      <w:r>
        <w:rPr>
          <w:rStyle w:val="Voetnootmarkering"/>
        </w:rPr>
        <w:footnoteRef/>
      </w:r>
      <w:r w:rsidRPr="00B60BED">
        <w:t xml:space="preserve"> SAL, </w:t>
      </w:r>
      <w:r w:rsidRPr="005F4F43">
        <w:t>4648, fol. 174r – 174v, 4 februari 1477.</w:t>
      </w:r>
    </w:p>
  </w:footnote>
  <w:footnote w:id="93">
    <w:p w:rsidR="00421AE8" w:rsidRPr="0069210F" w:rsidRDefault="00421AE8" w:rsidP="00B80C41">
      <w:pPr>
        <w:pStyle w:val="Voetnoottekst"/>
      </w:pPr>
      <w:r>
        <w:rPr>
          <w:rStyle w:val="Voetnootmarkering"/>
        </w:rPr>
        <w:footnoteRef/>
      </w:r>
      <w:r w:rsidRPr="0069210F">
        <w:t xml:space="preserve"> VAN UYTVEN, </w:t>
      </w:r>
      <w:r w:rsidRPr="0069210F">
        <w:rPr>
          <w:i/>
        </w:rPr>
        <w:t>Leuven, “de beste stad van Brabant”</w:t>
      </w:r>
      <w:r w:rsidRPr="0069210F">
        <w:t>, 137 – 138.</w:t>
      </w:r>
    </w:p>
  </w:footnote>
  <w:footnote w:id="94">
    <w:p w:rsidR="00421AE8" w:rsidRPr="00551E71" w:rsidRDefault="00421AE8" w:rsidP="00B80C41">
      <w:pPr>
        <w:pStyle w:val="Voetnoottekst"/>
        <w:rPr>
          <w:lang w:val="en-GB"/>
        </w:rPr>
      </w:pPr>
      <w:r>
        <w:rPr>
          <w:rStyle w:val="Voetnootmarkering"/>
        </w:rPr>
        <w:footnoteRef/>
      </w:r>
      <w:r w:rsidRPr="00551E71">
        <w:rPr>
          <w:lang w:val="en-GB"/>
        </w:rPr>
        <w:t xml:space="preserve"> SAL, 4659, </w:t>
      </w:r>
      <w:r w:rsidRPr="005F4F43">
        <w:rPr>
          <w:lang w:val="en-GB"/>
        </w:rPr>
        <w:t>fol. 1r – 9r, 17 juli 1453.</w:t>
      </w:r>
    </w:p>
  </w:footnote>
  <w:footnote w:id="95">
    <w:p w:rsidR="00421AE8" w:rsidRPr="00E87616" w:rsidRDefault="00421AE8" w:rsidP="00B80C41">
      <w:pPr>
        <w:pStyle w:val="Voetnoottekst"/>
        <w:rPr>
          <w:lang w:val="en-GB"/>
        </w:rPr>
      </w:pPr>
      <w:r>
        <w:rPr>
          <w:rStyle w:val="Voetnootmarkering"/>
        </w:rPr>
        <w:footnoteRef/>
      </w:r>
      <w:r w:rsidRPr="00E87616">
        <w:rPr>
          <w:lang w:val="en-GB"/>
        </w:rPr>
        <w:t xml:space="preserve"> SAL, 4648, fol. 12v – 13r, 6 december 1433.</w:t>
      </w:r>
    </w:p>
  </w:footnote>
  <w:footnote w:id="96">
    <w:p w:rsidR="00421AE8" w:rsidRDefault="00421AE8" w:rsidP="00B80C41">
      <w:pPr>
        <w:pStyle w:val="Voetnoottekst"/>
      </w:pPr>
      <w:r>
        <w:rPr>
          <w:rStyle w:val="Voetnootmarkering"/>
        </w:rPr>
        <w:footnoteRef/>
      </w:r>
      <w:r>
        <w:t xml:space="preserve"> VAN GERVEN, </w:t>
      </w:r>
      <w:r w:rsidRPr="00B45E4E">
        <w:t xml:space="preserve">‘Vrouwen, arbeid en sociale </w:t>
      </w:r>
      <w:r>
        <w:t>positie’, 955.</w:t>
      </w:r>
    </w:p>
  </w:footnote>
  <w:footnote w:id="97">
    <w:p w:rsidR="00421AE8" w:rsidRDefault="00421AE8" w:rsidP="00B80C41">
      <w:pPr>
        <w:pStyle w:val="Voetnoottekst"/>
      </w:pPr>
      <w:r>
        <w:rPr>
          <w:rStyle w:val="Voetnootmarkering"/>
        </w:rPr>
        <w:footnoteRef/>
      </w:r>
      <w:r>
        <w:t xml:space="preserve"> DANNEEL,</w:t>
      </w:r>
      <w:r w:rsidRPr="00855B5F">
        <w:t xml:space="preserve"> ‘Weduwen en sociale mobiliteit. </w:t>
      </w:r>
      <w:r>
        <w:t>Het juridisch statuut van de weduwen in Vlaanderen in de 14e-15e eeuw, in het bijzonder te Brugge’, 19 – 21.</w:t>
      </w:r>
    </w:p>
  </w:footnote>
  <w:footnote w:id="98">
    <w:p w:rsidR="00421AE8" w:rsidRDefault="00421AE8">
      <w:pPr>
        <w:pStyle w:val="Voetnoottekst"/>
      </w:pPr>
      <w:r>
        <w:rPr>
          <w:rStyle w:val="Voetnootmarkering"/>
        </w:rPr>
        <w:footnoteRef/>
      </w:r>
      <w:r>
        <w:t xml:space="preserve"> </w:t>
      </w:r>
      <w:r w:rsidRPr="00551E71">
        <w:t xml:space="preserve">SAL, </w:t>
      </w:r>
      <w:r w:rsidRPr="005F4F43">
        <w:t>4648, fol.19r – 22r, 23 maart 1479.</w:t>
      </w:r>
    </w:p>
  </w:footnote>
  <w:footnote w:id="99">
    <w:p w:rsidR="00421AE8" w:rsidRPr="0061040E" w:rsidRDefault="00421AE8">
      <w:pPr>
        <w:pStyle w:val="Voetnoottekst"/>
      </w:pPr>
      <w:r>
        <w:rPr>
          <w:rStyle w:val="Voetnootmarkering"/>
        </w:rPr>
        <w:footnoteRef/>
      </w:r>
      <w:r w:rsidRPr="0061040E">
        <w:t xml:space="preserve"> Een bijlage toont wel kort de mogelijkheden</w:t>
      </w:r>
      <w:r>
        <w:t xml:space="preserve"> tot toegang</w:t>
      </w:r>
      <w:r w:rsidRPr="0061040E">
        <w:t xml:space="preserve"> die vrouwen in de </w:t>
      </w:r>
      <w:r>
        <w:t>verschillende ambachten hadden.</w:t>
      </w:r>
    </w:p>
  </w:footnote>
  <w:footnote w:id="100">
    <w:p w:rsidR="00421AE8" w:rsidRPr="006C6324" w:rsidRDefault="00421AE8" w:rsidP="00B80C41">
      <w:pPr>
        <w:pStyle w:val="Voetnoottekst"/>
        <w:rPr>
          <w:lang w:val="en-GB"/>
        </w:rPr>
      </w:pPr>
      <w:r>
        <w:rPr>
          <w:rStyle w:val="Voetnootmarkering"/>
        </w:rPr>
        <w:footnoteRef/>
      </w:r>
      <w:r w:rsidRPr="006C6324">
        <w:rPr>
          <w:lang w:val="en-GB"/>
        </w:rPr>
        <w:t xml:space="preserve"> STABEL</w:t>
      </w:r>
      <w:r>
        <w:rPr>
          <w:lang w:val="en-GB"/>
        </w:rPr>
        <w:t>,</w:t>
      </w:r>
      <w:r w:rsidRPr="006C6324">
        <w:rPr>
          <w:lang w:val="en-GB"/>
        </w:rPr>
        <w:t xml:space="preserve"> ‘</w:t>
      </w:r>
      <w:r>
        <w:rPr>
          <w:lang w:val="en-GB"/>
        </w:rPr>
        <w:t>Women at the Market’</w:t>
      </w:r>
      <w:r w:rsidRPr="006C6324">
        <w:rPr>
          <w:lang w:val="en-GB"/>
        </w:rPr>
        <w:t>, 275.</w:t>
      </w:r>
    </w:p>
    <w:p w:rsidR="00421AE8" w:rsidRPr="00E60260" w:rsidRDefault="00421AE8" w:rsidP="00B80C41">
      <w:pPr>
        <w:pStyle w:val="Voetnoottekst"/>
        <w:rPr>
          <w:lang w:val="en-GB"/>
        </w:rPr>
      </w:pPr>
      <w:r w:rsidRPr="00E60260">
        <w:rPr>
          <w:lang w:val="en-GB"/>
        </w:rPr>
        <w:t xml:space="preserve">HUTTON, </w:t>
      </w:r>
      <w:r w:rsidRPr="00E60260">
        <w:rPr>
          <w:i/>
          <w:lang w:val="en-GB"/>
        </w:rPr>
        <w:t>Women and Economic Activities</w:t>
      </w:r>
      <w:r>
        <w:rPr>
          <w:lang w:val="en-GB"/>
        </w:rPr>
        <w:t>, 113.</w:t>
      </w:r>
    </w:p>
  </w:footnote>
  <w:footnote w:id="101">
    <w:p w:rsidR="00421AE8" w:rsidRPr="00CD76CE" w:rsidRDefault="00421AE8" w:rsidP="00B80C41">
      <w:pPr>
        <w:pStyle w:val="Voetnoottekst"/>
        <w:rPr>
          <w:lang w:val="en-GB"/>
        </w:rPr>
      </w:pPr>
      <w:r>
        <w:rPr>
          <w:rStyle w:val="Voetnootmarkering"/>
        </w:rPr>
        <w:footnoteRef/>
      </w:r>
      <w:r w:rsidRPr="00CD76CE">
        <w:rPr>
          <w:lang w:val="en-GB"/>
        </w:rPr>
        <w:t xml:space="preserve"> </w:t>
      </w:r>
      <w:r w:rsidRPr="00E60260">
        <w:rPr>
          <w:lang w:val="en-GB"/>
        </w:rPr>
        <w:t xml:space="preserve">HUTTON, </w:t>
      </w:r>
      <w:r w:rsidRPr="00E60260">
        <w:rPr>
          <w:i/>
          <w:lang w:val="en-GB"/>
        </w:rPr>
        <w:t>Women and Economic Activities</w:t>
      </w:r>
      <w:r>
        <w:rPr>
          <w:lang w:val="en-GB"/>
        </w:rPr>
        <w:t>, 113.</w:t>
      </w:r>
    </w:p>
  </w:footnote>
  <w:footnote w:id="102">
    <w:p w:rsidR="00421AE8" w:rsidRPr="00CD76CE" w:rsidRDefault="00421AE8" w:rsidP="00B80C41">
      <w:pPr>
        <w:pStyle w:val="Voetnoottekst"/>
        <w:rPr>
          <w:lang w:val="en-GB"/>
        </w:rPr>
      </w:pPr>
      <w:r>
        <w:rPr>
          <w:rStyle w:val="Voetnootmarkering"/>
        </w:rPr>
        <w:footnoteRef/>
      </w:r>
      <w:r w:rsidRPr="00CD76CE">
        <w:rPr>
          <w:lang w:val="en-GB"/>
        </w:rPr>
        <w:t xml:space="preserve"> </w:t>
      </w:r>
      <w:r w:rsidRPr="00E60260">
        <w:rPr>
          <w:lang w:val="en-GB"/>
        </w:rPr>
        <w:t xml:space="preserve">HUTTON, </w:t>
      </w:r>
      <w:r w:rsidRPr="00E60260">
        <w:rPr>
          <w:i/>
          <w:lang w:val="en-GB"/>
        </w:rPr>
        <w:t>Women and Economic Activities</w:t>
      </w:r>
      <w:r>
        <w:rPr>
          <w:lang w:val="en-GB"/>
        </w:rPr>
        <w:t>, 113.</w:t>
      </w:r>
    </w:p>
  </w:footnote>
  <w:footnote w:id="103">
    <w:p w:rsidR="00421AE8" w:rsidRPr="00253E10" w:rsidRDefault="00421AE8" w:rsidP="00B80C41">
      <w:pPr>
        <w:pStyle w:val="Voetnoottekst"/>
        <w:rPr>
          <w:lang w:val="en-GB"/>
        </w:rPr>
      </w:pPr>
      <w:r>
        <w:rPr>
          <w:rStyle w:val="Voetnootmarkering"/>
        </w:rPr>
        <w:footnoteRef/>
      </w:r>
      <w:r w:rsidRPr="00253E10">
        <w:rPr>
          <w:lang w:val="en-GB"/>
        </w:rPr>
        <w:t xml:space="preserve"> </w:t>
      </w:r>
      <w:r>
        <w:rPr>
          <w:lang w:val="en-GB"/>
        </w:rPr>
        <w:t>TWYCROSS, ‘Worthy Women of the Old Testament: The Ambachtsvrouwen of the Leuven Ommegang’, 228.</w:t>
      </w:r>
    </w:p>
  </w:footnote>
  <w:footnote w:id="104">
    <w:p w:rsidR="00421AE8" w:rsidRDefault="00421AE8" w:rsidP="00B80C41">
      <w:pPr>
        <w:pStyle w:val="Voetnoottekst"/>
      </w:pPr>
      <w:r>
        <w:rPr>
          <w:rStyle w:val="Voetnootmarkering"/>
        </w:rPr>
        <w:footnoteRef/>
      </w:r>
      <w:r>
        <w:t xml:space="preserve"> SAL, 1523, fol. 129v, 14 februari 1439.</w:t>
      </w:r>
    </w:p>
  </w:footnote>
  <w:footnote w:id="105">
    <w:p w:rsidR="00421AE8" w:rsidRPr="00B60BED" w:rsidRDefault="00421AE8" w:rsidP="00B80C41">
      <w:pPr>
        <w:pStyle w:val="Voetnoottekst"/>
      </w:pPr>
      <w:r>
        <w:rPr>
          <w:rStyle w:val="Voetnootmarkering"/>
        </w:rPr>
        <w:footnoteRef/>
      </w:r>
      <w:r w:rsidRPr="00B60BED">
        <w:t xml:space="preserve"> SAL, </w:t>
      </w:r>
      <w:r w:rsidRPr="005F4F43">
        <w:t>1527, 1593.</w:t>
      </w:r>
    </w:p>
  </w:footnote>
  <w:footnote w:id="106">
    <w:p w:rsidR="00421AE8" w:rsidRPr="00930AC3" w:rsidRDefault="00421AE8" w:rsidP="00B80C41">
      <w:pPr>
        <w:pStyle w:val="Voetnoottekst"/>
      </w:pPr>
      <w:r>
        <w:rPr>
          <w:rStyle w:val="Voetnootmarkering"/>
        </w:rPr>
        <w:footnoteRef/>
      </w:r>
      <w:r>
        <w:t xml:space="preserve"> VAN UYTVEN, </w:t>
      </w:r>
      <w:r>
        <w:rPr>
          <w:i/>
        </w:rPr>
        <w:t>Leuven, “de beste stad van Brabant”</w:t>
      </w:r>
      <w:r>
        <w:t>, 121.</w:t>
      </w:r>
    </w:p>
  </w:footnote>
  <w:footnote w:id="107">
    <w:p w:rsidR="00421AE8" w:rsidRPr="00AB7BCA" w:rsidRDefault="00421AE8" w:rsidP="00B80C41">
      <w:pPr>
        <w:pStyle w:val="Voetnoottekst"/>
        <w:rPr>
          <w:lang w:val="en-GB"/>
        </w:rPr>
      </w:pPr>
      <w:r>
        <w:rPr>
          <w:rStyle w:val="Voetnootmarkering"/>
        </w:rPr>
        <w:footnoteRef/>
      </w:r>
      <w:r w:rsidRPr="00AB7BCA">
        <w:rPr>
          <w:lang w:val="en-GB"/>
        </w:rPr>
        <w:t xml:space="preserve"> SAL, 1524, fol. 203v, 26 mei 1481.</w:t>
      </w:r>
    </w:p>
  </w:footnote>
  <w:footnote w:id="108">
    <w:p w:rsidR="00421AE8" w:rsidRPr="00C60E37" w:rsidRDefault="00421AE8" w:rsidP="00B80C41">
      <w:pPr>
        <w:pStyle w:val="Voetnoottekst"/>
        <w:rPr>
          <w:lang w:val="en-GB"/>
        </w:rPr>
      </w:pPr>
      <w:r>
        <w:rPr>
          <w:rStyle w:val="Voetnootmarkering"/>
        </w:rPr>
        <w:footnoteRef/>
      </w:r>
      <w:r w:rsidRPr="00C60E37">
        <w:rPr>
          <w:lang w:val="en-GB"/>
        </w:rPr>
        <w:t xml:space="preserve"> SAL, 1523, fol. </w:t>
      </w:r>
      <w:r w:rsidRPr="00C519CE">
        <w:rPr>
          <w:lang w:val="en-GB"/>
        </w:rPr>
        <w:t>207r – 210v, 22 augustus 1403.</w:t>
      </w:r>
      <w:r w:rsidRPr="00C60E37">
        <w:rPr>
          <w:lang w:val="en-GB"/>
        </w:rPr>
        <w:t>.</w:t>
      </w:r>
    </w:p>
  </w:footnote>
  <w:footnote w:id="109">
    <w:p w:rsidR="00421AE8" w:rsidRPr="006529A2" w:rsidRDefault="00421AE8" w:rsidP="00B80C41">
      <w:pPr>
        <w:pStyle w:val="Voetnoottekst"/>
        <w:rPr>
          <w:lang w:val="en-GB"/>
        </w:rPr>
      </w:pPr>
      <w:r>
        <w:rPr>
          <w:rStyle w:val="Voetnootmarkering"/>
        </w:rPr>
        <w:footnoteRef/>
      </w:r>
      <w:r w:rsidRPr="006529A2">
        <w:rPr>
          <w:lang w:val="en-GB"/>
        </w:rPr>
        <w:t xml:space="preserve"> </w:t>
      </w:r>
      <w:r>
        <w:rPr>
          <w:lang w:val="en-GB"/>
        </w:rPr>
        <w:t>KOWALESKI, ‘Women’s work in a Market Town: Exeter in the Late Fourteenth Century’</w:t>
      </w:r>
      <w:r w:rsidRPr="009B3C34">
        <w:rPr>
          <w:lang w:val="en-GB"/>
        </w:rPr>
        <w:t xml:space="preserve">, </w:t>
      </w:r>
      <w:r>
        <w:rPr>
          <w:lang w:val="en-GB"/>
        </w:rPr>
        <w:t xml:space="preserve">B.A. HANAWALT red., </w:t>
      </w:r>
      <w:r>
        <w:rPr>
          <w:i/>
          <w:lang w:val="en-GB"/>
        </w:rPr>
        <w:t>Women and Work in Preindustrial Europe</w:t>
      </w:r>
      <w:r>
        <w:rPr>
          <w:lang w:val="en-GB"/>
        </w:rPr>
        <w:t>, Bloomington, 1986, 145 – 163, 151.</w:t>
      </w:r>
    </w:p>
  </w:footnote>
  <w:footnote w:id="110">
    <w:p w:rsidR="00421AE8" w:rsidRPr="00C101F2" w:rsidRDefault="00421AE8">
      <w:pPr>
        <w:pStyle w:val="Voetnoottekst"/>
        <w:rPr>
          <w:lang w:val="en-GB"/>
        </w:rPr>
      </w:pPr>
      <w:r>
        <w:rPr>
          <w:rStyle w:val="Voetnootmarkering"/>
        </w:rPr>
        <w:footnoteRef/>
      </w:r>
      <w:r w:rsidRPr="00C101F2">
        <w:rPr>
          <w:lang w:val="en-GB"/>
        </w:rPr>
        <w:t xml:space="preserve"> </w:t>
      </w:r>
      <w:r>
        <w:rPr>
          <w:lang w:val="en-GB"/>
        </w:rPr>
        <w:t xml:space="preserve">SAL, </w:t>
      </w:r>
      <w:r w:rsidRPr="00C101F2">
        <w:rPr>
          <w:lang w:val="en-GB"/>
        </w:rPr>
        <w:t>1523, fol. 207r – 210v, 22 augustus 1403.</w:t>
      </w:r>
    </w:p>
  </w:footnote>
  <w:footnote w:id="111">
    <w:p w:rsidR="00421AE8" w:rsidRPr="00AB7BCA" w:rsidRDefault="00421AE8" w:rsidP="00B80C41">
      <w:pPr>
        <w:pStyle w:val="Voetnoottekst"/>
        <w:rPr>
          <w:lang w:val="en-GB"/>
        </w:rPr>
      </w:pPr>
      <w:r>
        <w:rPr>
          <w:rStyle w:val="Voetnootmarkering"/>
        </w:rPr>
        <w:footnoteRef/>
      </w:r>
      <w:r w:rsidRPr="00AB7BCA">
        <w:rPr>
          <w:lang w:val="en-GB"/>
        </w:rPr>
        <w:t xml:space="preserve"> SAL, 1523, fol. </w:t>
      </w:r>
      <w:r w:rsidRPr="00C519CE">
        <w:rPr>
          <w:lang w:val="en-GB"/>
        </w:rPr>
        <w:t>207r – 210v, 22 augustus 1403.</w:t>
      </w:r>
      <w:r w:rsidRPr="00AB7BCA">
        <w:rPr>
          <w:lang w:val="en-GB"/>
        </w:rPr>
        <w:t>.</w:t>
      </w:r>
    </w:p>
  </w:footnote>
  <w:footnote w:id="112">
    <w:p w:rsidR="00421AE8" w:rsidRPr="00C101F2" w:rsidRDefault="00421AE8">
      <w:pPr>
        <w:pStyle w:val="Voetnoottekst"/>
        <w:rPr>
          <w:lang w:val="en-GB"/>
        </w:rPr>
      </w:pPr>
      <w:r>
        <w:rPr>
          <w:rStyle w:val="Voetnootmarkering"/>
        </w:rPr>
        <w:footnoteRef/>
      </w:r>
      <w:r w:rsidRPr="00C101F2">
        <w:rPr>
          <w:lang w:val="en-GB"/>
        </w:rPr>
        <w:t xml:space="preserve"> HOWELL, </w:t>
      </w:r>
      <w:r w:rsidRPr="00084FE5">
        <w:rPr>
          <w:i/>
          <w:lang w:val="en-GB"/>
        </w:rPr>
        <w:t>Women, Production, and Patriarchy</w:t>
      </w:r>
      <w:r>
        <w:rPr>
          <w:lang w:val="en-GB"/>
        </w:rPr>
        <w:t>, 130 – 133.</w:t>
      </w:r>
    </w:p>
  </w:footnote>
  <w:footnote w:id="113">
    <w:p w:rsidR="00421AE8" w:rsidRPr="00832C16" w:rsidRDefault="00421AE8">
      <w:pPr>
        <w:pStyle w:val="Voetnoottekst"/>
        <w:rPr>
          <w:lang w:val="en-GB"/>
        </w:rPr>
      </w:pPr>
      <w:r>
        <w:rPr>
          <w:rStyle w:val="Voetnootmarkering"/>
        </w:rPr>
        <w:footnoteRef/>
      </w:r>
      <w:r w:rsidRPr="00832C16">
        <w:rPr>
          <w:lang w:val="en-GB"/>
        </w:rPr>
        <w:t xml:space="preserve"> </w:t>
      </w:r>
      <w:r>
        <w:rPr>
          <w:lang w:val="en-GB"/>
        </w:rPr>
        <w:t xml:space="preserve">VAN UYTVEN, </w:t>
      </w:r>
      <w:r>
        <w:rPr>
          <w:i/>
          <w:lang w:val="en-GB"/>
        </w:rPr>
        <w:t>Leuven anno 1448</w:t>
      </w:r>
      <w:r>
        <w:rPr>
          <w:lang w:val="en-GB"/>
        </w:rPr>
        <w:t>, 27.</w:t>
      </w:r>
    </w:p>
  </w:footnote>
  <w:footnote w:id="114">
    <w:p w:rsidR="00421AE8" w:rsidRDefault="00421AE8" w:rsidP="00B80C41">
      <w:pPr>
        <w:pStyle w:val="Voetnoottekst"/>
        <w:rPr>
          <w:lang w:val="en-GB"/>
        </w:rPr>
      </w:pPr>
      <w:r>
        <w:rPr>
          <w:rStyle w:val="Voetnootmarkering"/>
        </w:rPr>
        <w:footnoteRef/>
      </w:r>
      <w:r>
        <w:rPr>
          <w:lang w:val="en-GB"/>
        </w:rPr>
        <w:t xml:space="preserve"> CROWSTON,</w:t>
      </w:r>
      <w:r w:rsidRPr="00C63139">
        <w:rPr>
          <w:lang w:val="en-GB"/>
        </w:rPr>
        <w:t xml:space="preserve"> ‘Women, Gender, and Guilds</w:t>
      </w:r>
      <w:r>
        <w:rPr>
          <w:lang w:val="en-GB"/>
        </w:rPr>
        <w:t>’</w:t>
      </w:r>
      <w:r w:rsidRPr="00C63139">
        <w:rPr>
          <w:lang w:val="en-GB"/>
        </w:rPr>
        <w:t xml:space="preserve">, </w:t>
      </w:r>
      <w:r>
        <w:rPr>
          <w:lang w:val="en-GB"/>
        </w:rPr>
        <w:t xml:space="preserve">38; </w:t>
      </w:r>
      <w:r w:rsidRPr="00106EE1">
        <w:rPr>
          <w:lang w:val="en-GB"/>
        </w:rPr>
        <w:t xml:space="preserve">HOWELL, </w:t>
      </w:r>
      <w:r w:rsidRPr="00106EE1">
        <w:rPr>
          <w:i/>
          <w:lang w:val="en-GB"/>
        </w:rPr>
        <w:t>Women, Production, and Patriarchy</w:t>
      </w:r>
      <w:r w:rsidRPr="00106EE1">
        <w:rPr>
          <w:lang w:val="en-GB"/>
        </w:rPr>
        <w:t>, 124 – 130.</w:t>
      </w:r>
      <w:r>
        <w:rPr>
          <w:lang w:val="en-GB"/>
        </w:rPr>
        <w:t xml:space="preserve"> </w:t>
      </w:r>
    </w:p>
    <w:p w:rsidR="00421AE8" w:rsidRPr="002D6AD8" w:rsidRDefault="00421AE8" w:rsidP="00B80C41">
      <w:pPr>
        <w:pStyle w:val="Voetnoottekst"/>
      </w:pPr>
      <w:r w:rsidRPr="002D6AD8">
        <w:t xml:space="preserve">Het gaat om garenmaaksters, goudspinsters en zijdewevers. </w:t>
      </w:r>
    </w:p>
  </w:footnote>
  <w:footnote w:id="115">
    <w:p w:rsidR="00421AE8" w:rsidRPr="00106EE1" w:rsidRDefault="00421AE8" w:rsidP="00B80C41">
      <w:pPr>
        <w:pStyle w:val="Voetnoottekst"/>
        <w:rPr>
          <w:lang w:val="en-GB"/>
        </w:rPr>
      </w:pPr>
      <w:r>
        <w:rPr>
          <w:rStyle w:val="Voetnootmarkering"/>
        </w:rPr>
        <w:footnoteRef/>
      </w:r>
      <w:r w:rsidRPr="00106EE1">
        <w:rPr>
          <w:lang w:val="en-GB"/>
        </w:rPr>
        <w:t xml:space="preserve"> HOWELL, </w:t>
      </w:r>
      <w:r w:rsidRPr="00106EE1">
        <w:rPr>
          <w:i/>
          <w:lang w:val="en-GB"/>
        </w:rPr>
        <w:t>Women, Production, and Patriarchy</w:t>
      </w:r>
      <w:r w:rsidRPr="00106EE1">
        <w:rPr>
          <w:lang w:val="en-GB"/>
        </w:rPr>
        <w:t>, 124 – 130.</w:t>
      </w:r>
    </w:p>
  </w:footnote>
  <w:footnote w:id="116">
    <w:p w:rsidR="00421AE8" w:rsidRPr="00106EE1" w:rsidRDefault="00421AE8" w:rsidP="00B80C41">
      <w:pPr>
        <w:pStyle w:val="Voetnoottekst"/>
        <w:rPr>
          <w:lang w:val="en-GB"/>
        </w:rPr>
      </w:pPr>
      <w:r>
        <w:rPr>
          <w:rStyle w:val="Voetnootmarkering"/>
        </w:rPr>
        <w:footnoteRef/>
      </w:r>
      <w:r w:rsidRPr="00106EE1">
        <w:rPr>
          <w:lang w:val="en-GB"/>
        </w:rPr>
        <w:t xml:space="preserve"> </w:t>
      </w:r>
      <w:r>
        <w:rPr>
          <w:lang w:val="en-GB"/>
        </w:rPr>
        <w:t>KITTELL en QUELLER, ‘“Whether man or woman”’, 73.</w:t>
      </w:r>
    </w:p>
  </w:footnote>
  <w:footnote w:id="117">
    <w:p w:rsidR="00421AE8" w:rsidRPr="00B255E4" w:rsidRDefault="00421AE8" w:rsidP="00B80C41">
      <w:pPr>
        <w:pStyle w:val="Voetnoottekst"/>
        <w:rPr>
          <w:lang w:val="en-GB"/>
        </w:rPr>
      </w:pPr>
      <w:r>
        <w:rPr>
          <w:rStyle w:val="Voetnootmarkering"/>
        </w:rPr>
        <w:footnoteRef/>
      </w:r>
      <w:r w:rsidRPr="00B255E4">
        <w:rPr>
          <w:lang w:val="en-GB"/>
        </w:rPr>
        <w:t xml:space="preserve"> SAL, 1523, fol. </w:t>
      </w:r>
      <w:r w:rsidRPr="009019FF">
        <w:rPr>
          <w:lang w:val="en-GB"/>
        </w:rPr>
        <w:t>155r – 156r, 23 mei 1424</w:t>
      </w:r>
      <w:r w:rsidRPr="00B255E4">
        <w:rPr>
          <w:lang w:val="en-GB"/>
        </w:rPr>
        <w:t>.</w:t>
      </w:r>
    </w:p>
  </w:footnote>
  <w:footnote w:id="118">
    <w:p w:rsidR="00421AE8" w:rsidRPr="00E82A5D" w:rsidRDefault="00421AE8" w:rsidP="00B80C41">
      <w:pPr>
        <w:pStyle w:val="Voetnoottekst"/>
        <w:rPr>
          <w:lang w:val="en-GB"/>
        </w:rPr>
      </w:pPr>
      <w:r>
        <w:rPr>
          <w:rStyle w:val="Voetnootmarkering"/>
        </w:rPr>
        <w:footnoteRef/>
      </w:r>
      <w:r w:rsidRPr="00E82A5D">
        <w:rPr>
          <w:lang w:val="en-GB"/>
        </w:rPr>
        <w:t xml:space="preserve"> </w:t>
      </w:r>
      <w:r>
        <w:rPr>
          <w:lang w:val="en-GB"/>
        </w:rPr>
        <w:t>CROWSTON,</w:t>
      </w:r>
      <w:r w:rsidRPr="00046495">
        <w:rPr>
          <w:lang w:val="en-GB"/>
        </w:rPr>
        <w:t xml:space="preserve"> ‘Women, Gender, an</w:t>
      </w:r>
      <w:r>
        <w:rPr>
          <w:lang w:val="en-GB"/>
        </w:rPr>
        <w:t>d Guilds</w:t>
      </w:r>
      <w:r w:rsidRPr="00046495">
        <w:rPr>
          <w:lang w:val="en-GB"/>
        </w:rPr>
        <w:t>’</w:t>
      </w:r>
      <w:r>
        <w:rPr>
          <w:lang w:val="en-GB"/>
        </w:rPr>
        <w:t>, 44.</w:t>
      </w:r>
    </w:p>
  </w:footnote>
  <w:footnote w:id="119">
    <w:p w:rsidR="00421AE8" w:rsidRPr="00B255E4" w:rsidRDefault="00421AE8" w:rsidP="00B80C41">
      <w:pPr>
        <w:pStyle w:val="Voetnoottekst"/>
      </w:pPr>
      <w:r>
        <w:rPr>
          <w:rStyle w:val="Voetnootmarkering"/>
        </w:rPr>
        <w:footnoteRef/>
      </w:r>
      <w:r w:rsidRPr="00B255E4">
        <w:t xml:space="preserve"> SAL, </w:t>
      </w:r>
      <w:r w:rsidRPr="005F4F43">
        <w:t>4648, fol. 446r – 450r, 9 juni 1471.</w:t>
      </w:r>
    </w:p>
  </w:footnote>
  <w:footnote w:id="120">
    <w:p w:rsidR="00421AE8" w:rsidRDefault="00421AE8" w:rsidP="00B80C41">
      <w:pPr>
        <w:pStyle w:val="Voetnoottekst"/>
      </w:pPr>
      <w:r>
        <w:rPr>
          <w:rStyle w:val="Voetnootmarkering"/>
        </w:rPr>
        <w:footnoteRef/>
      </w:r>
      <w:r>
        <w:t xml:space="preserve"> VAN GERVEN, </w:t>
      </w:r>
      <w:r w:rsidRPr="00B45E4E">
        <w:t xml:space="preserve">‘Vrouwen, arbeid en sociale </w:t>
      </w:r>
      <w:r>
        <w:t>positie’, 953 – 957.</w:t>
      </w:r>
    </w:p>
  </w:footnote>
  <w:footnote w:id="121">
    <w:p w:rsidR="00421AE8" w:rsidRDefault="00421AE8" w:rsidP="00B80C41">
      <w:pPr>
        <w:pStyle w:val="Voetnoottekst"/>
      </w:pPr>
      <w:r>
        <w:rPr>
          <w:rStyle w:val="Voetnootmarkering"/>
        </w:rPr>
        <w:footnoteRef/>
      </w:r>
      <w:r>
        <w:t xml:space="preserve"> DANNEEL,</w:t>
      </w:r>
      <w:r w:rsidRPr="00855B5F">
        <w:t xml:space="preserve"> ‘Weduwen en sociale mobiliteit</w:t>
      </w:r>
      <w:r>
        <w:t>’, 15.</w:t>
      </w:r>
    </w:p>
  </w:footnote>
  <w:footnote w:id="122">
    <w:p w:rsidR="00421AE8" w:rsidRPr="00551E71" w:rsidRDefault="00421AE8">
      <w:pPr>
        <w:pStyle w:val="Voetnoottekst"/>
      </w:pPr>
      <w:r>
        <w:rPr>
          <w:rStyle w:val="Voetnootmarkering"/>
        </w:rPr>
        <w:footnoteRef/>
      </w:r>
      <w:r>
        <w:t xml:space="preserve"> </w:t>
      </w:r>
      <w:r w:rsidRPr="00551E71">
        <w:t>SAL, 1523, fol. 129v, 14 februari 1439.</w:t>
      </w:r>
    </w:p>
    <w:p w:rsidR="00421AE8" w:rsidRPr="009B3068" w:rsidRDefault="00421AE8">
      <w:pPr>
        <w:pStyle w:val="Voetnoottekst"/>
        <w:rPr>
          <w:i/>
        </w:rPr>
      </w:pPr>
      <w:r w:rsidRPr="009B3068">
        <w:rPr>
          <w:i/>
        </w:rPr>
        <w:t>Item en sal gheen vrouwen persoen t</w:t>
      </w:r>
      <w:r>
        <w:rPr>
          <w:i/>
        </w:rPr>
        <w:t xml:space="preserve"> </w:t>
      </w:r>
      <w:r w:rsidRPr="009B3068">
        <w:rPr>
          <w:i/>
        </w:rPr>
        <w:t>voirscreven ambacht mogen doen noch tot der proeven comen uutgeworpen dat die [doorstreept] der barbiers wive na heuren mannen dat ambacht met knapen selen mogen houden</w:t>
      </w:r>
      <w:r>
        <w:rPr>
          <w:i/>
        </w:rPr>
        <w:t xml:space="preserve"> also lange zij in weduwenscape </w:t>
      </w:r>
      <w:r w:rsidRPr="009B3068">
        <w:rPr>
          <w:i/>
        </w:rPr>
        <w:t>setten gelijc dat van outs gehanteert is ende met langer ten ware dat alsulken weduwen.</w:t>
      </w:r>
    </w:p>
  </w:footnote>
  <w:footnote w:id="123">
    <w:p w:rsidR="00421AE8" w:rsidRDefault="00421AE8" w:rsidP="00B80C41">
      <w:pPr>
        <w:pStyle w:val="Voetnoottekst"/>
      </w:pPr>
      <w:r>
        <w:rPr>
          <w:rStyle w:val="Voetnootmarkering"/>
        </w:rPr>
        <w:footnoteRef/>
      </w:r>
      <w:r>
        <w:t xml:space="preserve"> VAN GERVEN, </w:t>
      </w:r>
      <w:r w:rsidRPr="00B45E4E">
        <w:t xml:space="preserve">‘Vrouwen, arbeid en sociale </w:t>
      </w:r>
      <w:r>
        <w:t>positie’, 954.</w:t>
      </w:r>
    </w:p>
  </w:footnote>
  <w:footnote w:id="124">
    <w:p w:rsidR="00421AE8" w:rsidRDefault="00421AE8" w:rsidP="00B80C41">
      <w:pPr>
        <w:pStyle w:val="Voetnoottekst"/>
      </w:pPr>
      <w:r>
        <w:rPr>
          <w:rStyle w:val="Voetnootmarkering"/>
        </w:rPr>
        <w:footnoteRef/>
      </w:r>
      <w:r>
        <w:t xml:space="preserve"> DANNEEL,</w:t>
      </w:r>
      <w:r w:rsidRPr="00855B5F">
        <w:t xml:space="preserve"> </w:t>
      </w:r>
      <w:r>
        <w:t>‘Weduwen en sociale mobiliteit’, 15.</w:t>
      </w:r>
    </w:p>
  </w:footnote>
  <w:footnote w:id="125">
    <w:p w:rsidR="00421AE8" w:rsidRPr="003C6F1B" w:rsidRDefault="00421AE8" w:rsidP="00B80C41">
      <w:pPr>
        <w:pStyle w:val="Voetnoottekst"/>
      </w:pPr>
      <w:r>
        <w:rPr>
          <w:rStyle w:val="Voetnootmarkering"/>
        </w:rPr>
        <w:footnoteRef/>
      </w:r>
      <w:r w:rsidRPr="003C6F1B">
        <w:t xml:space="preserve"> SAL, 4648, fol. 3r – 4v, 2 juni 1417.</w:t>
      </w:r>
    </w:p>
  </w:footnote>
  <w:footnote w:id="126">
    <w:p w:rsidR="00421AE8" w:rsidRPr="003C6F1B" w:rsidRDefault="00421AE8" w:rsidP="00B80C41">
      <w:pPr>
        <w:pStyle w:val="Voetnoottekst"/>
      </w:pPr>
      <w:r>
        <w:rPr>
          <w:rStyle w:val="Voetnootmarkering"/>
        </w:rPr>
        <w:footnoteRef/>
      </w:r>
      <w:r w:rsidRPr="003C6F1B">
        <w:t xml:space="preserve"> SAL, 4648, fol. 3r – 4v, 2 juni 1417.</w:t>
      </w:r>
    </w:p>
  </w:footnote>
  <w:footnote w:id="127">
    <w:p w:rsidR="00421AE8" w:rsidRPr="00F46587" w:rsidRDefault="00421AE8" w:rsidP="00B80C41">
      <w:pPr>
        <w:pStyle w:val="Voetnoottekst"/>
        <w:rPr>
          <w:lang w:val="en-GB"/>
        </w:rPr>
      </w:pPr>
      <w:r>
        <w:rPr>
          <w:rStyle w:val="Voetnootmarkering"/>
        </w:rPr>
        <w:footnoteRef/>
      </w:r>
      <w:r w:rsidRPr="00F46587">
        <w:rPr>
          <w:lang w:val="en-GB"/>
        </w:rPr>
        <w:t xml:space="preserve"> SAL, 1524, fol. 375r – 376r, 13 september 1493.</w:t>
      </w:r>
    </w:p>
  </w:footnote>
  <w:footnote w:id="128">
    <w:p w:rsidR="00421AE8" w:rsidRDefault="00421AE8" w:rsidP="00B80C41">
      <w:pPr>
        <w:pStyle w:val="Voetnoottekst"/>
      </w:pPr>
      <w:r>
        <w:rPr>
          <w:rStyle w:val="Voetnootmarkering"/>
        </w:rPr>
        <w:footnoteRef/>
      </w:r>
      <w:r>
        <w:t xml:space="preserve"> DANNEEL, </w:t>
      </w:r>
      <w:r>
        <w:rPr>
          <w:i/>
        </w:rPr>
        <w:t>Weduwen en wezen in het laat-middeleeuwse Gent</w:t>
      </w:r>
      <w:r>
        <w:t xml:space="preserve">, 344 – 345. </w:t>
      </w:r>
    </w:p>
    <w:p w:rsidR="00421AE8" w:rsidRDefault="00421AE8" w:rsidP="00B80C41">
      <w:pPr>
        <w:pStyle w:val="Voetnoottekst"/>
      </w:pPr>
      <w:r>
        <w:t>Kathryn Reyerson beargumenteert wel dat weduwen nog een andere vorm van bijstand kregen in de vorm van gezellen die hen hielpen. In dit opzicht zouden ook minder gestelde weduwen toch in het ambacht kunnen blijven. Dit kan ik voor Leuven echter niet terugvinden binnen het normatieve kader.</w:t>
      </w:r>
    </w:p>
    <w:p w:rsidR="00421AE8" w:rsidRPr="004B1B3B" w:rsidRDefault="00421AE8" w:rsidP="00B80C41">
      <w:pPr>
        <w:pStyle w:val="Voetnoottekst"/>
        <w:rPr>
          <w:lang w:val="en-GB"/>
        </w:rPr>
      </w:pPr>
      <w:r>
        <w:rPr>
          <w:lang w:val="en-GB"/>
        </w:rPr>
        <w:t>REYERSON, K., ‘Women in Business in Medieval Montpellier’</w:t>
      </w:r>
      <w:r w:rsidRPr="009B3C34">
        <w:rPr>
          <w:lang w:val="en-GB"/>
        </w:rPr>
        <w:t xml:space="preserve">, </w:t>
      </w:r>
      <w:r>
        <w:rPr>
          <w:lang w:val="en-GB"/>
        </w:rPr>
        <w:t xml:space="preserve">B.A. HANAWALT red., </w:t>
      </w:r>
      <w:r>
        <w:rPr>
          <w:i/>
          <w:lang w:val="en-GB"/>
        </w:rPr>
        <w:t>Women and Work in Preindustrial Europe</w:t>
      </w:r>
      <w:r>
        <w:rPr>
          <w:lang w:val="en-GB"/>
        </w:rPr>
        <w:t>, Bloomington, 1986, 117 – 143, 118.</w:t>
      </w:r>
    </w:p>
  </w:footnote>
  <w:footnote w:id="129">
    <w:p w:rsidR="00421AE8" w:rsidRPr="000C47EB" w:rsidRDefault="00421AE8" w:rsidP="00B80C41">
      <w:pPr>
        <w:pStyle w:val="Voetnoottekst"/>
      </w:pPr>
      <w:r>
        <w:rPr>
          <w:rStyle w:val="Voetnootmarkering"/>
        </w:rPr>
        <w:footnoteRef/>
      </w:r>
      <w:r>
        <w:t xml:space="preserve"> </w:t>
      </w:r>
      <w:r w:rsidRPr="00551E71">
        <w:t xml:space="preserve">SAL, </w:t>
      </w:r>
      <w:r w:rsidRPr="005F4F43">
        <w:t>4648, fol. 250r – 259r, 20 juli 1486.</w:t>
      </w:r>
    </w:p>
  </w:footnote>
  <w:footnote w:id="130">
    <w:p w:rsidR="00421AE8" w:rsidRPr="009B3068" w:rsidRDefault="00421AE8">
      <w:pPr>
        <w:pStyle w:val="Voetnoottekst"/>
      </w:pPr>
      <w:r>
        <w:rPr>
          <w:rStyle w:val="Voetnootmarkering"/>
        </w:rPr>
        <w:footnoteRef/>
      </w:r>
      <w:r w:rsidRPr="009B3068">
        <w:t xml:space="preserve"> </w:t>
      </w:r>
      <w:r w:rsidRPr="000C47EB">
        <w:t>DANNEEL, ‘Weduwen en sociale mobiliteit’, 19.</w:t>
      </w:r>
    </w:p>
  </w:footnote>
  <w:footnote w:id="131">
    <w:p w:rsidR="00421AE8" w:rsidRPr="002D5E24" w:rsidRDefault="00421AE8" w:rsidP="009B3068">
      <w:pPr>
        <w:pStyle w:val="Voetnoottekst"/>
        <w:rPr>
          <w:lang w:val="en-GB"/>
        </w:rPr>
      </w:pPr>
      <w:r>
        <w:rPr>
          <w:rStyle w:val="Voetnootmarkering"/>
        </w:rPr>
        <w:footnoteRef/>
      </w:r>
      <w:r w:rsidRPr="002D5E24">
        <w:rPr>
          <w:lang w:val="en-GB"/>
        </w:rPr>
        <w:t xml:space="preserve"> </w:t>
      </w:r>
      <w:r>
        <w:rPr>
          <w:lang w:val="en-GB"/>
        </w:rPr>
        <w:t xml:space="preserve">CROWSTON, </w:t>
      </w:r>
      <w:r w:rsidRPr="00046495">
        <w:rPr>
          <w:lang w:val="en-GB"/>
        </w:rPr>
        <w:t>‘Women, Gender, and Guilds’</w:t>
      </w:r>
      <w:r>
        <w:rPr>
          <w:lang w:val="en-GB"/>
        </w:rPr>
        <w:t>, 24.</w:t>
      </w:r>
    </w:p>
  </w:footnote>
  <w:footnote w:id="132">
    <w:p w:rsidR="00421AE8" w:rsidRPr="002D5E24" w:rsidRDefault="00421AE8" w:rsidP="00B80C41">
      <w:pPr>
        <w:pStyle w:val="Voetnoottekst"/>
        <w:rPr>
          <w:lang w:val="en-GB"/>
        </w:rPr>
      </w:pPr>
      <w:r>
        <w:rPr>
          <w:rStyle w:val="Voetnootmarkering"/>
        </w:rPr>
        <w:footnoteRef/>
      </w:r>
      <w:r w:rsidRPr="002D5E24">
        <w:rPr>
          <w:lang w:val="en-GB"/>
        </w:rPr>
        <w:t xml:space="preserve"> </w:t>
      </w:r>
      <w:r w:rsidRPr="00E60260">
        <w:rPr>
          <w:lang w:val="en-GB"/>
        </w:rPr>
        <w:t xml:space="preserve">HUTTON, </w:t>
      </w:r>
      <w:r w:rsidRPr="00E60260">
        <w:rPr>
          <w:i/>
          <w:lang w:val="en-GB"/>
        </w:rPr>
        <w:t>Women and Economic Activities</w:t>
      </w:r>
      <w:r>
        <w:rPr>
          <w:lang w:val="en-GB"/>
        </w:rPr>
        <w:t>, 133 – 134.</w:t>
      </w:r>
    </w:p>
  </w:footnote>
  <w:footnote w:id="133">
    <w:p w:rsidR="00421AE8" w:rsidRPr="00BD7375" w:rsidRDefault="00421AE8" w:rsidP="00B80C41">
      <w:pPr>
        <w:pStyle w:val="Voetnoottekst"/>
        <w:rPr>
          <w:lang w:val="en-GB"/>
        </w:rPr>
      </w:pPr>
      <w:r>
        <w:rPr>
          <w:rStyle w:val="Voetnootmarkering"/>
        </w:rPr>
        <w:footnoteRef/>
      </w:r>
      <w:r w:rsidRPr="00BD7375">
        <w:rPr>
          <w:lang w:val="en-GB"/>
        </w:rPr>
        <w:t xml:space="preserve"> </w:t>
      </w:r>
      <w:r>
        <w:rPr>
          <w:lang w:val="en-GB"/>
        </w:rPr>
        <w:t xml:space="preserve">SAL, 1523, fol. </w:t>
      </w:r>
      <w:r w:rsidRPr="00F46587">
        <w:rPr>
          <w:lang w:val="en-GB"/>
        </w:rPr>
        <w:t>202r – 204r, 23 maart 1479</w:t>
      </w:r>
      <w:r>
        <w:rPr>
          <w:lang w:val="en-GB"/>
        </w:rPr>
        <w:t xml:space="preserve">; </w:t>
      </w:r>
      <w:r w:rsidRPr="00BD7375">
        <w:rPr>
          <w:lang w:val="en-GB"/>
        </w:rPr>
        <w:t xml:space="preserve">SAL, </w:t>
      </w:r>
      <w:r w:rsidRPr="005F4F43">
        <w:rPr>
          <w:lang w:val="en-GB"/>
        </w:rPr>
        <w:t>4648, fol. 250r – 259r, 20 juli 1486.</w:t>
      </w:r>
    </w:p>
  </w:footnote>
  <w:footnote w:id="134">
    <w:p w:rsidR="00421AE8" w:rsidRPr="000159E3" w:rsidRDefault="00421AE8" w:rsidP="00B80C41">
      <w:pPr>
        <w:pStyle w:val="Voetnoottekst"/>
        <w:rPr>
          <w:lang w:val="en-GB"/>
        </w:rPr>
      </w:pPr>
      <w:r>
        <w:rPr>
          <w:rStyle w:val="Voetnootmarkering"/>
        </w:rPr>
        <w:footnoteRef/>
      </w:r>
      <w:r w:rsidRPr="000159E3">
        <w:rPr>
          <w:lang w:val="en-GB"/>
        </w:rPr>
        <w:t xml:space="preserve"> </w:t>
      </w:r>
      <w:r w:rsidRPr="00084FE5">
        <w:rPr>
          <w:lang w:val="en-GB"/>
        </w:rPr>
        <w:t xml:space="preserve">HOWELL, </w:t>
      </w:r>
      <w:r w:rsidRPr="00084FE5">
        <w:rPr>
          <w:i/>
          <w:lang w:val="en-GB"/>
        </w:rPr>
        <w:t>Women, Production, and Patriarchy</w:t>
      </w:r>
      <w:r>
        <w:rPr>
          <w:lang w:val="en-GB"/>
        </w:rPr>
        <w:t>, 86 – 93.</w:t>
      </w:r>
    </w:p>
  </w:footnote>
  <w:footnote w:id="135">
    <w:p w:rsidR="00421AE8" w:rsidRPr="00595789" w:rsidRDefault="00421AE8">
      <w:pPr>
        <w:pStyle w:val="Voetnoottekst"/>
        <w:rPr>
          <w:lang w:val="en-GB"/>
        </w:rPr>
      </w:pPr>
      <w:r>
        <w:rPr>
          <w:rStyle w:val="Voetnootmarkering"/>
        </w:rPr>
        <w:footnoteRef/>
      </w:r>
      <w:r w:rsidRPr="00595789">
        <w:rPr>
          <w:lang w:val="en-GB"/>
        </w:rPr>
        <w:t xml:space="preserve"> DE MOOR en VAN ZANDEN, </w:t>
      </w:r>
      <w:r>
        <w:rPr>
          <w:lang w:val="en-GB"/>
        </w:rPr>
        <w:t>‘Girl power: the European marriage pattern and labour markets in the North Sea region in the late medieval and early modern period’, 12 – 16.</w:t>
      </w:r>
    </w:p>
  </w:footnote>
  <w:footnote w:id="136">
    <w:p w:rsidR="00421AE8" w:rsidRPr="00551E71" w:rsidRDefault="00421AE8">
      <w:pPr>
        <w:pStyle w:val="Voetnoottekst"/>
        <w:rPr>
          <w:lang w:val="en-GB"/>
        </w:rPr>
      </w:pPr>
      <w:r>
        <w:rPr>
          <w:rStyle w:val="Voetnootmarkering"/>
        </w:rPr>
        <w:footnoteRef/>
      </w:r>
      <w:r w:rsidRPr="00551E71">
        <w:rPr>
          <w:lang w:val="en-GB"/>
        </w:rPr>
        <w:t xml:space="preserve"> </w:t>
      </w:r>
      <w:r w:rsidRPr="005D600F">
        <w:rPr>
          <w:lang w:val="en-GB"/>
        </w:rPr>
        <w:t xml:space="preserve">SAL, </w:t>
      </w:r>
      <w:r w:rsidRPr="005F4F43">
        <w:rPr>
          <w:lang w:val="en-GB"/>
        </w:rPr>
        <w:t>4648, fol.</w:t>
      </w:r>
      <w:r w:rsidRPr="005D600F">
        <w:rPr>
          <w:lang w:val="en-GB"/>
        </w:rPr>
        <w:t xml:space="preserve"> 9r – 9v.</w:t>
      </w:r>
    </w:p>
  </w:footnote>
  <w:footnote w:id="137">
    <w:p w:rsidR="00421AE8" w:rsidRPr="00551E71" w:rsidRDefault="00421AE8" w:rsidP="00B80C41">
      <w:pPr>
        <w:pStyle w:val="Voetnoottekst"/>
        <w:rPr>
          <w:lang w:val="en-GB"/>
        </w:rPr>
      </w:pPr>
      <w:r>
        <w:rPr>
          <w:rStyle w:val="Voetnootmarkering"/>
        </w:rPr>
        <w:footnoteRef/>
      </w:r>
      <w:r w:rsidRPr="00551E71">
        <w:rPr>
          <w:lang w:val="en-GB"/>
        </w:rPr>
        <w:t xml:space="preserve"> </w:t>
      </w:r>
      <w:r w:rsidRPr="005F4F43">
        <w:rPr>
          <w:lang w:val="en-GB"/>
        </w:rPr>
        <w:t>SAL, 4650, fol. 93v – 99r, 16 maart 1416.</w:t>
      </w:r>
    </w:p>
  </w:footnote>
  <w:footnote w:id="138">
    <w:p w:rsidR="00421AE8" w:rsidRPr="009019FF" w:rsidRDefault="00421AE8" w:rsidP="00B80C41">
      <w:pPr>
        <w:pStyle w:val="Voetnoottekst"/>
      </w:pPr>
      <w:r>
        <w:rPr>
          <w:rStyle w:val="Voetnootmarkering"/>
        </w:rPr>
        <w:footnoteRef/>
      </w:r>
      <w:r w:rsidRPr="009019FF">
        <w:t xml:space="preserve"> SAL, 1523, fol. 73r – 74v, 9 juni 1471.</w:t>
      </w:r>
    </w:p>
  </w:footnote>
  <w:footnote w:id="139">
    <w:p w:rsidR="00421AE8" w:rsidRPr="009019FF" w:rsidRDefault="00421AE8" w:rsidP="00B80C41">
      <w:pPr>
        <w:pStyle w:val="Voetnoottekst"/>
      </w:pPr>
      <w:r>
        <w:rPr>
          <w:rStyle w:val="Voetnootmarkering"/>
        </w:rPr>
        <w:footnoteRef/>
      </w:r>
      <w:r w:rsidRPr="009019FF">
        <w:t xml:space="preserve"> SAL, 1523, fol. 73r – 74v, 9 juni 1471.</w:t>
      </w:r>
    </w:p>
  </w:footnote>
  <w:footnote w:id="140">
    <w:p w:rsidR="00421AE8" w:rsidRPr="00800CB7" w:rsidRDefault="00421AE8" w:rsidP="00B80C41">
      <w:pPr>
        <w:pStyle w:val="Voetnoottekst"/>
        <w:rPr>
          <w:lang w:val="en-GB"/>
        </w:rPr>
      </w:pPr>
      <w:r>
        <w:rPr>
          <w:rStyle w:val="Voetnootmarkering"/>
        </w:rPr>
        <w:footnoteRef/>
      </w:r>
      <w:r w:rsidRPr="00800CB7">
        <w:rPr>
          <w:lang w:val="en-GB"/>
        </w:rPr>
        <w:t xml:space="preserve"> </w:t>
      </w:r>
      <w:r>
        <w:rPr>
          <w:lang w:val="en-GB"/>
        </w:rPr>
        <w:t>REYERSON, ‘Women in Business in Medieval Montpellier’</w:t>
      </w:r>
      <w:r w:rsidRPr="009B3C34">
        <w:rPr>
          <w:lang w:val="en-GB"/>
        </w:rPr>
        <w:t xml:space="preserve">, </w:t>
      </w:r>
      <w:r>
        <w:rPr>
          <w:lang w:val="en-GB"/>
        </w:rPr>
        <w:t>121 – 122.</w:t>
      </w:r>
    </w:p>
  </w:footnote>
  <w:footnote w:id="141">
    <w:p w:rsidR="00421AE8" w:rsidRDefault="00421AE8" w:rsidP="00B80C41">
      <w:pPr>
        <w:pStyle w:val="Voetnoottekst"/>
      </w:pPr>
      <w:r>
        <w:rPr>
          <w:rStyle w:val="Voetnootmarkering"/>
        </w:rPr>
        <w:footnoteRef/>
      </w:r>
      <w:r>
        <w:t xml:space="preserve"> VAN UYTTERHOEVEN, </w:t>
      </w:r>
      <w:r>
        <w:rPr>
          <w:i/>
        </w:rPr>
        <w:t>The Groot Begijnhof of Leuven</w:t>
      </w:r>
      <w:r>
        <w:t>, 8.</w:t>
      </w:r>
    </w:p>
  </w:footnote>
  <w:footnote w:id="142">
    <w:p w:rsidR="00421AE8" w:rsidRDefault="00421AE8" w:rsidP="00B80C41">
      <w:pPr>
        <w:pStyle w:val="Voetnoottekst"/>
      </w:pPr>
      <w:r>
        <w:rPr>
          <w:rStyle w:val="Voetnootmarkering"/>
        </w:rPr>
        <w:footnoteRef/>
      </w:r>
      <w:r>
        <w:t xml:space="preserve"> VAN UYTTERHOEVEN, </w:t>
      </w:r>
      <w:r>
        <w:rPr>
          <w:i/>
        </w:rPr>
        <w:t>The Groot Begijnhof of Leuven</w:t>
      </w:r>
      <w:r>
        <w:t>, 11.</w:t>
      </w:r>
    </w:p>
  </w:footnote>
  <w:footnote w:id="143">
    <w:p w:rsidR="00421AE8" w:rsidRPr="003C6F1B" w:rsidRDefault="00421AE8" w:rsidP="00B80C41">
      <w:pPr>
        <w:pStyle w:val="Voetnoottekst"/>
      </w:pPr>
      <w:r>
        <w:rPr>
          <w:rStyle w:val="Voetnootmarkering"/>
        </w:rPr>
        <w:footnoteRef/>
      </w:r>
      <w:r w:rsidRPr="003C6F1B">
        <w:t xml:space="preserve"> SAL, 4648, fol. 459r – 459v, 10 juni 1452.</w:t>
      </w:r>
    </w:p>
  </w:footnote>
  <w:footnote w:id="144">
    <w:p w:rsidR="00421AE8" w:rsidRPr="005F4F43" w:rsidRDefault="00421AE8">
      <w:pPr>
        <w:pStyle w:val="Voetnoottekst"/>
      </w:pPr>
      <w:r>
        <w:rPr>
          <w:rStyle w:val="Voetnootmarkering"/>
        </w:rPr>
        <w:footnoteRef/>
      </w:r>
      <w:r w:rsidRPr="005F4F43">
        <w:t xml:space="preserve"> SAL, 4648, fol. 446r – 450r, 9 juni 1471.</w:t>
      </w:r>
    </w:p>
  </w:footnote>
  <w:footnote w:id="145">
    <w:p w:rsidR="00421AE8" w:rsidRPr="005F4F43" w:rsidRDefault="00421AE8" w:rsidP="00B80C41">
      <w:pPr>
        <w:pStyle w:val="Voetnoottekst"/>
      </w:pPr>
      <w:r>
        <w:rPr>
          <w:rStyle w:val="Voetnootmarkering"/>
        </w:rPr>
        <w:footnoteRef/>
      </w:r>
      <w:r w:rsidRPr="005F4F43">
        <w:t xml:space="preserve"> SAL, 4648, fol. 459r – 459v, 10 juni 1452.</w:t>
      </w:r>
    </w:p>
  </w:footnote>
  <w:footnote w:id="146">
    <w:p w:rsidR="00421AE8" w:rsidRPr="004978A6" w:rsidRDefault="00421AE8" w:rsidP="00B80C41">
      <w:pPr>
        <w:pStyle w:val="Voetnoottekst"/>
        <w:rPr>
          <w:lang w:val="en-GB"/>
        </w:rPr>
      </w:pPr>
      <w:r>
        <w:rPr>
          <w:rStyle w:val="Voetnootmarkering"/>
        </w:rPr>
        <w:footnoteRef/>
      </w:r>
      <w:r w:rsidRPr="004978A6">
        <w:rPr>
          <w:lang w:val="en-GB"/>
        </w:rPr>
        <w:t xml:space="preserve"> </w:t>
      </w:r>
      <w:r w:rsidRPr="00E60260">
        <w:rPr>
          <w:lang w:val="en-GB"/>
        </w:rPr>
        <w:t xml:space="preserve">HUTTON, </w:t>
      </w:r>
      <w:r w:rsidRPr="00E60260">
        <w:rPr>
          <w:i/>
          <w:lang w:val="en-GB"/>
        </w:rPr>
        <w:t>Women and Economic Activities</w:t>
      </w:r>
      <w:r>
        <w:rPr>
          <w:lang w:val="en-GB"/>
        </w:rPr>
        <w:t>, 134 – 136.</w:t>
      </w:r>
    </w:p>
  </w:footnote>
  <w:footnote w:id="147">
    <w:p w:rsidR="00421AE8" w:rsidRPr="004801F4" w:rsidRDefault="00421AE8" w:rsidP="00B80C41">
      <w:pPr>
        <w:pStyle w:val="Voetnoottekst"/>
        <w:rPr>
          <w:lang w:val="en-GB"/>
        </w:rPr>
      </w:pPr>
      <w:r>
        <w:rPr>
          <w:rStyle w:val="Voetnootmarkering"/>
        </w:rPr>
        <w:footnoteRef/>
      </w:r>
      <w:r w:rsidRPr="004801F4">
        <w:rPr>
          <w:lang w:val="en-GB"/>
        </w:rPr>
        <w:t xml:space="preserve"> </w:t>
      </w:r>
      <w:r>
        <w:rPr>
          <w:lang w:val="en-GB"/>
        </w:rPr>
        <w:t>REYERSON, ‘Women in Business in Medieval Montpellier’</w:t>
      </w:r>
      <w:r w:rsidRPr="009B3C34">
        <w:rPr>
          <w:lang w:val="en-GB"/>
        </w:rPr>
        <w:t xml:space="preserve">, </w:t>
      </w:r>
      <w:r>
        <w:rPr>
          <w:lang w:val="en-GB"/>
        </w:rPr>
        <w:t>121.</w:t>
      </w:r>
    </w:p>
  </w:footnote>
  <w:footnote w:id="148">
    <w:p w:rsidR="00421AE8" w:rsidRPr="00B60BED" w:rsidRDefault="00421AE8" w:rsidP="00B80C41">
      <w:pPr>
        <w:pStyle w:val="Voetnoottekst"/>
        <w:rPr>
          <w:lang w:val="en-GB"/>
        </w:rPr>
      </w:pPr>
      <w:r>
        <w:rPr>
          <w:rStyle w:val="Voetnootmarkering"/>
        </w:rPr>
        <w:footnoteRef/>
      </w:r>
      <w:r w:rsidRPr="00B60BED">
        <w:rPr>
          <w:lang w:val="en-GB"/>
        </w:rPr>
        <w:t xml:space="preserve"> SAL, 1526, fol. </w:t>
      </w:r>
      <w:r w:rsidRPr="009019FF">
        <w:rPr>
          <w:lang w:val="en-GB"/>
        </w:rPr>
        <w:t>291r – 292r, 16 januari 1530</w:t>
      </w:r>
      <w:r w:rsidRPr="00B60BED">
        <w:rPr>
          <w:lang w:val="en-GB"/>
        </w:rPr>
        <w:t>.</w:t>
      </w:r>
    </w:p>
  </w:footnote>
  <w:footnote w:id="149">
    <w:p w:rsidR="00421AE8" w:rsidRPr="004801F4" w:rsidRDefault="00421AE8" w:rsidP="00B80C41">
      <w:pPr>
        <w:pStyle w:val="Voetnoottekst"/>
        <w:rPr>
          <w:lang w:val="en-GB"/>
        </w:rPr>
      </w:pPr>
      <w:r>
        <w:rPr>
          <w:rStyle w:val="Voetnootmarkering"/>
        </w:rPr>
        <w:footnoteRef/>
      </w:r>
      <w:r w:rsidRPr="004801F4">
        <w:rPr>
          <w:lang w:val="en-GB"/>
        </w:rPr>
        <w:t xml:space="preserve"> </w:t>
      </w:r>
      <w:r>
        <w:rPr>
          <w:lang w:val="en-GB"/>
        </w:rPr>
        <w:t>KOWALESKI, ‘Women’s work in a Market Town’, 155 – 157.</w:t>
      </w:r>
    </w:p>
  </w:footnote>
  <w:footnote w:id="150">
    <w:p w:rsidR="00421AE8" w:rsidRPr="004801F4" w:rsidRDefault="00421AE8" w:rsidP="00B80C41">
      <w:pPr>
        <w:pStyle w:val="Voetnoottekst"/>
        <w:rPr>
          <w:lang w:val="en-GB"/>
        </w:rPr>
      </w:pPr>
      <w:r>
        <w:rPr>
          <w:rStyle w:val="Voetnootmarkering"/>
        </w:rPr>
        <w:footnoteRef/>
      </w:r>
      <w:r w:rsidRPr="004801F4">
        <w:rPr>
          <w:lang w:val="en-GB"/>
        </w:rPr>
        <w:t xml:space="preserve"> </w:t>
      </w:r>
      <w:r w:rsidRPr="00E60260">
        <w:rPr>
          <w:lang w:val="en-GB"/>
        </w:rPr>
        <w:t xml:space="preserve">HUTTON, </w:t>
      </w:r>
      <w:r w:rsidRPr="00E60260">
        <w:rPr>
          <w:i/>
          <w:lang w:val="en-GB"/>
        </w:rPr>
        <w:t>Women and Economic Activities</w:t>
      </w:r>
      <w:r>
        <w:rPr>
          <w:lang w:val="en-GB"/>
        </w:rPr>
        <w:t>, 31.</w:t>
      </w:r>
    </w:p>
  </w:footnote>
  <w:footnote w:id="151">
    <w:p w:rsidR="00421AE8" w:rsidRPr="00AB7BCA" w:rsidRDefault="00421AE8" w:rsidP="00B80C41">
      <w:pPr>
        <w:pStyle w:val="Voetnoottekst"/>
        <w:rPr>
          <w:lang w:val="en-GB"/>
        </w:rPr>
      </w:pPr>
      <w:r>
        <w:rPr>
          <w:rStyle w:val="Voetnootmarkering"/>
        </w:rPr>
        <w:footnoteRef/>
      </w:r>
      <w:r w:rsidRPr="00AB7BCA">
        <w:rPr>
          <w:lang w:val="en-GB"/>
        </w:rPr>
        <w:t xml:space="preserve"> SAL, 1523, fol. 61</w:t>
      </w:r>
      <w:r>
        <w:rPr>
          <w:lang w:val="en-GB"/>
        </w:rPr>
        <w:t>r</w:t>
      </w:r>
      <w:r w:rsidRPr="00AB7BCA">
        <w:rPr>
          <w:lang w:val="en-GB"/>
        </w:rPr>
        <w:t>, 10 januari 1424.</w:t>
      </w:r>
    </w:p>
  </w:footnote>
  <w:footnote w:id="152">
    <w:p w:rsidR="00421AE8" w:rsidRPr="00E86C93" w:rsidRDefault="00421AE8" w:rsidP="00B80C41">
      <w:pPr>
        <w:pStyle w:val="Voetnoottekst"/>
        <w:rPr>
          <w:lang w:val="en-GB"/>
        </w:rPr>
      </w:pPr>
      <w:r>
        <w:rPr>
          <w:rStyle w:val="Voetnootmarkering"/>
        </w:rPr>
        <w:footnoteRef/>
      </w:r>
      <w:r w:rsidRPr="00E86C93">
        <w:rPr>
          <w:lang w:val="en-GB"/>
        </w:rPr>
        <w:t xml:space="preserve"> SAL, 1523, fol. 69r – 69v,</w:t>
      </w:r>
      <w:r>
        <w:rPr>
          <w:lang w:val="en-GB"/>
        </w:rPr>
        <w:t xml:space="preserve"> 20 september 142</w:t>
      </w:r>
      <w:r w:rsidRPr="00E86C93">
        <w:rPr>
          <w:lang w:val="en-GB"/>
        </w:rPr>
        <w:t>6.</w:t>
      </w:r>
    </w:p>
  </w:footnote>
  <w:footnote w:id="153">
    <w:p w:rsidR="00421AE8" w:rsidRPr="00E86C93" w:rsidRDefault="00421AE8" w:rsidP="00B80C41">
      <w:pPr>
        <w:pStyle w:val="Voetnoottekst"/>
        <w:rPr>
          <w:lang w:val="en-GB"/>
        </w:rPr>
      </w:pPr>
      <w:r>
        <w:rPr>
          <w:rStyle w:val="Voetnootmarkering"/>
        </w:rPr>
        <w:footnoteRef/>
      </w:r>
      <w:r w:rsidRPr="00E86C93">
        <w:rPr>
          <w:lang w:val="en-GB"/>
        </w:rPr>
        <w:t xml:space="preserve"> SAL, </w:t>
      </w:r>
      <w:r w:rsidRPr="005F4F43">
        <w:rPr>
          <w:lang w:val="en-GB"/>
        </w:rPr>
        <w:t>4648, fol. 459r, 5 februari 1445.</w:t>
      </w:r>
    </w:p>
  </w:footnote>
  <w:footnote w:id="154">
    <w:p w:rsidR="00421AE8" w:rsidRPr="003F7C8D" w:rsidRDefault="00421AE8" w:rsidP="00B80C41">
      <w:pPr>
        <w:pStyle w:val="Voetnoottekst"/>
        <w:rPr>
          <w:lang w:val="en-GB"/>
        </w:rPr>
      </w:pPr>
      <w:r>
        <w:rPr>
          <w:rStyle w:val="Voetnootmarkering"/>
        </w:rPr>
        <w:footnoteRef/>
      </w:r>
      <w:r w:rsidRPr="003F7C8D">
        <w:rPr>
          <w:lang w:val="en-GB"/>
        </w:rPr>
        <w:t xml:space="preserve"> </w:t>
      </w:r>
      <w:r w:rsidRPr="00E60260">
        <w:rPr>
          <w:lang w:val="en-GB"/>
        </w:rPr>
        <w:t xml:space="preserve">HUTTON, </w:t>
      </w:r>
      <w:r w:rsidRPr="00E60260">
        <w:rPr>
          <w:i/>
          <w:lang w:val="en-GB"/>
        </w:rPr>
        <w:t>Women and Economic Activities</w:t>
      </w:r>
      <w:r>
        <w:rPr>
          <w:lang w:val="en-GB"/>
        </w:rPr>
        <w:t>, 103 – 105.</w:t>
      </w:r>
    </w:p>
  </w:footnote>
  <w:footnote w:id="155">
    <w:p w:rsidR="00421AE8" w:rsidRPr="003F7C8D" w:rsidRDefault="00421AE8" w:rsidP="00B80C41">
      <w:pPr>
        <w:pStyle w:val="Voetnoottekst"/>
        <w:rPr>
          <w:lang w:val="en-GB"/>
        </w:rPr>
      </w:pPr>
      <w:r>
        <w:rPr>
          <w:rStyle w:val="Voetnootmarkering"/>
        </w:rPr>
        <w:footnoteRef/>
      </w:r>
      <w:r w:rsidRPr="003F7C8D">
        <w:rPr>
          <w:lang w:val="en-GB"/>
        </w:rPr>
        <w:t xml:space="preserve"> </w:t>
      </w:r>
      <w:r>
        <w:rPr>
          <w:lang w:val="en-GB"/>
        </w:rPr>
        <w:t>REYERSON, ‘Women in Business in Medieval Montpellier’</w:t>
      </w:r>
      <w:r w:rsidRPr="009B3C34">
        <w:rPr>
          <w:lang w:val="en-GB"/>
        </w:rPr>
        <w:t xml:space="preserve">, </w:t>
      </w:r>
      <w:r>
        <w:rPr>
          <w:lang w:val="en-GB"/>
        </w:rPr>
        <w:t>137.</w:t>
      </w:r>
    </w:p>
  </w:footnote>
  <w:footnote w:id="156">
    <w:p w:rsidR="00421AE8" w:rsidRPr="003F7C8D" w:rsidRDefault="00421AE8" w:rsidP="00B80C41">
      <w:pPr>
        <w:pStyle w:val="Voetnoottekst"/>
        <w:rPr>
          <w:lang w:val="en-GB"/>
        </w:rPr>
      </w:pPr>
      <w:r>
        <w:rPr>
          <w:rStyle w:val="Voetnootmarkering"/>
        </w:rPr>
        <w:footnoteRef/>
      </w:r>
      <w:r w:rsidRPr="003F7C8D">
        <w:rPr>
          <w:lang w:val="en-GB"/>
        </w:rPr>
        <w:t xml:space="preserve"> </w:t>
      </w:r>
      <w:r>
        <w:rPr>
          <w:lang w:val="en-GB"/>
        </w:rPr>
        <w:t>KOWALESKI, ‘Women’s work in a Market Town’, 157.</w:t>
      </w:r>
    </w:p>
  </w:footnote>
  <w:footnote w:id="157">
    <w:p w:rsidR="00421AE8" w:rsidRPr="009A30F5" w:rsidRDefault="00421AE8" w:rsidP="00B80C41">
      <w:pPr>
        <w:pStyle w:val="Voetnoottekst"/>
        <w:rPr>
          <w:lang w:val="en-GB"/>
        </w:rPr>
      </w:pPr>
      <w:r>
        <w:rPr>
          <w:rStyle w:val="Voetnootmarkering"/>
        </w:rPr>
        <w:footnoteRef/>
      </w:r>
      <w:r w:rsidRPr="009A30F5">
        <w:rPr>
          <w:lang w:val="en-GB"/>
        </w:rPr>
        <w:t xml:space="preserve"> </w:t>
      </w:r>
      <w:r w:rsidRPr="00E86C93">
        <w:rPr>
          <w:lang w:val="en-GB"/>
        </w:rPr>
        <w:t xml:space="preserve">SAL, </w:t>
      </w:r>
      <w:r w:rsidRPr="005F4F43">
        <w:rPr>
          <w:lang w:val="en-GB"/>
        </w:rPr>
        <w:t>4648, fol. 459r, 5 februari 1445.</w:t>
      </w:r>
    </w:p>
  </w:footnote>
  <w:footnote w:id="158">
    <w:p w:rsidR="00421AE8" w:rsidRPr="00710EF9" w:rsidRDefault="00421AE8" w:rsidP="00B80C41">
      <w:pPr>
        <w:pStyle w:val="Voetnoottekst"/>
        <w:rPr>
          <w:lang w:val="en-GB"/>
        </w:rPr>
      </w:pPr>
      <w:r>
        <w:rPr>
          <w:rStyle w:val="Voetnootmarkering"/>
        </w:rPr>
        <w:footnoteRef/>
      </w:r>
      <w:r w:rsidRPr="00ED4C66">
        <w:rPr>
          <w:lang w:val="en-GB"/>
        </w:rPr>
        <w:t xml:space="preserve"> </w:t>
      </w:r>
      <w:r w:rsidRPr="00084FE5">
        <w:rPr>
          <w:lang w:val="en-GB"/>
        </w:rPr>
        <w:t xml:space="preserve">HOWELL, </w:t>
      </w:r>
      <w:r w:rsidRPr="00084FE5">
        <w:rPr>
          <w:i/>
          <w:lang w:val="en-GB"/>
        </w:rPr>
        <w:t>Women, Production, and Patriarchy</w:t>
      </w:r>
      <w:r>
        <w:rPr>
          <w:lang w:val="en-GB"/>
        </w:rPr>
        <w:t>, 9 – 21.</w:t>
      </w:r>
    </w:p>
  </w:footnote>
  <w:footnote w:id="159">
    <w:p w:rsidR="00421AE8" w:rsidRPr="00B60BED" w:rsidRDefault="00421AE8" w:rsidP="00B80C41">
      <w:pPr>
        <w:pStyle w:val="Voetnoottekst"/>
        <w:rPr>
          <w:lang w:val="en-GB"/>
        </w:rPr>
      </w:pPr>
      <w:r>
        <w:rPr>
          <w:rStyle w:val="Voetnootmarkering"/>
        </w:rPr>
        <w:footnoteRef/>
      </w:r>
      <w:r w:rsidRPr="00B60BED">
        <w:rPr>
          <w:lang w:val="en-GB"/>
        </w:rPr>
        <w:t xml:space="preserve"> SAL, </w:t>
      </w:r>
      <w:r w:rsidRPr="005F4F43">
        <w:rPr>
          <w:lang w:val="en-GB"/>
        </w:rPr>
        <w:t>1527, 1593.</w:t>
      </w:r>
    </w:p>
  </w:footnote>
  <w:footnote w:id="160">
    <w:p w:rsidR="00421AE8" w:rsidRPr="00B60BED" w:rsidRDefault="00421AE8" w:rsidP="00B80C41">
      <w:pPr>
        <w:pStyle w:val="Voetnoottekst"/>
        <w:rPr>
          <w:lang w:val="en-GB"/>
        </w:rPr>
      </w:pPr>
      <w:r>
        <w:rPr>
          <w:rStyle w:val="Voetnootmarkering"/>
        </w:rPr>
        <w:footnoteRef/>
      </w:r>
      <w:r w:rsidRPr="00B60BED">
        <w:rPr>
          <w:lang w:val="en-GB"/>
        </w:rPr>
        <w:t xml:space="preserve"> SAL, </w:t>
      </w:r>
      <w:r w:rsidRPr="005F4F43">
        <w:rPr>
          <w:lang w:val="en-GB"/>
        </w:rPr>
        <w:t>4648, fol. 397r – 397v, 22 november 1454.</w:t>
      </w:r>
    </w:p>
  </w:footnote>
  <w:footnote w:id="161">
    <w:p w:rsidR="00421AE8" w:rsidRPr="00B60BED" w:rsidRDefault="00421AE8" w:rsidP="00B80C41">
      <w:pPr>
        <w:pStyle w:val="Voetnoottekst"/>
        <w:rPr>
          <w:lang w:val="en-GB"/>
        </w:rPr>
      </w:pPr>
      <w:r>
        <w:rPr>
          <w:rStyle w:val="Voetnootmarkering"/>
        </w:rPr>
        <w:footnoteRef/>
      </w:r>
      <w:r w:rsidRPr="00B60BED">
        <w:rPr>
          <w:lang w:val="en-GB"/>
        </w:rPr>
        <w:t xml:space="preserve"> SAL, </w:t>
      </w:r>
      <w:r w:rsidRPr="005F4F43">
        <w:rPr>
          <w:lang w:val="en-GB"/>
        </w:rPr>
        <w:t>4648, fol. 397r – 397v, 22 november 1454.</w:t>
      </w:r>
    </w:p>
  </w:footnote>
  <w:footnote w:id="162">
    <w:p w:rsidR="00421AE8" w:rsidRPr="003778DA" w:rsidRDefault="00421AE8" w:rsidP="00B80C41">
      <w:pPr>
        <w:pStyle w:val="Voetnoottekst"/>
        <w:rPr>
          <w:lang w:val="en-GB"/>
        </w:rPr>
      </w:pPr>
      <w:r>
        <w:rPr>
          <w:rStyle w:val="Voetnootmarkering"/>
        </w:rPr>
        <w:footnoteRef/>
      </w:r>
      <w:r w:rsidRPr="003778DA">
        <w:rPr>
          <w:lang w:val="en-GB"/>
        </w:rPr>
        <w:t xml:space="preserve"> </w:t>
      </w:r>
      <w:r w:rsidRPr="004B3FBF">
        <w:rPr>
          <w:lang w:val="en-GB"/>
        </w:rPr>
        <w:t>HUTTON</w:t>
      </w:r>
      <w:r>
        <w:rPr>
          <w:lang w:val="en-GB"/>
        </w:rPr>
        <w:t xml:space="preserve">, </w:t>
      </w:r>
      <w:r w:rsidRPr="004B3FBF">
        <w:rPr>
          <w:lang w:val="en-GB"/>
        </w:rPr>
        <w:t>‘Property, Family and Partnership: Married Women and Legal Capability in Late Medieval Ghent’</w:t>
      </w:r>
      <w:r>
        <w:rPr>
          <w:lang w:val="en-GB"/>
        </w:rPr>
        <w:t xml:space="preserve"> 156.</w:t>
      </w:r>
    </w:p>
  </w:footnote>
  <w:footnote w:id="163">
    <w:p w:rsidR="00421AE8" w:rsidRPr="00ED4C66" w:rsidRDefault="00421AE8" w:rsidP="00B80C41">
      <w:pPr>
        <w:pStyle w:val="Voetnoottekst"/>
        <w:rPr>
          <w:lang w:val="en-GB"/>
        </w:rPr>
      </w:pPr>
      <w:r>
        <w:rPr>
          <w:rStyle w:val="Voetnootmarkering"/>
        </w:rPr>
        <w:footnoteRef/>
      </w:r>
      <w:r w:rsidRPr="00ED4C66">
        <w:rPr>
          <w:lang w:val="en-GB"/>
        </w:rPr>
        <w:t xml:space="preserve"> </w:t>
      </w:r>
      <w:r w:rsidRPr="00084FE5">
        <w:rPr>
          <w:lang w:val="en-GB"/>
        </w:rPr>
        <w:t xml:space="preserve">HOWELL, </w:t>
      </w:r>
      <w:r w:rsidRPr="00084FE5">
        <w:rPr>
          <w:i/>
          <w:lang w:val="en-GB"/>
        </w:rPr>
        <w:t>Women, Production, and Patriarchy</w:t>
      </w:r>
      <w:r>
        <w:rPr>
          <w:lang w:val="en-GB"/>
        </w:rPr>
        <w:t>, 19.</w:t>
      </w:r>
    </w:p>
  </w:footnote>
  <w:footnote w:id="164">
    <w:p w:rsidR="00421AE8" w:rsidRPr="00ED4C66" w:rsidRDefault="00421AE8" w:rsidP="00B80C41">
      <w:pPr>
        <w:pStyle w:val="Voetnoottekst"/>
        <w:rPr>
          <w:lang w:val="en-GB"/>
        </w:rPr>
      </w:pPr>
      <w:r>
        <w:rPr>
          <w:rStyle w:val="Voetnootmarkering"/>
        </w:rPr>
        <w:footnoteRef/>
      </w:r>
      <w:r w:rsidRPr="00ED4C66">
        <w:rPr>
          <w:lang w:val="en-GB"/>
        </w:rPr>
        <w:t xml:space="preserve"> </w:t>
      </w:r>
      <w:r>
        <w:rPr>
          <w:lang w:val="en-GB"/>
        </w:rPr>
        <w:t xml:space="preserve">NICHOLAS, </w:t>
      </w:r>
      <w:r>
        <w:rPr>
          <w:i/>
          <w:lang w:val="en-GB"/>
        </w:rPr>
        <w:t>The Domestic Life of a Medieval City</w:t>
      </w:r>
      <w:r>
        <w:rPr>
          <w:lang w:val="en-GB"/>
        </w:rPr>
        <w:t>, 83.</w:t>
      </w:r>
    </w:p>
  </w:footnote>
  <w:footnote w:id="165">
    <w:p w:rsidR="00421AE8" w:rsidRPr="0069210F" w:rsidRDefault="00421AE8" w:rsidP="00B80C41">
      <w:pPr>
        <w:pStyle w:val="Voetnoottekst"/>
        <w:rPr>
          <w:lang w:val="en-GB"/>
        </w:rPr>
      </w:pPr>
      <w:r>
        <w:rPr>
          <w:rStyle w:val="Voetnootmarkering"/>
        </w:rPr>
        <w:footnoteRef/>
      </w:r>
      <w:r w:rsidRPr="0069210F">
        <w:rPr>
          <w:lang w:val="en-GB"/>
        </w:rPr>
        <w:t xml:space="preserve"> SAL, 1524, fol. 193r – 193v, december 1436.</w:t>
      </w:r>
    </w:p>
  </w:footnote>
  <w:footnote w:id="166">
    <w:p w:rsidR="00421AE8" w:rsidRDefault="00421AE8" w:rsidP="00B80C41">
      <w:pPr>
        <w:pStyle w:val="Voetnoottekst"/>
        <w:rPr>
          <w:lang w:val="en-GB"/>
        </w:rPr>
      </w:pPr>
      <w:r>
        <w:rPr>
          <w:rStyle w:val="Voetnootmarkering"/>
        </w:rPr>
        <w:footnoteRef/>
      </w:r>
      <w:r w:rsidRPr="006076C7">
        <w:rPr>
          <w:lang w:val="en-GB"/>
        </w:rPr>
        <w:t xml:space="preserve"> </w:t>
      </w:r>
      <w:r>
        <w:rPr>
          <w:lang w:val="en-GB"/>
        </w:rPr>
        <w:t>KOWALESKI, ‘Women’s work in a Market Town’, 155 – 157.</w:t>
      </w:r>
    </w:p>
    <w:p w:rsidR="00421AE8" w:rsidRPr="006076C7" w:rsidRDefault="00421AE8" w:rsidP="00B80C41">
      <w:pPr>
        <w:pStyle w:val="Voetnoottekst"/>
        <w:rPr>
          <w:lang w:val="en-GB"/>
        </w:rPr>
      </w:pPr>
      <w:r>
        <w:rPr>
          <w:lang w:val="en-GB"/>
        </w:rPr>
        <w:t xml:space="preserve">ZEMON DAVIS, </w:t>
      </w:r>
      <w:r w:rsidRPr="009B3C34">
        <w:rPr>
          <w:lang w:val="en-GB"/>
        </w:rPr>
        <w:t>‘Women in the Crafts in Sixteenth-Century Lyon’,</w:t>
      </w:r>
      <w:r>
        <w:rPr>
          <w:lang w:val="en-GB"/>
        </w:rPr>
        <w:t xml:space="preserve"> 174.</w:t>
      </w:r>
    </w:p>
  </w:footnote>
  <w:footnote w:id="167">
    <w:p w:rsidR="00421AE8" w:rsidRPr="00AB7BCA" w:rsidRDefault="00421AE8" w:rsidP="00B80C41">
      <w:pPr>
        <w:pStyle w:val="Voetnoottekst"/>
        <w:rPr>
          <w:lang w:val="en-GB"/>
        </w:rPr>
      </w:pPr>
      <w:r>
        <w:rPr>
          <w:rStyle w:val="Voetnootmarkering"/>
        </w:rPr>
        <w:footnoteRef/>
      </w:r>
      <w:r w:rsidRPr="00AB7BCA">
        <w:rPr>
          <w:lang w:val="en-GB"/>
        </w:rPr>
        <w:t xml:space="preserve"> SAL, </w:t>
      </w:r>
      <w:r w:rsidRPr="005F4F43">
        <w:rPr>
          <w:lang w:val="en-GB"/>
        </w:rPr>
        <w:t>1527, 1593.</w:t>
      </w:r>
    </w:p>
  </w:footnote>
  <w:footnote w:id="168">
    <w:p w:rsidR="00421AE8" w:rsidRPr="00AB7BCA" w:rsidRDefault="00421AE8" w:rsidP="00B80C41">
      <w:pPr>
        <w:pStyle w:val="Voetnoottekst"/>
        <w:rPr>
          <w:lang w:val="en-GB"/>
        </w:rPr>
      </w:pPr>
      <w:r>
        <w:rPr>
          <w:rStyle w:val="Voetnootmarkering"/>
        </w:rPr>
        <w:footnoteRef/>
      </w:r>
      <w:r w:rsidRPr="00AB7BCA">
        <w:rPr>
          <w:lang w:val="en-GB"/>
        </w:rPr>
        <w:t xml:space="preserve"> SAL, </w:t>
      </w:r>
      <w:r w:rsidRPr="005F4F43">
        <w:rPr>
          <w:lang w:val="en-GB"/>
        </w:rPr>
        <w:t>4648, fol.19r – 22r, 23 maart 1479.</w:t>
      </w:r>
    </w:p>
  </w:footnote>
  <w:footnote w:id="169">
    <w:p w:rsidR="00421AE8" w:rsidRPr="00AB7BCA" w:rsidRDefault="00421AE8" w:rsidP="00B80C41">
      <w:pPr>
        <w:pStyle w:val="Voetnoottekst"/>
        <w:rPr>
          <w:lang w:val="en-GB"/>
        </w:rPr>
      </w:pPr>
      <w:r>
        <w:rPr>
          <w:rStyle w:val="Voetnootmarkering"/>
        </w:rPr>
        <w:footnoteRef/>
      </w:r>
      <w:r w:rsidRPr="00AB7BCA">
        <w:rPr>
          <w:lang w:val="en-GB"/>
        </w:rPr>
        <w:t xml:space="preserve"> SAL, </w:t>
      </w:r>
      <w:r w:rsidRPr="005F4F43">
        <w:rPr>
          <w:lang w:val="en-GB"/>
        </w:rPr>
        <w:t>4648, fol. 250r – 259r, 20 juli 1486.</w:t>
      </w:r>
    </w:p>
  </w:footnote>
  <w:footnote w:id="170">
    <w:p w:rsidR="00421AE8" w:rsidRPr="00AB7BCA" w:rsidRDefault="00421AE8" w:rsidP="00B80C41">
      <w:pPr>
        <w:pStyle w:val="Voetnoottekst"/>
        <w:rPr>
          <w:lang w:val="en-GB"/>
        </w:rPr>
      </w:pPr>
      <w:r>
        <w:rPr>
          <w:rStyle w:val="Voetnootmarkering"/>
        </w:rPr>
        <w:footnoteRef/>
      </w:r>
      <w:r w:rsidRPr="00AB7BCA">
        <w:rPr>
          <w:lang w:val="en-GB"/>
        </w:rPr>
        <w:t xml:space="preserve"> SAL, 1523, fol. </w:t>
      </w:r>
      <w:r w:rsidRPr="00F46587">
        <w:rPr>
          <w:lang w:val="en-GB"/>
        </w:rPr>
        <w:t>70v – 71v, 30 augustus 1461</w:t>
      </w:r>
      <w:r w:rsidRPr="00AB7BCA">
        <w:rPr>
          <w:lang w:val="en-GB"/>
        </w:rPr>
        <w:t>.</w:t>
      </w:r>
    </w:p>
  </w:footnote>
  <w:footnote w:id="171">
    <w:p w:rsidR="00421AE8" w:rsidRPr="005F4F43" w:rsidRDefault="00421AE8" w:rsidP="00B80C41">
      <w:pPr>
        <w:pStyle w:val="Voetnoottekst"/>
      </w:pPr>
      <w:r>
        <w:rPr>
          <w:rStyle w:val="Voetnootmarkering"/>
        </w:rPr>
        <w:footnoteRef/>
      </w:r>
      <w:r w:rsidRPr="005F4F43">
        <w:t xml:space="preserve"> SAL, 1524, fol. 277r – 278r, 18 maart 1465.</w:t>
      </w:r>
    </w:p>
  </w:footnote>
  <w:footnote w:id="172">
    <w:p w:rsidR="00421AE8" w:rsidRPr="00226FB6" w:rsidRDefault="00421AE8" w:rsidP="00B80C41">
      <w:pPr>
        <w:pStyle w:val="Voetnoottekst"/>
        <w:rPr>
          <w:lang w:val="en-GB"/>
        </w:rPr>
      </w:pPr>
      <w:r>
        <w:rPr>
          <w:rStyle w:val="Voetnootmarkering"/>
        </w:rPr>
        <w:footnoteRef/>
      </w:r>
      <w:r w:rsidRPr="00226FB6">
        <w:rPr>
          <w:lang w:val="en-GB"/>
        </w:rPr>
        <w:t xml:space="preserve"> </w:t>
      </w:r>
      <w:r>
        <w:rPr>
          <w:lang w:val="en-GB"/>
        </w:rPr>
        <w:t>KITTELL en QUELLER., ‘“Whether man or woman”’, 70.</w:t>
      </w:r>
    </w:p>
  </w:footnote>
  <w:footnote w:id="173">
    <w:p w:rsidR="00421AE8" w:rsidRPr="00257390" w:rsidRDefault="00421AE8" w:rsidP="00B80C41">
      <w:pPr>
        <w:pStyle w:val="Voetnoottekst"/>
        <w:rPr>
          <w:lang w:val="en-GB"/>
        </w:rPr>
      </w:pPr>
      <w:r>
        <w:rPr>
          <w:rStyle w:val="Voetnootmarkering"/>
        </w:rPr>
        <w:footnoteRef/>
      </w:r>
      <w:r w:rsidRPr="00257390">
        <w:rPr>
          <w:lang w:val="en-GB"/>
        </w:rPr>
        <w:t xml:space="preserve"> </w:t>
      </w:r>
      <w:r w:rsidRPr="00084FE5">
        <w:rPr>
          <w:lang w:val="en-GB"/>
        </w:rPr>
        <w:t xml:space="preserve">HOWELL, </w:t>
      </w:r>
      <w:r w:rsidRPr="00084FE5">
        <w:rPr>
          <w:i/>
          <w:lang w:val="en-GB"/>
        </w:rPr>
        <w:t>Wo</w:t>
      </w:r>
      <w:r>
        <w:rPr>
          <w:i/>
          <w:lang w:val="en-GB"/>
        </w:rPr>
        <w:t>men, Production, and Patriarchy</w:t>
      </w:r>
      <w:r>
        <w:rPr>
          <w:lang w:val="en-GB"/>
        </w:rPr>
        <w:t>, 10.</w:t>
      </w:r>
    </w:p>
  </w:footnote>
  <w:footnote w:id="174">
    <w:p w:rsidR="00421AE8" w:rsidRPr="007B2F01" w:rsidRDefault="00421AE8">
      <w:pPr>
        <w:pStyle w:val="Voetnoottekst"/>
        <w:rPr>
          <w:lang w:val="en-GB"/>
        </w:rPr>
      </w:pPr>
      <w:r>
        <w:rPr>
          <w:rStyle w:val="Voetnootmarkering"/>
        </w:rPr>
        <w:footnoteRef/>
      </w:r>
      <w:r w:rsidRPr="007B2F01">
        <w:rPr>
          <w:lang w:val="en-GB"/>
        </w:rPr>
        <w:t xml:space="preserve"> SAL, </w:t>
      </w:r>
      <w:r w:rsidRPr="005F4F43">
        <w:rPr>
          <w:lang w:val="en-GB"/>
        </w:rPr>
        <w:t>1528, fol. 36r, 18 juni 1413.</w:t>
      </w:r>
    </w:p>
  </w:footnote>
  <w:footnote w:id="175">
    <w:p w:rsidR="00421AE8" w:rsidRPr="002564EE" w:rsidRDefault="00421AE8">
      <w:pPr>
        <w:pStyle w:val="Voetnoottekst"/>
        <w:rPr>
          <w:lang w:val="en-GB"/>
        </w:rPr>
      </w:pPr>
      <w:r>
        <w:rPr>
          <w:rStyle w:val="Voetnootmarkering"/>
        </w:rPr>
        <w:footnoteRef/>
      </w:r>
      <w:r w:rsidRPr="002564EE">
        <w:rPr>
          <w:lang w:val="en-GB"/>
        </w:rPr>
        <w:t xml:space="preserve"> </w:t>
      </w:r>
      <w:r>
        <w:rPr>
          <w:lang w:val="en-GB"/>
        </w:rPr>
        <w:t>SAL, 1527, 1593.</w:t>
      </w:r>
    </w:p>
  </w:footnote>
  <w:footnote w:id="176">
    <w:p w:rsidR="00421AE8" w:rsidRPr="00433AB4" w:rsidRDefault="00421AE8" w:rsidP="00B80C41">
      <w:pPr>
        <w:pStyle w:val="Voetnoottekst"/>
        <w:rPr>
          <w:lang w:val="en-GB"/>
        </w:rPr>
      </w:pPr>
      <w:r>
        <w:rPr>
          <w:rStyle w:val="Voetnootmarkering"/>
        </w:rPr>
        <w:footnoteRef/>
      </w:r>
      <w:r w:rsidRPr="00433AB4">
        <w:rPr>
          <w:lang w:val="en-GB"/>
        </w:rPr>
        <w:t xml:space="preserve"> </w:t>
      </w:r>
      <w:r>
        <w:rPr>
          <w:lang w:val="en-GB"/>
        </w:rPr>
        <w:t>HOWELL, ‘The Gender of Europe’s Commercial Economy, 1200 – 1700’, 521 – 522.</w:t>
      </w:r>
    </w:p>
  </w:footnote>
  <w:footnote w:id="177">
    <w:p w:rsidR="00421AE8" w:rsidRPr="008A3863" w:rsidRDefault="00421AE8" w:rsidP="00774828">
      <w:pPr>
        <w:pStyle w:val="Voetnoottekst"/>
        <w:rPr>
          <w:lang w:val="en-GB"/>
        </w:rPr>
      </w:pPr>
      <w:r>
        <w:rPr>
          <w:rStyle w:val="Voetnootmarkering"/>
        </w:rPr>
        <w:footnoteRef/>
      </w:r>
      <w:r w:rsidRPr="008A3863">
        <w:rPr>
          <w:lang w:val="en-GB"/>
        </w:rPr>
        <w:t xml:space="preserve"> </w:t>
      </w:r>
      <w:r w:rsidRPr="006C6324">
        <w:rPr>
          <w:lang w:val="en-GB"/>
        </w:rPr>
        <w:t>STABEL</w:t>
      </w:r>
      <w:r>
        <w:rPr>
          <w:lang w:val="en-GB"/>
        </w:rPr>
        <w:t>,</w:t>
      </w:r>
      <w:r w:rsidRPr="006C6324">
        <w:rPr>
          <w:lang w:val="en-GB"/>
        </w:rPr>
        <w:t xml:space="preserve"> ‘</w:t>
      </w:r>
      <w:r>
        <w:rPr>
          <w:lang w:val="en-GB"/>
        </w:rPr>
        <w:t>Women at the Market’, 267 – 268.</w:t>
      </w:r>
    </w:p>
  </w:footnote>
  <w:footnote w:id="178">
    <w:p w:rsidR="00421AE8" w:rsidRPr="00705971" w:rsidRDefault="00421AE8" w:rsidP="00774828">
      <w:pPr>
        <w:pStyle w:val="Voetnoottekst"/>
        <w:rPr>
          <w:lang w:val="en-GB"/>
        </w:rPr>
      </w:pPr>
      <w:r>
        <w:rPr>
          <w:rStyle w:val="Voetnootmarkering"/>
        </w:rPr>
        <w:footnoteRef/>
      </w:r>
      <w:r w:rsidRPr="00705971">
        <w:rPr>
          <w:lang w:val="en-GB"/>
        </w:rPr>
        <w:t xml:space="preserve"> OGILVIE, </w:t>
      </w:r>
      <w:r>
        <w:rPr>
          <w:lang w:val="en-GB"/>
        </w:rPr>
        <w:t xml:space="preserve">‘How Does Social Capital Affect </w:t>
      </w:r>
      <w:r w:rsidRPr="00800F8C">
        <w:rPr>
          <w:lang w:val="en-GB"/>
        </w:rPr>
        <w:t>Women?’, 342.</w:t>
      </w:r>
    </w:p>
  </w:footnote>
  <w:footnote w:id="179">
    <w:p w:rsidR="00421AE8" w:rsidRPr="007E2CC3" w:rsidRDefault="00421AE8">
      <w:pPr>
        <w:pStyle w:val="Voetnoottekst"/>
        <w:rPr>
          <w:i/>
          <w:lang w:val="en-GB"/>
        </w:rPr>
      </w:pPr>
      <w:r>
        <w:rPr>
          <w:rStyle w:val="Voetnootmarkering"/>
        </w:rPr>
        <w:footnoteRef/>
      </w:r>
      <w:r w:rsidRPr="007E2CC3">
        <w:rPr>
          <w:lang w:val="en-GB"/>
        </w:rPr>
        <w:t xml:space="preserve"> </w:t>
      </w:r>
      <w:r>
        <w:rPr>
          <w:lang w:val="en-GB"/>
        </w:rPr>
        <w:t xml:space="preserve">STABEL, P., ‘From the market to the shop. Retail and urban space in late medieval Bruges’, B. BLONDÉ, P. STABEL </w:t>
      </w:r>
      <w:r w:rsidRPr="007E2CC3">
        <w:rPr>
          <w:lang w:val="en-GB"/>
        </w:rPr>
        <w:t xml:space="preserve">e.a. red., </w:t>
      </w:r>
      <w:r w:rsidRPr="007E2CC3">
        <w:rPr>
          <w:i/>
          <w:lang w:val="en-GB"/>
        </w:rPr>
        <w:t>Buyers &amp; Sellers, Retail circuits and practices in medieval and early modern Europe</w:t>
      </w:r>
      <w:r w:rsidRPr="007E2CC3">
        <w:rPr>
          <w:lang w:val="en-GB"/>
        </w:rPr>
        <w:t xml:space="preserve"> (Studies in European Urban History (1100 – 1800), 9), Turnhout, 2006</w:t>
      </w:r>
      <w:r>
        <w:rPr>
          <w:lang w:val="en-GB"/>
        </w:rPr>
        <w:t>, 79 – 108.</w:t>
      </w:r>
    </w:p>
  </w:footnote>
  <w:footnote w:id="180">
    <w:p w:rsidR="00421AE8" w:rsidRPr="00955515" w:rsidRDefault="00421AE8" w:rsidP="00774828">
      <w:pPr>
        <w:pStyle w:val="Voetnoottekst"/>
        <w:rPr>
          <w:lang w:val="en-GB"/>
        </w:rPr>
      </w:pPr>
      <w:r>
        <w:rPr>
          <w:rStyle w:val="Voetnootmarkering"/>
        </w:rPr>
        <w:footnoteRef/>
      </w:r>
      <w:r w:rsidRPr="00955515">
        <w:rPr>
          <w:lang w:val="en-GB"/>
        </w:rPr>
        <w:t xml:space="preserve"> </w:t>
      </w:r>
      <w:r w:rsidRPr="00B603B0">
        <w:rPr>
          <w:lang w:val="en-GB"/>
        </w:rPr>
        <w:t>KITTELL</w:t>
      </w:r>
      <w:r>
        <w:rPr>
          <w:lang w:val="en-GB"/>
        </w:rPr>
        <w:t xml:space="preserve"> en QUELLER</w:t>
      </w:r>
      <w:r w:rsidRPr="00B603B0">
        <w:rPr>
          <w:lang w:val="en-GB"/>
        </w:rPr>
        <w:t>, ‘</w:t>
      </w:r>
      <w:r>
        <w:rPr>
          <w:lang w:val="en-GB"/>
        </w:rPr>
        <w:t>”</w:t>
      </w:r>
      <w:r w:rsidRPr="00B603B0">
        <w:rPr>
          <w:lang w:val="en-GB"/>
        </w:rPr>
        <w:t>Whether man or woman</w:t>
      </w:r>
      <w:r>
        <w:rPr>
          <w:lang w:val="en-GB"/>
        </w:rPr>
        <w:t>”</w:t>
      </w:r>
      <w:r w:rsidRPr="00B603B0">
        <w:rPr>
          <w:lang w:val="en-GB"/>
        </w:rPr>
        <w:t>’</w:t>
      </w:r>
      <w:r>
        <w:rPr>
          <w:lang w:val="en-GB"/>
        </w:rPr>
        <w:t xml:space="preserve">, 68.; </w:t>
      </w:r>
      <w:r w:rsidRPr="00E82A5D">
        <w:rPr>
          <w:lang w:val="en-GB"/>
        </w:rPr>
        <w:t xml:space="preserve">SAL, </w:t>
      </w:r>
      <w:r w:rsidRPr="005F4F43">
        <w:rPr>
          <w:lang w:val="en-GB"/>
        </w:rPr>
        <w:t>4648, fol.</w:t>
      </w:r>
      <w:r>
        <w:rPr>
          <w:lang w:val="en-GB"/>
        </w:rPr>
        <w:t xml:space="preserve"> </w:t>
      </w:r>
      <w:r w:rsidRPr="005F4F43">
        <w:rPr>
          <w:lang w:val="en-GB"/>
        </w:rPr>
        <w:t>390v – 392r, 7 december 1439</w:t>
      </w:r>
      <w:r>
        <w:rPr>
          <w:lang w:val="en-GB"/>
        </w:rPr>
        <w:t>.</w:t>
      </w:r>
    </w:p>
  </w:footnote>
  <w:footnote w:id="181">
    <w:p w:rsidR="00421AE8" w:rsidRPr="00AB7BCA" w:rsidRDefault="00421AE8" w:rsidP="00774828">
      <w:pPr>
        <w:pStyle w:val="Voetnoottekst"/>
        <w:rPr>
          <w:lang w:val="en-GB"/>
        </w:rPr>
      </w:pPr>
      <w:r>
        <w:rPr>
          <w:rStyle w:val="Voetnootmarkering"/>
        </w:rPr>
        <w:footnoteRef/>
      </w:r>
      <w:r w:rsidRPr="00AB7BCA">
        <w:rPr>
          <w:lang w:val="en-GB"/>
        </w:rPr>
        <w:t xml:space="preserve"> SAL, 1523, fol. </w:t>
      </w:r>
      <w:r w:rsidRPr="00F46587">
        <w:rPr>
          <w:lang w:val="en-GB"/>
        </w:rPr>
        <w:t>207r – 210v, 22 augustus 1403</w:t>
      </w:r>
      <w:r w:rsidRPr="00AB7BCA">
        <w:rPr>
          <w:lang w:val="en-GB"/>
        </w:rPr>
        <w:t>.</w:t>
      </w:r>
    </w:p>
  </w:footnote>
  <w:footnote w:id="182">
    <w:p w:rsidR="00421AE8" w:rsidRDefault="00421AE8">
      <w:pPr>
        <w:pStyle w:val="Voetnoottekst"/>
      </w:pPr>
      <w:r>
        <w:rPr>
          <w:rStyle w:val="Voetnootmarkering"/>
        </w:rPr>
        <w:footnoteRef/>
      </w:r>
      <w:r>
        <w:t xml:space="preserve"> VAN UYTVEN, </w:t>
      </w:r>
      <w:r>
        <w:rPr>
          <w:i/>
        </w:rPr>
        <w:t>Leuven anno 1448</w:t>
      </w:r>
      <w:r>
        <w:t>, 32.</w:t>
      </w:r>
    </w:p>
  </w:footnote>
  <w:footnote w:id="183">
    <w:p w:rsidR="00421AE8" w:rsidRDefault="00421AE8" w:rsidP="00774828">
      <w:pPr>
        <w:pStyle w:val="Voetnoottekst"/>
      </w:pPr>
      <w:r>
        <w:rPr>
          <w:rStyle w:val="Voetnootmarkering"/>
        </w:rPr>
        <w:footnoteRef/>
      </w:r>
      <w:r>
        <w:t xml:space="preserve"> </w:t>
      </w:r>
      <w:r w:rsidRPr="0069210F">
        <w:t xml:space="preserve">VAN UYTVEN, </w:t>
      </w:r>
      <w:r w:rsidRPr="0069210F">
        <w:rPr>
          <w:i/>
        </w:rPr>
        <w:t>Leuven, “de beste stad van Brabant”</w:t>
      </w:r>
      <w:r w:rsidRPr="0069210F">
        <w:t>, 137 – 138</w:t>
      </w:r>
    </w:p>
  </w:footnote>
  <w:footnote w:id="184">
    <w:p w:rsidR="00421AE8" w:rsidRPr="004E4123" w:rsidRDefault="00421AE8">
      <w:pPr>
        <w:pStyle w:val="Voetnoottekst"/>
      </w:pPr>
      <w:r>
        <w:rPr>
          <w:rStyle w:val="Voetnootmarkering"/>
        </w:rPr>
        <w:footnoteRef/>
      </w:r>
      <w:r w:rsidRPr="004E4123">
        <w:t xml:space="preserve"> Zie bijlage 1 en bijlage 2 voor de preci</w:t>
      </w:r>
      <w:r>
        <w:t>eze volgorde.</w:t>
      </w:r>
    </w:p>
  </w:footnote>
  <w:footnote w:id="185">
    <w:p w:rsidR="00421AE8" w:rsidRPr="00AA7332" w:rsidRDefault="00421AE8" w:rsidP="00774828">
      <w:pPr>
        <w:pStyle w:val="Voetnoottekst"/>
        <w:rPr>
          <w:lang w:val="en-GB"/>
        </w:rPr>
      </w:pPr>
      <w:r>
        <w:rPr>
          <w:rStyle w:val="Voetnootmarkering"/>
        </w:rPr>
        <w:footnoteRef/>
      </w:r>
      <w:r w:rsidRPr="00AA7332">
        <w:rPr>
          <w:lang w:val="en-GB"/>
        </w:rPr>
        <w:t xml:space="preserve"> </w:t>
      </w:r>
      <w:r>
        <w:rPr>
          <w:lang w:val="en-GB"/>
        </w:rPr>
        <w:t xml:space="preserve">NICHOLAS, </w:t>
      </w:r>
      <w:r>
        <w:rPr>
          <w:i/>
          <w:lang w:val="en-GB"/>
        </w:rPr>
        <w:t>The Domestic Life of a Medieval City</w:t>
      </w:r>
      <w:r>
        <w:rPr>
          <w:lang w:val="en-GB"/>
        </w:rPr>
        <w:t>, 84.</w:t>
      </w:r>
    </w:p>
  </w:footnote>
  <w:footnote w:id="186">
    <w:p w:rsidR="00421AE8" w:rsidRPr="00FD4301" w:rsidRDefault="00421AE8">
      <w:pPr>
        <w:pStyle w:val="Voetnoottekst"/>
        <w:rPr>
          <w:lang w:val="en-GB"/>
        </w:rPr>
      </w:pPr>
      <w:r>
        <w:rPr>
          <w:rStyle w:val="Voetnootmarkering"/>
        </w:rPr>
        <w:footnoteRef/>
      </w:r>
      <w:r w:rsidRPr="00FD4301">
        <w:rPr>
          <w:lang w:val="en-GB"/>
        </w:rPr>
        <w:t xml:space="preserve"> Zie pagina 25 – 26.</w:t>
      </w:r>
    </w:p>
  </w:footnote>
  <w:footnote w:id="187">
    <w:p w:rsidR="00421AE8" w:rsidRPr="00AB7BCA" w:rsidRDefault="00421AE8" w:rsidP="00774828">
      <w:pPr>
        <w:pStyle w:val="Voetnoottekst"/>
        <w:rPr>
          <w:lang w:val="en-GB"/>
        </w:rPr>
      </w:pPr>
      <w:r>
        <w:rPr>
          <w:rStyle w:val="Voetnootmarkering"/>
        </w:rPr>
        <w:footnoteRef/>
      </w:r>
      <w:r w:rsidRPr="00AB7BCA">
        <w:rPr>
          <w:lang w:val="en-GB"/>
        </w:rPr>
        <w:t xml:space="preserve"> SAL, 1523, fol. 145r, 28 mei 1451.</w:t>
      </w:r>
    </w:p>
  </w:footnote>
  <w:footnote w:id="188">
    <w:p w:rsidR="00421AE8" w:rsidRPr="002C3F28" w:rsidRDefault="00421AE8" w:rsidP="00774828">
      <w:pPr>
        <w:pStyle w:val="Voetnoottekst"/>
        <w:rPr>
          <w:lang w:val="en-GB"/>
        </w:rPr>
      </w:pPr>
      <w:r>
        <w:rPr>
          <w:rStyle w:val="Voetnootmarkering"/>
        </w:rPr>
        <w:footnoteRef/>
      </w:r>
      <w:r w:rsidRPr="002C3F28">
        <w:rPr>
          <w:lang w:val="en-GB"/>
        </w:rPr>
        <w:t xml:space="preserve"> </w:t>
      </w:r>
      <w:r w:rsidRPr="00774828">
        <w:rPr>
          <w:lang w:val="en-GB"/>
        </w:rPr>
        <w:t xml:space="preserve">SAL, 1523, fol. </w:t>
      </w:r>
      <w:r w:rsidRPr="00F46587">
        <w:rPr>
          <w:lang w:val="en-GB"/>
        </w:rPr>
        <w:t>207r – 210v, 22 augustus 1403</w:t>
      </w:r>
      <w:r w:rsidRPr="00774828">
        <w:rPr>
          <w:lang w:val="en-GB"/>
        </w:rPr>
        <w:t>.</w:t>
      </w:r>
    </w:p>
  </w:footnote>
  <w:footnote w:id="189">
    <w:p w:rsidR="00421AE8" w:rsidRPr="006219D3" w:rsidRDefault="00421AE8" w:rsidP="00774828">
      <w:pPr>
        <w:pStyle w:val="Voetnoottekst"/>
        <w:rPr>
          <w:lang w:val="en-GB"/>
        </w:rPr>
      </w:pPr>
      <w:r>
        <w:rPr>
          <w:rStyle w:val="Voetnootmarkering"/>
        </w:rPr>
        <w:footnoteRef/>
      </w:r>
      <w:r w:rsidRPr="006219D3">
        <w:rPr>
          <w:lang w:val="en-GB"/>
        </w:rPr>
        <w:t xml:space="preserve"> </w:t>
      </w:r>
      <w:r>
        <w:rPr>
          <w:lang w:val="en-GB"/>
        </w:rPr>
        <w:t>HILTON, ‘Medieval Market Towns and Simple Commodity Production’, 21.</w:t>
      </w:r>
    </w:p>
  </w:footnote>
  <w:footnote w:id="190">
    <w:p w:rsidR="00421AE8" w:rsidRPr="005F4F43" w:rsidRDefault="00421AE8" w:rsidP="00774828">
      <w:pPr>
        <w:pStyle w:val="Voetnoottekst"/>
        <w:rPr>
          <w:highlight w:val="yellow"/>
        </w:rPr>
      </w:pPr>
      <w:r>
        <w:rPr>
          <w:rStyle w:val="Voetnootmarkering"/>
        </w:rPr>
        <w:footnoteRef/>
      </w:r>
      <w:r w:rsidRPr="00285C61">
        <w:t xml:space="preserve"> SAL, </w:t>
      </w:r>
      <w:r w:rsidRPr="005F4F43">
        <w:t>4648, fol. 453r – 454r, 4 maart 1484.</w:t>
      </w:r>
    </w:p>
    <w:p w:rsidR="00421AE8" w:rsidRPr="005F4F43" w:rsidRDefault="00421AE8" w:rsidP="00774828">
      <w:pPr>
        <w:pStyle w:val="Voetnoottekst"/>
        <w:rPr>
          <w:i/>
          <w:highlight w:val="yellow"/>
        </w:rPr>
      </w:pPr>
      <w:r w:rsidRPr="00964CFC">
        <w:rPr>
          <w:i/>
        </w:rPr>
        <w:t>Item soe wat vrouwen hen willen behelpen metten selven amb</w:t>
      </w:r>
      <w:r>
        <w:rPr>
          <w:i/>
        </w:rPr>
        <w:t>achte ende daerinne nyet en zi</w:t>
      </w:r>
      <w:r w:rsidRPr="00964CFC">
        <w:rPr>
          <w:i/>
        </w:rPr>
        <w:t>jn, dat elck</w:t>
      </w:r>
      <w:r>
        <w:rPr>
          <w:i/>
        </w:rPr>
        <w:t>e</w:t>
      </w:r>
      <w:r w:rsidRPr="00964CFC">
        <w:rPr>
          <w:i/>
        </w:rPr>
        <w:t xml:space="preserve"> van</w:t>
      </w:r>
      <w:r>
        <w:rPr>
          <w:i/>
        </w:rPr>
        <w:t xml:space="preserve"> dien deraen sal de weke tweelff myten payments den</w:t>
      </w:r>
      <w:r w:rsidRPr="00964CFC">
        <w:rPr>
          <w:i/>
        </w:rPr>
        <w:t xml:space="preserve">selven ambachte te huligen van </w:t>
      </w:r>
      <w:r w:rsidRPr="00780234">
        <w:rPr>
          <w:i/>
        </w:rPr>
        <w:t>sijnen laste</w:t>
      </w:r>
    </w:p>
  </w:footnote>
  <w:footnote w:id="191">
    <w:p w:rsidR="00421AE8" w:rsidRPr="005F4F43" w:rsidRDefault="00421AE8" w:rsidP="00774828">
      <w:pPr>
        <w:pStyle w:val="Voetnoottekst"/>
        <w:rPr>
          <w:lang w:val="en-GB"/>
        </w:rPr>
      </w:pPr>
      <w:r w:rsidRPr="00F46587">
        <w:rPr>
          <w:rStyle w:val="Voetnootmarkering"/>
        </w:rPr>
        <w:footnoteRef/>
      </w:r>
      <w:r w:rsidRPr="005F4F43">
        <w:rPr>
          <w:lang w:val="en-GB"/>
        </w:rPr>
        <w:t xml:space="preserve"> SAL, 4648, fol. 470r – 472r, december 1426.</w:t>
      </w:r>
    </w:p>
  </w:footnote>
  <w:footnote w:id="192">
    <w:p w:rsidR="00421AE8" w:rsidRPr="005F4F43" w:rsidRDefault="00421AE8" w:rsidP="00774828">
      <w:pPr>
        <w:pStyle w:val="Voetnoottekst"/>
        <w:rPr>
          <w:lang w:val="en-GB"/>
        </w:rPr>
      </w:pPr>
      <w:r>
        <w:rPr>
          <w:rStyle w:val="Voetnootmarkering"/>
        </w:rPr>
        <w:footnoteRef/>
      </w:r>
      <w:r w:rsidRPr="005F4F43">
        <w:rPr>
          <w:lang w:val="en-GB"/>
        </w:rPr>
        <w:t xml:space="preserve"> SAL, 1528, fol. 37v, 13 augustus 1424.</w:t>
      </w:r>
    </w:p>
  </w:footnote>
  <w:footnote w:id="193">
    <w:p w:rsidR="00421AE8" w:rsidRPr="005F4F43" w:rsidRDefault="00421AE8">
      <w:pPr>
        <w:pStyle w:val="Voetnoottekst"/>
        <w:rPr>
          <w:lang w:val="en-GB"/>
        </w:rPr>
      </w:pPr>
      <w:r>
        <w:rPr>
          <w:rStyle w:val="Voetnootmarkering"/>
        </w:rPr>
        <w:footnoteRef/>
      </w:r>
      <w:r w:rsidRPr="005F4F43">
        <w:rPr>
          <w:lang w:val="en-GB"/>
        </w:rPr>
        <w:t xml:space="preserve"> SAL, 4648, fol. 197r, 31 juli 1407.</w:t>
      </w:r>
    </w:p>
  </w:footnote>
  <w:footnote w:id="194">
    <w:p w:rsidR="00421AE8" w:rsidRPr="005F4F43" w:rsidRDefault="00421AE8" w:rsidP="00F52014">
      <w:pPr>
        <w:pStyle w:val="Voetnoottekst"/>
        <w:rPr>
          <w:lang w:val="en-GB"/>
        </w:rPr>
      </w:pPr>
      <w:r>
        <w:rPr>
          <w:rStyle w:val="Voetnootmarkering"/>
        </w:rPr>
        <w:footnoteRef/>
      </w:r>
      <w:r w:rsidRPr="005F4F43">
        <w:rPr>
          <w:lang w:val="en-GB"/>
        </w:rPr>
        <w:t xml:space="preserve"> SAL, 4648, fol. 390v – 392r, 7 december 1439.</w:t>
      </w:r>
    </w:p>
  </w:footnote>
  <w:footnote w:id="195">
    <w:p w:rsidR="00421AE8" w:rsidRPr="005F4F43" w:rsidRDefault="00421AE8" w:rsidP="00774828">
      <w:pPr>
        <w:pStyle w:val="Voetnoottekst"/>
      </w:pPr>
      <w:r>
        <w:rPr>
          <w:rStyle w:val="Voetnootmarkering"/>
        </w:rPr>
        <w:footnoteRef/>
      </w:r>
      <w:r w:rsidRPr="005F4F43">
        <w:t xml:space="preserve"> SAL, 4650, fol. 93v – 99r, 16 maart 1416.</w:t>
      </w:r>
    </w:p>
  </w:footnote>
  <w:footnote w:id="196">
    <w:p w:rsidR="00421AE8" w:rsidRPr="00151695" w:rsidRDefault="00421AE8" w:rsidP="00774828">
      <w:pPr>
        <w:pStyle w:val="Voetnoottekst"/>
      </w:pPr>
      <w:r>
        <w:rPr>
          <w:rStyle w:val="Voetnootmarkering"/>
        </w:rPr>
        <w:footnoteRef/>
      </w:r>
      <w:r w:rsidRPr="00151695">
        <w:t xml:space="preserve"> </w:t>
      </w:r>
      <w:r w:rsidRPr="005F4F43">
        <w:t>SAL, 4650, fol. 93v – 99r, 16 maart 1416.</w:t>
      </w:r>
    </w:p>
  </w:footnote>
  <w:footnote w:id="197">
    <w:p w:rsidR="00421AE8" w:rsidRPr="002659F1" w:rsidRDefault="00421AE8" w:rsidP="00774828">
      <w:pPr>
        <w:pStyle w:val="Voetnoottekst"/>
      </w:pPr>
      <w:r>
        <w:rPr>
          <w:rStyle w:val="Voetnootmarkering"/>
        </w:rPr>
        <w:footnoteRef/>
      </w:r>
      <w:r w:rsidRPr="009019FF">
        <w:t xml:space="preserve"> VAN UYTVEN, </w:t>
      </w:r>
      <w:r w:rsidRPr="009019FF">
        <w:rPr>
          <w:i/>
          <w:lang w:eastAsia="nl-BE"/>
        </w:rPr>
        <w:t>Stadsfi</w:t>
      </w:r>
      <w:r w:rsidRPr="00BB66C6">
        <w:rPr>
          <w:i/>
          <w:lang w:eastAsia="nl-BE"/>
        </w:rPr>
        <w:t>nanciën en stadsekonomie</w:t>
      </w:r>
      <w:r>
        <w:rPr>
          <w:lang w:eastAsia="nl-BE"/>
        </w:rPr>
        <w:t>, 231.</w:t>
      </w:r>
    </w:p>
  </w:footnote>
  <w:footnote w:id="198">
    <w:p w:rsidR="00421AE8" w:rsidRPr="005F4F43" w:rsidRDefault="00421AE8" w:rsidP="00774828">
      <w:pPr>
        <w:pStyle w:val="Voetnoottekst"/>
      </w:pPr>
      <w:r w:rsidRPr="00061793">
        <w:rPr>
          <w:rStyle w:val="Voetnootmarkering"/>
        </w:rPr>
        <w:footnoteRef/>
      </w:r>
      <w:r w:rsidRPr="00061793">
        <w:t xml:space="preserve"> </w:t>
      </w:r>
      <w:r w:rsidRPr="005F4F43">
        <w:t>SAL, 4650, fol. 93v – 99r, 16 maart 1416.</w:t>
      </w:r>
    </w:p>
    <w:p w:rsidR="00421AE8" w:rsidRPr="000B352E" w:rsidRDefault="00421AE8" w:rsidP="00774828">
      <w:pPr>
        <w:pStyle w:val="Voetnoottekst"/>
        <w:rPr>
          <w:i/>
        </w:rPr>
      </w:pPr>
      <w:r w:rsidRPr="00061793">
        <w:rPr>
          <w:i/>
          <w:lang w:val="nl-BE"/>
        </w:rPr>
        <w:t xml:space="preserve">[…] </w:t>
      </w:r>
      <w:r w:rsidRPr="00061793">
        <w:rPr>
          <w:i/>
        </w:rPr>
        <w:t>behalven dye ghene dye ter allen tijden met hueren wijen hueren wills doen moghen voirts meer soe wije eenich goet denselven ambachte aengaende te coope bringht dat hij dairmede staen sal aenden kerckhoff.</w:t>
      </w:r>
    </w:p>
  </w:footnote>
  <w:footnote w:id="199">
    <w:p w:rsidR="00421AE8" w:rsidRPr="00774828" w:rsidRDefault="00421AE8" w:rsidP="00774828">
      <w:pPr>
        <w:pStyle w:val="Voetnoottekst"/>
        <w:rPr>
          <w:lang w:val="en-GB"/>
        </w:rPr>
      </w:pPr>
      <w:r>
        <w:rPr>
          <w:rStyle w:val="Voetnootmarkering"/>
        </w:rPr>
        <w:footnoteRef/>
      </w:r>
      <w:r w:rsidRPr="00774828">
        <w:rPr>
          <w:lang w:val="en-GB"/>
        </w:rPr>
        <w:t xml:space="preserve"> SAL, </w:t>
      </w:r>
      <w:r w:rsidRPr="005F4F43">
        <w:rPr>
          <w:lang w:val="en-GB"/>
        </w:rPr>
        <w:t>4648, fol. 470r – 472r, december 1426.</w:t>
      </w:r>
    </w:p>
  </w:footnote>
  <w:footnote w:id="200">
    <w:p w:rsidR="00421AE8" w:rsidRPr="00195C4A" w:rsidRDefault="00421AE8" w:rsidP="00774828">
      <w:pPr>
        <w:pStyle w:val="Voetnoottekst"/>
        <w:rPr>
          <w:lang w:val="en-GB"/>
        </w:rPr>
      </w:pPr>
      <w:r>
        <w:rPr>
          <w:rStyle w:val="Voetnootmarkering"/>
        </w:rPr>
        <w:footnoteRef/>
      </w:r>
      <w:r w:rsidRPr="00195C4A">
        <w:rPr>
          <w:lang w:val="en-GB"/>
        </w:rPr>
        <w:t xml:space="preserve"> </w:t>
      </w:r>
      <w:r>
        <w:rPr>
          <w:lang w:val="en-GB"/>
        </w:rPr>
        <w:t>GOLDBERG,</w:t>
      </w:r>
      <w:r w:rsidRPr="00B815A1">
        <w:rPr>
          <w:lang w:val="en-GB"/>
        </w:rPr>
        <w:t xml:space="preserve"> </w:t>
      </w:r>
      <w:r w:rsidRPr="00B815A1">
        <w:rPr>
          <w:i/>
          <w:lang w:val="en-GB"/>
        </w:rPr>
        <w:t>Women, Work, and Life Cycle in a Medieval Economy</w:t>
      </w:r>
      <w:r>
        <w:rPr>
          <w:i/>
          <w:lang w:val="en-GB"/>
        </w:rPr>
        <w:t>: Women in York and Yorkshire c. 1300 – 1520</w:t>
      </w:r>
      <w:r>
        <w:rPr>
          <w:lang w:val="en-GB"/>
        </w:rPr>
        <w:t>, 107.</w:t>
      </w:r>
    </w:p>
  </w:footnote>
  <w:footnote w:id="201">
    <w:p w:rsidR="00421AE8" w:rsidRPr="00420033" w:rsidRDefault="00421AE8" w:rsidP="00774828">
      <w:pPr>
        <w:pStyle w:val="Voetnoottekst"/>
        <w:rPr>
          <w:lang w:val="en-GB"/>
        </w:rPr>
      </w:pPr>
      <w:r>
        <w:rPr>
          <w:rStyle w:val="Voetnootmarkering"/>
        </w:rPr>
        <w:footnoteRef/>
      </w:r>
      <w:r w:rsidRPr="00420033">
        <w:rPr>
          <w:lang w:val="en-GB"/>
        </w:rPr>
        <w:t xml:space="preserve"> </w:t>
      </w:r>
      <w:r w:rsidRPr="0069210F">
        <w:rPr>
          <w:lang w:val="en-GB"/>
        </w:rPr>
        <w:t xml:space="preserve">SAL, </w:t>
      </w:r>
      <w:r w:rsidRPr="005F4F43">
        <w:rPr>
          <w:lang w:val="en-GB"/>
        </w:rPr>
        <w:t>4659, fol. fol. 1r – 9r, 17 juli 1453.</w:t>
      </w:r>
    </w:p>
  </w:footnote>
  <w:footnote w:id="202">
    <w:p w:rsidR="00421AE8" w:rsidRPr="00420033" w:rsidRDefault="00421AE8" w:rsidP="00774828">
      <w:pPr>
        <w:pStyle w:val="Voetnoottekst"/>
        <w:rPr>
          <w:lang w:val="en-GB"/>
        </w:rPr>
      </w:pPr>
      <w:r>
        <w:rPr>
          <w:rStyle w:val="Voetnootmarkering"/>
        </w:rPr>
        <w:footnoteRef/>
      </w:r>
      <w:r w:rsidRPr="00420033">
        <w:rPr>
          <w:lang w:val="en-GB"/>
        </w:rPr>
        <w:t xml:space="preserve"> </w:t>
      </w:r>
      <w:r>
        <w:rPr>
          <w:lang w:val="en-GB"/>
        </w:rPr>
        <w:t>GOLDBERG,</w:t>
      </w:r>
      <w:r w:rsidRPr="00B815A1">
        <w:rPr>
          <w:lang w:val="en-GB"/>
        </w:rPr>
        <w:t xml:space="preserve"> </w:t>
      </w:r>
      <w:r w:rsidRPr="00B815A1">
        <w:rPr>
          <w:i/>
          <w:lang w:val="en-GB"/>
        </w:rPr>
        <w:t>Women, Work, and Life Cycle</w:t>
      </w:r>
      <w:r>
        <w:rPr>
          <w:lang w:val="en-GB"/>
        </w:rPr>
        <w:t>, 108.</w:t>
      </w:r>
    </w:p>
  </w:footnote>
  <w:footnote w:id="203">
    <w:p w:rsidR="00421AE8" w:rsidRPr="00151695" w:rsidRDefault="00421AE8" w:rsidP="00774828">
      <w:pPr>
        <w:pStyle w:val="Voetnoottekst"/>
      </w:pPr>
      <w:r>
        <w:rPr>
          <w:rStyle w:val="Voetnootmarkering"/>
        </w:rPr>
        <w:footnoteRef/>
      </w:r>
      <w:r w:rsidRPr="00151695">
        <w:t xml:space="preserve"> SAL, </w:t>
      </w:r>
      <w:r w:rsidRPr="005F4F43">
        <w:t>4659, fol. 9r – 9v, 20 maart 1460.</w:t>
      </w:r>
    </w:p>
  </w:footnote>
  <w:footnote w:id="204">
    <w:p w:rsidR="00421AE8" w:rsidRPr="006D1278" w:rsidRDefault="00421AE8" w:rsidP="00774828">
      <w:pPr>
        <w:pStyle w:val="Voetnoottekst"/>
        <w:rPr>
          <w:lang w:val="en-GB"/>
        </w:rPr>
      </w:pPr>
      <w:r>
        <w:rPr>
          <w:rStyle w:val="Voetnootmarkering"/>
        </w:rPr>
        <w:footnoteRef/>
      </w:r>
      <w:r w:rsidRPr="006D1278">
        <w:rPr>
          <w:lang w:val="en-GB"/>
        </w:rPr>
        <w:t xml:space="preserve"> </w:t>
      </w:r>
      <w:r w:rsidRPr="00D75624">
        <w:rPr>
          <w:lang w:val="en-GB"/>
        </w:rPr>
        <w:t xml:space="preserve">EPSTEIN, </w:t>
      </w:r>
      <w:r w:rsidRPr="00D75624">
        <w:rPr>
          <w:i/>
          <w:lang w:val="en-GB"/>
        </w:rPr>
        <w:t>An Economic and Social Hi</w:t>
      </w:r>
      <w:r>
        <w:rPr>
          <w:i/>
          <w:lang w:val="en-GB"/>
        </w:rPr>
        <w:t>story</w:t>
      </w:r>
      <w:r>
        <w:rPr>
          <w:lang w:val="en-GB"/>
        </w:rPr>
        <w:t>, 115.</w:t>
      </w:r>
    </w:p>
  </w:footnote>
  <w:footnote w:id="205">
    <w:p w:rsidR="00421AE8" w:rsidRPr="00333851" w:rsidRDefault="00421AE8" w:rsidP="00774828">
      <w:pPr>
        <w:pStyle w:val="Voetnoottekst"/>
        <w:rPr>
          <w:lang w:val="en-GB"/>
        </w:rPr>
      </w:pPr>
      <w:r>
        <w:rPr>
          <w:rStyle w:val="Voetnootmarkering"/>
        </w:rPr>
        <w:footnoteRef/>
      </w:r>
      <w:r w:rsidRPr="00333851">
        <w:rPr>
          <w:lang w:val="en-GB"/>
        </w:rPr>
        <w:t xml:space="preserve"> </w:t>
      </w:r>
      <w:r w:rsidRPr="0069210F">
        <w:rPr>
          <w:lang w:val="en-GB"/>
        </w:rPr>
        <w:t xml:space="preserve">SAL, </w:t>
      </w:r>
      <w:r w:rsidRPr="005F4F43">
        <w:rPr>
          <w:lang w:val="en-GB"/>
        </w:rPr>
        <w:t>4659, fol. 1r – 9r, 17 juli 1453.</w:t>
      </w:r>
    </w:p>
  </w:footnote>
  <w:footnote w:id="206">
    <w:p w:rsidR="00421AE8" w:rsidRPr="004E5E08" w:rsidRDefault="00421AE8">
      <w:pPr>
        <w:pStyle w:val="Voetnoottekst"/>
        <w:rPr>
          <w:lang w:val="en-GB"/>
        </w:rPr>
      </w:pPr>
      <w:r>
        <w:rPr>
          <w:rStyle w:val="Voetnootmarkering"/>
        </w:rPr>
        <w:footnoteRef/>
      </w:r>
      <w:r w:rsidRPr="004E5E08">
        <w:rPr>
          <w:lang w:val="en-GB"/>
        </w:rPr>
        <w:t xml:space="preserve"> </w:t>
      </w:r>
      <w:r w:rsidRPr="0069210F">
        <w:rPr>
          <w:lang w:val="en-GB"/>
        </w:rPr>
        <w:t xml:space="preserve">SAL, </w:t>
      </w:r>
      <w:r w:rsidRPr="005F4F43">
        <w:rPr>
          <w:lang w:val="en-GB"/>
        </w:rPr>
        <w:t>4659, fol. 1r – 9r, 17 juli 1453.</w:t>
      </w:r>
    </w:p>
  </w:footnote>
  <w:footnote w:id="207">
    <w:p w:rsidR="00421AE8" w:rsidRPr="0069484A" w:rsidRDefault="00421AE8" w:rsidP="00774828">
      <w:pPr>
        <w:pStyle w:val="Voetnoottekst"/>
        <w:rPr>
          <w:lang w:val="en-GB"/>
        </w:rPr>
      </w:pPr>
      <w:r>
        <w:rPr>
          <w:rStyle w:val="Voetnootmarkering"/>
        </w:rPr>
        <w:footnoteRef/>
      </w:r>
      <w:r w:rsidRPr="0069484A">
        <w:rPr>
          <w:lang w:val="en-GB"/>
        </w:rPr>
        <w:t xml:space="preserve"> </w:t>
      </w:r>
      <w:r w:rsidRPr="0069210F">
        <w:rPr>
          <w:lang w:val="en-GB"/>
        </w:rPr>
        <w:t xml:space="preserve">SAL, </w:t>
      </w:r>
      <w:r w:rsidRPr="005F4F43">
        <w:rPr>
          <w:lang w:val="en-GB"/>
        </w:rPr>
        <w:t>4659, fol. 10v – 11v, 18 december 1504.</w:t>
      </w:r>
    </w:p>
  </w:footnote>
  <w:footnote w:id="208">
    <w:p w:rsidR="00421AE8" w:rsidRPr="00FE65EF" w:rsidRDefault="00421AE8" w:rsidP="00774828">
      <w:pPr>
        <w:pStyle w:val="Voetnoottekst"/>
        <w:rPr>
          <w:lang w:val="en-GB"/>
        </w:rPr>
      </w:pPr>
      <w:r>
        <w:rPr>
          <w:rStyle w:val="Voetnootmarkering"/>
        </w:rPr>
        <w:footnoteRef/>
      </w:r>
      <w:r w:rsidRPr="00FE65EF">
        <w:rPr>
          <w:lang w:val="en-GB"/>
        </w:rPr>
        <w:t xml:space="preserve"> </w:t>
      </w:r>
      <w:r w:rsidRPr="0069210F">
        <w:rPr>
          <w:lang w:val="en-GB"/>
        </w:rPr>
        <w:t xml:space="preserve">SAL, </w:t>
      </w:r>
      <w:r w:rsidRPr="005F4F43">
        <w:rPr>
          <w:lang w:val="en-GB"/>
        </w:rPr>
        <w:t>4659, fol. 10v – 11v, 18 december 1504.</w:t>
      </w:r>
    </w:p>
  </w:footnote>
  <w:footnote w:id="209">
    <w:p w:rsidR="00421AE8" w:rsidRPr="00765495" w:rsidRDefault="00421AE8">
      <w:pPr>
        <w:pStyle w:val="Voetnoottekst"/>
        <w:rPr>
          <w:lang w:val="en-GB"/>
        </w:rPr>
      </w:pPr>
      <w:r>
        <w:rPr>
          <w:rStyle w:val="Voetnootmarkering"/>
        </w:rPr>
        <w:footnoteRef/>
      </w:r>
      <w:r w:rsidRPr="00765495">
        <w:rPr>
          <w:lang w:val="en-GB"/>
        </w:rPr>
        <w:t xml:space="preserve"> </w:t>
      </w:r>
      <w:r>
        <w:rPr>
          <w:lang w:val="en-GB"/>
        </w:rPr>
        <w:t xml:space="preserve">ARB, </w:t>
      </w:r>
      <w:r w:rsidRPr="007B2F01">
        <w:rPr>
          <w:lang w:val="en-GB"/>
        </w:rPr>
        <w:t>12654, fol. 344v, 1422 – 1423.</w:t>
      </w:r>
    </w:p>
  </w:footnote>
  <w:footnote w:id="210">
    <w:p w:rsidR="00421AE8" w:rsidRPr="00566DA1" w:rsidRDefault="00421AE8">
      <w:pPr>
        <w:pStyle w:val="Voetnoottekst"/>
        <w:rPr>
          <w:lang w:val="en-GB"/>
        </w:rPr>
      </w:pPr>
      <w:r>
        <w:rPr>
          <w:rStyle w:val="Voetnootmarkering"/>
        </w:rPr>
        <w:footnoteRef/>
      </w:r>
      <w:r w:rsidRPr="00566DA1">
        <w:rPr>
          <w:lang w:val="en-GB"/>
        </w:rPr>
        <w:t xml:space="preserve"> </w:t>
      </w:r>
      <w:r>
        <w:rPr>
          <w:lang w:val="en-GB"/>
        </w:rPr>
        <w:t xml:space="preserve">CROWSTON, </w:t>
      </w:r>
      <w:r w:rsidRPr="00046495">
        <w:rPr>
          <w:lang w:val="en-GB"/>
        </w:rPr>
        <w:t>‘Women, Gender, an</w:t>
      </w:r>
      <w:r>
        <w:rPr>
          <w:lang w:val="en-GB"/>
        </w:rPr>
        <w:t>d Guilds’, 25 – 26.</w:t>
      </w:r>
    </w:p>
  </w:footnote>
  <w:footnote w:id="211">
    <w:p w:rsidR="00421AE8" w:rsidRPr="00FB7238" w:rsidRDefault="00421AE8">
      <w:pPr>
        <w:pStyle w:val="Voetnoottekst"/>
        <w:rPr>
          <w:lang w:val="en-GB"/>
        </w:rPr>
      </w:pPr>
      <w:r>
        <w:rPr>
          <w:rStyle w:val="Voetnootmarkering"/>
        </w:rPr>
        <w:footnoteRef/>
      </w:r>
      <w:r w:rsidRPr="00FB7238">
        <w:rPr>
          <w:lang w:val="en-GB"/>
        </w:rPr>
        <w:t xml:space="preserve"> </w:t>
      </w:r>
      <w:r>
        <w:rPr>
          <w:lang w:val="en-GB"/>
        </w:rPr>
        <w:t>REYERSON, ‘Women in Business in Medieval Montpellier’, 117.</w:t>
      </w:r>
    </w:p>
  </w:footnote>
  <w:footnote w:id="212">
    <w:p w:rsidR="00421AE8" w:rsidRPr="00FB7238" w:rsidRDefault="00421AE8">
      <w:pPr>
        <w:pStyle w:val="Voetnoottekst"/>
        <w:rPr>
          <w:lang w:val="en-GB"/>
        </w:rPr>
      </w:pPr>
      <w:r>
        <w:rPr>
          <w:rStyle w:val="Voetnootmarkering"/>
        </w:rPr>
        <w:footnoteRef/>
      </w:r>
      <w:r w:rsidRPr="00FB7238">
        <w:rPr>
          <w:lang w:val="en-GB"/>
        </w:rPr>
        <w:t xml:space="preserve"> </w:t>
      </w:r>
      <w:r>
        <w:rPr>
          <w:lang w:val="en-GB"/>
        </w:rPr>
        <w:t xml:space="preserve">SHAHAR, </w:t>
      </w:r>
      <w:r>
        <w:rPr>
          <w:i/>
          <w:lang w:val="en-GB"/>
        </w:rPr>
        <w:t>The Fourth Estate, A history of women in the Middle Ages</w:t>
      </w:r>
      <w:r>
        <w:rPr>
          <w:lang w:val="en-GB"/>
        </w:rPr>
        <w:t>, xiv – xv.</w:t>
      </w:r>
    </w:p>
  </w:footnote>
  <w:footnote w:id="213">
    <w:p w:rsidR="00421AE8" w:rsidRPr="00FB7238" w:rsidRDefault="00421AE8">
      <w:pPr>
        <w:pStyle w:val="Voetnoottekst"/>
        <w:rPr>
          <w:lang w:val="en-GB"/>
        </w:rPr>
      </w:pPr>
      <w:r>
        <w:rPr>
          <w:rStyle w:val="Voetnootmarkering"/>
        </w:rPr>
        <w:footnoteRef/>
      </w:r>
      <w:r w:rsidRPr="00FB7238">
        <w:rPr>
          <w:lang w:val="en-GB"/>
        </w:rPr>
        <w:t xml:space="preserve"> </w:t>
      </w:r>
      <w:r>
        <w:rPr>
          <w:lang w:val="en-GB"/>
        </w:rPr>
        <w:t>KITTELL en QUELLER., ‘“Whether man or woman”’, 63.</w:t>
      </w:r>
    </w:p>
  </w:footnote>
  <w:footnote w:id="214">
    <w:p w:rsidR="00421AE8" w:rsidRPr="007C3761" w:rsidRDefault="00421AE8">
      <w:pPr>
        <w:pStyle w:val="Voetnoottekst"/>
        <w:rPr>
          <w:lang w:val="en-GB"/>
        </w:rPr>
      </w:pPr>
      <w:r>
        <w:rPr>
          <w:rStyle w:val="Voetnootmarkering"/>
        </w:rPr>
        <w:footnoteRef/>
      </w:r>
      <w:r>
        <w:rPr>
          <w:lang w:val="en-GB"/>
        </w:rPr>
        <w:t xml:space="preserve"> STABEL, </w:t>
      </w:r>
      <w:r w:rsidRPr="007C3761">
        <w:rPr>
          <w:lang w:val="en-GB"/>
        </w:rPr>
        <w:t>‘Guilds in late medieval Flanders’, 195.</w:t>
      </w:r>
    </w:p>
  </w:footnote>
  <w:footnote w:id="215">
    <w:p w:rsidR="00421AE8" w:rsidRPr="00FD1FC1" w:rsidRDefault="00421AE8">
      <w:pPr>
        <w:pStyle w:val="Voetnoottekst"/>
        <w:rPr>
          <w:lang w:val="en-GB"/>
        </w:rPr>
      </w:pPr>
      <w:r>
        <w:rPr>
          <w:rStyle w:val="Voetnootmarkering"/>
        </w:rPr>
        <w:footnoteRef/>
      </w:r>
      <w:r w:rsidRPr="00FD1FC1">
        <w:rPr>
          <w:lang w:val="en-GB"/>
        </w:rPr>
        <w:t xml:space="preserve"> </w:t>
      </w:r>
      <w:r w:rsidRPr="00857E22">
        <w:rPr>
          <w:lang w:val="en-GB"/>
        </w:rPr>
        <w:t xml:space="preserve">HUTTON, </w:t>
      </w:r>
      <w:r w:rsidRPr="00857E22">
        <w:rPr>
          <w:i/>
          <w:lang w:val="en-GB"/>
        </w:rPr>
        <w:t>Women and Economic</w:t>
      </w:r>
      <w:r>
        <w:rPr>
          <w:i/>
          <w:lang w:val="en-GB"/>
        </w:rPr>
        <w:t xml:space="preserve"> </w:t>
      </w:r>
      <w:r w:rsidRPr="00857E22">
        <w:rPr>
          <w:i/>
          <w:lang w:val="en-GB"/>
        </w:rPr>
        <w:t>A</w:t>
      </w:r>
      <w:r>
        <w:rPr>
          <w:i/>
          <w:lang w:val="en-GB"/>
        </w:rPr>
        <w:t>ctivities</w:t>
      </w:r>
      <w:r>
        <w:rPr>
          <w:lang w:val="en-GB"/>
        </w:rPr>
        <w:t>, 123.</w:t>
      </w:r>
    </w:p>
  </w:footnote>
  <w:footnote w:id="216">
    <w:p w:rsidR="00421AE8" w:rsidRPr="00FD1FC1" w:rsidRDefault="00421AE8">
      <w:pPr>
        <w:pStyle w:val="Voetnoottekst"/>
        <w:rPr>
          <w:lang w:val="en-GB"/>
        </w:rPr>
      </w:pPr>
      <w:r>
        <w:rPr>
          <w:rStyle w:val="Voetnootmarkering"/>
        </w:rPr>
        <w:footnoteRef/>
      </w:r>
      <w:r w:rsidRPr="00FD1FC1">
        <w:rPr>
          <w:lang w:val="en-GB"/>
        </w:rPr>
        <w:t xml:space="preserve"> </w:t>
      </w:r>
      <w:r w:rsidRPr="00CB1053">
        <w:rPr>
          <w:lang w:val="en-GB"/>
        </w:rPr>
        <w:t xml:space="preserve">SMITH, </w:t>
      </w:r>
      <w:r w:rsidRPr="00A0336B">
        <w:rPr>
          <w:lang w:val="en-GB"/>
        </w:rPr>
        <w:t>‘Women’s Admission to Guilds in Early-Modern England: The Case of the York Merchant Tailors’ Co</w:t>
      </w:r>
      <w:r>
        <w:rPr>
          <w:lang w:val="en-GB"/>
        </w:rPr>
        <w:t>mpany, 1693 – 1776’, 114 – 123.</w:t>
      </w:r>
    </w:p>
  </w:footnote>
  <w:footnote w:id="217">
    <w:p w:rsidR="00421AE8" w:rsidRDefault="00421AE8">
      <w:pPr>
        <w:pStyle w:val="Voetnoottekst"/>
      </w:pPr>
      <w:r>
        <w:rPr>
          <w:rStyle w:val="Voetnootmarkering"/>
        </w:rPr>
        <w:footnoteRef/>
      </w:r>
      <w:r>
        <w:t xml:space="preserve"> </w:t>
      </w:r>
      <w:r w:rsidRPr="008D40C9">
        <w:t xml:space="preserve">SAL, </w:t>
      </w:r>
      <w:r w:rsidRPr="005F4F43">
        <w:t>1528, fol. 123v, 17 augustus 1461.</w:t>
      </w:r>
    </w:p>
  </w:footnote>
  <w:footnote w:id="218">
    <w:p w:rsidR="00421AE8" w:rsidRDefault="00421AE8">
      <w:pPr>
        <w:pStyle w:val="Voetnoottekst"/>
      </w:pPr>
      <w:r>
        <w:rPr>
          <w:rStyle w:val="Voetnootmarkering"/>
        </w:rPr>
        <w:footnoteRef/>
      </w:r>
      <w:r>
        <w:t xml:space="preserve"> </w:t>
      </w:r>
      <w:r w:rsidRPr="008D40C9">
        <w:t>VAN GERVEN, ‘Vrouwen, arbeid en sociale positie.’, 949 – 951.</w:t>
      </w:r>
    </w:p>
  </w:footnote>
  <w:footnote w:id="219">
    <w:p w:rsidR="00421AE8" w:rsidRDefault="00421AE8">
      <w:pPr>
        <w:pStyle w:val="Voetnoottekst"/>
      </w:pPr>
      <w:r>
        <w:rPr>
          <w:rStyle w:val="Voetnootmarkering"/>
        </w:rPr>
        <w:footnoteRef/>
      </w:r>
      <w:r>
        <w:t xml:space="preserve"> SAL, 1524, 375r – 376r, 13 september 1493.</w:t>
      </w:r>
    </w:p>
  </w:footnote>
  <w:footnote w:id="220">
    <w:p w:rsidR="00421AE8" w:rsidRDefault="00421AE8">
      <w:pPr>
        <w:pStyle w:val="Voetnoottekst"/>
      </w:pPr>
      <w:r>
        <w:rPr>
          <w:rStyle w:val="Voetnootmarkering"/>
        </w:rPr>
        <w:footnoteRef/>
      </w:r>
      <w:r>
        <w:t xml:space="preserve"> Deze paragraaf zal hier later op terugkomen, maar het gaat om vaste formuleringen zoals:</w:t>
      </w:r>
    </w:p>
    <w:p w:rsidR="00421AE8" w:rsidRDefault="00421AE8">
      <w:pPr>
        <w:pStyle w:val="Voetnoottekst"/>
      </w:pPr>
      <w:r>
        <w:rPr>
          <w:i/>
        </w:rPr>
        <w:t xml:space="preserve">[…] </w:t>
      </w:r>
      <w:r w:rsidRPr="00CA559E">
        <w:rPr>
          <w:i/>
        </w:rPr>
        <w:t>daer mede dat den goede lieden van den selve vischcoopers ambachte duncket dat hun ambacht grootlijck ghekrinct ende ghescadicht wert ghemeert daer zij die hier binnen gheseten sijn.</w:t>
      </w:r>
    </w:p>
    <w:p w:rsidR="00421AE8" w:rsidRPr="007C3761" w:rsidRDefault="00421AE8">
      <w:pPr>
        <w:pStyle w:val="Voetnoottekst"/>
        <w:rPr>
          <w:lang w:val="en-GB"/>
        </w:rPr>
      </w:pPr>
      <w:r w:rsidRPr="007C3761">
        <w:rPr>
          <w:lang w:val="en-GB"/>
        </w:rPr>
        <w:t xml:space="preserve">SAL, 4659, fol. </w:t>
      </w:r>
      <w:r w:rsidRPr="005F4F43">
        <w:rPr>
          <w:lang w:val="en-GB"/>
        </w:rPr>
        <w:t>1r – 9r, 17 juli 1453.</w:t>
      </w:r>
    </w:p>
  </w:footnote>
  <w:footnote w:id="221">
    <w:p w:rsidR="00421AE8" w:rsidRPr="00CA559E" w:rsidRDefault="00421AE8">
      <w:pPr>
        <w:pStyle w:val="Voetnoottekst"/>
        <w:rPr>
          <w:lang w:val="en-GB"/>
        </w:rPr>
      </w:pPr>
      <w:r>
        <w:rPr>
          <w:rStyle w:val="Voetnootmarkering"/>
        </w:rPr>
        <w:footnoteRef/>
      </w:r>
      <w:r w:rsidRPr="00CA559E">
        <w:rPr>
          <w:lang w:val="en-GB"/>
        </w:rPr>
        <w:t xml:space="preserve"> </w:t>
      </w:r>
      <w:r w:rsidRPr="00792700">
        <w:rPr>
          <w:lang w:val="en-GB"/>
        </w:rPr>
        <w:t>KITTELL en QUELLER., ‘“Whether man or woman”’, 75 – 80.</w:t>
      </w:r>
    </w:p>
  </w:footnote>
  <w:footnote w:id="222">
    <w:p w:rsidR="00421AE8" w:rsidRDefault="00421AE8">
      <w:pPr>
        <w:pStyle w:val="Voetnoottekst"/>
      </w:pPr>
      <w:r>
        <w:rPr>
          <w:rStyle w:val="Voetnootmarkering"/>
        </w:rPr>
        <w:footnoteRef/>
      </w:r>
      <w:r>
        <w:t xml:space="preserve"> Zie pagina 38 – 39.</w:t>
      </w:r>
    </w:p>
  </w:footnote>
  <w:footnote w:id="223">
    <w:p w:rsidR="00421AE8" w:rsidRDefault="00421AE8">
      <w:pPr>
        <w:pStyle w:val="Voetnoottekst"/>
      </w:pPr>
      <w:r>
        <w:rPr>
          <w:rStyle w:val="Voetnootmarkering"/>
        </w:rPr>
        <w:footnoteRef/>
      </w:r>
      <w:r>
        <w:t xml:space="preserve"> VAN UYTVEN, </w:t>
      </w:r>
      <w:r>
        <w:rPr>
          <w:i/>
        </w:rPr>
        <w:t>Leuven, “de beste stad van Brabant”</w:t>
      </w:r>
      <w:r>
        <w:t>, 210.</w:t>
      </w:r>
    </w:p>
  </w:footnote>
  <w:footnote w:id="224">
    <w:p w:rsidR="00421AE8" w:rsidRDefault="00421AE8" w:rsidP="001706A6">
      <w:pPr>
        <w:pStyle w:val="Voetnoottekst"/>
      </w:pPr>
      <w:r>
        <w:rPr>
          <w:rStyle w:val="Voetnootmarkering"/>
        </w:rPr>
        <w:footnoteRef/>
      </w:r>
      <w:r>
        <w:t xml:space="preserve"> Een beslissing in verband met het </w:t>
      </w:r>
      <w:r>
        <w:rPr>
          <w:i/>
        </w:rPr>
        <w:t xml:space="preserve">goetdoen </w:t>
      </w:r>
      <w:r>
        <w:t xml:space="preserve">bij het nieuwe schoenmakersambacht is een uitstekend voorbeeld van deze vaste formulering. Exact dezelfde ordonnantie kan bijvoorbeeld worden teruggevonden voor het smedenambacht en de kleermakers. </w:t>
      </w:r>
    </w:p>
    <w:p w:rsidR="00421AE8" w:rsidRDefault="00421AE8" w:rsidP="001706A6">
      <w:pPr>
        <w:pStyle w:val="Voetnoottekst"/>
        <w:rPr>
          <w:i/>
        </w:rPr>
      </w:pPr>
      <w:r w:rsidRPr="00421997">
        <w:rPr>
          <w:i/>
        </w:rPr>
        <w:t>Item es voert geordineert ende overdragen dat zoe wanneer ennich wijff daer aff de man de voirs</w:t>
      </w:r>
      <w:r>
        <w:rPr>
          <w:i/>
        </w:rPr>
        <w:t>creven</w:t>
      </w:r>
      <w:r w:rsidRPr="00421997">
        <w:rPr>
          <w:i/>
        </w:rPr>
        <w:t xml:space="preserve"> ordinantien aengenomen heeft ende t</w:t>
      </w:r>
      <w:r>
        <w:rPr>
          <w:i/>
        </w:rPr>
        <w:t xml:space="preserve"> </w:t>
      </w:r>
      <w:r w:rsidRPr="00421997">
        <w:rPr>
          <w:i/>
        </w:rPr>
        <w:t>voirs</w:t>
      </w:r>
      <w:r>
        <w:rPr>
          <w:i/>
        </w:rPr>
        <w:t>creven</w:t>
      </w:r>
      <w:r w:rsidRPr="00421997">
        <w:rPr>
          <w:i/>
        </w:rPr>
        <w:t xml:space="preserve"> weeckgelt betalen es van natuurlijcker siecken oft bij mercklijcken ongevallen drye dage lanck teynden een te bedde gelegen ende den voirs</w:t>
      </w:r>
      <w:r>
        <w:rPr>
          <w:i/>
        </w:rPr>
        <w:t>creven</w:t>
      </w:r>
      <w:r w:rsidRPr="00421997">
        <w:rPr>
          <w:i/>
        </w:rPr>
        <w:t xml:space="preserve"> busmeesters dat gecundicht sal hebben</w:t>
      </w:r>
      <w:r>
        <w:rPr>
          <w:i/>
        </w:rPr>
        <w:t>,</w:t>
      </w:r>
      <w:r w:rsidRPr="00421997">
        <w:rPr>
          <w:i/>
        </w:rPr>
        <w:t xml:space="preserve"> t</w:t>
      </w:r>
      <w:r>
        <w:rPr>
          <w:i/>
        </w:rPr>
        <w:t xml:space="preserve"> </w:t>
      </w:r>
      <w:r w:rsidRPr="00421997">
        <w:rPr>
          <w:i/>
        </w:rPr>
        <w:t>voirs</w:t>
      </w:r>
      <w:r>
        <w:rPr>
          <w:i/>
        </w:rPr>
        <w:t>creven</w:t>
      </w:r>
      <w:r w:rsidRPr="00421997">
        <w:rPr>
          <w:i/>
        </w:rPr>
        <w:t xml:space="preserve"> goetdoen oick hebben ende gebruycken sal tot z</w:t>
      </w:r>
      <w:r>
        <w:rPr>
          <w:i/>
        </w:rPr>
        <w:t>ij daer af opgestaen sal zijn g</w:t>
      </w:r>
      <w:r w:rsidRPr="00421997">
        <w:rPr>
          <w:i/>
        </w:rPr>
        <w:t>elijc ende alsoe wa</w:t>
      </w:r>
      <w:r>
        <w:rPr>
          <w:i/>
        </w:rPr>
        <w:t>e</w:t>
      </w:r>
      <w:r w:rsidRPr="00421997">
        <w:rPr>
          <w:i/>
        </w:rPr>
        <w:t xml:space="preserve">le als huer man oft hij alsoe sieck waere dat hebben soude ende </w:t>
      </w:r>
      <w:r>
        <w:rPr>
          <w:i/>
        </w:rPr>
        <w:t>behoeven</w:t>
      </w:r>
      <w:r w:rsidRPr="00421997">
        <w:rPr>
          <w:i/>
        </w:rPr>
        <w:t xml:space="preserve"> te hebben</w:t>
      </w:r>
      <w:r>
        <w:rPr>
          <w:i/>
        </w:rPr>
        <w:t>. H</w:t>
      </w:r>
      <w:r w:rsidRPr="00421997">
        <w:rPr>
          <w:i/>
        </w:rPr>
        <w:t>ier inne v</w:t>
      </w:r>
      <w:r>
        <w:rPr>
          <w:i/>
        </w:rPr>
        <w:t>ersien oft zij met opsette in ee</w:t>
      </w:r>
      <w:r w:rsidRPr="00421997">
        <w:rPr>
          <w:i/>
        </w:rPr>
        <w:t>nich gevecht quame daer sij alsoe gequetst oft geslagen worde</w:t>
      </w:r>
      <w:r>
        <w:rPr>
          <w:i/>
        </w:rPr>
        <w:t>,</w:t>
      </w:r>
      <w:r w:rsidRPr="00421997">
        <w:rPr>
          <w:i/>
        </w:rPr>
        <w:t xml:space="preserve"> dat zij daer af t</w:t>
      </w:r>
      <w:r>
        <w:rPr>
          <w:i/>
        </w:rPr>
        <w:t>e bedde bleven liggen dat sij al</w:t>
      </w:r>
      <w:r w:rsidRPr="00421997">
        <w:rPr>
          <w:i/>
        </w:rPr>
        <w:t>lsdan noch oick als zij in kinderbedden leeght t</w:t>
      </w:r>
      <w:r>
        <w:rPr>
          <w:i/>
        </w:rPr>
        <w:t xml:space="preserve"> </w:t>
      </w:r>
      <w:r w:rsidRPr="00421997">
        <w:rPr>
          <w:i/>
        </w:rPr>
        <w:t>vo</w:t>
      </w:r>
      <w:r>
        <w:rPr>
          <w:i/>
        </w:rPr>
        <w:t>irscreven goetdoen niet hebben en sal.</w:t>
      </w:r>
    </w:p>
    <w:p w:rsidR="00421AE8" w:rsidRPr="006C062E" w:rsidRDefault="00421AE8" w:rsidP="001706A6">
      <w:pPr>
        <w:pStyle w:val="Voetnoottekst"/>
        <w:rPr>
          <w:lang w:val="en-GB"/>
        </w:rPr>
      </w:pPr>
      <w:r w:rsidRPr="006C062E">
        <w:rPr>
          <w:lang w:val="en-GB"/>
        </w:rPr>
        <w:t xml:space="preserve">SAL, 4648, fol. 250r – 259r, 20 juli 1468; SAL, 4648, fol. </w:t>
      </w:r>
      <w:r w:rsidRPr="005F4F43">
        <w:rPr>
          <w:lang w:val="en-GB"/>
        </w:rPr>
        <w:t>19r – 22r, 23 maart 1479</w:t>
      </w:r>
      <w:r w:rsidRPr="006C062E">
        <w:rPr>
          <w:lang w:val="en-GB"/>
        </w:rPr>
        <w:t xml:space="preserve">; SAL, 4648, fol. </w:t>
      </w:r>
      <w:r w:rsidRPr="005F4F43">
        <w:rPr>
          <w:lang w:val="en-GB"/>
        </w:rPr>
        <w:t>446r – 450r, 9 juni 1471</w:t>
      </w:r>
      <w:r w:rsidRPr="006C062E">
        <w:rPr>
          <w:lang w:val="en-GB"/>
        </w:rPr>
        <w:t>.</w:t>
      </w:r>
    </w:p>
  </w:footnote>
  <w:footnote w:id="225">
    <w:p w:rsidR="00421AE8" w:rsidRPr="003E4AB2" w:rsidRDefault="00421AE8">
      <w:pPr>
        <w:pStyle w:val="Voetnoottekst"/>
        <w:rPr>
          <w:lang w:val="en-GB"/>
        </w:rPr>
      </w:pPr>
      <w:r>
        <w:rPr>
          <w:rStyle w:val="Voetnootmarkering"/>
        </w:rPr>
        <w:footnoteRef/>
      </w:r>
      <w:r w:rsidRPr="003E4AB2">
        <w:rPr>
          <w:lang w:val="en-GB"/>
        </w:rPr>
        <w:t xml:space="preserve"> </w:t>
      </w:r>
      <w:r w:rsidRPr="00E60260">
        <w:rPr>
          <w:lang w:val="en-GB"/>
        </w:rPr>
        <w:t xml:space="preserve">HUTTON, </w:t>
      </w:r>
      <w:r w:rsidRPr="00E60260">
        <w:rPr>
          <w:i/>
          <w:lang w:val="en-GB"/>
        </w:rPr>
        <w:t>Women and Economic Activities</w:t>
      </w:r>
      <w:r>
        <w:rPr>
          <w:lang w:val="en-GB"/>
        </w:rPr>
        <w:t xml:space="preserve">, </w:t>
      </w:r>
      <w:r w:rsidRPr="00BF56CD">
        <w:rPr>
          <w:lang w:val="en-GB"/>
        </w:rPr>
        <w:t>134 – 136.</w:t>
      </w:r>
    </w:p>
  </w:footnote>
  <w:footnote w:id="226">
    <w:p w:rsidR="00421AE8" w:rsidRPr="00BF56CD" w:rsidRDefault="00421AE8" w:rsidP="003E4AB2">
      <w:pPr>
        <w:pStyle w:val="Voetnoottekst"/>
        <w:rPr>
          <w:lang w:val="en-GB"/>
        </w:rPr>
      </w:pPr>
      <w:r>
        <w:rPr>
          <w:rStyle w:val="Voetnootmarkering"/>
        </w:rPr>
        <w:footnoteRef/>
      </w:r>
      <w:r w:rsidRPr="00BF56CD">
        <w:rPr>
          <w:lang w:val="en-GB"/>
        </w:rPr>
        <w:t xml:space="preserve"> </w:t>
      </w:r>
      <w:r w:rsidRPr="00E60260">
        <w:rPr>
          <w:lang w:val="en-GB"/>
        </w:rPr>
        <w:t xml:space="preserve">HUTTON, </w:t>
      </w:r>
      <w:r w:rsidRPr="00E60260">
        <w:rPr>
          <w:i/>
          <w:lang w:val="en-GB"/>
        </w:rPr>
        <w:t>Women and Economic Activities</w:t>
      </w:r>
      <w:r>
        <w:rPr>
          <w:lang w:val="en-GB"/>
        </w:rPr>
        <w:t xml:space="preserve">, </w:t>
      </w:r>
      <w:r w:rsidRPr="00BF56CD">
        <w:rPr>
          <w:lang w:val="en-GB"/>
        </w:rPr>
        <w:t>123 – 124.</w:t>
      </w:r>
    </w:p>
  </w:footnote>
  <w:footnote w:id="227">
    <w:p w:rsidR="00421AE8" w:rsidRPr="003E4AB2" w:rsidRDefault="00421AE8">
      <w:pPr>
        <w:pStyle w:val="Voetnoottekst"/>
        <w:rPr>
          <w:lang w:val="en-GB"/>
        </w:rPr>
      </w:pPr>
      <w:r>
        <w:rPr>
          <w:rStyle w:val="Voetnootmarkering"/>
        </w:rPr>
        <w:footnoteRef/>
      </w:r>
      <w:r w:rsidRPr="003E4AB2">
        <w:rPr>
          <w:lang w:val="en-GB"/>
        </w:rPr>
        <w:t xml:space="preserve"> </w:t>
      </w:r>
      <w:r w:rsidRPr="00BF56CD">
        <w:rPr>
          <w:lang w:val="en-GB"/>
        </w:rPr>
        <w:t>KITTELL en QUELLER., ‘“Whether man or woman”’, 75 – 80.</w:t>
      </w:r>
    </w:p>
  </w:footnote>
  <w:footnote w:id="228">
    <w:p w:rsidR="00421AE8" w:rsidRPr="005F4F43" w:rsidRDefault="00421AE8">
      <w:pPr>
        <w:pStyle w:val="Voetnoottekst"/>
      </w:pPr>
      <w:r>
        <w:rPr>
          <w:rStyle w:val="Voetnootmarkering"/>
        </w:rPr>
        <w:footnoteRef/>
      </w:r>
      <w:r w:rsidRPr="005F4F43">
        <w:t xml:space="preserve"> SAL, 1524, fol. 277r – 278r, 18 maart 1465.</w:t>
      </w:r>
    </w:p>
  </w:footnote>
  <w:footnote w:id="229">
    <w:p w:rsidR="00421AE8" w:rsidRPr="005F4F43" w:rsidRDefault="00421AE8">
      <w:pPr>
        <w:pStyle w:val="Voetnoottekst"/>
      </w:pPr>
      <w:r>
        <w:rPr>
          <w:rStyle w:val="Voetnootmarkering"/>
        </w:rPr>
        <w:footnoteRef/>
      </w:r>
      <w:r w:rsidRPr="005F4F43">
        <w:t xml:space="preserve"> SAL, 1524, fol. 277r – 278r, 18 maart 1465.</w:t>
      </w:r>
    </w:p>
  </w:footnote>
  <w:footnote w:id="230">
    <w:p w:rsidR="00421AE8" w:rsidRPr="0058220E" w:rsidRDefault="00421AE8" w:rsidP="00E73A1D">
      <w:pPr>
        <w:pStyle w:val="Voetnoottekst"/>
        <w:rPr>
          <w:lang w:val="en-GB"/>
        </w:rPr>
      </w:pPr>
      <w:r>
        <w:rPr>
          <w:rStyle w:val="Voetnootmarkering"/>
        </w:rPr>
        <w:footnoteRef/>
      </w:r>
      <w:r w:rsidRPr="0058220E">
        <w:rPr>
          <w:lang w:val="en-GB"/>
        </w:rPr>
        <w:t xml:space="preserve"> </w:t>
      </w:r>
      <w:r w:rsidRPr="00084FE5">
        <w:rPr>
          <w:lang w:val="en-GB"/>
        </w:rPr>
        <w:t xml:space="preserve">HOWELL, </w:t>
      </w:r>
      <w:r w:rsidRPr="00084FE5">
        <w:rPr>
          <w:i/>
          <w:lang w:val="en-GB"/>
        </w:rPr>
        <w:t>Wo</w:t>
      </w:r>
      <w:r>
        <w:rPr>
          <w:i/>
          <w:lang w:val="en-GB"/>
        </w:rPr>
        <w:t>men, Production, and Patriarchy</w:t>
      </w:r>
      <w:r>
        <w:rPr>
          <w:lang w:val="en-GB"/>
        </w:rPr>
        <w:t>, 32.</w:t>
      </w:r>
    </w:p>
  </w:footnote>
  <w:footnote w:id="231">
    <w:p w:rsidR="00421AE8" w:rsidRPr="00E73A1D" w:rsidRDefault="00421AE8">
      <w:pPr>
        <w:pStyle w:val="Voetnoottekst"/>
        <w:rPr>
          <w:lang w:val="en-GB"/>
        </w:rPr>
      </w:pPr>
      <w:r>
        <w:rPr>
          <w:rStyle w:val="Voetnootmarkering"/>
        </w:rPr>
        <w:footnoteRef/>
      </w:r>
      <w:r w:rsidRPr="00E73A1D">
        <w:rPr>
          <w:lang w:val="en-GB"/>
        </w:rPr>
        <w:t xml:space="preserve"> </w:t>
      </w:r>
      <w:r w:rsidRPr="00084FE5">
        <w:rPr>
          <w:lang w:val="en-GB"/>
        </w:rPr>
        <w:t xml:space="preserve">HOWELL, </w:t>
      </w:r>
      <w:r w:rsidRPr="00084FE5">
        <w:rPr>
          <w:i/>
          <w:lang w:val="en-GB"/>
        </w:rPr>
        <w:t>Wo</w:t>
      </w:r>
      <w:r>
        <w:rPr>
          <w:i/>
          <w:lang w:val="en-GB"/>
        </w:rPr>
        <w:t>men, Production, and Patriarchy</w:t>
      </w:r>
      <w:r w:rsidRPr="00B83141">
        <w:rPr>
          <w:lang w:val="en-GB"/>
        </w:rPr>
        <w:t>, 30 – 31.</w:t>
      </w:r>
    </w:p>
  </w:footnote>
  <w:footnote w:id="232">
    <w:p w:rsidR="00421AE8" w:rsidRPr="008219AA" w:rsidRDefault="00421AE8">
      <w:pPr>
        <w:pStyle w:val="Voetnoottekst"/>
        <w:rPr>
          <w:lang w:val="en-GB"/>
        </w:rPr>
      </w:pPr>
      <w:r>
        <w:rPr>
          <w:rStyle w:val="Voetnootmarkering"/>
        </w:rPr>
        <w:footnoteRef/>
      </w:r>
      <w:r w:rsidRPr="008219AA">
        <w:rPr>
          <w:lang w:val="en-GB"/>
        </w:rPr>
        <w:t xml:space="preserve"> </w:t>
      </w:r>
      <w:r>
        <w:rPr>
          <w:lang w:val="en-GB"/>
        </w:rPr>
        <w:t>Zie pagina 49.</w:t>
      </w:r>
    </w:p>
  </w:footnote>
  <w:footnote w:id="233">
    <w:p w:rsidR="00421AE8" w:rsidRPr="008219AA" w:rsidRDefault="00421AE8">
      <w:pPr>
        <w:pStyle w:val="Voetnoottekst"/>
        <w:rPr>
          <w:lang w:val="en-GB"/>
        </w:rPr>
      </w:pPr>
      <w:r>
        <w:rPr>
          <w:rStyle w:val="Voetnootmarkering"/>
        </w:rPr>
        <w:footnoteRef/>
      </w:r>
      <w:r w:rsidRPr="008219AA">
        <w:rPr>
          <w:lang w:val="en-GB"/>
        </w:rPr>
        <w:t xml:space="preserve"> KITTELL en QUELLER., ‘“Whether man or woman”’, 63.</w:t>
      </w:r>
    </w:p>
  </w:footnote>
  <w:footnote w:id="234">
    <w:p w:rsidR="00421AE8" w:rsidRPr="005F4F43" w:rsidRDefault="00421AE8">
      <w:pPr>
        <w:pStyle w:val="Voetnoottekst"/>
        <w:rPr>
          <w:lang w:val="fr-FR"/>
        </w:rPr>
      </w:pPr>
      <w:r>
        <w:rPr>
          <w:rStyle w:val="Voetnootmarkering"/>
        </w:rPr>
        <w:footnoteRef/>
      </w:r>
      <w:r w:rsidRPr="005F4F43">
        <w:rPr>
          <w:lang w:val="fr-FR"/>
        </w:rPr>
        <w:t xml:space="preserve"> STABEL, P., ‘L’encadrement corporatif et la conjoncture économique dans les petites villes de la flandre orientale: contraintes ou possibilités?’, P. LAMBRECHTS en J.-P. SOSSON red., </w:t>
      </w:r>
      <w:r w:rsidRPr="005F4F43">
        <w:rPr>
          <w:i/>
          <w:lang w:val="fr-FR"/>
        </w:rPr>
        <w:t>Les Métiers au Moyen Âge: Aspects Économiques es sociaux</w:t>
      </w:r>
      <w:r w:rsidRPr="005F4F43">
        <w:rPr>
          <w:lang w:val="fr-FR"/>
        </w:rPr>
        <w:t>, Louvain-la-Neuve, 1994, 335 – 348, 336 – 337.</w:t>
      </w:r>
    </w:p>
  </w:footnote>
  <w:footnote w:id="235">
    <w:p w:rsidR="00421AE8" w:rsidRPr="00165546" w:rsidRDefault="00421AE8" w:rsidP="00AF494C">
      <w:pPr>
        <w:pStyle w:val="Voetnoottekst"/>
        <w:rPr>
          <w:lang w:val="en-GB"/>
        </w:rPr>
      </w:pPr>
      <w:r w:rsidRPr="005E1A01">
        <w:rPr>
          <w:rStyle w:val="Voetnootmarkering"/>
        </w:rPr>
        <w:footnoteRef/>
      </w:r>
      <w:r w:rsidRPr="005E1A01">
        <w:rPr>
          <w:lang w:val="en-GB"/>
        </w:rPr>
        <w:t xml:space="preserve"> HOWELL, </w:t>
      </w:r>
      <w:r w:rsidRPr="005E1A01">
        <w:rPr>
          <w:i/>
          <w:lang w:val="en-GB"/>
        </w:rPr>
        <w:t>Women, Production, and Patriarchy</w:t>
      </w:r>
      <w:r w:rsidRPr="005E1A01">
        <w:rPr>
          <w:lang w:val="en-GB"/>
        </w:rPr>
        <w:t>, 34.</w:t>
      </w:r>
    </w:p>
  </w:footnote>
  <w:footnote w:id="236">
    <w:p w:rsidR="00421AE8" w:rsidRPr="00D34F74" w:rsidRDefault="00421AE8" w:rsidP="00786F98">
      <w:pPr>
        <w:pStyle w:val="Voetnoottekst"/>
        <w:rPr>
          <w:lang w:val="en-GB"/>
        </w:rPr>
      </w:pPr>
      <w:r>
        <w:rPr>
          <w:rStyle w:val="Voetnootmarkering"/>
        </w:rPr>
        <w:footnoteRef/>
      </w:r>
      <w:r w:rsidRPr="00D34F74">
        <w:rPr>
          <w:lang w:val="en-GB"/>
        </w:rPr>
        <w:t xml:space="preserve"> </w:t>
      </w:r>
      <w:r>
        <w:rPr>
          <w:lang w:val="en-GB"/>
        </w:rPr>
        <w:t xml:space="preserve">SHAHAR, </w:t>
      </w:r>
      <w:r>
        <w:rPr>
          <w:i/>
          <w:lang w:val="en-GB"/>
        </w:rPr>
        <w:t>The Fourth Estate, A history of women in the Middle Ages</w:t>
      </w:r>
      <w:r>
        <w:rPr>
          <w:lang w:val="en-GB"/>
        </w:rPr>
        <w:t>, 175.</w:t>
      </w:r>
    </w:p>
  </w:footnote>
  <w:footnote w:id="237">
    <w:p w:rsidR="00421AE8" w:rsidRPr="00786F98" w:rsidRDefault="00421AE8">
      <w:pPr>
        <w:pStyle w:val="Voetnoottekst"/>
        <w:rPr>
          <w:lang w:val="en-GB"/>
        </w:rPr>
      </w:pPr>
      <w:r>
        <w:rPr>
          <w:rStyle w:val="Voetnootmarkering"/>
        </w:rPr>
        <w:footnoteRef/>
      </w:r>
      <w:r w:rsidRPr="00786F98">
        <w:rPr>
          <w:lang w:val="en-GB"/>
        </w:rPr>
        <w:t xml:space="preserve"> </w:t>
      </w:r>
      <w:r w:rsidRPr="00084FE5">
        <w:rPr>
          <w:lang w:val="en-GB"/>
        </w:rPr>
        <w:t xml:space="preserve">HOWELL, </w:t>
      </w:r>
      <w:r w:rsidRPr="00084FE5">
        <w:rPr>
          <w:i/>
          <w:lang w:val="en-GB"/>
        </w:rPr>
        <w:t>Wo</w:t>
      </w:r>
      <w:r>
        <w:rPr>
          <w:i/>
          <w:lang w:val="en-GB"/>
        </w:rPr>
        <w:t>men, Production, and Patriarchy</w:t>
      </w:r>
      <w:r w:rsidRPr="00B83141">
        <w:rPr>
          <w:lang w:val="en-GB"/>
        </w:rPr>
        <w:t>,</w:t>
      </w:r>
      <w:r>
        <w:rPr>
          <w:lang w:val="en-GB"/>
        </w:rPr>
        <w:t xml:space="preserve"> 90 – 91.</w:t>
      </w:r>
    </w:p>
  </w:footnote>
  <w:footnote w:id="238">
    <w:p w:rsidR="00421AE8" w:rsidRPr="006C062E" w:rsidRDefault="00421AE8">
      <w:pPr>
        <w:pStyle w:val="Voetnoottekst"/>
        <w:rPr>
          <w:lang w:val="en-GB"/>
        </w:rPr>
      </w:pPr>
      <w:r>
        <w:rPr>
          <w:rStyle w:val="Voetnootmarkering"/>
        </w:rPr>
        <w:footnoteRef/>
      </w:r>
      <w:r>
        <w:rPr>
          <w:lang w:val="en-GB"/>
        </w:rPr>
        <w:t xml:space="preserve"> SAL, 1524, fol. 375r – 376r</w:t>
      </w:r>
      <w:r w:rsidRPr="006C062E">
        <w:rPr>
          <w:lang w:val="en-GB"/>
        </w:rPr>
        <w:t>, 13 september 1493.</w:t>
      </w:r>
    </w:p>
  </w:footnote>
  <w:footnote w:id="239">
    <w:p w:rsidR="00421AE8" w:rsidRPr="004379D8" w:rsidRDefault="00421AE8" w:rsidP="00FF0AD2">
      <w:pPr>
        <w:pStyle w:val="Voetnoottekst"/>
        <w:rPr>
          <w:lang w:val="en-GB"/>
        </w:rPr>
      </w:pPr>
      <w:r>
        <w:rPr>
          <w:rStyle w:val="Voetnootmarkering"/>
        </w:rPr>
        <w:footnoteRef/>
      </w:r>
      <w:r w:rsidRPr="004379D8">
        <w:rPr>
          <w:lang w:val="en-GB"/>
        </w:rPr>
        <w:t xml:space="preserve"> </w:t>
      </w:r>
      <w:r>
        <w:rPr>
          <w:lang w:val="en-GB"/>
        </w:rPr>
        <w:t xml:space="preserve">STABEL, </w:t>
      </w:r>
      <w:r w:rsidRPr="0052302B">
        <w:rPr>
          <w:lang w:val="en-GB"/>
        </w:rPr>
        <w:t>‘Guilds in late medieval Flanders: myths and realities of guild life in an export-oriented environment’</w:t>
      </w:r>
      <w:r>
        <w:rPr>
          <w:lang w:val="en-GB"/>
        </w:rPr>
        <w:t>, 189.</w:t>
      </w:r>
    </w:p>
  </w:footnote>
  <w:footnote w:id="240">
    <w:p w:rsidR="00421AE8" w:rsidRPr="00447219" w:rsidRDefault="00421AE8">
      <w:pPr>
        <w:pStyle w:val="Voetnoottekst"/>
        <w:rPr>
          <w:lang w:val="en-GB"/>
        </w:rPr>
      </w:pPr>
      <w:r>
        <w:rPr>
          <w:rStyle w:val="Voetnootmarkering"/>
        </w:rPr>
        <w:footnoteRef/>
      </w:r>
      <w:r w:rsidRPr="00447219">
        <w:rPr>
          <w:lang w:val="en-GB"/>
        </w:rPr>
        <w:t xml:space="preserve"> </w:t>
      </w:r>
      <w:r>
        <w:rPr>
          <w:lang w:val="en-GB"/>
        </w:rPr>
        <w:t xml:space="preserve">SOLY, </w:t>
      </w:r>
      <w:r w:rsidRPr="0052302B">
        <w:rPr>
          <w:lang w:val="en-GB"/>
        </w:rPr>
        <w:t>‘The Political E</w:t>
      </w:r>
      <w:r>
        <w:rPr>
          <w:lang w:val="en-GB"/>
        </w:rPr>
        <w:t xml:space="preserve">conomy of European Craft Guilds’, 56; </w:t>
      </w:r>
      <w:r w:rsidRPr="00616D79">
        <w:rPr>
          <w:lang w:val="en-GB"/>
        </w:rPr>
        <w:t xml:space="preserve">VAN UYTVEN, </w:t>
      </w:r>
      <w:r w:rsidRPr="00616D79">
        <w:rPr>
          <w:i/>
          <w:lang w:val="en-GB"/>
        </w:rPr>
        <w:t>Leuven anno 1448</w:t>
      </w:r>
      <w:r w:rsidRPr="00616D79">
        <w:rPr>
          <w:lang w:val="en-GB"/>
        </w:rPr>
        <w:t>, 27.</w:t>
      </w:r>
    </w:p>
  </w:footnote>
  <w:footnote w:id="241">
    <w:p w:rsidR="00421AE8" w:rsidRPr="00447219" w:rsidRDefault="00421AE8">
      <w:pPr>
        <w:pStyle w:val="Voetnoottekst"/>
        <w:rPr>
          <w:lang w:val="en-GB"/>
        </w:rPr>
      </w:pPr>
      <w:r>
        <w:rPr>
          <w:rStyle w:val="Voetnootmarkering"/>
        </w:rPr>
        <w:footnoteRef/>
      </w:r>
      <w:r w:rsidRPr="00447219">
        <w:rPr>
          <w:lang w:val="en-GB"/>
        </w:rPr>
        <w:t xml:space="preserve"> </w:t>
      </w:r>
      <w:r w:rsidRPr="00BC0ACC">
        <w:rPr>
          <w:lang w:val="en-GB"/>
        </w:rPr>
        <w:t xml:space="preserve">CROWSTON, </w:t>
      </w:r>
      <w:r w:rsidRPr="00046495">
        <w:rPr>
          <w:lang w:val="en-GB"/>
        </w:rPr>
        <w:t>‘Women, Gender, and Guilds</w:t>
      </w:r>
      <w:r>
        <w:rPr>
          <w:lang w:val="en-GB"/>
        </w:rPr>
        <w:t>’, 24.</w:t>
      </w:r>
    </w:p>
  </w:footnote>
  <w:footnote w:id="242">
    <w:p w:rsidR="00421AE8" w:rsidRPr="008219AA" w:rsidRDefault="00421AE8">
      <w:pPr>
        <w:pStyle w:val="Voetnoottekst"/>
        <w:rPr>
          <w:lang w:val="fr-BE"/>
        </w:rPr>
      </w:pPr>
      <w:r>
        <w:rPr>
          <w:rStyle w:val="Voetnootmarkering"/>
        </w:rPr>
        <w:footnoteRef/>
      </w:r>
      <w:r>
        <w:rPr>
          <w:lang w:val="fr-BE"/>
        </w:rPr>
        <w:t xml:space="preserve"> HAEMERS, ‘Révolte et requête.</w:t>
      </w:r>
      <w:r w:rsidRPr="008219AA">
        <w:rPr>
          <w:lang w:val="fr-BE"/>
        </w:rPr>
        <w:t>’, 31- 32.</w:t>
      </w:r>
    </w:p>
  </w:footnote>
  <w:footnote w:id="243">
    <w:p w:rsidR="00421AE8" w:rsidRPr="00BE2EE9" w:rsidRDefault="00421AE8" w:rsidP="00447219">
      <w:pPr>
        <w:pStyle w:val="Voetnoottekst"/>
      </w:pPr>
      <w:r>
        <w:rPr>
          <w:rStyle w:val="Voetnootmarkering"/>
        </w:rPr>
        <w:footnoteRef/>
      </w:r>
      <w:r w:rsidRPr="00BE2EE9">
        <w:t xml:space="preserve"> SAL, 1523, fol. 129v, 14 februari 1439.</w:t>
      </w:r>
    </w:p>
  </w:footnote>
  <w:footnote w:id="244">
    <w:p w:rsidR="00421AE8" w:rsidRPr="00BE2EE9" w:rsidRDefault="00421AE8" w:rsidP="00447219">
      <w:pPr>
        <w:pStyle w:val="Voetnoottekst"/>
      </w:pPr>
      <w:r>
        <w:rPr>
          <w:rStyle w:val="Voetnootmarkering"/>
        </w:rPr>
        <w:footnoteRef/>
      </w:r>
      <w:r w:rsidRPr="00BE2EE9">
        <w:t xml:space="preserve"> SAL, 1524, fol. 235v – 236v, 31 juli 1439.</w:t>
      </w:r>
    </w:p>
  </w:footnote>
  <w:footnote w:id="245">
    <w:p w:rsidR="00421AE8" w:rsidRDefault="00421AE8">
      <w:pPr>
        <w:pStyle w:val="Voetnoottekst"/>
      </w:pPr>
      <w:r>
        <w:rPr>
          <w:rStyle w:val="Voetnootmarkering"/>
        </w:rPr>
        <w:footnoteRef/>
      </w:r>
      <w:r>
        <w:t xml:space="preserve"> </w:t>
      </w:r>
      <w:r w:rsidRPr="006163D1">
        <w:t xml:space="preserve">SAL, 1523, fol. </w:t>
      </w:r>
      <w:r>
        <w:t>180v – 182r, 27 juni 1442</w:t>
      </w:r>
      <w:r w:rsidRPr="006163D1">
        <w:t>.</w:t>
      </w:r>
    </w:p>
    <w:p w:rsidR="00421AE8" w:rsidRPr="008B75FD" w:rsidRDefault="00421AE8">
      <w:pPr>
        <w:pStyle w:val="Voetnoottekst"/>
        <w:rPr>
          <w:i/>
        </w:rPr>
      </w:pPr>
      <w:r w:rsidRPr="008B75FD">
        <w:rPr>
          <w:i/>
        </w:rPr>
        <w:t xml:space="preserve">Inden yersten soe wat persoen het sij </w:t>
      </w:r>
      <w:r>
        <w:rPr>
          <w:i/>
        </w:rPr>
        <w:t xml:space="preserve">mannen of vrouwen die int voirscreven </w:t>
      </w:r>
      <w:r w:rsidRPr="008B75FD">
        <w:rPr>
          <w:i/>
        </w:rPr>
        <w:t>ambacht comen wilt die sal denselven ambachte mo</w:t>
      </w:r>
      <w:r>
        <w:rPr>
          <w:i/>
        </w:rPr>
        <w:t>e</w:t>
      </w:r>
      <w:r w:rsidRPr="008B75FD">
        <w:rPr>
          <w:i/>
        </w:rPr>
        <w:t>ten betalen viere Rijnsche guldenen half ten heylige</w:t>
      </w:r>
      <w:r>
        <w:rPr>
          <w:i/>
        </w:rPr>
        <w:t>n sacramentsdaghe dan naescomende als sij in t voirscreven</w:t>
      </w:r>
      <w:r w:rsidRPr="008B75FD">
        <w:rPr>
          <w:i/>
        </w:rPr>
        <w:t xml:space="preserve"> ambacht gecomen sijn ende half op</w:t>
      </w:r>
      <w:r>
        <w:rPr>
          <w:i/>
        </w:rPr>
        <w:t xml:space="preserve"> </w:t>
      </w:r>
      <w:r w:rsidRPr="008B75FD">
        <w:rPr>
          <w:i/>
        </w:rPr>
        <w:t xml:space="preserve">ten sacramentsdach daernaest volgende ende </w:t>
      </w:r>
      <w:r>
        <w:rPr>
          <w:i/>
        </w:rPr>
        <w:t>daert</w:t>
      </w:r>
      <w:r w:rsidRPr="008B75FD">
        <w:rPr>
          <w:i/>
        </w:rPr>
        <w:t>oe den gesworenen van den voirs</w:t>
      </w:r>
      <w:r>
        <w:rPr>
          <w:i/>
        </w:rPr>
        <w:t>creven ambacht een gelte Rijnsch</w:t>
      </w:r>
      <w:r w:rsidRPr="008B75FD">
        <w:rPr>
          <w:i/>
        </w:rPr>
        <w:t xml:space="preserve"> wijns.</w:t>
      </w:r>
    </w:p>
  </w:footnote>
  <w:footnote w:id="246">
    <w:p w:rsidR="00421AE8" w:rsidRPr="003C6F1B" w:rsidRDefault="00421AE8">
      <w:pPr>
        <w:pStyle w:val="Voetnoottekst"/>
      </w:pPr>
      <w:r>
        <w:rPr>
          <w:rStyle w:val="Voetnootmarkering"/>
        </w:rPr>
        <w:footnoteRef/>
      </w:r>
      <w:r w:rsidRPr="003C6F1B">
        <w:t xml:space="preserve"> SAL, 4648, fol. 9r – 9v.</w:t>
      </w:r>
    </w:p>
  </w:footnote>
  <w:footnote w:id="247">
    <w:p w:rsidR="00421AE8" w:rsidRDefault="00421AE8" w:rsidP="008B75FD">
      <w:pPr>
        <w:pStyle w:val="Voetnoottekst"/>
      </w:pPr>
      <w:r>
        <w:rPr>
          <w:rStyle w:val="Voetnootmarkering"/>
        </w:rPr>
        <w:footnoteRef/>
      </w:r>
      <w:r w:rsidRPr="003C6F1B">
        <w:t xml:space="preserve"> SAL, 1523, fol. </w:t>
      </w:r>
      <w:r>
        <w:t>155r – 156r, 23 mei 1424</w:t>
      </w:r>
      <w:r w:rsidRPr="003C6F1B">
        <w:t>.</w:t>
      </w:r>
    </w:p>
    <w:p w:rsidR="00421AE8" w:rsidRPr="003C6F1B" w:rsidRDefault="00421AE8" w:rsidP="008B75FD">
      <w:pPr>
        <w:pStyle w:val="Voetnoottekst"/>
      </w:pPr>
      <w:r w:rsidRPr="00C76E24">
        <w:t>Zie pagina</w:t>
      </w:r>
      <w:r>
        <w:t xml:space="preserve"> 21 – 22.</w:t>
      </w:r>
    </w:p>
  </w:footnote>
  <w:footnote w:id="248">
    <w:p w:rsidR="00421AE8" w:rsidRDefault="00421AE8" w:rsidP="008B75FD">
      <w:pPr>
        <w:pStyle w:val="Voetnoottekst"/>
      </w:pPr>
      <w:r>
        <w:rPr>
          <w:rStyle w:val="Voetnootmarkering"/>
        </w:rPr>
        <w:footnoteRef/>
      </w:r>
      <w:r>
        <w:t xml:space="preserve"> VERHAVERT, </w:t>
      </w:r>
      <w:r>
        <w:rPr>
          <w:i/>
        </w:rPr>
        <w:t>Het ambachtswezen te Leuven</w:t>
      </w:r>
      <w:r>
        <w:t>, 100.</w:t>
      </w:r>
    </w:p>
  </w:footnote>
  <w:footnote w:id="249">
    <w:p w:rsidR="00421AE8" w:rsidRPr="006F6E7F" w:rsidRDefault="00421AE8" w:rsidP="00AE6E89">
      <w:pPr>
        <w:pStyle w:val="Voetnoottekst"/>
        <w:rPr>
          <w:i/>
        </w:rPr>
      </w:pPr>
      <w:r>
        <w:rPr>
          <w:rStyle w:val="Voetnootmarkering"/>
        </w:rPr>
        <w:footnoteRef/>
      </w:r>
      <w:r w:rsidRPr="001B35C3">
        <w:t xml:space="preserve"> </w:t>
      </w:r>
      <w:r>
        <w:t>Zie bijvoorbeeld: HAEMERS, ‘</w:t>
      </w:r>
      <w:r>
        <w:rPr>
          <w:color w:val="212121"/>
          <w:shd w:val="clear" w:color="auto" w:fill="FFFFFF"/>
        </w:rPr>
        <w:t>Commotie in Mechelen. Over sociale conflicten en politiek protest van mannen én vrouwen in de laatmiddeleeuwse stad’.</w:t>
      </w:r>
    </w:p>
    <w:p w:rsidR="00421AE8" w:rsidRPr="006F6E7F" w:rsidRDefault="00421AE8" w:rsidP="008B75FD">
      <w:pPr>
        <w:pStyle w:val="Voetnoottekst"/>
        <w:rPr>
          <w:i/>
        </w:rPr>
      </w:pPr>
    </w:p>
  </w:footnote>
  <w:footnote w:id="250">
    <w:p w:rsidR="00421AE8" w:rsidRPr="00C47C5E" w:rsidRDefault="00421AE8" w:rsidP="00A1684C">
      <w:pPr>
        <w:pStyle w:val="Voetnoottekst"/>
        <w:rPr>
          <w:lang w:val="en-GB"/>
        </w:rPr>
      </w:pPr>
      <w:r>
        <w:rPr>
          <w:rStyle w:val="Voetnootmarkering"/>
        </w:rPr>
        <w:footnoteRef/>
      </w:r>
      <w:r w:rsidRPr="00C47C5E">
        <w:rPr>
          <w:lang w:val="en-GB"/>
        </w:rPr>
        <w:t xml:space="preserve"> SAL</w:t>
      </w:r>
      <w:r w:rsidRPr="00151695">
        <w:rPr>
          <w:lang w:val="en-GB"/>
        </w:rPr>
        <w:t xml:space="preserve">, 4659, fol. </w:t>
      </w:r>
      <w:r w:rsidRPr="005F4F43">
        <w:rPr>
          <w:lang w:val="en-GB"/>
        </w:rPr>
        <w:t>1r – 9r, 17 juli 1453</w:t>
      </w:r>
      <w:r>
        <w:rPr>
          <w:lang w:val="en-GB"/>
        </w:rPr>
        <w:t>.</w:t>
      </w:r>
    </w:p>
  </w:footnote>
  <w:footnote w:id="251">
    <w:p w:rsidR="00421AE8" w:rsidRPr="00C47C5E" w:rsidRDefault="00421AE8" w:rsidP="00A1684C">
      <w:pPr>
        <w:pStyle w:val="Voetnoottekst"/>
        <w:rPr>
          <w:lang w:val="en-GB"/>
        </w:rPr>
      </w:pPr>
      <w:r>
        <w:rPr>
          <w:rStyle w:val="Voetnootmarkering"/>
        </w:rPr>
        <w:footnoteRef/>
      </w:r>
      <w:r w:rsidRPr="00C47C5E">
        <w:rPr>
          <w:lang w:val="en-GB"/>
        </w:rPr>
        <w:t xml:space="preserve"> SAL</w:t>
      </w:r>
      <w:r w:rsidRPr="00151695">
        <w:rPr>
          <w:lang w:val="en-GB"/>
        </w:rPr>
        <w:t xml:space="preserve">, 4659, fol. </w:t>
      </w:r>
      <w:r w:rsidRPr="005F4F43">
        <w:rPr>
          <w:lang w:val="en-GB"/>
        </w:rPr>
        <w:t>1r – 9r, 17 juli 1453</w:t>
      </w:r>
      <w:r>
        <w:rPr>
          <w:lang w:val="en-GB"/>
        </w:rPr>
        <w:t>.</w:t>
      </w:r>
    </w:p>
  </w:footnote>
  <w:footnote w:id="252">
    <w:p w:rsidR="00421AE8" w:rsidRPr="00551E71" w:rsidRDefault="00421AE8" w:rsidP="00A1684C">
      <w:pPr>
        <w:pStyle w:val="Voetnoottekst"/>
        <w:rPr>
          <w:lang w:val="en-GB"/>
        </w:rPr>
      </w:pPr>
      <w:r>
        <w:rPr>
          <w:rStyle w:val="Voetnootmarkering"/>
        </w:rPr>
        <w:footnoteRef/>
      </w:r>
      <w:r w:rsidRPr="00551E71">
        <w:rPr>
          <w:lang w:val="en-GB"/>
        </w:rPr>
        <w:t xml:space="preserve"> SAL, 4659, fol. </w:t>
      </w:r>
      <w:r w:rsidRPr="005F4F43">
        <w:rPr>
          <w:lang w:val="en-GB"/>
        </w:rPr>
        <w:t>9r – 9v, 20 maart 1460.</w:t>
      </w:r>
    </w:p>
  </w:footnote>
  <w:footnote w:id="253">
    <w:p w:rsidR="00421AE8" w:rsidRPr="0046412E" w:rsidRDefault="00421AE8" w:rsidP="00A1684C">
      <w:pPr>
        <w:pStyle w:val="Voetnoottekst"/>
        <w:rPr>
          <w:lang w:val="en-GB"/>
        </w:rPr>
      </w:pPr>
      <w:r>
        <w:rPr>
          <w:rStyle w:val="Voetnootmarkering"/>
        </w:rPr>
        <w:footnoteRef/>
      </w:r>
      <w:r w:rsidRPr="0046412E">
        <w:rPr>
          <w:lang w:val="en-GB"/>
        </w:rPr>
        <w:t xml:space="preserve"> SAL, 1523, fol. 61r, 10 januari 1424.</w:t>
      </w:r>
    </w:p>
  </w:footnote>
  <w:footnote w:id="254">
    <w:p w:rsidR="00421AE8" w:rsidRPr="0046412E" w:rsidRDefault="00421AE8" w:rsidP="00A1684C">
      <w:pPr>
        <w:pStyle w:val="Voetnoottekst"/>
        <w:rPr>
          <w:lang w:val="en-GB"/>
        </w:rPr>
      </w:pPr>
      <w:r>
        <w:rPr>
          <w:rStyle w:val="Voetnootmarkering"/>
        </w:rPr>
        <w:footnoteRef/>
      </w:r>
      <w:r w:rsidRPr="0046412E">
        <w:rPr>
          <w:lang w:val="en-GB"/>
        </w:rPr>
        <w:t xml:space="preserve"> </w:t>
      </w:r>
      <w:r>
        <w:rPr>
          <w:lang w:val="en-GB"/>
        </w:rPr>
        <w:t>SAL, 1523, fol. 145r, 28 mei 1451.</w:t>
      </w:r>
    </w:p>
  </w:footnote>
  <w:footnote w:id="255">
    <w:p w:rsidR="00421AE8" w:rsidRPr="005F4F43" w:rsidRDefault="00421AE8" w:rsidP="00A1684C">
      <w:pPr>
        <w:pStyle w:val="Voetnoottekst"/>
      </w:pPr>
      <w:r>
        <w:rPr>
          <w:rStyle w:val="Voetnootmarkering"/>
        </w:rPr>
        <w:footnoteRef/>
      </w:r>
      <w:r w:rsidRPr="005F4F43">
        <w:t xml:space="preserve"> SAL, 4648, fol. 453r – 454r, 4 maart 1484.</w:t>
      </w:r>
    </w:p>
  </w:footnote>
  <w:footnote w:id="256">
    <w:p w:rsidR="00421AE8" w:rsidRPr="0046412E" w:rsidRDefault="00421AE8" w:rsidP="00A1684C">
      <w:pPr>
        <w:pStyle w:val="Voetnoottekst"/>
        <w:rPr>
          <w:lang w:val="en-GB"/>
        </w:rPr>
      </w:pPr>
      <w:r>
        <w:rPr>
          <w:rStyle w:val="Voetnootmarkering"/>
        </w:rPr>
        <w:footnoteRef/>
      </w:r>
      <w:r w:rsidRPr="0046412E">
        <w:rPr>
          <w:lang w:val="en-GB"/>
        </w:rPr>
        <w:t xml:space="preserve"> </w:t>
      </w:r>
      <w:r>
        <w:rPr>
          <w:lang w:val="en-GB"/>
        </w:rPr>
        <w:t>SAL, 1527, 1593.</w:t>
      </w:r>
    </w:p>
  </w:footnote>
  <w:footnote w:id="257">
    <w:p w:rsidR="00421AE8" w:rsidRPr="00552A18" w:rsidRDefault="00421AE8" w:rsidP="00A1684C">
      <w:pPr>
        <w:pStyle w:val="Voetnoottekst"/>
        <w:rPr>
          <w:lang w:val="en-GB"/>
        </w:rPr>
      </w:pPr>
      <w:r>
        <w:rPr>
          <w:rStyle w:val="Voetnootmarkering"/>
        </w:rPr>
        <w:footnoteRef/>
      </w:r>
      <w:r w:rsidRPr="00552A18">
        <w:rPr>
          <w:lang w:val="en-GB"/>
        </w:rPr>
        <w:t xml:space="preserve"> KITTELL en QUELLER., ‘“Whether man or woman”’, 75 – 80.</w:t>
      </w:r>
    </w:p>
  </w:footnote>
  <w:footnote w:id="258">
    <w:p w:rsidR="00421AE8" w:rsidRPr="00A203FD" w:rsidRDefault="00421AE8" w:rsidP="00A1684C">
      <w:pPr>
        <w:pStyle w:val="Voetnoottekst"/>
        <w:rPr>
          <w:lang w:val="en-GB"/>
        </w:rPr>
      </w:pPr>
      <w:r>
        <w:rPr>
          <w:rStyle w:val="Voetnootmarkering"/>
        </w:rPr>
        <w:footnoteRef/>
      </w:r>
      <w:r w:rsidRPr="00A203FD">
        <w:rPr>
          <w:lang w:val="en-GB"/>
        </w:rPr>
        <w:t xml:space="preserve"> </w:t>
      </w:r>
      <w:r w:rsidRPr="00CB1053">
        <w:rPr>
          <w:lang w:val="en-GB"/>
        </w:rPr>
        <w:t xml:space="preserve">SMITH, </w:t>
      </w:r>
      <w:r>
        <w:rPr>
          <w:lang w:val="en-GB"/>
        </w:rPr>
        <w:t>‘Women’s Admission to Guilds’, 114 – 123.</w:t>
      </w:r>
    </w:p>
  </w:footnote>
  <w:footnote w:id="259">
    <w:p w:rsidR="00421AE8" w:rsidRPr="00A83CBE" w:rsidRDefault="00421AE8" w:rsidP="00A1684C">
      <w:pPr>
        <w:pStyle w:val="Voetnoottekst"/>
        <w:rPr>
          <w:lang w:val="en-GB"/>
        </w:rPr>
      </w:pPr>
      <w:r>
        <w:rPr>
          <w:rStyle w:val="Voetnootmarkering"/>
        </w:rPr>
        <w:footnoteRef/>
      </w:r>
      <w:r w:rsidRPr="00A83CBE">
        <w:rPr>
          <w:lang w:val="en-GB"/>
        </w:rPr>
        <w:t xml:space="preserve"> HUTTON, ‘Women, Men, and Markets’, 413; Zie paragraaf 3.2.</w:t>
      </w:r>
    </w:p>
  </w:footnote>
  <w:footnote w:id="260">
    <w:p w:rsidR="00421AE8" w:rsidRPr="00151695" w:rsidRDefault="00421AE8" w:rsidP="00A1684C">
      <w:pPr>
        <w:pStyle w:val="Voetnoottekst"/>
        <w:rPr>
          <w:lang w:val="en-GB"/>
        </w:rPr>
      </w:pPr>
      <w:r>
        <w:rPr>
          <w:rStyle w:val="Voetnootmarkering"/>
        </w:rPr>
        <w:footnoteRef/>
      </w:r>
      <w:r w:rsidRPr="00151695">
        <w:rPr>
          <w:lang w:val="en-GB"/>
        </w:rPr>
        <w:t xml:space="preserve"> SAL, </w:t>
      </w:r>
      <w:r w:rsidRPr="005F4F43">
        <w:rPr>
          <w:lang w:val="en-GB"/>
        </w:rPr>
        <w:t xml:space="preserve">4648, fol. 173v, maart 1458; </w:t>
      </w:r>
      <w:r w:rsidRPr="00151695">
        <w:rPr>
          <w:lang w:val="en-GB"/>
        </w:rPr>
        <w:t xml:space="preserve">SAL, 4659, fol. </w:t>
      </w:r>
      <w:r w:rsidRPr="005F4F43">
        <w:rPr>
          <w:lang w:val="en-GB"/>
        </w:rPr>
        <w:t>9r – 9v, 20 maart 1460</w:t>
      </w:r>
      <w:r w:rsidRPr="00151695">
        <w:rPr>
          <w:lang w:val="en-GB"/>
        </w:rPr>
        <w:t>.</w:t>
      </w:r>
    </w:p>
  </w:footnote>
  <w:footnote w:id="261">
    <w:p w:rsidR="00421AE8" w:rsidRPr="00651069" w:rsidRDefault="00421AE8" w:rsidP="00A1684C">
      <w:pPr>
        <w:pStyle w:val="Voetnoottekst"/>
        <w:rPr>
          <w:lang w:val="en-GB"/>
        </w:rPr>
      </w:pPr>
      <w:r>
        <w:rPr>
          <w:rStyle w:val="Voetnootmarkering"/>
        </w:rPr>
        <w:footnoteRef/>
      </w:r>
      <w:r w:rsidRPr="00651069">
        <w:rPr>
          <w:lang w:val="en-GB"/>
        </w:rPr>
        <w:t xml:space="preserve"> </w:t>
      </w:r>
      <w:r>
        <w:rPr>
          <w:lang w:val="en-GB"/>
        </w:rPr>
        <w:t xml:space="preserve">CROWSTON, </w:t>
      </w:r>
      <w:r w:rsidRPr="00046495">
        <w:rPr>
          <w:lang w:val="en-GB"/>
        </w:rPr>
        <w:t>‘Women, Gender, an</w:t>
      </w:r>
      <w:r>
        <w:rPr>
          <w:lang w:val="en-GB"/>
        </w:rPr>
        <w:t>d Guilds</w:t>
      </w:r>
      <w:r w:rsidRPr="00046495">
        <w:rPr>
          <w:lang w:val="en-GB"/>
        </w:rPr>
        <w:t>’</w:t>
      </w:r>
      <w:r>
        <w:rPr>
          <w:lang w:val="en-GB"/>
        </w:rPr>
        <w:t>, 25 – 26.</w:t>
      </w:r>
    </w:p>
  </w:footnote>
  <w:footnote w:id="262">
    <w:p w:rsidR="00421AE8" w:rsidRPr="00DF74BF" w:rsidRDefault="00421AE8" w:rsidP="00A1684C">
      <w:pPr>
        <w:pStyle w:val="Voetnoottekst"/>
        <w:rPr>
          <w:lang w:val="en-GB"/>
        </w:rPr>
      </w:pPr>
      <w:r>
        <w:rPr>
          <w:rStyle w:val="Voetnootmarkering"/>
        </w:rPr>
        <w:footnoteRef/>
      </w:r>
      <w:r w:rsidRPr="00DF74BF">
        <w:rPr>
          <w:lang w:val="en-GB"/>
        </w:rPr>
        <w:t xml:space="preserve"> SAL, 4648, fol. 444r – 444v, 5 februari 1445.</w:t>
      </w:r>
    </w:p>
  </w:footnote>
  <w:footnote w:id="263">
    <w:p w:rsidR="00421AE8" w:rsidRPr="00DE4E0F" w:rsidRDefault="00421AE8" w:rsidP="00A1684C">
      <w:pPr>
        <w:pStyle w:val="Voetnoottekst"/>
        <w:rPr>
          <w:lang w:val="en-GB"/>
        </w:rPr>
      </w:pPr>
      <w:r>
        <w:rPr>
          <w:rStyle w:val="Voetnootmarkering"/>
        </w:rPr>
        <w:footnoteRef/>
      </w:r>
      <w:r w:rsidRPr="00DE4E0F">
        <w:rPr>
          <w:lang w:val="en-GB"/>
        </w:rPr>
        <w:t xml:space="preserve"> </w:t>
      </w:r>
      <w:r>
        <w:rPr>
          <w:lang w:val="en-GB"/>
        </w:rPr>
        <w:t xml:space="preserve">CROWSTON, </w:t>
      </w:r>
      <w:r w:rsidRPr="00046495">
        <w:rPr>
          <w:lang w:val="en-GB"/>
        </w:rPr>
        <w:t>‘Women, Gender, an</w:t>
      </w:r>
      <w:r>
        <w:rPr>
          <w:lang w:val="en-GB"/>
        </w:rPr>
        <w:t>d Guilds</w:t>
      </w:r>
      <w:r w:rsidRPr="00046495">
        <w:rPr>
          <w:lang w:val="en-GB"/>
        </w:rPr>
        <w:t>’</w:t>
      </w:r>
      <w:r>
        <w:rPr>
          <w:lang w:val="en-GB"/>
        </w:rPr>
        <w:t>, 25 – 26.</w:t>
      </w:r>
    </w:p>
  </w:footnote>
  <w:footnote w:id="264">
    <w:p w:rsidR="00421AE8" w:rsidRPr="00A205F0" w:rsidRDefault="00421AE8" w:rsidP="00A1684C">
      <w:pPr>
        <w:pStyle w:val="Voetnoottekst"/>
        <w:rPr>
          <w:lang w:val="en-GB"/>
        </w:rPr>
      </w:pPr>
      <w:r>
        <w:rPr>
          <w:rStyle w:val="Voetnootmarkering"/>
        </w:rPr>
        <w:footnoteRef/>
      </w:r>
      <w:r w:rsidRPr="00A205F0">
        <w:rPr>
          <w:lang w:val="en-GB"/>
        </w:rPr>
        <w:t xml:space="preserve"> </w:t>
      </w:r>
      <w:r w:rsidRPr="00552A18">
        <w:rPr>
          <w:lang w:val="en-GB"/>
        </w:rPr>
        <w:t>KITTELL en QUELLER., ‘“</w:t>
      </w:r>
      <w:r>
        <w:rPr>
          <w:lang w:val="en-GB"/>
        </w:rPr>
        <w:t>Whether man or woman”’, 80 – 81.</w:t>
      </w:r>
    </w:p>
  </w:footnote>
  <w:footnote w:id="265">
    <w:p w:rsidR="00421AE8" w:rsidRPr="009D7739" w:rsidRDefault="00421AE8" w:rsidP="00A1684C">
      <w:pPr>
        <w:pStyle w:val="Voetnoottekst"/>
        <w:rPr>
          <w:lang w:val="en-GB"/>
        </w:rPr>
      </w:pPr>
      <w:r>
        <w:rPr>
          <w:rStyle w:val="Voetnootmarkering"/>
        </w:rPr>
        <w:footnoteRef/>
      </w:r>
      <w:r w:rsidRPr="009D7739">
        <w:rPr>
          <w:lang w:val="en-GB"/>
        </w:rPr>
        <w:t xml:space="preserve"> </w:t>
      </w:r>
      <w:r w:rsidRPr="0052448A">
        <w:rPr>
          <w:lang w:val="en-GB"/>
        </w:rPr>
        <w:t xml:space="preserve">HUTTON, </w:t>
      </w:r>
      <w:r>
        <w:rPr>
          <w:lang w:val="en-GB"/>
        </w:rPr>
        <w:t xml:space="preserve">‘Women, Men, and Markets’, 411 – 412; </w:t>
      </w:r>
      <w:r w:rsidRPr="0052448A">
        <w:rPr>
          <w:lang w:val="en-GB"/>
        </w:rPr>
        <w:t xml:space="preserve">HUTTON, </w:t>
      </w:r>
      <w:r>
        <w:rPr>
          <w:lang w:val="en-GB"/>
        </w:rPr>
        <w:t>‘Women, Men, and Markets’, 430.</w:t>
      </w:r>
    </w:p>
  </w:footnote>
  <w:footnote w:id="266">
    <w:p w:rsidR="00421AE8" w:rsidRPr="00FD4301" w:rsidRDefault="00421AE8" w:rsidP="00266F09">
      <w:pPr>
        <w:pStyle w:val="Voetnoottekst"/>
      </w:pPr>
      <w:r>
        <w:rPr>
          <w:rStyle w:val="Voetnootmarkering"/>
        </w:rPr>
        <w:footnoteRef/>
      </w:r>
      <w:r w:rsidRPr="00FD4301">
        <w:t xml:space="preserve"> Zie pagina</w:t>
      </w:r>
      <w:r>
        <w:t xml:space="preserve"> 58.</w:t>
      </w:r>
    </w:p>
  </w:footnote>
  <w:footnote w:id="267">
    <w:p w:rsidR="00421AE8" w:rsidRPr="00FD4301" w:rsidRDefault="00421AE8" w:rsidP="00266F09">
      <w:pPr>
        <w:pStyle w:val="Voetnoottekst"/>
      </w:pPr>
      <w:r>
        <w:rPr>
          <w:rStyle w:val="Voetnootmarkering"/>
        </w:rPr>
        <w:footnoteRef/>
      </w:r>
      <w:r w:rsidRPr="00FD4301">
        <w:t xml:space="preserve"> Zie pagina</w:t>
      </w:r>
      <w:r>
        <w:t xml:space="preserve"> 44 – 45.</w:t>
      </w:r>
    </w:p>
  </w:footnote>
  <w:footnote w:id="268">
    <w:p w:rsidR="00421AE8" w:rsidRPr="00FD4301" w:rsidRDefault="00421AE8" w:rsidP="00266F09">
      <w:pPr>
        <w:pStyle w:val="Voetnoottekst"/>
      </w:pPr>
      <w:r>
        <w:rPr>
          <w:rStyle w:val="Voetnootmarkering"/>
        </w:rPr>
        <w:footnoteRef/>
      </w:r>
      <w:r w:rsidRPr="00FD4301">
        <w:t xml:space="preserve"> HUTTON, ‘Property, Family and Partnership’, 156; VAN GERVEN, ‘Vrouwen, arbeid en sociale positie.’, 958.</w:t>
      </w:r>
    </w:p>
  </w:footnote>
  <w:footnote w:id="269">
    <w:p w:rsidR="00421AE8" w:rsidRPr="00CF1F7F" w:rsidRDefault="00421AE8" w:rsidP="00266F09">
      <w:pPr>
        <w:pStyle w:val="Voetnoottekst"/>
        <w:rPr>
          <w:lang w:val="en-GB"/>
        </w:rPr>
      </w:pPr>
      <w:r>
        <w:rPr>
          <w:rStyle w:val="Voetnootmarkering"/>
        </w:rPr>
        <w:footnoteRef/>
      </w:r>
      <w:r>
        <w:rPr>
          <w:lang w:val="en-GB"/>
        </w:rPr>
        <w:t xml:space="preserve"> REES</w:t>
      </w:r>
      <w:r w:rsidRPr="00CF1F7F">
        <w:rPr>
          <w:lang w:val="en-GB"/>
        </w:rPr>
        <w:t xml:space="preserve"> </w:t>
      </w:r>
      <w:r>
        <w:rPr>
          <w:lang w:val="en-GB"/>
        </w:rPr>
        <w:t>JONES, ‘Public and Private Space’, 247.</w:t>
      </w:r>
    </w:p>
  </w:footnote>
  <w:footnote w:id="270">
    <w:p w:rsidR="00421AE8" w:rsidRPr="00CF1F7F" w:rsidRDefault="00421AE8" w:rsidP="00266F09">
      <w:pPr>
        <w:pStyle w:val="Voetnoottekst"/>
        <w:rPr>
          <w:lang w:val="en-GB"/>
        </w:rPr>
      </w:pPr>
      <w:r>
        <w:rPr>
          <w:rStyle w:val="Voetnootmarkering"/>
        </w:rPr>
        <w:footnoteRef/>
      </w:r>
      <w:r w:rsidRPr="00CF1F7F">
        <w:rPr>
          <w:lang w:val="en-GB"/>
        </w:rPr>
        <w:t xml:space="preserve"> </w:t>
      </w:r>
      <w:r>
        <w:rPr>
          <w:lang w:val="en-GB"/>
        </w:rPr>
        <w:t>HUTTON, ‘</w:t>
      </w:r>
      <w:r w:rsidRPr="006058CD">
        <w:rPr>
          <w:lang w:val="en-GB"/>
        </w:rPr>
        <w:t xml:space="preserve">Women, Men, </w:t>
      </w:r>
      <w:r>
        <w:rPr>
          <w:lang w:val="en-GB"/>
        </w:rPr>
        <w:t>and Markets’, 422.</w:t>
      </w:r>
    </w:p>
  </w:footnote>
  <w:footnote w:id="271">
    <w:p w:rsidR="00421AE8" w:rsidRPr="00327615" w:rsidRDefault="00421AE8" w:rsidP="00266F09">
      <w:pPr>
        <w:pStyle w:val="Voetnoottekst"/>
        <w:rPr>
          <w:lang w:val="en-GB"/>
        </w:rPr>
      </w:pPr>
      <w:r>
        <w:rPr>
          <w:rStyle w:val="Voetnootmarkering"/>
        </w:rPr>
        <w:footnoteRef/>
      </w:r>
      <w:r w:rsidRPr="00327615">
        <w:rPr>
          <w:lang w:val="en-GB"/>
        </w:rPr>
        <w:t xml:space="preserve"> </w:t>
      </w:r>
      <w:r>
        <w:rPr>
          <w:lang w:val="en-GB"/>
        </w:rPr>
        <w:t xml:space="preserve">CLASSEN, A., ‘Urban Space in the Middle Ages and the Early Modern Age: Historical, Mental, Cultural, and Social-Economic Investigations’, A. CLASSEN, red., </w:t>
      </w:r>
      <w:r>
        <w:rPr>
          <w:i/>
          <w:lang w:val="en-GB"/>
        </w:rPr>
        <w:t>Urban Space in the Middle Ages and the Early Modern Age</w:t>
      </w:r>
      <w:r>
        <w:rPr>
          <w:lang w:val="en-GB"/>
        </w:rPr>
        <w:t xml:space="preserve"> (Fundamentals of Medieval and Early Modern Culture, 4), Berlijn en New York, 2009, 1 – 145, </w:t>
      </w:r>
      <w:r w:rsidRPr="00327615">
        <w:rPr>
          <w:lang w:val="en-GB"/>
        </w:rPr>
        <w:t>15.</w:t>
      </w:r>
    </w:p>
  </w:footnote>
  <w:footnote w:id="272">
    <w:p w:rsidR="00421AE8" w:rsidRPr="00327615" w:rsidRDefault="00421AE8" w:rsidP="00266F09">
      <w:pPr>
        <w:pStyle w:val="Voetnoottekst"/>
        <w:rPr>
          <w:lang w:val="en-GB"/>
        </w:rPr>
      </w:pPr>
      <w:r>
        <w:rPr>
          <w:rStyle w:val="Voetnootmarkering"/>
        </w:rPr>
        <w:footnoteRef/>
      </w:r>
      <w:r w:rsidRPr="00327615">
        <w:rPr>
          <w:lang w:val="en-GB"/>
        </w:rPr>
        <w:t xml:space="preserve"> </w:t>
      </w:r>
      <w:r>
        <w:rPr>
          <w:rFonts w:cs="Times New Roman"/>
          <w:szCs w:val="24"/>
          <w:lang w:val="en-GB"/>
        </w:rPr>
        <w:t xml:space="preserve">LEFEBVRE, </w:t>
      </w:r>
      <w:r w:rsidRPr="00982DC6">
        <w:rPr>
          <w:rFonts w:cs="Times New Roman"/>
          <w:i/>
          <w:szCs w:val="24"/>
          <w:lang w:val="en-GB"/>
        </w:rPr>
        <w:t>The Production of Space</w:t>
      </w:r>
      <w:r>
        <w:rPr>
          <w:rFonts w:cs="Times New Roman"/>
          <w:szCs w:val="24"/>
          <w:lang w:val="en-GB"/>
        </w:rPr>
        <w:t>.</w:t>
      </w:r>
    </w:p>
  </w:footnote>
  <w:footnote w:id="273">
    <w:p w:rsidR="00421AE8" w:rsidRPr="008B3973" w:rsidRDefault="00421AE8" w:rsidP="00266F09">
      <w:pPr>
        <w:pStyle w:val="Voetnoottekst"/>
        <w:rPr>
          <w:lang w:val="en-GB"/>
        </w:rPr>
      </w:pPr>
      <w:r>
        <w:rPr>
          <w:rStyle w:val="Voetnootmarkering"/>
        </w:rPr>
        <w:footnoteRef/>
      </w:r>
      <w:r w:rsidRPr="008B3973">
        <w:rPr>
          <w:lang w:val="en-GB"/>
        </w:rPr>
        <w:t xml:space="preserve"> </w:t>
      </w:r>
      <w:r>
        <w:rPr>
          <w:rFonts w:cs="Times New Roman"/>
          <w:lang w:val="en-GB"/>
        </w:rPr>
        <w:t>ARNADE, HOWELL en SIMONS, ‘Fertile Spaces: The Productivity of Urban Space in Northern Europe’, 515.</w:t>
      </w:r>
    </w:p>
  </w:footnote>
  <w:footnote w:id="274">
    <w:p w:rsidR="00421AE8" w:rsidRPr="00327615" w:rsidRDefault="00421AE8" w:rsidP="00266F09">
      <w:pPr>
        <w:pStyle w:val="Voetnoottekst"/>
        <w:rPr>
          <w:lang w:val="en-GB"/>
        </w:rPr>
      </w:pPr>
      <w:r>
        <w:rPr>
          <w:rStyle w:val="Voetnootmarkering"/>
        </w:rPr>
        <w:footnoteRef/>
      </w:r>
      <w:r w:rsidRPr="00327615">
        <w:rPr>
          <w:lang w:val="en-GB"/>
        </w:rPr>
        <w:t xml:space="preserve"> </w:t>
      </w:r>
      <w:r>
        <w:rPr>
          <w:lang w:val="en-GB"/>
        </w:rPr>
        <w:t>HUTTON, ‘</w:t>
      </w:r>
      <w:r w:rsidRPr="006058CD">
        <w:rPr>
          <w:lang w:val="en-GB"/>
        </w:rPr>
        <w:t xml:space="preserve">Women, Men, </w:t>
      </w:r>
      <w:r>
        <w:rPr>
          <w:lang w:val="en-GB"/>
        </w:rPr>
        <w:t xml:space="preserve">and Markets’, </w:t>
      </w:r>
      <w:r w:rsidRPr="00327615">
        <w:rPr>
          <w:lang w:val="en-GB"/>
        </w:rPr>
        <w:t>410</w:t>
      </w:r>
      <w:r>
        <w:rPr>
          <w:lang w:val="en-GB"/>
        </w:rPr>
        <w:t>.</w:t>
      </w:r>
    </w:p>
  </w:footnote>
  <w:footnote w:id="275">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 xml:space="preserve">DE CERTEAU, </w:t>
      </w:r>
      <w:r w:rsidRPr="00CC4AA5">
        <w:rPr>
          <w:i/>
          <w:lang w:val="en-GB"/>
        </w:rPr>
        <w:t>The Practice of Everyday Live</w:t>
      </w:r>
      <w:r>
        <w:rPr>
          <w:lang w:val="en-GB"/>
        </w:rPr>
        <w:t xml:space="preserve">, </w:t>
      </w:r>
      <w:r w:rsidRPr="005B5A66">
        <w:rPr>
          <w:lang w:val="en-GB"/>
        </w:rPr>
        <w:t>117.</w:t>
      </w:r>
    </w:p>
  </w:footnote>
  <w:footnote w:id="276">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 xml:space="preserve">HOWELL, ‘The spaces of late medieval urbanity’, </w:t>
      </w:r>
      <w:r w:rsidRPr="005B5A66">
        <w:rPr>
          <w:lang w:val="en-GB"/>
        </w:rPr>
        <w:t>7 – 8.</w:t>
      </w:r>
    </w:p>
  </w:footnote>
  <w:footnote w:id="277">
    <w:p w:rsidR="00421AE8" w:rsidRPr="00690C02" w:rsidRDefault="00421AE8" w:rsidP="00266F09">
      <w:pPr>
        <w:pStyle w:val="Voetnoottekst"/>
        <w:rPr>
          <w:lang w:val="en-GB"/>
        </w:rPr>
      </w:pPr>
      <w:r>
        <w:rPr>
          <w:rStyle w:val="Voetnootmarkering"/>
        </w:rPr>
        <w:footnoteRef/>
      </w:r>
      <w:r w:rsidRPr="00690C02">
        <w:rPr>
          <w:lang w:val="en-GB"/>
        </w:rPr>
        <w:t xml:space="preserve"> </w:t>
      </w:r>
      <w:r>
        <w:rPr>
          <w:lang w:val="en-GB"/>
        </w:rPr>
        <w:t>HOWELL,</w:t>
      </w:r>
      <w:r w:rsidRPr="00690C02">
        <w:rPr>
          <w:lang w:val="en-GB"/>
        </w:rPr>
        <w:t xml:space="preserve"> ‘The spa</w:t>
      </w:r>
      <w:r>
        <w:rPr>
          <w:lang w:val="en-GB"/>
        </w:rPr>
        <w:t>ces of late medieval urbanity’,</w:t>
      </w:r>
      <w:r w:rsidRPr="00690C02">
        <w:rPr>
          <w:lang w:val="en-GB"/>
        </w:rPr>
        <w:t xml:space="preserve"> 3-23.</w:t>
      </w:r>
    </w:p>
  </w:footnote>
  <w:footnote w:id="278">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HUTTON, ‘</w:t>
      </w:r>
      <w:r w:rsidRPr="006058CD">
        <w:rPr>
          <w:lang w:val="en-GB"/>
        </w:rPr>
        <w:t xml:space="preserve">Women, Men, </w:t>
      </w:r>
      <w:r>
        <w:rPr>
          <w:lang w:val="en-GB"/>
        </w:rPr>
        <w:t xml:space="preserve">and Markets’, </w:t>
      </w:r>
      <w:r w:rsidRPr="005B5A66">
        <w:rPr>
          <w:lang w:val="en-GB"/>
        </w:rPr>
        <w:t>414.</w:t>
      </w:r>
    </w:p>
  </w:footnote>
  <w:footnote w:id="279">
    <w:p w:rsidR="00421AE8" w:rsidRPr="00327615" w:rsidRDefault="00421AE8" w:rsidP="00266F09">
      <w:pPr>
        <w:pStyle w:val="Voetnoottekst"/>
        <w:rPr>
          <w:lang w:val="en-GB"/>
        </w:rPr>
      </w:pPr>
      <w:r>
        <w:rPr>
          <w:rStyle w:val="Voetnootmarkering"/>
        </w:rPr>
        <w:footnoteRef/>
      </w:r>
      <w:r w:rsidRPr="00327615">
        <w:rPr>
          <w:lang w:val="en-GB"/>
        </w:rPr>
        <w:t xml:space="preserve"> </w:t>
      </w:r>
      <w:r>
        <w:rPr>
          <w:lang w:val="en-GB"/>
        </w:rPr>
        <w:t xml:space="preserve">HOWELL, ‘The spaces of late medieval urbanity’, </w:t>
      </w:r>
      <w:r w:rsidRPr="00327615">
        <w:rPr>
          <w:lang w:val="en-GB"/>
        </w:rPr>
        <w:t>4 – 6.</w:t>
      </w:r>
    </w:p>
  </w:footnote>
  <w:footnote w:id="280">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 xml:space="preserve">HOWELL, ‘The spaces of late medieval urbanity’, </w:t>
      </w:r>
      <w:r w:rsidRPr="005B5A66">
        <w:rPr>
          <w:lang w:val="en-GB"/>
        </w:rPr>
        <w:t>7 – 8.</w:t>
      </w:r>
    </w:p>
  </w:footnote>
  <w:footnote w:id="281">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 xml:space="preserve">SYMES, ‘Out in the Open, in Arras: Sightlines, Soundscapes, and the Shaping of a Medieval Public Sphere’, </w:t>
      </w:r>
      <w:r w:rsidRPr="005B5A66">
        <w:rPr>
          <w:lang w:val="en-GB"/>
        </w:rPr>
        <w:t>302.</w:t>
      </w:r>
    </w:p>
  </w:footnote>
  <w:footnote w:id="282">
    <w:p w:rsidR="00421AE8" w:rsidRPr="00BC60D5" w:rsidRDefault="00421AE8" w:rsidP="00266F09">
      <w:pPr>
        <w:pStyle w:val="Voetnoottekst"/>
        <w:rPr>
          <w:lang w:val="en-GB"/>
        </w:rPr>
      </w:pPr>
      <w:r>
        <w:rPr>
          <w:rStyle w:val="Voetnootmarkering"/>
        </w:rPr>
        <w:footnoteRef/>
      </w:r>
      <w:r w:rsidRPr="00BC60D5">
        <w:rPr>
          <w:lang w:val="en-GB"/>
        </w:rPr>
        <w:t xml:space="preserve"> </w:t>
      </w:r>
      <w:r>
        <w:rPr>
          <w:lang w:val="en-GB"/>
        </w:rPr>
        <w:t xml:space="preserve">SYMES, ‘Out in the Open, in Arras’, </w:t>
      </w:r>
      <w:r w:rsidRPr="00BC60D5">
        <w:rPr>
          <w:lang w:val="en-GB"/>
        </w:rPr>
        <w:t>279.</w:t>
      </w:r>
    </w:p>
  </w:footnote>
  <w:footnote w:id="283">
    <w:p w:rsidR="00421AE8" w:rsidRPr="005B5A66" w:rsidRDefault="00421AE8" w:rsidP="00266F09">
      <w:pPr>
        <w:pStyle w:val="Voetnoottekst"/>
        <w:rPr>
          <w:lang w:val="en-GB"/>
        </w:rPr>
      </w:pPr>
      <w:r>
        <w:rPr>
          <w:rStyle w:val="Voetnootmarkering"/>
        </w:rPr>
        <w:footnoteRef/>
      </w:r>
      <w:r w:rsidRPr="005B5A66">
        <w:rPr>
          <w:lang w:val="en-GB"/>
        </w:rPr>
        <w:t xml:space="preserve"> </w:t>
      </w:r>
      <w:r>
        <w:rPr>
          <w:lang w:val="en-GB"/>
        </w:rPr>
        <w:t xml:space="preserve">HOWELL, ‘The spaces of late medieval urbanity’, </w:t>
      </w:r>
      <w:r w:rsidRPr="005B5A66">
        <w:rPr>
          <w:lang w:val="en-GB"/>
        </w:rPr>
        <w:t>19.</w:t>
      </w:r>
    </w:p>
  </w:footnote>
  <w:footnote w:id="284">
    <w:p w:rsidR="00421AE8" w:rsidRPr="0016129F" w:rsidRDefault="00421AE8" w:rsidP="00266F09">
      <w:pPr>
        <w:pStyle w:val="Voetnoottekst"/>
        <w:rPr>
          <w:lang w:val="en-GB"/>
        </w:rPr>
      </w:pPr>
      <w:r>
        <w:rPr>
          <w:rStyle w:val="Voetnootmarkering"/>
        </w:rPr>
        <w:footnoteRef/>
      </w:r>
      <w:r w:rsidRPr="0016129F">
        <w:rPr>
          <w:lang w:val="en-GB"/>
        </w:rPr>
        <w:t xml:space="preserve"> </w:t>
      </w:r>
      <w:r>
        <w:rPr>
          <w:lang w:val="en-GB"/>
        </w:rPr>
        <w:t xml:space="preserve">KUSKOWSKI, ‘Inventing Legal Space: From Regional Custom to Common Law in the </w:t>
      </w:r>
      <w:r>
        <w:rPr>
          <w:i/>
          <w:lang w:val="en-GB"/>
        </w:rPr>
        <w:t xml:space="preserve">Coutumiers </w:t>
      </w:r>
      <w:r>
        <w:rPr>
          <w:lang w:val="en-GB"/>
        </w:rPr>
        <w:t>of Medieval France’, 136 – 141.</w:t>
      </w:r>
    </w:p>
  </w:footnote>
  <w:footnote w:id="285">
    <w:p w:rsidR="00421AE8" w:rsidRPr="00F8765F" w:rsidRDefault="00421AE8" w:rsidP="00266F09">
      <w:pPr>
        <w:pStyle w:val="Voetnoottekst"/>
        <w:rPr>
          <w:lang w:val="en-GB"/>
        </w:rPr>
      </w:pPr>
      <w:r>
        <w:rPr>
          <w:rStyle w:val="Voetnootmarkering"/>
        </w:rPr>
        <w:footnoteRef/>
      </w:r>
      <w:r w:rsidRPr="00F8765F">
        <w:rPr>
          <w:lang w:val="en-GB"/>
        </w:rPr>
        <w:t xml:space="preserve"> </w:t>
      </w:r>
      <w:r>
        <w:rPr>
          <w:lang w:val="en-GB"/>
        </w:rPr>
        <w:t>KUSKOWSKI, ‘Inventing Legal Space’, 154 – 155.</w:t>
      </w:r>
    </w:p>
  </w:footnote>
  <w:footnote w:id="286">
    <w:p w:rsidR="00421AE8" w:rsidRPr="00536FD3" w:rsidRDefault="00421AE8" w:rsidP="00266F09">
      <w:pPr>
        <w:pStyle w:val="Voetnoottekst"/>
        <w:rPr>
          <w:lang w:val="en-GB"/>
        </w:rPr>
      </w:pPr>
      <w:r>
        <w:rPr>
          <w:rStyle w:val="Voetnootmarkering"/>
        </w:rPr>
        <w:footnoteRef/>
      </w:r>
      <w:r w:rsidRPr="00536FD3">
        <w:rPr>
          <w:lang w:val="en-GB"/>
        </w:rPr>
        <w:t xml:space="preserve"> </w:t>
      </w:r>
      <w:r>
        <w:rPr>
          <w:lang w:val="en-GB"/>
        </w:rPr>
        <w:t>REES JONES, ‘Public and Private Space’, 247.</w:t>
      </w:r>
    </w:p>
  </w:footnote>
  <w:footnote w:id="287">
    <w:p w:rsidR="00421AE8" w:rsidRPr="00676643" w:rsidRDefault="00421AE8" w:rsidP="00266F09">
      <w:pPr>
        <w:pStyle w:val="Voetnoottekst"/>
        <w:rPr>
          <w:lang w:val="en-GB"/>
        </w:rPr>
      </w:pPr>
      <w:r>
        <w:rPr>
          <w:rStyle w:val="Voetnootmarkering"/>
        </w:rPr>
        <w:footnoteRef/>
      </w:r>
      <w:r w:rsidRPr="00676643">
        <w:rPr>
          <w:lang w:val="en-GB"/>
        </w:rPr>
        <w:t xml:space="preserve"> </w:t>
      </w:r>
      <w:r>
        <w:rPr>
          <w:lang w:val="en-GB"/>
        </w:rPr>
        <w:t>HUTTON, ‘</w:t>
      </w:r>
      <w:r w:rsidRPr="006058CD">
        <w:rPr>
          <w:lang w:val="en-GB"/>
        </w:rPr>
        <w:t xml:space="preserve">Women, Men, </w:t>
      </w:r>
      <w:r>
        <w:rPr>
          <w:lang w:val="en-GB"/>
        </w:rPr>
        <w:t>and Markets’, 416.</w:t>
      </w:r>
    </w:p>
  </w:footnote>
  <w:footnote w:id="288">
    <w:p w:rsidR="00421AE8" w:rsidRPr="00EF5888" w:rsidRDefault="00421AE8" w:rsidP="00266F09">
      <w:pPr>
        <w:pStyle w:val="Voetnoottekst"/>
        <w:rPr>
          <w:lang w:val="en-GB"/>
        </w:rPr>
      </w:pPr>
      <w:r>
        <w:rPr>
          <w:rStyle w:val="Voetnootmarkering"/>
        </w:rPr>
        <w:footnoteRef/>
      </w:r>
      <w:r w:rsidRPr="00EF5888">
        <w:rPr>
          <w:lang w:val="en-GB"/>
        </w:rPr>
        <w:t xml:space="preserve"> </w:t>
      </w:r>
      <w:r>
        <w:rPr>
          <w:rFonts w:cs="Times New Roman"/>
          <w:lang w:val="en-GB"/>
        </w:rPr>
        <w:t>ARNADE, HOWELL en SIMONS, ‘Fertile Spaces’, 516.</w:t>
      </w:r>
    </w:p>
  </w:footnote>
  <w:footnote w:id="289">
    <w:p w:rsidR="00421AE8" w:rsidRPr="00472741" w:rsidRDefault="00421AE8" w:rsidP="00266F09">
      <w:pPr>
        <w:pStyle w:val="Voetnoottekst"/>
        <w:rPr>
          <w:lang w:val="en-GB"/>
        </w:rPr>
      </w:pPr>
      <w:r>
        <w:rPr>
          <w:rStyle w:val="Voetnootmarkering"/>
        </w:rPr>
        <w:footnoteRef/>
      </w:r>
      <w:r w:rsidRPr="00472741">
        <w:rPr>
          <w:lang w:val="en-GB"/>
        </w:rPr>
        <w:t xml:space="preserve"> </w:t>
      </w:r>
      <w:r>
        <w:rPr>
          <w:lang w:val="en-GB"/>
        </w:rPr>
        <w:t>SYMES, ‘Out in the Open, in Arras’, 280 – 281.</w:t>
      </w:r>
    </w:p>
  </w:footnote>
  <w:footnote w:id="290">
    <w:p w:rsidR="00421AE8" w:rsidRPr="007D1FE6" w:rsidRDefault="00421AE8" w:rsidP="00266F09">
      <w:pPr>
        <w:pStyle w:val="Voetnoottekst"/>
        <w:rPr>
          <w:lang w:val="en-GB"/>
        </w:rPr>
      </w:pPr>
      <w:r>
        <w:rPr>
          <w:rStyle w:val="Voetnootmarkering"/>
        </w:rPr>
        <w:footnoteRef/>
      </w:r>
      <w:r>
        <w:rPr>
          <w:lang w:val="en-GB"/>
        </w:rPr>
        <w:t xml:space="preserve"> REES</w:t>
      </w:r>
      <w:r w:rsidRPr="007D1FE6">
        <w:rPr>
          <w:lang w:val="en-GB"/>
        </w:rPr>
        <w:t xml:space="preserve"> </w:t>
      </w:r>
      <w:r>
        <w:rPr>
          <w:lang w:val="en-GB"/>
        </w:rPr>
        <w:t>JONES, ‘Public and Private Space’, 248 – 249.</w:t>
      </w:r>
    </w:p>
  </w:footnote>
  <w:footnote w:id="291">
    <w:p w:rsidR="00421AE8" w:rsidRPr="00D25244" w:rsidRDefault="00421AE8" w:rsidP="00266F09">
      <w:pPr>
        <w:pStyle w:val="Voetnoottekst"/>
        <w:rPr>
          <w:lang w:val="en-GB"/>
        </w:rPr>
      </w:pPr>
      <w:r>
        <w:rPr>
          <w:rStyle w:val="Voetnootmarkering"/>
        </w:rPr>
        <w:footnoteRef/>
      </w:r>
      <w:r w:rsidRPr="00D25244">
        <w:rPr>
          <w:lang w:val="en-GB"/>
        </w:rPr>
        <w:t xml:space="preserve"> </w:t>
      </w:r>
      <w:r>
        <w:rPr>
          <w:lang w:val="en-GB"/>
        </w:rPr>
        <w:t xml:space="preserve">ROMANO, </w:t>
      </w:r>
      <w:r w:rsidRPr="00163889">
        <w:rPr>
          <w:lang w:val="en-GB"/>
        </w:rPr>
        <w:t>‘Gender and the Urban Geography of Renaissance Venice’</w:t>
      </w:r>
      <w:r>
        <w:rPr>
          <w:lang w:val="en-GB"/>
        </w:rPr>
        <w:t>, 342 – 344.</w:t>
      </w:r>
    </w:p>
  </w:footnote>
  <w:footnote w:id="292">
    <w:p w:rsidR="00421AE8" w:rsidRPr="00D25244" w:rsidRDefault="00421AE8" w:rsidP="00266F09">
      <w:pPr>
        <w:pStyle w:val="Voetnoottekst"/>
        <w:rPr>
          <w:lang w:val="en-GB"/>
        </w:rPr>
      </w:pPr>
      <w:r>
        <w:rPr>
          <w:rStyle w:val="Voetnootmarkering"/>
        </w:rPr>
        <w:footnoteRef/>
      </w:r>
      <w:r w:rsidRPr="00D25244">
        <w:rPr>
          <w:lang w:val="en-GB"/>
        </w:rPr>
        <w:t xml:space="preserve"> </w:t>
      </w:r>
      <w:r>
        <w:rPr>
          <w:lang w:val="en-GB"/>
        </w:rPr>
        <w:t xml:space="preserve">ROMANO, </w:t>
      </w:r>
      <w:r w:rsidRPr="00163889">
        <w:rPr>
          <w:lang w:val="en-GB"/>
        </w:rPr>
        <w:t>‘Gender and the Urban Geography</w:t>
      </w:r>
      <w:r>
        <w:rPr>
          <w:lang w:val="en-GB"/>
        </w:rPr>
        <w:t>’, 340.</w:t>
      </w:r>
    </w:p>
  </w:footnote>
  <w:footnote w:id="293">
    <w:p w:rsidR="00421AE8" w:rsidRPr="00091B1D" w:rsidRDefault="00421AE8" w:rsidP="00266F09">
      <w:pPr>
        <w:pStyle w:val="Voetnoottekst"/>
        <w:rPr>
          <w:lang w:val="en-GB"/>
        </w:rPr>
      </w:pPr>
      <w:r>
        <w:rPr>
          <w:rStyle w:val="Voetnootmarkering"/>
        </w:rPr>
        <w:footnoteRef/>
      </w:r>
      <w:r w:rsidRPr="00091B1D">
        <w:rPr>
          <w:lang w:val="en-GB"/>
        </w:rPr>
        <w:t xml:space="preserve"> </w:t>
      </w:r>
      <w:r>
        <w:rPr>
          <w:lang w:val="en-GB"/>
        </w:rPr>
        <w:t>HOWELL, ‘The spaces of late medieval urbanity’, 10.</w:t>
      </w:r>
    </w:p>
  </w:footnote>
  <w:footnote w:id="294">
    <w:p w:rsidR="00421AE8" w:rsidRPr="00780004" w:rsidRDefault="00421AE8" w:rsidP="00266F09">
      <w:pPr>
        <w:pStyle w:val="Voetnoottekst"/>
        <w:rPr>
          <w:lang w:val="fr-FR"/>
        </w:rPr>
      </w:pPr>
      <w:r>
        <w:rPr>
          <w:rStyle w:val="Voetnootmarkering"/>
        </w:rPr>
        <w:footnoteRef/>
      </w:r>
      <w:r w:rsidRPr="00780004">
        <w:rPr>
          <w:lang w:val="fr-FR"/>
        </w:rPr>
        <w:t xml:space="preserve"> HAEMERS, ‘Révolte et requête.’, 44 – 46.</w:t>
      </w:r>
    </w:p>
  </w:footnote>
  <w:footnote w:id="295">
    <w:p w:rsidR="00421AE8" w:rsidRPr="007B644D" w:rsidRDefault="00421AE8" w:rsidP="00266F09">
      <w:pPr>
        <w:pStyle w:val="Voetnoottekst"/>
        <w:rPr>
          <w:lang w:val="nl-BE"/>
        </w:rPr>
      </w:pPr>
      <w:r>
        <w:rPr>
          <w:rStyle w:val="Voetnootmarkering"/>
        </w:rPr>
        <w:footnoteRef/>
      </w:r>
      <w:r>
        <w:rPr>
          <w:i/>
          <w:lang w:val="nl-BE"/>
        </w:rPr>
        <w:t xml:space="preserve"> </w:t>
      </w:r>
      <w:r>
        <w:rPr>
          <w:lang w:val="nl-BE"/>
        </w:rPr>
        <w:t xml:space="preserve">SAL, </w:t>
      </w:r>
      <w:r w:rsidRPr="00D17BC8">
        <w:t>1524, fol.</w:t>
      </w:r>
      <w:r>
        <w:t xml:space="preserve"> 277r – 278r, 18 maart 1465.</w:t>
      </w:r>
    </w:p>
    <w:p w:rsidR="00421AE8" w:rsidRPr="00ED037E" w:rsidRDefault="00421AE8" w:rsidP="00266F09">
      <w:pPr>
        <w:pStyle w:val="Voetnoottekst"/>
      </w:pPr>
      <w:r>
        <w:rPr>
          <w:i/>
          <w:lang w:val="nl-BE"/>
        </w:rPr>
        <w:t>[…] sal twee g</w:t>
      </w:r>
      <w:r w:rsidRPr="005F4F43">
        <w:rPr>
          <w:i/>
        </w:rPr>
        <w:t>o</w:t>
      </w:r>
      <w:r>
        <w:rPr>
          <w:i/>
          <w:lang w:val="nl-BE"/>
        </w:rPr>
        <w:t>e</w:t>
      </w:r>
      <w:r w:rsidRPr="005F4F43">
        <w:rPr>
          <w:i/>
        </w:rPr>
        <w:t xml:space="preserve">de mannen van den voirscreven ambachte die t voirscreven weeckghelt tnaeste jair langh vuolgende alle maenden inhalen zelen. </w:t>
      </w:r>
      <w:r>
        <w:rPr>
          <w:i/>
        </w:rPr>
        <w:t>Ende dat contribueren ende bestellen daer ende gelijx hier onder bestoenen steet. Ende dan deraf ten eynde vanden jare voer de goede mannen dese ordinantien aengenomen hebbende altijt goede rekeninge ende bewijs doen.</w:t>
      </w:r>
    </w:p>
  </w:footnote>
  <w:footnote w:id="296">
    <w:p w:rsidR="00421AE8" w:rsidRPr="002B1850" w:rsidRDefault="00421AE8" w:rsidP="00266F09">
      <w:pPr>
        <w:pStyle w:val="Voetnoottekst"/>
        <w:rPr>
          <w:lang w:val="en-GB"/>
        </w:rPr>
      </w:pPr>
      <w:r>
        <w:rPr>
          <w:rStyle w:val="Voetnootmarkering"/>
        </w:rPr>
        <w:footnoteRef/>
      </w:r>
      <w:r w:rsidRPr="002B1850">
        <w:rPr>
          <w:lang w:val="en-GB"/>
        </w:rPr>
        <w:t xml:space="preserve"> </w:t>
      </w:r>
      <w:r>
        <w:rPr>
          <w:lang w:val="en-GB"/>
        </w:rPr>
        <w:t xml:space="preserve">BOUSMAR, E., ‘Neither Equality Nor Radical Oppression: The Elasticity of Women’s Roles in the Late Medieval Low Countries’, E.E. KITTELL </w:t>
      </w:r>
      <w:r w:rsidRPr="00A52E65">
        <w:rPr>
          <w:lang w:val="en-GB"/>
        </w:rPr>
        <w:t xml:space="preserve">en </w:t>
      </w:r>
      <w:r>
        <w:rPr>
          <w:lang w:val="en-GB"/>
        </w:rPr>
        <w:t>M.A. SUYDAM red.</w:t>
      </w:r>
      <w:r w:rsidRPr="00A52E65">
        <w:rPr>
          <w:lang w:val="en-GB"/>
        </w:rPr>
        <w:t xml:space="preserve">, </w:t>
      </w:r>
      <w:r w:rsidRPr="00A52E65">
        <w:rPr>
          <w:i/>
          <w:lang w:val="en-GB"/>
        </w:rPr>
        <w:t>The Texture of Society: Medieval Women in the Southern Low Countries</w:t>
      </w:r>
      <w:r>
        <w:rPr>
          <w:lang w:val="en-GB"/>
        </w:rPr>
        <w:t xml:space="preserve"> (The New Middle Ages), New York, 2004, 109 – 127, 117.</w:t>
      </w:r>
    </w:p>
  </w:footnote>
  <w:footnote w:id="297">
    <w:p w:rsidR="00421AE8" w:rsidRPr="009625A0" w:rsidRDefault="00421AE8" w:rsidP="00266F09">
      <w:pPr>
        <w:pStyle w:val="Voetnoottekst"/>
      </w:pPr>
      <w:r>
        <w:rPr>
          <w:rStyle w:val="Voetnootmarkering"/>
        </w:rPr>
        <w:footnoteRef/>
      </w:r>
      <w:r w:rsidRPr="00E5204C">
        <w:t xml:space="preserve"> SAL</w:t>
      </w:r>
      <w:r>
        <w:t>, 1523, fol. 78v, 10 oktober 149</w:t>
      </w:r>
      <w:r w:rsidRPr="00E5204C">
        <w:t>5.</w:t>
      </w:r>
    </w:p>
  </w:footnote>
  <w:footnote w:id="298">
    <w:p w:rsidR="00421AE8" w:rsidRDefault="00421AE8">
      <w:pPr>
        <w:pStyle w:val="Voetnoottekst"/>
      </w:pPr>
      <w:r>
        <w:rPr>
          <w:rStyle w:val="Voetnootmarkering"/>
        </w:rPr>
        <w:footnoteRef/>
      </w:r>
      <w:r>
        <w:t xml:space="preserve"> Bijlage 4 bedraagt een kaart van het vijftiende-eeuwse Leuven, waar deze straten op aangeduid staan. </w:t>
      </w:r>
    </w:p>
  </w:footnote>
  <w:footnote w:id="299">
    <w:p w:rsidR="00421AE8" w:rsidRPr="008022B0" w:rsidRDefault="00421AE8" w:rsidP="00266F09">
      <w:pPr>
        <w:pStyle w:val="Voetnoottekst"/>
        <w:rPr>
          <w:lang w:val="en-GB"/>
        </w:rPr>
      </w:pPr>
      <w:r>
        <w:rPr>
          <w:rStyle w:val="Voetnootmarkering"/>
        </w:rPr>
        <w:footnoteRef/>
      </w:r>
      <w:r w:rsidRPr="008022B0">
        <w:rPr>
          <w:lang w:val="en-GB"/>
        </w:rPr>
        <w:t xml:space="preserve"> </w:t>
      </w:r>
      <w:r>
        <w:rPr>
          <w:lang w:val="en-GB"/>
        </w:rPr>
        <w:t>SAL, 1524, fol. 258v, 8 juli 1444.</w:t>
      </w:r>
    </w:p>
  </w:footnote>
  <w:footnote w:id="300">
    <w:p w:rsidR="00421AE8" w:rsidRPr="00715A66" w:rsidRDefault="00421AE8" w:rsidP="00266F09">
      <w:pPr>
        <w:pStyle w:val="Voetnoottekst"/>
        <w:rPr>
          <w:lang w:val="en-GB"/>
        </w:rPr>
      </w:pPr>
      <w:r>
        <w:rPr>
          <w:rStyle w:val="Voetnootmarkering"/>
        </w:rPr>
        <w:footnoteRef/>
      </w:r>
      <w:r w:rsidRPr="00715A66">
        <w:rPr>
          <w:lang w:val="en-GB"/>
        </w:rPr>
        <w:t xml:space="preserve"> </w:t>
      </w:r>
      <w:r>
        <w:rPr>
          <w:lang w:val="en-GB"/>
        </w:rPr>
        <w:t>SAL, 1523, fol. 78v, 10 oktober 1495.</w:t>
      </w:r>
    </w:p>
  </w:footnote>
  <w:footnote w:id="301">
    <w:p w:rsidR="00421AE8" w:rsidRPr="00234F17" w:rsidRDefault="00421AE8" w:rsidP="00266F09">
      <w:pPr>
        <w:pStyle w:val="Voetnoottekst"/>
        <w:rPr>
          <w:lang w:val="en-GB"/>
        </w:rPr>
      </w:pPr>
      <w:r>
        <w:rPr>
          <w:rStyle w:val="Voetnootmarkering"/>
        </w:rPr>
        <w:footnoteRef/>
      </w:r>
      <w:r w:rsidRPr="00234F17">
        <w:rPr>
          <w:lang w:val="en-GB"/>
        </w:rPr>
        <w:t xml:space="preserve"> </w:t>
      </w:r>
      <w:r>
        <w:rPr>
          <w:lang w:val="en-GB"/>
        </w:rPr>
        <w:t xml:space="preserve">ROMANO, </w:t>
      </w:r>
      <w:r w:rsidRPr="00163889">
        <w:rPr>
          <w:lang w:val="en-GB"/>
        </w:rPr>
        <w:t>‘Gender and the Urban Geography’</w:t>
      </w:r>
      <w:r>
        <w:rPr>
          <w:lang w:val="en-GB"/>
        </w:rPr>
        <w:t>, 345.</w:t>
      </w:r>
    </w:p>
  </w:footnote>
  <w:footnote w:id="302">
    <w:p w:rsidR="00421AE8" w:rsidRPr="00AF7628" w:rsidRDefault="00421AE8" w:rsidP="00266F09">
      <w:pPr>
        <w:pStyle w:val="Voetnoottekst"/>
        <w:rPr>
          <w:lang w:val="en-GB"/>
        </w:rPr>
      </w:pPr>
      <w:r>
        <w:rPr>
          <w:rStyle w:val="Voetnootmarkering"/>
        </w:rPr>
        <w:footnoteRef/>
      </w:r>
      <w:r w:rsidRPr="00AF7628">
        <w:rPr>
          <w:lang w:val="en-GB"/>
        </w:rPr>
        <w:t xml:space="preserve"> </w:t>
      </w:r>
      <w:r>
        <w:rPr>
          <w:lang w:val="en-GB"/>
        </w:rPr>
        <w:t>BOUSMAR, ‘Neither Equality Nor Radical Oppression’, 117.</w:t>
      </w:r>
    </w:p>
  </w:footnote>
  <w:footnote w:id="303">
    <w:p w:rsidR="00421AE8" w:rsidRPr="00D55472" w:rsidRDefault="00421AE8" w:rsidP="00800F8C">
      <w:pPr>
        <w:pStyle w:val="Voetnoottekst"/>
        <w:rPr>
          <w:iCs/>
          <w:shd w:val="clear" w:color="auto" w:fill="FFFFFF"/>
        </w:rPr>
      </w:pPr>
      <w:r>
        <w:rPr>
          <w:rStyle w:val="Voetnootmarkering"/>
        </w:rPr>
        <w:footnoteRef/>
      </w:r>
      <w:r>
        <w:t xml:space="preserve"> </w:t>
      </w:r>
      <w:r>
        <w:rPr>
          <w:shd w:val="clear" w:color="auto" w:fill="FFFFFF"/>
        </w:rPr>
        <w:t xml:space="preserve">CEUNEN, </w:t>
      </w:r>
      <w:r>
        <w:rPr>
          <w:i/>
          <w:iCs/>
          <w:shd w:val="clear" w:color="auto" w:fill="FFFFFF"/>
        </w:rPr>
        <w:t>De Leuvense schepenbank</w:t>
      </w:r>
      <w:r>
        <w:rPr>
          <w:iCs/>
          <w:shd w:val="clear" w:color="auto" w:fill="FFFFFF"/>
        </w:rPr>
        <w:t xml:space="preserve">; </w:t>
      </w:r>
      <w:r w:rsidRPr="00D55472">
        <w:t xml:space="preserve">GODDING, </w:t>
      </w:r>
      <w:r w:rsidRPr="00D55472">
        <w:rPr>
          <w:i/>
        </w:rPr>
        <w:t>Le droit privé</w:t>
      </w:r>
      <w:r>
        <w:t>, 78 – 79.</w:t>
      </w:r>
    </w:p>
  </w:footnote>
  <w:footnote w:id="304">
    <w:p w:rsidR="00421AE8" w:rsidRDefault="00421AE8" w:rsidP="00266F09">
      <w:pPr>
        <w:pStyle w:val="Voetnoottekst"/>
      </w:pPr>
      <w:r>
        <w:rPr>
          <w:rStyle w:val="Voetnootmarkering"/>
        </w:rPr>
        <w:footnoteRef/>
      </w:r>
      <w:r>
        <w:t xml:space="preserve"> Meer onderzoek naar de impact van gegenderde ruimten op rechtspraak en visa versa is echter nodig om tot meer vaste conclusies te komen.</w:t>
      </w:r>
    </w:p>
  </w:footnote>
  <w:footnote w:id="305">
    <w:p w:rsidR="00421AE8" w:rsidRPr="002528A6" w:rsidRDefault="00421AE8" w:rsidP="00266F09">
      <w:pPr>
        <w:pStyle w:val="Voetnoottekst"/>
        <w:rPr>
          <w:lang w:val="en-GB"/>
        </w:rPr>
      </w:pPr>
      <w:r>
        <w:rPr>
          <w:rStyle w:val="Voetnootmarkering"/>
        </w:rPr>
        <w:footnoteRef/>
      </w:r>
      <w:r w:rsidRPr="002528A6">
        <w:rPr>
          <w:lang w:val="en-GB"/>
        </w:rPr>
        <w:t xml:space="preserve"> </w:t>
      </w:r>
      <w:r>
        <w:rPr>
          <w:lang w:val="en-GB"/>
        </w:rPr>
        <w:t>REES JONES, ‘Public and Private Space’, 249.</w:t>
      </w:r>
    </w:p>
  </w:footnote>
  <w:footnote w:id="306">
    <w:p w:rsidR="00421AE8" w:rsidRPr="002528A6" w:rsidRDefault="00421AE8" w:rsidP="00266F09">
      <w:pPr>
        <w:pStyle w:val="Voetnoottekst"/>
        <w:rPr>
          <w:lang w:val="en-GB"/>
        </w:rPr>
      </w:pPr>
      <w:r>
        <w:rPr>
          <w:rStyle w:val="Voetnootmarkering"/>
        </w:rPr>
        <w:footnoteRef/>
      </w:r>
      <w:r w:rsidRPr="002528A6">
        <w:rPr>
          <w:lang w:val="en-GB"/>
        </w:rPr>
        <w:t xml:space="preserve"> </w:t>
      </w:r>
      <w:r>
        <w:rPr>
          <w:lang w:val="en-GB"/>
        </w:rPr>
        <w:t>BOUSMAR, ‘Neither Equality Nor Radical Oppression’, 118.</w:t>
      </w:r>
    </w:p>
  </w:footnote>
  <w:footnote w:id="307">
    <w:p w:rsidR="00421AE8" w:rsidRPr="00331AB4" w:rsidRDefault="00421AE8" w:rsidP="00266F09">
      <w:pPr>
        <w:pStyle w:val="Voetnoottekst"/>
        <w:rPr>
          <w:lang w:val="en-GB"/>
        </w:rPr>
      </w:pPr>
      <w:r>
        <w:rPr>
          <w:rStyle w:val="Voetnootmarkering"/>
        </w:rPr>
        <w:footnoteRef/>
      </w:r>
      <w:r w:rsidRPr="00331AB4">
        <w:rPr>
          <w:lang w:val="en-GB"/>
        </w:rPr>
        <w:t xml:space="preserve"> </w:t>
      </w:r>
      <w:r w:rsidRPr="00AB7BCA">
        <w:rPr>
          <w:lang w:val="en-GB"/>
        </w:rPr>
        <w:t xml:space="preserve">SAL, </w:t>
      </w:r>
      <w:r w:rsidRPr="00780004">
        <w:rPr>
          <w:lang w:val="en-US"/>
        </w:rPr>
        <w:t xml:space="preserve">1527, </w:t>
      </w:r>
      <w:r>
        <w:rPr>
          <w:lang w:val="en-US"/>
        </w:rPr>
        <w:t>1593</w:t>
      </w:r>
      <w:r w:rsidRPr="00780004">
        <w:rPr>
          <w:lang w:val="en-US"/>
        </w:rPr>
        <w:t>.</w:t>
      </w:r>
    </w:p>
  </w:footnote>
  <w:footnote w:id="308">
    <w:p w:rsidR="00421AE8" w:rsidRPr="003A1EF9" w:rsidRDefault="00421AE8" w:rsidP="00266F09">
      <w:pPr>
        <w:pStyle w:val="Voetnoottekst"/>
        <w:rPr>
          <w:lang w:val="en-GB"/>
        </w:rPr>
      </w:pPr>
      <w:r>
        <w:rPr>
          <w:rStyle w:val="Voetnootmarkering"/>
        </w:rPr>
        <w:footnoteRef/>
      </w:r>
      <w:r w:rsidRPr="003A1EF9">
        <w:rPr>
          <w:lang w:val="en-GB"/>
        </w:rPr>
        <w:t xml:space="preserve"> </w:t>
      </w:r>
      <w:r>
        <w:rPr>
          <w:lang w:val="en-GB"/>
        </w:rPr>
        <w:t xml:space="preserve">HUTTON, </w:t>
      </w:r>
      <w:r>
        <w:rPr>
          <w:i/>
          <w:lang w:val="en-GB"/>
        </w:rPr>
        <w:t>Women and Economic Activities</w:t>
      </w:r>
      <w:r>
        <w:rPr>
          <w:lang w:val="en-GB"/>
        </w:rPr>
        <w:t>, 114 – 115.</w:t>
      </w:r>
    </w:p>
  </w:footnote>
  <w:footnote w:id="309">
    <w:p w:rsidR="00421AE8" w:rsidRPr="003A1EF9" w:rsidRDefault="00421AE8" w:rsidP="00266F09">
      <w:pPr>
        <w:pStyle w:val="Voetnoottekst"/>
        <w:rPr>
          <w:lang w:val="en-GB"/>
        </w:rPr>
      </w:pPr>
      <w:r>
        <w:rPr>
          <w:rStyle w:val="Voetnootmarkering"/>
        </w:rPr>
        <w:footnoteRef/>
      </w:r>
      <w:r w:rsidRPr="003A1EF9">
        <w:rPr>
          <w:lang w:val="en-GB"/>
        </w:rPr>
        <w:t xml:space="preserve"> </w:t>
      </w:r>
      <w:r>
        <w:rPr>
          <w:lang w:val="en-GB"/>
        </w:rPr>
        <w:t xml:space="preserve">ZEMON DAVIS, </w:t>
      </w:r>
      <w:r w:rsidRPr="009B3C34">
        <w:rPr>
          <w:lang w:val="en-GB"/>
        </w:rPr>
        <w:t>‘Women in the Crafts in Sixteenth-Century Lyon’,</w:t>
      </w:r>
      <w:r>
        <w:rPr>
          <w:lang w:val="en-GB"/>
        </w:rPr>
        <w:t xml:space="preserve"> 173.</w:t>
      </w:r>
    </w:p>
  </w:footnote>
  <w:footnote w:id="310">
    <w:p w:rsidR="00421AE8" w:rsidRPr="00DF2C3C" w:rsidRDefault="00421AE8" w:rsidP="00266F09">
      <w:pPr>
        <w:pStyle w:val="Voetnoottekst"/>
        <w:rPr>
          <w:lang w:val="en-GB"/>
        </w:rPr>
      </w:pPr>
      <w:r>
        <w:rPr>
          <w:rStyle w:val="Voetnootmarkering"/>
        </w:rPr>
        <w:footnoteRef/>
      </w:r>
      <w:r w:rsidRPr="00DF2C3C">
        <w:rPr>
          <w:lang w:val="en-GB"/>
        </w:rPr>
        <w:t xml:space="preserve"> </w:t>
      </w:r>
      <w:r>
        <w:rPr>
          <w:lang w:val="en-GB"/>
        </w:rPr>
        <w:t xml:space="preserve">SAL, 4648, fol. </w:t>
      </w:r>
      <w:r w:rsidRPr="005F4F43">
        <w:rPr>
          <w:lang w:val="en-GB"/>
        </w:rPr>
        <w:t>12v – 13r, 6 december 1433</w:t>
      </w:r>
      <w:r>
        <w:rPr>
          <w:lang w:val="en-GB"/>
        </w:rPr>
        <w:t>.</w:t>
      </w:r>
    </w:p>
  </w:footnote>
  <w:footnote w:id="311">
    <w:p w:rsidR="00421AE8" w:rsidRPr="00DC696A" w:rsidRDefault="00421AE8" w:rsidP="00266F09">
      <w:pPr>
        <w:pStyle w:val="Voetnoottekst"/>
        <w:rPr>
          <w:lang w:val="en-GB"/>
        </w:rPr>
      </w:pPr>
      <w:r>
        <w:rPr>
          <w:rStyle w:val="Voetnootmarkering"/>
        </w:rPr>
        <w:footnoteRef/>
      </w:r>
      <w:r w:rsidRPr="00DC696A">
        <w:rPr>
          <w:lang w:val="en-GB"/>
        </w:rPr>
        <w:t xml:space="preserve"> </w:t>
      </w:r>
      <w:r>
        <w:rPr>
          <w:rFonts w:cs="Times New Roman"/>
          <w:lang w:val="en-GB"/>
        </w:rPr>
        <w:t>ARNADE, HOWELL en SIMONS, ‘Fertile Spaces’, 524.</w:t>
      </w:r>
    </w:p>
  </w:footnote>
  <w:footnote w:id="312">
    <w:p w:rsidR="00421AE8" w:rsidRPr="00340CE5" w:rsidRDefault="00421AE8" w:rsidP="00266F09">
      <w:pPr>
        <w:pStyle w:val="Voetnoottekst"/>
        <w:rPr>
          <w:lang w:val="en-GB"/>
        </w:rPr>
      </w:pPr>
      <w:r>
        <w:rPr>
          <w:rStyle w:val="Voetnootmarkering"/>
        </w:rPr>
        <w:footnoteRef/>
      </w:r>
      <w:r w:rsidRPr="00340CE5">
        <w:rPr>
          <w:lang w:val="en-GB"/>
        </w:rPr>
        <w:t xml:space="preserve"> </w:t>
      </w:r>
      <w:r>
        <w:rPr>
          <w:lang w:val="en-GB"/>
        </w:rPr>
        <w:t>REES JONES, ‘Public and Private Space’, 250 – 251.</w:t>
      </w:r>
    </w:p>
  </w:footnote>
  <w:footnote w:id="313">
    <w:p w:rsidR="00421AE8" w:rsidRDefault="00421AE8" w:rsidP="00266F09">
      <w:pPr>
        <w:pStyle w:val="Voetnoottekst"/>
      </w:pPr>
      <w:r>
        <w:rPr>
          <w:rStyle w:val="Voetnootmarkering"/>
        </w:rPr>
        <w:footnoteRef/>
      </w:r>
      <w:r>
        <w:t xml:space="preserve"> Eerder stelde dit onderzoek echter reeds verschillende keren vast dat meer onderzoek nodig is naar de activiteit van vrouwen in de politieke constellatie, aangezien die wel degelijk voorkwam.</w:t>
      </w:r>
    </w:p>
  </w:footnote>
  <w:footnote w:id="314">
    <w:p w:rsidR="00421AE8" w:rsidRPr="003D7C21" w:rsidRDefault="00421AE8" w:rsidP="00266F09">
      <w:pPr>
        <w:pStyle w:val="Voetnoottekst"/>
        <w:rPr>
          <w:lang w:val="en-GB"/>
        </w:rPr>
      </w:pPr>
      <w:r>
        <w:rPr>
          <w:rStyle w:val="Voetnootmarkering"/>
        </w:rPr>
        <w:footnoteRef/>
      </w:r>
      <w:r w:rsidRPr="003D7C21">
        <w:rPr>
          <w:lang w:val="en-GB"/>
        </w:rPr>
        <w:t xml:space="preserve"> </w:t>
      </w:r>
      <w:r>
        <w:rPr>
          <w:lang w:val="en-GB"/>
        </w:rPr>
        <w:t>HOWELL, ‘The spaces of late medieval urbanity’, 8 – 9.</w:t>
      </w:r>
    </w:p>
  </w:footnote>
  <w:footnote w:id="315">
    <w:p w:rsidR="00421AE8" w:rsidRPr="003D7C21" w:rsidRDefault="00421AE8" w:rsidP="00266F09">
      <w:pPr>
        <w:pStyle w:val="Voetnoottekst"/>
        <w:rPr>
          <w:lang w:val="en-GB"/>
        </w:rPr>
      </w:pPr>
      <w:r>
        <w:rPr>
          <w:rStyle w:val="Voetnootmarkering"/>
        </w:rPr>
        <w:footnoteRef/>
      </w:r>
      <w:r w:rsidRPr="003D7C21">
        <w:rPr>
          <w:lang w:val="en-GB"/>
        </w:rPr>
        <w:t xml:space="preserve"> </w:t>
      </w:r>
      <w:r>
        <w:rPr>
          <w:lang w:val="en-GB"/>
        </w:rPr>
        <w:t>REES JONES, ‘Public and Private Space’, 256 – 257.</w:t>
      </w:r>
    </w:p>
  </w:footnote>
  <w:footnote w:id="316">
    <w:p w:rsidR="00421AE8" w:rsidRDefault="00421AE8" w:rsidP="00266F09">
      <w:pPr>
        <w:pStyle w:val="Voetnoottekst"/>
        <w:rPr>
          <w:lang w:val="en-GB"/>
        </w:rPr>
      </w:pPr>
      <w:r>
        <w:rPr>
          <w:rStyle w:val="Voetnootmarkering"/>
        </w:rPr>
        <w:footnoteRef/>
      </w:r>
      <w:r w:rsidRPr="00ED037E">
        <w:rPr>
          <w:lang w:val="en-GB"/>
        </w:rPr>
        <w:t xml:space="preserve"> HO</w:t>
      </w:r>
      <w:r>
        <w:rPr>
          <w:lang w:val="en-GB"/>
        </w:rPr>
        <w:t>WELL, M., ‘Gender in the transition to merchant capitalism’, J. BENNETT en R. KARRAS red., The Oxford Handbook of Women and Gender in Medieval Europe, Oxford, 2013, 561 – 576, 566.</w:t>
      </w:r>
    </w:p>
  </w:footnote>
  <w:footnote w:id="317">
    <w:p w:rsidR="00421AE8" w:rsidRPr="006C3EAF" w:rsidRDefault="00421AE8" w:rsidP="00266F09">
      <w:pPr>
        <w:pStyle w:val="Voetnoottekst"/>
        <w:rPr>
          <w:lang w:val="en-GB"/>
        </w:rPr>
      </w:pPr>
      <w:r>
        <w:rPr>
          <w:rStyle w:val="Voetnootmarkering"/>
        </w:rPr>
        <w:footnoteRef/>
      </w:r>
      <w:r w:rsidRPr="006C3EAF">
        <w:rPr>
          <w:lang w:val="en-GB"/>
        </w:rPr>
        <w:t xml:space="preserve"> </w:t>
      </w:r>
      <w:r>
        <w:rPr>
          <w:lang w:val="en-GB"/>
        </w:rPr>
        <w:t xml:space="preserve">HOWELL, ‘The spaces of late medieval urbanity’, </w:t>
      </w:r>
      <w:r w:rsidRPr="006C3EAF">
        <w:rPr>
          <w:lang w:val="en-GB"/>
        </w:rPr>
        <w:t>8.</w:t>
      </w:r>
    </w:p>
  </w:footnote>
  <w:footnote w:id="318">
    <w:p w:rsidR="00421AE8" w:rsidRDefault="00421AE8" w:rsidP="00266F09">
      <w:pPr>
        <w:pStyle w:val="Voetnoottekst"/>
      </w:pPr>
      <w:r>
        <w:rPr>
          <w:rStyle w:val="Voetnootmarkering"/>
        </w:rPr>
        <w:footnoteRef/>
      </w:r>
      <w:r>
        <w:t xml:space="preserve"> Zie bijlage voor de kaart van laatmiddeleeuws Leuven met de marktplaatsen op aangeduid voor zover dit bekend is.</w:t>
      </w:r>
    </w:p>
  </w:footnote>
  <w:footnote w:id="319">
    <w:p w:rsidR="00421AE8" w:rsidRPr="005B7DD9" w:rsidRDefault="00421AE8" w:rsidP="00266F09">
      <w:pPr>
        <w:pStyle w:val="Voetnoottekst"/>
        <w:rPr>
          <w:lang w:val="en-GB"/>
        </w:rPr>
      </w:pPr>
      <w:r>
        <w:rPr>
          <w:rStyle w:val="Voetnootmarkering"/>
        </w:rPr>
        <w:footnoteRef/>
      </w:r>
      <w:r w:rsidRPr="00685609">
        <w:rPr>
          <w:lang w:val="en-GB"/>
        </w:rPr>
        <w:t xml:space="preserve"> </w:t>
      </w:r>
      <w:r>
        <w:rPr>
          <w:lang w:val="en-GB"/>
        </w:rPr>
        <w:t xml:space="preserve">SAL, 4648, fol. </w:t>
      </w:r>
      <w:r w:rsidRPr="005F4F43">
        <w:rPr>
          <w:lang w:val="en-GB"/>
        </w:rPr>
        <w:t>12v – 13r, 6 december 1433</w:t>
      </w:r>
      <w:r>
        <w:rPr>
          <w:lang w:val="en-GB"/>
        </w:rPr>
        <w:t>.</w:t>
      </w:r>
    </w:p>
  </w:footnote>
  <w:footnote w:id="320">
    <w:p w:rsidR="00421AE8" w:rsidRPr="00BF1404" w:rsidRDefault="00421AE8" w:rsidP="00266F09">
      <w:pPr>
        <w:pStyle w:val="Voetnoottekst"/>
        <w:rPr>
          <w:lang w:val="en-GB"/>
        </w:rPr>
      </w:pPr>
      <w:r>
        <w:rPr>
          <w:rStyle w:val="Voetnootmarkering"/>
        </w:rPr>
        <w:footnoteRef/>
      </w:r>
      <w:r w:rsidRPr="00BF1404">
        <w:rPr>
          <w:lang w:val="en-GB"/>
        </w:rPr>
        <w:t xml:space="preserve"> </w:t>
      </w:r>
      <w:r>
        <w:rPr>
          <w:lang w:val="en-GB"/>
        </w:rPr>
        <w:t>HUTTON, ‘</w:t>
      </w:r>
      <w:r w:rsidRPr="006058CD">
        <w:rPr>
          <w:lang w:val="en-GB"/>
        </w:rPr>
        <w:t xml:space="preserve">Women, Men, </w:t>
      </w:r>
      <w:r>
        <w:rPr>
          <w:lang w:val="en-GB"/>
        </w:rPr>
        <w:t>and Markets’, 422.</w:t>
      </w:r>
    </w:p>
  </w:footnote>
  <w:footnote w:id="321">
    <w:p w:rsidR="00421AE8" w:rsidRPr="00085C0C" w:rsidRDefault="00421AE8" w:rsidP="00266F09">
      <w:pPr>
        <w:pStyle w:val="Voetnoottekst"/>
        <w:rPr>
          <w:lang w:val="en-GB"/>
        </w:rPr>
      </w:pPr>
      <w:r>
        <w:rPr>
          <w:rStyle w:val="Voetnootmarkering"/>
        </w:rPr>
        <w:footnoteRef/>
      </w:r>
      <w:r w:rsidRPr="00085C0C">
        <w:rPr>
          <w:lang w:val="en-GB"/>
        </w:rPr>
        <w:t xml:space="preserve"> </w:t>
      </w:r>
      <w:r>
        <w:rPr>
          <w:rFonts w:cs="Times New Roman"/>
          <w:lang w:val="en-GB"/>
        </w:rPr>
        <w:t>ARNADE, HOWELL en SIMONS, ‘Fertile Spaces’, 544.</w:t>
      </w:r>
    </w:p>
  </w:footnote>
  <w:footnote w:id="322">
    <w:p w:rsidR="00421AE8" w:rsidRPr="00A11879" w:rsidRDefault="00421AE8" w:rsidP="00266F09">
      <w:pPr>
        <w:pStyle w:val="Voetnoottekst"/>
        <w:rPr>
          <w:lang w:val="en-GB"/>
        </w:rPr>
      </w:pPr>
      <w:r>
        <w:rPr>
          <w:rStyle w:val="Voetnootmarkering"/>
        </w:rPr>
        <w:footnoteRef/>
      </w:r>
      <w:r w:rsidRPr="00A11879">
        <w:rPr>
          <w:lang w:val="en-GB"/>
        </w:rPr>
        <w:t xml:space="preserve"> SAL, 1523, fol. 217r; SAL, 4648, fol. </w:t>
      </w:r>
      <w:r w:rsidRPr="005F4F43">
        <w:rPr>
          <w:lang w:val="en-GB"/>
        </w:rPr>
        <w:t>390v – 392r, 7 december 1439</w:t>
      </w:r>
      <w:r w:rsidRPr="00A11879">
        <w:rPr>
          <w:lang w:val="en-GB"/>
        </w:rPr>
        <w:t>.</w:t>
      </w:r>
    </w:p>
    <w:p w:rsidR="00421AE8" w:rsidRPr="005B7DD9" w:rsidRDefault="00421AE8" w:rsidP="00266F09">
      <w:pPr>
        <w:pStyle w:val="Voetnoottekst"/>
      </w:pPr>
      <w:r w:rsidRPr="005B7DD9">
        <w:t xml:space="preserve">Later komt meer informatie aan bod over </w:t>
      </w:r>
      <w:r>
        <w:t xml:space="preserve">de genderindeling van deze marktruimten. </w:t>
      </w:r>
    </w:p>
  </w:footnote>
  <w:footnote w:id="323">
    <w:p w:rsidR="00421AE8" w:rsidRPr="00A11879" w:rsidRDefault="00421AE8" w:rsidP="00266F09">
      <w:pPr>
        <w:pStyle w:val="Voetnoottekst"/>
        <w:rPr>
          <w:lang w:val="en-GB"/>
        </w:rPr>
      </w:pPr>
      <w:r>
        <w:rPr>
          <w:rStyle w:val="Voetnootmarkering"/>
        </w:rPr>
        <w:footnoteRef/>
      </w:r>
      <w:r w:rsidRPr="00A11879">
        <w:rPr>
          <w:lang w:val="en-GB"/>
        </w:rPr>
        <w:t xml:space="preserve"> SAL, 1523, fol. 63v – 65r, 29 november 1416.</w:t>
      </w:r>
    </w:p>
    <w:p w:rsidR="00421AE8" w:rsidRPr="00393537" w:rsidRDefault="00421AE8" w:rsidP="00266F09">
      <w:pPr>
        <w:pStyle w:val="Voetnoottekst"/>
        <w:rPr>
          <w:i/>
        </w:rPr>
      </w:pPr>
      <w:r w:rsidRPr="00393537">
        <w:rPr>
          <w:i/>
        </w:rPr>
        <w:t xml:space="preserve">Item dat eenyegelic die tesschen of meterie vercoepe syn goet bringen </w:t>
      </w:r>
      <w:r>
        <w:rPr>
          <w:i/>
        </w:rPr>
        <w:t>sal alle maendage i</w:t>
      </w:r>
      <w:r w:rsidRPr="00393537">
        <w:rPr>
          <w:i/>
        </w:rPr>
        <w:t>n</w:t>
      </w:r>
      <w:r>
        <w:rPr>
          <w:i/>
        </w:rPr>
        <w:t xml:space="preserve"> </w:t>
      </w:r>
      <w:r w:rsidRPr="00393537">
        <w:rPr>
          <w:i/>
        </w:rPr>
        <w:t>de</w:t>
      </w:r>
      <w:r>
        <w:rPr>
          <w:i/>
        </w:rPr>
        <w:t>n halle omme</w:t>
      </w:r>
      <w:r w:rsidRPr="00393537">
        <w:rPr>
          <w:i/>
        </w:rPr>
        <w:t>dat aldaer te vercoepen sonder voer sinn huys of elder eenige meterie voert te doene.</w:t>
      </w:r>
    </w:p>
  </w:footnote>
  <w:footnote w:id="324">
    <w:p w:rsidR="00421AE8" w:rsidRDefault="00421AE8" w:rsidP="00266F09">
      <w:pPr>
        <w:pStyle w:val="Voetnoottekst"/>
      </w:pPr>
      <w:r>
        <w:rPr>
          <w:rStyle w:val="Voetnootmarkering"/>
        </w:rPr>
        <w:footnoteRef/>
      </w:r>
      <w:r w:rsidRPr="00393537">
        <w:t xml:space="preserve"> </w:t>
      </w:r>
      <w:r>
        <w:t>SAL, 1523, fol.</w:t>
      </w:r>
      <w:r w:rsidRPr="00A11879">
        <w:t xml:space="preserve"> </w:t>
      </w:r>
      <w:r>
        <w:t>155r – 156r, 23 mei 1424.</w:t>
      </w:r>
    </w:p>
    <w:p w:rsidR="00421AE8" w:rsidRPr="00393537" w:rsidRDefault="00421AE8" w:rsidP="00266F09">
      <w:pPr>
        <w:pStyle w:val="Voetnoottekst"/>
        <w:rPr>
          <w:i/>
        </w:rPr>
      </w:pPr>
      <w:r w:rsidRPr="006A2F70">
        <w:rPr>
          <w:i/>
        </w:rPr>
        <w:t>Item dat elc man oft wijf sijn laken mogen vercoepen op der hallen na der gulden rec</w:t>
      </w:r>
      <w:r>
        <w:rPr>
          <w:i/>
        </w:rPr>
        <w:t>ht wien</w:t>
      </w:r>
      <w:r w:rsidRPr="006A2F70">
        <w:rPr>
          <w:i/>
        </w:rPr>
        <w:t xml:space="preserve"> hi wilt ende can ende borghen alsoe lange ende cort als sij eens worden sonder deraen te verboeren</w:t>
      </w:r>
      <w:r w:rsidRPr="00393537">
        <w:rPr>
          <w:i/>
        </w:rPr>
        <w:t>.</w:t>
      </w:r>
    </w:p>
    <w:p w:rsidR="00421AE8" w:rsidRPr="00846B85" w:rsidRDefault="00421AE8" w:rsidP="00266F09">
      <w:pPr>
        <w:pStyle w:val="Voetnoottekst"/>
      </w:pPr>
      <w:r w:rsidRPr="00846B85">
        <w:t xml:space="preserve">SAL, </w:t>
      </w:r>
      <w:r w:rsidRPr="00A11879">
        <w:t xml:space="preserve">1528, fol. </w:t>
      </w:r>
      <w:r w:rsidRPr="005F4F43">
        <w:t>37v, 13 augustus 1424.</w:t>
      </w:r>
    </w:p>
    <w:p w:rsidR="00421AE8" w:rsidRPr="00393537" w:rsidRDefault="00421AE8" w:rsidP="00266F09">
      <w:pPr>
        <w:pStyle w:val="Voetnoottekst"/>
        <w:rPr>
          <w:i/>
        </w:rPr>
      </w:pPr>
      <w:r>
        <w:rPr>
          <w:i/>
        </w:rPr>
        <w:t>I</w:t>
      </w:r>
      <w:r w:rsidRPr="00393537">
        <w:rPr>
          <w:i/>
        </w:rPr>
        <w:t>tem dat nyemant man noch wijf wie hi sij den ghenen d</w:t>
      </w:r>
      <w:r>
        <w:rPr>
          <w:i/>
        </w:rPr>
        <w:t>ie visch harync of botsoren te L</w:t>
      </w:r>
      <w:r w:rsidRPr="00393537">
        <w:rPr>
          <w:i/>
        </w:rPr>
        <w:t>ovene te cope brengen of doen brengen he</w:t>
      </w:r>
      <w:r>
        <w:rPr>
          <w:i/>
        </w:rPr>
        <w:t>t sij te waghene te perde te ern</w:t>
      </w:r>
      <w:r w:rsidRPr="00393537">
        <w:rPr>
          <w:i/>
        </w:rPr>
        <w:t>d</w:t>
      </w:r>
      <w:r>
        <w:rPr>
          <w:i/>
        </w:rPr>
        <w:t>ewagene of te halse jegen reden noch gaen en selen noch hant d</w:t>
      </w:r>
      <w:r w:rsidRPr="00393537">
        <w:rPr>
          <w:i/>
        </w:rPr>
        <w:t>eraen slaen opte vischmarct noch esswaer om te coepen voer der tijt dat tgoet opte vischmarct afgeset ende ontladen sal sijn.</w:t>
      </w:r>
    </w:p>
  </w:footnote>
  <w:footnote w:id="325">
    <w:p w:rsidR="00421AE8" w:rsidRPr="008C16D0" w:rsidRDefault="00421AE8" w:rsidP="00266F09">
      <w:pPr>
        <w:pStyle w:val="Voetnoottekst"/>
        <w:rPr>
          <w:lang w:val="en-GB"/>
        </w:rPr>
      </w:pPr>
      <w:r>
        <w:rPr>
          <w:rStyle w:val="Voetnootmarkering"/>
        </w:rPr>
        <w:footnoteRef/>
      </w:r>
      <w:r w:rsidRPr="008C16D0">
        <w:rPr>
          <w:lang w:val="en-GB"/>
        </w:rPr>
        <w:t xml:space="preserve"> </w:t>
      </w:r>
      <w:r>
        <w:rPr>
          <w:lang w:val="en-GB"/>
        </w:rPr>
        <w:t>HUTTON, ‘</w:t>
      </w:r>
      <w:r w:rsidRPr="006058CD">
        <w:rPr>
          <w:lang w:val="en-GB"/>
        </w:rPr>
        <w:t xml:space="preserve">Women, Men, </w:t>
      </w:r>
      <w:r>
        <w:rPr>
          <w:lang w:val="en-GB"/>
        </w:rPr>
        <w:t>and Markets’, 423.</w:t>
      </w:r>
    </w:p>
  </w:footnote>
  <w:footnote w:id="326">
    <w:p w:rsidR="00421AE8" w:rsidRPr="00685609" w:rsidRDefault="00421AE8" w:rsidP="00266F09">
      <w:pPr>
        <w:pStyle w:val="Voetnoottekst"/>
        <w:rPr>
          <w:lang w:val="en-GB"/>
        </w:rPr>
      </w:pPr>
      <w:r>
        <w:rPr>
          <w:rStyle w:val="Voetnootmarkering"/>
        </w:rPr>
        <w:footnoteRef/>
      </w:r>
      <w:r w:rsidRPr="00685609">
        <w:rPr>
          <w:lang w:val="en-GB"/>
        </w:rPr>
        <w:t xml:space="preserve"> SAL, </w:t>
      </w:r>
      <w:r w:rsidRPr="00A11879">
        <w:rPr>
          <w:lang w:val="en-GB"/>
        </w:rPr>
        <w:t xml:space="preserve">1528, fol. </w:t>
      </w:r>
      <w:r w:rsidRPr="005F4F43">
        <w:rPr>
          <w:lang w:val="en-GB"/>
        </w:rPr>
        <w:t>77r – 77v, 25 september 1437.</w:t>
      </w:r>
    </w:p>
  </w:footnote>
  <w:footnote w:id="327">
    <w:p w:rsidR="00421AE8" w:rsidRPr="009838B8" w:rsidRDefault="00421AE8" w:rsidP="00266F09">
      <w:pPr>
        <w:pStyle w:val="Voetnoottekst"/>
        <w:rPr>
          <w:lang w:val="en-GB"/>
        </w:rPr>
      </w:pPr>
      <w:r>
        <w:rPr>
          <w:rStyle w:val="Voetnootmarkering"/>
        </w:rPr>
        <w:footnoteRef/>
      </w:r>
      <w:r w:rsidRPr="009838B8">
        <w:rPr>
          <w:lang w:val="en-GB"/>
        </w:rPr>
        <w:t xml:space="preserve"> </w:t>
      </w:r>
      <w:r>
        <w:rPr>
          <w:lang w:val="en-GB"/>
        </w:rPr>
        <w:t>HUTTON, ‘</w:t>
      </w:r>
      <w:r w:rsidRPr="006058CD">
        <w:rPr>
          <w:lang w:val="en-GB"/>
        </w:rPr>
        <w:t xml:space="preserve">Women, Men, </w:t>
      </w:r>
      <w:r>
        <w:rPr>
          <w:lang w:val="en-GB"/>
        </w:rPr>
        <w:t>and Markets’, 424.</w:t>
      </w:r>
    </w:p>
  </w:footnote>
  <w:footnote w:id="328">
    <w:p w:rsidR="00421AE8" w:rsidRPr="00395D67" w:rsidRDefault="00421AE8" w:rsidP="00266F09">
      <w:pPr>
        <w:pStyle w:val="Voetnoottekst"/>
        <w:rPr>
          <w:lang w:val="en-GB"/>
        </w:rPr>
      </w:pPr>
      <w:r>
        <w:rPr>
          <w:rStyle w:val="Voetnootmarkering"/>
        </w:rPr>
        <w:footnoteRef/>
      </w:r>
      <w:r w:rsidRPr="00395D67">
        <w:rPr>
          <w:lang w:val="en-GB"/>
        </w:rPr>
        <w:t xml:space="preserve"> </w:t>
      </w:r>
      <w:r>
        <w:rPr>
          <w:lang w:val="en-GB"/>
        </w:rPr>
        <w:t>HUTTON, ‘</w:t>
      </w:r>
      <w:r w:rsidRPr="006058CD">
        <w:rPr>
          <w:lang w:val="en-GB"/>
        </w:rPr>
        <w:t xml:space="preserve">Women, Men, </w:t>
      </w:r>
      <w:r>
        <w:rPr>
          <w:lang w:val="en-GB"/>
        </w:rPr>
        <w:t>and Markets’, 417 – 422; SAL, 1527, 1593.</w:t>
      </w:r>
    </w:p>
  </w:footnote>
  <w:footnote w:id="329">
    <w:p w:rsidR="00421AE8" w:rsidRPr="00685609" w:rsidRDefault="00421AE8" w:rsidP="00266F09">
      <w:pPr>
        <w:pStyle w:val="Voetnoottekst"/>
        <w:rPr>
          <w:lang w:val="en-GB"/>
        </w:rPr>
      </w:pPr>
      <w:r>
        <w:rPr>
          <w:rStyle w:val="Voetnootmarkering"/>
        </w:rPr>
        <w:footnoteRef/>
      </w:r>
      <w:r w:rsidRPr="00685609">
        <w:rPr>
          <w:lang w:val="en-GB"/>
        </w:rPr>
        <w:t xml:space="preserve"> </w:t>
      </w:r>
      <w:r>
        <w:rPr>
          <w:lang w:val="en-GB"/>
        </w:rPr>
        <w:t>SAL, 1527, 1593.</w:t>
      </w:r>
    </w:p>
  </w:footnote>
  <w:footnote w:id="330">
    <w:p w:rsidR="00421AE8" w:rsidRPr="002B6A0D" w:rsidRDefault="00421AE8" w:rsidP="00266F09">
      <w:pPr>
        <w:pStyle w:val="Voetnoottekst"/>
        <w:rPr>
          <w:lang w:val="en-GB"/>
        </w:rPr>
      </w:pPr>
      <w:r>
        <w:rPr>
          <w:rStyle w:val="Voetnootmarkering"/>
        </w:rPr>
        <w:footnoteRef/>
      </w:r>
      <w:r w:rsidRPr="002B6A0D">
        <w:rPr>
          <w:lang w:val="en-GB"/>
        </w:rPr>
        <w:t xml:space="preserve"> </w:t>
      </w:r>
      <w:r>
        <w:rPr>
          <w:lang w:val="en-GB"/>
        </w:rPr>
        <w:t>HUTTON, ‘</w:t>
      </w:r>
      <w:r w:rsidRPr="006058CD">
        <w:rPr>
          <w:lang w:val="en-GB"/>
        </w:rPr>
        <w:t xml:space="preserve">Women, Men, </w:t>
      </w:r>
      <w:r>
        <w:rPr>
          <w:lang w:val="en-GB"/>
        </w:rPr>
        <w:t>and Markets’, 417.</w:t>
      </w:r>
    </w:p>
  </w:footnote>
  <w:footnote w:id="331">
    <w:p w:rsidR="00421AE8" w:rsidRPr="00685609" w:rsidRDefault="00421AE8" w:rsidP="00266F09">
      <w:pPr>
        <w:pStyle w:val="Voetnoottekst"/>
        <w:rPr>
          <w:lang w:val="en-GB"/>
        </w:rPr>
      </w:pPr>
      <w:r>
        <w:rPr>
          <w:rStyle w:val="Voetnootmarkering"/>
        </w:rPr>
        <w:footnoteRef/>
      </w:r>
      <w:r w:rsidRPr="00685609">
        <w:rPr>
          <w:lang w:val="en-GB"/>
        </w:rPr>
        <w:t xml:space="preserve"> SAL, 1523, </w:t>
      </w:r>
      <w:r w:rsidRPr="009019FF">
        <w:rPr>
          <w:lang w:val="en-GB"/>
        </w:rPr>
        <w:t>63v – 65r, 29 november 1416</w:t>
      </w:r>
      <w:r w:rsidRPr="00685609">
        <w:rPr>
          <w:lang w:val="en-GB"/>
        </w:rPr>
        <w:t>.</w:t>
      </w:r>
    </w:p>
  </w:footnote>
  <w:footnote w:id="332">
    <w:p w:rsidR="00421AE8" w:rsidRPr="00C307BF" w:rsidRDefault="00421AE8" w:rsidP="00266F09">
      <w:pPr>
        <w:pStyle w:val="Voetnoottekst"/>
        <w:rPr>
          <w:lang w:val="en-GB"/>
        </w:rPr>
      </w:pPr>
      <w:r>
        <w:rPr>
          <w:rStyle w:val="Voetnootmarkering"/>
        </w:rPr>
        <w:footnoteRef/>
      </w:r>
      <w:r w:rsidRPr="00C307BF">
        <w:rPr>
          <w:lang w:val="en-GB"/>
        </w:rPr>
        <w:t xml:space="preserve"> </w:t>
      </w:r>
      <w:r>
        <w:rPr>
          <w:lang w:val="en-GB"/>
        </w:rPr>
        <w:t>HUTTON, ‘</w:t>
      </w:r>
      <w:r w:rsidRPr="006058CD">
        <w:rPr>
          <w:lang w:val="en-GB"/>
        </w:rPr>
        <w:t xml:space="preserve">Women, Men, </w:t>
      </w:r>
      <w:r>
        <w:rPr>
          <w:lang w:val="en-GB"/>
        </w:rPr>
        <w:t xml:space="preserve">and Markets’, 410 – 419. </w:t>
      </w:r>
    </w:p>
  </w:footnote>
  <w:footnote w:id="333">
    <w:p w:rsidR="00421AE8" w:rsidRPr="00D454C4" w:rsidRDefault="00421AE8" w:rsidP="00266F09">
      <w:pPr>
        <w:pStyle w:val="Voetnoottekst"/>
      </w:pPr>
      <w:r>
        <w:rPr>
          <w:rStyle w:val="Voetnootmarkering"/>
        </w:rPr>
        <w:footnoteRef/>
      </w:r>
      <w:r w:rsidRPr="00D454C4">
        <w:t xml:space="preserve"> SAL, 1527, </w:t>
      </w:r>
      <w:r>
        <w:t>1593</w:t>
      </w:r>
      <w:r w:rsidRPr="00D454C4">
        <w:t>.</w:t>
      </w:r>
    </w:p>
  </w:footnote>
  <w:footnote w:id="334">
    <w:p w:rsidR="00421AE8" w:rsidRDefault="00421AE8" w:rsidP="00266F09">
      <w:pPr>
        <w:pStyle w:val="Voetnoottekst"/>
      </w:pPr>
      <w:r>
        <w:rPr>
          <w:rStyle w:val="Voetnootmarkering"/>
        </w:rPr>
        <w:footnoteRef/>
      </w:r>
      <w:r>
        <w:t xml:space="preserve"> </w:t>
      </w:r>
      <w:r w:rsidRPr="00D454C4">
        <w:t xml:space="preserve">SAL, 1527, </w:t>
      </w:r>
      <w:r>
        <w:t>1593</w:t>
      </w:r>
      <w:r w:rsidRPr="00D454C4">
        <w:t>.</w:t>
      </w:r>
    </w:p>
  </w:footnote>
  <w:footnote w:id="335">
    <w:p w:rsidR="00421AE8" w:rsidRPr="00C907E7" w:rsidRDefault="00421AE8" w:rsidP="00266F09">
      <w:pPr>
        <w:pStyle w:val="Voetnoottekst"/>
      </w:pPr>
      <w:r>
        <w:rPr>
          <w:rStyle w:val="Voetnootmarkering"/>
        </w:rPr>
        <w:footnoteRef/>
      </w:r>
      <w:r w:rsidRPr="00C907E7">
        <w:t xml:space="preserve"> </w:t>
      </w:r>
      <w:r>
        <w:t xml:space="preserve">VAN UYTVEN, </w:t>
      </w:r>
      <w:r>
        <w:rPr>
          <w:i/>
        </w:rPr>
        <w:t>Leuven, “de beste stad van Brabant”</w:t>
      </w:r>
      <w:r>
        <w:t>, 137.</w:t>
      </w:r>
    </w:p>
  </w:footnote>
  <w:footnote w:id="336">
    <w:p w:rsidR="00421AE8" w:rsidRPr="005F5605" w:rsidRDefault="00421AE8" w:rsidP="00266F09">
      <w:pPr>
        <w:pStyle w:val="Voetnoottekst"/>
        <w:rPr>
          <w:lang w:val="en-GB"/>
        </w:rPr>
      </w:pPr>
      <w:r>
        <w:rPr>
          <w:rStyle w:val="Voetnootmarkering"/>
        </w:rPr>
        <w:footnoteRef/>
      </w:r>
      <w:r w:rsidRPr="005F5605">
        <w:rPr>
          <w:lang w:val="en-GB"/>
        </w:rPr>
        <w:t xml:space="preserve"> </w:t>
      </w:r>
      <w:r>
        <w:rPr>
          <w:rFonts w:cs="Times New Roman"/>
          <w:lang w:val="en-GB"/>
        </w:rPr>
        <w:t>ARNADE, HOWELL en SIMONS, ‘Fertile Spaces’, 525 – 526.</w:t>
      </w:r>
    </w:p>
  </w:footnote>
  <w:footnote w:id="337">
    <w:p w:rsidR="00421AE8" w:rsidRPr="003937AC" w:rsidRDefault="00421AE8" w:rsidP="00266F09">
      <w:pPr>
        <w:pStyle w:val="Voetnoottekst"/>
        <w:rPr>
          <w:lang w:val="en-GB"/>
        </w:rPr>
      </w:pPr>
      <w:r>
        <w:rPr>
          <w:rStyle w:val="Voetnootmarkering"/>
        </w:rPr>
        <w:footnoteRef/>
      </w:r>
      <w:r w:rsidRPr="003937AC">
        <w:rPr>
          <w:lang w:val="en-GB"/>
        </w:rPr>
        <w:t xml:space="preserve"> SAL, 1523, fol. </w:t>
      </w:r>
      <w:r w:rsidRPr="00A11879">
        <w:rPr>
          <w:lang w:val="en-GB"/>
        </w:rPr>
        <w:t>67v – 68v, 9 september 1420</w:t>
      </w:r>
      <w:r w:rsidRPr="003937AC">
        <w:rPr>
          <w:lang w:val="en-GB"/>
        </w:rPr>
        <w:t>.</w:t>
      </w:r>
    </w:p>
  </w:footnote>
  <w:footnote w:id="338">
    <w:p w:rsidR="00421AE8" w:rsidRDefault="00421AE8" w:rsidP="00266F09">
      <w:pPr>
        <w:pStyle w:val="Voetnoottekst"/>
      </w:pPr>
      <w:r>
        <w:rPr>
          <w:rStyle w:val="Voetnootmarkering"/>
        </w:rPr>
        <w:footnoteRef/>
      </w:r>
      <w:r>
        <w:t xml:space="preserve"> </w:t>
      </w:r>
      <w:r w:rsidRPr="0069210F">
        <w:t xml:space="preserve">VAN UYTVEN, </w:t>
      </w:r>
      <w:r w:rsidRPr="0069210F">
        <w:rPr>
          <w:i/>
        </w:rPr>
        <w:t>Leuven, “de beste stad van Brabant”</w:t>
      </w:r>
      <w:r w:rsidRPr="0069210F">
        <w:t>,</w:t>
      </w:r>
      <w:r>
        <w:t xml:space="preserve"> 137 – 138.</w:t>
      </w:r>
    </w:p>
  </w:footnote>
  <w:footnote w:id="339">
    <w:p w:rsidR="00421AE8" w:rsidRPr="00685609" w:rsidRDefault="00421AE8" w:rsidP="00266F09">
      <w:pPr>
        <w:pStyle w:val="Voetnoottekst"/>
        <w:rPr>
          <w:lang w:val="en-GB"/>
        </w:rPr>
      </w:pPr>
      <w:r>
        <w:rPr>
          <w:rStyle w:val="Voetnootmarkering"/>
        </w:rPr>
        <w:footnoteRef/>
      </w:r>
      <w:r w:rsidRPr="00685609">
        <w:rPr>
          <w:lang w:val="en-GB"/>
        </w:rPr>
        <w:t xml:space="preserve"> SAL, 1523, </w:t>
      </w:r>
      <w:r w:rsidRPr="009019FF">
        <w:rPr>
          <w:lang w:val="en-GB"/>
        </w:rPr>
        <w:t>63v – 65r, 29 november 1416</w:t>
      </w:r>
      <w:r w:rsidRPr="00685609">
        <w:rPr>
          <w:lang w:val="en-GB"/>
        </w:rPr>
        <w:t>.</w:t>
      </w:r>
    </w:p>
  </w:footnote>
  <w:footnote w:id="340">
    <w:p w:rsidR="00421AE8" w:rsidRPr="00265216" w:rsidRDefault="00421AE8">
      <w:pPr>
        <w:pStyle w:val="Voetnoottekst"/>
        <w:rPr>
          <w:lang w:val="en-GB"/>
        </w:rPr>
      </w:pPr>
      <w:r>
        <w:rPr>
          <w:rStyle w:val="Voetnootmarkering"/>
        </w:rPr>
        <w:footnoteRef/>
      </w:r>
      <w:r w:rsidRPr="00265216">
        <w:rPr>
          <w:lang w:val="en-GB"/>
        </w:rPr>
        <w:t xml:space="preserve"> </w:t>
      </w:r>
      <w:r>
        <w:rPr>
          <w:lang w:val="en-GB"/>
        </w:rPr>
        <w:t xml:space="preserve">ARB, </w:t>
      </w:r>
      <w:r w:rsidRPr="007B2F01">
        <w:rPr>
          <w:lang w:val="en-GB"/>
        </w:rPr>
        <w:t>12654, fol. 344v, 1422 – 1423.</w:t>
      </w:r>
    </w:p>
  </w:footnote>
  <w:footnote w:id="341">
    <w:p w:rsidR="00421AE8" w:rsidRPr="00945A47" w:rsidRDefault="00421AE8" w:rsidP="00266F09">
      <w:pPr>
        <w:pStyle w:val="Voetnoottekst"/>
        <w:rPr>
          <w:lang w:val="en-GB"/>
        </w:rPr>
      </w:pPr>
      <w:r>
        <w:rPr>
          <w:rStyle w:val="Voetnootmarkering"/>
        </w:rPr>
        <w:footnoteRef/>
      </w:r>
      <w:r w:rsidRPr="00945A47">
        <w:rPr>
          <w:lang w:val="en-GB"/>
        </w:rPr>
        <w:t xml:space="preserve"> </w:t>
      </w:r>
      <w:r>
        <w:rPr>
          <w:lang w:val="en-GB"/>
        </w:rPr>
        <w:t>REES JONES, ‘Public and Private Space’, 252.</w:t>
      </w:r>
    </w:p>
  </w:footnote>
  <w:footnote w:id="342">
    <w:p w:rsidR="00421AE8" w:rsidRPr="005E1571" w:rsidRDefault="00421AE8" w:rsidP="00266F09">
      <w:pPr>
        <w:pStyle w:val="Voetnoottekst"/>
        <w:rPr>
          <w:lang w:val="en-GB"/>
        </w:rPr>
      </w:pPr>
      <w:r>
        <w:rPr>
          <w:rStyle w:val="Voetnootmarkering"/>
        </w:rPr>
        <w:footnoteRef/>
      </w:r>
      <w:r w:rsidRPr="005E1571">
        <w:rPr>
          <w:lang w:val="en-GB"/>
        </w:rPr>
        <w:t xml:space="preserve"> </w:t>
      </w:r>
      <w:r w:rsidRPr="00103844">
        <w:rPr>
          <w:lang w:val="en-GB"/>
        </w:rPr>
        <w:t>ROSSER</w:t>
      </w:r>
      <w:r>
        <w:rPr>
          <w:lang w:val="en-GB"/>
        </w:rPr>
        <w:t>, ‘Crafts, Guilds and the Negotiation of Work in the Medieval Town’, 9.</w:t>
      </w:r>
    </w:p>
  </w:footnote>
  <w:footnote w:id="343">
    <w:p w:rsidR="00421AE8" w:rsidRPr="00D0487B" w:rsidRDefault="00421AE8" w:rsidP="00266F09">
      <w:pPr>
        <w:pStyle w:val="Voetnoottekst"/>
        <w:tabs>
          <w:tab w:val="left" w:pos="2527"/>
        </w:tabs>
        <w:rPr>
          <w:i/>
        </w:rPr>
      </w:pPr>
      <w:r>
        <w:rPr>
          <w:rStyle w:val="Voetnootmarkering"/>
        </w:rPr>
        <w:footnoteRef/>
      </w:r>
      <w:r w:rsidRPr="00685609">
        <w:t xml:space="preserve"> SAL</w:t>
      </w:r>
      <w:r w:rsidRPr="00D0487B">
        <w:t>, 1527, 1593.</w:t>
      </w:r>
      <w:r w:rsidRPr="00D0487B">
        <w:tab/>
      </w:r>
    </w:p>
    <w:p w:rsidR="00421AE8" w:rsidRPr="00D0487B" w:rsidRDefault="00421AE8" w:rsidP="00266F09">
      <w:pPr>
        <w:pStyle w:val="Voetnoottekst"/>
        <w:rPr>
          <w:i/>
        </w:rPr>
      </w:pPr>
      <w:r w:rsidRPr="00D0487B">
        <w:rPr>
          <w:i/>
        </w:rPr>
        <w:t>Om te versien opte ordonantien […] die dagelijx gevalt in den vleeschuyse oft oeck daer buyten van den vleeschouwers oft pensvrouwen die nae malcanderen ende andere goede luyden worpen met beenen seenen ende anders malcandere goet mesprijsen den goeden luyden die hen nae haeren wille nyet en lieden naeroepen ende beschamen deen des anders bancken omme werpen oft uutreyn maken […].</w:t>
      </w:r>
    </w:p>
  </w:footnote>
  <w:footnote w:id="344">
    <w:p w:rsidR="00421AE8" w:rsidRPr="00D0487B" w:rsidRDefault="00421AE8">
      <w:pPr>
        <w:pStyle w:val="Voetnoottekst"/>
        <w:rPr>
          <w:lang w:val="en-GB"/>
        </w:rPr>
      </w:pPr>
      <w:r w:rsidRPr="00D0487B">
        <w:rPr>
          <w:rStyle w:val="Voetnootmarkering"/>
        </w:rPr>
        <w:footnoteRef/>
      </w:r>
      <w:r w:rsidRPr="00D0487B">
        <w:rPr>
          <w:lang w:val="en-GB"/>
        </w:rPr>
        <w:t xml:space="preserve"> SAL, </w:t>
      </w:r>
      <w:r w:rsidRPr="005F4F43">
        <w:rPr>
          <w:lang w:val="en-GB"/>
        </w:rPr>
        <w:t>1527, 1593.</w:t>
      </w:r>
    </w:p>
  </w:footnote>
  <w:footnote w:id="345">
    <w:p w:rsidR="00421AE8" w:rsidRPr="003766AF" w:rsidRDefault="00421AE8" w:rsidP="00266F09">
      <w:pPr>
        <w:pStyle w:val="Voetnoottekst"/>
        <w:rPr>
          <w:lang w:val="en-GB"/>
        </w:rPr>
      </w:pPr>
      <w:r w:rsidRPr="00D0487B">
        <w:rPr>
          <w:rStyle w:val="Voetnootmarkering"/>
        </w:rPr>
        <w:footnoteRef/>
      </w:r>
      <w:r w:rsidRPr="00D0487B">
        <w:rPr>
          <w:lang w:val="en-GB"/>
        </w:rPr>
        <w:t xml:space="preserve"> BOONE, DE HEMPTINNE en PREVENI</w:t>
      </w:r>
      <w:r w:rsidRPr="00277663">
        <w:rPr>
          <w:lang w:val="en-GB"/>
        </w:rPr>
        <w:t>ER, ‘Gender and early emancipation in the Low Countries in the late Middle Ages and early modern period’</w:t>
      </w:r>
      <w:r>
        <w:rPr>
          <w:lang w:val="en-GB"/>
        </w:rPr>
        <w:t>, 33 – 34.</w:t>
      </w:r>
    </w:p>
  </w:footnote>
  <w:footnote w:id="346">
    <w:p w:rsidR="00421AE8" w:rsidRPr="00685609" w:rsidRDefault="00421AE8" w:rsidP="00266F09">
      <w:pPr>
        <w:pStyle w:val="Voetnoottekst"/>
        <w:rPr>
          <w:lang w:val="en-GB"/>
        </w:rPr>
      </w:pPr>
      <w:r>
        <w:rPr>
          <w:rStyle w:val="Voetnootmarkering"/>
        </w:rPr>
        <w:footnoteRef/>
      </w:r>
      <w:r w:rsidRPr="00685609">
        <w:rPr>
          <w:lang w:val="en-GB"/>
        </w:rPr>
        <w:t xml:space="preserve"> SAL, 4648, </w:t>
      </w:r>
      <w:r w:rsidRPr="00780004">
        <w:rPr>
          <w:lang w:val="en-US"/>
        </w:rPr>
        <w:t>fol.</w:t>
      </w:r>
      <w:r>
        <w:rPr>
          <w:lang w:val="en-GB"/>
        </w:rPr>
        <w:t xml:space="preserve"> </w:t>
      </w:r>
      <w:r w:rsidRPr="005F4F43">
        <w:rPr>
          <w:lang w:val="en-GB"/>
        </w:rPr>
        <w:t>390v – 392r, 7 december 1439.</w:t>
      </w:r>
    </w:p>
  </w:footnote>
  <w:footnote w:id="347">
    <w:p w:rsidR="00421AE8" w:rsidRPr="00882420" w:rsidRDefault="00421AE8" w:rsidP="00266F09">
      <w:pPr>
        <w:pStyle w:val="Voetnoottekst"/>
        <w:rPr>
          <w:lang w:val="en-GB"/>
        </w:rPr>
      </w:pPr>
      <w:r>
        <w:rPr>
          <w:rStyle w:val="Voetnootmarkering"/>
        </w:rPr>
        <w:footnoteRef/>
      </w:r>
      <w:r w:rsidRPr="00882420">
        <w:rPr>
          <w:lang w:val="en-GB"/>
        </w:rPr>
        <w:t xml:space="preserve"> </w:t>
      </w:r>
      <w:r w:rsidRPr="00676B24">
        <w:rPr>
          <w:lang w:val="en-GB"/>
        </w:rPr>
        <w:t>NA</w:t>
      </w:r>
      <w:r>
        <w:rPr>
          <w:lang w:val="en-GB"/>
        </w:rPr>
        <w:t>ESSENS, M., ‘Judicial Authorities’ Views of Women’s Roles in Late Medieval Flanders’,</w:t>
      </w:r>
      <w:r w:rsidRPr="00676B24">
        <w:rPr>
          <w:lang w:val="en-GB"/>
        </w:rPr>
        <w:t xml:space="preserve"> </w:t>
      </w:r>
      <w:r>
        <w:rPr>
          <w:lang w:val="en-GB"/>
        </w:rPr>
        <w:t xml:space="preserve">E.E. KITTELL </w:t>
      </w:r>
      <w:r w:rsidRPr="00A52E65">
        <w:rPr>
          <w:lang w:val="en-GB"/>
        </w:rPr>
        <w:t xml:space="preserve">en </w:t>
      </w:r>
      <w:r>
        <w:rPr>
          <w:lang w:val="en-GB"/>
        </w:rPr>
        <w:t>M.A. SUYDAM red.</w:t>
      </w:r>
      <w:r w:rsidRPr="00A52E65">
        <w:rPr>
          <w:lang w:val="en-GB"/>
        </w:rPr>
        <w:t xml:space="preserve">, </w:t>
      </w:r>
      <w:r w:rsidRPr="00A52E65">
        <w:rPr>
          <w:i/>
          <w:lang w:val="en-GB"/>
        </w:rPr>
        <w:t>The Texture of Society: Medieval Women in the Southern Low Countries</w:t>
      </w:r>
      <w:r>
        <w:rPr>
          <w:lang w:val="en-GB"/>
        </w:rPr>
        <w:t xml:space="preserve"> (The New Middle Ages), New York, 2004, 51 -77, 63 – 64.</w:t>
      </w:r>
    </w:p>
  </w:footnote>
  <w:footnote w:id="348">
    <w:p w:rsidR="00421AE8" w:rsidRPr="006038E0" w:rsidRDefault="00421AE8" w:rsidP="00266F09">
      <w:pPr>
        <w:pStyle w:val="Voetnoottekst"/>
        <w:rPr>
          <w:lang w:val="en-GB"/>
        </w:rPr>
      </w:pPr>
      <w:r>
        <w:rPr>
          <w:rStyle w:val="Voetnootmarkering"/>
        </w:rPr>
        <w:footnoteRef/>
      </w:r>
      <w:r w:rsidRPr="006038E0">
        <w:rPr>
          <w:lang w:val="en-GB"/>
        </w:rPr>
        <w:t xml:space="preserve"> </w:t>
      </w:r>
      <w:r>
        <w:rPr>
          <w:lang w:val="en-GB"/>
        </w:rPr>
        <w:t>SYMES, ‘Out in the Open, in Arras’, 294.</w:t>
      </w:r>
    </w:p>
    <w:p w:rsidR="00421AE8" w:rsidRDefault="00421AE8" w:rsidP="00266F09">
      <w:pPr>
        <w:pStyle w:val="Voetnoottekst"/>
      </w:pPr>
      <w:r w:rsidRPr="00B932AA">
        <w:t xml:space="preserve">Bijlage 2 toont een </w:t>
      </w:r>
      <w:r>
        <w:t>afbeelding</w:t>
      </w:r>
      <w:r w:rsidRPr="00B932AA">
        <w:t xml:space="preserve"> van</w:t>
      </w:r>
      <w:r>
        <w:t xml:space="preserve"> het</w:t>
      </w:r>
      <w:r w:rsidRPr="00B932AA">
        <w:t xml:space="preserve"> middeleeuws</w:t>
      </w:r>
      <w:r>
        <w:t>e</w:t>
      </w:r>
      <w:r w:rsidRPr="00B932AA">
        <w:t xml:space="preserve"> Leuven waarop de gesloten bebouwing binnen de eerste stadsmuur te zien is.</w:t>
      </w:r>
      <w:r>
        <w:t xml:space="preserve"> </w:t>
      </w:r>
    </w:p>
  </w:footnote>
  <w:footnote w:id="349">
    <w:p w:rsidR="00421AE8" w:rsidRPr="006038E0" w:rsidRDefault="00421AE8" w:rsidP="00266F09">
      <w:pPr>
        <w:pStyle w:val="Voetnoottekst"/>
        <w:rPr>
          <w:lang w:val="en-GB"/>
        </w:rPr>
      </w:pPr>
      <w:r>
        <w:rPr>
          <w:rStyle w:val="Voetnootmarkering"/>
        </w:rPr>
        <w:footnoteRef/>
      </w:r>
      <w:r w:rsidRPr="006038E0">
        <w:rPr>
          <w:lang w:val="en-GB"/>
        </w:rPr>
        <w:t xml:space="preserve"> </w:t>
      </w:r>
      <w:r>
        <w:rPr>
          <w:lang w:val="en-GB"/>
        </w:rPr>
        <w:t>HOWELL, ‘The spaces of late medieval urbanity’, 11 – 12.</w:t>
      </w:r>
    </w:p>
  </w:footnote>
  <w:footnote w:id="350">
    <w:p w:rsidR="00421AE8" w:rsidRPr="00BE2EE9" w:rsidRDefault="00421AE8" w:rsidP="00266F09">
      <w:pPr>
        <w:pStyle w:val="Voetnoottekst"/>
        <w:rPr>
          <w:lang w:val="en-GB"/>
        </w:rPr>
      </w:pPr>
      <w:r>
        <w:rPr>
          <w:rStyle w:val="Voetnootmarkering"/>
        </w:rPr>
        <w:footnoteRef/>
      </w:r>
      <w:r w:rsidRPr="00BE2EE9">
        <w:rPr>
          <w:lang w:val="en-GB"/>
        </w:rPr>
        <w:t xml:space="preserve"> SAL, 1527, 1593.</w:t>
      </w:r>
    </w:p>
    <w:p w:rsidR="00421AE8" w:rsidRPr="00BE2EE9" w:rsidRDefault="00421AE8" w:rsidP="00266F09">
      <w:pPr>
        <w:pStyle w:val="Voetnoottekst"/>
        <w:rPr>
          <w:lang w:val="en-GB"/>
        </w:rPr>
      </w:pPr>
      <w:r w:rsidRPr="00BE2EE9">
        <w:rPr>
          <w:i/>
          <w:lang w:val="en-GB"/>
        </w:rPr>
        <w:t>[…] selen moegen noch doen dragen in tavernen cabaretten noch tot yemants huyse […]</w:t>
      </w:r>
    </w:p>
  </w:footnote>
  <w:footnote w:id="351">
    <w:p w:rsidR="00421AE8" w:rsidRPr="00A11879" w:rsidRDefault="00421AE8" w:rsidP="00266F09">
      <w:pPr>
        <w:pStyle w:val="Voetnoottekst"/>
        <w:rPr>
          <w:lang w:val="en-GB"/>
        </w:rPr>
      </w:pPr>
      <w:r>
        <w:rPr>
          <w:rStyle w:val="Voetnootmarkering"/>
        </w:rPr>
        <w:footnoteRef/>
      </w:r>
      <w:r w:rsidRPr="007B653B">
        <w:rPr>
          <w:lang w:val="en-GB"/>
        </w:rPr>
        <w:t xml:space="preserve"> </w:t>
      </w:r>
      <w:r w:rsidRPr="00685609">
        <w:rPr>
          <w:lang w:val="en-GB"/>
        </w:rPr>
        <w:t xml:space="preserve">SAL, 1523, </w:t>
      </w:r>
      <w:r>
        <w:rPr>
          <w:lang w:val="en-GB"/>
        </w:rPr>
        <w:t xml:space="preserve">fol. </w:t>
      </w:r>
      <w:r w:rsidRPr="00A11879">
        <w:rPr>
          <w:lang w:val="en-GB"/>
        </w:rPr>
        <w:t>63v – 65r, 29 november 1416.</w:t>
      </w:r>
    </w:p>
  </w:footnote>
  <w:footnote w:id="352">
    <w:p w:rsidR="00421AE8" w:rsidRPr="009838B8" w:rsidRDefault="00421AE8" w:rsidP="00266F09">
      <w:pPr>
        <w:pStyle w:val="Voetnoottekst"/>
        <w:rPr>
          <w:lang w:val="en-GB"/>
        </w:rPr>
      </w:pPr>
      <w:r>
        <w:rPr>
          <w:rStyle w:val="Voetnootmarkering"/>
        </w:rPr>
        <w:footnoteRef/>
      </w:r>
      <w:r w:rsidRPr="009838B8">
        <w:rPr>
          <w:lang w:val="en-GB"/>
        </w:rPr>
        <w:t xml:space="preserve"> </w:t>
      </w:r>
      <w:r>
        <w:rPr>
          <w:lang w:val="en-GB"/>
        </w:rPr>
        <w:t>HUTTON, ‘</w:t>
      </w:r>
      <w:r w:rsidRPr="006058CD">
        <w:rPr>
          <w:lang w:val="en-GB"/>
        </w:rPr>
        <w:t xml:space="preserve">Women, Men, </w:t>
      </w:r>
      <w:r>
        <w:rPr>
          <w:lang w:val="en-GB"/>
        </w:rPr>
        <w:t>and Markets’, 426.</w:t>
      </w:r>
    </w:p>
  </w:footnote>
  <w:footnote w:id="353">
    <w:p w:rsidR="00421AE8" w:rsidRPr="00A11879" w:rsidRDefault="00421AE8" w:rsidP="00266F09">
      <w:pPr>
        <w:pStyle w:val="Voetnoottekst"/>
        <w:rPr>
          <w:lang w:val="en-GB"/>
        </w:rPr>
      </w:pPr>
      <w:r>
        <w:rPr>
          <w:rStyle w:val="Voetnootmarkering"/>
        </w:rPr>
        <w:footnoteRef/>
      </w:r>
      <w:r w:rsidRPr="003B58F4">
        <w:rPr>
          <w:lang w:val="en-GB"/>
        </w:rPr>
        <w:t xml:space="preserve"> </w:t>
      </w:r>
      <w:r w:rsidRPr="00685609">
        <w:rPr>
          <w:lang w:val="en-GB"/>
        </w:rPr>
        <w:t xml:space="preserve">SAL, 1523, </w:t>
      </w:r>
      <w:r>
        <w:rPr>
          <w:lang w:val="en-GB"/>
        </w:rPr>
        <w:t xml:space="preserve">fol. </w:t>
      </w:r>
      <w:r w:rsidRPr="00A11879">
        <w:rPr>
          <w:lang w:val="en-GB"/>
        </w:rPr>
        <w:t>63v – 65r, 29 november 1416.</w:t>
      </w:r>
    </w:p>
  </w:footnote>
  <w:footnote w:id="354">
    <w:p w:rsidR="00421AE8" w:rsidRPr="007B653B" w:rsidRDefault="00421AE8" w:rsidP="00266F09">
      <w:pPr>
        <w:pStyle w:val="Voetnoottekst"/>
        <w:rPr>
          <w:lang w:val="en-GB"/>
        </w:rPr>
      </w:pPr>
      <w:r>
        <w:rPr>
          <w:rStyle w:val="Voetnootmarkering"/>
        </w:rPr>
        <w:footnoteRef/>
      </w:r>
      <w:r w:rsidRPr="007B653B">
        <w:rPr>
          <w:lang w:val="en-GB"/>
        </w:rPr>
        <w:t xml:space="preserve"> SAL, 1524, fol. </w:t>
      </w:r>
      <w:r w:rsidRPr="00A11879">
        <w:rPr>
          <w:lang w:val="en-GB"/>
        </w:rPr>
        <w:t>398r – 401v, 13 augustus 1424</w:t>
      </w:r>
      <w:r w:rsidRPr="007B653B">
        <w:rPr>
          <w:lang w:val="en-GB"/>
        </w:rPr>
        <w:t>.</w:t>
      </w:r>
    </w:p>
  </w:footnote>
  <w:footnote w:id="355">
    <w:p w:rsidR="00421AE8" w:rsidRPr="00A11879" w:rsidRDefault="00421AE8" w:rsidP="00266F09">
      <w:pPr>
        <w:pStyle w:val="Voetnoottekst"/>
        <w:rPr>
          <w:lang w:val="es-ES_tradnl"/>
        </w:rPr>
      </w:pPr>
      <w:r>
        <w:rPr>
          <w:rStyle w:val="Voetnootmarkering"/>
        </w:rPr>
        <w:footnoteRef/>
      </w:r>
      <w:r w:rsidRPr="00A11879">
        <w:rPr>
          <w:lang w:val="es-ES_tradnl"/>
        </w:rPr>
        <w:t xml:space="preserve"> SAL, 1524, fol. 235v – 236v, 31 juli 1439.</w:t>
      </w:r>
    </w:p>
  </w:footnote>
  <w:footnote w:id="356">
    <w:p w:rsidR="00421AE8" w:rsidRPr="00A11879" w:rsidRDefault="00421AE8" w:rsidP="00266F09">
      <w:pPr>
        <w:pStyle w:val="Voetnoottekst"/>
        <w:rPr>
          <w:lang w:val="es-ES_tradnl"/>
        </w:rPr>
      </w:pPr>
      <w:r>
        <w:rPr>
          <w:rStyle w:val="Voetnootmarkering"/>
        </w:rPr>
        <w:footnoteRef/>
      </w:r>
      <w:r w:rsidRPr="00A11879">
        <w:rPr>
          <w:lang w:val="es-ES_tradnl"/>
        </w:rPr>
        <w:t xml:space="preserve"> SAL, 1524, fol. 235v – 236v, 31 juli 1439.</w:t>
      </w:r>
    </w:p>
  </w:footnote>
  <w:footnote w:id="357">
    <w:p w:rsidR="00421AE8" w:rsidRPr="00110244" w:rsidRDefault="00421AE8" w:rsidP="00266F09">
      <w:pPr>
        <w:pStyle w:val="Voetnoottekst"/>
        <w:rPr>
          <w:lang w:val="en-GB"/>
        </w:rPr>
      </w:pPr>
      <w:r>
        <w:rPr>
          <w:rStyle w:val="Voetnootmarkering"/>
        </w:rPr>
        <w:footnoteRef/>
      </w:r>
      <w:r w:rsidRPr="00110244">
        <w:rPr>
          <w:lang w:val="en-GB"/>
        </w:rPr>
        <w:t xml:space="preserve"> </w:t>
      </w:r>
      <w:r>
        <w:rPr>
          <w:lang w:val="en-GB"/>
        </w:rPr>
        <w:t>HOWELL, ‘The spaces of late medieval urbanity’, 14 – 17.</w:t>
      </w:r>
    </w:p>
  </w:footnote>
  <w:footnote w:id="358">
    <w:p w:rsidR="00421AE8" w:rsidRPr="00D454C4" w:rsidRDefault="00421AE8" w:rsidP="00266F09">
      <w:pPr>
        <w:pStyle w:val="Voetnoottekst"/>
        <w:rPr>
          <w:lang w:val="en-GB"/>
        </w:rPr>
      </w:pPr>
      <w:r>
        <w:rPr>
          <w:rStyle w:val="Voetnootmarkering"/>
        </w:rPr>
        <w:footnoteRef/>
      </w:r>
      <w:r w:rsidRPr="00D454C4">
        <w:rPr>
          <w:lang w:val="en-GB"/>
        </w:rPr>
        <w:t xml:space="preserve"> SAL, 1523, fol. </w:t>
      </w:r>
      <w:r w:rsidRPr="009019FF">
        <w:rPr>
          <w:lang w:val="en-GB"/>
        </w:rPr>
        <w:t>155r – 156r, 23 mei 1424.</w:t>
      </w:r>
    </w:p>
  </w:footnote>
  <w:footnote w:id="359">
    <w:p w:rsidR="00421AE8" w:rsidRPr="00D64522" w:rsidRDefault="00421AE8">
      <w:pPr>
        <w:pStyle w:val="Voetnoottekst"/>
        <w:rPr>
          <w:lang w:val="en-GB"/>
        </w:rPr>
      </w:pPr>
      <w:r>
        <w:rPr>
          <w:rStyle w:val="Voetnootmarkering"/>
        </w:rPr>
        <w:footnoteRef/>
      </w:r>
      <w:r w:rsidRPr="00D64522">
        <w:rPr>
          <w:lang w:val="en-GB"/>
        </w:rPr>
        <w:t xml:space="preserve"> </w:t>
      </w:r>
      <w:r w:rsidRPr="00676B24">
        <w:rPr>
          <w:lang w:val="en-GB"/>
        </w:rPr>
        <w:t>NA</w:t>
      </w:r>
      <w:r>
        <w:rPr>
          <w:lang w:val="en-GB"/>
        </w:rPr>
        <w:t>ESSENS, ‘Judicial Authorities’ Views of Women’s Roles’, 63 – 64.</w:t>
      </w:r>
    </w:p>
  </w:footnote>
  <w:footnote w:id="360">
    <w:p w:rsidR="00421AE8" w:rsidRPr="00FB480A" w:rsidRDefault="00421AE8" w:rsidP="00266F09">
      <w:pPr>
        <w:pStyle w:val="Voetnoottekst"/>
        <w:rPr>
          <w:lang w:val="en-GB"/>
        </w:rPr>
      </w:pPr>
      <w:r>
        <w:rPr>
          <w:rStyle w:val="Voetnootmarkering"/>
        </w:rPr>
        <w:footnoteRef/>
      </w:r>
      <w:r w:rsidRPr="00FB480A">
        <w:rPr>
          <w:lang w:val="en-GB"/>
        </w:rPr>
        <w:t xml:space="preserve"> </w:t>
      </w:r>
      <w:r>
        <w:rPr>
          <w:lang w:val="en-GB"/>
        </w:rPr>
        <w:t>HOWELL, ‘The spaces of late medieval urbanity’, 12.</w:t>
      </w:r>
    </w:p>
  </w:footnote>
  <w:footnote w:id="361">
    <w:p w:rsidR="00421AE8" w:rsidRPr="002451C6" w:rsidRDefault="00421AE8" w:rsidP="00266F09">
      <w:pPr>
        <w:pStyle w:val="Voetnoottekst"/>
        <w:rPr>
          <w:lang w:val="en-GB"/>
        </w:rPr>
      </w:pPr>
      <w:r>
        <w:rPr>
          <w:rStyle w:val="Voetnootmarkering"/>
        </w:rPr>
        <w:footnoteRef/>
      </w:r>
      <w:r w:rsidRPr="002451C6">
        <w:rPr>
          <w:lang w:val="en-GB"/>
        </w:rPr>
        <w:t xml:space="preserve"> </w:t>
      </w:r>
      <w:r>
        <w:rPr>
          <w:lang w:val="en-GB"/>
        </w:rPr>
        <w:t>HUTTON, ‘</w:t>
      </w:r>
      <w:r w:rsidRPr="006058CD">
        <w:rPr>
          <w:lang w:val="en-GB"/>
        </w:rPr>
        <w:t xml:space="preserve">Women, Men, </w:t>
      </w:r>
      <w:r>
        <w:rPr>
          <w:lang w:val="en-GB"/>
        </w:rPr>
        <w:t>and Markets’, 416 – 421.</w:t>
      </w:r>
    </w:p>
  </w:footnote>
  <w:footnote w:id="362">
    <w:p w:rsidR="00421AE8" w:rsidRPr="002451C6" w:rsidRDefault="00421AE8" w:rsidP="00266F09">
      <w:pPr>
        <w:pStyle w:val="Voetnoottekst"/>
        <w:rPr>
          <w:lang w:val="en-GB"/>
        </w:rPr>
      </w:pPr>
      <w:r>
        <w:rPr>
          <w:rStyle w:val="Voetnootmarkering"/>
        </w:rPr>
        <w:footnoteRef/>
      </w:r>
      <w:r w:rsidRPr="002451C6">
        <w:rPr>
          <w:lang w:val="en-GB"/>
        </w:rPr>
        <w:t xml:space="preserve"> </w:t>
      </w:r>
      <w:r>
        <w:rPr>
          <w:lang w:val="en-GB"/>
        </w:rPr>
        <w:t>HUTTON, ‘</w:t>
      </w:r>
      <w:r w:rsidRPr="006058CD">
        <w:rPr>
          <w:lang w:val="en-GB"/>
        </w:rPr>
        <w:t xml:space="preserve">Women, Men, </w:t>
      </w:r>
      <w:r>
        <w:rPr>
          <w:lang w:val="en-GB"/>
        </w:rPr>
        <w:t>and Markets’, 427 – 430.</w:t>
      </w:r>
    </w:p>
  </w:footnote>
  <w:footnote w:id="363">
    <w:p w:rsidR="00421AE8" w:rsidRPr="003A3A1D" w:rsidRDefault="00421AE8" w:rsidP="00266F09">
      <w:pPr>
        <w:pStyle w:val="Voetnoottekst"/>
      </w:pPr>
      <w:r>
        <w:rPr>
          <w:rStyle w:val="Voetnootmarkering"/>
        </w:rPr>
        <w:footnoteRef/>
      </w:r>
      <w:r>
        <w:t xml:space="preserve"> </w:t>
      </w:r>
      <w:r w:rsidRPr="003A3A1D">
        <w:t xml:space="preserve">BESSEMANS, HONORÉ, e.a., </w:t>
      </w:r>
      <w:r w:rsidRPr="003A3A1D">
        <w:rPr>
          <w:i/>
        </w:rPr>
        <w:t>Leven te Leuven in de late Middeleeuwen</w:t>
      </w:r>
      <w:r w:rsidRPr="003A3A1D">
        <w:t>,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E8" w:rsidRPr="00497859" w:rsidRDefault="00421AE8" w:rsidP="00DE1E2F">
    <w:pPr>
      <w:spacing w:after="0" w:line="150" w:lineRule="exact"/>
      <w:jc w:val="right"/>
      <w:rPr>
        <w:rFonts w:ascii="Arial" w:eastAsia="Calibri" w:hAnsi="Arial" w:cs="Times New Roman"/>
        <w:caps/>
        <w:sz w:val="14"/>
        <w:szCs w:val="20"/>
        <w:lang w:val="nl-BE"/>
      </w:rPr>
    </w:pPr>
    <w:r>
      <w:rPr>
        <w:rFonts w:ascii="Arial" w:eastAsia="Calibri" w:hAnsi="Arial" w:cs="Times New Roman"/>
        <w:b/>
        <w:bCs/>
        <w:caps/>
        <w:noProof/>
        <w:sz w:val="14"/>
        <w:szCs w:val="20"/>
        <w:lang w:eastAsia="nl-NL"/>
      </w:rPr>
      <w:drawing>
        <wp:anchor distT="0" distB="0" distL="0" distR="0" simplePos="0" relativeHeight="251660288" behindDoc="0" locked="0" layoutInCell="1" allowOverlap="1" wp14:anchorId="23A9F4F4" wp14:editId="4A26EB90">
          <wp:simplePos x="0" y="0"/>
          <wp:positionH relativeFrom="margin">
            <wp:posOffset>5865495</wp:posOffset>
          </wp:positionH>
          <wp:positionV relativeFrom="page">
            <wp:posOffset>477520</wp:posOffset>
          </wp:positionV>
          <wp:extent cx="539750" cy="53975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859">
      <w:rPr>
        <w:rFonts w:ascii="Arial" w:eastAsia="Calibri" w:hAnsi="Arial" w:cs="Times New Roman"/>
        <w:caps/>
        <w:sz w:val="14"/>
        <w:szCs w:val="20"/>
        <w:lang w:val="nl-BE"/>
      </w:rPr>
      <w:t>KU Leuven</w:t>
    </w:r>
  </w:p>
  <w:p w:rsidR="00421AE8" w:rsidRPr="00497859" w:rsidRDefault="00421AE8" w:rsidP="00DE1E2F">
    <w:pPr>
      <w:spacing w:after="0" w:line="150" w:lineRule="exact"/>
      <w:jc w:val="right"/>
      <w:rPr>
        <w:rFonts w:ascii="Arial" w:eastAsia="Calibri" w:hAnsi="Arial" w:cs="Times New Roman"/>
        <w:b/>
        <w:bCs/>
        <w:caps/>
        <w:sz w:val="14"/>
        <w:szCs w:val="20"/>
        <w:lang w:val="nl-BE"/>
      </w:rPr>
    </w:pPr>
    <w:r w:rsidRPr="00497859">
      <w:rPr>
        <w:rFonts w:ascii="Arial" w:eastAsia="Calibri" w:hAnsi="Arial" w:cs="Times New Roman"/>
        <w:b/>
        <w:bCs/>
        <w:caps/>
        <w:sz w:val="14"/>
        <w:szCs w:val="20"/>
        <w:lang w:val="nl-BE"/>
      </w:rPr>
      <w:t>Faculteit Letteren</w:t>
    </w:r>
  </w:p>
  <w:p w:rsidR="00421AE8" w:rsidRPr="00497859" w:rsidRDefault="00421AE8" w:rsidP="00DE1E2F">
    <w:pPr>
      <w:spacing w:after="0" w:line="150" w:lineRule="exact"/>
      <w:jc w:val="right"/>
      <w:rPr>
        <w:rFonts w:ascii="Arial" w:eastAsia="Calibri" w:hAnsi="Arial" w:cs="Times New Roman"/>
        <w:caps/>
        <w:sz w:val="14"/>
        <w:szCs w:val="20"/>
        <w:lang w:val="nl-BE"/>
      </w:rPr>
    </w:pPr>
    <w:r w:rsidRPr="00497859">
      <w:rPr>
        <w:rFonts w:ascii="Arial" w:eastAsia="Calibri" w:hAnsi="Arial" w:cs="Times New Roman"/>
        <w:caps/>
        <w:sz w:val="14"/>
        <w:szCs w:val="20"/>
        <w:lang w:val="nl-BE"/>
      </w:rPr>
      <w:t>Blijde Inkomststraat 21 bus 3301</w:t>
    </w:r>
  </w:p>
  <w:p w:rsidR="00421AE8" w:rsidRPr="00497859" w:rsidRDefault="00421AE8" w:rsidP="00DE1E2F">
    <w:pPr>
      <w:spacing w:after="0" w:line="150" w:lineRule="exact"/>
      <w:jc w:val="right"/>
      <w:rPr>
        <w:rFonts w:ascii="Arial" w:eastAsia="Calibri" w:hAnsi="Arial" w:cs="Times New Roman"/>
        <w:caps/>
        <w:sz w:val="14"/>
        <w:szCs w:val="20"/>
        <w:lang w:val="nl-BE"/>
      </w:rPr>
    </w:pPr>
    <w:r>
      <w:rPr>
        <w:rFonts w:ascii="Arial" w:eastAsia="Calibri" w:hAnsi="Arial" w:cs="Times New Roman"/>
        <w:caps/>
        <w:noProof/>
        <w:sz w:val="14"/>
        <w:szCs w:val="20"/>
        <w:lang w:eastAsia="nl-NL"/>
      </w:rPr>
      <w:drawing>
        <wp:anchor distT="0" distB="0" distL="114300" distR="114300" simplePos="0" relativeHeight="251659264" behindDoc="0" locked="0" layoutInCell="1" allowOverlap="1" wp14:anchorId="5227D29F" wp14:editId="5CC7F966">
          <wp:simplePos x="0" y="0"/>
          <wp:positionH relativeFrom="page">
            <wp:posOffset>565785</wp:posOffset>
          </wp:positionH>
          <wp:positionV relativeFrom="page">
            <wp:posOffset>536575</wp:posOffset>
          </wp:positionV>
          <wp:extent cx="1512570" cy="5397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859">
      <w:rPr>
        <w:rFonts w:ascii="Arial" w:eastAsia="Calibri" w:hAnsi="Arial" w:cs="Times New Roman"/>
        <w:caps/>
        <w:sz w:val="14"/>
        <w:szCs w:val="20"/>
        <w:lang w:val="nl-BE"/>
      </w:rPr>
      <w:t>3000 LEUVEN, BELGIË</w:t>
    </w:r>
  </w:p>
  <w:p w:rsidR="00421AE8" w:rsidRDefault="00421AE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E8" w:rsidRPr="007662BA" w:rsidRDefault="00421AE8" w:rsidP="00DE1E2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E8" w:rsidRPr="007662BA" w:rsidRDefault="00421AE8" w:rsidP="00DE1E2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AB5"/>
    <w:multiLevelType w:val="hybridMultilevel"/>
    <w:tmpl w:val="20F26F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18105F3"/>
    <w:multiLevelType w:val="hybridMultilevel"/>
    <w:tmpl w:val="FFC4B976"/>
    <w:lvl w:ilvl="0" w:tplc="F7D2C97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FA33AE"/>
    <w:multiLevelType w:val="hybridMultilevel"/>
    <w:tmpl w:val="4E7E93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A82180D"/>
    <w:multiLevelType w:val="hybridMultilevel"/>
    <w:tmpl w:val="6584FB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874146A"/>
    <w:multiLevelType w:val="hybridMultilevel"/>
    <w:tmpl w:val="200CE94C"/>
    <w:lvl w:ilvl="0" w:tplc="63C85FC2">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76541D6"/>
    <w:multiLevelType w:val="hybridMultilevel"/>
    <w:tmpl w:val="1908BE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D01752C"/>
    <w:multiLevelType w:val="hybridMultilevel"/>
    <w:tmpl w:val="F8D0E11A"/>
    <w:lvl w:ilvl="0" w:tplc="86222D86">
      <w:numFmt w:val="bullet"/>
      <w:lvlText w:val=""/>
      <w:lvlJc w:val="left"/>
      <w:pPr>
        <w:ind w:left="1068" w:hanging="360"/>
      </w:pPr>
      <w:rPr>
        <w:rFonts w:ascii="Wingdings" w:eastAsiaTheme="minorHAnsi" w:hAnsi="Wingdings"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16F"/>
    <w:rsid w:val="0000098B"/>
    <w:rsid w:val="00001C90"/>
    <w:rsid w:val="00003651"/>
    <w:rsid w:val="00013E41"/>
    <w:rsid w:val="0001446E"/>
    <w:rsid w:val="00014901"/>
    <w:rsid w:val="00015AAE"/>
    <w:rsid w:val="00016B3E"/>
    <w:rsid w:val="00016C84"/>
    <w:rsid w:val="00021B86"/>
    <w:rsid w:val="00023010"/>
    <w:rsid w:val="000339AD"/>
    <w:rsid w:val="000344E4"/>
    <w:rsid w:val="00035110"/>
    <w:rsid w:val="000365E3"/>
    <w:rsid w:val="00041F90"/>
    <w:rsid w:val="00043F29"/>
    <w:rsid w:val="00045E97"/>
    <w:rsid w:val="00045EC0"/>
    <w:rsid w:val="0004726B"/>
    <w:rsid w:val="000505E8"/>
    <w:rsid w:val="000505E9"/>
    <w:rsid w:val="00051FF2"/>
    <w:rsid w:val="00053CE6"/>
    <w:rsid w:val="00053ED2"/>
    <w:rsid w:val="000545A3"/>
    <w:rsid w:val="000548A2"/>
    <w:rsid w:val="00054D91"/>
    <w:rsid w:val="00061793"/>
    <w:rsid w:val="00062F56"/>
    <w:rsid w:val="00064F0B"/>
    <w:rsid w:val="000670AF"/>
    <w:rsid w:val="00073979"/>
    <w:rsid w:val="00075EFF"/>
    <w:rsid w:val="00080211"/>
    <w:rsid w:val="00083C27"/>
    <w:rsid w:val="00096976"/>
    <w:rsid w:val="000A1612"/>
    <w:rsid w:val="000A3B87"/>
    <w:rsid w:val="000B0163"/>
    <w:rsid w:val="000B1B9D"/>
    <w:rsid w:val="000B1CF9"/>
    <w:rsid w:val="000B250E"/>
    <w:rsid w:val="000B352E"/>
    <w:rsid w:val="000B4291"/>
    <w:rsid w:val="000B611A"/>
    <w:rsid w:val="000C30AF"/>
    <w:rsid w:val="000C47AA"/>
    <w:rsid w:val="000D015F"/>
    <w:rsid w:val="000D262F"/>
    <w:rsid w:val="000D31C6"/>
    <w:rsid w:val="000D510A"/>
    <w:rsid w:val="000D5CAB"/>
    <w:rsid w:val="000D6074"/>
    <w:rsid w:val="000E01B8"/>
    <w:rsid w:val="000E07B0"/>
    <w:rsid w:val="000E179B"/>
    <w:rsid w:val="000E1942"/>
    <w:rsid w:val="000F05F9"/>
    <w:rsid w:val="000F06EC"/>
    <w:rsid w:val="000F377E"/>
    <w:rsid w:val="000F3FEE"/>
    <w:rsid w:val="000F5CF2"/>
    <w:rsid w:val="000F6B0D"/>
    <w:rsid w:val="00103844"/>
    <w:rsid w:val="00112E7C"/>
    <w:rsid w:val="00113B67"/>
    <w:rsid w:val="00116494"/>
    <w:rsid w:val="00123FE5"/>
    <w:rsid w:val="0012407B"/>
    <w:rsid w:val="00125949"/>
    <w:rsid w:val="00126B61"/>
    <w:rsid w:val="001303D9"/>
    <w:rsid w:val="00142055"/>
    <w:rsid w:val="00142CB9"/>
    <w:rsid w:val="001445FA"/>
    <w:rsid w:val="00150C15"/>
    <w:rsid w:val="00150D7C"/>
    <w:rsid w:val="00151695"/>
    <w:rsid w:val="0015371D"/>
    <w:rsid w:val="00163889"/>
    <w:rsid w:val="001706A6"/>
    <w:rsid w:val="00170BC6"/>
    <w:rsid w:val="001711F7"/>
    <w:rsid w:val="00173461"/>
    <w:rsid w:val="00175832"/>
    <w:rsid w:val="00176D84"/>
    <w:rsid w:val="001802DA"/>
    <w:rsid w:val="001862CE"/>
    <w:rsid w:val="001911D5"/>
    <w:rsid w:val="001965EE"/>
    <w:rsid w:val="001A2679"/>
    <w:rsid w:val="001A26C7"/>
    <w:rsid w:val="001A7506"/>
    <w:rsid w:val="001B1DAF"/>
    <w:rsid w:val="001B3367"/>
    <w:rsid w:val="001B35C3"/>
    <w:rsid w:val="001B412B"/>
    <w:rsid w:val="001B4400"/>
    <w:rsid w:val="001B6EED"/>
    <w:rsid w:val="001C0011"/>
    <w:rsid w:val="001C415C"/>
    <w:rsid w:val="001C4C51"/>
    <w:rsid w:val="001D0FEB"/>
    <w:rsid w:val="001D15A1"/>
    <w:rsid w:val="001D3C72"/>
    <w:rsid w:val="001D749A"/>
    <w:rsid w:val="001E09D4"/>
    <w:rsid w:val="001E2ADC"/>
    <w:rsid w:val="001E38FC"/>
    <w:rsid w:val="001E44BB"/>
    <w:rsid w:val="001E49EC"/>
    <w:rsid w:val="001E639F"/>
    <w:rsid w:val="001E7D02"/>
    <w:rsid w:val="001F7111"/>
    <w:rsid w:val="002007C2"/>
    <w:rsid w:val="00200E5E"/>
    <w:rsid w:val="0020593D"/>
    <w:rsid w:val="0021128A"/>
    <w:rsid w:val="00212826"/>
    <w:rsid w:val="00212F13"/>
    <w:rsid w:val="00213C6A"/>
    <w:rsid w:val="00215577"/>
    <w:rsid w:val="0022240F"/>
    <w:rsid w:val="002306D2"/>
    <w:rsid w:val="00233CCB"/>
    <w:rsid w:val="002376CE"/>
    <w:rsid w:val="002414C5"/>
    <w:rsid w:val="00243A75"/>
    <w:rsid w:val="00245EE1"/>
    <w:rsid w:val="00252478"/>
    <w:rsid w:val="00254371"/>
    <w:rsid w:val="002564EE"/>
    <w:rsid w:val="00256878"/>
    <w:rsid w:val="00257A6E"/>
    <w:rsid w:val="00257B29"/>
    <w:rsid w:val="00261193"/>
    <w:rsid w:val="00264D14"/>
    <w:rsid w:val="00265216"/>
    <w:rsid w:val="002659F1"/>
    <w:rsid w:val="00265A78"/>
    <w:rsid w:val="00266678"/>
    <w:rsid w:val="00266F09"/>
    <w:rsid w:val="002675A9"/>
    <w:rsid w:val="00267E74"/>
    <w:rsid w:val="00270DCC"/>
    <w:rsid w:val="002711E5"/>
    <w:rsid w:val="00271E5D"/>
    <w:rsid w:val="00276261"/>
    <w:rsid w:val="002853BB"/>
    <w:rsid w:val="00285B9B"/>
    <w:rsid w:val="00285C61"/>
    <w:rsid w:val="0029018F"/>
    <w:rsid w:val="00293DAD"/>
    <w:rsid w:val="002A0497"/>
    <w:rsid w:val="002A35F1"/>
    <w:rsid w:val="002A3F6A"/>
    <w:rsid w:val="002B1F85"/>
    <w:rsid w:val="002B4EAA"/>
    <w:rsid w:val="002B68D6"/>
    <w:rsid w:val="002D256F"/>
    <w:rsid w:val="002D6AD8"/>
    <w:rsid w:val="002E1531"/>
    <w:rsid w:val="002E1ED6"/>
    <w:rsid w:val="002E2E06"/>
    <w:rsid w:val="002E582C"/>
    <w:rsid w:val="002E5FDF"/>
    <w:rsid w:val="002E7809"/>
    <w:rsid w:val="002F25A8"/>
    <w:rsid w:val="002F376A"/>
    <w:rsid w:val="002F3D80"/>
    <w:rsid w:val="002F5882"/>
    <w:rsid w:val="003004FD"/>
    <w:rsid w:val="003036C6"/>
    <w:rsid w:val="00313260"/>
    <w:rsid w:val="003211EA"/>
    <w:rsid w:val="003217AD"/>
    <w:rsid w:val="003339A1"/>
    <w:rsid w:val="00336F1E"/>
    <w:rsid w:val="003413A2"/>
    <w:rsid w:val="00342CBA"/>
    <w:rsid w:val="0034504F"/>
    <w:rsid w:val="003456C1"/>
    <w:rsid w:val="00346A7D"/>
    <w:rsid w:val="00347984"/>
    <w:rsid w:val="0035118D"/>
    <w:rsid w:val="00355126"/>
    <w:rsid w:val="00356178"/>
    <w:rsid w:val="003574CD"/>
    <w:rsid w:val="00357657"/>
    <w:rsid w:val="00363560"/>
    <w:rsid w:val="003638AF"/>
    <w:rsid w:val="0036402A"/>
    <w:rsid w:val="00370779"/>
    <w:rsid w:val="00375EEE"/>
    <w:rsid w:val="00376A34"/>
    <w:rsid w:val="00376AA6"/>
    <w:rsid w:val="003771F1"/>
    <w:rsid w:val="00381BEA"/>
    <w:rsid w:val="00383319"/>
    <w:rsid w:val="00384731"/>
    <w:rsid w:val="003848DE"/>
    <w:rsid w:val="00386F15"/>
    <w:rsid w:val="003900EB"/>
    <w:rsid w:val="0039231E"/>
    <w:rsid w:val="003939DA"/>
    <w:rsid w:val="003A3A1D"/>
    <w:rsid w:val="003B04E2"/>
    <w:rsid w:val="003B0E24"/>
    <w:rsid w:val="003B14F3"/>
    <w:rsid w:val="003B2452"/>
    <w:rsid w:val="003B2E82"/>
    <w:rsid w:val="003B44EF"/>
    <w:rsid w:val="003B4733"/>
    <w:rsid w:val="003B4C4A"/>
    <w:rsid w:val="003B588C"/>
    <w:rsid w:val="003B58F4"/>
    <w:rsid w:val="003C1976"/>
    <w:rsid w:val="003C26D2"/>
    <w:rsid w:val="003C58D2"/>
    <w:rsid w:val="003C6F1B"/>
    <w:rsid w:val="003C7790"/>
    <w:rsid w:val="003D2B34"/>
    <w:rsid w:val="003D768A"/>
    <w:rsid w:val="003E0D09"/>
    <w:rsid w:val="003E4717"/>
    <w:rsid w:val="003E4AB2"/>
    <w:rsid w:val="003E55FB"/>
    <w:rsid w:val="003E6AA8"/>
    <w:rsid w:val="003F03BB"/>
    <w:rsid w:val="00402BA3"/>
    <w:rsid w:val="00402D2E"/>
    <w:rsid w:val="00404AE8"/>
    <w:rsid w:val="00405765"/>
    <w:rsid w:val="00411CB9"/>
    <w:rsid w:val="00413B49"/>
    <w:rsid w:val="00414C82"/>
    <w:rsid w:val="004150A4"/>
    <w:rsid w:val="0041568B"/>
    <w:rsid w:val="00416371"/>
    <w:rsid w:val="00417024"/>
    <w:rsid w:val="00417A82"/>
    <w:rsid w:val="00417BF0"/>
    <w:rsid w:val="00421AE8"/>
    <w:rsid w:val="004270F2"/>
    <w:rsid w:val="00430262"/>
    <w:rsid w:val="00431DA0"/>
    <w:rsid w:val="00434851"/>
    <w:rsid w:val="00435C1D"/>
    <w:rsid w:val="00437AA3"/>
    <w:rsid w:val="00437F40"/>
    <w:rsid w:val="00447219"/>
    <w:rsid w:val="00451432"/>
    <w:rsid w:val="00452268"/>
    <w:rsid w:val="004578F9"/>
    <w:rsid w:val="00461932"/>
    <w:rsid w:val="004620B6"/>
    <w:rsid w:val="00462B6A"/>
    <w:rsid w:val="00464062"/>
    <w:rsid w:val="00465858"/>
    <w:rsid w:val="00470678"/>
    <w:rsid w:val="004725A0"/>
    <w:rsid w:val="00472B79"/>
    <w:rsid w:val="004810B6"/>
    <w:rsid w:val="004816B0"/>
    <w:rsid w:val="00481CA5"/>
    <w:rsid w:val="00482736"/>
    <w:rsid w:val="00484FF3"/>
    <w:rsid w:val="004902A4"/>
    <w:rsid w:val="00493875"/>
    <w:rsid w:val="004A3970"/>
    <w:rsid w:val="004A3C63"/>
    <w:rsid w:val="004A5824"/>
    <w:rsid w:val="004B0A00"/>
    <w:rsid w:val="004B0B3F"/>
    <w:rsid w:val="004B0DBD"/>
    <w:rsid w:val="004B27D2"/>
    <w:rsid w:val="004B65DF"/>
    <w:rsid w:val="004B7F7A"/>
    <w:rsid w:val="004C112A"/>
    <w:rsid w:val="004C1467"/>
    <w:rsid w:val="004C4410"/>
    <w:rsid w:val="004C4455"/>
    <w:rsid w:val="004C571E"/>
    <w:rsid w:val="004C5B6A"/>
    <w:rsid w:val="004C62BA"/>
    <w:rsid w:val="004D117B"/>
    <w:rsid w:val="004D2FE8"/>
    <w:rsid w:val="004D4A4A"/>
    <w:rsid w:val="004D5FA2"/>
    <w:rsid w:val="004D6D74"/>
    <w:rsid w:val="004E31FE"/>
    <w:rsid w:val="004E4123"/>
    <w:rsid w:val="004E5750"/>
    <w:rsid w:val="004E5E08"/>
    <w:rsid w:val="004E5E16"/>
    <w:rsid w:val="004F3C17"/>
    <w:rsid w:val="004F5050"/>
    <w:rsid w:val="00501B8D"/>
    <w:rsid w:val="00502E88"/>
    <w:rsid w:val="005077AB"/>
    <w:rsid w:val="00511FE2"/>
    <w:rsid w:val="005147C8"/>
    <w:rsid w:val="0052150B"/>
    <w:rsid w:val="00527630"/>
    <w:rsid w:val="00532329"/>
    <w:rsid w:val="00541973"/>
    <w:rsid w:val="0054320F"/>
    <w:rsid w:val="005455B7"/>
    <w:rsid w:val="00551E71"/>
    <w:rsid w:val="00553275"/>
    <w:rsid w:val="00566DA1"/>
    <w:rsid w:val="00567346"/>
    <w:rsid w:val="00570CF0"/>
    <w:rsid w:val="0057154B"/>
    <w:rsid w:val="005728DD"/>
    <w:rsid w:val="00581023"/>
    <w:rsid w:val="0058522A"/>
    <w:rsid w:val="00585398"/>
    <w:rsid w:val="0059335E"/>
    <w:rsid w:val="00595789"/>
    <w:rsid w:val="005A0357"/>
    <w:rsid w:val="005A03FA"/>
    <w:rsid w:val="005A2A02"/>
    <w:rsid w:val="005A2AB3"/>
    <w:rsid w:val="005A6085"/>
    <w:rsid w:val="005A62BC"/>
    <w:rsid w:val="005B2082"/>
    <w:rsid w:val="005B661A"/>
    <w:rsid w:val="005B6A1F"/>
    <w:rsid w:val="005B6AD9"/>
    <w:rsid w:val="005C000F"/>
    <w:rsid w:val="005C5D55"/>
    <w:rsid w:val="005D4173"/>
    <w:rsid w:val="005D420E"/>
    <w:rsid w:val="005D4A8E"/>
    <w:rsid w:val="005D600F"/>
    <w:rsid w:val="005D656F"/>
    <w:rsid w:val="005D6847"/>
    <w:rsid w:val="005E1A01"/>
    <w:rsid w:val="005E58C5"/>
    <w:rsid w:val="005F0FFE"/>
    <w:rsid w:val="005F4F43"/>
    <w:rsid w:val="005F5F88"/>
    <w:rsid w:val="005F62BF"/>
    <w:rsid w:val="006024A0"/>
    <w:rsid w:val="0060412B"/>
    <w:rsid w:val="006058CD"/>
    <w:rsid w:val="0061040E"/>
    <w:rsid w:val="006106A6"/>
    <w:rsid w:val="00612776"/>
    <w:rsid w:val="00613AE7"/>
    <w:rsid w:val="006169FE"/>
    <w:rsid w:val="00616D79"/>
    <w:rsid w:val="00616F6E"/>
    <w:rsid w:val="0061719C"/>
    <w:rsid w:val="00617FB6"/>
    <w:rsid w:val="00625CF6"/>
    <w:rsid w:val="00626D71"/>
    <w:rsid w:val="0063454A"/>
    <w:rsid w:val="0064020F"/>
    <w:rsid w:val="00642184"/>
    <w:rsid w:val="0064301E"/>
    <w:rsid w:val="00643EBA"/>
    <w:rsid w:val="0064571E"/>
    <w:rsid w:val="00646EE5"/>
    <w:rsid w:val="006479D1"/>
    <w:rsid w:val="006500FD"/>
    <w:rsid w:val="00654771"/>
    <w:rsid w:val="006547E7"/>
    <w:rsid w:val="00655CD3"/>
    <w:rsid w:val="006566CD"/>
    <w:rsid w:val="00657329"/>
    <w:rsid w:val="00661B90"/>
    <w:rsid w:val="00662FE4"/>
    <w:rsid w:val="00670D81"/>
    <w:rsid w:val="00673A7D"/>
    <w:rsid w:val="006743C2"/>
    <w:rsid w:val="00675713"/>
    <w:rsid w:val="00676B24"/>
    <w:rsid w:val="006812C2"/>
    <w:rsid w:val="00684C3F"/>
    <w:rsid w:val="006857D3"/>
    <w:rsid w:val="006906EA"/>
    <w:rsid w:val="006A2F70"/>
    <w:rsid w:val="006A4C11"/>
    <w:rsid w:val="006B3BD6"/>
    <w:rsid w:val="006B490B"/>
    <w:rsid w:val="006B4A8E"/>
    <w:rsid w:val="006C062E"/>
    <w:rsid w:val="006C105C"/>
    <w:rsid w:val="006C48E3"/>
    <w:rsid w:val="006C62CD"/>
    <w:rsid w:val="006C75CF"/>
    <w:rsid w:val="006D3044"/>
    <w:rsid w:val="006D48DF"/>
    <w:rsid w:val="006D65B3"/>
    <w:rsid w:val="006D6C27"/>
    <w:rsid w:val="006D7E16"/>
    <w:rsid w:val="006F16B2"/>
    <w:rsid w:val="006F1E40"/>
    <w:rsid w:val="006F43F4"/>
    <w:rsid w:val="006F591F"/>
    <w:rsid w:val="006F6E7F"/>
    <w:rsid w:val="006F70F0"/>
    <w:rsid w:val="0070329F"/>
    <w:rsid w:val="0070338D"/>
    <w:rsid w:val="00706355"/>
    <w:rsid w:val="00707B09"/>
    <w:rsid w:val="007102B8"/>
    <w:rsid w:val="00716C54"/>
    <w:rsid w:val="0072128A"/>
    <w:rsid w:val="0072319F"/>
    <w:rsid w:val="00725360"/>
    <w:rsid w:val="00727520"/>
    <w:rsid w:val="00727A28"/>
    <w:rsid w:val="007327A9"/>
    <w:rsid w:val="0073330B"/>
    <w:rsid w:val="00733DD7"/>
    <w:rsid w:val="007349D3"/>
    <w:rsid w:val="00735366"/>
    <w:rsid w:val="00735853"/>
    <w:rsid w:val="00735CBC"/>
    <w:rsid w:val="00737295"/>
    <w:rsid w:val="007374AE"/>
    <w:rsid w:val="00737B23"/>
    <w:rsid w:val="00737D08"/>
    <w:rsid w:val="00740155"/>
    <w:rsid w:val="00747D00"/>
    <w:rsid w:val="00752614"/>
    <w:rsid w:val="00753D31"/>
    <w:rsid w:val="0075575A"/>
    <w:rsid w:val="00755B62"/>
    <w:rsid w:val="00756919"/>
    <w:rsid w:val="00756A2F"/>
    <w:rsid w:val="0076225E"/>
    <w:rsid w:val="00765495"/>
    <w:rsid w:val="00765779"/>
    <w:rsid w:val="00774828"/>
    <w:rsid w:val="00780234"/>
    <w:rsid w:val="00781515"/>
    <w:rsid w:val="00784E33"/>
    <w:rsid w:val="00786D8C"/>
    <w:rsid w:val="00786F98"/>
    <w:rsid w:val="00791DAB"/>
    <w:rsid w:val="00792700"/>
    <w:rsid w:val="0079450B"/>
    <w:rsid w:val="00794FC9"/>
    <w:rsid w:val="007A1D7E"/>
    <w:rsid w:val="007A205A"/>
    <w:rsid w:val="007A3044"/>
    <w:rsid w:val="007A31BD"/>
    <w:rsid w:val="007A330D"/>
    <w:rsid w:val="007A58BC"/>
    <w:rsid w:val="007A5E95"/>
    <w:rsid w:val="007B2127"/>
    <w:rsid w:val="007B2F01"/>
    <w:rsid w:val="007B644D"/>
    <w:rsid w:val="007C3085"/>
    <w:rsid w:val="007C3761"/>
    <w:rsid w:val="007C5E1F"/>
    <w:rsid w:val="007C62F2"/>
    <w:rsid w:val="007C645B"/>
    <w:rsid w:val="007C7DED"/>
    <w:rsid w:val="007D1257"/>
    <w:rsid w:val="007D2450"/>
    <w:rsid w:val="007D2C4D"/>
    <w:rsid w:val="007D6C68"/>
    <w:rsid w:val="007D7DD5"/>
    <w:rsid w:val="007E2CC3"/>
    <w:rsid w:val="007E3BC5"/>
    <w:rsid w:val="007F0A06"/>
    <w:rsid w:val="007F2929"/>
    <w:rsid w:val="007F38B5"/>
    <w:rsid w:val="007F5F06"/>
    <w:rsid w:val="007F6987"/>
    <w:rsid w:val="007F6FC1"/>
    <w:rsid w:val="007F740D"/>
    <w:rsid w:val="00800F8C"/>
    <w:rsid w:val="00802BF0"/>
    <w:rsid w:val="00804CAF"/>
    <w:rsid w:val="00805F39"/>
    <w:rsid w:val="00811892"/>
    <w:rsid w:val="008145AB"/>
    <w:rsid w:val="00814EF1"/>
    <w:rsid w:val="00816124"/>
    <w:rsid w:val="008219AA"/>
    <w:rsid w:val="00825A54"/>
    <w:rsid w:val="00827D5C"/>
    <w:rsid w:val="008306A8"/>
    <w:rsid w:val="00832C16"/>
    <w:rsid w:val="00833209"/>
    <w:rsid w:val="00836CEE"/>
    <w:rsid w:val="00846B85"/>
    <w:rsid w:val="008508C9"/>
    <w:rsid w:val="0085109A"/>
    <w:rsid w:val="00852787"/>
    <w:rsid w:val="008534B2"/>
    <w:rsid w:val="00855E99"/>
    <w:rsid w:val="00857179"/>
    <w:rsid w:val="00860E15"/>
    <w:rsid w:val="00863BC1"/>
    <w:rsid w:val="008704D2"/>
    <w:rsid w:val="0087111C"/>
    <w:rsid w:val="00876549"/>
    <w:rsid w:val="008769C3"/>
    <w:rsid w:val="008827C9"/>
    <w:rsid w:val="00883130"/>
    <w:rsid w:val="00884A39"/>
    <w:rsid w:val="008861A8"/>
    <w:rsid w:val="008865C0"/>
    <w:rsid w:val="0088781F"/>
    <w:rsid w:val="008906F9"/>
    <w:rsid w:val="008912DE"/>
    <w:rsid w:val="008916FE"/>
    <w:rsid w:val="00892C5F"/>
    <w:rsid w:val="008932A3"/>
    <w:rsid w:val="00897A49"/>
    <w:rsid w:val="008A1052"/>
    <w:rsid w:val="008A3A08"/>
    <w:rsid w:val="008A4D5A"/>
    <w:rsid w:val="008A74C3"/>
    <w:rsid w:val="008A7555"/>
    <w:rsid w:val="008B0C79"/>
    <w:rsid w:val="008B3973"/>
    <w:rsid w:val="008B3D76"/>
    <w:rsid w:val="008B75FD"/>
    <w:rsid w:val="008C1022"/>
    <w:rsid w:val="008C21DE"/>
    <w:rsid w:val="008C44F8"/>
    <w:rsid w:val="008C5DD0"/>
    <w:rsid w:val="008C754C"/>
    <w:rsid w:val="008D0E4F"/>
    <w:rsid w:val="008D7629"/>
    <w:rsid w:val="008E0B4F"/>
    <w:rsid w:val="008E258D"/>
    <w:rsid w:val="008E64AA"/>
    <w:rsid w:val="008E77A1"/>
    <w:rsid w:val="008F1E95"/>
    <w:rsid w:val="008F2686"/>
    <w:rsid w:val="008F408E"/>
    <w:rsid w:val="009019FF"/>
    <w:rsid w:val="0090213A"/>
    <w:rsid w:val="00904E27"/>
    <w:rsid w:val="00905928"/>
    <w:rsid w:val="00921D46"/>
    <w:rsid w:val="009224E3"/>
    <w:rsid w:val="0092527B"/>
    <w:rsid w:val="009264E1"/>
    <w:rsid w:val="00927454"/>
    <w:rsid w:val="009318E9"/>
    <w:rsid w:val="009327E9"/>
    <w:rsid w:val="009333AD"/>
    <w:rsid w:val="00940CEB"/>
    <w:rsid w:val="00941EBC"/>
    <w:rsid w:val="00946460"/>
    <w:rsid w:val="0095119F"/>
    <w:rsid w:val="00951347"/>
    <w:rsid w:val="00952940"/>
    <w:rsid w:val="0095558E"/>
    <w:rsid w:val="00962651"/>
    <w:rsid w:val="0096338A"/>
    <w:rsid w:val="00964CFC"/>
    <w:rsid w:val="0096541A"/>
    <w:rsid w:val="00965865"/>
    <w:rsid w:val="00965D5F"/>
    <w:rsid w:val="00966066"/>
    <w:rsid w:val="0097333F"/>
    <w:rsid w:val="0097455F"/>
    <w:rsid w:val="00974CFF"/>
    <w:rsid w:val="009765F9"/>
    <w:rsid w:val="00991198"/>
    <w:rsid w:val="0099247C"/>
    <w:rsid w:val="00994F1D"/>
    <w:rsid w:val="00997014"/>
    <w:rsid w:val="009A0160"/>
    <w:rsid w:val="009A0183"/>
    <w:rsid w:val="009A0718"/>
    <w:rsid w:val="009B0200"/>
    <w:rsid w:val="009B0AEB"/>
    <w:rsid w:val="009B1E68"/>
    <w:rsid w:val="009B3068"/>
    <w:rsid w:val="009B771A"/>
    <w:rsid w:val="009C127D"/>
    <w:rsid w:val="009C2888"/>
    <w:rsid w:val="009C34ED"/>
    <w:rsid w:val="009C55F3"/>
    <w:rsid w:val="009C5DB5"/>
    <w:rsid w:val="009C7D68"/>
    <w:rsid w:val="009D23A3"/>
    <w:rsid w:val="009D578D"/>
    <w:rsid w:val="009E115A"/>
    <w:rsid w:val="009E5709"/>
    <w:rsid w:val="009F32F6"/>
    <w:rsid w:val="009F7B3E"/>
    <w:rsid w:val="009F7C47"/>
    <w:rsid w:val="00A024F5"/>
    <w:rsid w:val="00A0336B"/>
    <w:rsid w:val="00A06A32"/>
    <w:rsid w:val="00A07FFE"/>
    <w:rsid w:val="00A109FA"/>
    <w:rsid w:val="00A11879"/>
    <w:rsid w:val="00A15858"/>
    <w:rsid w:val="00A1684C"/>
    <w:rsid w:val="00A244C4"/>
    <w:rsid w:val="00A2646D"/>
    <w:rsid w:val="00A30869"/>
    <w:rsid w:val="00A31078"/>
    <w:rsid w:val="00A372E9"/>
    <w:rsid w:val="00A42A03"/>
    <w:rsid w:val="00A46571"/>
    <w:rsid w:val="00A5235B"/>
    <w:rsid w:val="00A52E65"/>
    <w:rsid w:val="00A56325"/>
    <w:rsid w:val="00A60E9D"/>
    <w:rsid w:val="00A660F1"/>
    <w:rsid w:val="00A7014C"/>
    <w:rsid w:val="00A73C93"/>
    <w:rsid w:val="00A75CF5"/>
    <w:rsid w:val="00A75E66"/>
    <w:rsid w:val="00A7616F"/>
    <w:rsid w:val="00A777C3"/>
    <w:rsid w:val="00A81769"/>
    <w:rsid w:val="00A82351"/>
    <w:rsid w:val="00A83CBE"/>
    <w:rsid w:val="00A8786C"/>
    <w:rsid w:val="00AA311E"/>
    <w:rsid w:val="00AA5A4B"/>
    <w:rsid w:val="00AB5D84"/>
    <w:rsid w:val="00AB7BCA"/>
    <w:rsid w:val="00AC172D"/>
    <w:rsid w:val="00AC60BD"/>
    <w:rsid w:val="00AD0420"/>
    <w:rsid w:val="00AD2729"/>
    <w:rsid w:val="00AD647E"/>
    <w:rsid w:val="00AD6A29"/>
    <w:rsid w:val="00AD7F67"/>
    <w:rsid w:val="00AE092E"/>
    <w:rsid w:val="00AE24A3"/>
    <w:rsid w:val="00AE3DC2"/>
    <w:rsid w:val="00AE6DB5"/>
    <w:rsid w:val="00AE6E89"/>
    <w:rsid w:val="00AF494C"/>
    <w:rsid w:val="00B0293B"/>
    <w:rsid w:val="00B062BD"/>
    <w:rsid w:val="00B113B8"/>
    <w:rsid w:val="00B12FA4"/>
    <w:rsid w:val="00B13F78"/>
    <w:rsid w:val="00B163B5"/>
    <w:rsid w:val="00B20899"/>
    <w:rsid w:val="00B223A3"/>
    <w:rsid w:val="00B242D2"/>
    <w:rsid w:val="00B24779"/>
    <w:rsid w:val="00B2495D"/>
    <w:rsid w:val="00B25E82"/>
    <w:rsid w:val="00B26EC4"/>
    <w:rsid w:val="00B31B0B"/>
    <w:rsid w:val="00B3280A"/>
    <w:rsid w:val="00B32826"/>
    <w:rsid w:val="00B35E88"/>
    <w:rsid w:val="00B374B6"/>
    <w:rsid w:val="00B3757C"/>
    <w:rsid w:val="00B436ED"/>
    <w:rsid w:val="00B43980"/>
    <w:rsid w:val="00B44DD3"/>
    <w:rsid w:val="00B4728C"/>
    <w:rsid w:val="00B47FF3"/>
    <w:rsid w:val="00B547F8"/>
    <w:rsid w:val="00B54C6B"/>
    <w:rsid w:val="00B56024"/>
    <w:rsid w:val="00B57173"/>
    <w:rsid w:val="00B60BED"/>
    <w:rsid w:val="00B60C0C"/>
    <w:rsid w:val="00B62DC6"/>
    <w:rsid w:val="00B6508E"/>
    <w:rsid w:val="00B65335"/>
    <w:rsid w:val="00B66141"/>
    <w:rsid w:val="00B679B1"/>
    <w:rsid w:val="00B7121A"/>
    <w:rsid w:val="00B71341"/>
    <w:rsid w:val="00B73388"/>
    <w:rsid w:val="00B8076C"/>
    <w:rsid w:val="00B80C41"/>
    <w:rsid w:val="00B8152A"/>
    <w:rsid w:val="00B815A1"/>
    <w:rsid w:val="00B8225E"/>
    <w:rsid w:val="00B844CB"/>
    <w:rsid w:val="00B932AA"/>
    <w:rsid w:val="00BA1B9A"/>
    <w:rsid w:val="00BA34B8"/>
    <w:rsid w:val="00BA6F93"/>
    <w:rsid w:val="00BA718F"/>
    <w:rsid w:val="00BA7FAB"/>
    <w:rsid w:val="00BB290E"/>
    <w:rsid w:val="00BB6887"/>
    <w:rsid w:val="00BB7470"/>
    <w:rsid w:val="00BC0F89"/>
    <w:rsid w:val="00BC112B"/>
    <w:rsid w:val="00BC257E"/>
    <w:rsid w:val="00BC64A8"/>
    <w:rsid w:val="00BD12FB"/>
    <w:rsid w:val="00BD1535"/>
    <w:rsid w:val="00BD21E0"/>
    <w:rsid w:val="00BD2EF2"/>
    <w:rsid w:val="00BD6B40"/>
    <w:rsid w:val="00BE1B79"/>
    <w:rsid w:val="00BE2EE9"/>
    <w:rsid w:val="00BE4103"/>
    <w:rsid w:val="00BE6863"/>
    <w:rsid w:val="00BF2382"/>
    <w:rsid w:val="00BF5ED5"/>
    <w:rsid w:val="00C001BF"/>
    <w:rsid w:val="00C01728"/>
    <w:rsid w:val="00C03990"/>
    <w:rsid w:val="00C039CC"/>
    <w:rsid w:val="00C04CCE"/>
    <w:rsid w:val="00C07878"/>
    <w:rsid w:val="00C101F2"/>
    <w:rsid w:val="00C177A6"/>
    <w:rsid w:val="00C203D7"/>
    <w:rsid w:val="00C209B6"/>
    <w:rsid w:val="00C210C3"/>
    <w:rsid w:val="00C22A07"/>
    <w:rsid w:val="00C253D4"/>
    <w:rsid w:val="00C30395"/>
    <w:rsid w:val="00C30501"/>
    <w:rsid w:val="00C31276"/>
    <w:rsid w:val="00C31307"/>
    <w:rsid w:val="00C3719E"/>
    <w:rsid w:val="00C41FE2"/>
    <w:rsid w:val="00C427E9"/>
    <w:rsid w:val="00C4678D"/>
    <w:rsid w:val="00C47765"/>
    <w:rsid w:val="00C50BF5"/>
    <w:rsid w:val="00C519CE"/>
    <w:rsid w:val="00C53568"/>
    <w:rsid w:val="00C542D7"/>
    <w:rsid w:val="00C61251"/>
    <w:rsid w:val="00C61BA2"/>
    <w:rsid w:val="00C63139"/>
    <w:rsid w:val="00C65716"/>
    <w:rsid w:val="00C705C1"/>
    <w:rsid w:val="00C72D4A"/>
    <w:rsid w:val="00C738C4"/>
    <w:rsid w:val="00C739F8"/>
    <w:rsid w:val="00C73C21"/>
    <w:rsid w:val="00C76E24"/>
    <w:rsid w:val="00C8160D"/>
    <w:rsid w:val="00C83FFB"/>
    <w:rsid w:val="00C86A3A"/>
    <w:rsid w:val="00C8748E"/>
    <w:rsid w:val="00C90A96"/>
    <w:rsid w:val="00C911A1"/>
    <w:rsid w:val="00C9197C"/>
    <w:rsid w:val="00C97080"/>
    <w:rsid w:val="00CA0099"/>
    <w:rsid w:val="00CA1A78"/>
    <w:rsid w:val="00CA52D6"/>
    <w:rsid w:val="00CA559E"/>
    <w:rsid w:val="00CA7599"/>
    <w:rsid w:val="00CB32A8"/>
    <w:rsid w:val="00CB34D6"/>
    <w:rsid w:val="00CB3A90"/>
    <w:rsid w:val="00CB5DF8"/>
    <w:rsid w:val="00CC197E"/>
    <w:rsid w:val="00CC4AA5"/>
    <w:rsid w:val="00CD1F1B"/>
    <w:rsid w:val="00CE50BC"/>
    <w:rsid w:val="00CE6830"/>
    <w:rsid w:val="00CF06B3"/>
    <w:rsid w:val="00CF1D91"/>
    <w:rsid w:val="00CF55A3"/>
    <w:rsid w:val="00CF642F"/>
    <w:rsid w:val="00CF695F"/>
    <w:rsid w:val="00D01733"/>
    <w:rsid w:val="00D02319"/>
    <w:rsid w:val="00D04794"/>
    <w:rsid w:val="00D0487B"/>
    <w:rsid w:val="00D06135"/>
    <w:rsid w:val="00D1709F"/>
    <w:rsid w:val="00D22C14"/>
    <w:rsid w:val="00D23F32"/>
    <w:rsid w:val="00D24558"/>
    <w:rsid w:val="00D25757"/>
    <w:rsid w:val="00D25C8B"/>
    <w:rsid w:val="00D2791C"/>
    <w:rsid w:val="00D32800"/>
    <w:rsid w:val="00D35731"/>
    <w:rsid w:val="00D365C9"/>
    <w:rsid w:val="00D40C46"/>
    <w:rsid w:val="00D4463E"/>
    <w:rsid w:val="00D454C4"/>
    <w:rsid w:val="00D500C0"/>
    <w:rsid w:val="00D5408F"/>
    <w:rsid w:val="00D55472"/>
    <w:rsid w:val="00D60C57"/>
    <w:rsid w:val="00D60FCD"/>
    <w:rsid w:val="00D61FEE"/>
    <w:rsid w:val="00D64128"/>
    <w:rsid w:val="00D64522"/>
    <w:rsid w:val="00D655FE"/>
    <w:rsid w:val="00D66130"/>
    <w:rsid w:val="00D6773E"/>
    <w:rsid w:val="00D72038"/>
    <w:rsid w:val="00D75624"/>
    <w:rsid w:val="00D8113E"/>
    <w:rsid w:val="00D81304"/>
    <w:rsid w:val="00D84F4D"/>
    <w:rsid w:val="00D858E9"/>
    <w:rsid w:val="00D86B56"/>
    <w:rsid w:val="00D86E3D"/>
    <w:rsid w:val="00D87969"/>
    <w:rsid w:val="00D92ACF"/>
    <w:rsid w:val="00D958F7"/>
    <w:rsid w:val="00D96303"/>
    <w:rsid w:val="00DA538A"/>
    <w:rsid w:val="00DA624E"/>
    <w:rsid w:val="00DA6CC5"/>
    <w:rsid w:val="00DA77C2"/>
    <w:rsid w:val="00DB2459"/>
    <w:rsid w:val="00DB3CBF"/>
    <w:rsid w:val="00DB5940"/>
    <w:rsid w:val="00DC141C"/>
    <w:rsid w:val="00DC5FCF"/>
    <w:rsid w:val="00DD1A5A"/>
    <w:rsid w:val="00DD215A"/>
    <w:rsid w:val="00DD61EC"/>
    <w:rsid w:val="00DD7635"/>
    <w:rsid w:val="00DE0632"/>
    <w:rsid w:val="00DE0672"/>
    <w:rsid w:val="00DE1E2F"/>
    <w:rsid w:val="00DE5849"/>
    <w:rsid w:val="00DE5C01"/>
    <w:rsid w:val="00DF09B6"/>
    <w:rsid w:val="00DF5745"/>
    <w:rsid w:val="00DF6F23"/>
    <w:rsid w:val="00DF768D"/>
    <w:rsid w:val="00E00E9D"/>
    <w:rsid w:val="00E036E0"/>
    <w:rsid w:val="00E075CF"/>
    <w:rsid w:val="00E145FA"/>
    <w:rsid w:val="00E235EB"/>
    <w:rsid w:val="00E24019"/>
    <w:rsid w:val="00E27C06"/>
    <w:rsid w:val="00E33735"/>
    <w:rsid w:val="00E33A54"/>
    <w:rsid w:val="00E40464"/>
    <w:rsid w:val="00E41D30"/>
    <w:rsid w:val="00E42006"/>
    <w:rsid w:val="00E42E49"/>
    <w:rsid w:val="00E44CE1"/>
    <w:rsid w:val="00E4522A"/>
    <w:rsid w:val="00E4737F"/>
    <w:rsid w:val="00E5051D"/>
    <w:rsid w:val="00E518ED"/>
    <w:rsid w:val="00E52D4C"/>
    <w:rsid w:val="00E555F7"/>
    <w:rsid w:val="00E6042D"/>
    <w:rsid w:val="00E618D4"/>
    <w:rsid w:val="00E625EB"/>
    <w:rsid w:val="00E643BE"/>
    <w:rsid w:val="00E64B35"/>
    <w:rsid w:val="00E70DE1"/>
    <w:rsid w:val="00E71AAB"/>
    <w:rsid w:val="00E73A1D"/>
    <w:rsid w:val="00E750ED"/>
    <w:rsid w:val="00E8163A"/>
    <w:rsid w:val="00E8306C"/>
    <w:rsid w:val="00E84165"/>
    <w:rsid w:val="00E85DDE"/>
    <w:rsid w:val="00E87616"/>
    <w:rsid w:val="00E96068"/>
    <w:rsid w:val="00E96667"/>
    <w:rsid w:val="00E971F8"/>
    <w:rsid w:val="00EA12F5"/>
    <w:rsid w:val="00EA1C8C"/>
    <w:rsid w:val="00EA38AB"/>
    <w:rsid w:val="00EA3C70"/>
    <w:rsid w:val="00EA4449"/>
    <w:rsid w:val="00EA76DA"/>
    <w:rsid w:val="00EB03C2"/>
    <w:rsid w:val="00EB06DB"/>
    <w:rsid w:val="00EB4231"/>
    <w:rsid w:val="00EB490E"/>
    <w:rsid w:val="00EB74C6"/>
    <w:rsid w:val="00EC0A1A"/>
    <w:rsid w:val="00ED1923"/>
    <w:rsid w:val="00ED596A"/>
    <w:rsid w:val="00ED6588"/>
    <w:rsid w:val="00EE26EC"/>
    <w:rsid w:val="00EE5862"/>
    <w:rsid w:val="00EE5978"/>
    <w:rsid w:val="00EF0B6A"/>
    <w:rsid w:val="00EF348A"/>
    <w:rsid w:val="00F05120"/>
    <w:rsid w:val="00F07600"/>
    <w:rsid w:val="00F10713"/>
    <w:rsid w:val="00F11A5A"/>
    <w:rsid w:val="00F1309D"/>
    <w:rsid w:val="00F14468"/>
    <w:rsid w:val="00F147FB"/>
    <w:rsid w:val="00F15D11"/>
    <w:rsid w:val="00F16221"/>
    <w:rsid w:val="00F22CAB"/>
    <w:rsid w:val="00F243EC"/>
    <w:rsid w:val="00F248C9"/>
    <w:rsid w:val="00F3124B"/>
    <w:rsid w:val="00F31681"/>
    <w:rsid w:val="00F32532"/>
    <w:rsid w:val="00F331B2"/>
    <w:rsid w:val="00F3590F"/>
    <w:rsid w:val="00F3632F"/>
    <w:rsid w:val="00F3636A"/>
    <w:rsid w:val="00F37D71"/>
    <w:rsid w:val="00F44C3E"/>
    <w:rsid w:val="00F45828"/>
    <w:rsid w:val="00F46587"/>
    <w:rsid w:val="00F5182C"/>
    <w:rsid w:val="00F52014"/>
    <w:rsid w:val="00F522EF"/>
    <w:rsid w:val="00F54104"/>
    <w:rsid w:val="00F56076"/>
    <w:rsid w:val="00F605A7"/>
    <w:rsid w:val="00F61600"/>
    <w:rsid w:val="00F663D9"/>
    <w:rsid w:val="00F7057D"/>
    <w:rsid w:val="00F72239"/>
    <w:rsid w:val="00F72D35"/>
    <w:rsid w:val="00F75378"/>
    <w:rsid w:val="00F76C35"/>
    <w:rsid w:val="00F804DB"/>
    <w:rsid w:val="00F814E7"/>
    <w:rsid w:val="00F851B7"/>
    <w:rsid w:val="00F860F0"/>
    <w:rsid w:val="00F879FE"/>
    <w:rsid w:val="00F906E0"/>
    <w:rsid w:val="00F931AB"/>
    <w:rsid w:val="00F9371E"/>
    <w:rsid w:val="00F94804"/>
    <w:rsid w:val="00F95BBC"/>
    <w:rsid w:val="00F96D5C"/>
    <w:rsid w:val="00FA554E"/>
    <w:rsid w:val="00FA5B7E"/>
    <w:rsid w:val="00FB69C9"/>
    <w:rsid w:val="00FB7238"/>
    <w:rsid w:val="00FB725A"/>
    <w:rsid w:val="00FB7655"/>
    <w:rsid w:val="00FC5BA1"/>
    <w:rsid w:val="00FD1D9F"/>
    <w:rsid w:val="00FD1FC1"/>
    <w:rsid w:val="00FD3FB6"/>
    <w:rsid w:val="00FD4301"/>
    <w:rsid w:val="00FD6094"/>
    <w:rsid w:val="00FD6997"/>
    <w:rsid w:val="00FE2EBE"/>
    <w:rsid w:val="00FF0216"/>
    <w:rsid w:val="00FF0AD2"/>
    <w:rsid w:val="00FF15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616F"/>
    <w:pPr>
      <w:spacing w:after="80" w:line="360" w:lineRule="auto"/>
      <w:jc w:val="both"/>
    </w:pPr>
    <w:rPr>
      <w:rFonts w:ascii="Times New Roman" w:hAnsi="Times New Roman"/>
      <w:sz w:val="24"/>
    </w:rPr>
  </w:style>
  <w:style w:type="paragraph" w:styleId="Kop1">
    <w:name w:val="heading 1"/>
    <w:basedOn w:val="Standaard"/>
    <w:next w:val="Standaard"/>
    <w:link w:val="Kop1Char"/>
    <w:uiPriority w:val="9"/>
    <w:qFormat/>
    <w:rsid w:val="00991198"/>
    <w:pPr>
      <w:keepNext/>
      <w:keepLines/>
      <w:spacing w:before="480" w:after="120"/>
      <w:outlineLvl w:val="0"/>
    </w:pPr>
    <w:rPr>
      <w:rFonts w:eastAsiaTheme="majorEastAsia" w:cstheme="majorBidi"/>
      <w:b/>
      <w:bCs/>
      <w:sz w:val="28"/>
      <w:szCs w:val="28"/>
      <w:u w:val="single"/>
    </w:rPr>
  </w:style>
  <w:style w:type="paragraph" w:styleId="Kop2">
    <w:name w:val="heading 2"/>
    <w:basedOn w:val="Standaard"/>
    <w:next w:val="Standaard"/>
    <w:link w:val="Kop2Char"/>
    <w:uiPriority w:val="9"/>
    <w:unhideWhenUsed/>
    <w:qFormat/>
    <w:rsid w:val="00375EEE"/>
    <w:pPr>
      <w:keepNext/>
      <w:keepLines/>
      <w:spacing w:before="480" w:after="0" w:line="480" w:lineRule="auto"/>
      <w:outlineLvl w:val="1"/>
    </w:pPr>
    <w:rPr>
      <w:rFonts w:eastAsiaTheme="majorEastAsia" w:cstheme="majorBidi"/>
      <w:b/>
      <w:bCs/>
      <w:szCs w:val="26"/>
    </w:rPr>
  </w:style>
  <w:style w:type="paragraph" w:styleId="Kop3">
    <w:name w:val="heading 3"/>
    <w:basedOn w:val="Standaard"/>
    <w:next w:val="Standaard"/>
    <w:link w:val="Kop3Char"/>
    <w:uiPriority w:val="9"/>
    <w:unhideWhenUsed/>
    <w:qFormat/>
    <w:rsid w:val="00375EEE"/>
    <w:pPr>
      <w:keepNext/>
      <w:keepLines/>
      <w:spacing w:before="360" w:after="0"/>
      <w:outlineLvl w:val="2"/>
    </w:pPr>
    <w:rPr>
      <w:rFonts w:eastAsiaTheme="majorEastAsia" w:cstheme="majorBidi"/>
      <w:b/>
      <w:bCs/>
      <w:i/>
    </w:rPr>
  </w:style>
  <w:style w:type="paragraph" w:styleId="Kop4">
    <w:name w:val="heading 4"/>
    <w:basedOn w:val="Standaard"/>
    <w:next w:val="Standaard"/>
    <w:link w:val="Kop4Char"/>
    <w:uiPriority w:val="9"/>
    <w:unhideWhenUsed/>
    <w:qFormat/>
    <w:rsid w:val="000E194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0E19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75EEE"/>
    <w:rPr>
      <w:rFonts w:ascii="Times New Roman" w:eastAsiaTheme="majorEastAsia" w:hAnsi="Times New Roman" w:cstheme="majorBidi"/>
      <w:b/>
      <w:bCs/>
      <w:sz w:val="24"/>
      <w:szCs w:val="26"/>
    </w:rPr>
  </w:style>
  <w:style w:type="character" w:customStyle="1" w:styleId="Kop1Char">
    <w:name w:val="Kop 1 Char"/>
    <w:basedOn w:val="Standaardalinea-lettertype"/>
    <w:link w:val="Kop1"/>
    <w:uiPriority w:val="9"/>
    <w:rsid w:val="00991198"/>
    <w:rPr>
      <w:rFonts w:ascii="Times New Roman" w:eastAsiaTheme="majorEastAsia" w:hAnsi="Times New Roman" w:cstheme="majorBidi"/>
      <w:b/>
      <w:bCs/>
      <w:sz w:val="28"/>
      <w:szCs w:val="28"/>
      <w:u w:val="single"/>
    </w:rPr>
  </w:style>
  <w:style w:type="character" w:customStyle="1" w:styleId="Kop3Char">
    <w:name w:val="Kop 3 Char"/>
    <w:basedOn w:val="Standaardalinea-lettertype"/>
    <w:link w:val="Kop3"/>
    <w:uiPriority w:val="9"/>
    <w:rsid w:val="00375EEE"/>
    <w:rPr>
      <w:rFonts w:ascii="Times New Roman" w:eastAsiaTheme="majorEastAsia" w:hAnsi="Times New Roman" w:cstheme="majorBidi"/>
      <w:b/>
      <w:bCs/>
      <w:i/>
      <w:sz w:val="24"/>
    </w:rPr>
  </w:style>
  <w:style w:type="paragraph" w:styleId="Koptekst">
    <w:name w:val="header"/>
    <w:basedOn w:val="Standaard"/>
    <w:link w:val="KoptekstChar"/>
    <w:uiPriority w:val="99"/>
    <w:unhideWhenUsed/>
    <w:rsid w:val="00A761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616F"/>
    <w:rPr>
      <w:rFonts w:ascii="Times New Roman" w:hAnsi="Times New Roman"/>
      <w:sz w:val="24"/>
    </w:rPr>
  </w:style>
  <w:style w:type="paragraph" w:styleId="Voettekst">
    <w:name w:val="footer"/>
    <w:basedOn w:val="Standaard"/>
    <w:link w:val="VoettekstChar"/>
    <w:uiPriority w:val="99"/>
    <w:unhideWhenUsed/>
    <w:rsid w:val="00A761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616F"/>
    <w:rPr>
      <w:rFonts w:ascii="Times New Roman" w:hAnsi="Times New Roman"/>
      <w:sz w:val="24"/>
    </w:rPr>
  </w:style>
  <w:style w:type="paragraph" w:styleId="Geenafstand">
    <w:name w:val="No Spacing"/>
    <w:aliases w:val="Hoofdtekst thesis"/>
    <w:next w:val="Standaard"/>
    <w:uiPriority w:val="1"/>
    <w:qFormat/>
    <w:rsid w:val="00A7616F"/>
    <w:pPr>
      <w:spacing w:after="0" w:line="240" w:lineRule="auto"/>
      <w:jc w:val="both"/>
    </w:pPr>
    <w:rPr>
      <w:rFonts w:ascii="Times New Roman" w:hAnsi="Times New Roman"/>
      <w:sz w:val="20"/>
    </w:rPr>
  </w:style>
  <w:style w:type="paragraph" w:styleId="Voetnoottekst">
    <w:name w:val="footnote text"/>
    <w:basedOn w:val="Standaard"/>
    <w:link w:val="VoetnoottekstChar"/>
    <w:uiPriority w:val="99"/>
    <w:unhideWhenUsed/>
    <w:rsid w:val="00A7616F"/>
    <w:pPr>
      <w:spacing w:after="0" w:line="240" w:lineRule="auto"/>
    </w:pPr>
    <w:rPr>
      <w:sz w:val="20"/>
      <w:szCs w:val="20"/>
    </w:rPr>
  </w:style>
  <w:style w:type="character" w:customStyle="1" w:styleId="VoetnoottekstChar">
    <w:name w:val="Voetnoottekst Char"/>
    <w:basedOn w:val="Standaardalinea-lettertype"/>
    <w:link w:val="Voetnoottekst"/>
    <w:uiPriority w:val="99"/>
    <w:rsid w:val="00A7616F"/>
    <w:rPr>
      <w:rFonts w:ascii="Times New Roman" w:hAnsi="Times New Roman"/>
      <w:sz w:val="20"/>
      <w:szCs w:val="20"/>
    </w:rPr>
  </w:style>
  <w:style w:type="character" w:styleId="Voetnootmarkering">
    <w:name w:val="footnote reference"/>
    <w:basedOn w:val="Standaardalinea-lettertype"/>
    <w:uiPriority w:val="99"/>
    <w:semiHidden/>
    <w:unhideWhenUsed/>
    <w:rsid w:val="00A7616F"/>
    <w:rPr>
      <w:vertAlign w:val="superscript"/>
    </w:rPr>
  </w:style>
  <w:style w:type="paragraph" w:styleId="Lijstalinea">
    <w:name w:val="List Paragraph"/>
    <w:basedOn w:val="Standaard"/>
    <w:uiPriority w:val="34"/>
    <w:qFormat/>
    <w:rsid w:val="00A7616F"/>
    <w:pPr>
      <w:ind w:left="720"/>
      <w:contextualSpacing/>
    </w:pPr>
  </w:style>
  <w:style w:type="paragraph" w:styleId="Kopvaninhoudsopgave">
    <w:name w:val="TOC Heading"/>
    <w:basedOn w:val="Kop1"/>
    <w:next w:val="Standaard"/>
    <w:uiPriority w:val="39"/>
    <w:semiHidden/>
    <w:unhideWhenUsed/>
    <w:qFormat/>
    <w:rsid w:val="00A7616F"/>
    <w:pPr>
      <w:spacing w:line="276" w:lineRule="auto"/>
      <w:jc w:val="left"/>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A7616F"/>
    <w:pPr>
      <w:spacing w:after="100"/>
    </w:pPr>
  </w:style>
  <w:style w:type="paragraph" w:styleId="Inhopg2">
    <w:name w:val="toc 2"/>
    <w:basedOn w:val="Standaard"/>
    <w:next w:val="Standaard"/>
    <w:autoRedefine/>
    <w:uiPriority w:val="39"/>
    <w:unhideWhenUsed/>
    <w:rsid w:val="006547E7"/>
    <w:pPr>
      <w:tabs>
        <w:tab w:val="right" w:leader="dot" w:pos="9062"/>
      </w:tabs>
      <w:spacing w:after="100"/>
      <w:ind w:left="240"/>
    </w:pPr>
  </w:style>
  <w:style w:type="character" w:styleId="Hyperlink">
    <w:name w:val="Hyperlink"/>
    <w:basedOn w:val="Standaardalinea-lettertype"/>
    <w:uiPriority w:val="99"/>
    <w:unhideWhenUsed/>
    <w:rsid w:val="00A7616F"/>
    <w:rPr>
      <w:color w:val="0000FF" w:themeColor="hyperlink"/>
      <w:u w:val="single"/>
    </w:rPr>
  </w:style>
  <w:style w:type="paragraph" w:styleId="Ballontekst">
    <w:name w:val="Balloon Text"/>
    <w:basedOn w:val="Standaard"/>
    <w:link w:val="BallontekstChar"/>
    <w:uiPriority w:val="99"/>
    <w:semiHidden/>
    <w:unhideWhenUsed/>
    <w:rsid w:val="00A761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616F"/>
    <w:rPr>
      <w:rFonts w:ascii="Tahoma" w:hAnsi="Tahoma" w:cs="Tahoma"/>
      <w:sz w:val="16"/>
      <w:szCs w:val="16"/>
    </w:rPr>
  </w:style>
  <w:style w:type="paragraph" w:styleId="Inhopg3">
    <w:name w:val="toc 3"/>
    <w:basedOn w:val="Standaard"/>
    <w:next w:val="Standaard"/>
    <w:autoRedefine/>
    <w:uiPriority w:val="39"/>
    <w:unhideWhenUsed/>
    <w:rsid w:val="00BE2EE9"/>
    <w:pPr>
      <w:tabs>
        <w:tab w:val="right" w:leader="dot" w:pos="9062"/>
      </w:tabs>
      <w:spacing w:after="100" w:line="276" w:lineRule="auto"/>
      <w:ind w:left="480"/>
    </w:pPr>
  </w:style>
  <w:style w:type="character" w:customStyle="1" w:styleId="Kop4Char">
    <w:name w:val="Kop 4 Char"/>
    <w:basedOn w:val="Standaardalinea-lettertype"/>
    <w:link w:val="Kop4"/>
    <w:uiPriority w:val="9"/>
    <w:rsid w:val="000E1942"/>
    <w:rPr>
      <w:rFonts w:asciiTheme="majorHAnsi" w:eastAsiaTheme="majorEastAsia" w:hAnsiTheme="majorHAnsi" w:cstheme="majorBidi"/>
      <w:b/>
      <w:bCs/>
      <w:i/>
      <w:iCs/>
      <w:color w:val="4F81BD" w:themeColor="accent1"/>
      <w:sz w:val="24"/>
    </w:rPr>
  </w:style>
  <w:style w:type="character" w:customStyle="1" w:styleId="Kop5Char">
    <w:name w:val="Kop 5 Char"/>
    <w:basedOn w:val="Standaardalinea-lettertype"/>
    <w:link w:val="Kop5"/>
    <w:uiPriority w:val="9"/>
    <w:rsid w:val="000E1942"/>
    <w:rPr>
      <w:rFonts w:asciiTheme="majorHAnsi" w:eastAsiaTheme="majorEastAsia" w:hAnsiTheme="majorHAnsi" w:cstheme="majorBidi"/>
      <w:color w:val="243F60" w:themeColor="accent1" w:themeShade="7F"/>
      <w:sz w:val="24"/>
    </w:rPr>
  </w:style>
  <w:style w:type="character" w:customStyle="1" w:styleId="apple-converted-space">
    <w:name w:val="apple-converted-space"/>
    <w:basedOn w:val="Standaardalinea-lettertype"/>
    <w:rsid w:val="001E49EC"/>
  </w:style>
  <w:style w:type="table" w:styleId="Gemiddeldearcering2-accent3">
    <w:name w:val="Medium Shading 2 Accent 3"/>
    <w:basedOn w:val="Standaardtabel"/>
    <w:uiPriority w:val="64"/>
    <w:rsid w:val="00F05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raster">
    <w:name w:val="Table Grid"/>
    <w:basedOn w:val="Standaardtabel"/>
    <w:uiPriority w:val="59"/>
    <w:rsid w:val="00DC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50BF5"/>
    <w:rPr>
      <w:sz w:val="16"/>
      <w:szCs w:val="16"/>
    </w:rPr>
  </w:style>
  <w:style w:type="paragraph" w:styleId="Tekstopmerking">
    <w:name w:val="annotation text"/>
    <w:basedOn w:val="Standaard"/>
    <w:link w:val="TekstopmerkingChar"/>
    <w:uiPriority w:val="99"/>
    <w:semiHidden/>
    <w:unhideWhenUsed/>
    <w:rsid w:val="00C50BF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50BF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C50BF5"/>
    <w:rPr>
      <w:b/>
      <w:bCs/>
    </w:rPr>
  </w:style>
  <w:style w:type="character" w:customStyle="1" w:styleId="OnderwerpvanopmerkingChar">
    <w:name w:val="Onderwerp van opmerking Char"/>
    <w:basedOn w:val="TekstopmerkingChar"/>
    <w:link w:val="Onderwerpvanopmerking"/>
    <w:uiPriority w:val="99"/>
    <w:semiHidden/>
    <w:rsid w:val="00C50BF5"/>
    <w:rPr>
      <w:rFonts w:ascii="Times New Roman" w:hAnsi="Times New Roman"/>
      <w:b/>
      <w:bCs/>
      <w:sz w:val="20"/>
      <w:szCs w:val="20"/>
    </w:rPr>
  </w:style>
  <w:style w:type="character" w:customStyle="1" w:styleId="Verwijzingopmerking1">
    <w:name w:val="Verwijzing opmerking1"/>
    <w:rsid w:val="00B35E88"/>
    <w:rPr>
      <w:sz w:val="18"/>
      <w:szCs w:val="18"/>
    </w:rPr>
  </w:style>
  <w:style w:type="paragraph" w:styleId="Bijschrift">
    <w:name w:val="caption"/>
    <w:basedOn w:val="Standaard"/>
    <w:next w:val="Standaard"/>
    <w:uiPriority w:val="35"/>
    <w:unhideWhenUsed/>
    <w:qFormat/>
    <w:rsid w:val="002F3D80"/>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616F"/>
    <w:pPr>
      <w:spacing w:after="80" w:line="360" w:lineRule="auto"/>
      <w:jc w:val="both"/>
    </w:pPr>
    <w:rPr>
      <w:rFonts w:ascii="Times New Roman" w:hAnsi="Times New Roman"/>
      <w:sz w:val="24"/>
    </w:rPr>
  </w:style>
  <w:style w:type="paragraph" w:styleId="Kop1">
    <w:name w:val="heading 1"/>
    <w:basedOn w:val="Standaard"/>
    <w:next w:val="Standaard"/>
    <w:link w:val="Kop1Char"/>
    <w:uiPriority w:val="9"/>
    <w:qFormat/>
    <w:rsid w:val="00991198"/>
    <w:pPr>
      <w:keepNext/>
      <w:keepLines/>
      <w:spacing w:before="480" w:after="120"/>
      <w:outlineLvl w:val="0"/>
    </w:pPr>
    <w:rPr>
      <w:rFonts w:eastAsiaTheme="majorEastAsia" w:cstheme="majorBidi"/>
      <w:b/>
      <w:bCs/>
      <w:sz w:val="28"/>
      <w:szCs w:val="28"/>
      <w:u w:val="single"/>
    </w:rPr>
  </w:style>
  <w:style w:type="paragraph" w:styleId="Kop2">
    <w:name w:val="heading 2"/>
    <w:basedOn w:val="Standaard"/>
    <w:next w:val="Standaard"/>
    <w:link w:val="Kop2Char"/>
    <w:uiPriority w:val="9"/>
    <w:unhideWhenUsed/>
    <w:qFormat/>
    <w:rsid w:val="00375EEE"/>
    <w:pPr>
      <w:keepNext/>
      <w:keepLines/>
      <w:spacing w:before="480" w:after="0" w:line="480" w:lineRule="auto"/>
      <w:outlineLvl w:val="1"/>
    </w:pPr>
    <w:rPr>
      <w:rFonts w:eastAsiaTheme="majorEastAsia" w:cstheme="majorBidi"/>
      <w:b/>
      <w:bCs/>
      <w:szCs w:val="26"/>
    </w:rPr>
  </w:style>
  <w:style w:type="paragraph" w:styleId="Kop3">
    <w:name w:val="heading 3"/>
    <w:basedOn w:val="Standaard"/>
    <w:next w:val="Standaard"/>
    <w:link w:val="Kop3Char"/>
    <w:uiPriority w:val="9"/>
    <w:unhideWhenUsed/>
    <w:qFormat/>
    <w:rsid w:val="00375EEE"/>
    <w:pPr>
      <w:keepNext/>
      <w:keepLines/>
      <w:spacing w:before="360" w:after="0"/>
      <w:outlineLvl w:val="2"/>
    </w:pPr>
    <w:rPr>
      <w:rFonts w:eastAsiaTheme="majorEastAsia" w:cstheme="majorBidi"/>
      <w:b/>
      <w:bCs/>
      <w:i/>
    </w:rPr>
  </w:style>
  <w:style w:type="paragraph" w:styleId="Kop4">
    <w:name w:val="heading 4"/>
    <w:basedOn w:val="Standaard"/>
    <w:next w:val="Standaard"/>
    <w:link w:val="Kop4Char"/>
    <w:uiPriority w:val="9"/>
    <w:unhideWhenUsed/>
    <w:qFormat/>
    <w:rsid w:val="000E194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0E19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75EEE"/>
    <w:rPr>
      <w:rFonts w:ascii="Times New Roman" w:eastAsiaTheme="majorEastAsia" w:hAnsi="Times New Roman" w:cstheme="majorBidi"/>
      <w:b/>
      <w:bCs/>
      <w:sz w:val="24"/>
      <w:szCs w:val="26"/>
    </w:rPr>
  </w:style>
  <w:style w:type="character" w:customStyle="1" w:styleId="Kop1Char">
    <w:name w:val="Kop 1 Char"/>
    <w:basedOn w:val="Standaardalinea-lettertype"/>
    <w:link w:val="Kop1"/>
    <w:uiPriority w:val="9"/>
    <w:rsid w:val="00991198"/>
    <w:rPr>
      <w:rFonts w:ascii="Times New Roman" w:eastAsiaTheme="majorEastAsia" w:hAnsi="Times New Roman" w:cstheme="majorBidi"/>
      <w:b/>
      <w:bCs/>
      <w:sz w:val="28"/>
      <w:szCs w:val="28"/>
      <w:u w:val="single"/>
    </w:rPr>
  </w:style>
  <w:style w:type="character" w:customStyle="1" w:styleId="Kop3Char">
    <w:name w:val="Kop 3 Char"/>
    <w:basedOn w:val="Standaardalinea-lettertype"/>
    <w:link w:val="Kop3"/>
    <w:uiPriority w:val="9"/>
    <w:rsid w:val="00375EEE"/>
    <w:rPr>
      <w:rFonts w:ascii="Times New Roman" w:eastAsiaTheme="majorEastAsia" w:hAnsi="Times New Roman" w:cstheme="majorBidi"/>
      <w:b/>
      <w:bCs/>
      <w:i/>
      <w:sz w:val="24"/>
    </w:rPr>
  </w:style>
  <w:style w:type="paragraph" w:styleId="Koptekst">
    <w:name w:val="header"/>
    <w:basedOn w:val="Standaard"/>
    <w:link w:val="KoptekstChar"/>
    <w:uiPriority w:val="99"/>
    <w:unhideWhenUsed/>
    <w:rsid w:val="00A761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616F"/>
    <w:rPr>
      <w:rFonts w:ascii="Times New Roman" w:hAnsi="Times New Roman"/>
      <w:sz w:val="24"/>
    </w:rPr>
  </w:style>
  <w:style w:type="paragraph" w:styleId="Voettekst">
    <w:name w:val="footer"/>
    <w:basedOn w:val="Standaard"/>
    <w:link w:val="VoettekstChar"/>
    <w:uiPriority w:val="99"/>
    <w:unhideWhenUsed/>
    <w:rsid w:val="00A761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616F"/>
    <w:rPr>
      <w:rFonts w:ascii="Times New Roman" w:hAnsi="Times New Roman"/>
      <w:sz w:val="24"/>
    </w:rPr>
  </w:style>
  <w:style w:type="paragraph" w:styleId="Geenafstand">
    <w:name w:val="No Spacing"/>
    <w:aliases w:val="Hoofdtekst thesis"/>
    <w:next w:val="Standaard"/>
    <w:uiPriority w:val="1"/>
    <w:qFormat/>
    <w:rsid w:val="00A7616F"/>
    <w:pPr>
      <w:spacing w:after="0" w:line="240" w:lineRule="auto"/>
      <w:jc w:val="both"/>
    </w:pPr>
    <w:rPr>
      <w:rFonts w:ascii="Times New Roman" w:hAnsi="Times New Roman"/>
      <w:sz w:val="20"/>
    </w:rPr>
  </w:style>
  <w:style w:type="paragraph" w:styleId="Voetnoottekst">
    <w:name w:val="footnote text"/>
    <w:basedOn w:val="Standaard"/>
    <w:link w:val="VoetnoottekstChar"/>
    <w:uiPriority w:val="99"/>
    <w:unhideWhenUsed/>
    <w:rsid w:val="00A7616F"/>
    <w:pPr>
      <w:spacing w:after="0" w:line="240" w:lineRule="auto"/>
    </w:pPr>
    <w:rPr>
      <w:sz w:val="20"/>
      <w:szCs w:val="20"/>
    </w:rPr>
  </w:style>
  <w:style w:type="character" w:customStyle="1" w:styleId="VoetnoottekstChar">
    <w:name w:val="Voetnoottekst Char"/>
    <w:basedOn w:val="Standaardalinea-lettertype"/>
    <w:link w:val="Voetnoottekst"/>
    <w:uiPriority w:val="99"/>
    <w:rsid w:val="00A7616F"/>
    <w:rPr>
      <w:rFonts w:ascii="Times New Roman" w:hAnsi="Times New Roman"/>
      <w:sz w:val="20"/>
      <w:szCs w:val="20"/>
    </w:rPr>
  </w:style>
  <w:style w:type="character" w:styleId="Voetnootmarkering">
    <w:name w:val="footnote reference"/>
    <w:basedOn w:val="Standaardalinea-lettertype"/>
    <w:uiPriority w:val="99"/>
    <w:semiHidden/>
    <w:unhideWhenUsed/>
    <w:rsid w:val="00A7616F"/>
    <w:rPr>
      <w:vertAlign w:val="superscript"/>
    </w:rPr>
  </w:style>
  <w:style w:type="paragraph" w:styleId="Lijstalinea">
    <w:name w:val="List Paragraph"/>
    <w:basedOn w:val="Standaard"/>
    <w:uiPriority w:val="34"/>
    <w:qFormat/>
    <w:rsid w:val="00A7616F"/>
    <w:pPr>
      <w:ind w:left="720"/>
      <w:contextualSpacing/>
    </w:pPr>
  </w:style>
  <w:style w:type="paragraph" w:styleId="Kopvaninhoudsopgave">
    <w:name w:val="TOC Heading"/>
    <w:basedOn w:val="Kop1"/>
    <w:next w:val="Standaard"/>
    <w:uiPriority w:val="39"/>
    <w:semiHidden/>
    <w:unhideWhenUsed/>
    <w:qFormat/>
    <w:rsid w:val="00A7616F"/>
    <w:pPr>
      <w:spacing w:line="276" w:lineRule="auto"/>
      <w:jc w:val="left"/>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A7616F"/>
    <w:pPr>
      <w:spacing w:after="100"/>
    </w:pPr>
  </w:style>
  <w:style w:type="paragraph" w:styleId="Inhopg2">
    <w:name w:val="toc 2"/>
    <w:basedOn w:val="Standaard"/>
    <w:next w:val="Standaard"/>
    <w:autoRedefine/>
    <w:uiPriority w:val="39"/>
    <w:unhideWhenUsed/>
    <w:rsid w:val="006547E7"/>
    <w:pPr>
      <w:tabs>
        <w:tab w:val="right" w:leader="dot" w:pos="9062"/>
      </w:tabs>
      <w:spacing w:after="100"/>
      <w:ind w:left="240"/>
    </w:pPr>
  </w:style>
  <w:style w:type="character" w:styleId="Hyperlink">
    <w:name w:val="Hyperlink"/>
    <w:basedOn w:val="Standaardalinea-lettertype"/>
    <w:uiPriority w:val="99"/>
    <w:unhideWhenUsed/>
    <w:rsid w:val="00A7616F"/>
    <w:rPr>
      <w:color w:val="0000FF" w:themeColor="hyperlink"/>
      <w:u w:val="single"/>
    </w:rPr>
  </w:style>
  <w:style w:type="paragraph" w:styleId="Ballontekst">
    <w:name w:val="Balloon Text"/>
    <w:basedOn w:val="Standaard"/>
    <w:link w:val="BallontekstChar"/>
    <w:uiPriority w:val="99"/>
    <w:semiHidden/>
    <w:unhideWhenUsed/>
    <w:rsid w:val="00A761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7616F"/>
    <w:rPr>
      <w:rFonts w:ascii="Tahoma" w:hAnsi="Tahoma" w:cs="Tahoma"/>
      <w:sz w:val="16"/>
      <w:szCs w:val="16"/>
    </w:rPr>
  </w:style>
  <w:style w:type="paragraph" w:styleId="Inhopg3">
    <w:name w:val="toc 3"/>
    <w:basedOn w:val="Standaard"/>
    <w:next w:val="Standaard"/>
    <w:autoRedefine/>
    <w:uiPriority w:val="39"/>
    <w:unhideWhenUsed/>
    <w:rsid w:val="00BE2EE9"/>
    <w:pPr>
      <w:tabs>
        <w:tab w:val="right" w:leader="dot" w:pos="9062"/>
      </w:tabs>
      <w:spacing w:after="100" w:line="276" w:lineRule="auto"/>
      <w:ind w:left="480"/>
    </w:pPr>
  </w:style>
  <w:style w:type="character" w:customStyle="1" w:styleId="Kop4Char">
    <w:name w:val="Kop 4 Char"/>
    <w:basedOn w:val="Standaardalinea-lettertype"/>
    <w:link w:val="Kop4"/>
    <w:uiPriority w:val="9"/>
    <w:rsid w:val="000E1942"/>
    <w:rPr>
      <w:rFonts w:asciiTheme="majorHAnsi" w:eastAsiaTheme="majorEastAsia" w:hAnsiTheme="majorHAnsi" w:cstheme="majorBidi"/>
      <w:b/>
      <w:bCs/>
      <w:i/>
      <w:iCs/>
      <w:color w:val="4F81BD" w:themeColor="accent1"/>
      <w:sz w:val="24"/>
    </w:rPr>
  </w:style>
  <w:style w:type="character" w:customStyle="1" w:styleId="Kop5Char">
    <w:name w:val="Kop 5 Char"/>
    <w:basedOn w:val="Standaardalinea-lettertype"/>
    <w:link w:val="Kop5"/>
    <w:uiPriority w:val="9"/>
    <w:rsid w:val="000E1942"/>
    <w:rPr>
      <w:rFonts w:asciiTheme="majorHAnsi" w:eastAsiaTheme="majorEastAsia" w:hAnsiTheme="majorHAnsi" w:cstheme="majorBidi"/>
      <w:color w:val="243F60" w:themeColor="accent1" w:themeShade="7F"/>
      <w:sz w:val="24"/>
    </w:rPr>
  </w:style>
  <w:style w:type="character" w:customStyle="1" w:styleId="apple-converted-space">
    <w:name w:val="apple-converted-space"/>
    <w:basedOn w:val="Standaardalinea-lettertype"/>
    <w:rsid w:val="001E49EC"/>
  </w:style>
  <w:style w:type="table" w:styleId="Gemiddeldearcering2-accent3">
    <w:name w:val="Medium Shading 2 Accent 3"/>
    <w:basedOn w:val="Standaardtabel"/>
    <w:uiPriority w:val="64"/>
    <w:rsid w:val="00F05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raster">
    <w:name w:val="Table Grid"/>
    <w:basedOn w:val="Standaardtabel"/>
    <w:uiPriority w:val="59"/>
    <w:rsid w:val="00DC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50BF5"/>
    <w:rPr>
      <w:sz w:val="16"/>
      <w:szCs w:val="16"/>
    </w:rPr>
  </w:style>
  <w:style w:type="paragraph" w:styleId="Tekstopmerking">
    <w:name w:val="annotation text"/>
    <w:basedOn w:val="Standaard"/>
    <w:link w:val="TekstopmerkingChar"/>
    <w:uiPriority w:val="99"/>
    <w:semiHidden/>
    <w:unhideWhenUsed/>
    <w:rsid w:val="00C50BF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50BF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C50BF5"/>
    <w:rPr>
      <w:b/>
      <w:bCs/>
    </w:rPr>
  </w:style>
  <w:style w:type="character" w:customStyle="1" w:styleId="OnderwerpvanopmerkingChar">
    <w:name w:val="Onderwerp van opmerking Char"/>
    <w:basedOn w:val="TekstopmerkingChar"/>
    <w:link w:val="Onderwerpvanopmerking"/>
    <w:uiPriority w:val="99"/>
    <w:semiHidden/>
    <w:rsid w:val="00C50BF5"/>
    <w:rPr>
      <w:rFonts w:ascii="Times New Roman" w:hAnsi="Times New Roman"/>
      <w:b/>
      <w:bCs/>
      <w:sz w:val="20"/>
      <w:szCs w:val="20"/>
    </w:rPr>
  </w:style>
  <w:style w:type="character" w:customStyle="1" w:styleId="Verwijzingopmerking1">
    <w:name w:val="Verwijzing opmerking1"/>
    <w:rsid w:val="00B35E88"/>
    <w:rPr>
      <w:sz w:val="18"/>
      <w:szCs w:val="18"/>
    </w:rPr>
  </w:style>
  <w:style w:type="paragraph" w:styleId="Bijschrift">
    <w:name w:val="caption"/>
    <w:basedOn w:val="Standaard"/>
    <w:next w:val="Standaard"/>
    <w:uiPriority w:val="35"/>
    <w:unhideWhenUsed/>
    <w:qFormat/>
    <w:rsid w:val="002F3D80"/>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8173">
      <w:bodyDiv w:val="1"/>
      <w:marLeft w:val="0"/>
      <w:marRight w:val="0"/>
      <w:marTop w:val="0"/>
      <w:marBottom w:val="0"/>
      <w:divBdr>
        <w:top w:val="none" w:sz="0" w:space="0" w:color="auto"/>
        <w:left w:val="none" w:sz="0" w:space="0" w:color="auto"/>
        <w:bottom w:val="none" w:sz="0" w:space="0" w:color="auto"/>
        <w:right w:val="none" w:sz="0" w:space="0" w:color="auto"/>
      </w:divBdr>
    </w:div>
    <w:div w:id="174466591">
      <w:bodyDiv w:val="1"/>
      <w:marLeft w:val="0"/>
      <w:marRight w:val="0"/>
      <w:marTop w:val="0"/>
      <w:marBottom w:val="0"/>
      <w:divBdr>
        <w:top w:val="none" w:sz="0" w:space="0" w:color="auto"/>
        <w:left w:val="none" w:sz="0" w:space="0" w:color="auto"/>
        <w:bottom w:val="none" w:sz="0" w:space="0" w:color="auto"/>
        <w:right w:val="none" w:sz="0" w:space="0" w:color="auto"/>
      </w:divBdr>
    </w:div>
    <w:div w:id="211623401">
      <w:bodyDiv w:val="1"/>
      <w:marLeft w:val="0"/>
      <w:marRight w:val="0"/>
      <w:marTop w:val="0"/>
      <w:marBottom w:val="0"/>
      <w:divBdr>
        <w:top w:val="none" w:sz="0" w:space="0" w:color="auto"/>
        <w:left w:val="none" w:sz="0" w:space="0" w:color="auto"/>
        <w:bottom w:val="none" w:sz="0" w:space="0" w:color="auto"/>
        <w:right w:val="none" w:sz="0" w:space="0" w:color="auto"/>
      </w:divBdr>
    </w:div>
    <w:div w:id="815881506">
      <w:bodyDiv w:val="1"/>
      <w:marLeft w:val="0"/>
      <w:marRight w:val="0"/>
      <w:marTop w:val="0"/>
      <w:marBottom w:val="0"/>
      <w:divBdr>
        <w:top w:val="none" w:sz="0" w:space="0" w:color="auto"/>
        <w:left w:val="none" w:sz="0" w:space="0" w:color="auto"/>
        <w:bottom w:val="none" w:sz="0" w:space="0" w:color="auto"/>
        <w:right w:val="none" w:sz="0" w:space="0" w:color="auto"/>
      </w:divBdr>
    </w:div>
    <w:div w:id="836071543">
      <w:bodyDiv w:val="1"/>
      <w:marLeft w:val="0"/>
      <w:marRight w:val="0"/>
      <w:marTop w:val="0"/>
      <w:marBottom w:val="0"/>
      <w:divBdr>
        <w:top w:val="none" w:sz="0" w:space="0" w:color="auto"/>
        <w:left w:val="none" w:sz="0" w:space="0" w:color="auto"/>
        <w:bottom w:val="none" w:sz="0" w:space="0" w:color="auto"/>
        <w:right w:val="none" w:sz="0" w:space="0" w:color="auto"/>
      </w:divBdr>
    </w:div>
    <w:div w:id="1139343916">
      <w:bodyDiv w:val="1"/>
      <w:marLeft w:val="0"/>
      <w:marRight w:val="0"/>
      <w:marTop w:val="0"/>
      <w:marBottom w:val="0"/>
      <w:divBdr>
        <w:top w:val="none" w:sz="0" w:space="0" w:color="auto"/>
        <w:left w:val="none" w:sz="0" w:space="0" w:color="auto"/>
        <w:bottom w:val="none" w:sz="0" w:space="0" w:color="auto"/>
        <w:right w:val="none" w:sz="0" w:space="0" w:color="auto"/>
      </w:divBdr>
    </w:div>
    <w:div w:id="1744642495">
      <w:bodyDiv w:val="1"/>
      <w:marLeft w:val="0"/>
      <w:marRight w:val="0"/>
      <w:marTop w:val="0"/>
      <w:marBottom w:val="0"/>
      <w:divBdr>
        <w:top w:val="none" w:sz="0" w:space="0" w:color="auto"/>
        <w:left w:val="none" w:sz="0" w:space="0" w:color="auto"/>
        <w:bottom w:val="none" w:sz="0" w:space="0" w:color="auto"/>
        <w:right w:val="none" w:sz="0" w:space="0" w:color="auto"/>
      </w:divBdr>
    </w:div>
    <w:div w:id="1763839602">
      <w:bodyDiv w:val="1"/>
      <w:marLeft w:val="0"/>
      <w:marRight w:val="0"/>
      <w:marTop w:val="0"/>
      <w:marBottom w:val="0"/>
      <w:divBdr>
        <w:top w:val="none" w:sz="0" w:space="0" w:color="auto"/>
        <w:left w:val="none" w:sz="0" w:space="0" w:color="auto"/>
        <w:bottom w:val="none" w:sz="0" w:space="0" w:color="auto"/>
        <w:right w:val="none" w:sz="0" w:space="0" w:color="auto"/>
      </w:divBdr>
    </w:div>
    <w:div w:id="212306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DF654-8A69-4F31-83C1-BEC6BF68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100</Pages>
  <Words>33789</Words>
  <Characters>185843</Characters>
  <Application>Microsoft Office Word</Application>
  <DocSecurity>0</DocSecurity>
  <Lines>1548</Lines>
  <Paragraphs>438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c:creator>
  <cp:lastModifiedBy>Nena</cp:lastModifiedBy>
  <cp:revision>56</cp:revision>
  <cp:lastPrinted>2016-09-26T08:40:00Z</cp:lastPrinted>
  <dcterms:created xsi:type="dcterms:W3CDTF">2016-05-27T20:42:00Z</dcterms:created>
  <dcterms:modified xsi:type="dcterms:W3CDTF">2016-09-27T08:52:00Z</dcterms:modified>
</cp:coreProperties>
</file>