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A70BA" w14:textId="0778C223" w:rsidR="007E159F" w:rsidRDefault="007E159F" w:rsidP="007E159F">
      <w:pPr>
        <w:pStyle w:val="Koptekst"/>
        <w:tabs>
          <w:tab w:val="left" w:pos="142"/>
        </w:tabs>
      </w:pPr>
      <w:bookmarkStart w:id="0" w:name="_GoBack"/>
      <w:bookmarkEnd w:id="0"/>
      <w:r>
        <w:rPr>
          <w:noProof/>
          <w:lang w:eastAsia="nl-BE"/>
        </w:rPr>
        <w:drawing>
          <wp:anchor distT="0" distB="0" distL="114300" distR="114300" simplePos="0" relativeHeight="251659264" behindDoc="0" locked="0" layoutInCell="1" allowOverlap="1" wp14:anchorId="23726E60" wp14:editId="78012CCB">
            <wp:simplePos x="0" y="0"/>
            <wp:positionH relativeFrom="page">
              <wp:posOffset>480227</wp:posOffset>
            </wp:positionH>
            <wp:positionV relativeFrom="page">
              <wp:align>top</wp:align>
            </wp:positionV>
            <wp:extent cx="3057525" cy="1143000"/>
            <wp:effectExtent l="0" t="0" r="0" b="0"/>
            <wp:wrapNone/>
            <wp:docPr id="2" name="Afbeelding 2" descr="icoon_UGent_LW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on_UGent_LW_NL_RGB_2400_kle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1143000"/>
                    </a:xfrm>
                    <a:prstGeom prst="rect">
                      <a:avLst/>
                    </a:prstGeom>
                    <a:noFill/>
                  </pic:spPr>
                </pic:pic>
              </a:graphicData>
            </a:graphic>
            <wp14:sizeRelH relativeFrom="page">
              <wp14:pctWidth>0</wp14:pctWidth>
            </wp14:sizeRelH>
            <wp14:sizeRelV relativeFrom="page">
              <wp14:pctHeight>0</wp14:pctHeight>
            </wp14:sizeRelV>
          </wp:anchor>
        </w:drawing>
      </w:r>
    </w:p>
    <w:p w14:paraId="36237300" w14:textId="77777777" w:rsidR="007E159F" w:rsidRDefault="007E159F" w:rsidP="007E159F">
      <w:pPr>
        <w:pStyle w:val="Koptekst"/>
      </w:pPr>
    </w:p>
    <w:p w14:paraId="08FFA257" w14:textId="77777777" w:rsidR="007E159F" w:rsidRDefault="007E159F" w:rsidP="007E159F">
      <w:pPr>
        <w:pStyle w:val="Koptekst"/>
      </w:pPr>
    </w:p>
    <w:p w14:paraId="5203A731" w14:textId="77777777" w:rsidR="007E159F" w:rsidRDefault="007E159F" w:rsidP="007E159F">
      <w:pPr>
        <w:pStyle w:val="Koptekst"/>
      </w:pPr>
    </w:p>
    <w:p w14:paraId="7131D67E" w14:textId="77777777" w:rsidR="007E159F" w:rsidRDefault="007E159F" w:rsidP="007E159F">
      <w:pPr>
        <w:pStyle w:val="Koptekst"/>
      </w:pPr>
    </w:p>
    <w:p w14:paraId="1FFE9BDB" w14:textId="77777777" w:rsidR="007E159F" w:rsidRDefault="007E159F" w:rsidP="007E159F">
      <w:pPr>
        <w:pStyle w:val="Koptekst"/>
      </w:pPr>
    </w:p>
    <w:p w14:paraId="05ADF29C" w14:textId="77777777" w:rsidR="007E159F" w:rsidRDefault="007E159F" w:rsidP="007E159F">
      <w:pPr>
        <w:pStyle w:val="Koptekst"/>
      </w:pPr>
    </w:p>
    <w:p w14:paraId="7D40FA2C" w14:textId="77777777" w:rsidR="007E159F" w:rsidRDefault="007E159F" w:rsidP="007E159F">
      <w:pPr>
        <w:pStyle w:val="Koptekst"/>
      </w:pPr>
    </w:p>
    <w:p w14:paraId="40CA7055" w14:textId="77777777" w:rsidR="007E159F" w:rsidRDefault="007E159F" w:rsidP="007E159F">
      <w:pPr>
        <w:pStyle w:val="Koptekst"/>
      </w:pPr>
    </w:p>
    <w:p w14:paraId="31443A95" w14:textId="77777777" w:rsidR="007E159F" w:rsidRDefault="007E159F" w:rsidP="007E159F">
      <w:pPr>
        <w:pStyle w:val="Koptekst"/>
      </w:pPr>
    </w:p>
    <w:p w14:paraId="21882778" w14:textId="77777777" w:rsidR="007E159F" w:rsidRDefault="007E159F" w:rsidP="007E159F">
      <w:pPr>
        <w:pStyle w:val="Koptekst"/>
      </w:pPr>
    </w:p>
    <w:p w14:paraId="7F5EE90D" w14:textId="77777777" w:rsidR="007E159F" w:rsidRDefault="007E159F" w:rsidP="007E159F">
      <w:pPr>
        <w:pStyle w:val="Koptekst"/>
      </w:pPr>
    </w:p>
    <w:p w14:paraId="771F9C58" w14:textId="77777777" w:rsidR="007E159F" w:rsidRDefault="007E159F" w:rsidP="007E159F">
      <w:pPr>
        <w:pStyle w:val="Koptekst"/>
      </w:pPr>
    </w:p>
    <w:p w14:paraId="12BDC94B" w14:textId="77777777" w:rsidR="007E159F" w:rsidRDefault="007E159F" w:rsidP="007E159F">
      <w:pPr>
        <w:pStyle w:val="Koptekst"/>
      </w:pPr>
    </w:p>
    <w:p w14:paraId="15DFF653" w14:textId="77777777" w:rsidR="007E159F" w:rsidRDefault="007E159F" w:rsidP="007E159F">
      <w:pPr>
        <w:pStyle w:val="Koptekst"/>
      </w:pPr>
    </w:p>
    <w:p w14:paraId="4BF98AD8" w14:textId="77777777" w:rsidR="007E159F" w:rsidRDefault="007E159F" w:rsidP="007E159F">
      <w:pPr>
        <w:pStyle w:val="Koptekst"/>
      </w:pPr>
    </w:p>
    <w:p w14:paraId="3F505F41" w14:textId="77777777" w:rsidR="007E159F" w:rsidRDefault="007E159F" w:rsidP="007E159F">
      <w:pPr>
        <w:pStyle w:val="Koptekst"/>
      </w:pPr>
    </w:p>
    <w:p w14:paraId="096311D7" w14:textId="77777777" w:rsidR="007E159F" w:rsidRDefault="007E159F" w:rsidP="007E159F">
      <w:pPr>
        <w:pStyle w:val="Koptekst"/>
      </w:pPr>
    </w:p>
    <w:p w14:paraId="53F141B6" w14:textId="77777777" w:rsidR="00667EA6" w:rsidRDefault="00667EA6" w:rsidP="007E159F">
      <w:pPr>
        <w:pStyle w:val="Titel"/>
        <w:jc w:val="left"/>
        <w:rPr>
          <w:b w:val="0"/>
          <w:caps w:val="0"/>
          <w:color w:val="000000" w:themeColor="text1"/>
          <w:sz w:val="20"/>
          <w:szCs w:val="20"/>
          <w:u w:val="none"/>
        </w:rPr>
      </w:pPr>
    </w:p>
    <w:p w14:paraId="234C952B" w14:textId="3AE85CF4" w:rsidR="0026281C" w:rsidRPr="0026281C" w:rsidRDefault="0026281C" w:rsidP="0026281C">
      <w:pPr>
        <w:pStyle w:val="Titel"/>
        <w:ind w:right="-142"/>
        <w:jc w:val="left"/>
        <w:rPr>
          <w:sz w:val="44"/>
          <w:lang w:val="de-DE"/>
        </w:rPr>
      </w:pPr>
      <w:r>
        <w:rPr>
          <w:sz w:val="44"/>
          <w:lang w:val="de-DE"/>
        </w:rPr>
        <w:t>sprechende sprachlosigkeit</w:t>
      </w:r>
      <w:r w:rsidR="004F28D7">
        <w:rPr>
          <w:sz w:val="44"/>
          <w:lang w:val="de-DE"/>
        </w:rPr>
        <w:t>?</w:t>
      </w:r>
    </w:p>
    <w:p w14:paraId="341B588C" w14:textId="1D4B32F1" w:rsidR="007E159F" w:rsidRPr="00776205" w:rsidRDefault="00AA6141" w:rsidP="00776205">
      <w:pPr>
        <w:pStyle w:val="Ondertitel"/>
        <w:tabs>
          <w:tab w:val="center" w:pos="4536"/>
        </w:tabs>
        <w:ind w:right="-711"/>
        <w:jc w:val="left"/>
        <w:rPr>
          <w:i/>
          <w:szCs w:val="30"/>
          <w:lang w:val="de-DE"/>
        </w:rPr>
      </w:pPr>
      <w:r w:rsidRPr="00776205">
        <w:rPr>
          <w:szCs w:val="30"/>
          <w:lang w:val="de-DE"/>
        </w:rPr>
        <w:t>Unterdr</w:t>
      </w:r>
      <w:r w:rsidR="00DC6240" w:rsidRPr="00776205">
        <w:rPr>
          <w:szCs w:val="30"/>
          <w:lang w:val="de-DE"/>
        </w:rPr>
        <w:t xml:space="preserve">ückung und Befreiung anhand von </w:t>
      </w:r>
      <w:r w:rsidRPr="00776205">
        <w:rPr>
          <w:szCs w:val="30"/>
          <w:lang w:val="de-DE"/>
        </w:rPr>
        <w:t xml:space="preserve">sprache </w:t>
      </w:r>
      <w:r w:rsidR="00194460" w:rsidRPr="00776205">
        <w:rPr>
          <w:szCs w:val="30"/>
          <w:lang w:val="de-DE"/>
        </w:rPr>
        <w:t xml:space="preserve">In MELINDA nadj abonjis </w:t>
      </w:r>
      <w:r w:rsidR="00294070" w:rsidRPr="00776205">
        <w:rPr>
          <w:i/>
          <w:szCs w:val="30"/>
          <w:lang w:val="de-DE"/>
        </w:rPr>
        <w:t>T</w:t>
      </w:r>
      <w:r w:rsidR="00194460" w:rsidRPr="00776205">
        <w:rPr>
          <w:i/>
          <w:szCs w:val="30"/>
          <w:lang w:val="de-DE"/>
        </w:rPr>
        <w:t>auben fliegen auf</w:t>
      </w:r>
      <w:r w:rsidR="00AE18DA" w:rsidRPr="00776205">
        <w:rPr>
          <w:i/>
          <w:szCs w:val="30"/>
          <w:lang w:val="de-DE"/>
        </w:rPr>
        <w:tab/>
      </w:r>
    </w:p>
    <w:p w14:paraId="1820D3F8" w14:textId="77777777" w:rsidR="007E159F" w:rsidRPr="009E7A45" w:rsidRDefault="007E159F" w:rsidP="007E159F">
      <w:pPr>
        <w:rPr>
          <w:lang w:val="de-DE"/>
        </w:rPr>
      </w:pPr>
    </w:p>
    <w:p w14:paraId="3E709428" w14:textId="77777777" w:rsidR="007E159F" w:rsidRPr="009E7A45" w:rsidRDefault="007E159F" w:rsidP="007E159F">
      <w:pPr>
        <w:rPr>
          <w:lang w:val="de-DE"/>
        </w:rPr>
      </w:pPr>
    </w:p>
    <w:p w14:paraId="7FF08BCF" w14:textId="77777777" w:rsidR="007E159F" w:rsidRPr="009E7A45" w:rsidRDefault="007E159F" w:rsidP="007E159F">
      <w:pPr>
        <w:rPr>
          <w:lang w:val="de-DE"/>
        </w:rPr>
      </w:pPr>
    </w:p>
    <w:p w14:paraId="4A3076C4" w14:textId="77777777" w:rsidR="007E159F" w:rsidRPr="009E7A45" w:rsidRDefault="007E159F" w:rsidP="007E159F">
      <w:pPr>
        <w:rPr>
          <w:lang w:val="de-DE"/>
        </w:rPr>
      </w:pPr>
    </w:p>
    <w:p w14:paraId="40490CB4" w14:textId="77777777" w:rsidR="007E159F" w:rsidRPr="009E7A45" w:rsidRDefault="007E159F" w:rsidP="007E159F">
      <w:pPr>
        <w:rPr>
          <w:lang w:val="de-DE"/>
        </w:rPr>
      </w:pPr>
    </w:p>
    <w:p w14:paraId="4D792484" w14:textId="77777777" w:rsidR="007E159F" w:rsidRPr="00207EE0" w:rsidRDefault="007E159F" w:rsidP="007E159F">
      <w:pPr>
        <w:pStyle w:val="NaamAuteur"/>
        <w:spacing w:line="360" w:lineRule="auto"/>
        <w:rPr>
          <w:lang w:val="nl-BE"/>
        </w:rPr>
      </w:pPr>
      <w:r w:rsidRPr="00207EE0">
        <w:rPr>
          <w:lang w:val="nl-BE"/>
        </w:rPr>
        <w:t>Liselotte Van der Gucht</w:t>
      </w:r>
    </w:p>
    <w:p w14:paraId="3B7AAE9A" w14:textId="77777777" w:rsidR="007E159F" w:rsidRDefault="007E159F" w:rsidP="007E159F">
      <w:pPr>
        <w:rPr>
          <w:rFonts w:ascii="Arial" w:hAnsi="Arial" w:cs="Arial"/>
        </w:rPr>
      </w:pPr>
      <w:r w:rsidRPr="00CC30C9">
        <w:rPr>
          <w:rFonts w:ascii="Arial" w:hAnsi="Arial" w:cs="Arial"/>
        </w:rPr>
        <w:t>Stamnummer: 01408025</w:t>
      </w:r>
    </w:p>
    <w:p w14:paraId="6C890AD5" w14:textId="77777777" w:rsidR="007E159F" w:rsidRPr="00580E26" w:rsidRDefault="007E159F" w:rsidP="007E159F">
      <w:pPr>
        <w:pStyle w:val="Normal12pt"/>
        <w:spacing w:line="276" w:lineRule="auto"/>
        <w:rPr>
          <w:lang w:val="nl-BE"/>
        </w:rPr>
      </w:pPr>
      <w:r w:rsidRPr="00CC30C9">
        <w:rPr>
          <w:lang w:val="nl-BE"/>
        </w:rPr>
        <w:t xml:space="preserve">Promotor: Prof. dr. </w:t>
      </w:r>
      <w:r w:rsidRPr="00580E26">
        <w:rPr>
          <w:lang w:val="nl-BE"/>
        </w:rPr>
        <w:t>Gunther Martens</w:t>
      </w:r>
    </w:p>
    <w:p w14:paraId="607172C1" w14:textId="77777777" w:rsidR="007E159F" w:rsidRPr="00580E26" w:rsidRDefault="007E159F" w:rsidP="007E159F">
      <w:pPr>
        <w:pStyle w:val="Normal12pt"/>
        <w:rPr>
          <w:lang w:val="nl-BE"/>
        </w:rPr>
      </w:pPr>
    </w:p>
    <w:p w14:paraId="7B4C4D2C" w14:textId="02FD328B" w:rsidR="007E159F" w:rsidRDefault="00B24BFD" w:rsidP="007E159F">
      <w:pPr>
        <w:spacing w:line="276" w:lineRule="auto"/>
        <w:rPr>
          <w:rFonts w:ascii="Arial" w:hAnsi="Arial" w:cs="Arial"/>
        </w:rPr>
      </w:pPr>
      <w:sdt>
        <w:sdtPr>
          <w:rPr>
            <w:rFonts w:ascii="Arial" w:hAnsi="Arial" w:cs="Arial"/>
          </w:rPr>
          <w:alias w:val="Type Proef"/>
          <w:tag w:val="Type Proef"/>
          <w:id w:val="-457955578"/>
          <w:placeholder>
            <w:docPart w:val="10F89686EE67488AA1EDEE70C9AF4921"/>
          </w:placeholder>
          <w:dropDownList>
            <w:listItem w:displayText="&lt; Selecteer type proef &gt;" w:value="&lt; Selecteer type proef &gt;"/>
            <w:listItem w:displayText="Bachelorproef" w:value="Bachelorproef"/>
            <w:listItem w:displayText="Masterproef" w:value="Masterproef"/>
            <w:listItem w:displayText="Doctoraat" w:value="Doctoraat"/>
          </w:dropDownList>
        </w:sdtPr>
        <w:sdtEndPr/>
        <w:sdtContent>
          <w:r w:rsidR="00A36D7A">
            <w:rPr>
              <w:rFonts w:ascii="Arial" w:hAnsi="Arial" w:cs="Arial"/>
            </w:rPr>
            <w:t>Masterproef</w:t>
          </w:r>
        </w:sdtContent>
      </w:sdt>
      <w:r w:rsidR="007E159F" w:rsidRPr="00CC30C9">
        <w:rPr>
          <w:rFonts w:ascii="Arial" w:hAnsi="Arial" w:cs="Arial"/>
        </w:rPr>
        <w:t xml:space="preserve"> voorgelegd voor het behalen van de graad </w:t>
      </w:r>
      <w:sdt>
        <w:sdtPr>
          <w:rPr>
            <w:rFonts w:ascii="Arial" w:hAnsi="Arial" w:cs="Arial"/>
          </w:rPr>
          <w:alias w:val="Graad"/>
          <w:tag w:val="Graad"/>
          <w:id w:val="2128039670"/>
          <w:placeholder>
            <w:docPart w:val="10F89686EE67488AA1EDEE70C9AF4921"/>
          </w:placeholder>
          <w:dropDownList>
            <w:listItem w:displayText="&lt; selecteer graad &gt;" w:value="&lt; selecteer graad &gt;"/>
            <w:listItem w:displayText="bachelor" w:value="bachelor"/>
            <w:listItem w:displayText="master" w:value="master"/>
            <w:listItem w:displayText="doctor" w:value="doctor"/>
          </w:dropDownList>
        </w:sdtPr>
        <w:sdtEndPr/>
        <w:sdtContent>
          <w:r w:rsidR="00A36D7A">
            <w:rPr>
              <w:rFonts w:ascii="Arial" w:hAnsi="Arial" w:cs="Arial"/>
            </w:rPr>
            <w:t>master</w:t>
          </w:r>
        </w:sdtContent>
      </w:sdt>
      <w:r w:rsidR="007E159F" w:rsidRPr="00CC30C9">
        <w:rPr>
          <w:rFonts w:ascii="Arial" w:hAnsi="Arial" w:cs="Arial"/>
        </w:rPr>
        <w:t xml:space="preserve"> in de richting Taal- en Letterkunde: Engels</w:t>
      </w:r>
      <w:r w:rsidR="007E159F">
        <w:rPr>
          <w:rFonts w:ascii="Arial" w:hAnsi="Arial" w:cs="Arial"/>
        </w:rPr>
        <w:t xml:space="preserve"> – </w:t>
      </w:r>
      <w:r w:rsidR="007E159F" w:rsidRPr="00CC30C9">
        <w:rPr>
          <w:rFonts w:ascii="Arial" w:hAnsi="Arial" w:cs="Arial"/>
        </w:rPr>
        <w:t>Duits</w:t>
      </w:r>
    </w:p>
    <w:p w14:paraId="393982E0" w14:textId="77777777" w:rsidR="007E159F" w:rsidRPr="00CC30C9" w:rsidRDefault="007E159F" w:rsidP="007E159F">
      <w:pPr>
        <w:spacing w:line="276" w:lineRule="auto"/>
        <w:rPr>
          <w:rFonts w:ascii="Arial" w:hAnsi="Arial" w:cs="Arial"/>
        </w:rPr>
      </w:pPr>
    </w:p>
    <w:p w14:paraId="6E5EA8CF" w14:textId="352D081E" w:rsidR="000C6E31" w:rsidRPr="00111EEE" w:rsidRDefault="007E159F" w:rsidP="007E159F">
      <w:pPr>
        <w:rPr>
          <w:rFonts w:ascii="Arial" w:hAnsi="Arial" w:cs="Arial"/>
          <w:lang w:val="de-DE"/>
        </w:rPr>
      </w:pPr>
      <w:r w:rsidRPr="00111EEE">
        <w:rPr>
          <w:rFonts w:ascii="Arial" w:hAnsi="Arial" w:cs="Arial"/>
          <w:lang w:val="de-DE"/>
        </w:rPr>
        <w:t>Academiejaar: 2017 – 2018</w:t>
      </w:r>
    </w:p>
    <w:p w14:paraId="2F709B18" w14:textId="06A02CDF" w:rsidR="00A75DE5" w:rsidRPr="002535C8" w:rsidRDefault="000C6E31">
      <w:pPr>
        <w:spacing w:after="160" w:line="259" w:lineRule="auto"/>
        <w:jc w:val="left"/>
        <w:rPr>
          <w:rFonts w:ascii="Arial" w:hAnsi="Arial" w:cs="Arial"/>
          <w:lang w:val="de-DE"/>
        </w:rPr>
      </w:pPr>
      <w:r w:rsidRPr="00111EEE">
        <w:rPr>
          <w:rFonts w:ascii="Arial" w:hAnsi="Arial" w:cs="Arial"/>
          <w:lang w:val="de-DE"/>
        </w:rPr>
        <w:br w:type="page"/>
      </w:r>
      <w:r w:rsidR="002535C8">
        <w:rPr>
          <w:rFonts w:ascii="Arial" w:hAnsi="Arial" w:cs="Arial"/>
          <w:lang w:val="de-DE"/>
        </w:rPr>
        <w:lastRenderedPageBreak/>
        <w:br w:type="page"/>
      </w:r>
    </w:p>
    <w:p w14:paraId="37B0846E" w14:textId="49816E92" w:rsidR="006B6A80" w:rsidRDefault="000C6E31" w:rsidP="006B6A80">
      <w:pPr>
        <w:spacing w:after="160" w:line="259" w:lineRule="auto"/>
        <w:jc w:val="left"/>
        <w:rPr>
          <w:rFonts w:cs="Times New Roman"/>
          <w:b/>
          <w:szCs w:val="30"/>
          <w:lang w:val="de-DE"/>
        </w:rPr>
      </w:pPr>
      <w:r w:rsidRPr="008A4E58">
        <w:rPr>
          <w:rFonts w:cs="Times New Roman"/>
          <w:b/>
          <w:szCs w:val="30"/>
          <w:lang w:val="de-DE"/>
        </w:rPr>
        <w:lastRenderedPageBreak/>
        <w:t>Dankeswort</w:t>
      </w:r>
      <w:r w:rsidR="00E72049">
        <w:rPr>
          <w:rFonts w:cs="Times New Roman"/>
          <w:b/>
          <w:szCs w:val="30"/>
          <w:lang w:val="de-DE"/>
        </w:rPr>
        <w:tab/>
      </w:r>
    </w:p>
    <w:p w14:paraId="407560FE" w14:textId="68A88DD8" w:rsidR="00AB4A88" w:rsidRDefault="00FF7B82" w:rsidP="00FF7B82">
      <w:pPr>
        <w:spacing w:after="160"/>
        <w:rPr>
          <w:rFonts w:cs="Times New Roman"/>
          <w:szCs w:val="30"/>
          <w:lang w:val="de-DE"/>
        </w:rPr>
      </w:pPr>
      <w:r>
        <w:rPr>
          <w:rFonts w:cs="Times New Roman"/>
          <w:szCs w:val="30"/>
          <w:lang w:val="de-DE"/>
        </w:rPr>
        <w:t xml:space="preserve">Danken möchte ich </w:t>
      </w:r>
      <w:r w:rsidR="002A414A">
        <w:rPr>
          <w:rFonts w:cs="Times New Roman"/>
          <w:szCs w:val="30"/>
          <w:lang w:val="de-DE"/>
        </w:rPr>
        <w:t xml:space="preserve">mich </w:t>
      </w:r>
      <w:r>
        <w:rPr>
          <w:rFonts w:cs="Times New Roman"/>
          <w:szCs w:val="30"/>
          <w:lang w:val="de-DE"/>
        </w:rPr>
        <w:t xml:space="preserve">an erster Stelle </w:t>
      </w:r>
      <w:r w:rsidR="002A414A">
        <w:rPr>
          <w:rFonts w:cs="Times New Roman"/>
          <w:szCs w:val="30"/>
          <w:lang w:val="de-DE"/>
        </w:rPr>
        <w:t xml:space="preserve">bei </w:t>
      </w:r>
      <w:r>
        <w:rPr>
          <w:rFonts w:cs="Times New Roman"/>
          <w:szCs w:val="30"/>
          <w:lang w:val="de-DE"/>
        </w:rPr>
        <w:t xml:space="preserve">meinem </w:t>
      </w:r>
      <w:r w:rsidR="00343378">
        <w:rPr>
          <w:rFonts w:cs="Times New Roman"/>
          <w:szCs w:val="30"/>
          <w:lang w:val="de-DE"/>
        </w:rPr>
        <w:t>Betreuer</w:t>
      </w:r>
      <w:r w:rsidR="001B7477">
        <w:rPr>
          <w:rFonts w:cs="Times New Roman"/>
          <w:szCs w:val="30"/>
          <w:lang w:val="de-DE"/>
        </w:rPr>
        <w:t xml:space="preserve"> </w:t>
      </w:r>
      <w:r>
        <w:rPr>
          <w:rFonts w:cs="Times New Roman"/>
          <w:szCs w:val="30"/>
          <w:lang w:val="de-DE"/>
        </w:rPr>
        <w:t xml:space="preserve">Prof. Dr. Gunther Martens, der mich mit </w:t>
      </w:r>
      <w:r w:rsidR="00B14FD3">
        <w:rPr>
          <w:rFonts w:cs="Times New Roman"/>
          <w:szCs w:val="30"/>
          <w:lang w:val="de-DE"/>
        </w:rPr>
        <w:t>ständigen</w:t>
      </w:r>
      <w:r>
        <w:rPr>
          <w:rFonts w:cs="Times New Roman"/>
          <w:szCs w:val="30"/>
          <w:lang w:val="de-DE"/>
        </w:rPr>
        <w:t xml:space="preserve"> Anregungen </w:t>
      </w:r>
      <w:r w:rsidR="0037789F">
        <w:rPr>
          <w:rFonts w:cs="Times New Roman"/>
          <w:szCs w:val="30"/>
          <w:lang w:val="de-DE"/>
        </w:rPr>
        <w:t>zu</w:t>
      </w:r>
      <w:r>
        <w:rPr>
          <w:rFonts w:cs="Times New Roman"/>
          <w:szCs w:val="30"/>
          <w:lang w:val="de-DE"/>
        </w:rPr>
        <w:t xml:space="preserve"> meine</w:t>
      </w:r>
      <w:r w:rsidR="0037789F">
        <w:rPr>
          <w:rFonts w:cs="Times New Roman"/>
          <w:szCs w:val="30"/>
          <w:lang w:val="de-DE"/>
        </w:rPr>
        <w:t>n</w:t>
      </w:r>
      <w:r>
        <w:rPr>
          <w:rFonts w:cs="Times New Roman"/>
          <w:szCs w:val="30"/>
          <w:lang w:val="de-DE"/>
        </w:rPr>
        <w:t xml:space="preserve"> Untersuchung</w:t>
      </w:r>
      <w:r w:rsidR="001B7477">
        <w:rPr>
          <w:rFonts w:cs="Times New Roman"/>
          <w:szCs w:val="30"/>
          <w:lang w:val="de-DE"/>
        </w:rPr>
        <w:t>en</w:t>
      </w:r>
      <w:r w:rsidR="007A3F5F">
        <w:rPr>
          <w:rFonts w:cs="Times New Roman"/>
          <w:szCs w:val="30"/>
          <w:lang w:val="de-DE"/>
        </w:rPr>
        <w:t xml:space="preserve"> motiviert und</w:t>
      </w:r>
      <w:r>
        <w:rPr>
          <w:rFonts w:cs="Times New Roman"/>
          <w:szCs w:val="30"/>
          <w:lang w:val="de-DE"/>
        </w:rPr>
        <w:t xml:space="preserve"> mein allgemeines Interesse an </w:t>
      </w:r>
      <w:r w:rsidR="0037789F">
        <w:rPr>
          <w:rFonts w:cs="Times New Roman"/>
          <w:szCs w:val="30"/>
          <w:lang w:val="de-DE"/>
        </w:rPr>
        <w:t>der</w:t>
      </w:r>
      <w:r>
        <w:rPr>
          <w:rFonts w:cs="Times New Roman"/>
          <w:szCs w:val="30"/>
          <w:lang w:val="de-DE"/>
        </w:rPr>
        <w:t xml:space="preserve"> deutsche</w:t>
      </w:r>
      <w:r w:rsidR="0037789F">
        <w:rPr>
          <w:rFonts w:cs="Times New Roman"/>
          <w:szCs w:val="30"/>
          <w:lang w:val="de-DE"/>
        </w:rPr>
        <w:t>n</w:t>
      </w:r>
      <w:r>
        <w:rPr>
          <w:rFonts w:cs="Times New Roman"/>
          <w:szCs w:val="30"/>
          <w:lang w:val="de-DE"/>
        </w:rPr>
        <w:t xml:space="preserve"> Literatur </w:t>
      </w:r>
      <w:r w:rsidR="007A3F5F">
        <w:rPr>
          <w:rFonts w:cs="Times New Roman"/>
          <w:szCs w:val="30"/>
          <w:lang w:val="de-DE"/>
        </w:rPr>
        <w:t xml:space="preserve">mit seinem Unterricht geprägt </w:t>
      </w:r>
      <w:r>
        <w:rPr>
          <w:rFonts w:cs="Times New Roman"/>
          <w:szCs w:val="30"/>
          <w:lang w:val="de-DE"/>
        </w:rPr>
        <w:t xml:space="preserve">hat. </w:t>
      </w:r>
      <w:r w:rsidR="00AB4A88">
        <w:rPr>
          <w:rFonts w:cs="Times New Roman"/>
          <w:szCs w:val="30"/>
          <w:lang w:val="de-DE"/>
        </w:rPr>
        <w:t>Ebenso</w:t>
      </w:r>
      <w:r>
        <w:rPr>
          <w:rFonts w:cs="Times New Roman"/>
          <w:szCs w:val="30"/>
          <w:lang w:val="de-DE"/>
        </w:rPr>
        <w:t xml:space="preserve"> gilt mein Dank meiner Freundin Christine, die mit unermüdlicher Bereitschaft diese Arbeit </w:t>
      </w:r>
      <w:r w:rsidR="0037789F">
        <w:rPr>
          <w:rFonts w:cs="Times New Roman"/>
          <w:szCs w:val="30"/>
          <w:lang w:val="de-DE"/>
        </w:rPr>
        <w:t>sprachlich</w:t>
      </w:r>
      <w:r>
        <w:rPr>
          <w:rFonts w:cs="Times New Roman"/>
          <w:szCs w:val="30"/>
          <w:lang w:val="de-DE"/>
        </w:rPr>
        <w:t xml:space="preserve"> korrigiert </w:t>
      </w:r>
      <w:r w:rsidR="00AB4A88">
        <w:rPr>
          <w:rFonts w:cs="Times New Roman"/>
          <w:szCs w:val="30"/>
          <w:lang w:val="de-DE"/>
        </w:rPr>
        <w:t>hat.</w:t>
      </w:r>
    </w:p>
    <w:p w14:paraId="39FCBE5A" w14:textId="48D3C2B0" w:rsidR="00AB4A88" w:rsidRDefault="00AB4A88" w:rsidP="00FF7B82">
      <w:pPr>
        <w:spacing w:after="160"/>
        <w:rPr>
          <w:rFonts w:cs="Times New Roman"/>
          <w:szCs w:val="30"/>
          <w:lang w:val="de-DE"/>
        </w:rPr>
      </w:pPr>
      <w:r>
        <w:rPr>
          <w:rFonts w:cs="Times New Roman"/>
          <w:szCs w:val="30"/>
          <w:lang w:val="de-DE"/>
        </w:rPr>
        <w:t xml:space="preserve">Daneben will ich </w:t>
      </w:r>
      <w:r w:rsidR="002A414A">
        <w:rPr>
          <w:rFonts w:cs="Times New Roman"/>
          <w:szCs w:val="30"/>
          <w:lang w:val="de-DE"/>
        </w:rPr>
        <w:t xml:space="preserve">mich </w:t>
      </w:r>
      <w:r>
        <w:rPr>
          <w:rFonts w:cs="Times New Roman"/>
          <w:szCs w:val="30"/>
          <w:lang w:val="de-DE"/>
        </w:rPr>
        <w:t xml:space="preserve">mit ganzem Herzen </w:t>
      </w:r>
      <w:r w:rsidR="002A414A">
        <w:rPr>
          <w:rFonts w:cs="Times New Roman"/>
          <w:szCs w:val="30"/>
          <w:lang w:val="de-DE"/>
        </w:rPr>
        <w:t xml:space="preserve">bei </w:t>
      </w:r>
      <w:r>
        <w:rPr>
          <w:rFonts w:cs="Times New Roman"/>
          <w:szCs w:val="30"/>
          <w:lang w:val="de-DE"/>
        </w:rPr>
        <w:t>meine</w:t>
      </w:r>
      <w:r w:rsidR="00525977">
        <w:rPr>
          <w:rFonts w:cs="Times New Roman"/>
          <w:szCs w:val="30"/>
          <w:lang w:val="de-DE"/>
        </w:rPr>
        <w:t>n</w:t>
      </w:r>
      <w:r>
        <w:rPr>
          <w:rFonts w:cs="Times New Roman"/>
          <w:szCs w:val="30"/>
          <w:lang w:val="de-DE"/>
        </w:rPr>
        <w:t xml:space="preserve"> Kommiliton</w:t>
      </w:r>
      <w:r w:rsidR="000F2C68">
        <w:rPr>
          <w:rFonts w:cs="Times New Roman"/>
          <w:szCs w:val="30"/>
          <w:lang w:val="de-DE"/>
        </w:rPr>
        <w:t>inn</w:t>
      </w:r>
      <w:r>
        <w:rPr>
          <w:rFonts w:cs="Times New Roman"/>
          <w:szCs w:val="30"/>
          <w:lang w:val="de-DE"/>
        </w:rPr>
        <w:t xml:space="preserve">en und Freundinnen Céline und Varenka bedanken, die </w:t>
      </w:r>
      <w:r w:rsidR="0037789F">
        <w:rPr>
          <w:rFonts w:cs="Times New Roman"/>
          <w:szCs w:val="30"/>
          <w:lang w:val="de-DE"/>
        </w:rPr>
        <w:t xml:space="preserve">mir </w:t>
      </w:r>
      <w:r>
        <w:rPr>
          <w:rFonts w:cs="Times New Roman"/>
          <w:szCs w:val="30"/>
          <w:lang w:val="de-DE"/>
        </w:rPr>
        <w:t>nicht nur beim Studium, sondern auch</w:t>
      </w:r>
      <w:r w:rsidR="0037789F">
        <w:rPr>
          <w:rFonts w:cs="Times New Roman"/>
          <w:szCs w:val="30"/>
          <w:lang w:val="de-DE"/>
        </w:rPr>
        <w:t xml:space="preserve"> sonst geholfen und mich unterstützt haben.</w:t>
      </w:r>
    </w:p>
    <w:p w14:paraId="5B5E3E1B" w14:textId="441EC672" w:rsidR="003E5210" w:rsidRDefault="00AB4A88" w:rsidP="00FF7B82">
      <w:pPr>
        <w:spacing w:after="160"/>
        <w:rPr>
          <w:rFonts w:cs="Times New Roman"/>
          <w:szCs w:val="30"/>
          <w:lang w:val="de-DE"/>
        </w:rPr>
      </w:pPr>
      <w:r>
        <w:rPr>
          <w:rFonts w:cs="Times New Roman"/>
          <w:szCs w:val="30"/>
          <w:lang w:val="de-DE"/>
        </w:rPr>
        <w:t xml:space="preserve">Schließlich gilt mein besonderer Dank meinen Eltern und Großeltern, </w:t>
      </w:r>
      <w:r w:rsidR="009E7973">
        <w:rPr>
          <w:rFonts w:cs="Times New Roman"/>
          <w:szCs w:val="30"/>
          <w:lang w:val="de-DE"/>
        </w:rPr>
        <w:t>die mich mit ihrem</w:t>
      </w:r>
      <w:r>
        <w:rPr>
          <w:rFonts w:cs="Times New Roman"/>
          <w:szCs w:val="30"/>
          <w:lang w:val="de-DE"/>
        </w:rPr>
        <w:t xml:space="preserve"> Stolz und Glauben an </w:t>
      </w:r>
      <w:r w:rsidR="0037789F">
        <w:rPr>
          <w:rFonts w:cs="Times New Roman"/>
          <w:szCs w:val="30"/>
          <w:lang w:val="de-DE"/>
        </w:rPr>
        <w:t>mich</w:t>
      </w:r>
      <w:r>
        <w:rPr>
          <w:rFonts w:cs="Times New Roman"/>
          <w:szCs w:val="30"/>
          <w:lang w:val="de-DE"/>
        </w:rPr>
        <w:t xml:space="preserve"> während des ganzen Studiums motiviert und unterstützt haben. </w:t>
      </w:r>
    </w:p>
    <w:p w14:paraId="101694FA" w14:textId="7D20A169" w:rsidR="002535C8" w:rsidRDefault="002535C8" w:rsidP="00FF7B82">
      <w:pPr>
        <w:spacing w:after="160"/>
        <w:rPr>
          <w:rFonts w:cs="Times New Roman"/>
          <w:szCs w:val="30"/>
          <w:lang w:val="de-DE"/>
        </w:rPr>
      </w:pPr>
    </w:p>
    <w:p w14:paraId="7702427B" w14:textId="47BA2F81" w:rsidR="002535C8" w:rsidRDefault="002535C8" w:rsidP="00FF7B82">
      <w:pPr>
        <w:spacing w:after="160"/>
        <w:rPr>
          <w:rFonts w:cs="Times New Roman"/>
          <w:szCs w:val="30"/>
          <w:lang w:val="de-DE"/>
        </w:rPr>
      </w:pPr>
      <w:r>
        <w:rPr>
          <w:rFonts w:cs="Times New Roman"/>
          <w:szCs w:val="30"/>
          <w:lang w:val="de-DE"/>
        </w:rPr>
        <w:t>Gent, Mai 2018</w:t>
      </w:r>
    </w:p>
    <w:p w14:paraId="0D4E2559" w14:textId="3FCFCF2A" w:rsidR="002535C8" w:rsidRDefault="002535C8" w:rsidP="00FF7B82">
      <w:pPr>
        <w:spacing w:after="160"/>
        <w:rPr>
          <w:rFonts w:cs="Times New Roman"/>
          <w:szCs w:val="30"/>
          <w:lang w:val="de-DE"/>
        </w:rPr>
      </w:pPr>
      <w:r>
        <w:rPr>
          <w:rFonts w:cs="Times New Roman"/>
          <w:szCs w:val="30"/>
          <w:lang w:val="de-DE"/>
        </w:rPr>
        <w:t xml:space="preserve">Liselotte Van der Gucht </w:t>
      </w:r>
    </w:p>
    <w:p w14:paraId="28FA0526" w14:textId="5D50B7ED" w:rsidR="002B75A6" w:rsidRDefault="002B75A6">
      <w:pPr>
        <w:spacing w:after="160" w:line="259" w:lineRule="auto"/>
        <w:jc w:val="left"/>
        <w:rPr>
          <w:rFonts w:cs="Times New Roman"/>
          <w:szCs w:val="30"/>
          <w:lang w:val="de-DE"/>
        </w:rPr>
      </w:pPr>
      <w:r>
        <w:rPr>
          <w:rFonts w:cs="Times New Roman"/>
          <w:szCs w:val="30"/>
          <w:lang w:val="de-DE"/>
        </w:rPr>
        <w:br w:type="page"/>
      </w:r>
    </w:p>
    <w:p w14:paraId="7CACE18D" w14:textId="77777777" w:rsidR="002535C8" w:rsidRPr="00F73DBD" w:rsidRDefault="002535C8" w:rsidP="002B75A6">
      <w:pPr>
        <w:spacing w:after="160" w:line="259" w:lineRule="auto"/>
        <w:jc w:val="left"/>
        <w:rPr>
          <w:rFonts w:cs="Times New Roman"/>
          <w:szCs w:val="30"/>
          <w:lang w:val="de-DE"/>
        </w:rPr>
      </w:pPr>
    </w:p>
    <w:p w14:paraId="7DB5BAE5" w14:textId="77777777" w:rsidR="002535C8" w:rsidRDefault="002535C8" w:rsidP="00FF7B82">
      <w:pPr>
        <w:spacing w:after="160"/>
        <w:rPr>
          <w:rFonts w:cs="Times New Roman"/>
          <w:szCs w:val="30"/>
          <w:lang w:val="de-DE"/>
        </w:rPr>
      </w:pPr>
    </w:p>
    <w:p w14:paraId="0E61B03F" w14:textId="77777777" w:rsidR="003E5210" w:rsidRDefault="003E5210">
      <w:pPr>
        <w:spacing w:after="160" w:line="259" w:lineRule="auto"/>
        <w:jc w:val="left"/>
        <w:rPr>
          <w:rFonts w:cs="Times New Roman"/>
          <w:szCs w:val="30"/>
          <w:lang w:val="de-DE"/>
        </w:rPr>
      </w:pPr>
      <w:r>
        <w:rPr>
          <w:rFonts w:cs="Times New Roman"/>
          <w:szCs w:val="30"/>
          <w:lang w:val="de-DE"/>
        </w:rPr>
        <w:br w:type="page"/>
      </w:r>
    </w:p>
    <w:sdt>
      <w:sdtPr>
        <w:rPr>
          <w:rFonts w:ascii="Times New Roman" w:eastAsiaTheme="minorHAnsi" w:hAnsi="Times New Roman" w:cstheme="minorBidi"/>
          <w:color w:val="auto"/>
          <w:sz w:val="24"/>
          <w:szCs w:val="22"/>
          <w:lang w:val="de-DE" w:eastAsia="en-US"/>
        </w:rPr>
        <w:id w:val="-1111733806"/>
        <w:docPartObj>
          <w:docPartGallery w:val="Table of Contents"/>
          <w:docPartUnique/>
        </w:docPartObj>
      </w:sdtPr>
      <w:sdtEndPr>
        <w:rPr>
          <w:b/>
          <w:bCs/>
          <w:lang w:val="nl-NL"/>
        </w:rPr>
      </w:sdtEndPr>
      <w:sdtContent>
        <w:p w14:paraId="687678D6" w14:textId="77777777" w:rsidR="00B82B66" w:rsidRDefault="00B82B66" w:rsidP="004A432E">
          <w:pPr>
            <w:pStyle w:val="Kopvaninhoudsopgave"/>
            <w:spacing w:line="360" w:lineRule="auto"/>
            <w:rPr>
              <w:rFonts w:ascii="Times New Roman" w:hAnsi="Times New Roman" w:cs="Times New Roman"/>
              <w:b/>
              <w:color w:val="auto"/>
              <w:sz w:val="24"/>
              <w:szCs w:val="24"/>
              <w:lang w:val="nl-NL"/>
            </w:rPr>
          </w:pPr>
          <w:r w:rsidRPr="008A4E58">
            <w:rPr>
              <w:rFonts w:ascii="Times New Roman" w:hAnsi="Times New Roman" w:cs="Times New Roman"/>
              <w:b/>
              <w:color w:val="auto"/>
              <w:sz w:val="24"/>
              <w:szCs w:val="24"/>
              <w:lang w:val="de-DE"/>
            </w:rPr>
            <w:t>Inhalt</w:t>
          </w:r>
        </w:p>
        <w:p w14:paraId="240690C5" w14:textId="77777777" w:rsidR="00B82B66" w:rsidRPr="00B82B66" w:rsidRDefault="00B82B66" w:rsidP="004A432E">
          <w:pPr>
            <w:rPr>
              <w:lang w:val="nl-NL" w:eastAsia="nl-BE"/>
            </w:rPr>
          </w:pPr>
        </w:p>
        <w:p w14:paraId="2B650924" w14:textId="4E81EC10" w:rsidR="00EA08B7" w:rsidRDefault="00B82B66">
          <w:pPr>
            <w:pStyle w:val="Inhopg1"/>
            <w:rPr>
              <w:rFonts w:asciiTheme="minorHAnsi" w:eastAsiaTheme="minorEastAsia" w:hAnsiTheme="minorHAnsi"/>
              <w:noProof/>
              <w:sz w:val="22"/>
              <w:lang w:eastAsia="nl-BE"/>
            </w:rPr>
          </w:pPr>
          <w:r>
            <w:fldChar w:fldCharType="begin"/>
          </w:r>
          <w:r>
            <w:instrText xml:space="preserve"> TOC \o "1-3" \h \z \u </w:instrText>
          </w:r>
          <w:r>
            <w:fldChar w:fldCharType="separate"/>
          </w:r>
          <w:hyperlink w:anchor="_Toc515180085" w:history="1">
            <w:r w:rsidR="00EA08B7" w:rsidRPr="00CF2A45">
              <w:rPr>
                <w:rStyle w:val="Hyperlink"/>
                <w:noProof/>
                <w:lang w:val="de-DE"/>
              </w:rPr>
              <w:t>1.</w:t>
            </w:r>
            <w:r w:rsidR="00EA08B7">
              <w:rPr>
                <w:rFonts w:asciiTheme="minorHAnsi" w:eastAsiaTheme="minorEastAsia" w:hAnsiTheme="minorHAnsi"/>
                <w:noProof/>
                <w:sz w:val="22"/>
                <w:lang w:eastAsia="nl-BE"/>
              </w:rPr>
              <w:tab/>
            </w:r>
            <w:r w:rsidR="00EA08B7" w:rsidRPr="00CF2A45">
              <w:rPr>
                <w:rStyle w:val="Hyperlink"/>
                <w:noProof/>
                <w:lang w:val="de-DE"/>
              </w:rPr>
              <w:t>Einführung</w:t>
            </w:r>
            <w:r w:rsidR="00EA08B7">
              <w:rPr>
                <w:noProof/>
                <w:webHidden/>
              </w:rPr>
              <w:tab/>
            </w:r>
            <w:r w:rsidR="00EA08B7">
              <w:rPr>
                <w:noProof/>
                <w:webHidden/>
              </w:rPr>
              <w:fldChar w:fldCharType="begin"/>
            </w:r>
            <w:r w:rsidR="00EA08B7">
              <w:rPr>
                <w:noProof/>
                <w:webHidden/>
              </w:rPr>
              <w:instrText xml:space="preserve"> PAGEREF _Toc515180085 \h </w:instrText>
            </w:r>
            <w:r w:rsidR="00EA08B7">
              <w:rPr>
                <w:noProof/>
                <w:webHidden/>
              </w:rPr>
            </w:r>
            <w:r w:rsidR="00EA08B7">
              <w:rPr>
                <w:noProof/>
                <w:webHidden/>
              </w:rPr>
              <w:fldChar w:fldCharType="separate"/>
            </w:r>
            <w:r w:rsidR="008328AC">
              <w:rPr>
                <w:noProof/>
                <w:webHidden/>
              </w:rPr>
              <w:t>7</w:t>
            </w:r>
            <w:r w:rsidR="00EA08B7">
              <w:rPr>
                <w:noProof/>
                <w:webHidden/>
              </w:rPr>
              <w:fldChar w:fldCharType="end"/>
            </w:r>
          </w:hyperlink>
        </w:p>
        <w:p w14:paraId="5E1C633F" w14:textId="57B03523" w:rsidR="00EA08B7" w:rsidRDefault="00B24BFD">
          <w:pPr>
            <w:pStyle w:val="Inhopg1"/>
            <w:rPr>
              <w:rFonts w:asciiTheme="minorHAnsi" w:eastAsiaTheme="minorEastAsia" w:hAnsiTheme="minorHAnsi"/>
              <w:noProof/>
              <w:sz w:val="22"/>
              <w:lang w:eastAsia="nl-BE"/>
            </w:rPr>
          </w:pPr>
          <w:hyperlink w:anchor="_Toc515180086" w:history="1">
            <w:r w:rsidR="00EA08B7" w:rsidRPr="00CF2A45">
              <w:rPr>
                <w:rStyle w:val="Hyperlink"/>
                <w:noProof/>
                <w:lang w:val="de-DE"/>
              </w:rPr>
              <w:t>2.</w:t>
            </w:r>
            <w:r w:rsidR="00EA08B7">
              <w:rPr>
                <w:rFonts w:asciiTheme="minorHAnsi" w:eastAsiaTheme="minorEastAsia" w:hAnsiTheme="minorHAnsi"/>
                <w:noProof/>
                <w:sz w:val="22"/>
                <w:lang w:eastAsia="nl-BE"/>
              </w:rPr>
              <w:tab/>
            </w:r>
            <w:r w:rsidR="00EA08B7" w:rsidRPr="00CF2A45">
              <w:rPr>
                <w:rStyle w:val="Hyperlink"/>
                <w:noProof/>
                <w:lang w:val="de-DE"/>
              </w:rPr>
              <w:t>Postkolonialistische Theorie</w:t>
            </w:r>
            <w:r w:rsidR="00EA08B7">
              <w:rPr>
                <w:noProof/>
                <w:webHidden/>
              </w:rPr>
              <w:tab/>
            </w:r>
            <w:r w:rsidR="00EA08B7">
              <w:rPr>
                <w:noProof/>
                <w:webHidden/>
              </w:rPr>
              <w:fldChar w:fldCharType="begin"/>
            </w:r>
            <w:r w:rsidR="00EA08B7">
              <w:rPr>
                <w:noProof/>
                <w:webHidden/>
              </w:rPr>
              <w:instrText xml:space="preserve"> PAGEREF _Toc515180086 \h </w:instrText>
            </w:r>
            <w:r w:rsidR="00EA08B7">
              <w:rPr>
                <w:noProof/>
                <w:webHidden/>
              </w:rPr>
            </w:r>
            <w:r w:rsidR="00EA08B7">
              <w:rPr>
                <w:noProof/>
                <w:webHidden/>
              </w:rPr>
              <w:fldChar w:fldCharType="separate"/>
            </w:r>
            <w:r w:rsidR="008328AC">
              <w:rPr>
                <w:noProof/>
                <w:webHidden/>
              </w:rPr>
              <w:t>10</w:t>
            </w:r>
            <w:r w:rsidR="00EA08B7">
              <w:rPr>
                <w:noProof/>
                <w:webHidden/>
              </w:rPr>
              <w:fldChar w:fldCharType="end"/>
            </w:r>
          </w:hyperlink>
        </w:p>
        <w:p w14:paraId="0218586F" w14:textId="1CFBA009" w:rsidR="00EA08B7" w:rsidRDefault="00B24BFD">
          <w:pPr>
            <w:pStyle w:val="Inhopg2"/>
            <w:tabs>
              <w:tab w:val="left" w:pos="880"/>
              <w:tab w:val="right" w:leader="dot" w:pos="9061"/>
            </w:tabs>
            <w:rPr>
              <w:rFonts w:asciiTheme="minorHAnsi" w:eastAsiaTheme="minorEastAsia" w:hAnsiTheme="minorHAnsi"/>
              <w:noProof/>
              <w:sz w:val="22"/>
              <w:lang w:eastAsia="nl-BE"/>
            </w:rPr>
          </w:pPr>
          <w:hyperlink w:anchor="_Toc515180087" w:history="1">
            <w:r w:rsidR="00EA08B7" w:rsidRPr="00CF2A45">
              <w:rPr>
                <w:rStyle w:val="Hyperlink"/>
                <w:noProof/>
                <w:lang w:val="de-DE"/>
              </w:rPr>
              <w:t>2.1.</w:t>
            </w:r>
            <w:r w:rsidR="00EA08B7">
              <w:rPr>
                <w:rFonts w:asciiTheme="minorHAnsi" w:eastAsiaTheme="minorEastAsia" w:hAnsiTheme="minorHAnsi"/>
                <w:noProof/>
                <w:sz w:val="22"/>
                <w:lang w:eastAsia="nl-BE"/>
              </w:rPr>
              <w:tab/>
            </w:r>
            <w:r w:rsidR="00EA08B7" w:rsidRPr="00CF2A45">
              <w:rPr>
                <w:rStyle w:val="Hyperlink"/>
                <w:noProof/>
                <w:lang w:val="de-DE"/>
              </w:rPr>
              <w:t>Orientalismus</w:t>
            </w:r>
            <w:r w:rsidR="00EA08B7">
              <w:rPr>
                <w:noProof/>
                <w:webHidden/>
              </w:rPr>
              <w:tab/>
            </w:r>
            <w:r w:rsidR="00EA08B7">
              <w:rPr>
                <w:noProof/>
                <w:webHidden/>
              </w:rPr>
              <w:fldChar w:fldCharType="begin"/>
            </w:r>
            <w:r w:rsidR="00EA08B7">
              <w:rPr>
                <w:noProof/>
                <w:webHidden/>
              </w:rPr>
              <w:instrText xml:space="preserve"> PAGEREF _Toc515180087 \h </w:instrText>
            </w:r>
            <w:r w:rsidR="00EA08B7">
              <w:rPr>
                <w:noProof/>
                <w:webHidden/>
              </w:rPr>
            </w:r>
            <w:r w:rsidR="00EA08B7">
              <w:rPr>
                <w:noProof/>
                <w:webHidden/>
              </w:rPr>
              <w:fldChar w:fldCharType="separate"/>
            </w:r>
            <w:r w:rsidR="008328AC">
              <w:rPr>
                <w:noProof/>
                <w:webHidden/>
              </w:rPr>
              <w:t>12</w:t>
            </w:r>
            <w:r w:rsidR="00EA08B7">
              <w:rPr>
                <w:noProof/>
                <w:webHidden/>
              </w:rPr>
              <w:fldChar w:fldCharType="end"/>
            </w:r>
          </w:hyperlink>
        </w:p>
        <w:p w14:paraId="7B05470E" w14:textId="6CB961AD" w:rsidR="00EA08B7" w:rsidRDefault="00B24BFD">
          <w:pPr>
            <w:pStyle w:val="Inhopg2"/>
            <w:tabs>
              <w:tab w:val="left" w:pos="880"/>
              <w:tab w:val="right" w:leader="dot" w:pos="9061"/>
            </w:tabs>
            <w:rPr>
              <w:rFonts w:asciiTheme="minorHAnsi" w:eastAsiaTheme="minorEastAsia" w:hAnsiTheme="minorHAnsi"/>
              <w:noProof/>
              <w:sz w:val="22"/>
              <w:lang w:eastAsia="nl-BE"/>
            </w:rPr>
          </w:pPr>
          <w:hyperlink w:anchor="_Toc515180088" w:history="1">
            <w:r w:rsidR="00EA08B7" w:rsidRPr="00CF2A45">
              <w:rPr>
                <w:rStyle w:val="Hyperlink"/>
                <w:noProof/>
                <w:lang w:val="de-DE"/>
              </w:rPr>
              <w:t>2.2.</w:t>
            </w:r>
            <w:r w:rsidR="00EA08B7">
              <w:rPr>
                <w:rFonts w:asciiTheme="minorHAnsi" w:eastAsiaTheme="minorEastAsia" w:hAnsiTheme="minorHAnsi"/>
                <w:noProof/>
                <w:sz w:val="22"/>
                <w:lang w:eastAsia="nl-BE"/>
              </w:rPr>
              <w:tab/>
            </w:r>
            <w:r w:rsidR="00EA08B7" w:rsidRPr="00CF2A45">
              <w:rPr>
                <w:rStyle w:val="Hyperlink"/>
                <w:noProof/>
                <w:lang w:val="de-DE"/>
              </w:rPr>
              <w:t>Feministische postkolonialistische Theorie</w:t>
            </w:r>
            <w:r w:rsidR="00EA08B7">
              <w:rPr>
                <w:noProof/>
                <w:webHidden/>
              </w:rPr>
              <w:tab/>
            </w:r>
            <w:r w:rsidR="00EA08B7">
              <w:rPr>
                <w:noProof/>
                <w:webHidden/>
              </w:rPr>
              <w:fldChar w:fldCharType="begin"/>
            </w:r>
            <w:r w:rsidR="00EA08B7">
              <w:rPr>
                <w:noProof/>
                <w:webHidden/>
              </w:rPr>
              <w:instrText xml:space="preserve"> PAGEREF _Toc515180088 \h </w:instrText>
            </w:r>
            <w:r w:rsidR="00EA08B7">
              <w:rPr>
                <w:noProof/>
                <w:webHidden/>
              </w:rPr>
            </w:r>
            <w:r w:rsidR="00EA08B7">
              <w:rPr>
                <w:noProof/>
                <w:webHidden/>
              </w:rPr>
              <w:fldChar w:fldCharType="separate"/>
            </w:r>
            <w:r w:rsidR="008328AC">
              <w:rPr>
                <w:noProof/>
                <w:webHidden/>
              </w:rPr>
              <w:t>15</w:t>
            </w:r>
            <w:r w:rsidR="00EA08B7">
              <w:rPr>
                <w:noProof/>
                <w:webHidden/>
              </w:rPr>
              <w:fldChar w:fldCharType="end"/>
            </w:r>
          </w:hyperlink>
        </w:p>
        <w:p w14:paraId="1483CECA" w14:textId="55E4A4FD" w:rsidR="00EA08B7" w:rsidRDefault="00B24BFD">
          <w:pPr>
            <w:pStyle w:val="Inhopg3"/>
            <w:rPr>
              <w:rFonts w:asciiTheme="minorHAnsi" w:eastAsiaTheme="minorEastAsia" w:hAnsiTheme="minorHAnsi"/>
              <w:noProof/>
              <w:sz w:val="22"/>
              <w:lang w:eastAsia="nl-BE"/>
            </w:rPr>
          </w:pPr>
          <w:hyperlink w:anchor="_Toc515180089" w:history="1">
            <w:r w:rsidR="00EA08B7" w:rsidRPr="00CF2A45">
              <w:rPr>
                <w:rStyle w:val="Hyperlink"/>
                <w:noProof/>
                <w:lang w:val="de-DE"/>
              </w:rPr>
              <w:t>2.2.1.</w:t>
            </w:r>
            <w:r w:rsidR="00EA08B7">
              <w:rPr>
                <w:rFonts w:asciiTheme="minorHAnsi" w:eastAsiaTheme="minorEastAsia" w:hAnsiTheme="minorHAnsi"/>
                <w:noProof/>
                <w:sz w:val="22"/>
                <w:lang w:eastAsia="nl-BE"/>
              </w:rPr>
              <w:tab/>
            </w:r>
            <w:r w:rsidR="00EA08B7" w:rsidRPr="00CF2A45">
              <w:rPr>
                <w:rStyle w:val="Hyperlink"/>
                <w:noProof/>
                <w:lang w:val="de-DE"/>
              </w:rPr>
              <w:t>„Under Western Eyes“</w:t>
            </w:r>
            <w:r w:rsidR="00EA08B7">
              <w:rPr>
                <w:noProof/>
                <w:webHidden/>
              </w:rPr>
              <w:tab/>
            </w:r>
            <w:r w:rsidR="00EA08B7">
              <w:rPr>
                <w:noProof/>
                <w:webHidden/>
              </w:rPr>
              <w:fldChar w:fldCharType="begin"/>
            </w:r>
            <w:r w:rsidR="00EA08B7">
              <w:rPr>
                <w:noProof/>
                <w:webHidden/>
              </w:rPr>
              <w:instrText xml:space="preserve"> PAGEREF _Toc515180089 \h </w:instrText>
            </w:r>
            <w:r w:rsidR="00EA08B7">
              <w:rPr>
                <w:noProof/>
                <w:webHidden/>
              </w:rPr>
            </w:r>
            <w:r w:rsidR="00EA08B7">
              <w:rPr>
                <w:noProof/>
                <w:webHidden/>
              </w:rPr>
              <w:fldChar w:fldCharType="separate"/>
            </w:r>
            <w:r w:rsidR="008328AC">
              <w:rPr>
                <w:noProof/>
                <w:webHidden/>
              </w:rPr>
              <w:t>16</w:t>
            </w:r>
            <w:r w:rsidR="00EA08B7">
              <w:rPr>
                <w:noProof/>
                <w:webHidden/>
              </w:rPr>
              <w:fldChar w:fldCharType="end"/>
            </w:r>
          </w:hyperlink>
        </w:p>
        <w:p w14:paraId="1FA0D8C0" w14:textId="2224AFE5" w:rsidR="00EA08B7" w:rsidRDefault="00B24BFD">
          <w:pPr>
            <w:pStyle w:val="Inhopg3"/>
            <w:rPr>
              <w:rFonts w:asciiTheme="minorHAnsi" w:eastAsiaTheme="minorEastAsia" w:hAnsiTheme="minorHAnsi"/>
              <w:noProof/>
              <w:sz w:val="22"/>
              <w:lang w:eastAsia="nl-BE"/>
            </w:rPr>
          </w:pPr>
          <w:hyperlink w:anchor="_Toc515180090" w:history="1">
            <w:r w:rsidR="00EA08B7" w:rsidRPr="00CF2A45">
              <w:rPr>
                <w:rStyle w:val="Hyperlink"/>
                <w:noProof/>
                <w:lang w:val="en-GB"/>
              </w:rPr>
              <w:t>2.2.2.</w:t>
            </w:r>
            <w:r w:rsidR="00EA08B7">
              <w:rPr>
                <w:rFonts w:asciiTheme="minorHAnsi" w:eastAsiaTheme="minorEastAsia" w:hAnsiTheme="minorHAnsi"/>
                <w:noProof/>
                <w:sz w:val="22"/>
                <w:lang w:eastAsia="nl-BE"/>
              </w:rPr>
              <w:tab/>
            </w:r>
            <w:r w:rsidR="00EA08B7" w:rsidRPr="00CF2A45">
              <w:rPr>
                <w:rStyle w:val="Hyperlink"/>
                <w:noProof/>
                <w:lang w:val="de-DE"/>
              </w:rPr>
              <w:t>„</w:t>
            </w:r>
            <w:r w:rsidR="00EA08B7" w:rsidRPr="00CF2A45">
              <w:rPr>
                <w:rStyle w:val="Hyperlink"/>
                <w:noProof/>
                <w:lang w:val="en-GB"/>
              </w:rPr>
              <w:t>Can the Subaltern Speak?</w:t>
            </w:r>
            <w:r w:rsidR="00EA08B7" w:rsidRPr="00CF2A45">
              <w:rPr>
                <w:rStyle w:val="Hyperlink"/>
                <w:noProof/>
                <w:lang w:val="de-DE"/>
              </w:rPr>
              <w:t>“</w:t>
            </w:r>
            <w:r w:rsidR="00EA08B7">
              <w:rPr>
                <w:noProof/>
                <w:webHidden/>
              </w:rPr>
              <w:tab/>
            </w:r>
            <w:r w:rsidR="00EA08B7">
              <w:rPr>
                <w:noProof/>
                <w:webHidden/>
              </w:rPr>
              <w:fldChar w:fldCharType="begin"/>
            </w:r>
            <w:r w:rsidR="00EA08B7">
              <w:rPr>
                <w:noProof/>
                <w:webHidden/>
              </w:rPr>
              <w:instrText xml:space="preserve"> PAGEREF _Toc515180090 \h </w:instrText>
            </w:r>
            <w:r w:rsidR="00EA08B7">
              <w:rPr>
                <w:noProof/>
                <w:webHidden/>
              </w:rPr>
            </w:r>
            <w:r w:rsidR="00EA08B7">
              <w:rPr>
                <w:noProof/>
                <w:webHidden/>
              </w:rPr>
              <w:fldChar w:fldCharType="separate"/>
            </w:r>
            <w:r w:rsidR="008328AC">
              <w:rPr>
                <w:noProof/>
                <w:webHidden/>
              </w:rPr>
              <w:t>20</w:t>
            </w:r>
            <w:r w:rsidR="00EA08B7">
              <w:rPr>
                <w:noProof/>
                <w:webHidden/>
              </w:rPr>
              <w:fldChar w:fldCharType="end"/>
            </w:r>
          </w:hyperlink>
        </w:p>
        <w:p w14:paraId="78A80E85" w14:textId="6C96987D" w:rsidR="00EA08B7" w:rsidRDefault="00B24BFD">
          <w:pPr>
            <w:pStyle w:val="Inhopg1"/>
            <w:rPr>
              <w:rFonts w:asciiTheme="minorHAnsi" w:eastAsiaTheme="minorEastAsia" w:hAnsiTheme="minorHAnsi"/>
              <w:noProof/>
              <w:sz w:val="22"/>
              <w:lang w:eastAsia="nl-BE"/>
            </w:rPr>
          </w:pPr>
          <w:hyperlink w:anchor="_Toc515180091" w:history="1">
            <w:r w:rsidR="00EA08B7" w:rsidRPr="00CF2A45">
              <w:rPr>
                <w:rStyle w:val="Hyperlink"/>
                <w:noProof/>
                <w:lang w:val="de-DE"/>
              </w:rPr>
              <w:t>3.</w:t>
            </w:r>
            <w:r w:rsidR="00EA08B7">
              <w:rPr>
                <w:rFonts w:asciiTheme="minorHAnsi" w:eastAsiaTheme="minorEastAsia" w:hAnsiTheme="minorHAnsi"/>
                <w:noProof/>
                <w:sz w:val="22"/>
                <w:lang w:eastAsia="nl-BE"/>
              </w:rPr>
              <w:tab/>
            </w:r>
            <w:r w:rsidR="00EA08B7" w:rsidRPr="00CF2A45">
              <w:rPr>
                <w:rStyle w:val="Hyperlink"/>
                <w:noProof/>
                <w:lang w:val="de-DE"/>
              </w:rPr>
              <w:t>Alternativen zum Subalternenbegriff</w:t>
            </w:r>
            <w:r w:rsidR="00EA08B7">
              <w:rPr>
                <w:noProof/>
                <w:webHidden/>
              </w:rPr>
              <w:tab/>
            </w:r>
            <w:r w:rsidR="00EA08B7">
              <w:rPr>
                <w:noProof/>
                <w:webHidden/>
              </w:rPr>
              <w:fldChar w:fldCharType="begin"/>
            </w:r>
            <w:r w:rsidR="00EA08B7">
              <w:rPr>
                <w:noProof/>
                <w:webHidden/>
              </w:rPr>
              <w:instrText xml:space="preserve"> PAGEREF _Toc515180091 \h </w:instrText>
            </w:r>
            <w:r w:rsidR="00EA08B7">
              <w:rPr>
                <w:noProof/>
                <w:webHidden/>
              </w:rPr>
            </w:r>
            <w:r w:rsidR="00EA08B7">
              <w:rPr>
                <w:noProof/>
                <w:webHidden/>
              </w:rPr>
              <w:fldChar w:fldCharType="separate"/>
            </w:r>
            <w:r w:rsidR="008328AC">
              <w:rPr>
                <w:noProof/>
                <w:webHidden/>
              </w:rPr>
              <w:t>23</w:t>
            </w:r>
            <w:r w:rsidR="00EA08B7">
              <w:rPr>
                <w:noProof/>
                <w:webHidden/>
              </w:rPr>
              <w:fldChar w:fldCharType="end"/>
            </w:r>
          </w:hyperlink>
        </w:p>
        <w:p w14:paraId="6241FD2D" w14:textId="7EDAD9B7" w:rsidR="00EA08B7" w:rsidRDefault="00B24BFD">
          <w:pPr>
            <w:pStyle w:val="Inhopg1"/>
            <w:rPr>
              <w:rFonts w:asciiTheme="minorHAnsi" w:eastAsiaTheme="minorEastAsia" w:hAnsiTheme="minorHAnsi"/>
              <w:noProof/>
              <w:sz w:val="22"/>
              <w:lang w:eastAsia="nl-BE"/>
            </w:rPr>
          </w:pPr>
          <w:hyperlink w:anchor="_Toc515180092" w:history="1">
            <w:r w:rsidR="00EA08B7" w:rsidRPr="00CF2A45">
              <w:rPr>
                <w:rStyle w:val="Hyperlink"/>
                <w:noProof/>
                <w:lang w:val="de-DE"/>
              </w:rPr>
              <w:t>4.</w:t>
            </w:r>
            <w:r w:rsidR="00EA08B7">
              <w:rPr>
                <w:rFonts w:asciiTheme="minorHAnsi" w:eastAsiaTheme="minorEastAsia" w:hAnsiTheme="minorHAnsi"/>
                <w:noProof/>
                <w:sz w:val="22"/>
                <w:lang w:eastAsia="nl-BE"/>
              </w:rPr>
              <w:tab/>
            </w:r>
            <w:r w:rsidR="00EA08B7" w:rsidRPr="00CF2A45">
              <w:rPr>
                <w:rStyle w:val="Hyperlink"/>
                <w:noProof/>
                <w:lang w:val="de-DE"/>
              </w:rPr>
              <w:t>Performativitätstheorie</w:t>
            </w:r>
            <w:r w:rsidR="00EA08B7">
              <w:rPr>
                <w:noProof/>
                <w:webHidden/>
              </w:rPr>
              <w:tab/>
            </w:r>
            <w:r w:rsidR="00EA08B7">
              <w:rPr>
                <w:noProof/>
                <w:webHidden/>
              </w:rPr>
              <w:fldChar w:fldCharType="begin"/>
            </w:r>
            <w:r w:rsidR="00EA08B7">
              <w:rPr>
                <w:noProof/>
                <w:webHidden/>
              </w:rPr>
              <w:instrText xml:space="preserve"> PAGEREF _Toc515180092 \h </w:instrText>
            </w:r>
            <w:r w:rsidR="00EA08B7">
              <w:rPr>
                <w:noProof/>
                <w:webHidden/>
              </w:rPr>
            </w:r>
            <w:r w:rsidR="00EA08B7">
              <w:rPr>
                <w:noProof/>
                <w:webHidden/>
              </w:rPr>
              <w:fldChar w:fldCharType="separate"/>
            </w:r>
            <w:r w:rsidR="008328AC">
              <w:rPr>
                <w:noProof/>
                <w:webHidden/>
              </w:rPr>
              <w:t>26</w:t>
            </w:r>
            <w:r w:rsidR="00EA08B7">
              <w:rPr>
                <w:noProof/>
                <w:webHidden/>
              </w:rPr>
              <w:fldChar w:fldCharType="end"/>
            </w:r>
          </w:hyperlink>
        </w:p>
        <w:p w14:paraId="189A80BD" w14:textId="0D99B4DF" w:rsidR="00EA08B7" w:rsidRDefault="00B24BFD">
          <w:pPr>
            <w:pStyle w:val="Inhopg1"/>
            <w:rPr>
              <w:rFonts w:asciiTheme="minorHAnsi" w:eastAsiaTheme="minorEastAsia" w:hAnsiTheme="minorHAnsi"/>
              <w:noProof/>
              <w:sz w:val="22"/>
              <w:lang w:eastAsia="nl-BE"/>
            </w:rPr>
          </w:pPr>
          <w:hyperlink w:anchor="_Toc515180093" w:history="1">
            <w:r w:rsidR="00EA08B7" w:rsidRPr="00CF2A45">
              <w:rPr>
                <w:rStyle w:val="Hyperlink"/>
                <w:noProof/>
                <w:lang w:val="de-DE"/>
              </w:rPr>
              <w:t>5.</w:t>
            </w:r>
            <w:r w:rsidR="00EA08B7">
              <w:rPr>
                <w:rFonts w:asciiTheme="minorHAnsi" w:eastAsiaTheme="minorEastAsia" w:hAnsiTheme="minorHAnsi"/>
                <w:noProof/>
                <w:sz w:val="22"/>
                <w:lang w:eastAsia="nl-BE"/>
              </w:rPr>
              <w:tab/>
            </w:r>
            <w:r w:rsidR="00EA08B7" w:rsidRPr="00CF2A45">
              <w:rPr>
                <w:rStyle w:val="Hyperlink"/>
                <w:noProof/>
                <w:lang w:val="de-DE"/>
              </w:rPr>
              <w:t>Historischer Überblick</w:t>
            </w:r>
            <w:r w:rsidR="00EA08B7">
              <w:rPr>
                <w:noProof/>
                <w:webHidden/>
              </w:rPr>
              <w:tab/>
            </w:r>
            <w:r w:rsidR="00EA08B7">
              <w:rPr>
                <w:noProof/>
                <w:webHidden/>
              </w:rPr>
              <w:fldChar w:fldCharType="begin"/>
            </w:r>
            <w:r w:rsidR="00EA08B7">
              <w:rPr>
                <w:noProof/>
                <w:webHidden/>
              </w:rPr>
              <w:instrText xml:space="preserve"> PAGEREF _Toc515180093 \h </w:instrText>
            </w:r>
            <w:r w:rsidR="00EA08B7">
              <w:rPr>
                <w:noProof/>
                <w:webHidden/>
              </w:rPr>
            </w:r>
            <w:r w:rsidR="00EA08B7">
              <w:rPr>
                <w:noProof/>
                <w:webHidden/>
              </w:rPr>
              <w:fldChar w:fldCharType="separate"/>
            </w:r>
            <w:r w:rsidR="008328AC">
              <w:rPr>
                <w:noProof/>
                <w:webHidden/>
              </w:rPr>
              <w:t>31</w:t>
            </w:r>
            <w:r w:rsidR="00EA08B7">
              <w:rPr>
                <w:noProof/>
                <w:webHidden/>
              </w:rPr>
              <w:fldChar w:fldCharType="end"/>
            </w:r>
          </w:hyperlink>
        </w:p>
        <w:p w14:paraId="7A49A0E2" w14:textId="47A75E6B" w:rsidR="00EA08B7" w:rsidRDefault="00B24BFD">
          <w:pPr>
            <w:pStyle w:val="Inhopg1"/>
            <w:rPr>
              <w:rFonts w:asciiTheme="minorHAnsi" w:eastAsiaTheme="minorEastAsia" w:hAnsiTheme="minorHAnsi"/>
              <w:noProof/>
              <w:sz w:val="22"/>
              <w:lang w:eastAsia="nl-BE"/>
            </w:rPr>
          </w:pPr>
          <w:hyperlink w:anchor="_Toc515180094" w:history="1">
            <w:r w:rsidR="00EA08B7" w:rsidRPr="00CF2A45">
              <w:rPr>
                <w:rStyle w:val="Hyperlink"/>
                <w:noProof/>
                <w:lang w:val="de-DE"/>
              </w:rPr>
              <w:t>6.</w:t>
            </w:r>
            <w:r w:rsidR="00EA08B7">
              <w:rPr>
                <w:rFonts w:asciiTheme="minorHAnsi" w:eastAsiaTheme="minorEastAsia" w:hAnsiTheme="minorHAnsi"/>
                <w:noProof/>
                <w:sz w:val="22"/>
                <w:lang w:eastAsia="nl-BE"/>
              </w:rPr>
              <w:tab/>
            </w:r>
            <w:r w:rsidR="00EA08B7" w:rsidRPr="00CF2A45">
              <w:rPr>
                <w:rStyle w:val="Hyperlink"/>
                <w:noProof/>
                <w:lang w:val="de-DE"/>
              </w:rPr>
              <w:t>Kolonisierte/Kolonisatoren?</w:t>
            </w:r>
            <w:r w:rsidR="00EA08B7">
              <w:rPr>
                <w:noProof/>
                <w:webHidden/>
              </w:rPr>
              <w:tab/>
            </w:r>
            <w:r w:rsidR="00EA08B7">
              <w:rPr>
                <w:noProof/>
                <w:webHidden/>
              </w:rPr>
              <w:fldChar w:fldCharType="begin"/>
            </w:r>
            <w:r w:rsidR="00EA08B7">
              <w:rPr>
                <w:noProof/>
                <w:webHidden/>
              </w:rPr>
              <w:instrText xml:space="preserve"> PAGEREF _Toc515180094 \h </w:instrText>
            </w:r>
            <w:r w:rsidR="00EA08B7">
              <w:rPr>
                <w:noProof/>
                <w:webHidden/>
              </w:rPr>
            </w:r>
            <w:r w:rsidR="00EA08B7">
              <w:rPr>
                <w:noProof/>
                <w:webHidden/>
              </w:rPr>
              <w:fldChar w:fldCharType="separate"/>
            </w:r>
            <w:r w:rsidR="008328AC">
              <w:rPr>
                <w:noProof/>
                <w:webHidden/>
              </w:rPr>
              <w:t>37</w:t>
            </w:r>
            <w:r w:rsidR="00EA08B7">
              <w:rPr>
                <w:noProof/>
                <w:webHidden/>
              </w:rPr>
              <w:fldChar w:fldCharType="end"/>
            </w:r>
          </w:hyperlink>
        </w:p>
        <w:p w14:paraId="75ADF037" w14:textId="31CD6DA1" w:rsidR="00EA08B7" w:rsidRDefault="00B24BFD">
          <w:pPr>
            <w:pStyle w:val="Inhopg2"/>
            <w:tabs>
              <w:tab w:val="left" w:pos="880"/>
              <w:tab w:val="right" w:leader="dot" w:pos="9061"/>
            </w:tabs>
            <w:rPr>
              <w:rFonts w:asciiTheme="minorHAnsi" w:eastAsiaTheme="minorEastAsia" w:hAnsiTheme="minorHAnsi"/>
              <w:noProof/>
              <w:sz w:val="22"/>
              <w:lang w:eastAsia="nl-BE"/>
            </w:rPr>
          </w:pPr>
          <w:hyperlink w:anchor="_Toc515180095" w:history="1">
            <w:r w:rsidR="00EA08B7" w:rsidRPr="00CF2A45">
              <w:rPr>
                <w:rStyle w:val="Hyperlink"/>
                <w:noProof/>
                <w:lang w:val="de-DE"/>
              </w:rPr>
              <w:t>6.1.</w:t>
            </w:r>
            <w:r w:rsidR="00EA08B7">
              <w:rPr>
                <w:rFonts w:asciiTheme="minorHAnsi" w:eastAsiaTheme="minorEastAsia" w:hAnsiTheme="minorHAnsi"/>
                <w:noProof/>
                <w:sz w:val="22"/>
                <w:lang w:eastAsia="nl-BE"/>
              </w:rPr>
              <w:tab/>
            </w:r>
            <w:r w:rsidR="00EA08B7" w:rsidRPr="00CF2A45">
              <w:rPr>
                <w:rStyle w:val="Hyperlink"/>
                <w:noProof/>
                <w:lang w:val="de-DE"/>
              </w:rPr>
              <w:t>Die Kocsis als Kolonisierte</w:t>
            </w:r>
            <w:r w:rsidR="00EA08B7">
              <w:rPr>
                <w:noProof/>
                <w:webHidden/>
              </w:rPr>
              <w:tab/>
            </w:r>
            <w:r w:rsidR="00EA08B7">
              <w:rPr>
                <w:noProof/>
                <w:webHidden/>
              </w:rPr>
              <w:fldChar w:fldCharType="begin"/>
            </w:r>
            <w:r w:rsidR="00EA08B7">
              <w:rPr>
                <w:noProof/>
                <w:webHidden/>
              </w:rPr>
              <w:instrText xml:space="preserve"> PAGEREF _Toc515180095 \h </w:instrText>
            </w:r>
            <w:r w:rsidR="00EA08B7">
              <w:rPr>
                <w:noProof/>
                <w:webHidden/>
              </w:rPr>
            </w:r>
            <w:r w:rsidR="00EA08B7">
              <w:rPr>
                <w:noProof/>
                <w:webHidden/>
              </w:rPr>
              <w:fldChar w:fldCharType="separate"/>
            </w:r>
            <w:r w:rsidR="008328AC">
              <w:rPr>
                <w:noProof/>
                <w:webHidden/>
              </w:rPr>
              <w:t>38</w:t>
            </w:r>
            <w:r w:rsidR="00EA08B7">
              <w:rPr>
                <w:noProof/>
                <w:webHidden/>
              </w:rPr>
              <w:fldChar w:fldCharType="end"/>
            </w:r>
          </w:hyperlink>
        </w:p>
        <w:p w14:paraId="2CE56066" w14:textId="0870F155" w:rsidR="00EA08B7" w:rsidRDefault="00B24BFD">
          <w:pPr>
            <w:pStyle w:val="Inhopg2"/>
            <w:tabs>
              <w:tab w:val="left" w:pos="880"/>
              <w:tab w:val="right" w:leader="dot" w:pos="9061"/>
            </w:tabs>
            <w:rPr>
              <w:rFonts w:asciiTheme="minorHAnsi" w:eastAsiaTheme="minorEastAsia" w:hAnsiTheme="minorHAnsi"/>
              <w:noProof/>
              <w:sz w:val="22"/>
              <w:lang w:eastAsia="nl-BE"/>
            </w:rPr>
          </w:pPr>
          <w:hyperlink w:anchor="_Toc515180096" w:history="1">
            <w:r w:rsidR="00EA08B7" w:rsidRPr="00CF2A45">
              <w:rPr>
                <w:rStyle w:val="Hyperlink"/>
                <w:noProof/>
                <w:lang w:val="de-DE"/>
              </w:rPr>
              <w:t>6.2.</w:t>
            </w:r>
            <w:r w:rsidR="00EA08B7">
              <w:rPr>
                <w:rFonts w:asciiTheme="minorHAnsi" w:eastAsiaTheme="minorEastAsia" w:hAnsiTheme="minorHAnsi"/>
                <w:noProof/>
                <w:sz w:val="22"/>
                <w:lang w:eastAsia="nl-BE"/>
              </w:rPr>
              <w:tab/>
            </w:r>
            <w:r w:rsidR="00EA08B7" w:rsidRPr="00CF2A45">
              <w:rPr>
                <w:rStyle w:val="Hyperlink"/>
                <w:noProof/>
                <w:lang w:val="de-DE"/>
              </w:rPr>
              <w:t>Die Kocsis als Kolonisatoren</w:t>
            </w:r>
            <w:r w:rsidR="00EA08B7">
              <w:rPr>
                <w:noProof/>
                <w:webHidden/>
              </w:rPr>
              <w:tab/>
            </w:r>
            <w:r w:rsidR="00EA08B7">
              <w:rPr>
                <w:noProof/>
                <w:webHidden/>
              </w:rPr>
              <w:fldChar w:fldCharType="begin"/>
            </w:r>
            <w:r w:rsidR="00EA08B7">
              <w:rPr>
                <w:noProof/>
                <w:webHidden/>
              </w:rPr>
              <w:instrText xml:space="preserve"> PAGEREF _Toc515180096 \h </w:instrText>
            </w:r>
            <w:r w:rsidR="00EA08B7">
              <w:rPr>
                <w:noProof/>
                <w:webHidden/>
              </w:rPr>
            </w:r>
            <w:r w:rsidR="00EA08B7">
              <w:rPr>
                <w:noProof/>
                <w:webHidden/>
              </w:rPr>
              <w:fldChar w:fldCharType="separate"/>
            </w:r>
            <w:r w:rsidR="008328AC">
              <w:rPr>
                <w:noProof/>
                <w:webHidden/>
              </w:rPr>
              <w:t>41</w:t>
            </w:r>
            <w:r w:rsidR="00EA08B7">
              <w:rPr>
                <w:noProof/>
                <w:webHidden/>
              </w:rPr>
              <w:fldChar w:fldCharType="end"/>
            </w:r>
          </w:hyperlink>
        </w:p>
        <w:p w14:paraId="76AFEA9D" w14:textId="0D9206B7" w:rsidR="00EA08B7" w:rsidRDefault="00B24BFD">
          <w:pPr>
            <w:pStyle w:val="Inhopg1"/>
            <w:rPr>
              <w:rFonts w:asciiTheme="minorHAnsi" w:eastAsiaTheme="minorEastAsia" w:hAnsiTheme="minorHAnsi"/>
              <w:noProof/>
              <w:sz w:val="22"/>
              <w:lang w:eastAsia="nl-BE"/>
            </w:rPr>
          </w:pPr>
          <w:hyperlink w:anchor="_Toc515180097" w:history="1">
            <w:r w:rsidR="00EA08B7" w:rsidRPr="00CF2A45">
              <w:rPr>
                <w:rStyle w:val="Hyperlink"/>
                <w:noProof/>
                <w:lang w:val="de-DE"/>
              </w:rPr>
              <w:t>7.</w:t>
            </w:r>
            <w:r w:rsidR="00EA08B7">
              <w:rPr>
                <w:rFonts w:asciiTheme="minorHAnsi" w:eastAsiaTheme="minorEastAsia" w:hAnsiTheme="minorHAnsi"/>
                <w:noProof/>
                <w:sz w:val="22"/>
                <w:lang w:eastAsia="nl-BE"/>
              </w:rPr>
              <w:tab/>
            </w:r>
            <w:r w:rsidR="00EA08B7" w:rsidRPr="00CF2A45">
              <w:rPr>
                <w:rStyle w:val="Hyperlink"/>
                <w:noProof/>
                <w:lang w:val="de-DE"/>
              </w:rPr>
              <w:t>Sprache</w:t>
            </w:r>
            <w:r w:rsidR="00EA08B7">
              <w:rPr>
                <w:noProof/>
                <w:webHidden/>
              </w:rPr>
              <w:tab/>
            </w:r>
            <w:r w:rsidR="00EA08B7">
              <w:rPr>
                <w:noProof/>
                <w:webHidden/>
              </w:rPr>
              <w:fldChar w:fldCharType="begin"/>
            </w:r>
            <w:r w:rsidR="00EA08B7">
              <w:rPr>
                <w:noProof/>
                <w:webHidden/>
              </w:rPr>
              <w:instrText xml:space="preserve"> PAGEREF _Toc515180097 \h </w:instrText>
            </w:r>
            <w:r w:rsidR="00EA08B7">
              <w:rPr>
                <w:noProof/>
                <w:webHidden/>
              </w:rPr>
            </w:r>
            <w:r w:rsidR="00EA08B7">
              <w:rPr>
                <w:noProof/>
                <w:webHidden/>
              </w:rPr>
              <w:fldChar w:fldCharType="separate"/>
            </w:r>
            <w:r w:rsidR="008328AC">
              <w:rPr>
                <w:noProof/>
                <w:webHidden/>
              </w:rPr>
              <w:t>47</w:t>
            </w:r>
            <w:r w:rsidR="00EA08B7">
              <w:rPr>
                <w:noProof/>
                <w:webHidden/>
              </w:rPr>
              <w:fldChar w:fldCharType="end"/>
            </w:r>
          </w:hyperlink>
        </w:p>
        <w:p w14:paraId="55C886C4" w14:textId="5CB00A78" w:rsidR="00EA08B7" w:rsidRDefault="00B24BFD">
          <w:pPr>
            <w:pStyle w:val="Inhopg2"/>
            <w:tabs>
              <w:tab w:val="left" w:pos="880"/>
              <w:tab w:val="right" w:leader="dot" w:pos="9061"/>
            </w:tabs>
            <w:rPr>
              <w:rFonts w:asciiTheme="minorHAnsi" w:eastAsiaTheme="minorEastAsia" w:hAnsiTheme="minorHAnsi"/>
              <w:noProof/>
              <w:sz w:val="22"/>
              <w:lang w:eastAsia="nl-BE"/>
            </w:rPr>
          </w:pPr>
          <w:hyperlink w:anchor="_Toc515180098" w:history="1">
            <w:r w:rsidR="00EA08B7" w:rsidRPr="00CF2A45">
              <w:rPr>
                <w:rStyle w:val="Hyperlink"/>
                <w:noProof/>
                <w:lang w:val="de-DE"/>
              </w:rPr>
              <w:t>7.1.</w:t>
            </w:r>
            <w:r w:rsidR="00EA08B7">
              <w:rPr>
                <w:rFonts w:asciiTheme="minorHAnsi" w:eastAsiaTheme="minorEastAsia" w:hAnsiTheme="minorHAnsi"/>
                <w:noProof/>
                <w:sz w:val="22"/>
                <w:lang w:eastAsia="nl-BE"/>
              </w:rPr>
              <w:tab/>
            </w:r>
            <w:r w:rsidR="00EA08B7" w:rsidRPr="00CF2A45">
              <w:rPr>
                <w:rStyle w:val="Hyperlink"/>
                <w:noProof/>
                <w:lang w:val="de-DE"/>
              </w:rPr>
              <w:t>Beziehung Schweizerdeutsch/Ungarisch</w:t>
            </w:r>
            <w:r w:rsidR="00EA08B7">
              <w:rPr>
                <w:noProof/>
                <w:webHidden/>
              </w:rPr>
              <w:tab/>
            </w:r>
            <w:r w:rsidR="00EA08B7">
              <w:rPr>
                <w:noProof/>
                <w:webHidden/>
              </w:rPr>
              <w:fldChar w:fldCharType="begin"/>
            </w:r>
            <w:r w:rsidR="00EA08B7">
              <w:rPr>
                <w:noProof/>
                <w:webHidden/>
              </w:rPr>
              <w:instrText xml:space="preserve"> PAGEREF _Toc515180098 \h </w:instrText>
            </w:r>
            <w:r w:rsidR="00EA08B7">
              <w:rPr>
                <w:noProof/>
                <w:webHidden/>
              </w:rPr>
            </w:r>
            <w:r w:rsidR="00EA08B7">
              <w:rPr>
                <w:noProof/>
                <w:webHidden/>
              </w:rPr>
              <w:fldChar w:fldCharType="separate"/>
            </w:r>
            <w:r w:rsidR="008328AC">
              <w:rPr>
                <w:noProof/>
                <w:webHidden/>
              </w:rPr>
              <w:t>48</w:t>
            </w:r>
            <w:r w:rsidR="00EA08B7">
              <w:rPr>
                <w:noProof/>
                <w:webHidden/>
              </w:rPr>
              <w:fldChar w:fldCharType="end"/>
            </w:r>
          </w:hyperlink>
        </w:p>
        <w:p w14:paraId="08E6DF41" w14:textId="3E37DB99" w:rsidR="00EA08B7" w:rsidRDefault="00B24BFD">
          <w:pPr>
            <w:pStyle w:val="Inhopg3"/>
            <w:rPr>
              <w:rFonts w:asciiTheme="minorHAnsi" w:eastAsiaTheme="minorEastAsia" w:hAnsiTheme="minorHAnsi"/>
              <w:noProof/>
              <w:sz w:val="22"/>
              <w:lang w:eastAsia="nl-BE"/>
            </w:rPr>
          </w:pPr>
          <w:hyperlink w:anchor="_Toc515180099" w:history="1">
            <w:r w:rsidR="00EA08B7" w:rsidRPr="00CF2A45">
              <w:rPr>
                <w:rStyle w:val="Hyperlink"/>
                <w:noProof/>
              </w:rPr>
              <w:t>7.1.1.</w:t>
            </w:r>
            <w:r w:rsidR="00EA08B7">
              <w:rPr>
                <w:rFonts w:asciiTheme="minorHAnsi" w:eastAsiaTheme="minorEastAsia" w:hAnsiTheme="minorHAnsi"/>
                <w:noProof/>
                <w:sz w:val="22"/>
                <w:lang w:eastAsia="nl-BE"/>
              </w:rPr>
              <w:tab/>
            </w:r>
            <w:r w:rsidR="00EA08B7" w:rsidRPr="00CF2A45">
              <w:rPr>
                <w:rStyle w:val="Hyperlink"/>
                <w:noProof/>
              </w:rPr>
              <w:t>Sonderposition</w:t>
            </w:r>
            <w:r w:rsidR="00EA08B7">
              <w:rPr>
                <w:noProof/>
                <w:webHidden/>
              </w:rPr>
              <w:tab/>
            </w:r>
            <w:r w:rsidR="00EA08B7">
              <w:rPr>
                <w:noProof/>
                <w:webHidden/>
              </w:rPr>
              <w:fldChar w:fldCharType="begin"/>
            </w:r>
            <w:r w:rsidR="00EA08B7">
              <w:rPr>
                <w:noProof/>
                <w:webHidden/>
              </w:rPr>
              <w:instrText xml:space="preserve"> PAGEREF _Toc515180099 \h </w:instrText>
            </w:r>
            <w:r w:rsidR="00EA08B7">
              <w:rPr>
                <w:noProof/>
                <w:webHidden/>
              </w:rPr>
            </w:r>
            <w:r w:rsidR="00EA08B7">
              <w:rPr>
                <w:noProof/>
                <w:webHidden/>
              </w:rPr>
              <w:fldChar w:fldCharType="separate"/>
            </w:r>
            <w:r w:rsidR="008328AC">
              <w:rPr>
                <w:noProof/>
                <w:webHidden/>
              </w:rPr>
              <w:t>48</w:t>
            </w:r>
            <w:r w:rsidR="00EA08B7">
              <w:rPr>
                <w:noProof/>
                <w:webHidden/>
              </w:rPr>
              <w:fldChar w:fldCharType="end"/>
            </w:r>
          </w:hyperlink>
        </w:p>
        <w:p w14:paraId="1C0F701F" w14:textId="4178472F" w:rsidR="00EA08B7" w:rsidRDefault="00B24BFD">
          <w:pPr>
            <w:pStyle w:val="Inhopg3"/>
            <w:rPr>
              <w:rFonts w:asciiTheme="minorHAnsi" w:eastAsiaTheme="minorEastAsia" w:hAnsiTheme="minorHAnsi"/>
              <w:noProof/>
              <w:sz w:val="22"/>
              <w:lang w:eastAsia="nl-BE"/>
            </w:rPr>
          </w:pPr>
          <w:hyperlink w:anchor="_Toc515180100" w:history="1">
            <w:r w:rsidR="00EA08B7" w:rsidRPr="00CF2A45">
              <w:rPr>
                <w:rStyle w:val="Hyperlink"/>
                <w:noProof/>
                <w:lang w:val="de-DE"/>
              </w:rPr>
              <w:t>7.1.2.</w:t>
            </w:r>
            <w:r w:rsidR="00EA08B7">
              <w:rPr>
                <w:rFonts w:asciiTheme="minorHAnsi" w:eastAsiaTheme="minorEastAsia" w:hAnsiTheme="minorHAnsi"/>
                <w:noProof/>
                <w:sz w:val="22"/>
                <w:lang w:eastAsia="nl-BE"/>
              </w:rPr>
              <w:tab/>
            </w:r>
            <w:r w:rsidR="00EA08B7" w:rsidRPr="00CF2A45">
              <w:rPr>
                <w:rStyle w:val="Hyperlink"/>
                <w:noProof/>
                <w:lang w:val="de-DE"/>
              </w:rPr>
              <w:t>Motiv des Fensters</w:t>
            </w:r>
            <w:r w:rsidR="00EA08B7">
              <w:rPr>
                <w:noProof/>
                <w:webHidden/>
              </w:rPr>
              <w:tab/>
            </w:r>
            <w:r w:rsidR="00EA08B7">
              <w:rPr>
                <w:noProof/>
                <w:webHidden/>
              </w:rPr>
              <w:fldChar w:fldCharType="begin"/>
            </w:r>
            <w:r w:rsidR="00EA08B7">
              <w:rPr>
                <w:noProof/>
                <w:webHidden/>
              </w:rPr>
              <w:instrText xml:space="preserve"> PAGEREF _Toc515180100 \h </w:instrText>
            </w:r>
            <w:r w:rsidR="00EA08B7">
              <w:rPr>
                <w:noProof/>
                <w:webHidden/>
              </w:rPr>
            </w:r>
            <w:r w:rsidR="00EA08B7">
              <w:rPr>
                <w:noProof/>
                <w:webHidden/>
              </w:rPr>
              <w:fldChar w:fldCharType="separate"/>
            </w:r>
            <w:r w:rsidR="008328AC">
              <w:rPr>
                <w:noProof/>
                <w:webHidden/>
              </w:rPr>
              <w:t>50</w:t>
            </w:r>
            <w:r w:rsidR="00EA08B7">
              <w:rPr>
                <w:noProof/>
                <w:webHidden/>
              </w:rPr>
              <w:fldChar w:fldCharType="end"/>
            </w:r>
          </w:hyperlink>
        </w:p>
        <w:p w14:paraId="174D0EE2" w14:textId="1158FE7A" w:rsidR="00EA08B7" w:rsidRDefault="00B24BFD">
          <w:pPr>
            <w:pStyle w:val="Inhopg3"/>
            <w:rPr>
              <w:rFonts w:asciiTheme="minorHAnsi" w:eastAsiaTheme="minorEastAsia" w:hAnsiTheme="minorHAnsi"/>
              <w:noProof/>
              <w:sz w:val="22"/>
              <w:lang w:eastAsia="nl-BE"/>
            </w:rPr>
          </w:pPr>
          <w:hyperlink w:anchor="_Toc515180101" w:history="1">
            <w:r w:rsidR="00EA08B7" w:rsidRPr="00CF2A45">
              <w:rPr>
                <w:rStyle w:val="Hyperlink"/>
                <w:noProof/>
                <w:lang w:val="de-DE"/>
              </w:rPr>
              <w:t>7.1.3.</w:t>
            </w:r>
            <w:r w:rsidR="00EA08B7">
              <w:rPr>
                <w:rFonts w:asciiTheme="minorHAnsi" w:eastAsiaTheme="minorEastAsia" w:hAnsiTheme="minorHAnsi"/>
                <w:noProof/>
                <w:sz w:val="22"/>
                <w:lang w:eastAsia="nl-BE"/>
              </w:rPr>
              <w:tab/>
            </w:r>
            <w:r w:rsidR="00EA08B7" w:rsidRPr="00CF2A45">
              <w:rPr>
                <w:rStyle w:val="Hyperlink"/>
                <w:noProof/>
                <w:lang w:val="de-DE"/>
              </w:rPr>
              <w:t>Spracherlernungsprozess</w:t>
            </w:r>
            <w:r w:rsidR="00EA08B7">
              <w:rPr>
                <w:noProof/>
                <w:webHidden/>
              </w:rPr>
              <w:tab/>
            </w:r>
            <w:r w:rsidR="00EA08B7">
              <w:rPr>
                <w:noProof/>
                <w:webHidden/>
              </w:rPr>
              <w:fldChar w:fldCharType="begin"/>
            </w:r>
            <w:r w:rsidR="00EA08B7">
              <w:rPr>
                <w:noProof/>
                <w:webHidden/>
              </w:rPr>
              <w:instrText xml:space="preserve"> PAGEREF _Toc515180101 \h </w:instrText>
            </w:r>
            <w:r w:rsidR="00EA08B7">
              <w:rPr>
                <w:noProof/>
                <w:webHidden/>
              </w:rPr>
            </w:r>
            <w:r w:rsidR="00EA08B7">
              <w:rPr>
                <w:noProof/>
                <w:webHidden/>
              </w:rPr>
              <w:fldChar w:fldCharType="separate"/>
            </w:r>
            <w:r w:rsidR="008328AC">
              <w:rPr>
                <w:noProof/>
                <w:webHidden/>
              </w:rPr>
              <w:t>53</w:t>
            </w:r>
            <w:r w:rsidR="00EA08B7">
              <w:rPr>
                <w:noProof/>
                <w:webHidden/>
              </w:rPr>
              <w:fldChar w:fldCharType="end"/>
            </w:r>
          </w:hyperlink>
        </w:p>
        <w:p w14:paraId="0240C1BB" w14:textId="64C32D61" w:rsidR="00EA08B7" w:rsidRDefault="00B24BFD">
          <w:pPr>
            <w:pStyle w:val="Inhopg2"/>
            <w:tabs>
              <w:tab w:val="left" w:pos="880"/>
              <w:tab w:val="right" w:leader="dot" w:pos="9061"/>
            </w:tabs>
            <w:rPr>
              <w:rFonts w:asciiTheme="minorHAnsi" w:eastAsiaTheme="minorEastAsia" w:hAnsiTheme="minorHAnsi"/>
              <w:noProof/>
              <w:sz w:val="22"/>
              <w:lang w:eastAsia="nl-BE"/>
            </w:rPr>
          </w:pPr>
          <w:hyperlink w:anchor="_Toc515180102" w:history="1">
            <w:r w:rsidR="00EA08B7" w:rsidRPr="00CF2A45">
              <w:rPr>
                <w:rStyle w:val="Hyperlink"/>
                <w:noProof/>
                <w:lang w:val="de-DE"/>
              </w:rPr>
              <w:t>7.2.</w:t>
            </w:r>
            <w:r w:rsidR="00EA08B7">
              <w:rPr>
                <w:rFonts w:asciiTheme="minorHAnsi" w:eastAsiaTheme="minorEastAsia" w:hAnsiTheme="minorHAnsi"/>
                <w:noProof/>
                <w:sz w:val="22"/>
                <w:lang w:eastAsia="nl-BE"/>
              </w:rPr>
              <w:tab/>
            </w:r>
            <w:r w:rsidR="00EA08B7" w:rsidRPr="00CF2A45">
              <w:rPr>
                <w:rStyle w:val="Hyperlink"/>
                <w:noProof/>
                <w:lang w:val="de-DE"/>
              </w:rPr>
              <w:t>Sprache als Beziehung</w:t>
            </w:r>
            <w:r w:rsidR="00EA08B7">
              <w:rPr>
                <w:noProof/>
                <w:webHidden/>
              </w:rPr>
              <w:tab/>
            </w:r>
            <w:r w:rsidR="00EA08B7">
              <w:rPr>
                <w:noProof/>
                <w:webHidden/>
              </w:rPr>
              <w:fldChar w:fldCharType="begin"/>
            </w:r>
            <w:r w:rsidR="00EA08B7">
              <w:rPr>
                <w:noProof/>
                <w:webHidden/>
              </w:rPr>
              <w:instrText xml:space="preserve"> PAGEREF _Toc515180102 \h </w:instrText>
            </w:r>
            <w:r w:rsidR="00EA08B7">
              <w:rPr>
                <w:noProof/>
                <w:webHidden/>
              </w:rPr>
            </w:r>
            <w:r w:rsidR="00EA08B7">
              <w:rPr>
                <w:noProof/>
                <w:webHidden/>
              </w:rPr>
              <w:fldChar w:fldCharType="separate"/>
            </w:r>
            <w:r w:rsidR="008328AC">
              <w:rPr>
                <w:noProof/>
                <w:webHidden/>
              </w:rPr>
              <w:t>56</w:t>
            </w:r>
            <w:r w:rsidR="00EA08B7">
              <w:rPr>
                <w:noProof/>
                <w:webHidden/>
              </w:rPr>
              <w:fldChar w:fldCharType="end"/>
            </w:r>
          </w:hyperlink>
        </w:p>
        <w:p w14:paraId="0954DD4E" w14:textId="5233E300" w:rsidR="00EA08B7" w:rsidRDefault="00B24BFD">
          <w:pPr>
            <w:pStyle w:val="Inhopg3"/>
            <w:rPr>
              <w:rFonts w:asciiTheme="minorHAnsi" w:eastAsiaTheme="minorEastAsia" w:hAnsiTheme="minorHAnsi"/>
              <w:noProof/>
              <w:sz w:val="22"/>
              <w:lang w:eastAsia="nl-BE"/>
            </w:rPr>
          </w:pPr>
          <w:hyperlink w:anchor="_Toc515180103" w:history="1">
            <w:r w:rsidR="00EA08B7" w:rsidRPr="00CF2A45">
              <w:rPr>
                <w:rStyle w:val="Hyperlink"/>
                <w:noProof/>
                <w:lang w:val="de-DE"/>
              </w:rPr>
              <w:t>7.2.1.</w:t>
            </w:r>
            <w:r w:rsidR="00EA08B7">
              <w:rPr>
                <w:rFonts w:asciiTheme="minorHAnsi" w:eastAsiaTheme="minorEastAsia" w:hAnsiTheme="minorHAnsi"/>
                <w:noProof/>
                <w:sz w:val="22"/>
                <w:lang w:eastAsia="nl-BE"/>
              </w:rPr>
              <w:tab/>
            </w:r>
            <w:r w:rsidR="00EA08B7" w:rsidRPr="00CF2A45">
              <w:rPr>
                <w:rStyle w:val="Hyperlink"/>
                <w:noProof/>
                <w:lang w:val="de-DE"/>
              </w:rPr>
              <w:t>Ildikó und Mamika</w:t>
            </w:r>
            <w:r w:rsidR="00EA08B7">
              <w:rPr>
                <w:noProof/>
                <w:webHidden/>
              </w:rPr>
              <w:tab/>
            </w:r>
            <w:r w:rsidR="00EA08B7">
              <w:rPr>
                <w:noProof/>
                <w:webHidden/>
              </w:rPr>
              <w:fldChar w:fldCharType="begin"/>
            </w:r>
            <w:r w:rsidR="00EA08B7">
              <w:rPr>
                <w:noProof/>
                <w:webHidden/>
              </w:rPr>
              <w:instrText xml:space="preserve"> PAGEREF _Toc515180103 \h </w:instrText>
            </w:r>
            <w:r w:rsidR="00EA08B7">
              <w:rPr>
                <w:noProof/>
                <w:webHidden/>
              </w:rPr>
            </w:r>
            <w:r w:rsidR="00EA08B7">
              <w:rPr>
                <w:noProof/>
                <w:webHidden/>
              </w:rPr>
              <w:fldChar w:fldCharType="separate"/>
            </w:r>
            <w:r w:rsidR="008328AC">
              <w:rPr>
                <w:noProof/>
                <w:webHidden/>
              </w:rPr>
              <w:t>56</w:t>
            </w:r>
            <w:r w:rsidR="00EA08B7">
              <w:rPr>
                <w:noProof/>
                <w:webHidden/>
              </w:rPr>
              <w:fldChar w:fldCharType="end"/>
            </w:r>
          </w:hyperlink>
        </w:p>
        <w:p w14:paraId="17BABFEC" w14:textId="0C98E2D5" w:rsidR="00EA08B7" w:rsidRDefault="00B24BFD">
          <w:pPr>
            <w:pStyle w:val="Inhopg3"/>
            <w:rPr>
              <w:rFonts w:asciiTheme="minorHAnsi" w:eastAsiaTheme="minorEastAsia" w:hAnsiTheme="minorHAnsi"/>
              <w:noProof/>
              <w:sz w:val="22"/>
              <w:lang w:eastAsia="nl-BE"/>
            </w:rPr>
          </w:pPr>
          <w:hyperlink w:anchor="_Toc515180104" w:history="1">
            <w:r w:rsidR="00EA08B7" w:rsidRPr="00CF2A45">
              <w:rPr>
                <w:rStyle w:val="Hyperlink"/>
                <w:noProof/>
                <w:lang w:val="de-DE"/>
              </w:rPr>
              <w:t>7.2.2.</w:t>
            </w:r>
            <w:r w:rsidR="00EA08B7">
              <w:rPr>
                <w:rFonts w:asciiTheme="minorHAnsi" w:eastAsiaTheme="minorEastAsia" w:hAnsiTheme="minorHAnsi"/>
                <w:noProof/>
                <w:sz w:val="22"/>
                <w:lang w:eastAsia="nl-BE"/>
              </w:rPr>
              <w:tab/>
            </w:r>
            <w:r w:rsidR="00EA08B7" w:rsidRPr="00CF2A45">
              <w:rPr>
                <w:rStyle w:val="Hyperlink"/>
                <w:noProof/>
                <w:lang w:val="de-DE"/>
              </w:rPr>
              <w:t>Ildikó und Nomi</w:t>
            </w:r>
            <w:r w:rsidR="00EA08B7">
              <w:rPr>
                <w:noProof/>
                <w:webHidden/>
              </w:rPr>
              <w:tab/>
            </w:r>
            <w:r w:rsidR="00EA08B7">
              <w:rPr>
                <w:noProof/>
                <w:webHidden/>
              </w:rPr>
              <w:fldChar w:fldCharType="begin"/>
            </w:r>
            <w:r w:rsidR="00EA08B7">
              <w:rPr>
                <w:noProof/>
                <w:webHidden/>
              </w:rPr>
              <w:instrText xml:space="preserve"> PAGEREF _Toc515180104 \h </w:instrText>
            </w:r>
            <w:r w:rsidR="00EA08B7">
              <w:rPr>
                <w:noProof/>
                <w:webHidden/>
              </w:rPr>
            </w:r>
            <w:r w:rsidR="00EA08B7">
              <w:rPr>
                <w:noProof/>
                <w:webHidden/>
              </w:rPr>
              <w:fldChar w:fldCharType="separate"/>
            </w:r>
            <w:r w:rsidR="008328AC">
              <w:rPr>
                <w:noProof/>
                <w:webHidden/>
              </w:rPr>
              <w:t>57</w:t>
            </w:r>
            <w:r w:rsidR="00EA08B7">
              <w:rPr>
                <w:noProof/>
                <w:webHidden/>
              </w:rPr>
              <w:fldChar w:fldCharType="end"/>
            </w:r>
          </w:hyperlink>
        </w:p>
        <w:p w14:paraId="72618F3F" w14:textId="7DA5D99A" w:rsidR="00EA08B7" w:rsidRDefault="00B24BFD">
          <w:pPr>
            <w:pStyle w:val="Inhopg3"/>
            <w:rPr>
              <w:rFonts w:asciiTheme="minorHAnsi" w:eastAsiaTheme="minorEastAsia" w:hAnsiTheme="minorHAnsi"/>
              <w:noProof/>
              <w:sz w:val="22"/>
              <w:lang w:eastAsia="nl-BE"/>
            </w:rPr>
          </w:pPr>
          <w:hyperlink w:anchor="_Toc515180105" w:history="1">
            <w:r w:rsidR="00EA08B7" w:rsidRPr="00CF2A45">
              <w:rPr>
                <w:rStyle w:val="Hyperlink"/>
                <w:noProof/>
                <w:lang w:val="de-DE"/>
              </w:rPr>
              <w:t>7.2.3.</w:t>
            </w:r>
            <w:r w:rsidR="00EA08B7">
              <w:rPr>
                <w:rFonts w:asciiTheme="minorHAnsi" w:eastAsiaTheme="minorEastAsia" w:hAnsiTheme="minorHAnsi"/>
                <w:noProof/>
                <w:sz w:val="22"/>
                <w:lang w:eastAsia="nl-BE"/>
              </w:rPr>
              <w:tab/>
            </w:r>
            <w:r w:rsidR="00EA08B7" w:rsidRPr="00CF2A45">
              <w:rPr>
                <w:rStyle w:val="Hyperlink"/>
                <w:noProof/>
                <w:lang w:val="de-DE"/>
              </w:rPr>
              <w:t>Ildikó und Dalibor</w:t>
            </w:r>
            <w:r w:rsidR="00EA08B7">
              <w:rPr>
                <w:noProof/>
                <w:webHidden/>
              </w:rPr>
              <w:tab/>
            </w:r>
            <w:r w:rsidR="00EA08B7">
              <w:rPr>
                <w:noProof/>
                <w:webHidden/>
              </w:rPr>
              <w:fldChar w:fldCharType="begin"/>
            </w:r>
            <w:r w:rsidR="00EA08B7">
              <w:rPr>
                <w:noProof/>
                <w:webHidden/>
              </w:rPr>
              <w:instrText xml:space="preserve"> PAGEREF _Toc515180105 \h </w:instrText>
            </w:r>
            <w:r w:rsidR="00EA08B7">
              <w:rPr>
                <w:noProof/>
                <w:webHidden/>
              </w:rPr>
            </w:r>
            <w:r w:rsidR="00EA08B7">
              <w:rPr>
                <w:noProof/>
                <w:webHidden/>
              </w:rPr>
              <w:fldChar w:fldCharType="separate"/>
            </w:r>
            <w:r w:rsidR="008328AC">
              <w:rPr>
                <w:noProof/>
                <w:webHidden/>
              </w:rPr>
              <w:t>58</w:t>
            </w:r>
            <w:r w:rsidR="00EA08B7">
              <w:rPr>
                <w:noProof/>
                <w:webHidden/>
              </w:rPr>
              <w:fldChar w:fldCharType="end"/>
            </w:r>
          </w:hyperlink>
        </w:p>
        <w:p w14:paraId="23C162A1" w14:textId="51E864AC" w:rsidR="00EA08B7" w:rsidRDefault="00B24BFD">
          <w:pPr>
            <w:pStyle w:val="Inhopg2"/>
            <w:tabs>
              <w:tab w:val="left" w:pos="880"/>
              <w:tab w:val="right" w:leader="dot" w:pos="9061"/>
            </w:tabs>
            <w:rPr>
              <w:rFonts w:asciiTheme="minorHAnsi" w:eastAsiaTheme="minorEastAsia" w:hAnsiTheme="minorHAnsi"/>
              <w:noProof/>
              <w:sz w:val="22"/>
              <w:lang w:eastAsia="nl-BE"/>
            </w:rPr>
          </w:pPr>
          <w:hyperlink w:anchor="_Toc515180106" w:history="1">
            <w:r w:rsidR="00EA08B7" w:rsidRPr="00CF2A45">
              <w:rPr>
                <w:rStyle w:val="Hyperlink"/>
                <w:noProof/>
                <w:lang w:val="de-DE"/>
              </w:rPr>
              <w:t>7.3.</w:t>
            </w:r>
            <w:r w:rsidR="00EA08B7">
              <w:rPr>
                <w:rFonts w:asciiTheme="minorHAnsi" w:eastAsiaTheme="minorEastAsia" w:hAnsiTheme="minorHAnsi"/>
                <w:noProof/>
                <w:sz w:val="22"/>
                <w:lang w:eastAsia="nl-BE"/>
              </w:rPr>
              <w:tab/>
            </w:r>
            <w:r w:rsidR="00EA08B7" w:rsidRPr="00CF2A45">
              <w:rPr>
                <w:rStyle w:val="Hyperlink"/>
                <w:noProof/>
                <w:lang w:val="de-DE"/>
              </w:rPr>
              <w:t>Sprache als Unterdrückung</w:t>
            </w:r>
            <w:r w:rsidR="00EA08B7">
              <w:rPr>
                <w:noProof/>
                <w:webHidden/>
              </w:rPr>
              <w:tab/>
            </w:r>
            <w:r w:rsidR="00EA08B7">
              <w:rPr>
                <w:noProof/>
                <w:webHidden/>
              </w:rPr>
              <w:fldChar w:fldCharType="begin"/>
            </w:r>
            <w:r w:rsidR="00EA08B7">
              <w:rPr>
                <w:noProof/>
                <w:webHidden/>
              </w:rPr>
              <w:instrText xml:space="preserve"> PAGEREF _Toc515180106 \h </w:instrText>
            </w:r>
            <w:r w:rsidR="00EA08B7">
              <w:rPr>
                <w:noProof/>
                <w:webHidden/>
              </w:rPr>
            </w:r>
            <w:r w:rsidR="00EA08B7">
              <w:rPr>
                <w:noProof/>
                <w:webHidden/>
              </w:rPr>
              <w:fldChar w:fldCharType="separate"/>
            </w:r>
            <w:r w:rsidR="008328AC">
              <w:rPr>
                <w:noProof/>
                <w:webHidden/>
              </w:rPr>
              <w:t>62</w:t>
            </w:r>
            <w:r w:rsidR="00EA08B7">
              <w:rPr>
                <w:noProof/>
                <w:webHidden/>
              </w:rPr>
              <w:fldChar w:fldCharType="end"/>
            </w:r>
          </w:hyperlink>
        </w:p>
        <w:p w14:paraId="4CF18A96" w14:textId="30DE4951" w:rsidR="00EA08B7" w:rsidRDefault="00B24BFD">
          <w:pPr>
            <w:pStyle w:val="Inhopg3"/>
            <w:rPr>
              <w:rFonts w:asciiTheme="minorHAnsi" w:eastAsiaTheme="minorEastAsia" w:hAnsiTheme="minorHAnsi"/>
              <w:noProof/>
              <w:sz w:val="22"/>
              <w:lang w:eastAsia="nl-BE"/>
            </w:rPr>
          </w:pPr>
          <w:hyperlink w:anchor="_Toc515180107" w:history="1">
            <w:r w:rsidR="00EA08B7" w:rsidRPr="00CF2A45">
              <w:rPr>
                <w:rStyle w:val="Hyperlink"/>
                <w:noProof/>
                <w:lang w:val="de-DE"/>
              </w:rPr>
              <w:t>7.3.1.</w:t>
            </w:r>
            <w:r w:rsidR="00EA08B7">
              <w:rPr>
                <w:rFonts w:asciiTheme="minorHAnsi" w:eastAsiaTheme="minorEastAsia" w:hAnsiTheme="minorHAnsi"/>
                <w:noProof/>
                <w:sz w:val="22"/>
                <w:lang w:eastAsia="nl-BE"/>
              </w:rPr>
              <w:tab/>
            </w:r>
            <w:r w:rsidR="00EA08B7" w:rsidRPr="00CF2A45">
              <w:rPr>
                <w:rStyle w:val="Hyperlink"/>
                <w:noProof/>
                <w:lang w:val="de-DE"/>
              </w:rPr>
              <w:t>Sprachverlust und Sprachlosigkeit</w:t>
            </w:r>
            <w:r w:rsidR="00EA08B7">
              <w:rPr>
                <w:noProof/>
                <w:webHidden/>
              </w:rPr>
              <w:tab/>
            </w:r>
            <w:r w:rsidR="00EA08B7">
              <w:rPr>
                <w:noProof/>
                <w:webHidden/>
              </w:rPr>
              <w:fldChar w:fldCharType="begin"/>
            </w:r>
            <w:r w:rsidR="00EA08B7">
              <w:rPr>
                <w:noProof/>
                <w:webHidden/>
              </w:rPr>
              <w:instrText xml:space="preserve"> PAGEREF _Toc515180107 \h </w:instrText>
            </w:r>
            <w:r w:rsidR="00EA08B7">
              <w:rPr>
                <w:noProof/>
                <w:webHidden/>
              </w:rPr>
            </w:r>
            <w:r w:rsidR="00EA08B7">
              <w:rPr>
                <w:noProof/>
                <w:webHidden/>
              </w:rPr>
              <w:fldChar w:fldCharType="separate"/>
            </w:r>
            <w:r w:rsidR="008328AC">
              <w:rPr>
                <w:noProof/>
                <w:webHidden/>
              </w:rPr>
              <w:t>62</w:t>
            </w:r>
            <w:r w:rsidR="00EA08B7">
              <w:rPr>
                <w:noProof/>
                <w:webHidden/>
              </w:rPr>
              <w:fldChar w:fldCharType="end"/>
            </w:r>
          </w:hyperlink>
        </w:p>
        <w:p w14:paraId="695E7CFF" w14:textId="198163C0" w:rsidR="00EA08B7" w:rsidRDefault="00B24BFD">
          <w:pPr>
            <w:pStyle w:val="Inhopg3"/>
            <w:rPr>
              <w:rFonts w:asciiTheme="minorHAnsi" w:eastAsiaTheme="minorEastAsia" w:hAnsiTheme="minorHAnsi"/>
              <w:noProof/>
              <w:sz w:val="22"/>
              <w:lang w:eastAsia="nl-BE"/>
            </w:rPr>
          </w:pPr>
          <w:hyperlink w:anchor="_Toc515180108" w:history="1">
            <w:r w:rsidR="00EA08B7" w:rsidRPr="00CF2A45">
              <w:rPr>
                <w:rStyle w:val="Hyperlink"/>
                <w:noProof/>
                <w:lang w:val="de-DE"/>
              </w:rPr>
              <w:t>7.3.2.</w:t>
            </w:r>
            <w:r w:rsidR="00EA08B7">
              <w:rPr>
                <w:rFonts w:asciiTheme="minorHAnsi" w:eastAsiaTheme="minorEastAsia" w:hAnsiTheme="minorHAnsi"/>
                <w:noProof/>
                <w:sz w:val="22"/>
                <w:lang w:eastAsia="nl-BE"/>
              </w:rPr>
              <w:tab/>
            </w:r>
            <w:r w:rsidR="00EA08B7" w:rsidRPr="00CF2A45">
              <w:rPr>
                <w:rStyle w:val="Hyperlink"/>
                <w:noProof/>
                <w:lang w:val="de-DE"/>
              </w:rPr>
              <w:t>Unterdrückung auf persönlicher Ebene</w:t>
            </w:r>
            <w:r w:rsidR="00EA08B7">
              <w:rPr>
                <w:noProof/>
                <w:webHidden/>
              </w:rPr>
              <w:tab/>
            </w:r>
            <w:r w:rsidR="00EA08B7">
              <w:rPr>
                <w:noProof/>
                <w:webHidden/>
              </w:rPr>
              <w:fldChar w:fldCharType="begin"/>
            </w:r>
            <w:r w:rsidR="00EA08B7">
              <w:rPr>
                <w:noProof/>
                <w:webHidden/>
              </w:rPr>
              <w:instrText xml:space="preserve"> PAGEREF _Toc515180108 \h </w:instrText>
            </w:r>
            <w:r w:rsidR="00EA08B7">
              <w:rPr>
                <w:noProof/>
                <w:webHidden/>
              </w:rPr>
            </w:r>
            <w:r w:rsidR="00EA08B7">
              <w:rPr>
                <w:noProof/>
                <w:webHidden/>
              </w:rPr>
              <w:fldChar w:fldCharType="separate"/>
            </w:r>
            <w:r w:rsidR="008328AC">
              <w:rPr>
                <w:noProof/>
                <w:webHidden/>
              </w:rPr>
              <w:t>63</w:t>
            </w:r>
            <w:r w:rsidR="00EA08B7">
              <w:rPr>
                <w:noProof/>
                <w:webHidden/>
              </w:rPr>
              <w:fldChar w:fldCharType="end"/>
            </w:r>
          </w:hyperlink>
        </w:p>
        <w:p w14:paraId="68EE410A" w14:textId="0B6E0B60" w:rsidR="00EA08B7" w:rsidRDefault="00B24BFD">
          <w:pPr>
            <w:pStyle w:val="Inhopg3"/>
            <w:rPr>
              <w:rFonts w:asciiTheme="minorHAnsi" w:eastAsiaTheme="minorEastAsia" w:hAnsiTheme="minorHAnsi"/>
              <w:noProof/>
              <w:sz w:val="22"/>
              <w:lang w:eastAsia="nl-BE"/>
            </w:rPr>
          </w:pPr>
          <w:hyperlink w:anchor="_Toc515180109" w:history="1">
            <w:r w:rsidR="00EA08B7" w:rsidRPr="00CF2A45">
              <w:rPr>
                <w:rStyle w:val="Hyperlink"/>
                <w:noProof/>
                <w:lang w:val="de-DE"/>
              </w:rPr>
              <w:t>7.3.3.</w:t>
            </w:r>
            <w:r w:rsidR="00EA08B7">
              <w:rPr>
                <w:rFonts w:asciiTheme="minorHAnsi" w:eastAsiaTheme="minorEastAsia" w:hAnsiTheme="minorHAnsi"/>
                <w:noProof/>
                <w:sz w:val="22"/>
                <w:lang w:eastAsia="nl-BE"/>
              </w:rPr>
              <w:tab/>
            </w:r>
            <w:r w:rsidR="00EA08B7" w:rsidRPr="00CF2A45">
              <w:rPr>
                <w:rStyle w:val="Hyperlink"/>
                <w:noProof/>
                <w:lang w:val="de-DE"/>
              </w:rPr>
              <w:t>Unterdrückung auf institutioneller Ebene</w:t>
            </w:r>
            <w:r w:rsidR="00EA08B7">
              <w:rPr>
                <w:noProof/>
                <w:webHidden/>
              </w:rPr>
              <w:tab/>
            </w:r>
            <w:r w:rsidR="00EA08B7">
              <w:rPr>
                <w:noProof/>
                <w:webHidden/>
              </w:rPr>
              <w:fldChar w:fldCharType="begin"/>
            </w:r>
            <w:r w:rsidR="00EA08B7">
              <w:rPr>
                <w:noProof/>
                <w:webHidden/>
              </w:rPr>
              <w:instrText xml:space="preserve"> PAGEREF _Toc515180109 \h </w:instrText>
            </w:r>
            <w:r w:rsidR="00EA08B7">
              <w:rPr>
                <w:noProof/>
                <w:webHidden/>
              </w:rPr>
            </w:r>
            <w:r w:rsidR="00EA08B7">
              <w:rPr>
                <w:noProof/>
                <w:webHidden/>
              </w:rPr>
              <w:fldChar w:fldCharType="separate"/>
            </w:r>
            <w:r w:rsidR="008328AC">
              <w:rPr>
                <w:noProof/>
                <w:webHidden/>
              </w:rPr>
              <w:t>64</w:t>
            </w:r>
            <w:r w:rsidR="00EA08B7">
              <w:rPr>
                <w:noProof/>
                <w:webHidden/>
              </w:rPr>
              <w:fldChar w:fldCharType="end"/>
            </w:r>
          </w:hyperlink>
        </w:p>
        <w:p w14:paraId="174206E2" w14:textId="64F4984A" w:rsidR="00EA08B7" w:rsidRDefault="00B24BFD">
          <w:pPr>
            <w:pStyle w:val="Inhopg2"/>
            <w:tabs>
              <w:tab w:val="left" w:pos="880"/>
              <w:tab w:val="right" w:leader="dot" w:pos="9061"/>
            </w:tabs>
            <w:rPr>
              <w:rFonts w:asciiTheme="minorHAnsi" w:eastAsiaTheme="minorEastAsia" w:hAnsiTheme="minorHAnsi"/>
              <w:noProof/>
              <w:sz w:val="22"/>
              <w:lang w:eastAsia="nl-BE"/>
            </w:rPr>
          </w:pPr>
          <w:hyperlink w:anchor="_Toc515180110" w:history="1">
            <w:r w:rsidR="00EA08B7" w:rsidRPr="00CF2A45">
              <w:rPr>
                <w:rStyle w:val="Hyperlink"/>
                <w:noProof/>
                <w:lang w:val="de-DE"/>
              </w:rPr>
              <w:t>7.4.</w:t>
            </w:r>
            <w:r w:rsidR="00EA08B7">
              <w:rPr>
                <w:rFonts w:asciiTheme="minorHAnsi" w:eastAsiaTheme="minorEastAsia" w:hAnsiTheme="minorHAnsi"/>
                <w:noProof/>
                <w:sz w:val="22"/>
                <w:lang w:eastAsia="nl-BE"/>
              </w:rPr>
              <w:tab/>
            </w:r>
            <w:r w:rsidR="00EA08B7" w:rsidRPr="00CF2A45">
              <w:rPr>
                <w:rStyle w:val="Hyperlink"/>
                <w:noProof/>
                <w:lang w:val="de-DE"/>
              </w:rPr>
              <w:t>Sprache als Befreiung</w:t>
            </w:r>
            <w:r w:rsidR="00EA08B7">
              <w:rPr>
                <w:noProof/>
                <w:webHidden/>
              </w:rPr>
              <w:tab/>
            </w:r>
            <w:r w:rsidR="00EA08B7">
              <w:rPr>
                <w:noProof/>
                <w:webHidden/>
              </w:rPr>
              <w:fldChar w:fldCharType="begin"/>
            </w:r>
            <w:r w:rsidR="00EA08B7">
              <w:rPr>
                <w:noProof/>
                <w:webHidden/>
              </w:rPr>
              <w:instrText xml:space="preserve"> PAGEREF _Toc515180110 \h </w:instrText>
            </w:r>
            <w:r w:rsidR="00EA08B7">
              <w:rPr>
                <w:noProof/>
                <w:webHidden/>
              </w:rPr>
            </w:r>
            <w:r w:rsidR="00EA08B7">
              <w:rPr>
                <w:noProof/>
                <w:webHidden/>
              </w:rPr>
              <w:fldChar w:fldCharType="separate"/>
            </w:r>
            <w:r w:rsidR="008328AC">
              <w:rPr>
                <w:noProof/>
                <w:webHidden/>
              </w:rPr>
              <w:t>69</w:t>
            </w:r>
            <w:r w:rsidR="00EA08B7">
              <w:rPr>
                <w:noProof/>
                <w:webHidden/>
              </w:rPr>
              <w:fldChar w:fldCharType="end"/>
            </w:r>
          </w:hyperlink>
        </w:p>
        <w:p w14:paraId="5B0ED54E" w14:textId="430B585E" w:rsidR="00EA08B7" w:rsidRDefault="00B24BFD">
          <w:pPr>
            <w:pStyle w:val="Inhopg3"/>
            <w:rPr>
              <w:rFonts w:asciiTheme="minorHAnsi" w:eastAsiaTheme="minorEastAsia" w:hAnsiTheme="minorHAnsi"/>
              <w:noProof/>
              <w:sz w:val="22"/>
              <w:lang w:eastAsia="nl-BE"/>
            </w:rPr>
          </w:pPr>
          <w:hyperlink w:anchor="_Toc515180111" w:history="1">
            <w:r w:rsidR="00EA08B7" w:rsidRPr="00CF2A45">
              <w:rPr>
                <w:rStyle w:val="Hyperlink"/>
                <w:noProof/>
                <w:lang w:val="de-DE"/>
              </w:rPr>
              <w:t>7.4.1.</w:t>
            </w:r>
            <w:r w:rsidR="00EA08B7">
              <w:rPr>
                <w:rFonts w:asciiTheme="minorHAnsi" w:eastAsiaTheme="minorEastAsia" w:hAnsiTheme="minorHAnsi"/>
                <w:noProof/>
                <w:sz w:val="22"/>
                <w:lang w:eastAsia="nl-BE"/>
              </w:rPr>
              <w:tab/>
            </w:r>
            <w:r w:rsidR="00EA08B7" w:rsidRPr="00CF2A45">
              <w:rPr>
                <w:rStyle w:val="Hyperlink"/>
                <w:noProof/>
                <w:lang w:val="de-DE"/>
              </w:rPr>
              <w:t>Anlauf zum Ausbruch im Mondial</w:t>
            </w:r>
            <w:r w:rsidR="00EA08B7">
              <w:rPr>
                <w:noProof/>
                <w:webHidden/>
              </w:rPr>
              <w:tab/>
            </w:r>
            <w:r w:rsidR="00EA08B7">
              <w:rPr>
                <w:noProof/>
                <w:webHidden/>
              </w:rPr>
              <w:fldChar w:fldCharType="begin"/>
            </w:r>
            <w:r w:rsidR="00EA08B7">
              <w:rPr>
                <w:noProof/>
                <w:webHidden/>
              </w:rPr>
              <w:instrText xml:space="preserve"> PAGEREF _Toc515180111 \h </w:instrText>
            </w:r>
            <w:r w:rsidR="00EA08B7">
              <w:rPr>
                <w:noProof/>
                <w:webHidden/>
              </w:rPr>
            </w:r>
            <w:r w:rsidR="00EA08B7">
              <w:rPr>
                <w:noProof/>
                <w:webHidden/>
              </w:rPr>
              <w:fldChar w:fldCharType="separate"/>
            </w:r>
            <w:r w:rsidR="008328AC">
              <w:rPr>
                <w:noProof/>
                <w:webHidden/>
              </w:rPr>
              <w:t>69</w:t>
            </w:r>
            <w:r w:rsidR="00EA08B7">
              <w:rPr>
                <w:noProof/>
                <w:webHidden/>
              </w:rPr>
              <w:fldChar w:fldCharType="end"/>
            </w:r>
          </w:hyperlink>
        </w:p>
        <w:p w14:paraId="6319FCEE" w14:textId="1F24C8C8" w:rsidR="00EA08B7" w:rsidRDefault="00B24BFD">
          <w:pPr>
            <w:pStyle w:val="Inhopg3"/>
            <w:rPr>
              <w:rFonts w:asciiTheme="minorHAnsi" w:eastAsiaTheme="minorEastAsia" w:hAnsiTheme="minorHAnsi"/>
              <w:noProof/>
              <w:sz w:val="22"/>
              <w:lang w:eastAsia="nl-BE"/>
            </w:rPr>
          </w:pPr>
          <w:hyperlink w:anchor="_Toc515180112" w:history="1">
            <w:r w:rsidR="00EA08B7" w:rsidRPr="00CF2A45">
              <w:rPr>
                <w:rStyle w:val="Hyperlink"/>
                <w:noProof/>
                <w:lang w:val="de-DE"/>
              </w:rPr>
              <w:t>7.4.2.</w:t>
            </w:r>
            <w:r w:rsidR="00EA08B7">
              <w:rPr>
                <w:rFonts w:asciiTheme="minorHAnsi" w:eastAsiaTheme="minorEastAsia" w:hAnsiTheme="minorHAnsi"/>
                <w:noProof/>
                <w:sz w:val="22"/>
                <w:lang w:eastAsia="nl-BE"/>
              </w:rPr>
              <w:tab/>
            </w:r>
            <w:r w:rsidR="00EA08B7" w:rsidRPr="00CF2A45">
              <w:rPr>
                <w:rStyle w:val="Hyperlink"/>
                <w:noProof/>
                <w:lang w:val="de-DE"/>
              </w:rPr>
              <w:t>Kloszene als Kulminationspunkt</w:t>
            </w:r>
            <w:r w:rsidR="00EA08B7">
              <w:rPr>
                <w:noProof/>
                <w:webHidden/>
              </w:rPr>
              <w:tab/>
            </w:r>
            <w:r w:rsidR="00EA08B7">
              <w:rPr>
                <w:noProof/>
                <w:webHidden/>
              </w:rPr>
              <w:fldChar w:fldCharType="begin"/>
            </w:r>
            <w:r w:rsidR="00EA08B7">
              <w:rPr>
                <w:noProof/>
                <w:webHidden/>
              </w:rPr>
              <w:instrText xml:space="preserve"> PAGEREF _Toc515180112 \h </w:instrText>
            </w:r>
            <w:r w:rsidR="00EA08B7">
              <w:rPr>
                <w:noProof/>
                <w:webHidden/>
              </w:rPr>
            </w:r>
            <w:r w:rsidR="00EA08B7">
              <w:rPr>
                <w:noProof/>
                <w:webHidden/>
              </w:rPr>
              <w:fldChar w:fldCharType="separate"/>
            </w:r>
            <w:r w:rsidR="008328AC">
              <w:rPr>
                <w:noProof/>
                <w:webHidden/>
              </w:rPr>
              <w:t>71</w:t>
            </w:r>
            <w:r w:rsidR="00EA08B7">
              <w:rPr>
                <w:noProof/>
                <w:webHidden/>
              </w:rPr>
              <w:fldChar w:fldCharType="end"/>
            </w:r>
          </w:hyperlink>
        </w:p>
        <w:p w14:paraId="7709305E" w14:textId="27521819" w:rsidR="00EA08B7" w:rsidRDefault="00B24BFD">
          <w:pPr>
            <w:pStyle w:val="Inhopg3"/>
            <w:rPr>
              <w:rFonts w:asciiTheme="minorHAnsi" w:eastAsiaTheme="minorEastAsia" w:hAnsiTheme="minorHAnsi"/>
              <w:noProof/>
              <w:sz w:val="22"/>
              <w:lang w:eastAsia="nl-BE"/>
            </w:rPr>
          </w:pPr>
          <w:hyperlink w:anchor="_Toc515180113" w:history="1">
            <w:r w:rsidR="00EA08B7" w:rsidRPr="00CF2A45">
              <w:rPr>
                <w:rStyle w:val="Hyperlink"/>
                <w:noProof/>
                <w:lang w:val="de-DE"/>
              </w:rPr>
              <w:t>7.4.3.</w:t>
            </w:r>
            <w:r w:rsidR="00EA08B7">
              <w:rPr>
                <w:rFonts w:asciiTheme="minorHAnsi" w:eastAsiaTheme="minorEastAsia" w:hAnsiTheme="minorHAnsi"/>
                <w:noProof/>
                <w:sz w:val="22"/>
                <w:lang w:eastAsia="nl-BE"/>
              </w:rPr>
              <w:tab/>
            </w:r>
            <w:r w:rsidR="00EA08B7" w:rsidRPr="00CF2A45">
              <w:rPr>
                <w:rStyle w:val="Hyperlink"/>
                <w:noProof/>
                <w:lang w:val="de-DE"/>
              </w:rPr>
              <w:t>Ausbruch aus der Unterdrückung</w:t>
            </w:r>
            <w:r w:rsidR="00EA08B7">
              <w:rPr>
                <w:noProof/>
                <w:webHidden/>
              </w:rPr>
              <w:tab/>
            </w:r>
            <w:r w:rsidR="00EA08B7">
              <w:rPr>
                <w:noProof/>
                <w:webHidden/>
              </w:rPr>
              <w:fldChar w:fldCharType="begin"/>
            </w:r>
            <w:r w:rsidR="00EA08B7">
              <w:rPr>
                <w:noProof/>
                <w:webHidden/>
              </w:rPr>
              <w:instrText xml:space="preserve"> PAGEREF _Toc515180113 \h </w:instrText>
            </w:r>
            <w:r w:rsidR="00EA08B7">
              <w:rPr>
                <w:noProof/>
                <w:webHidden/>
              </w:rPr>
            </w:r>
            <w:r w:rsidR="00EA08B7">
              <w:rPr>
                <w:noProof/>
                <w:webHidden/>
              </w:rPr>
              <w:fldChar w:fldCharType="separate"/>
            </w:r>
            <w:r w:rsidR="008328AC">
              <w:rPr>
                <w:noProof/>
                <w:webHidden/>
              </w:rPr>
              <w:t>72</w:t>
            </w:r>
            <w:r w:rsidR="00EA08B7">
              <w:rPr>
                <w:noProof/>
                <w:webHidden/>
              </w:rPr>
              <w:fldChar w:fldCharType="end"/>
            </w:r>
          </w:hyperlink>
        </w:p>
        <w:p w14:paraId="3691744B" w14:textId="455114D1" w:rsidR="00EA08B7" w:rsidRDefault="00B24BFD">
          <w:pPr>
            <w:pStyle w:val="Inhopg1"/>
            <w:rPr>
              <w:rFonts w:asciiTheme="minorHAnsi" w:eastAsiaTheme="minorEastAsia" w:hAnsiTheme="minorHAnsi"/>
              <w:noProof/>
              <w:sz w:val="22"/>
              <w:lang w:eastAsia="nl-BE"/>
            </w:rPr>
          </w:pPr>
          <w:hyperlink w:anchor="_Toc515180114" w:history="1">
            <w:r w:rsidR="00EA08B7" w:rsidRPr="00CF2A45">
              <w:rPr>
                <w:rStyle w:val="Hyperlink"/>
                <w:noProof/>
                <w:lang w:val="de-DE"/>
              </w:rPr>
              <w:t>8.</w:t>
            </w:r>
            <w:r w:rsidR="00EA08B7">
              <w:rPr>
                <w:rFonts w:asciiTheme="minorHAnsi" w:eastAsiaTheme="minorEastAsia" w:hAnsiTheme="minorHAnsi"/>
                <w:noProof/>
                <w:sz w:val="22"/>
                <w:lang w:eastAsia="nl-BE"/>
              </w:rPr>
              <w:tab/>
            </w:r>
            <w:r w:rsidR="00EA08B7" w:rsidRPr="00CF2A45">
              <w:rPr>
                <w:rStyle w:val="Hyperlink"/>
                <w:noProof/>
                <w:lang w:val="de-DE"/>
              </w:rPr>
              <w:t>Schlussfolgerung</w:t>
            </w:r>
            <w:r w:rsidR="00EA08B7">
              <w:rPr>
                <w:noProof/>
                <w:webHidden/>
              </w:rPr>
              <w:tab/>
            </w:r>
            <w:r w:rsidR="00EA08B7">
              <w:rPr>
                <w:noProof/>
                <w:webHidden/>
              </w:rPr>
              <w:fldChar w:fldCharType="begin"/>
            </w:r>
            <w:r w:rsidR="00EA08B7">
              <w:rPr>
                <w:noProof/>
                <w:webHidden/>
              </w:rPr>
              <w:instrText xml:space="preserve"> PAGEREF _Toc515180114 \h </w:instrText>
            </w:r>
            <w:r w:rsidR="00EA08B7">
              <w:rPr>
                <w:noProof/>
                <w:webHidden/>
              </w:rPr>
            </w:r>
            <w:r w:rsidR="00EA08B7">
              <w:rPr>
                <w:noProof/>
                <w:webHidden/>
              </w:rPr>
              <w:fldChar w:fldCharType="separate"/>
            </w:r>
            <w:r w:rsidR="008328AC">
              <w:rPr>
                <w:noProof/>
                <w:webHidden/>
              </w:rPr>
              <w:t>75</w:t>
            </w:r>
            <w:r w:rsidR="00EA08B7">
              <w:rPr>
                <w:noProof/>
                <w:webHidden/>
              </w:rPr>
              <w:fldChar w:fldCharType="end"/>
            </w:r>
          </w:hyperlink>
        </w:p>
        <w:p w14:paraId="05273BB0" w14:textId="3F0CCC78" w:rsidR="00EA08B7" w:rsidRDefault="00B24BFD">
          <w:pPr>
            <w:pStyle w:val="Inhopg1"/>
            <w:rPr>
              <w:rFonts w:asciiTheme="minorHAnsi" w:eastAsiaTheme="minorEastAsia" w:hAnsiTheme="minorHAnsi"/>
              <w:noProof/>
              <w:sz w:val="22"/>
              <w:lang w:eastAsia="nl-BE"/>
            </w:rPr>
          </w:pPr>
          <w:hyperlink w:anchor="_Toc515180115" w:history="1">
            <w:r w:rsidR="00EA08B7" w:rsidRPr="00CF2A45">
              <w:rPr>
                <w:rStyle w:val="Hyperlink"/>
                <w:noProof/>
                <w:lang w:val="de-DE"/>
              </w:rPr>
              <w:t>9.</w:t>
            </w:r>
            <w:r w:rsidR="00EA08B7">
              <w:rPr>
                <w:rFonts w:asciiTheme="minorHAnsi" w:eastAsiaTheme="minorEastAsia" w:hAnsiTheme="minorHAnsi"/>
                <w:noProof/>
                <w:sz w:val="22"/>
                <w:lang w:eastAsia="nl-BE"/>
              </w:rPr>
              <w:tab/>
            </w:r>
            <w:r w:rsidR="00EA08B7" w:rsidRPr="00CF2A45">
              <w:rPr>
                <w:rStyle w:val="Hyperlink"/>
                <w:noProof/>
                <w:lang w:val="de-DE"/>
              </w:rPr>
              <w:t>Bibliografie</w:t>
            </w:r>
            <w:r w:rsidR="00EA08B7">
              <w:rPr>
                <w:noProof/>
                <w:webHidden/>
              </w:rPr>
              <w:tab/>
            </w:r>
            <w:r w:rsidR="00EA08B7">
              <w:rPr>
                <w:noProof/>
                <w:webHidden/>
              </w:rPr>
              <w:fldChar w:fldCharType="begin"/>
            </w:r>
            <w:r w:rsidR="00EA08B7">
              <w:rPr>
                <w:noProof/>
                <w:webHidden/>
              </w:rPr>
              <w:instrText xml:space="preserve"> PAGEREF _Toc515180115 \h </w:instrText>
            </w:r>
            <w:r w:rsidR="00EA08B7">
              <w:rPr>
                <w:noProof/>
                <w:webHidden/>
              </w:rPr>
            </w:r>
            <w:r w:rsidR="00EA08B7">
              <w:rPr>
                <w:noProof/>
                <w:webHidden/>
              </w:rPr>
              <w:fldChar w:fldCharType="separate"/>
            </w:r>
            <w:r w:rsidR="008328AC">
              <w:rPr>
                <w:noProof/>
                <w:webHidden/>
              </w:rPr>
              <w:t>78</w:t>
            </w:r>
            <w:r w:rsidR="00EA08B7">
              <w:rPr>
                <w:noProof/>
                <w:webHidden/>
              </w:rPr>
              <w:fldChar w:fldCharType="end"/>
            </w:r>
          </w:hyperlink>
        </w:p>
        <w:p w14:paraId="4D298BA1" w14:textId="2DF93F21" w:rsidR="00EA08B7" w:rsidRDefault="00B24BFD">
          <w:pPr>
            <w:pStyle w:val="Inhopg2"/>
            <w:tabs>
              <w:tab w:val="left" w:pos="880"/>
              <w:tab w:val="right" w:leader="dot" w:pos="9061"/>
            </w:tabs>
            <w:rPr>
              <w:rFonts w:asciiTheme="minorHAnsi" w:eastAsiaTheme="minorEastAsia" w:hAnsiTheme="minorHAnsi"/>
              <w:noProof/>
              <w:sz w:val="22"/>
              <w:lang w:eastAsia="nl-BE"/>
            </w:rPr>
          </w:pPr>
          <w:hyperlink w:anchor="_Toc515180116" w:history="1">
            <w:r w:rsidR="00EA08B7" w:rsidRPr="00CF2A45">
              <w:rPr>
                <w:rStyle w:val="Hyperlink"/>
                <w:noProof/>
                <w:lang w:val="de-DE"/>
              </w:rPr>
              <w:t>9.1.</w:t>
            </w:r>
            <w:r w:rsidR="00EA08B7">
              <w:rPr>
                <w:rFonts w:asciiTheme="minorHAnsi" w:eastAsiaTheme="minorEastAsia" w:hAnsiTheme="minorHAnsi"/>
                <w:noProof/>
                <w:sz w:val="22"/>
                <w:lang w:eastAsia="nl-BE"/>
              </w:rPr>
              <w:tab/>
            </w:r>
            <w:r w:rsidR="00EA08B7" w:rsidRPr="00CF2A45">
              <w:rPr>
                <w:rStyle w:val="Hyperlink"/>
                <w:noProof/>
                <w:lang w:val="de-DE"/>
              </w:rPr>
              <w:t>Primärliteratur</w:t>
            </w:r>
            <w:r w:rsidR="00EA08B7">
              <w:rPr>
                <w:noProof/>
                <w:webHidden/>
              </w:rPr>
              <w:tab/>
            </w:r>
            <w:r w:rsidR="00EA08B7">
              <w:rPr>
                <w:noProof/>
                <w:webHidden/>
              </w:rPr>
              <w:fldChar w:fldCharType="begin"/>
            </w:r>
            <w:r w:rsidR="00EA08B7">
              <w:rPr>
                <w:noProof/>
                <w:webHidden/>
              </w:rPr>
              <w:instrText xml:space="preserve"> PAGEREF _Toc515180116 \h </w:instrText>
            </w:r>
            <w:r w:rsidR="00EA08B7">
              <w:rPr>
                <w:noProof/>
                <w:webHidden/>
              </w:rPr>
            </w:r>
            <w:r w:rsidR="00EA08B7">
              <w:rPr>
                <w:noProof/>
                <w:webHidden/>
              </w:rPr>
              <w:fldChar w:fldCharType="separate"/>
            </w:r>
            <w:r w:rsidR="008328AC">
              <w:rPr>
                <w:noProof/>
                <w:webHidden/>
              </w:rPr>
              <w:t>78</w:t>
            </w:r>
            <w:r w:rsidR="00EA08B7">
              <w:rPr>
                <w:noProof/>
                <w:webHidden/>
              </w:rPr>
              <w:fldChar w:fldCharType="end"/>
            </w:r>
          </w:hyperlink>
        </w:p>
        <w:p w14:paraId="4DDE7E46" w14:textId="3214AB86" w:rsidR="00EA08B7" w:rsidRDefault="00B24BFD">
          <w:pPr>
            <w:pStyle w:val="Inhopg2"/>
            <w:tabs>
              <w:tab w:val="left" w:pos="880"/>
              <w:tab w:val="right" w:leader="dot" w:pos="9061"/>
            </w:tabs>
            <w:rPr>
              <w:rFonts w:asciiTheme="minorHAnsi" w:eastAsiaTheme="minorEastAsia" w:hAnsiTheme="minorHAnsi"/>
              <w:noProof/>
              <w:sz w:val="22"/>
              <w:lang w:eastAsia="nl-BE"/>
            </w:rPr>
          </w:pPr>
          <w:hyperlink w:anchor="_Toc515180117" w:history="1">
            <w:r w:rsidR="00EA08B7" w:rsidRPr="00CF2A45">
              <w:rPr>
                <w:rStyle w:val="Hyperlink"/>
                <w:noProof/>
                <w:lang w:val="de-DE"/>
              </w:rPr>
              <w:t>9.2.</w:t>
            </w:r>
            <w:r w:rsidR="00EA08B7">
              <w:rPr>
                <w:rFonts w:asciiTheme="minorHAnsi" w:eastAsiaTheme="minorEastAsia" w:hAnsiTheme="minorHAnsi"/>
                <w:noProof/>
                <w:sz w:val="22"/>
                <w:lang w:eastAsia="nl-BE"/>
              </w:rPr>
              <w:tab/>
            </w:r>
            <w:r w:rsidR="00EA08B7" w:rsidRPr="00CF2A45">
              <w:rPr>
                <w:rStyle w:val="Hyperlink"/>
                <w:noProof/>
                <w:lang w:val="de-DE"/>
              </w:rPr>
              <w:t>Sekundärliteratur</w:t>
            </w:r>
            <w:r w:rsidR="00EA08B7">
              <w:rPr>
                <w:noProof/>
                <w:webHidden/>
              </w:rPr>
              <w:tab/>
            </w:r>
            <w:r w:rsidR="00EA08B7">
              <w:rPr>
                <w:noProof/>
                <w:webHidden/>
              </w:rPr>
              <w:fldChar w:fldCharType="begin"/>
            </w:r>
            <w:r w:rsidR="00EA08B7">
              <w:rPr>
                <w:noProof/>
                <w:webHidden/>
              </w:rPr>
              <w:instrText xml:space="preserve"> PAGEREF _Toc515180117 \h </w:instrText>
            </w:r>
            <w:r w:rsidR="00EA08B7">
              <w:rPr>
                <w:noProof/>
                <w:webHidden/>
              </w:rPr>
            </w:r>
            <w:r w:rsidR="00EA08B7">
              <w:rPr>
                <w:noProof/>
                <w:webHidden/>
              </w:rPr>
              <w:fldChar w:fldCharType="separate"/>
            </w:r>
            <w:r w:rsidR="008328AC">
              <w:rPr>
                <w:noProof/>
                <w:webHidden/>
              </w:rPr>
              <w:t>78</w:t>
            </w:r>
            <w:r w:rsidR="00EA08B7">
              <w:rPr>
                <w:noProof/>
                <w:webHidden/>
              </w:rPr>
              <w:fldChar w:fldCharType="end"/>
            </w:r>
          </w:hyperlink>
        </w:p>
        <w:p w14:paraId="2D569F7D" w14:textId="6454FC6F" w:rsidR="00561043" w:rsidRDefault="00B82B66" w:rsidP="004A432E">
          <w:pPr>
            <w:rPr>
              <w:b/>
              <w:bCs/>
              <w:lang w:val="nl-NL"/>
            </w:rPr>
          </w:pPr>
          <w:r>
            <w:rPr>
              <w:b/>
              <w:bCs/>
              <w:lang w:val="nl-NL"/>
            </w:rPr>
            <w:fldChar w:fldCharType="end"/>
          </w:r>
        </w:p>
      </w:sdtContent>
    </w:sdt>
    <w:p w14:paraId="4AB88ADD" w14:textId="77777777" w:rsidR="004B7B7D" w:rsidRDefault="004B7B7D" w:rsidP="004A432E">
      <w:pPr>
        <w:spacing w:after="160"/>
        <w:jc w:val="left"/>
        <w:rPr>
          <w:lang w:val="de-DE"/>
        </w:rPr>
      </w:pPr>
    </w:p>
    <w:p w14:paraId="5389364F" w14:textId="66EE1375" w:rsidR="004B7B7D" w:rsidRPr="004B7B7D" w:rsidRDefault="00E86F8E" w:rsidP="004A432E">
      <w:pPr>
        <w:spacing w:after="160"/>
        <w:jc w:val="left"/>
        <w:rPr>
          <w:lang w:val="de-DE"/>
        </w:rPr>
      </w:pPr>
      <w:r>
        <w:rPr>
          <w:lang w:val="de-DE"/>
        </w:rPr>
        <w:t>24.422</w:t>
      </w:r>
      <w:r w:rsidR="004B7B7D">
        <w:rPr>
          <w:lang w:val="de-DE"/>
        </w:rPr>
        <w:t xml:space="preserve"> Wörter</w:t>
      </w:r>
      <w:r w:rsidR="00706AF8">
        <w:rPr>
          <w:lang w:val="de-DE"/>
        </w:rPr>
        <w:br w:type="page"/>
      </w:r>
    </w:p>
    <w:p w14:paraId="7B610D54" w14:textId="02233961" w:rsidR="002E4F56" w:rsidRDefault="002E4F56" w:rsidP="002E4F56">
      <w:pPr>
        <w:pStyle w:val="Kop1"/>
        <w:numPr>
          <w:ilvl w:val="0"/>
          <w:numId w:val="2"/>
        </w:numPr>
        <w:rPr>
          <w:lang w:val="de-DE"/>
        </w:rPr>
      </w:pPr>
      <w:bookmarkStart w:id="1" w:name="_Toc515180085"/>
      <w:r w:rsidRPr="002E4F56">
        <w:rPr>
          <w:lang w:val="de-DE"/>
        </w:rPr>
        <w:lastRenderedPageBreak/>
        <w:t>Einführung</w:t>
      </w:r>
      <w:bookmarkEnd w:id="1"/>
    </w:p>
    <w:p w14:paraId="463B7EF6" w14:textId="435A54AB" w:rsidR="00B44F7B" w:rsidRDefault="002E4F56" w:rsidP="008933C9">
      <w:pPr>
        <w:rPr>
          <w:rFonts w:cs="Times New Roman"/>
          <w:lang w:val="de-DE"/>
        </w:rPr>
      </w:pPr>
      <w:r>
        <w:rPr>
          <w:lang w:val="de-DE"/>
        </w:rPr>
        <w:t xml:space="preserve">In </w:t>
      </w:r>
      <w:r w:rsidR="008933C9">
        <w:rPr>
          <w:lang w:val="de-DE"/>
        </w:rPr>
        <w:t>der vorliegenden</w:t>
      </w:r>
      <w:r>
        <w:rPr>
          <w:lang w:val="de-DE"/>
        </w:rPr>
        <w:t xml:space="preserve"> Masterarbeit </w:t>
      </w:r>
      <w:r w:rsidR="00E724AB">
        <w:rPr>
          <w:lang w:val="de-DE"/>
        </w:rPr>
        <w:t xml:space="preserve">wird </w:t>
      </w:r>
      <w:r w:rsidR="000C746A">
        <w:rPr>
          <w:lang w:val="de-DE"/>
        </w:rPr>
        <w:t>ein literarisches Werk</w:t>
      </w:r>
      <w:r>
        <w:rPr>
          <w:lang w:val="de-DE"/>
        </w:rPr>
        <w:t xml:space="preserve"> aus der </w:t>
      </w:r>
      <w:r w:rsidR="0037789F">
        <w:rPr>
          <w:lang w:val="de-DE"/>
        </w:rPr>
        <w:t>aktuellen</w:t>
      </w:r>
      <w:r>
        <w:rPr>
          <w:lang w:val="de-DE"/>
        </w:rPr>
        <w:t xml:space="preserve"> deutschen Literaturlandschaft </w:t>
      </w:r>
      <w:r w:rsidR="00E724AB">
        <w:rPr>
          <w:lang w:val="de-DE"/>
        </w:rPr>
        <w:t>behandelt</w:t>
      </w:r>
      <w:r>
        <w:rPr>
          <w:lang w:val="de-DE"/>
        </w:rPr>
        <w:t xml:space="preserve">. </w:t>
      </w:r>
      <w:r w:rsidR="0037789F">
        <w:rPr>
          <w:lang w:val="de-DE"/>
        </w:rPr>
        <w:t>Sie</w:t>
      </w:r>
      <w:r>
        <w:rPr>
          <w:lang w:val="de-DE"/>
        </w:rPr>
        <w:t xml:space="preserve"> betrifft</w:t>
      </w:r>
      <w:r w:rsidR="000C746A">
        <w:rPr>
          <w:lang w:val="de-DE"/>
        </w:rPr>
        <w:t xml:space="preserve"> den Roman</w:t>
      </w:r>
      <w:r>
        <w:rPr>
          <w:lang w:val="de-DE"/>
        </w:rPr>
        <w:t xml:space="preserve"> </w:t>
      </w:r>
      <w:r>
        <w:rPr>
          <w:i/>
          <w:lang w:val="de-DE"/>
        </w:rPr>
        <w:t>Tauben fliegen auf</w:t>
      </w:r>
      <w:r>
        <w:rPr>
          <w:lang w:val="de-DE"/>
        </w:rPr>
        <w:t xml:space="preserve"> </w:t>
      </w:r>
      <w:r w:rsidR="00E724AB">
        <w:rPr>
          <w:lang w:val="de-DE"/>
        </w:rPr>
        <w:t xml:space="preserve">(2010) </w:t>
      </w:r>
      <w:r>
        <w:rPr>
          <w:lang w:val="de-DE"/>
        </w:rPr>
        <w:t xml:space="preserve">von Melinda Nadj Abonji, </w:t>
      </w:r>
      <w:r w:rsidR="0037789F">
        <w:rPr>
          <w:lang w:val="de-DE"/>
        </w:rPr>
        <w:t>in Bezug auf den</w:t>
      </w:r>
      <w:r>
        <w:rPr>
          <w:lang w:val="de-DE"/>
        </w:rPr>
        <w:t xml:space="preserve"> in einer </w:t>
      </w:r>
      <w:r w:rsidR="00EE79FF">
        <w:rPr>
          <w:lang w:val="de-DE"/>
        </w:rPr>
        <w:t>einführenden</w:t>
      </w:r>
      <w:r>
        <w:rPr>
          <w:lang w:val="de-DE"/>
        </w:rPr>
        <w:t xml:space="preserve"> </w:t>
      </w:r>
      <w:r w:rsidR="00910F82">
        <w:rPr>
          <w:lang w:val="de-DE"/>
        </w:rPr>
        <w:t>Untersuchung</w:t>
      </w:r>
      <w:r w:rsidR="001F6C41">
        <w:rPr>
          <w:lang w:val="de-DE"/>
        </w:rPr>
        <w:t xml:space="preserve"> – die Bachelorarbeit „Die Angst, in der Welt als Fremde dazustehen. Eine Analyse der Suche nach Identität in Melinda Nadj Abonjis </w:t>
      </w:r>
      <w:r w:rsidR="001F6C41">
        <w:rPr>
          <w:i/>
          <w:lang w:val="de-DE"/>
        </w:rPr>
        <w:t>Tauben fliegen auf</w:t>
      </w:r>
      <w:r w:rsidR="001F6C41">
        <w:rPr>
          <w:lang w:val="de-DE"/>
        </w:rPr>
        <w:t xml:space="preserve">“ </w:t>
      </w:r>
      <w:r w:rsidR="008933C9">
        <w:rPr>
          <w:lang w:val="de-DE"/>
        </w:rPr>
        <w:t xml:space="preserve">(2017) </w:t>
      </w:r>
      <w:r w:rsidR="001F6C41">
        <w:rPr>
          <w:lang w:val="de-DE"/>
        </w:rPr>
        <w:t>–</w:t>
      </w:r>
      <w:r>
        <w:rPr>
          <w:lang w:val="de-DE"/>
        </w:rPr>
        <w:t xml:space="preserve"> das Thema der Identitätssuche </w:t>
      </w:r>
      <w:r w:rsidR="0037789F">
        <w:rPr>
          <w:lang w:val="de-DE"/>
        </w:rPr>
        <w:t>analysiert</w:t>
      </w:r>
      <w:r>
        <w:rPr>
          <w:lang w:val="de-DE"/>
        </w:rPr>
        <w:t xml:space="preserve"> wurde</w:t>
      </w:r>
      <w:r w:rsidR="006D2571">
        <w:rPr>
          <w:lang w:val="de-DE"/>
        </w:rPr>
        <w:t xml:space="preserve">. </w:t>
      </w:r>
      <w:r w:rsidR="00196FB4">
        <w:rPr>
          <w:rFonts w:cs="Times New Roman"/>
          <w:lang w:val="de-DE"/>
        </w:rPr>
        <w:t xml:space="preserve">Der Fokus lag dabei auf </w:t>
      </w:r>
      <w:r w:rsidR="0037789F">
        <w:rPr>
          <w:rFonts w:cs="Times New Roman"/>
          <w:lang w:val="de-DE"/>
        </w:rPr>
        <w:t>dem</w:t>
      </w:r>
      <w:r w:rsidR="00196FB4">
        <w:rPr>
          <w:rFonts w:cs="Times New Roman"/>
          <w:lang w:val="de-DE"/>
        </w:rPr>
        <w:t xml:space="preserve"> Zusammenhang zwi</w:t>
      </w:r>
      <w:r w:rsidR="00D72801">
        <w:rPr>
          <w:rFonts w:cs="Times New Roman"/>
          <w:lang w:val="de-DE"/>
        </w:rPr>
        <w:t>schen Identitätserhalt und -V</w:t>
      </w:r>
      <w:r w:rsidR="00196FB4">
        <w:rPr>
          <w:rFonts w:cs="Times New Roman"/>
          <w:lang w:val="de-DE"/>
        </w:rPr>
        <w:t xml:space="preserve">erlust vor dem Hintergrund einer Migrationsgeschichte. Es wurde festgestellt, dass der fehlgeschlagene Integrationsversuch von verschiedenen Faktoren ausgelöst wurde, </w:t>
      </w:r>
      <w:r w:rsidR="0037789F">
        <w:rPr>
          <w:rFonts w:cs="Times New Roman"/>
          <w:lang w:val="de-DE"/>
        </w:rPr>
        <w:t>zu</w:t>
      </w:r>
      <w:r w:rsidR="0012795D">
        <w:rPr>
          <w:rFonts w:cs="Times New Roman"/>
          <w:lang w:val="de-DE"/>
        </w:rPr>
        <w:t xml:space="preserve"> denen nicht nur die </w:t>
      </w:r>
      <w:r w:rsidR="00196FB4">
        <w:rPr>
          <w:rFonts w:cs="Times New Roman"/>
          <w:lang w:val="de-DE"/>
        </w:rPr>
        <w:t>gesamte Herkunft</w:t>
      </w:r>
      <w:r w:rsidR="0037789F">
        <w:rPr>
          <w:rFonts w:cs="Times New Roman"/>
          <w:lang w:val="de-DE"/>
        </w:rPr>
        <w:t xml:space="preserve">s- und Ankunftsgesellschaft und </w:t>
      </w:r>
      <w:r w:rsidR="005D5A35">
        <w:rPr>
          <w:rFonts w:cs="Times New Roman"/>
          <w:lang w:val="de-DE"/>
        </w:rPr>
        <w:t>die</w:t>
      </w:r>
      <w:r w:rsidR="00196FB4">
        <w:rPr>
          <w:rFonts w:cs="Times New Roman"/>
          <w:lang w:val="de-DE"/>
        </w:rPr>
        <w:t xml:space="preserve"> Position als Fremde </w:t>
      </w:r>
      <w:r w:rsidR="005D5A35">
        <w:rPr>
          <w:rFonts w:cs="Times New Roman"/>
          <w:lang w:val="de-DE"/>
        </w:rPr>
        <w:t xml:space="preserve">der Hauptfigur Ildikó </w:t>
      </w:r>
      <w:r w:rsidR="0037789F">
        <w:rPr>
          <w:rFonts w:cs="Times New Roman"/>
          <w:lang w:val="de-DE"/>
        </w:rPr>
        <w:t>gehörten</w:t>
      </w:r>
      <w:r w:rsidR="00196FB4">
        <w:rPr>
          <w:rFonts w:cs="Times New Roman"/>
          <w:lang w:val="de-DE"/>
        </w:rPr>
        <w:t xml:space="preserve">, sondern auch </w:t>
      </w:r>
      <w:r w:rsidR="00D72801">
        <w:rPr>
          <w:rFonts w:cs="Times New Roman"/>
          <w:lang w:val="de-DE"/>
        </w:rPr>
        <w:t xml:space="preserve">die </w:t>
      </w:r>
      <w:r w:rsidR="004A432E">
        <w:rPr>
          <w:rFonts w:cs="Times New Roman"/>
          <w:lang w:val="de-DE"/>
        </w:rPr>
        <w:t>Hauptfigur</w:t>
      </w:r>
      <w:r w:rsidR="00D72801">
        <w:rPr>
          <w:rFonts w:cs="Times New Roman"/>
          <w:lang w:val="de-DE"/>
        </w:rPr>
        <w:t xml:space="preserve"> selbst</w:t>
      </w:r>
      <w:r w:rsidR="004A432E">
        <w:rPr>
          <w:rFonts w:cs="Times New Roman"/>
          <w:lang w:val="de-DE"/>
        </w:rPr>
        <w:t xml:space="preserve"> </w:t>
      </w:r>
      <w:r w:rsidR="00684325">
        <w:rPr>
          <w:rFonts w:cs="Times New Roman"/>
          <w:lang w:val="de-DE"/>
        </w:rPr>
        <w:t>trug zu einer anfänglich misslungenen Integration</w:t>
      </w:r>
      <w:r w:rsidR="0012795D">
        <w:rPr>
          <w:rFonts w:cs="Times New Roman"/>
          <w:lang w:val="de-DE"/>
        </w:rPr>
        <w:t xml:space="preserve"> bzw. einer Assimilationsverweigerung</w:t>
      </w:r>
      <w:r w:rsidR="00684325">
        <w:rPr>
          <w:rFonts w:cs="Times New Roman"/>
          <w:lang w:val="de-DE"/>
        </w:rPr>
        <w:t xml:space="preserve"> bei. Schließlich stellte Ildikós Auszug aus dem Elternhaus den ersten Schritt in Richtung einer erfolgreichen Integration</w:t>
      </w:r>
      <w:r w:rsidR="006D2571">
        <w:rPr>
          <w:rFonts w:cs="Times New Roman"/>
          <w:lang w:val="de-DE"/>
        </w:rPr>
        <w:t xml:space="preserve"> dar</w:t>
      </w:r>
      <w:r w:rsidR="00684325">
        <w:rPr>
          <w:rFonts w:cs="Times New Roman"/>
          <w:lang w:val="de-DE"/>
        </w:rPr>
        <w:t xml:space="preserve">. </w:t>
      </w:r>
    </w:p>
    <w:p w14:paraId="037AC3D2" w14:textId="4A4C993A" w:rsidR="00684325" w:rsidRDefault="00684325" w:rsidP="00453F68">
      <w:pPr>
        <w:ind w:firstLine="708"/>
        <w:rPr>
          <w:rFonts w:cs="Times New Roman"/>
          <w:lang w:val="de-DE"/>
        </w:rPr>
      </w:pPr>
      <w:r>
        <w:rPr>
          <w:rFonts w:cs="Times New Roman"/>
          <w:lang w:val="de-DE"/>
        </w:rPr>
        <w:t xml:space="preserve">Auch wenn </w:t>
      </w:r>
      <w:r w:rsidR="0012795D">
        <w:rPr>
          <w:rFonts w:cs="Times New Roman"/>
          <w:lang w:val="de-DE"/>
        </w:rPr>
        <w:t>diese</w:t>
      </w:r>
      <w:r>
        <w:rPr>
          <w:rFonts w:cs="Times New Roman"/>
          <w:lang w:val="de-DE"/>
        </w:rPr>
        <w:t xml:space="preserve"> Bachelorarbeit </w:t>
      </w:r>
      <w:r w:rsidR="0012795D">
        <w:rPr>
          <w:rFonts w:cs="Times New Roman"/>
          <w:lang w:val="de-DE"/>
        </w:rPr>
        <w:t>bereits einige Aspekte von Migration behandeln konnte</w:t>
      </w:r>
      <w:r w:rsidR="00B44F7B">
        <w:rPr>
          <w:rFonts w:cs="Times New Roman"/>
          <w:lang w:val="de-DE"/>
        </w:rPr>
        <w:t>,</w:t>
      </w:r>
      <w:r w:rsidR="0012795D">
        <w:rPr>
          <w:rFonts w:cs="Times New Roman"/>
          <w:lang w:val="de-DE"/>
        </w:rPr>
        <w:t xml:space="preserve"> möchte die vorliegende Arbeit eine große Lücke in der relativ überschaubaren Forschung zu diesem Roman schließen.</w:t>
      </w:r>
      <w:r w:rsidR="00B44F7B">
        <w:rPr>
          <w:rFonts w:cs="Times New Roman"/>
          <w:lang w:val="de-DE"/>
        </w:rPr>
        <w:t xml:space="preserve"> </w:t>
      </w:r>
      <w:r w:rsidR="0012795D">
        <w:rPr>
          <w:rFonts w:cs="Times New Roman"/>
          <w:lang w:val="de-DE"/>
        </w:rPr>
        <w:t>D</w:t>
      </w:r>
      <w:r w:rsidR="00BB36E4">
        <w:rPr>
          <w:rFonts w:cs="Times New Roman"/>
          <w:lang w:val="de-DE"/>
        </w:rPr>
        <w:t xml:space="preserve">ie Masterarbeit </w:t>
      </w:r>
      <w:r w:rsidR="0012795D">
        <w:rPr>
          <w:rFonts w:cs="Times New Roman"/>
          <w:lang w:val="de-DE"/>
        </w:rPr>
        <w:t>setzt es sich zum Ziel, das Thema der Sprache in allen seinen Verästelungen zu erörtern.</w:t>
      </w:r>
      <w:r w:rsidR="007844B0">
        <w:rPr>
          <w:rFonts w:cs="Times New Roman"/>
          <w:lang w:val="de-DE"/>
        </w:rPr>
        <w:t xml:space="preserve"> Der erste Teil dieser Arbeit</w:t>
      </w:r>
      <w:r w:rsidR="004A432E">
        <w:rPr>
          <w:rFonts w:cs="Times New Roman"/>
          <w:lang w:val="de-DE"/>
        </w:rPr>
        <w:t xml:space="preserve"> (Kapitel 2 bis 4) </w:t>
      </w:r>
      <w:r w:rsidR="007844B0">
        <w:rPr>
          <w:rFonts w:cs="Times New Roman"/>
          <w:lang w:val="de-DE"/>
        </w:rPr>
        <w:t>besteht aus einer theoretischen Einführung</w:t>
      </w:r>
      <w:r w:rsidR="0012795D">
        <w:rPr>
          <w:rFonts w:cs="Times New Roman"/>
          <w:lang w:val="de-DE"/>
        </w:rPr>
        <w:t>,</w:t>
      </w:r>
      <w:r w:rsidR="007844B0">
        <w:rPr>
          <w:rFonts w:cs="Times New Roman"/>
          <w:lang w:val="de-DE"/>
        </w:rPr>
        <w:t xml:space="preserve"> in der vor allem die </w:t>
      </w:r>
      <w:r w:rsidR="00B44F7B">
        <w:rPr>
          <w:rFonts w:cs="Times New Roman"/>
          <w:lang w:val="de-DE"/>
        </w:rPr>
        <w:t xml:space="preserve">(feministischen) </w:t>
      </w:r>
      <w:r w:rsidR="007844B0">
        <w:rPr>
          <w:rFonts w:cs="Times New Roman"/>
          <w:lang w:val="de-DE"/>
        </w:rPr>
        <w:t>postkolonialistische</w:t>
      </w:r>
      <w:r w:rsidR="006D2571">
        <w:rPr>
          <w:rFonts w:cs="Times New Roman"/>
          <w:lang w:val="de-DE"/>
        </w:rPr>
        <w:t>n</w:t>
      </w:r>
      <w:r w:rsidR="007844B0">
        <w:rPr>
          <w:rFonts w:cs="Times New Roman"/>
          <w:lang w:val="de-DE"/>
        </w:rPr>
        <w:t xml:space="preserve"> Theorien </w:t>
      </w:r>
      <w:r w:rsidR="004813AA">
        <w:rPr>
          <w:rFonts w:cs="Times New Roman"/>
          <w:lang w:val="de-DE"/>
        </w:rPr>
        <w:t>der wichtigsten</w:t>
      </w:r>
      <w:r w:rsidR="007844B0">
        <w:rPr>
          <w:rFonts w:cs="Times New Roman"/>
          <w:lang w:val="de-DE"/>
        </w:rPr>
        <w:t xml:space="preserve"> Forscher</w:t>
      </w:r>
      <w:r w:rsidR="00B44F7B">
        <w:rPr>
          <w:rStyle w:val="Voetnootmarkering"/>
          <w:rFonts w:cs="Times New Roman"/>
          <w:lang w:val="de-DE"/>
        </w:rPr>
        <w:footnoteReference w:id="1"/>
      </w:r>
      <w:r w:rsidR="00B44F7B">
        <w:rPr>
          <w:rFonts w:cs="Times New Roman"/>
          <w:lang w:val="de-DE"/>
        </w:rPr>
        <w:t xml:space="preserve"> </w:t>
      </w:r>
      <w:r w:rsidR="007844B0">
        <w:rPr>
          <w:rFonts w:cs="Times New Roman"/>
          <w:lang w:val="de-DE"/>
        </w:rPr>
        <w:t xml:space="preserve">und die Performativitätstheorie von Judith Butler </w:t>
      </w:r>
      <w:r w:rsidR="0012795D">
        <w:rPr>
          <w:rFonts w:cs="Times New Roman"/>
          <w:lang w:val="de-DE"/>
        </w:rPr>
        <w:t>vorgestellt werden</w:t>
      </w:r>
      <w:r w:rsidR="007844B0">
        <w:rPr>
          <w:rFonts w:cs="Times New Roman"/>
          <w:lang w:val="de-DE"/>
        </w:rPr>
        <w:t>.</w:t>
      </w:r>
      <w:r w:rsidR="007144F4">
        <w:rPr>
          <w:rFonts w:cs="Times New Roman"/>
          <w:lang w:val="de-DE"/>
        </w:rPr>
        <w:t xml:space="preserve"> Der Postkolonialismus </w:t>
      </w:r>
      <w:r w:rsidR="0012795D">
        <w:rPr>
          <w:rFonts w:cs="Times New Roman"/>
          <w:lang w:val="de-DE"/>
        </w:rPr>
        <w:t xml:space="preserve">ist als Methodologie für die Analyse relevant, da Aspekte der sozialen Ungleichheit im Roman zum Teil aus kolonialen und postkolonialen Strukturen resultieren. Die soziale Ungleichheit soll jetzt anhand des westlichen Überlegenheitsgefühls Migranten gegenüber und anhand vom Thema Sprache näher in den Blick genommen werden. </w:t>
      </w:r>
      <w:r w:rsidR="006D2DBF">
        <w:rPr>
          <w:rFonts w:cs="Times New Roman"/>
          <w:lang w:val="de-DE"/>
        </w:rPr>
        <w:t xml:space="preserve">In Bezug darauf </w:t>
      </w:r>
      <w:r w:rsidR="002D620F">
        <w:rPr>
          <w:rFonts w:cs="Times New Roman"/>
          <w:lang w:val="de-DE"/>
        </w:rPr>
        <w:t xml:space="preserve">werden folgende Forschungsfragen gestellt: </w:t>
      </w:r>
      <w:r w:rsidR="002D620F" w:rsidRPr="00BD071A">
        <w:rPr>
          <w:rFonts w:cs="Times New Roman"/>
          <w:i/>
          <w:lang w:val="de-DE"/>
        </w:rPr>
        <w:t xml:space="preserve">Wie trägt die Sprache zur sozialen Ungleichheit bei? Welche Verhältnisse werden mithilfe </w:t>
      </w:r>
      <w:r w:rsidR="007F5DB1">
        <w:rPr>
          <w:rFonts w:cs="Times New Roman"/>
          <w:i/>
          <w:lang w:val="de-DE"/>
        </w:rPr>
        <w:t>von</w:t>
      </w:r>
      <w:r w:rsidR="002D620F" w:rsidRPr="00BD071A">
        <w:rPr>
          <w:rFonts w:cs="Times New Roman"/>
          <w:i/>
          <w:lang w:val="de-DE"/>
        </w:rPr>
        <w:t xml:space="preserve"> Sprache konstruiert oder beendet? </w:t>
      </w:r>
      <w:r w:rsidR="0068639B" w:rsidRPr="00BD071A">
        <w:rPr>
          <w:rFonts w:cs="Times New Roman"/>
          <w:i/>
          <w:lang w:val="de-DE"/>
        </w:rPr>
        <w:t xml:space="preserve">Wie funktioniert Sprache in den Prozessen von </w:t>
      </w:r>
      <w:r w:rsidR="002D620F" w:rsidRPr="00BD071A">
        <w:rPr>
          <w:rFonts w:cs="Times New Roman"/>
          <w:i/>
          <w:lang w:val="de-DE"/>
        </w:rPr>
        <w:t xml:space="preserve">sowohl Unterdrückung als auch Befreiung </w:t>
      </w:r>
      <w:r w:rsidR="007760AD">
        <w:rPr>
          <w:rFonts w:cs="Times New Roman"/>
          <w:i/>
          <w:lang w:val="de-DE"/>
        </w:rPr>
        <w:t>im Werk Abonjis</w:t>
      </w:r>
      <w:r w:rsidR="002D620F" w:rsidRPr="00BD071A">
        <w:rPr>
          <w:rFonts w:cs="Times New Roman"/>
          <w:i/>
          <w:lang w:val="de-DE"/>
        </w:rPr>
        <w:t>?</w:t>
      </w:r>
      <w:r w:rsidR="0068639B">
        <w:rPr>
          <w:rFonts w:cs="Times New Roman"/>
          <w:lang w:val="de-DE"/>
        </w:rPr>
        <w:t xml:space="preserve"> </w:t>
      </w:r>
      <w:r w:rsidR="000A3FC7">
        <w:rPr>
          <w:rFonts w:cs="Times New Roman"/>
          <w:lang w:val="de-DE"/>
        </w:rPr>
        <w:t>Nach der theoretischen Einführung</w:t>
      </w:r>
      <w:r w:rsidR="00FF2F3A">
        <w:rPr>
          <w:rFonts w:cs="Times New Roman"/>
          <w:lang w:val="de-DE"/>
        </w:rPr>
        <w:t>,</w:t>
      </w:r>
      <w:r w:rsidR="000A3FC7">
        <w:rPr>
          <w:rFonts w:cs="Times New Roman"/>
          <w:lang w:val="de-DE"/>
        </w:rPr>
        <w:t xml:space="preserve"> einem historischen </w:t>
      </w:r>
      <w:r w:rsidR="000A3FC7">
        <w:rPr>
          <w:rFonts w:cs="Times New Roman"/>
          <w:lang w:val="de-DE"/>
        </w:rPr>
        <w:lastRenderedPageBreak/>
        <w:t>Überblick</w:t>
      </w:r>
      <w:r w:rsidR="00FF2F3A">
        <w:rPr>
          <w:rFonts w:cs="Times New Roman"/>
          <w:lang w:val="de-DE"/>
        </w:rPr>
        <w:t xml:space="preserve"> und einer Untersuchung der Position der Familie Kocsis in Bezug auf den (Post-)Kolonialismus</w:t>
      </w:r>
      <w:r w:rsidR="000A3FC7">
        <w:rPr>
          <w:rFonts w:cs="Times New Roman"/>
          <w:lang w:val="de-DE"/>
        </w:rPr>
        <w:t xml:space="preserve"> </w:t>
      </w:r>
      <w:r w:rsidR="00D72801">
        <w:rPr>
          <w:rFonts w:cs="Times New Roman"/>
          <w:lang w:val="de-DE"/>
        </w:rPr>
        <w:t>wird</w:t>
      </w:r>
      <w:r w:rsidR="000A3FC7">
        <w:rPr>
          <w:rFonts w:cs="Times New Roman"/>
          <w:lang w:val="de-DE"/>
        </w:rPr>
        <w:t xml:space="preserve"> anhand von einer ausführlichen Analyse der Sprache im Text </w:t>
      </w:r>
      <w:r w:rsidR="00D72801">
        <w:rPr>
          <w:rFonts w:cs="Times New Roman"/>
          <w:lang w:val="de-DE"/>
        </w:rPr>
        <w:t xml:space="preserve">eine Antwort auf diese Fragen </w:t>
      </w:r>
      <w:r w:rsidR="000A3FC7">
        <w:rPr>
          <w:rFonts w:cs="Times New Roman"/>
          <w:lang w:val="de-DE"/>
        </w:rPr>
        <w:t>gesucht.</w:t>
      </w:r>
    </w:p>
    <w:p w14:paraId="15E5F8C5" w14:textId="5CFC3797" w:rsidR="004B7B7D" w:rsidRDefault="00EC0770" w:rsidP="00536647">
      <w:pPr>
        <w:ind w:firstLine="708"/>
        <w:rPr>
          <w:rFonts w:cs="Times New Roman"/>
          <w:lang w:val="de-DE"/>
        </w:rPr>
      </w:pPr>
      <w:r>
        <w:rPr>
          <w:rFonts w:cs="Times New Roman"/>
          <w:lang w:val="de-DE"/>
        </w:rPr>
        <w:t xml:space="preserve">Die Themenwahl wurde </w:t>
      </w:r>
      <w:r w:rsidR="0037789F">
        <w:rPr>
          <w:rFonts w:cs="Times New Roman"/>
          <w:lang w:val="de-DE"/>
        </w:rPr>
        <w:t>anhand von persönlichen</w:t>
      </w:r>
      <w:r>
        <w:rPr>
          <w:rFonts w:cs="Times New Roman"/>
          <w:lang w:val="de-DE"/>
        </w:rPr>
        <w:t xml:space="preserve"> Interesse</w:t>
      </w:r>
      <w:r w:rsidR="0037789F">
        <w:rPr>
          <w:rFonts w:cs="Times New Roman"/>
          <w:lang w:val="de-DE"/>
        </w:rPr>
        <w:t>n</w:t>
      </w:r>
      <w:r>
        <w:rPr>
          <w:rFonts w:cs="Times New Roman"/>
          <w:lang w:val="de-DE"/>
        </w:rPr>
        <w:t xml:space="preserve"> durchgefüh</w:t>
      </w:r>
      <w:r w:rsidR="005D5A35">
        <w:rPr>
          <w:rFonts w:cs="Times New Roman"/>
          <w:lang w:val="de-DE"/>
        </w:rPr>
        <w:t>rt, mit dem Ziel selbst zu einem</w:t>
      </w:r>
      <w:r>
        <w:rPr>
          <w:rFonts w:cs="Times New Roman"/>
          <w:lang w:val="de-DE"/>
        </w:rPr>
        <w:t xml:space="preserve"> besseren Ein</w:t>
      </w:r>
      <w:r w:rsidR="0037789F">
        <w:rPr>
          <w:rFonts w:cs="Times New Roman"/>
          <w:lang w:val="de-DE"/>
        </w:rPr>
        <w:t>blick</w:t>
      </w:r>
      <w:r w:rsidR="00BD071A">
        <w:rPr>
          <w:rFonts w:cs="Times New Roman"/>
          <w:lang w:val="de-DE"/>
        </w:rPr>
        <w:t xml:space="preserve"> in dieses Thema zu gela</w:t>
      </w:r>
      <w:r>
        <w:rPr>
          <w:rFonts w:cs="Times New Roman"/>
          <w:lang w:val="de-DE"/>
        </w:rPr>
        <w:t>ngen, und Erkenntnisse nicht nur im akademischen, sondern auch im persönlichen Bereich gelten zu lassen.</w:t>
      </w:r>
      <w:r w:rsidR="00DF363E">
        <w:rPr>
          <w:rFonts w:cs="Times New Roman"/>
          <w:lang w:val="de-DE"/>
        </w:rPr>
        <w:t xml:space="preserve"> </w:t>
      </w:r>
      <w:r w:rsidR="00B264EA">
        <w:rPr>
          <w:rFonts w:cs="Times New Roman"/>
          <w:lang w:val="de-DE"/>
        </w:rPr>
        <w:t xml:space="preserve">Das Thema Sprache wird im Migrationskontext ständig diskutiert und bringt manchmal heikle Fragen mit sich. </w:t>
      </w:r>
      <w:r w:rsidR="00453F68">
        <w:rPr>
          <w:rFonts w:cs="Times New Roman"/>
          <w:lang w:val="de-DE"/>
        </w:rPr>
        <w:t>Für die Autorin der vorliegenden Studie ist das Thema der Sprache auch deswegen brisant, weil Debatten über Mehrsprachigkeit nicht nur im Schweizer Entstehungskontext des Romans</w:t>
      </w:r>
      <w:r w:rsidR="004303B1">
        <w:rPr>
          <w:rFonts w:cs="Times New Roman"/>
          <w:lang w:val="de-DE"/>
        </w:rPr>
        <w:t xml:space="preserve"> stattfanden, sondern</w:t>
      </w:r>
      <w:r w:rsidR="00453F68">
        <w:rPr>
          <w:rFonts w:cs="Times New Roman"/>
          <w:lang w:val="de-DE"/>
        </w:rPr>
        <w:t xml:space="preserve"> auch </w:t>
      </w:r>
      <w:r w:rsidR="004303B1">
        <w:rPr>
          <w:rFonts w:cs="Times New Roman"/>
          <w:lang w:val="de-DE"/>
        </w:rPr>
        <w:t xml:space="preserve">weil das Thema </w:t>
      </w:r>
      <w:r w:rsidR="00453F68">
        <w:rPr>
          <w:rFonts w:cs="Times New Roman"/>
          <w:lang w:val="de-DE"/>
        </w:rPr>
        <w:t xml:space="preserve">im belgischen Umfeld, in dem diese Arbeit geschrieben wurde, kontrovers diskutiert wurde. </w:t>
      </w:r>
      <w:r w:rsidR="00B264EA">
        <w:rPr>
          <w:rFonts w:cs="Times New Roman"/>
          <w:lang w:val="de-DE"/>
        </w:rPr>
        <w:t xml:space="preserve">Ende 2017 fand in der belgischen Medienlandschaft eine Diskussion über Mehrsprachigkeit in der Schule statt, die von einem Beschluss des Gemeinschaftsunterrichts ausgelöst wurde. </w:t>
      </w:r>
      <w:r w:rsidR="00D72801">
        <w:rPr>
          <w:rFonts w:cs="Times New Roman"/>
          <w:lang w:val="de-DE"/>
        </w:rPr>
        <w:t xml:space="preserve">Die Entscheidung des GO </w:t>
      </w:r>
      <w:r w:rsidR="00FE0289">
        <w:rPr>
          <w:rFonts w:cs="Times New Roman"/>
          <w:lang w:val="de-DE"/>
        </w:rPr>
        <w:t xml:space="preserve">(Gemeenschapsonderwijs) </w:t>
      </w:r>
      <w:r w:rsidR="00D72801">
        <w:rPr>
          <w:rFonts w:cs="Times New Roman"/>
          <w:lang w:val="de-DE"/>
        </w:rPr>
        <w:t xml:space="preserve">betraf die Erlaubnis, Schüler und Schülerinnen mit einer </w:t>
      </w:r>
      <w:r w:rsidR="00536647">
        <w:rPr>
          <w:rFonts w:cs="Times New Roman"/>
          <w:lang w:val="de-DE"/>
        </w:rPr>
        <w:t>alternativen</w:t>
      </w:r>
      <w:r w:rsidR="00D72801">
        <w:rPr>
          <w:rFonts w:cs="Times New Roman"/>
          <w:lang w:val="de-DE"/>
        </w:rPr>
        <w:t xml:space="preserve"> Muttersprache als Niederländisch</w:t>
      </w:r>
      <w:r w:rsidR="00536647">
        <w:rPr>
          <w:rFonts w:cs="Times New Roman"/>
          <w:lang w:val="de-DE"/>
        </w:rPr>
        <w:t xml:space="preserve"> diese </w:t>
      </w:r>
      <w:r w:rsidR="00FE0289">
        <w:rPr>
          <w:rFonts w:cs="Times New Roman"/>
          <w:lang w:val="de-DE"/>
        </w:rPr>
        <w:t xml:space="preserve">im Unterricht </w:t>
      </w:r>
      <w:r w:rsidR="0037789F">
        <w:rPr>
          <w:rFonts w:cs="Times New Roman"/>
          <w:lang w:val="de-DE"/>
        </w:rPr>
        <w:t>verwenden</w:t>
      </w:r>
      <w:r w:rsidR="00FE0289">
        <w:rPr>
          <w:rFonts w:cs="Times New Roman"/>
          <w:lang w:val="de-DE"/>
        </w:rPr>
        <w:t xml:space="preserve"> zu lassen</w:t>
      </w:r>
      <w:r w:rsidR="00536647">
        <w:rPr>
          <w:rFonts w:cs="Times New Roman"/>
          <w:lang w:val="de-DE"/>
        </w:rPr>
        <w:t>. Eine</w:t>
      </w:r>
      <w:r w:rsidR="00F67BCF">
        <w:rPr>
          <w:rFonts w:cs="Times New Roman"/>
          <w:lang w:val="de-DE"/>
        </w:rPr>
        <w:t xml:space="preserve"> solche</w:t>
      </w:r>
      <w:r w:rsidR="00536647">
        <w:rPr>
          <w:rFonts w:cs="Times New Roman"/>
          <w:lang w:val="de-DE"/>
        </w:rPr>
        <w:t xml:space="preserve"> Mehrsprache</w:t>
      </w:r>
      <w:r w:rsidR="00FE0289">
        <w:rPr>
          <w:rFonts w:cs="Times New Roman"/>
          <w:lang w:val="de-DE"/>
        </w:rPr>
        <w:t>n</w:t>
      </w:r>
      <w:r w:rsidR="00536647">
        <w:rPr>
          <w:rFonts w:cs="Times New Roman"/>
          <w:lang w:val="de-DE"/>
        </w:rPr>
        <w:t>politik sucht einen Anschluss bei der Anfangssituation der Lehrenden und ihrer Muttersprache.</w:t>
      </w:r>
      <w:r w:rsidR="00536647">
        <w:rPr>
          <w:rStyle w:val="Voetnootmarkering"/>
          <w:rFonts w:cs="Times New Roman"/>
          <w:lang w:val="de-DE"/>
        </w:rPr>
        <w:footnoteReference w:id="2"/>
      </w:r>
      <w:r w:rsidR="00536647">
        <w:rPr>
          <w:rFonts w:cs="Times New Roman"/>
          <w:lang w:val="de-DE"/>
        </w:rPr>
        <w:t xml:space="preserve"> Daraus werden Ziele </w:t>
      </w:r>
      <w:r w:rsidR="00453F68">
        <w:rPr>
          <w:rFonts w:cs="Times New Roman"/>
          <w:lang w:val="de-DE"/>
        </w:rPr>
        <w:t>abgeleitet</w:t>
      </w:r>
      <w:r w:rsidR="00536647">
        <w:rPr>
          <w:rFonts w:cs="Times New Roman"/>
          <w:lang w:val="de-DE"/>
        </w:rPr>
        <w:t>, die mit Handlungen verknüpft und vom ganzen Unterrichtsteam angewendet werden.</w:t>
      </w:r>
      <w:r w:rsidR="00FE0289">
        <w:rPr>
          <w:rStyle w:val="Voetnootmarkering"/>
          <w:rFonts w:cs="Times New Roman"/>
          <w:lang w:val="de-DE"/>
        </w:rPr>
        <w:footnoteReference w:id="3"/>
      </w:r>
      <w:r w:rsidR="00536647">
        <w:rPr>
          <w:rFonts w:cs="Times New Roman"/>
          <w:lang w:val="de-DE"/>
        </w:rPr>
        <w:t xml:space="preserve"> </w:t>
      </w:r>
      <w:r w:rsidR="002F3777">
        <w:rPr>
          <w:rFonts w:cs="Times New Roman"/>
          <w:lang w:val="de-DE"/>
        </w:rPr>
        <w:t xml:space="preserve">Konkret handelt es sich um die Möglichkeit, in der Klasse und auf dem Schulhof </w:t>
      </w:r>
      <w:r w:rsidR="00590BE4">
        <w:rPr>
          <w:rFonts w:cs="Times New Roman"/>
          <w:lang w:val="de-DE"/>
        </w:rPr>
        <w:t xml:space="preserve">die Muttersprache zu benutzen, z. B. um </w:t>
      </w:r>
      <w:r w:rsidR="0037789F">
        <w:rPr>
          <w:rFonts w:cs="Times New Roman"/>
          <w:lang w:val="de-DE"/>
        </w:rPr>
        <w:t>Kommunikationsprobleme</w:t>
      </w:r>
      <w:r w:rsidR="00590BE4">
        <w:rPr>
          <w:rFonts w:cs="Times New Roman"/>
          <w:lang w:val="de-DE"/>
        </w:rPr>
        <w:t xml:space="preserve"> aus dem Weg zu räumen. </w:t>
      </w:r>
      <w:r w:rsidR="00F67BCF">
        <w:rPr>
          <w:rFonts w:cs="Times New Roman"/>
          <w:lang w:val="de-DE"/>
        </w:rPr>
        <w:t xml:space="preserve">Der Beschluss </w:t>
      </w:r>
      <w:r w:rsidR="00536647">
        <w:rPr>
          <w:rFonts w:cs="Times New Roman"/>
          <w:lang w:val="de-DE"/>
        </w:rPr>
        <w:t xml:space="preserve">wurde stark kritisiert, weil </w:t>
      </w:r>
      <w:r w:rsidR="00F67BCF">
        <w:rPr>
          <w:rFonts w:cs="Times New Roman"/>
          <w:lang w:val="de-DE"/>
        </w:rPr>
        <w:t>er</w:t>
      </w:r>
      <w:r w:rsidR="00536647">
        <w:rPr>
          <w:rFonts w:cs="Times New Roman"/>
          <w:lang w:val="de-DE"/>
        </w:rPr>
        <w:t xml:space="preserve"> den Kritikern zufolge den Spracherlernungsprozess von Nichtmutters</w:t>
      </w:r>
      <w:r w:rsidR="00590BE4">
        <w:rPr>
          <w:rFonts w:cs="Times New Roman"/>
          <w:lang w:val="de-DE"/>
        </w:rPr>
        <w:t xml:space="preserve">prachlern </w:t>
      </w:r>
      <w:r w:rsidR="0037789F">
        <w:rPr>
          <w:rFonts w:cs="Times New Roman"/>
          <w:lang w:val="de-DE"/>
        </w:rPr>
        <w:t>behindern</w:t>
      </w:r>
      <w:r w:rsidR="00590BE4">
        <w:rPr>
          <w:rFonts w:cs="Times New Roman"/>
          <w:lang w:val="de-DE"/>
        </w:rPr>
        <w:t xml:space="preserve"> würde, was von Wissenschaftlern aber </w:t>
      </w:r>
      <w:r w:rsidR="0037789F">
        <w:rPr>
          <w:rFonts w:cs="Times New Roman"/>
          <w:lang w:val="de-DE"/>
        </w:rPr>
        <w:t>widerlegt</w:t>
      </w:r>
      <w:r w:rsidR="00590BE4">
        <w:rPr>
          <w:rFonts w:cs="Times New Roman"/>
          <w:lang w:val="de-DE"/>
        </w:rPr>
        <w:t xml:space="preserve"> wurde. </w:t>
      </w:r>
    </w:p>
    <w:p w14:paraId="0A369828" w14:textId="21C030ED" w:rsidR="00590BE4" w:rsidRDefault="00590BE4" w:rsidP="00536647">
      <w:pPr>
        <w:ind w:firstLine="708"/>
        <w:rPr>
          <w:rFonts w:cs="Times New Roman"/>
          <w:lang w:val="de-DE"/>
        </w:rPr>
      </w:pPr>
      <w:r>
        <w:rPr>
          <w:rFonts w:cs="Times New Roman"/>
          <w:lang w:val="de-DE"/>
        </w:rPr>
        <w:t xml:space="preserve">Diese und andere Debatten mit Sprache im Mittelpunkt zeigen, wie omnipräsent das Thema in unserer Gesellschaft ist. Die aktuelle Relevanz des Themas der vorliegenden Arbeit kann also nicht in Abrede gestellt werden. </w:t>
      </w:r>
      <w:r w:rsidR="00AF0C71">
        <w:rPr>
          <w:rFonts w:cs="Times New Roman"/>
          <w:lang w:val="de-DE"/>
        </w:rPr>
        <w:t xml:space="preserve">Statt einer </w:t>
      </w:r>
      <w:r w:rsidR="00EE136E">
        <w:rPr>
          <w:rFonts w:cs="Times New Roman"/>
          <w:lang w:val="de-DE"/>
        </w:rPr>
        <w:t xml:space="preserve">Fallstudie der Mehrsprachigkeit im belgischen Unterricht </w:t>
      </w:r>
      <w:r w:rsidR="0037789F">
        <w:rPr>
          <w:rFonts w:cs="Times New Roman"/>
          <w:lang w:val="de-DE"/>
        </w:rPr>
        <w:t>wird</w:t>
      </w:r>
      <w:r w:rsidR="00EE136E">
        <w:rPr>
          <w:rFonts w:cs="Times New Roman"/>
          <w:lang w:val="de-DE"/>
        </w:rPr>
        <w:t xml:space="preserve"> </w:t>
      </w:r>
      <w:r w:rsidR="004C0139">
        <w:rPr>
          <w:rFonts w:cs="Times New Roman"/>
          <w:lang w:val="de-DE"/>
        </w:rPr>
        <w:t>die</w:t>
      </w:r>
      <w:r w:rsidR="00EE136E">
        <w:rPr>
          <w:rFonts w:cs="Times New Roman"/>
          <w:lang w:val="de-DE"/>
        </w:rPr>
        <w:t xml:space="preserve"> Analyse </w:t>
      </w:r>
      <w:r w:rsidR="004C0139">
        <w:rPr>
          <w:rFonts w:cs="Times New Roman"/>
          <w:lang w:val="de-DE"/>
        </w:rPr>
        <w:t xml:space="preserve">eines literarischen Textes </w:t>
      </w:r>
      <w:r w:rsidR="00EE136E">
        <w:rPr>
          <w:rFonts w:cs="Times New Roman"/>
          <w:lang w:val="de-DE"/>
        </w:rPr>
        <w:t xml:space="preserve">mit vergleichbarem Fokus </w:t>
      </w:r>
      <w:r w:rsidR="0037789F">
        <w:rPr>
          <w:rFonts w:cs="Times New Roman"/>
          <w:lang w:val="de-DE"/>
        </w:rPr>
        <w:t>durchgeführt</w:t>
      </w:r>
      <w:r w:rsidR="00EE136E">
        <w:rPr>
          <w:rFonts w:cs="Times New Roman"/>
          <w:lang w:val="de-DE"/>
        </w:rPr>
        <w:t xml:space="preserve">. </w:t>
      </w:r>
      <w:r w:rsidR="004C0139">
        <w:rPr>
          <w:rFonts w:cs="Times New Roman"/>
          <w:lang w:val="de-DE"/>
        </w:rPr>
        <w:t xml:space="preserve">Das Wechselspiel zwischen Muttersprache, </w:t>
      </w:r>
      <w:r w:rsidR="004C0139">
        <w:rPr>
          <w:rFonts w:cs="Times New Roman"/>
          <w:lang w:val="de-DE"/>
        </w:rPr>
        <w:lastRenderedPageBreak/>
        <w:t xml:space="preserve">erlernter Sprache und anderen Ausdrucksformen wird in </w:t>
      </w:r>
      <w:r w:rsidR="00173B6A">
        <w:rPr>
          <w:rFonts w:cs="Times New Roman"/>
          <w:lang w:val="de-DE"/>
        </w:rPr>
        <w:t xml:space="preserve">Melinda </w:t>
      </w:r>
      <w:r w:rsidR="00C05398">
        <w:rPr>
          <w:rFonts w:cs="Times New Roman"/>
          <w:lang w:val="de-DE"/>
        </w:rPr>
        <w:t xml:space="preserve">Nadj </w:t>
      </w:r>
      <w:r w:rsidR="004C0139">
        <w:rPr>
          <w:rFonts w:cs="Times New Roman"/>
          <w:lang w:val="de-DE"/>
        </w:rPr>
        <w:t xml:space="preserve">Abonjis </w:t>
      </w:r>
      <w:r w:rsidR="004C0139">
        <w:rPr>
          <w:rFonts w:cs="Times New Roman"/>
          <w:i/>
          <w:lang w:val="de-DE"/>
        </w:rPr>
        <w:t xml:space="preserve">Tauben fliegen auf </w:t>
      </w:r>
      <w:r w:rsidR="004C0139">
        <w:rPr>
          <w:rFonts w:cs="Times New Roman"/>
          <w:lang w:val="de-DE"/>
        </w:rPr>
        <w:t>stark thematisiert. Wie es zum Verlust und Wiederfinden von Identität beiträg</w:t>
      </w:r>
      <w:r w:rsidR="005F2FFF">
        <w:rPr>
          <w:rFonts w:cs="Times New Roman"/>
          <w:lang w:val="de-DE"/>
        </w:rPr>
        <w:t>t, wird im Folgenden erkundet.</w:t>
      </w:r>
    </w:p>
    <w:p w14:paraId="582DB1FD" w14:textId="77777777" w:rsidR="00536647" w:rsidRDefault="00536647" w:rsidP="00536647">
      <w:pPr>
        <w:ind w:firstLine="708"/>
        <w:rPr>
          <w:rFonts w:cs="Times New Roman"/>
          <w:lang w:val="de-DE"/>
        </w:rPr>
      </w:pPr>
    </w:p>
    <w:p w14:paraId="0D062461" w14:textId="77777777" w:rsidR="004B7B7D" w:rsidRDefault="004B7B7D">
      <w:pPr>
        <w:spacing w:after="160" w:line="259" w:lineRule="auto"/>
        <w:jc w:val="left"/>
        <w:rPr>
          <w:rFonts w:cs="Times New Roman"/>
          <w:lang w:val="de-DE"/>
        </w:rPr>
      </w:pPr>
      <w:r>
        <w:rPr>
          <w:rFonts w:cs="Times New Roman"/>
          <w:lang w:val="de-DE"/>
        </w:rPr>
        <w:br w:type="page"/>
      </w:r>
    </w:p>
    <w:p w14:paraId="02074009" w14:textId="360891D4" w:rsidR="0064788B" w:rsidRDefault="00E66BF7" w:rsidP="0064788B">
      <w:pPr>
        <w:pStyle w:val="Kop1"/>
        <w:numPr>
          <w:ilvl w:val="0"/>
          <w:numId w:val="2"/>
        </w:numPr>
        <w:rPr>
          <w:lang w:val="de-DE"/>
        </w:rPr>
      </w:pPr>
      <w:bookmarkStart w:id="2" w:name="_Toc515180086"/>
      <w:bookmarkStart w:id="3" w:name="_Hlk512074414"/>
      <w:r>
        <w:rPr>
          <w:lang w:val="de-DE"/>
        </w:rPr>
        <w:lastRenderedPageBreak/>
        <w:t>Postkolonialistische Th</w:t>
      </w:r>
      <w:r w:rsidR="00896C9E">
        <w:rPr>
          <w:lang w:val="de-DE"/>
        </w:rPr>
        <w:t>eorie</w:t>
      </w:r>
      <w:bookmarkEnd w:id="2"/>
    </w:p>
    <w:p w14:paraId="5B328335" w14:textId="77777777" w:rsidR="006D5C1F" w:rsidRDefault="000C6DF0" w:rsidP="0064788B">
      <w:pPr>
        <w:rPr>
          <w:rFonts w:cs="Times New Roman"/>
          <w:lang w:val="de-DE"/>
        </w:rPr>
      </w:pPr>
      <w:r>
        <w:rPr>
          <w:lang w:val="de-DE"/>
        </w:rPr>
        <w:t>Da</w:t>
      </w:r>
      <w:r w:rsidR="001C77F4">
        <w:rPr>
          <w:lang w:val="de-DE"/>
        </w:rPr>
        <w:t xml:space="preserve"> </w:t>
      </w:r>
      <w:r w:rsidR="00E66BF7">
        <w:rPr>
          <w:lang w:val="de-DE"/>
        </w:rPr>
        <w:t xml:space="preserve">in der vorliegenden Arbeit </w:t>
      </w:r>
      <w:bookmarkStart w:id="4" w:name="_Hlk513478833"/>
      <w:r w:rsidR="001C77F4">
        <w:rPr>
          <w:lang w:val="de-DE"/>
        </w:rPr>
        <w:t>das</w:t>
      </w:r>
      <w:r w:rsidR="00EE79FF">
        <w:rPr>
          <w:lang w:val="de-DE"/>
        </w:rPr>
        <w:t xml:space="preserve"> westliche Überlegenheit</w:t>
      </w:r>
      <w:r w:rsidR="001C77F4">
        <w:rPr>
          <w:lang w:val="de-DE"/>
        </w:rPr>
        <w:t>sgefühl</w:t>
      </w:r>
      <w:r w:rsidR="00EE79FF">
        <w:rPr>
          <w:lang w:val="de-DE"/>
        </w:rPr>
        <w:t xml:space="preserve"> und </w:t>
      </w:r>
      <w:r w:rsidR="001C77F4">
        <w:rPr>
          <w:lang w:val="de-DE"/>
        </w:rPr>
        <w:t xml:space="preserve">dessen Effekt auf </w:t>
      </w:r>
      <w:r w:rsidR="00F73DBD">
        <w:rPr>
          <w:lang w:val="de-DE"/>
        </w:rPr>
        <w:t>Ildikó</w:t>
      </w:r>
      <w:r w:rsidR="001C77F4">
        <w:rPr>
          <w:lang w:val="de-DE"/>
        </w:rPr>
        <w:t>s Identität</w:t>
      </w:r>
      <w:r w:rsidR="00EE79FF">
        <w:rPr>
          <w:lang w:val="de-DE"/>
        </w:rPr>
        <w:t xml:space="preserve"> unte</w:t>
      </w:r>
      <w:r w:rsidR="00C6040B">
        <w:rPr>
          <w:lang w:val="de-DE"/>
        </w:rPr>
        <w:t>rsucht werden</w:t>
      </w:r>
      <w:bookmarkEnd w:id="4"/>
      <w:r w:rsidR="00C6040B">
        <w:rPr>
          <w:lang w:val="de-DE"/>
        </w:rPr>
        <w:t>, soll zunächst der</w:t>
      </w:r>
      <w:r w:rsidR="00EE79FF">
        <w:rPr>
          <w:lang w:val="de-DE"/>
        </w:rPr>
        <w:t xml:space="preserve"> </w:t>
      </w:r>
      <w:r w:rsidR="00C6040B">
        <w:rPr>
          <w:lang w:val="de-DE"/>
        </w:rPr>
        <w:t>tatsächliche</w:t>
      </w:r>
      <w:r w:rsidR="001C77F4">
        <w:rPr>
          <w:lang w:val="de-DE"/>
        </w:rPr>
        <w:t xml:space="preserve"> </w:t>
      </w:r>
      <w:r w:rsidR="005D1448">
        <w:rPr>
          <w:lang w:val="de-DE"/>
        </w:rPr>
        <w:t>Ursprung dieses</w:t>
      </w:r>
      <w:r w:rsidR="00EE79FF">
        <w:rPr>
          <w:lang w:val="de-DE"/>
        </w:rPr>
        <w:t xml:space="preserve"> Überlegenheit</w:t>
      </w:r>
      <w:r w:rsidR="005D1448">
        <w:rPr>
          <w:lang w:val="de-DE"/>
        </w:rPr>
        <w:t>sgefühls</w:t>
      </w:r>
      <w:r w:rsidR="00EE79FF">
        <w:rPr>
          <w:lang w:val="de-DE"/>
        </w:rPr>
        <w:t xml:space="preserve"> </w:t>
      </w:r>
      <w:r>
        <w:rPr>
          <w:lang w:val="de-DE"/>
        </w:rPr>
        <w:t>erläutert</w:t>
      </w:r>
      <w:r w:rsidR="00EE79FF">
        <w:rPr>
          <w:lang w:val="de-DE"/>
        </w:rPr>
        <w:t xml:space="preserve"> werden.</w:t>
      </w:r>
      <w:r w:rsidR="006F12CD">
        <w:rPr>
          <w:lang w:val="de-DE"/>
        </w:rPr>
        <w:t xml:space="preserve"> </w:t>
      </w:r>
      <w:r w:rsidR="001C77F4">
        <w:rPr>
          <w:lang w:val="de-DE"/>
        </w:rPr>
        <w:t>Hier wird</w:t>
      </w:r>
      <w:r w:rsidR="00BD071A">
        <w:rPr>
          <w:lang w:val="de-DE"/>
        </w:rPr>
        <w:t xml:space="preserve"> an erster</w:t>
      </w:r>
      <w:r w:rsidR="006F12CD">
        <w:rPr>
          <w:lang w:val="de-DE"/>
        </w:rPr>
        <w:t xml:space="preserve"> Stelle</w:t>
      </w:r>
      <w:r w:rsidR="00BD071A">
        <w:rPr>
          <w:lang w:val="de-DE"/>
        </w:rPr>
        <w:t xml:space="preserve"> der westliche</w:t>
      </w:r>
      <w:r w:rsidR="001C77F4">
        <w:rPr>
          <w:lang w:val="de-DE"/>
        </w:rPr>
        <w:t xml:space="preserve"> Kolonialismus, den sich nicht nur Deutschland, sondern auch zahlreiche andere europäische Länder haben</w:t>
      </w:r>
      <w:r w:rsidR="006F12CD">
        <w:rPr>
          <w:lang w:val="de-DE"/>
        </w:rPr>
        <w:t xml:space="preserve"> </w:t>
      </w:r>
      <w:r w:rsidR="001C77F4">
        <w:rPr>
          <w:lang w:val="de-DE"/>
        </w:rPr>
        <w:t xml:space="preserve">zuschulden kommen lassen, als </w:t>
      </w:r>
      <w:r w:rsidR="006F12CD">
        <w:rPr>
          <w:lang w:val="de-DE"/>
        </w:rPr>
        <w:t xml:space="preserve">Ursprung </w:t>
      </w:r>
      <w:r w:rsidR="001C77F4">
        <w:rPr>
          <w:lang w:val="de-DE"/>
        </w:rPr>
        <w:t xml:space="preserve">des Überlegenheitsgefühls betrachtet, das heute im Westen noch stark </w:t>
      </w:r>
      <w:r>
        <w:rPr>
          <w:lang w:val="de-DE"/>
        </w:rPr>
        <w:t>vorhanden</w:t>
      </w:r>
      <w:r w:rsidR="001C77F4">
        <w:rPr>
          <w:lang w:val="de-DE"/>
        </w:rPr>
        <w:t xml:space="preserve"> ist. Dieses Überlegenheitsgefühl und </w:t>
      </w:r>
      <w:r>
        <w:rPr>
          <w:lang w:val="de-DE"/>
        </w:rPr>
        <w:t>seine</w:t>
      </w:r>
      <w:r w:rsidR="001C77F4">
        <w:rPr>
          <w:lang w:val="de-DE"/>
        </w:rPr>
        <w:t xml:space="preserve"> Ursachen und Folgen werden vom Postkolonialismus untersucht.</w:t>
      </w:r>
      <w:r w:rsidR="00EE79FF">
        <w:rPr>
          <w:lang w:val="de-DE"/>
        </w:rPr>
        <w:t xml:space="preserve"> </w:t>
      </w:r>
      <w:r w:rsidR="007F0C38">
        <w:rPr>
          <w:lang w:val="de-DE"/>
        </w:rPr>
        <w:t xml:space="preserve">Der Postkolonialismus </w:t>
      </w:r>
      <w:r w:rsidR="001C77F4">
        <w:rPr>
          <w:lang w:val="de-DE"/>
        </w:rPr>
        <w:t>ist</w:t>
      </w:r>
      <w:r w:rsidR="008661ED">
        <w:rPr>
          <w:lang w:val="de-DE"/>
        </w:rPr>
        <w:t xml:space="preserve"> ein vie</w:t>
      </w:r>
      <w:r w:rsidR="001C77F4">
        <w:rPr>
          <w:lang w:val="de-DE"/>
        </w:rPr>
        <w:t>lfältiger Forschungsbereich, in dem unter anderem</w:t>
      </w:r>
      <w:r w:rsidR="008661ED">
        <w:rPr>
          <w:lang w:val="de-DE"/>
        </w:rPr>
        <w:t xml:space="preserve"> die physische</w:t>
      </w:r>
      <w:r w:rsidR="001C77F4">
        <w:rPr>
          <w:lang w:val="de-DE"/>
        </w:rPr>
        <w:t>n</w:t>
      </w:r>
      <w:r w:rsidR="008661ED">
        <w:rPr>
          <w:lang w:val="de-DE"/>
        </w:rPr>
        <w:t>, psychologische</w:t>
      </w:r>
      <w:r w:rsidR="001C77F4">
        <w:rPr>
          <w:lang w:val="de-DE"/>
        </w:rPr>
        <w:t>n</w:t>
      </w:r>
      <w:r w:rsidR="008661ED">
        <w:rPr>
          <w:lang w:val="de-DE"/>
        </w:rPr>
        <w:t xml:space="preserve"> und kulturelle</w:t>
      </w:r>
      <w:r w:rsidR="001C77F4">
        <w:rPr>
          <w:lang w:val="de-DE"/>
        </w:rPr>
        <w:t>n</w:t>
      </w:r>
      <w:r w:rsidR="008661ED">
        <w:rPr>
          <w:lang w:val="de-DE"/>
        </w:rPr>
        <w:t xml:space="preserve"> Effekte von kolonialen Systemen auf sowohl Kolonisierte als auch Kolonisten</w:t>
      </w:r>
      <w:r w:rsidR="004173D7">
        <w:rPr>
          <w:lang w:val="de-DE"/>
        </w:rPr>
        <w:t xml:space="preserve"> </w:t>
      </w:r>
      <w:r w:rsidR="001C77F4">
        <w:rPr>
          <w:lang w:val="de-DE"/>
        </w:rPr>
        <w:t>analysiert werden</w:t>
      </w:r>
      <w:r w:rsidR="008661ED">
        <w:rPr>
          <w:lang w:val="de-DE"/>
        </w:rPr>
        <w:t>.</w:t>
      </w:r>
      <w:r w:rsidR="00661720">
        <w:rPr>
          <w:rStyle w:val="Voetnootmarkering"/>
          <w:lang w:val="de-DE"/>
        </w:rPr>
        <w:footnoteReference w:id="4"/>
      </w:r>
      <w:r w:rsidR="008661ED">
        <w:rPr>
          <w:lang w:val="de-DE"/>
        </w:rPr>
        <w:t xml:space="preserve"> Au</w:t>
      </w:r>
      <w:r w:rsidR="008661ED">
        <w:rPr>
          <w:rFonts w:cs="Times New Roman"/>
          <w:lang w:val="de-DE"/>
        </w:rPr>
        <w:t>ßerdem werden die Strukturen von andauernden imperialistischen Systemen, die globale Machtbeziehungen</w:t>
      </w:r>
      <w:r w:rsidR="00056169">
        <w:rPr>
          <w:rFonts w:cs="Times New Roman"/>
          <w:lang w:val="de-DE"/>
        </w:rPr>
        <w:t xml:space="preserve"> beeinflussen,</w:t>
      </w:r>
      <w:r w:rsidR="008661ED">
        <w:rPr>
          <w:rFonts w:cs="Times New Roman"/>
          <w:lang w:val="de-DE"/>
        </w:rPr>
        <w:t xml:space="preserve"> </w:t>
      </w:r>
      <w:r w:rsidR="00056169">
        <w:rPr>
          <w:rFonts w:cs="Times New Roman"/>
          <w:lang w:val="de-DE"/>
        </w:rPr>
        <w:t>und verschiedene Widerstandsformen gegen historische und aktuelle koloniale und imperialistische Systeme untersucht.</w:t>
      </w:r>
      <w:r w:rsidR="00056169">
        <w:rPr>
          <w:rStyle w:val="Voetnootmarkering"/>
          <w:rFonts w:cs="Times New Roman"/>
          <w:lang w:val="de-DE"/>
        </w:rPr>
        <w:footnoteReference w:id="5"/>
      </w:r>
      <w:r w:rsidR="00866DD6">
        <w:rPr>
          <w:rFonts w:cs="Times New Roman"/>
          <w:lang w:val="de-DE"/>
        </w:rPr>
        <w:t xml:space="preserve"> </w:t>
      </w:r>
    </w:p>
    <w:p w14:paraId="20D9348A" w14:textId="6C53856C" w:rsidR="00866DD6" w:rsidRDefault="00866DD6" w:rsidP="006D5C1F">
      <w:pPr>
        <w:ind w:firstLine="708"/>
        <w:rPr>
          <w:rFonts w:cs="Times New Roman"/>
          <w:lang w:val="de-DE"/>
        </w:rPr>
      </w:pPr>
      <w:r>
        <w:rPr>
          <w:rFonts w:cs="Times New Roman"/>
          <w:lang w:val="de-DE"/>
        </w:rPr>
        <w:t>Heute spricht ma</w:t>
      </w:r>
      <w:r w:rsidR="00A40BC2">
        <w:rPr>
          <w:rFonts w:cs="Times New Roman"/>
          <w:lang w:val="de-DE"/>
        </w:rPr>
        <w:t xml:space="preserve">n vom „metaphorischen </w:t>
      </w:r>
      <w:r>
        <w:rPr>
          <w:rFonts w:cs="Times New Roman"/>
          <w:lang w:val="de-DE"/>
        </w:rPr>
        <w:t>Postkolonialismus“</w:t>
      </w:r>
      <w:r w:rsidR="00123AC0">
        <w:rPr>
          <w:rFonts w:cs="Times New Roman"/>
          <w:lang w:val="de-DE"/>
        </w:rPr>
        <w:t>,</w:t>
      </w:r>
      <w:r>
        <w:rPr>
          <w:rStyle w:val="Voetnootmarkering"/>
          <w:rFonts w:cs="Times New Roman"/>
          <w:lang w:val="de-DE"/>
        </w:rPr>
        <w:footnoteReference w:id="6"/>
      </w:r>
      <w:r>
        <w:rPr>
          <w:rFonts w:cs="Times New Roman"/>
          <w:lang w:val="de-DE"/>
        </w:rPr>
        <w:t xml:space="preserve"> </w:t>
      </w:r>
      <w:r w:rsidR="00A40BC2">
        <w:rPr>
          <w:rFonts w:cs="Times New Roman"/>
          <w:lang w:val="de-DE"/>
        </w:rPr>
        <w:t xml:space="preserve">weil nicht nur </w:t>
      </w:r>
      <w:r w:rsidR="00C3360E">
        <w:rPr>
          <w:rFonts w:cs="Times New Roman"/>
          <w:lang w:val="de-DE"/>
        </w:rPr>
        <w:t xml:space="preserve">tatsächlich </w:t>
      </w:r>
      <w:r w:rsidR="00A40BC2">
        <w:rPr>
          <w:rFonts w:cs="Times New Roman"/>
          <w:lang w:val="de-DE"/>
        </w:rPr>
        <w:t xml:space="preserve">koloniale Hierarchien, sondern auch Machtbeziehungen zwischen der dominanten westlichen Kultur im Zentrum und </w:t>
      </w:r>
      <w:r w:rsidR="00C3360E">
        <w:rPr>
          <w:rFonts w:cs="Times New Roman"/>
          <w:lang w:val="de-DE"/>
        </w:rPr>
        <w:t>den</w:t>
      </w:r>
      <w:r w:rsidR="00A40BC2">
        <w:rPr>
          <w:rFonts w:cs="Times New Roman"/>
          <w:lang w:val="de-DE"/>
        </w:rPr>
        <w:t xml:space="preserve"> Minoritätsstimmen</w:t>
      </w:r>
      <w:r w:rsidR="00C3360E">
        <w:rPr>
          <w:rFonts w:cs="Times New Roman"/>
          <w:lang w:val="de-DE"/>
        </w:rPr>
        <w:t xml:space="preserve"> –</w:t>
      </w:r>
      <w:r w:rsidR="00A40BC2">
        <w:rPr>
          <w:rFonts w:cs="Times New Roman"/>
          <w:lang w:val="de-DE"/>
        </w:rPr>
        <w:t xml:space="preserve"> </w:t>
      </w:r>
      <w:r w:rsidR="00C3360E">
        <w:rPr>
          <w:rFonts w:cs="Times New Roman"/>
          <w:lang w:val="de-DE"/>
        </w:rPr>
        <w:t>sowohl im Zentrum als am Rand</w:t>
      </w:r>
      <w:r w:rsidR="00A40BC2">
        <w:rPr>
          <w:rFonts w:cs="Times New Roman"/>
          <w:lang w:val="de-DE"/>
        </w:rPr>
        <w:t xml:space="preserve"> </w:t>
      </w:r>
      <w:r w:rsidR="00C3360E">
        <w:rPr>
          <w:rFonts w:cs="Times New Roman"/>
          <w:lang w:val="de-DE"/>
        </w:rPr>
        <w:t xml:space="preserve">– Forschungsgegenstand sind. Die metaphorisch postkolonialistische Kritik entwickelt </w:t>
      </w:r>
      <w:r>
        <w:rPr>
          <w:rFonts w:cs="Times New Roman"/>
          <w:lang w:val="de-DE"/>
        </w:rPr>
        <w:t>eine Opposition zu rassistischen, elitären u</w:t>
      </w:r>
      <w:r w:rsidR="00C3360E">
        <w:rPr>
          <w:rFonts w:cs="Times New Roman"/>
          <w:lang w:val="de-DE"/>
        </w:rPr>
        <w:t>nd eurozentrischen Denkpatronen</w:t>
      </w:r>
      <w:r w:rsidR="00C6040B">
        <w:rPr>
          <w:rFonts w:cs="Times New Roman"/>
          <w:lang w:val="de-DE"/>
        </w:rPr>
        <w:t xml:space="preserve"> und Diskursen</w:t>
      </w:r>
      <w:r w:rsidR="00C3360E">
        <w:rPr>
          <w:rFonts w:cs="Times New Roman"/>
          <w:lang w:val="de-DE"/>
        </w:rPr>
        <w:t>.</w:t>
      </w:r>
      <w:r w:rsidR="005D1448">
        <w:rPr>
          <w:rStyle w:val="Voetnootmarkering"/>
          <w:rFonts w:cs="Times New Roman"/>
          <w:lang w:val="de-DE"/>
        </w:rPr>
        <w:footnoteReference w:id="7"/>
      </w:r>
      <w:r w:rsidR="00C3360E">
        <w:rPr>
          <w:rFonts w:cs="Times New Roman"/>
          <w:lang w:val="de-DE"/>
        </w:rPr>
        <w:t xml:space="preserve"> </w:t>
      </w:r>
      <w:r w:rsidR="00384B7C" w:rsidRPr="00384B7C">
        <w:rPr>
          <w:rFonts w:cs="Times New Roman"/>
          <w:lang w:val="en-GB"/>
        </w:rPr>
        <w:t xml:space="preserve">In diesem Zusammenhang </w:t>
      </w:r>
      <w:r w:rsidR="00384B7C" w:rsidRPr="002B78BE">
        <w:rPr>
          <w:rFonts w:cs="Times New Roman"/>
          <w:lang w:val="en-GB"/>
        </w:rPr>
        <w:t>schreibt</w:t>
      </w:r>
      <w:r w:rsidR="00384B7C" w:rsidRPr="00384B7C">
        <w:rPr>
          <w:rFonts w:cs="Times New Roman"/>
          <w:lang w:val="en-GB"/>
        </w:rPr>
        <w:t xml:space="preserve"> </w:t>
      </w:r>
      <w:r w:rsidR="00384B7C">
        <w:rPr>
          <w:rFonts w:cs="Times New Roman"/>
          <w:lang w:val="en-GB"/>
        </w:rPr>
        <w:t>Alfred J. Ló</w:t>
      </w:r>
      <w:r w:rsidR="00384B7C" w:rsidRPr="0094317F">
        <w:rPr>
          <w:rFonts w:cs="Times New Roman"/>
          <w:lang w:val="en-GB"/>
        </w:rPr>
        <w:t xml:space="preserve">pez in seinem Werk </w:t>
      </w:r>
      <w:r w:rsidR="00384B7C" w:rsidRPr="0094317F">
        <w:rPr>
          <w:rFonts w:cs="Times New Roman"/>
          <w:i/>
          <w:lang w:val="en-GB"/>
        </w:rPr>
        <w:t>Posts and Pasts: A Theory of Postcolonialism</w:t>
      </w:r>
      <w:r w:rsidR="009564A6">
        <w:rPr>
          <w:rFonts w:cs="Times New Roman"/>
          <w:lang w:val="en-GB"/>
        </w:rPr>
        <w:t xml:space="preserve"> </w:t>
      </w:r>
      <w:r w:rsidR="00384B7C" w:rsidRPr="0094317F">
        <w:rPr>
          <w:rFonts w:cs="Times New Roman"/>
          <w:lang w:val="en-GB"/>
        </w:rPr>
        <w:t>Folgendes zur Analyse der postkolonialen Diaspora: „‘Diasporaʼ signifies identities constituted not i</w:t>
      </w:r>
      <w:r w:rsidR="00384B7C">
        <w:rPr>
          <w:rFonts w:cs="Times New Roman"/>
          <w:lang w:val="en-GB"/>
        </w:rPr>
        <w:t>n relation to an idealized ‘homeland’ compared to which they will always play a secondary or diluted role […], but to an ongoing dynamic of heterogeneity and diversity and difference.”</w:t>
      </w:r>
      <w:r w:rsidR="00384B7C">
        <w:rPr>
          <w:rStyle w:val="Voetnootmarkering"/>
          <w:rFonts w:cs="Times New Roman"/>
          <w:lang w:val="en-GB"/>
        </w:rPr>
        <w:footnoteReference w:id="8"/>
      </w:r>
      <w:r w:rsidR="00D71F0F">
        <w:rPr>
          <w:rFonts w:cs="Times New Roman"/>
          <w:lang w:val="en-GB"/>
        </w:rPr>
        <w:t xml:space="preserve"> </w:t>
      </w:r>
      <w:r w:rsidR="00384B7C" w:rsidRPr="00384B7C">
        <w:rPr>
          <w:rFonts w:cs="Times New Roman"/>
          <w:lang w:val="de-DE"/>
        </w:rPr>
        <w:t xml:space="preserve">Die postkolonialistische Theorie untersucht also nicht </w:t>
      </w:r>
      <w:r w:rsidR="000C6DF0">
        <w:rPr>
          <w:rFonts w:cs="Times New Roman"/>
          <w:lang w:val="de-DE"/>
        </w:rPr>
        <w:t>ausschließlich</w:t>
      </w:r>
      <w:r w:rsidR="00384B7C" w:rsidRPr="00384B7C">
        <w:rPr>
          <w:rFonts w:cs="Times New Roman"/>
          <w:lang w:val="de-DE"/>
        </w:rPr>
        <w:t xml:space="preserve"> die Fortsetzung d</w:t>
      </w:r>
      <w:r w:rsidR="00384B7C">
        <w:rPr>
          <w:rFonts w:cs="Times New Roman"/>
          <w:lang w:val="de-DE"/>
        </w:rPr>
        <w:t xml:space="preserve">er kolonialen Machtsysteme und ihre heutigen Folgen und Einflüsse, sondern bezieht auch ein weiteres Forschungsfeld allgemeinerer Machtverhältnisse ein. </w:t>
      </w:r>
      <w:r w:rsidR="004E640A">
        <w:rPr>
          <w:rFonts w:cs="Times New Roman"/>
          <w:lang w:val="de-DE"/>
        </w:rPr>
        <w:lastRenderedPageBreak/>
        <w:t xml:space="preserve">Deswegen werden in der vorliegenden Masterarbeit postkolonialistische Konzepte und Theorien erwähnt, die </w:t>
      </w:r>
      <w:bookmarkStart w:id="5" w:name="_Hlk513478981"/>
      <w:r w:rsidR="004E640A">
        <w:rPr>
          <w:rFonts w:cs="Times New Roman"/>
          <w:lang w:val="de-DE"/>
        </w:rPr>
        <w:t xml:space="preserve">nicht </w:t>
      </w:r>
      <w:r w:rsidR="000C6DF0">
        <w:rPr>
          <w:rFonts w:cs="Times New Roman"/>
          <w:lang w:val="de-DE"/>
        </w:rPr>
        <w:t>nur</w:t>
      </w:r>
      <w:r w:rsidR="004E640A">
        <w:rPr>
          <w:rFonts w:cs="Times New Roman"/>
          <w:lang w:val="de-DE"/>
        </w:rPr>
        <w:t xml:space="preserve"> die Opfer des Kolonialismus, sondern auch Opfer weiterer Machtverhältnisse betreffen</w:t>
      </w:r>
      <w:bookmarkEnd w:id="5"/>
      <w:r w:rsidR="004E640A">
        <w:rPr>
          <w:rFonts w:cs="Times New Roman"/>
          <w:lang w:val="de-DE"/>
        </w:rPr>
        <w:t>. Es</w:t>
      </w:r>
      <w:r w:rsidR="00C3360E">
        <w:rPr>
          <w:rFonts w:cs="Times New Roman"/>
          <w:lang w:val="de-DE"/>
        </w:rPr>
        <w:t xml:space="preserve"> soll </w:t>
      </w:r>
      <w:r w:rsidR="004E640A">
        <w:rPr>
          <w:rFonts w:cs="Times New Roman"/>
          <w:lang w:val="de-DE"/>
        </w:rPr>
        <w:t>diesbezüglich erwähnt</w:t>
      </w:r>
      <w:r w:rsidR="00C3360E">
        <w:rPr>
          <w:rFonts w:cs="Times New Roman"/>
          <w:lang w:val="de-DE"/>
        </w:rPr>
        <w:t xml:space="preserve"> werden, dass </w:t>
      </w:r>
      <w:r w:rsidR="00F73DBD">
        <w:rPr>
          <w:rFonts w:cs="Times New Roman"/>
          <w:lang w:val="de-DE"/>
        </w:rPr>
        <w:t>Ildikó</w:t>
      </w:r>
      <w:r w:rsidR="00C3360E">
        <w:rPr>
          <w:rFonts w:cs="Times New Roman"/>
          <w:lang w:val="de-DE"/>
        </w:rPr>
        <w:t xml:space="preserve"> und ihre Fa</w:t>
      </w:r>
      <w:r w:rsidR="005D1448">
        <w:rPr>
          <w:rFonts w:cs="Times New Roman"/>
          <w:lang w:val="de-DE"/>
        </w:rPr>
        <w:t>milie zur zweiten Gruppe gehör</w:t>
      </w:r>
      <w:r w:rsidR="000C6DF0">
        <w:rPr>
          <w:rFonts w:cs="Times New Roman"/>
          <w:lang w:val="de-DE"/>
        </w:rPr>
        <w:t>en</w:t>
      </w:r>
      <w:r w:rsidR="00C3360E">
        <w:rPr>
          <w:rFonts w:cs="Times New Roman"/>
          <w:lang w:val="de-DE"/>
        </w:rPr>
        <w:t>, weil die Vojvodina – und Jugoslawien im Allgemeinen – keine wirkliche Kolonisation</w:t>
      </w:r>
      <w:r w:rsidR="004E640A">
        <w:rPr>
          <w:rFonts w:cs="Times New Roman"/>
          <w:lang w:val="de-DE"/>
        </w:rPr>
        <w:t xml:space="preserve">, </w:t>
      </w:r>
      <w:r w:rsidR="00B74377">
        <w:rPr>
          <w:rFonts w:cs="Times New Roman"/>
          <w:lang w:val="de-DE"/>
        </w:rPr>
        <w:t xml:space="preserve">so </w:t>
      </w:r>
      <w:r w:rsidR="004E640A">
        <w:rPr>
          <w:rFonts w:cs="Times New Roman"/>
          <w:lang w:val="de-DE"/>
        </w:rPr>
        <w:t>wie sie normalerweise verstanden wird,</w:t>
      </w:r>
      <w:r w:rsidR="00C3360E">
        <w:rPr>
          <w:rFonts w:cs="Times New Roman"/>
          <w:lang w:val="de-DE"/>
        </w:rPr>
        <w:t xml:space="preserve"> gekannt hat. Die besondere </w:t>
      </w:r>
      <w:r w:rsidR="00B74377">
        <w:rPr>
          <w:rFonts w:cs="Times New Roman"/>
          <w:lang w:val="de-DE"/>
        </w:rPr>
        <w:t>Lage</w:t>
      </w:r>
      <w:r w:rsidR="00C3360E">
        <w:rPr>
          <w:rFonts w:cs="Times New Roman"/>
          <w:lang w:val="de-DE"/>
        </w:rPr>
        <w:t xml:space="preserve">, </w:t>
      </w:r>
      <w:r w:rsidR="00B74377">
        <w:rPr>
          <w:rFonts w:cs="Times New Roman"/>
          <w:lang w:val="de-DE"/>
        </w:rPr>
        <w:t>in</w:t>
      </w:r>
      <w:r w:rsidR="00C3360E">
        <w:rPr>
          <w:rFonts w:cs="Times New Roman"/>
          <w:lang w:val="de-DE"/>
        </w:rPr>
        <w:t xml:space="preserve"> der sich die Vojvodina und ihre Bevölkerung befinden, wird </w:t>
      </w:r>
      <w:r w:rsidR="005D1448">
        <w:rPr>
          <w:rFonts w:cs="Times New Roman"/>
          <w:lang w:val="de-DE"/>
        </w:rPr>
        <w:t xml:space="preserve">aber </w:t>
      </w:r>
      <w:r w:rsidR="00B74377">
        <w:rPr>
          <w:rFonts w:cs="Times New Roman"/>
          <w:lang w:val="de-DE"/>
        </w:rPr>
        <w:t>im Folgenden</w:t>
      </w:r>
      <w:r w:rsidR="005D1448">
        <w:rPr>
          <w:rFonts w:cs="Times New Roman"/>
          <w:lang w:val="de-DE"/>
        </w:rPr>
        <w:t xml:space="preserve"> n</w:t>
      </w:r>
      <w:r w:rsidR="00E66BF7">
        <w:rPr>
          <w:rFonts w:cs="Times New Roman"/>
          <w:lang w:val="de-DE"/>
        </w:rPr>
        <w:t>och ausführlich behandel</w:t>
      </w:r>
      <w:r w:rsidR="005D1448">
        <w:rPr>
          <w:rFonts w:cs="Times New Roman"/>
          <w:lang w:val="de-DE"/>
        </w:rPr>
        <w:t>t</w:t>
      </w:r>
      <w:r w:rsidR="00C3360E">
        <w:rPr>
          <w:rFonts w:cs="Times New Roman"/>
          <w:lang w:val="de-DE"/>
        </w:rPr>
        <w:t xml:space="preserve">. </w:t>
      </w:r>
    </w:p>
    <w:p w14:paraId="59EA8B38" w14:textId="77777777" w:rsidR="006D5C1F" w:rsidRDefault="00B76DD7" w:rsidP="0035185A">
      <w:pPr>
        <w:ind w:firstLine="708"/>
        <w:rPr>
          <w:rFonts w:cs="Times New Roman"/>
          <w:lang w:val="de-DE"/>
        </w:rPr>
      </w:pPr>
      <w:r>
        <w:rPr>
          <w:rFonts w:cs="Times New Roman"/>
          <w:lang w:val="de-DE"/>
        </w:rPr>
        <w:t>Die</w:t>
      </w:r>
      <w:r w:rsidR="002E07BB">
        <w:rPr>
          <w:rFonts w:cs="Times New Roman"/>
          <w:lang w:val="de-DE"/>
        </w:rPr>
        <w:t xml:space="preserve"> wegbereitenden </w:t>
      </w:r>
      <w:r w:rsidR="00053770">
        <w:rPr>
          <w:rFonts w:cs="Times New Roman"/>
          <w:lang w:val="de-DE"/>
        </w:rPr>
        <w:t>Werke</w:t>
      </w:r>
      <w:r w:rsidR="002E07BB">
        <w:rPr>
          <w:rFonts w:cs="Times New Roman"/>
          <w:lang w:val="de-DE"/>
        </w:rPr>
        <w:t xml:space="preserve"> der postkolonialistischen Theorie </w:t>
      </w:r>
      <w:r>
        <w:rPr>
          <w:rFonts w:cs="Times New Roman"/>
          <w:lang w:val="de-DE"/>
        </w:rPr>
        <w:t xml:space="preserve">wurden unter anderem </w:t>
      </w:r>
      <w:r w:rsidR="00B74377">
        <w:rPr>
          <w:rFonts w:cs="Times New Roman"/>
          <w:lang w:val="de-DE"/>
        </w:rPr>
        <w:t xml:space="preserve">von </w:t>
      </w:r>
      <w:r>
        <w:rPr>
          <w:rFonts w:cs="Times New Roman"/>
          <w:lang w:val="de-DE"/>
        </w:rPr>
        <w:t xml:space="preserve">Aimé Césaire, Frantz Fanon, Ashis Nandy </w:t>
      </w:r>
      <w:r w:rsidR="002E07BB">
        <w:rPr>
          <w:rFonts w:cs="Times New Roman"/>
          <w:lang w:val="de-DE"/>
        </w:rPr>
        <w:t>und dem a</w:t>
      </w:r>
      <w:r w:rsidR="001926F4">
        <w:rPr>
          <w:rFonts w:cs="Times New Roman"/>
          <w:lang w:val="de-DE"/>
        </w:rPr>
        <w:t xml:space="preserve">m </w:t>
      </w:r>
      <w:r w:rsidR="001926F4" w:rsidRPr="006F555F">
        <w:rPr>
          <w:rFonts w:cs="Times New Roman"/>
          <w:lang w:val="de-DE"/>
        </w:rPr>
        <w:t>weitesten</w:t>
      </w:r>
      <w:r w:rsidR="001926F4">
        <w:rPr>
          <w:rFonts w:cs="Times New Roman"/>
          <w:lang w:val="de-DE"/>
        </w:rPr>
        <w:t xml:space="preserve"> bekannten Edward </w:t>
      </w:r>
      <w:r w:rsidR="005D1448">
        <w:rPr>
          <w:rFonts w:cs="Times New Roman"/>
          <w:lang w:val="de-DE"/>
        </w:rPr>
        <w:t>Saï</w:t>
      </w:r>
      <w:r w:rsidR="00641904">
        <w:rPr>
          <w:rFonts w:cs="Times New Roman"/>
          <w:lang w:val="de-DE"/>
        </w:rPr>
        <w:t xml:space="preserve">d geschrieben. In seinem Essay </w:t>
      </w:r>
      <w:r w:rsidR="00641904" w:rsidRPr="003B4930">
        <w:rPr>
          <w:rFonts w:cs="Times New Roman"/>
          <w:i/>
          <w:lang w:val="de-DE"/>
        </w:rPr>
        <w:t>Discours sur le colonialisme</w:t>
      </w:r>
      <w:r w:rsidR="00641904">
        <w:rPr>
          <w:rFonts w:cs="Times New Roman"/>
          <w:i/>
          <w:lang w:val="de-DE"/>
        </w:rPr>
        <w:t xml:space="preserve"> </w:t>
      </w:r>
      <w:r w:rsidR="00641904">
        <w:rPr>
          <w:rFonts w:cs="Times New Roman"/>
          <w:lang w:val="de-DE"/>
        </w:rPr>
        <w:t>(1950) beschreibt Césaire den Kolonialismus als das europäische Zivilisierungs</w:t>
      </w:r>
      <w:r w:rsidR="00BD071A">
        <w:rPr>
          <w:rFonts w:cs="Times New Roman"/>
          <w:lang w:val="de-DE"/>
        </w:rPr>
        <w:t xml:space="preserve">projekt, das </w:t>
      </w:r>
      <w:r w:rsidR="00B74377">
        <w:rPr>
          <w:rFonts w:cs="Times New Roman"/>
          <w:lang w:val="de-DE"/>
        </w:rPr>
        <w:t>das</w:t>
      </w:r>
      <w:r w:rsidR="00BD071A">
        <w:rPr>
          <w:rFonts w:cs="Times New Roman"/>
          <w:lang w:val="de-DE"/>
        </w:rPr>
        <w:t xml:space="preserve"> Ziel hatte, die</w:t>
      </w:r>
      <w:r w:rsidR="00641904">
        <w:rPr>
          <w:rFonts w:cs="Times New Roman"/>
          <w:lang w:val="de-DE"/>
        </w:rPr>
        <w:t xml:space="preserve"> Kolonisierten zu entmenschlichen. </w:t>
      </w:r>
      <w:r w:rsidR="00D920D4">
        <w:rPr>
          <w:rFonts w:cs="Times New Roman"/>
          <w:lang w:val="de-DE"/>
        </w:rPr>
        <w:t xml:space="preserve">Das Projekt hatte aber zur Folge, dass nicht nur die einheimische Bevölkerung, sondern auch die Kolonisatoren selbst entmenschlicht wurden, indem </w:t>
      </w:r>
      <w:r w:rsidR="00C83440">
        <w:rPr>
          <w:rFonts w:cs="Times New Roman"/>
          <w:lang w:val="de-DE"/>
        </w:rPr>
        <w:t xml:space="preserve">sie, um ihr Gewissen zu beruhigen, die Kolonisierten – </w:t>
      </w:r>
      <w:r w:rsidR="00B74377">
        <w:rPr>
          <w:rFonts w:cs="Times New Roman"/>
          <w:lang w:val="de-DE"/>
        </w:rPr>
        <w:t xml:space="preserve">also </w:t>
      </w:r>
      <w:r w:rsidR="00C83440">
        <w:rPr>
          <w:rFonts w:cs="Times New Roman"/>
          <w:lang w:val="de-DE"/>
        </w:rPr>
        <w:t>die Anderen –</w:t>
      </w:r>
      <w:r w:rsidR="006E4D10">
        <w:rPr>
          <w:rFonts w:cs="Times New Roman"/>
          <w:lang w:val="de-DE"/>
        </w:rPr>
        <w:t xml:space="preserve"> </w:t>
      </w:r>
      <w:r w:rsidR="00B74377">
        <w:rPr>
          <w:rFonts w:cs="Times New Roman"/>
          <w:lang w:val="de-DE"/>
        </w:rPr>
        <w:t>wie</w:t>
      </w:r>
      <w:r w:rsidR="006E4D10">
        <w:rPr>
          <w:rFonts w:cs="Times New Roman"/>
          <w:lang w:val="de-DE"/>
        </w:rPr>
        <w:t xml:space="preserve"> Tiere behandelten</w:t>
      </w:r>
      <w:r w:rsidR="00C83440">
        <w:rPr>
          <w:rFonts w:cs="Times New Roman"/>
          <w:lang w:val="de-DE"/>
        </w:rPr>
        <w:t>, was si</w:t>
      </w:r>
      <w:r w:rsidR="006E4D10">
        <w:rPr>
          <w:rFonts w:cs="Times New Roman"/>
          <w:lang w:val="de-DE"/>
        </w:rPr>
        <w:t>e</w:t>
      </w:r>
      <w:r w:rsidR="00E66BF7">
        <w:rPr>
          <w:rFonts w:cs="Times New Roman"/>
          <w:lang w:val="de-DE"/>
        </w:rPr>
        <w:t xml:space="preserve"> Césaire zufolge</w:t>
      </w:r>
      <w:r w:rsidR="006E4D10">
        <w:rPr>
          <w:rFonts w:cs="Times New Roman"/>
          <w:lang w:val="de-DE"/>
        </w:rPr>
        <w:t xml:space="preserve"> selbst zu Tiere</w:t>
      </w:r>
      <w:r w:rsidR="00E66BF7">
        <w:rPr>
          <w:rFonts w:cs="Times New Roman"/>
          <w:lang w:val="de-DE"/>
        </w:rPr>
        <w:t>n</w:t>
      </w:r>
      <w:r w:rsidR="00B74377">
        <w:rPr>
          <w:rFonts w:cs="Times New Roman"/>
          <w:lang w:val="de-DE"/>
        </w:rPr>
        <w:t xml:space="preserve"> transformierte</w:t>
      </w:r>
      <w:r w:rsidR="006E4D10">
        <w:rPr>
          <w:rFonts w:cs="Times New Roman"/>
          <w:lang w:val="de-DE"/>
        </w:rPr>
        <w:t>.</w:t>
      </w:r>
      <w:r w:rsidR="00907F66">
        <w:rPr>
          <w:rStyle w:val="Voetnootmarkering"/>
          <w:rFonts w:cs="Times New Roman"/>
          <w:lang w:val="de-DE"/>
        </w:rPr>
        <w:footnoteReference w:id="9"/>
      </w:r>
      <w:r w:rsidR="00053770">
        <w:rPr>
          <w:rFonts w:cs="Times New Roman"/>
          <w:lang w:val="de-DE"/>
        </w:rPr>
        <w:t xml:space="preserve"> </w:t>
      </w:r>
      <w:r w:rsidR="003C257B">
        <w:rPr>
          <w:rFonts w:cs="Times New Roman"/>
          <w:lang w:val="de-DE"/>
        </w:rPr>
        <w:t>Frantz Fanon (</w:t>
      </w:r>
      <w:r w:rsidR="003C257B" w:rsidRPr="00363740">
        <w:rPr>
          <w:rFonts w:cs="Times New Roman"/>
          <w:i/>
          <w:lang w:val="de-DE"/>
        </w:rPr>
        <w:t>Peau noire, masques blancs</w:t>
      </w:r>
      <w:r w:rsidR="003C257B">
        <w:rPr>
          <w:rFonts w:cs="Times New Roman"/>
          <w:lang w:val="de-DE"/>
        </w:rPr>
        <w:t xml:space="preserve">, 1952) </w:t>
      </w:r>
      <w:r w:rsidR="00B74377">
        <w:rPr>
          <w:rFonts w:cs="Times New Roman"/>
          <w:lang w:val="de-DE"/>
        </w:rPr>
        <w:t xml:space="preserve">untersuchte </w:t>
      </w:r>
      <w:r w:rsidR="003C257B">
        <w:rPr>
          <w:rFonts w:cs="Times New Roman"/>
          <w:lang w:val="de-DE"/>
        </w:rPr>
        <w:t>vor allem die psychologischen Effekte des Kolonialismus und</w:t>
      </w:r>
      <w:r w:rsidR="00C6040B">
        <w:rPr>
          <w:rFonts w:cs="Times New Roman"/>
          <w:lang w:val="de-DE"/>
        </w:rPr>
        <w:t xml:space="preserve"> </w:t>
      </w:r>
      <w:r w:rsidR="00B74377">
        <w:rPr>
          <w:rFonts w:cs="Times New Roman"/>
          <w:lang w:val="de-DE"/>
        </w:rPr>
        <w:t xml:space="preserve">entwickelte </w:t>
      </w:r>
      <w:r w:rsidR="003C257B">
        <w:rPr>
          <w:rFonts w:cs="Times New Roman"/>
          <w:lang w:val="de-DE"/>
        </w:rPr>
        <w:t xml:space="preserve">das Konzept des </w:t>
      </w:r>
      <w:r w:rsidR="004D0255">
        <w:rPr>
          <w:rFonts w:cs="Times New Roman"/>
          <w:lang w:val="de-DE"/>
        </w:rPr>
        <w:t>Minderwertigkeitskomplexes</w:t>
      </w:r>
      <w:r w:rsidR="00B74377">
        <w:rPr>
          <w:rFonts w:cs="Times New Roman"/>
          <w:lang w:val="de-DE"/>
        </w:rPr>
        <w:t>:</w:t>
      </w:r>
      <w:r w:rsidR="004D0255">
        <w:rPr>
          <w:rStyle w:val="Voetnootmarkering"/>
          <w:rFonts w:cs="Times New Roman"/>
          <w:lang w:val="de-DE"/>
        </w:rPr>
        <w:footnoteReference w:id="10"/>
      </w:r>
      <w:r w:rsidR="004D0255">
        <w:rPr>
          <w:rFonts w:cs="Times New Roman"/>
          <w:lang w:val="de-DE"/>
        </w:rPr>
        <w:t xml:space="preserve"> </w:t>
      </w:r>
      <w:r w:rsidR="00B10DFA">
        <w:rPr>
          <w:rFonts w:cs="Times New Roman"/>
          <w:lang w:val="de-DE"/>
        </w:rPr>
        <w:t>Der schwarze</w:t>
      </w:r>
      <w:r w:rsidR="004D0255">
        <w:rPr>
          <w:rFonts w:cs="Times New Roman"/>
          <w:lang w:val="de-DE"/>
        </w:rPr>
        <w:t xml:space="preserve"> Mensch betrachte</w:t>
      </w:r>
      <w:r w:rsidR="00B10DFA">
        <w:rPr>
          <w:rFonts w:cs="Times New Roman"/>
          <w:lang w:val="de-DE"/>
        </w:rPr>
        <w:t>t</w:t>
      </w:r>
      <w:r w:rsidR="004D0255">
        <w:rPr>
          <w:rFonts w:cs="Times New Roman"/>
          <w:lang w:val="de-DE"/>
        </w:rPr>
        <w:t xml:space="preserve"> sich selbst durch eine rassistische Linse und verlang</w:t>
      </w:r>
      <w:r w:rsidR="00B10DFA">
        <w:rPr>
          <w:rFonts w:cs="Times New Roman"/>
          <w:lang w:val="de-DE"/>
        </w:rPr>
        <w:t>t</w:t>
      </w:r>
      <w:r w:rsidR="004D0255">
        <w:rPr>
          <w:rFonts w:cs="Times New Roman"/>
          <w:lang w:val="de-DE"/>
        </w:rPr>
        <w:t xml:space="preserve"> danach, weiß zu sein.</w:t>
      </w:r>
      <w:r w:rsidR="005A1C22">
        <w:rPr>
          <w:rStyle w:val="Voetnootmarkering"/>
          <w:rFonts w:cs="Times New Roman"/>
          <w:lang w:val="de-DE"/>
        </w:rPr>
        <w:footnoteReference w:id="11"/>
      </w:r>
      <w:r w:rsidR="00B10DFA">
        <w:rPr>
          <w:rFonts w:cs="Times New Roman"/>
          <w:lang w:val="de-DE"/>
        </w:rPr>
        <w:t xml:space="preserve"> </w:t>
      </w:r>
    </w:p>
    <w:p w14:paraId="583135FA" w14:textId="262E511D" w:rsidR="00F4026F" w:rsidRDefault="00B10DFA" w:rsidP="0035185A">
      <w:pPr>
        <w:ind w:firstLine="708"/>
        <w:rPr>
          <w:rFonts w:cs="Times New Roman"/>
          <w:lang w:val="de-DE"/>
        </w:rPr>
      </w:pPr>
      <w:r>
        <w:rPr>
          <w:rFonts w:cs="Times New Roman"/>
          <w:lang w:val="de-DE"/>
        </w:rPr>
        <w:t>Außer ihm untersucht</w:t>
      </w:r>
      <w:r w:rsidR="00B74377">
        <w:rPr>
          <w:rFonts w:cs="Times New Roman"/>
          <w:lang w:val="de-DE"/>
        </w:rPr>
        <w:t>e</w:t>
      </w:r>
      <w:r>
        <w:rPr>
          <w:rFonts w:cs="Times New Roman"/>
          <w:lang w:val="de-DE"/>
        </w:rPr>
        <w:t xml:space="preserve"> auch Ashis Nandy (</w:t>
      </w:r>
      <w:r w:rsidRPr="00363740">
        <w:rPr>
          <w:rFonts w:cs="Times New Roman"/>
          <w:i/>
          <w:lang w:val="de-DE"/>
        </w:rPr>
        <w:t>The Intimate Enemy: Loss and Recovery of Self Under Colonialism</w:t>
      </w:r>
      <w:r>
        <w:rPr>
          <w:rFonts w:cs="Times New Roman"/>
          <w:i/>
          <w:lang w:val="de-DE"/>
        </w:rPr>
        <w:t xml:space="preserve">, </w:t>
      </w:r>
      <w:r>
        <w:rPr>
          <w:rFonts w:cs="Times New Roman"/>
          <w:lang w:val="de-DE"/>
        </w:rPr>
        <w:t>1983) die psychologischen Effekte</w:t>
      </w:r>
      <w:r w:rsidR="00C6040B">
        <w:rPr>
          <w:rFonts w:cs="Times New Roman"/>
          <w:lang w:val="de-DE"/>
        </w:rPr>
        <w:t xml:space="preserve"> des Kolonialismus.</w:t>
      </w:r>
      <w:r w:rsidR="00905DCC">
        <w:rPr>
          <w:rFonts w:cs="Times New Roman"/>
          <w:lang w:val="de-DE"/>
        </w:rPr>
        <w:t xml:space="preserve"> Er </w:t>
      </w:r>
      <w:r w:rsidR="00B760E3">
        <w:rPr>
          <w:rFonts w:cs="Times New Roman"/>
          <w:lang w:val="de-DE"/>
        </w:rPr>
        <w:t>spricht</w:t>
      </w:r>
      <w:r w:rsidR="00905DCC">
        <w:rPr>
          <w:rFonts w:cs="Times New Roman"/>
          <w:lang w:val="de-DE"/>
        </w:rPr>
        <w:t xml:space="preserve"> vom „psychologischen Kolonialismus“ und erforscht die psychologische</w:t>
      </w:r>
      <w:r w:rsidR="00B760E3">
        <w:rPr>
          <w:rFonts w:cs="Times New Roman"/>
          <w:lang w:val="de-DE"/>
        </w:rPr>
        <w:t>n</w:t>
      </w:r>
      <w:r w:rsidR="00905DCC">
        <w:rPr>
          <w:rFonts w:cs="Times New Roman"/>
          <w:lang w:val="de-DE"/>
        </w:rPr>
        <w:t xml:space="preserve"> Strukturen und kulturelle</w:t>
      </w:r>
      <w:r w:rsidR="00B760E3">
        <w:rPr>
          <w:rFonts w:cs="Times New Roman"/>
          <w:lang w:val="de-DE"/>
        </w:rPr>
        <w:t>n</w:t>
      </w:r>
      <w:r w:rsidR="00905DCC">
        <w:rPr>
          <w:rFonts w:cs="Times New Roman"/>
          <w:lang w:val="de-DE"/>
        </w:rPr>
        <w:t xml:space="preserve"> Kräfte, die den Kolonialismus im britischen India unterstützt und bekämpft haben.</w:t>
      </w:r>
      <w:r w:rsidR="00905DCC">
        <w:rPr>
          <w:rStyle w:val="Voetnootmarkering"/>
          <w:rFonts w:cs="Times New Roman"/>
          <w:lang w:val="de-DE"/>
        </w:rPr>
        <w:footnoteReference w:id="12"/>
      </w:r>
      <w:r w:rsidR="00905DCC">
        <w:rPr>
          <w:rFonts w:cs="Times New Roman"/>
          <w:lang w:val="de-DE"/>
        </w:rPr>
        <w:t xml:space="preserve"> Weiter behandelt er Strategien, die der Bevölkerung eine Art und Weise boten</w:t>
      </w:r>
      <w:r w:rsidR="00C6040B">
        <w:rPr>
          <w:rFonts w:cs="Times New Roman"/>
          <w:lang w:val="de-DE"/>
        </w:rPr>
        <w:t xml:space="preserve"> – und immer noch bieten –</w:t>
      </w:r>
      <w:r w:rsidR="00905DCC">
        <w:rPr>
          <w:rFonts w:cs="Times New Roman"/>
          <w:lang w:val="de-DE"/>
        </w:rPr>
        <w:t xml:space="preserve">, die </w:t>
      </w:r>
      <w:r w:rsidR="00B74377">
        <w:rPr>
          <w:rFonts w:cs="Times New Roman"/>
          <w:lang w:val="de-DE"/>
        </w:rPr>
        <w:t>Erlebnisse im Zusammenhang mit dem Kolonialismus</w:t>
      </w:r>
      <w:r w:rsidR="00905DCC">
        <w:rPr>
          <w:rFonts w:cs="Times New Roman"/>
          <w:lang w:val="de-DE"/>
        </w:rPr>
        <w:t xml:space="preserve"> zu überleben. </w:t>
      </w:r>
      <w:r w:rsidR="00905DCC" w:rsidRPr="00F9242F">
        <w:rPr>
          <w:rFonts w:cs="Times New Roman"/>
          <w:lang w:val="en-GB"/>
        </w:rPr>
        <w:t>Diese Strategien</w:t>
      </w:r>
      <w:r w:rsidR="00C60E2B" w:rsidRPr="00F9242F">
        <w:rPr>
          <w:rFonts w:cs="Times New Roman"/>
          <w:lang w:val="en-GB"/>
        </w:rPr>
        <w:t xml:space="preserve"> machen oft selbst </w:t>
      </w:r>
      <w:r w:rsidR="00B74377">
        <w:rPr>
          <w:rFonts w:cs="Times New Roman"/>
          <w:lang w:val="en-GB"/>
        </w:rPr>
        <w:t xml:space="preserve">einen </w:t>
      </w:r>
      <w:r w:rsidR="00C60E2B" w:rsidRPr="00F9242F">
        <w:rPr>
          <w:rFonts w:cs="Times New Roman"/>
          <w:lang w:val="en-GB"/>
        </w:rPr>
        <w:t>Teil des Kolonialismus aus</w:t>
      </w:r>
      <w:r w:rsidR="00C60E2B" w:rsidRPr="00C60E2B">
        <w:rPr>
          <w:rFonts w:cs="Times New Roman"/>
          <w:lang w:val="en-GB"/>
        </w:rPr>
        <w:t>: „[T]he ultimate violence which colonialism does to its victims, namely that</w:t>
      </w:r>
      <w:r w:rsidR="00C60E2B">
        <w:rPr>
          <w:rFonts w:cs="Times New Roman"/>
          <w:lang w:val="en-GB"/>
        </w:rPr>
        <w:t xml:space="preserve"> it creates a culture in which the ruled are constantly tempted to fight </w:t>
      </w:r>
      <w:r w:rsidR="00C60E2B">
        <w:rPr>
          <w:rFonts w:cs="Times New Roman"/>
          <w:lang w:val="en-GB"/>
        </w:rPr>
        <w:lastRenderedPageBreak/>
        <w:t>their rulers within the psychological limits set by the latter</w:t>
      </w:r>
      <w:r w:rsidR="006F555F">
        <w:rPr>
          <w:rFonts w:cs="Times New Roman"/>
          <w:lang w:val="en-GB"/>
        </w:rPr>
        <w:t>.</w:t>
      </w:r>
      <w:r w:rsidR="00C60E2B">
        <w:rPr>
          <w:rFonts w:cs="Times New Roman"/>
          <w:lang w:val="en-GB"/>
        </w:rPr>
        <w:t>”</w:t>
      </w:r>
      <w:r w:rsidR="00C60E2B">
        <w:rPr>
          <w:rStyle w:val="Voetnootmarkering"/>
          <w:rFonts w:cs="Times New Roman"/>
          <w:lang w:val="en-GB"/>
        </w:rPr>
        <w:footnoteReference w:id="13"/>
      </w:r>
      <w:r w:rsidR="001F3FDB">
        <w:rPr>
          <w:rFonts w:cs="Times New Roman"/>
          <w:lang w:val="en-GB"/>
        </w:rPr>
        <w:t xml:space="preserve"> </w:t>
      </w:r>
      <w:r w:rsidR="001F3FDB" w:rsidRPr="001F3FDB">
        <w:rPr>
          <w:rFonts w:cs="Times New Roman"/>
          <w:lang w:val="de-DE"/>
        </w:rPr>
        <w:t>Sogar der Widerstand</w:t>
      </w:r>
      <w:r w:rsidR="006E4D10">
        <w:rPr>
          <w:rFonts w:cs="Times New Roman"/>
          <w:lang w:val="de-DE"/>
        </w:rPr>
        <w:t xml:space="preserve"> </w:t>
      </w:r>
      <w:r w:rsidR="00B74377">
        <w:rPr>
          <w:rFonts w:cs="Times New Roman"/>
          <w:lang w:val="de-DE"/>
        </w:rPr>
        <w:t xml:space="preserve">gegen den Kolonialismus </w:t>
      </w:r>
      <w:r w:rsidR="001F3FDB" w:rsidRPr="001F3FDB">
        <w:rPr>
          <w:rFonts w:cs="Times New Roman"/>
          <w:lang w:val="de-DE"/>
        </w:rPr>
        <w:t xml:space="preserve">wird </w:t>
      </w:r>
      <w:r w:rsidR="00F4026F">
        <w:rPr>
          <w:rFonts w:cs="Times New Roman"/>
          <w:lang w:val="de-DE"/>
        </w:rPr>
        <w:t xml:space="preserve">also </w:t>
      </w:r>
      <w:r w:rsidR="001F3FDB" w:rsidRPr="001F3FDB">
        <w:rPr>
          <w:rFonts w:cs="Times New Roman"/>
          <w:lang w:val="de-DE"/>
        </w:rPr>
        <w:t>von den Kolonisatoren bestimmt.</w:t>
      </w:r>
      <w:r w:rsidR="00F4026F">
        <w:rPr>
          <w:rFonts w:cs="Times New Roman"/>
          <w:lang w:val="de-DE"/>
        </w:rPr>
        <w:t xml:space="preserve"> Zum Schluss kann im postkolonialistischen theoretisc</w:t>
      </w:r>
      <w:r w:rsidR="006E4D10">
        <w:rPr>
          <w:rFonts w:cs="Times New Roman"/>
          <w:lang w:val="de-DE"/>
        </w:rPr>
        <w:t>hen Zusammenhang noch Edward Saï</w:t>
      </w:r>
      <w:r w:rsidR="00F4026F">
        <w:rPr>
          <w:rFonts w:cs="Times New Roman"/>
          <w:lang w:val="de-DE"/>
        </w:rPr>
        <w:t xml:space="preserve">ds </w:t>
      </w:r>
      <w:r w:rsidR="00F4026F">
        <w:rPr>
          <w:rFonts w:cs="Times New Roman"/>
          <w:i/>
          <w:lang w:val="de-DE"/>
        </w:rPr>
        <w:t xml:space="preserve">Orientalism </w:t>
      </w:r>
      <w:r w:rsidR="00F4026F">
        <w:rPr>
          <w:rFonts w:cs="Times New Roman"/>
          <w:lang w:val="de-DE"/>
        </w:rPr>
        <w:t>(1978) an</w:t>
      </w:r>
      <w:r w:rsidR="006E4D10">
        <w:rPr>
          <w:rFonts w:cs="Times New Roman"/>
          <w:lang w:val="de-DE"/>
        </w:rPr>
        <w:t>geführt werden. Da Saï</w:t>
      </w:r>
      <w:r w:rsidR="00F4026F">
        <w:rPr>
          <w:rFonts w:cs="Times New Roman"/>
          <w:lang w:val="de-DE"/>
        </w:rPr>
        <w:t xml:space="preserve">ds Werk als das einflussreichste unter den postkolonialistischen </w:t>
      </w:r>
      <w:r w:rsidR="00E83676">
        <w:rPr>
          <w:rFonts w:cs="Times New Roman"/>
          <w:lang w:val="de-DE"/>
        </w:rPr>
        <w:t xml:space="preserve">betrachtet </w:t>
      </w:r>
      <w:r w:rsidR="006E4D10">
        <w:rPr>
          <w:rFonts w:cs="Times New Roman"/>
          <w:lang w:val="de-DE"/>
        </w:rPr>
        <w:t>werden kann</w:t>
      </w:r>
      <w:r w:rsidR="00E83676">
        <w:rPr>
          <w:rFonts w:cs="Times New Roman"/>
          <w:lang w:val="de-DE"/>
        </w:rPr>
        <w:t>, ist ein kurzer Exkurs zu</w:t>
      </w:r>
      <w:r w:rsidR="00C6040B">
        <w:rPr>
          <w:rFonts w:cs="Times New Roman"/>
          <w:lang w:val="de-DE"/>
        </w:rPr>
        <w:t>m</w:t>
      </w:r>
      <w:r w:rsidR="00E83676">
        <w:rPr>
          <w:rFonts w:cs="Times New Roman"/>
          <w:lang w:val="de-DE"/>
        </w:rPr>
        <w:t xml:space="preserve"> Werk hier angemessen.</w:t>
      </w:r>
    </w:p>
    <w:p w14:paraId="28737197" w14:textId="77777777" w:rsidR="00F71E26" w:rsidRDefault="00F71E26" w:rsidP="0035185A">
      <w:pPr>
        <w:ind w:firstLine="708"/>
        <w:rPr>
          <w:rFonts w:cs="Times New Roman"/>
          <w:lang w:val="de-DE"/>
        </w:rPr>
      </w:pPr>
    </w:p>
    <w:p w14:paraId="4DDDCAA6" w14:textId="526D9EC7" w:rsidR="00F4026F" w:rsidRDefault="00E83676" w:rsidP="00F4026F">
      <w:pPr>
        <w:pStyle w:val="Kop2"/>
        <w:numPr>
          <w:ilvl w:val="1"/>
          <w:numId w:val="2"/>
        </w:numPr>
        <w:rPr>
          <w:lang w:val="de-DE"/>
        </w:rPr>
      </w:pPr>
      <w:r>
        <w:rPr>
          <w:lang w:val="de-DE"/>
        </w:rPr>
        <w:t xml:space="preserve"> </w:t>
      </w:r>
      <w:bookmarkStart w:id="6" w:name="_Toc515180087"/>
      <w:r w:rsidR="00F4026F">
        <w:rPr>
          <w:lang w:val="de-DE"/>
        </w:rPr>
        <w:t>Orientalismus</w:t>
      </w:r>
      <w:bookmarkEnd w:id="6"/>
      <w:r w:rsidR="00F4026F">
        <w:rPr>
          <w:lang w:val="de-DE"/>
        </w:rPr>
        <w:t xml:space="preserve"> </w:t>
      </w:r>
    </w:p>
    <w:p w14:paraId="50B421C3" w14:textId="517F95CF" w:rsidR="00F4026F" w:rsidRDefault="00F4026F" w:rsidP="00F4026F">
      <w:pPr>
        <w:rPr>
          <w:lang w:val="de-DE"/>
        </w:rPr>
      </w:pPr>
      <w:r w:rsidRPr="001926F4">
        <w:rPr>
          <w:lang w:val="de-DE"/>
        </w:rPr>
        <w:t xml:space="preserve">Im Allgemeinen bezeichnet </w:t>
      </w:r>
      <w:r w:rsidR="006E4D10">
        <w:rPr>
          <w:lang w:val="de-DE"/>
        </w:rPr>
        <w:t>Saï</w:t>
      </w:r>
      <w:r w:rsidRPr="001926F4">
        <w:rPr>
          <w:lang w:val="de-DE"/>
        </w:rPr>
        <w:t>d Orientalismus als „</w:t>
      </w:r>
      <w:r w:rsidRPr="0066440E">
        <w:rPr>
          <w:lang w:val="de-DE"/>
        </w:rPr>
        <w:t>a Western style for dominating</w:t>
      </w:r>
      <w:r w:rsidR="0048604F" w:rsidRPr="0066440E">
        <w:rPr>
          <w:lang w:val="de-DE"/>
        </w:rPr>
        <w:t>,</w:t>
      </w:r>
      <w:r w:rsidRPr="0066440E">
        <w:rPr>
          <w:lang w:val="de-DE"/>
        </w:rPr>
        <w:t xml:space="preserve"> restructuring, and having authority over the Orient”</w:t>
      </w:r>
      <w:r w:rsidRPr="006E4D10">
        <w:rPr>
          <w:rStyle w:val="Voetnootmarkering"/>
          <w:lang w:val="en-GB"/>
        </w:rPr>
        <w:footnoteReference w:id="14"/>
      </w:r>
      <w:r w:rsidRPr="001926F4">
        <w:rPr>
          <w:lang w:val="de-DE"/>
        </w:rPr>
        <w:t xml:space="preserve"> und etwas ausf</w:t>
      </w:r>
      <w:r>
        <w:rPr>
          <w:lang w:val="de-DE"/>
        </w:rPr>
        <w:t xml:space="preserve">ührlicher auf folgende Art und Weise: </w:t>
      </w:r>
    </w:p>
    <w:p w14:paraId="29801F6A" w14:textId="01482B3E" w:rsidR="00F4026F" w:rsidRDefault="00F4026F" w:rsidP="00F4026F">
      <w:pPr>
        <w:spacing w:line="240" w:lineRule="auto"/>
        <w:ind w:left="567"/>
        <w:rPr>
          <w:lang w:val="en-GB"/>
        </w:rPr>
      </w:pPr>
      <w:r w:rsidRPr="001926F4">
        <w:rPr>
          <w:lang w:val="en-GB"/>
        </w:rPr>
        <w:t>[T]he Orient has helped t</w:t>
      </w:r>
      <w:r>
        <w:rPr>
          <w:lang w:val="en-GB"/>
        </w:rPr>
        <w:t>o define Europe (or the West)</w:t>
      </w:r>
      <w:r w:rsidRPr="001926F4">
        <w:rPr>
          <w:lang w:val="en-GB"/>
        </w:rPr>
        <w:t xml:space="preserve"> as its contrasting image, idea, personality, experience. Yet none of this Orient is merely imaginative. The Orient is an integral</w:t>
      </w:r>
      <w:r w:rsidR="006E4D10">
        <w:rPr>
          <w:lang w:val="en-GB"/>
        </w:rPr>
        <w:t xml:space="preserve"> part</w:t>
      </w:r>
      <w:r w:rsidRPr="001926F4">
        <w:rPr>
          <w:lang w:val="en-GB"/>
        </w:rPr>
        <w:t xml:space="preserve"> of European mat</w:t>
      </w:r>
      <w:r w:rsidR="0035185A">
        <w:rPr>
          <w:lang w:val="en-GB"/>
        </w:rPr>
        <w:t xml:space="preserve">erial civilization and culture. </w:t>
      </w:r>
      <w:r w:rsidRPr="001926F4">
        <w:rPr>
          <w:lang w:val="en-GB"/>
        </w:rPr>
        <w:t>Orientalism expresses and represents that part culturally and even ideologically as a mode of discourse with supporting institutions, vocabulary, scholarship, imagery, doctrines, even colonial bureaucracies and colonial styles.</w:t>
      </w:r>
      <w:r>
        <w:rPr>
          <w:rStyle w:val="Voetnootmarkering"/>
          <w:lang w:val="en-GB"/>
        </w:rPr>
        <w:footnoteReference w:id="15"/>
      </w:r>
    </w:p>
    <w:p w14:paraId="3341FCBA" w14:textId="77777777" w:rsidR="00F4026F" w:rsidRPr="001926F4" w:rsidRDefault="00F4026F" w:rsidP="00F4026F">
      <w:pPr>
        <w:spacing w:line="240" w:lineRule="auto"/>
        <w:rPr>
          <w:lang w:val="en-GB"/>
        </w:rPr>
      </w:pPr>
    </w:p>
    <w:p w14:paraId="5CB4A5A8" w14:textId="77777777" w:rsidR="009564A6" w:rsidRDefault="0066440E" w:rsidP="00F4026F">
      <w:pPr>
        <w:rPr>
          <w:lang w:val="de-DE"/>
        </w:rPr>
      </w:pPr>
      <w:r>
        <w:rPr>
          <w:lang w:val="de-DE"/>
        </w:rPr>
        <w:t xml:space="preserve">Zwei Aspekte sind in diesem Zusammenhang </w:t>
      </w:r>
      <w:r w:rsidR="0035185A">
        <w:rPr>
          <w:lang w:val="de-DE"/>
        </w:rPr>
        <w:t>von Bedeutung</w:t>
      </w:r>
      <w:r w:rsidR="00B74377">
        <w:rPr>
          <w:lang w:val="de-DE"/>
        </w:rPr>
        <w:t>:</w:t>
      </w:r>
      <w:r>
        <w:rPr>
          <w:lang w:val="de-DE"/>
        </w:rPr>
        <w:t xml:space="preserve"> Ein</w:t>
      </w:r>
      <w:r w:rsidR="00B74377">
        <w:rPr>
          <w:lang w:val="de-DE"/>
        </w:rPr>
        <w:t>erseits wird der Orient in einen</w:t>
      </w:r>
      <w:r>
        <w:rPr>
          <w:lang w:val="de-DE"/>
        </w:rPr>
        <w:t xml:space="preserve"> Kontrast zum Okzident </w:t>
      </w:r>
      <w:r w:rsidR="00B74377">
        <w:rPr>
          <w:lang w:val="de-DE"/>
        </w:rPr>
        <w:t>gestellt</w:t>
      </w:r>
      <w:r>
        <w:rPr>
          <w:lang w:val="de-DE"/>
        </w:rPr>
        <w:t xml:space="preserve"> und in Bezug auf diesen definiert. Westliche Normen und Werte werden</w:t>
      </w:r>
      <w:r w:rsidR="00B74377">
        <w:rPr>
          <w:lang w:val="de-DE"/>
        </w:rPr>
        <w:t xml:space="preserve"> den</w:t>
      </w:r>
      <w:r>
        <w:rPr>
          <w:lang w:val="de-DE"/>
        </w:rPr>
        <w:t xml:space="preserve"> östlichen entgegenges</w:t>
      </w:r>
      <w:r w:rsidR="00BD071A">
        <w:rPr>
          <w:lang w:val="de-DE"/>
        </w:rPr>
        <w:t>tellt: Das</w:t>
      </w:r>
      <w:r>
        <w:rPr>
          <w:lang w:val="de-DE"/>
        </w:rPr>
        <w:t xml:space="preserve"> westliche Subjekt ist rational, zivilisiert und überlegen, während </w:t>
      </w:r>
      <w:r w:rsidR="00BD071A">
        <w:rPr>
          <w:lang w:val="de-DE"/>
        </w:rPr>
        <w:t>das</w:t>
      </w:r>
      <w:r>
        <w:rPr>
          <w:lang w:val="de-DE"/>
        </w:rPr>
        <w:t xml:space="preserve"> östliche Subjekt als irrational</w:t>
      </w:r>
      <w:r w:rsidR="004508A0">
        <w:rPr>
          <w:rStyle w:val="Voetnootmarkering"/>
          <w:lang w:val="de-DE"/>
        </w:rPr>
        <w:footnoteReference w:id="16"/>
      </w:r>
      <w:r>
        <w:rPr>
          <w:lang w:val="de-DE"/>
        </w:rPr>
        <w:t>, unzivilisiert</w:t>
      </w:r>
      <w:r w:rsidR="004508A0">
        <w:rPr>
          <w:rStyle w:val="Voetnootmarkering"/>
          <w:lang w:val="de-DE"/>
        </w:rPr>
        <w:footnoteReference w:id="17"/>
      </w:r>
      <w:r w:rsidR="004508A0">
        <w:rPr>
          <w:lang w:val="de-DE"/>
        </w:rPr>
        <w:t xml:space="preserve"> und unterlegen</w:t>
      </w:r>
      <w:r w:rsidR="004508A0">
        <w:rPr>
          <w:rStyle w:val="Voetnootmarkering"/>
          <w:lang w:val="de-DE"/>
        </w:rPr>
        <w:footnoteReference w:id="18"/>
      </w:r>
      <w:r w:rsidR="004508A0">
        <w:rPr>
          <w:lang w:val="de-DE"/>
        </w:rPr>
        <w:t xml:space="preserve"> bezeichnet wird.</w:t>
      </w:r>
      <w:r>
        <w:rPr>
          <w:lang w:val="de-DE"/>
        </w:rPr>
        <w:t xml:space="preserve"> Der Westen und seine Qualitäten </w:t>
      </w:r>
      <w:r w:rsidR="004D6560">
        <w:rPr>
          <w:lang w:val="de-DE"/>
        </w:rPr>
        <w:t xml:space="preserve">– unter </w:t>
      </w:r>
      <w:r w:rsidR="00B74377">
        <w:rPr>
          <w:lang w:val="de-DE"/>
        </w:rPr>
        <w:t>diesen</w:t>
      </w:r>
      <w:r w:rsidR="004D6560">
        <w:rPr>
          <w:lang w:val="de-DE"/>
        </w:rPr>
        <w:t xml:space="preserve"> Rationalität und Zivilisation – </w:t>
      </w:r>
      <w:r>
        <w:rPr>
          <w:lang w:val="de-DE"/>
        </w:rPr>
        <w:t xml:space="preserve">werden als </w:t>
      </w:r>
      <w:r w:rsidR="001E315E">
        <w:rPr>
          <w:lang w:val="de-DE"/>
        </w:rPr>
        <w:t>Standard</w:t>
      </w:r>
      <w:r>
        <w:rPr>
          <w:lang w:val="de-DE"/>
        </w:rPr>
        <w:t xml:space="preserve"> definiert und </w:t>
      </w:r>
      <w:r w:rsidR="00B74377">
        <w:rPr>
          <w:lang w:val="de-DE"/>
        </w:rPr>
        <w:t>diesen</w:t>
      </w:r>
      <w:r w:rsidR="004D6560">
        <w:rPr>
          <w:lang w:val="de-DE"/>
        </w:rPr>
        <w:t xml:space="preserve"> wird der Osten entgegengestellt. </w:t>
      </w:r>
      <w:r w:rsidR="00E97FD5">
        <w:rPr>
          <w:rFonts w:cs="Times New Roman"/>
          <w:lang w:val="de-DE"/>
        </w:rPr>
        <w:t>Um das Primitive bezwingen zu können, soll das „orientalische Subjekt“ sich das westliche, überlegene Subjekt zum Vorbild nehmen.</w:t>
      </w:r>
      <w:r w:rsidR="004B7B7D">
        <w:rPr>
          <w:rFonts w:cs="Times New Roman"/>
          <w:lang w:val="de-DE"/>
        </w:rPr>
        <w:t xml:space="preserve"> </w:t>
      </w:r>
      <w:r>
        <w:rPr>
          <w:lang w:val="de-DE"/>
        </w:rPr>
        <w:t>Andererseits macht der Orient aber auch Teil des Okzidents aus. Eine Definition von blo</w:t>
      </w:r>
      <w:r>
        <w:rPr>
          <w:rFonts w:cs="Times New Roman"/>
          <w:lang w:val="de-DE"/>
        </w:rPr>
        <w:t>ß</w:t>
      </w:r>
      <w:r>
        <w:rPr>
          <w:lang w:val="de-DE"/>
        </w:rPr>
        <w:t xml:space="preserve">em Gegensatz zwischen beiden wäre also zu einseitig. </w:t>
      </w:r>
      <w:r w:rsidR="0048604F">
        <w:rPr>
          <w:lang w:val="de-DE"/>
        </w:rPr>
        <w:t xml:space="preserve">Der Westen braucht </w:t>
      </w:r>
      <w:r>
        <w:rPr>
          <w:lang w:val="de-DE"/>
        </w:rPr>
        <w:t xml:space="preserve">nämlich </w:t>
      </w:r>
      <w:r w:rsidR="0048604F">
        <w:rPr>
          <w:lang w:val="de-DE"/>
        </w:rPr>
        <w:t xml:space="preserve">den Osten, um seine eigene Identität zu konstituieren. </w:t>
      </w:r>
    </w:p>
    <w:p w14:paraId="777807FF" w14:textId="13FC64F5" w:rsidR="00126902" w:rsidRPr="00CA0BC0" w:rsidRDefault="004D6560" w:rsidP="009564A6">
      <w:pPr>
        <w:ind w:firstLine="708"/>
        <w:rPr>
          <w:lang w:val="de-DE"/>
        </w:rPr>
      </w:pPr>
      <w:r>
        <w:rPr>
          <w:lang w:val="de-DE"/>
        </w:rPr>
        <w:lastRenderedPageBreak/>
        <w:t xml:space="preserve">Die Idee der </w:t>
      </w:r>
      <w:r w:rsidR="001B391E">
        <w:rPr>
          <w:lang w:val="de-DE"/>
        </w:rPr>
        <w:t>Schaffung eines Selbstbildes</w:t>
      </w:r>
      <w:r w:rsidR="005340F2">
        <w:rPr>
          <w:lang w:val="de-DE"/>
        </w:rPr>
        <w:t xml:space="preserve"> anhand </w:t>
      </w:r>
      <w:r w:rsidR="001B391E">
        <w:rPr>
          <w:lang w:val="de-DE"/>
        </w:rPr>
        <w:t>anderer</w:t>
      </w:r>
      <w:r w:rsidR="005340F2">
        <w:rPr>
          <w:lang w:val="de-DE"/>
        </w:rPr>
        <w:t xml:space="preserve"> Menschen taucht auch heute noch auf</w:t>
      </w:r>
      <w:r>
        <w:rPr>
          <w:lang w:val="de-DE"/>
        </w:rPr>
        <w:t>, z. B. in den Migra</w:t>
      </w:r>
      <w:r w:rsidR="005340F2">
        <w:rPr>
          <w:lang w:val="de-DE"/>
        </w:rPr>
        <w:t xml:space="preserve">tions- und Flüchtlingsdebatten </w:t>
      </w:r>
      <w:r w:rsidR="00152FF9">
        <w:rPr>
          <w:lang w:val="de-DE"/>
        </w:rPr>
        <w:t>jüngster</w:t>
      </w:r>
      <w:r w:rsidR="005340F2">
        <w:rPr>
          <w:lang w:val="de-DE"/>
        </w:rPr>
        <w:t xml:space="preserve"> Zeit. </w:t>
      </w:r>
      <w:r w:rsidR="00EC61A3">
        <w:rPr>
          <w:lang w:val="de-DE"/>
        </w:rPr>
        <w:t>In diesem Zusammenhang kann auf das Konzept der deutschen Leitkultur, das in einem Kontext von Multikulturalismus oft als Strategie gegen Überfremdung angeführt wird, verwiesen werden. Herbert Uerlings definiert die deutsche Leitkultur als eine Form der Grenzziehun</w:t>
      </w:r>
      <w:r w:rsidR="001B391E">
        <w:rPr>
          <w:lang w:val="de-DE"/>
        </w:rPr>
        <w:t xml:space="preserve">g: die ethnische Rekonstruktion </w:t>
      </w:r>
      <w:r w:rsidR="00EC61A3">
        <w:rPr>
          <w:lang w:val="de-DE"/>
        </w:rPr>
        <w:t>einer Mehrheitsgesellschaft.</w:t>
      </w:r>
      <w:r w:rsidR="00EC61A3">
        <w:rPr>
          <w:rStyle w:val="Voetnootmarkering"/>
          <w:lang w:val="de-DE"/>
        </w:rPr>
        <w:footnoteReference w:id="19"/>
      </w:r>
      <w:r w:rsidR="001B391E">
        <w:rPr>
          <w:lang w:val="de-DE"/>
        </w:rPr>
        <w:t xml:space="preserve"> Dies</w:t>
      </w:r>
      <w:r w:rsidR="00C33062">
        <w:rPr>
          <w:lang w:val="de-DE"/>
        </w:rPr>
        <w:t xml:space="preserve"> bringt mit sich, dass die deutsche Leitkultur also nicht nur da ist, um den „neuen Deutsche</w:t>
      </w:r>
      <w:r w:rsidR="00152FF9">
        <w:rPr>
          <w:lang w:val="de-DE"/>
        </w:rPr>
        <w:t>n</w:t>
      </w:r>
      <w:r w:rsidR="00C33062">
        <w:rPr>
          <w:lang w:val="de-DE"/>
        </w:rPr>
        <w:t>“</w:t>
      </w:r>
      <w:r w:rsidR="006F555F">
        <w:rPr>
          <w:rStyle w:val="Voetnootmarkering"/>
          <w:lang w:val="de-DE"/>
        </w:rPr>
        <w:footnoteReference w:id="20"/>
      </w:r>
      <w:r w:rsidR="00C33062">
        <w:rPr>
          <w:lang w:val="de-DE"/>
        </w:rPr>
        <w:t xml:space="preserve"> aufzuerlegen und so eine soziale Kohäsion zu erreichen, sondern auch um die deutsche Identität selbst mit zu erstellen. Auch Bassam Tibi, der 1996 mit seinem Artikel „Multikultureller Werte-Relativismus und Werte-Verlust“ eine europäische Leitkultur </w:t>
      </w:r>
      <w:r w:rsidR="0035185A">
        <w:rPr>
          <w:lang w:val="de-DE"/>
        </w:rPr>
        <w:t>forderte</w:t>
      </w:r>
      <w:r w:rsidR="00C33062">
        <w:rPr>
          <w:lang w:val="de-DE"/>
        </w:rPr>
        <w:t xml:space="preserve">, </w:t>
      </w:r>
      <w:r w:rsidR="00B54330">
        <w:rPr>
          <w:lang w:val="de-DE"/>
        </w:rPr>
        <w:t xml:space="preserve">um die europäische Werte-Krise entgegenzuwirken, </w:t>
      </w:r>
      <w:r w:rsidR="003E78E5">
        <w:rPr>
          <w:lang w:val="de-DE"/>
        </w:rPr>
        <w:t>betont, dass es „um die Anerkennung einer Leitkultur als Quelle einer verbindlichen Werte-Orientierung [gehe], eines friedlichen Miteinanders und eines demokratischen, pluralistischen Interessenausgleichs.“</w:t>
      </w:r>
      <w:r w:rsidR="003E78E5">
        <w:rPr>
          <w:rStyle w:val="Voetnootmarkering"/>
          <w:lang w:val="de-DE"/>
        </w:rPr>
        <w:footnoteReference w:id="21"/>
      </w:r>
      <w:r w:rsidR="008705BC">
        <w:rPr>
          <w:lang w:val="de-DE"/>
        </w:rPr>
        <w:t xml:space="preserve"> </w:t>
      </w:r>
      <w:r w:rsidR="00CA0BC0">
        <w:rPr>
          <w:lang w:val="de-DE"/>
        </w:rPr>
        <w:t xml:space="preserve">Weiter betrifft Leitkultur seiner Meinung nach nicht exklusiv deutsche, sondern europäische Werte, die er in seinem Werk </w:t>
      </w:r>
      <w:r w:rsidR="00A140FF">
        <w:rPr>
          <w:i/>
          <w:lang w:val="de-DE"/>
        </w:rPr>
        <w:t>Europa ohne Identität</w:t>
      </w:r>
      <w:r w:rsidR="00CA0BC0">
        <w:rPr>
          <w:lang w:val="de-DE"/>
        </w:rPr>
        <w:t xml:space="preserve"> als Demokratie, Laizismus, Aufklärung, Menschenrechte und Zivilgesellschaft</w:t>
      </w:r>
      <w:r w:rsidR="00152FF9">
        <w:rPr>
          <w:lang w:val="de-DE"/>
        </w:rPr>
        <w:t xml:space="preserve"> definiert</w:t>
      </w:r>
      <w:r w:rsidR="00CA0BC0">
        <w:rPr>
          <w:lang w:val="de-DE"/>
        </w:rPr>
        <w:t>.</w:t>
      </w:r>
      <w:r w:rsidR="00CA0BC0">
        <w:rPr>
          <w:rStyle w:val="Voetnootmarkering"/>
          <w:lang w:val="de-DE"/>
        </w:rPr>
        <w:footnoteReference w:id="22"/>
      </w:r>
      <w:r w:rsidR="00CA0BC0">
        <w:rPr>
          <w:lang w:val="de-DE"/>
        </w:rPr>
        <w:t xml:space="preserve"> Indem er diese Werte als exklusiv europäisch </w:t>
      </w:r>
      <w:r w:rsidR="008705BC">
        <w:rPr>
          <w:lang w:val="de-DE"/>
        </w:rPr>
        <w:t>beschreibt</w:t>
      </w:r>
      <w:r w:rsidR="00CA0BC0">
        <w:rPr>
          <w:lang w:val="de-DE"/>
        </w:rPr>
        <w:t>, impliziert er ab</w:t>
      </w:r>
      <w:r w:rsidR="00152FF9">
        <w:rPr>
          <w:lang w:val="de-DE"/>
        </w:rPr>
        <w:t>er, dass sie auf Nicht-Europäer</w:t>
      </w:r>
      <w:r w:rsidR="00CA0BC0">
        <w:rPr>
          <w:lang w:val="de-DE"/>
        </w:rPr>
        <w:t xml:space="preserve"> nicht zutreffen, was die </w:t>
      </w:r>
      <w:r w:rsidR="00152FF9">
        <w:rPr>
          <w:lang w:val="de-DE"/>
        </w:rPr>
        <w:t xml:space="preserve">Idee der </w:t>
      </w:r>
      <w:r w:rsidR="00CA0BC0">
        <w:rPr>
          <w:lang w:val="de-DE"/>
        </w:rPr>
        <w:t>östliche</w:t>
      </w:r>
      <w:r w:rsidR="00152FF9">
        <w:rPr>
          <w:lang w:val="de-DE"/>
        </w:rPr>
        <w:t>n</w:t>
      </w:r>
      <w:r w:rsidR="00CA0BC0">
        <w:rPr>
          <w:lang w:val="de-DE"/>
        </w:rPr>
        <w:t xml:space="preserve"> Unterlegenheit betont und sogar mitkonstruiert. </w:t>
      </w:r>
      <w:r w:rsidR="001626F9">
        <w:rPr>
          <w:lang w:val="de-DE"/>
        </w:rPr>
        <w:t>Es kann festgestellt werden, dass Orientalismus eine Konstruktion des Westens ist, die westlichen Zielen dient.</w:t>
      </w:r>
    </w:p>
    <w:p w14:paraId="05892F89" w14:textId="7F817381" w:rsidR="00F4026F" w:rsidRDefault="00781C6B" w:rsidP="00E97FD5">
      <w:pPr>
        <w:ind w:firstLine="708"/>
        <w:rPr>
          <w:rFonts w:cs="Times New Roman"/>
          <w:lang w:val="de-DE"/>
        </w:rPr>
      </w:pPr>
      <w:r>
        <w:rPr>
          <w:rFonts w:cs="Times New Roman"/>
          <w:lang w:val="de-DE"/>
        </w:rPr>
        <w:t>Überdies</w:t>
      </w:r>
      <w:r w:rsidR="00F4026F">
        <w:rPr>
          <w:rFonts w:cs="Times New Roman"/>
          <w:lang w:val="de-DE"/>
        </w:rPr>
        <w:t xml:space="preserve"> </w:t>
      </w:r>
      <w:r w:rsidR="00763D68">
        <w:rPr>
          <w:rFonts w:cs="Times New Roman"/>
          <w:lang w:val="de-DE"/>
        </w:rPr>
        <w:t>bringt</w:t>
      </w:r>
      <w:r w:rsidR="00F4026F">
        <w:rPr>
          <w:rFonts w:cs="Times New Roman"/>
          <w:lang w:val="de-DE"/>
        </w:rPr>
        <w:t xml:space="preserve"> eine orientalistische Perspektive</w:t>
      </w:r>
      <w:r w:rsidR="00763D68">
        <w:rPr>
          <w:rFonts w:cs="Times New Roman"/>
          <w:lang w:val="de-DE"/>
        </w:rPr>
        <w:t xml:space="preserve"> mit sich</w:t>
      </w:r>
      <w:r w:rsidR="00F4026F">
        <w:rPr>
          <w:rFonts w:cs="Times New Roman"/>
          <w:lang w:val="de-DE"/>
        </w:rPr>
        <w:t xml:space="preserve">, dass die Verschiedenheit von Kulturen und Weltanschauungen, die im Orient </w:t>
      </w:r>
      <w:r w:rsidR="001B391E">
        <w:rPr>
          <w:rFonts w:cs="Times New Roman"/>
          <w:lang w:val="de-DE"/>
        </w:rPr>
        <w:t>vorherrschend</w:t>
      </w:r>
      <w:r w:rsidR="00F4026F">
        <w:rPr>
          <w:rFonts w:cs="Times New Roman"/>
          <w:lang w:val="de-DE"/>
        </w:rPr>
        <w:t xml:space="preserve"> si</w:t>
      </w:r>
      <w:r w:rsidR="00152FF9">
        <w:rPr>
          <w:rFonts w:cs="Times New Roman"/>
          <w:lang w:val="de-DE"/>
        </w:rPr>
        <w:t>nd, vernachlässigt wird, und der</w:t>
      </w:r>
      <w:r w:rsidR="00F4026F">
        <w:rPr>
          <w:rFonts w:cs="Times New Roman"/>
          <w:lang w:val="de-DE"/>
        </w:rPr>
        <w:t xml:space="preserve"> </w:t>
      </w:r>
      <w:r w:rsidR="00152FF9">
        <w:rPr>
          <w:rFonts w:cs="Times New Roman"/>
          <w:lang w:val="de-DE"/>
        </w:rPr>
        <w:t>orientalische</w:t>
      </w:r>
      <w:r w:rsidR="00D50E6B">
        <w:rPr>
          <w:rFonts w:cs="Times New Roman"/>
          <w:lang w:val="de-DE"/>
        </w:rPr>
        <w:t xml:space="preserve"> Kulturkreis</w:t>
      </w:r>
      <w:r w:rsidR="00F4026F">
        <w:rPr>
          <w:rFonts w:cs="Times New Roman"/>
          <w:lang w:val="de-DE"/>
        </w:rPr>
        <w:t xml:space="preserve"> diesbezüglich als </w:t>
      </w:r>
      <w:r w:rsidR="00152FF9">
        <w:rPr>
          <w:rFonts w:cs="Times New Roman"/>
          <w:lang w:val="de-DE"/>
        </w:rPr>
        <w:t>ein</w:t>
      </w:r>
      <w:r w:rsidR="001626F9">
        <w:rPr>
          <w:rFonts w:cs="Times New Roman"/>
          <w:lang w:val="de-DE"/>
        </w:rPr>
        <w:t xml:space="preserve"> Monolith beschrieben wird</w:t>
      </w:r>
      <w:r w:rsidR="00F4026F">
        <w:rPr>
          <w:rFonts w:cs="Times New Roman"/>
          <w:lang w:val="de-DE"/>
        </w:rPr>
        <w:t xml:space="preserve">. </w:t>
      </w:r>
      <w:r w:rsidR="00D50E6B">
        <w:rPr>
          <w:rFonts w:cs="Times New Roman"/>
          <w:lang w:val="de-DE"/>
        </w:rPr>
        <w:t>Außerdem ist der Begriff des Kulturkreises an sich schon problematisch, weil „jede Rede von ‚Kulturkreisen‘ imaginäre, künstliche Einheiten in einer Welt voller komplexer Verhältnisse, Widersprüche und Differenzen [stiftet]</w:t>
      </w:r>
      <w:r w:rsidR="00763D68">
        <w:rPr>
          <w:rFonts w:cs="Times New Roman"/>
          <w:lang w:val="de-DE"/>
        </w:rPr>
        <w:t>.</w:t>
      </w:r>
      <w:r w:rsidR="00D50E6B">
        <w:rPr>
          <w:rFonts w:cs="Times New Roman"/>
          <w:lang w:val="de-DE"/>
        </w:rPr>
        <w:t>“</w:t>
      </w:r>
      <w:r w:rsidR="00D50E6B">
        <w:rPr>
          <w:rStyle w:val="Voetnootmarkering"/>
          <w:rFonts w:cs="Times New Roman"/>
          <w:lang w:val="de-DE"/>
        </w:rPr>
        <w:footnoteReference w:id="23"/>
      </w:r>
      <w:r w:rsidR="00763D68">
        <w:rPr>
          <w:rFonts w:cs="Times New Roman"/>
          <w:lang w:val="de-DE"/>
        </w:rPr>
        <w:t xml:space="preserve"> </w:t>
      </w:r>
      <w:r>
        <w:rPr>
          <w:rFonts w:cs="Times New Roman"/>
          <w:lang w:val="de-DE"/>
        </w:rPr>
        <w:lastRenderedPageBreak/>
        <w:t>Außerdem</w:t>
      </w:r>
      <w:r w:rsidR="00763D68">
        <w:rPr>
          <w:rFonts w:cs="Times New Roman"/>
          <w:lang w:val="de-DE"/>
        </w:rPr>
        <w:t xml:space="preserve"> macht die Rede von Kulturkreisen immer</w:t>
      </w:r>
      <w:r w:rsidR="008705BC">
        <w:rPr>
          <w:rFonts w:cs="Times New Roman"/>
          <w:lang w:val="de-DE"/>
        </w:rPr>
        <w:t xml:space="preserve"> einen</w:t>
      </w:r>
      <w:r w:rsidR="00763D68">
        <w:rPr>
          <w:rFonts w:cs="Times New Roman"/>
          <w:lang w:val="de-DE"/>
        </w:rPr>
        <w:t xml:space="preserve"> Teil eines Machtdiskurses</w:t>
      </w:r>
      <w:r w:rsidR="00152FF9">
        <w:rPr>
          <w:rFonts w:cs="Times New Roman"/>
          <w:lang w:val="de-DE"/>
        </w:rPr>
        <w:t xml:space="preserve"> aus, weil </w:t>
      </w:r>
      <w:r w:rsidR="001E315E">
        <w:rPr>
          <w:rFonts w:cs="Times New Roman"/>
          <w:lang w:val="de-DE"/>
        </w:rPr>
        <w:t>d</w:t>
      </w:r>
      <w:r w:rsidR="00152FF9" w:rsidRPr="001E315E">
        <w:rPr>
          <w:rFonts w:cs="Times New Roman"/>
          <w:lang w:val="de-DE"/>
        </w:rPr>
        <w:t>iejenige</w:t>
      </w:r>
      <w:r w:rsidR="00D70A98" w:rsidRPr="001E315E">
        <w:rPr>
          <w:rFonts w:cs="Times New Roman"/>
          <w:lang w:val="de-DE"/>
        </w:rPr>
        <w:t>n</w:t>
      </w:r>
      <w:r w:rsidR="00152FF9">
        <w:rPr>
          <w:rFonts w:cs="Times New Roman"/>
          <w:lang w:val="de-DE"/>
        </w:rPr>
        <w:t>, die a</w:t>
      </w:r>
      <w:r w:rsidR="00763D68">
        <w:rPr>
          <w:rFonts w:cs="Times New Roman"/>
          <w:lang w:val="de-DE"/>
        </w:rPr>
        <w:t xml:space="preserve">ndere einem Kulturkreis zuordnen können, </w:t>
      </w:r>
      <w:r w:rsidR="00763D68">
        <w:rPr>
          <w:lang w:val="de-DE"/>
        </w:rPr>
        <w:t>die angebliche Mitgliedschaft des Kulturkreises al</w:t>
      </w:r>
      <w:r w:rsidR="00152FF9">
        <w:rPr>
          <w:lang w:val="de-DE"/>
        </w:rPr>
        <w:t>s Grund der Unterlegenheit des a</w:t>
      </w:r>
      <w:r w:rsidR="00763D68">
        <w:rPr>
          <w:lang w:val="de-DE"/>
        </w:rPr>
        <w:t>nderen, folglich als Grund ihrer eigenen Überlegenheit, voraussetzen.</w:t>
      </w:r>
      <w:r w:rsidR="00763D68">
        <w:rPr>
          <w:rStyle w:val="Voetnootmarkering"/>
          <w:lang w:val="de-DE"/>
        </w:rPr>
        <w:footnoteReference w:id="24"/>
      </w:r>
      <w:r w:rsidR="00E97FD5">
        <w:rPr>
          <w:lang w:val="de-DE"/>
        </w:rPr>
        <w:t xml:space="preserve"> </w:t>
      </w:r>
      <w:r w:rsidR="00E97FD5">
        <w:rPr>
          <w:rFonts w:cs="Times New Roman"/>
          <w:lang w:val="de-DE"/>
        </w:rPr>
        <w:t>Wenn schon von einem Kulturkreis geredet wird, sollte der nicht als monolithischer Block betrachtet werden.</w:t>
      </w:r>
      <w:r w:rsidR="00763D68">
        <w:rPr>
          <w:lang w:val="de-DE"/>
        </w:rPr>
        <w:t xml:space="preserve"> </w:t>
      </w:r>
      <w:r w:rsidR="00F4026F">
        <w:rPr>
          <w:rFonts w:cs="Times New Roman"/>
          <w:lang w:val="de-DE"/>
        </w:rPr>
        <w:t xml:space="preserve">Außerdem ist es bedeutsam zu erwähnen, dass das westliche Subjekt </w:t>
      </w:r>
      <w:r w:rsidR="00E97FD5">
        <w:rPr>
          <w:rFonts w:cs="Times New Roman"/>
          <w:lang w:val="de-DE"/>
        </w:rPr>
        <w:t xml:space="preserve">den Orient </w:t>
      </w:r>
      <w:r w:rsidR="00F4026F">
        <w:rPr>
          <w:rFonts w:cs="Times New Roman"/>
          <w:lang w:val="de-DE"/>
        </w:rPr>
        <w:t xml:space="preserve">nicht nur als primitiv und unterlegen betrachtet, sondern auch von seiner Kultur </w:t>
      </w:r>
      <w:r w:rsidR="00E97FD5">
        <w:rPr>
          <w:rFonts w:cs="Times New Roman"/>
          <w:lang w:val="de-DE"/>
        </w:rPr>
        <w:t xml:space="preserve">fasziniert </w:t>
      </w:r>
      <w:r w:rsidR="001B391E">
        <w:rPr>
          <w:rFonts w:cs="Times New Roman"/>
          <w:lang w:val="de-DE"/>
        </w:rPr>
        <w:t>ist</w:t>
      </w:r>
      <w:r w:rsidR="00E97FD5">
        <w:rPr>
          <w:rFonts w:cs="Times New Roman"/>
          <w:lang w:val="de-DE"/>
        </w:rPr>
        <w:t xml:space="preserve">. </w:t>
      </w:r>
      <w:bookmarkStart w:id="7" w:name="_Hlk513479347"/>
      <w:r w:rsidR="00F4026F">
        <w:rPr>
          <w:rFonts w:cs="Times New Roman"/>
          <w:lang w:val="de-DE"/>
        </w:rPr>
        <w:t xml:space="preserve">In </w:t>
      </w:r>
      <w:r w:rsidR="00152FF9">
        <w:rPr>
          <w:rFonts w:cs="Times New Roman"/>
          <w:lang w:val="de-DE"/>
        </w:rPr>
        <w:t>der vorliegenden Mastera</w:t>
      </w:r>
      <w:r w:rsidR="00E97FD5">
        <w:rPr>
          <w:rFonts w:cs="Times New Roman"/>
          <w:lang w:val="de-DE"/>
        </w:rPr>
        <w:t>rbeit werden</w:t>
      </w:r>
      <w:r w:rsidR="00F4026F">
        <w:rPr>
          <w:rFonts w:cs="Times New Roman"/>
          <w:lang w:val="de-DE"/>
        </w:rPr>
        <w:t xml:space="preserve"> die orientalistische</w:t>
      </w:r>
      <w:r w:rsidR="00152FF9">
        <w:rPr>
          <w:rFonts w:cs="Times New Roman"/>
          <w:lang w:val="de-DE"/>
        </w:rPr>
        <w:t>n</w:t>
      </w:r>
      <w:r w:rsidR="00F4026F">
        <w:rPr>
          <w:rFonts w:cs="Times New Roman"/>
          <w:lang w:val="de-DE"/>
        </w:rPr>
        <w:t xml:space="preserve"> Perspektive</w:t>
      </w:r>
      <w:r w:rsidR="00E97FD5">
        <w:rPr>
          <w:rFonts w:cs="Times New Roman"/>
          <w:lang w:val="de-DE"/>
        </w:rPr>
        <w:t xml:space="preserve">n von </w:t>
      </w:r>
      <w:r w:rsidR="00A50A2D">
        <w:rPr>
          <w:rFonts w:cs="Times New Roman"/>
          <w:lang w:val="de-DE"/>
        </w:rPr>
        <w:t>Überlegenheit</w:t>
      </w:r>
      <w:r w:rsidR="00813289">
        <w:rPr>
          <w:rFonts w:cs="Times New Roman"/>
          <w:lang w:val="de-DE"/>
        </w:rPr>
        <w:t xml:space="preserve"> und Faszin</w:t>
      </w:r>
      <w:r w:rsidR="00BC5576">
        <w:rPr>
          <w:rFonts w:cs="Times New Roman"/>
          <w:lang w:val="de-DE"/>
        </w:rPr>
        <w:t>ation</w:t>
      </w:r>
      <w:r w:rsidR="00F4026F">
        <w:rPr>
          <w:rFonts w:cs="Times New Roman"/>
          <w:lang w:val="de-DE"/>
        </w:rPr>
        <w:t xml:space="preserve">, die im </w:t>
      </w:r>
      <w:r w:rsidR="00152FF9">
        <w:rPr>
          <w:rFonts w:cs="Times New Roman"/>
          <w:lang w:val="de-DE"/>
        </w:rPr>
        <w:t>Text</w:t>
      </w:r>
      <w:r w:rsidR="00F4026F">
        <w:rPr>
          <w:rFonts w:cs="Times New Roman"/>
          <w:lang w:val="de-DE"/>
        </w:rPr>
        <w:t xml:space="preserve"> </w:t>
      </w:r>
      <w:r w:rsidR="00C05398">
        <w:rPr>
          <w:rFonts w:cs="Times New Roman"/>
          <w:lang w:val="de-DE"/>
        </w:rPr>
        <w:t xml:space="preserve">Nadj </w:t>
      </w:r>
      <w:r w:rsidR="00F4026F">
        <w:rPr>
          <w:rFonts w:cs="Times New Roman"/>
          <w:lang w:val="de-DE"/>
        </w:rPr>
        <w:t>Abonjis</w:t>
      </w:r>
      <w:r w:rsidR="00152FF9">
        <w:rPr>
          <w:rFonts w:cs="Times New Roman"/>
          <w:lang w:val="de-DE"/>
        </w:rPr>
        <w:t xml:space="preserve"> vorhanden sind</w:t>
      </w:r>
      <w:r w:rsidR="00F4026F">
        <w:rPr>
          <w:rFonts w:cs="Times New Roman"/>
          <w:lang w:val="de-DE"/>
        </w:rPr>
        <w:t xml:space="preserve">, ausführlich untersucht. </w:t>
      </w:r>
      <w:bookmarkEnd w:id="7"/>
    </w:p>
    <w:p w14:paraId="4B0A1E90" w14:textId="5AFBBA19" w:rsidR="0008391B" w:rsidRPr="00695566" w:rsidRDefault="00323CBE" w:rsidP="00DD3557">
      <w:pPr>
        <w:ind w:firstLine="708"/>
        <w:rPr>
          <w:rFonts w:eastAsia="Times New Roman" w:cs="Times New Roman"/>
          <w:szCs w:val="24"/>
          <w:lang w:val="de-DE" w:eastAsia="nl-BE"/>
        </w:rPr>
      </w:pPr>
      <w:r>
        <w:rPr>
          <w:lang w:val="de-DE"/>
        </w:rPr>
        <w:t>In B</w:t>
      </w:r>
      <w:r w:rsidR="006013A6">
        <w:rPr>
          <w:lang w:val="de-DE"/>
        </w:rPr>
        <w:t xml:space="preserve">ezug auf die spezifische Lage des Balkans, die weiter in der Arbeit </w:t>
      </w:r>
      <w:r w:rsidR="009564A6">
        <w:rPr>
          <w:lang w:val="de-DE"/>
        </w:rPr>
        <w:t>analysiert</w:t>
      </w:r>
      <w:r w:rsidR="006013A6">
        <w:rPr>
          <w:lang w:val="de-DE"/>
        </w:rPr>
        <w:t xml:space="preserve"> wird, soll im Kontext des Orientalismus auf </w:t>
      </w:r>
      <w:r w:rsidR="00F13CAD">
        <w:rPr>
          <w:lang w:val="de-DE"/>
        </w:rPr>
        <w:t>Maria Todorov</w:t>
      </w:r>
      <w:r w:rsidR="00DD3557">
        <w:rPr>
          <w:lang w:val="de-DE"/>
        </w:rPr>
        <w:t>a</w:t>
      </w:r>
      <w:r w:rsidR="00F13CAD">
        <w:rPr>
          <w:lang w:val="de-DE"/>
        </w:rPr>
        <w:t xml:space="preserve">s Werk </w:t>
      </w:r>
      <w:r w:rsidR="0008391B">
        <w:rPr>
          <w:i/>
          <w:lang w:val="de-DE"/>
        </w:rPr>
        <w:t xml:space="preserve">Imagining the </w:t>
      </w:r>
      <w:r w:rsidR="0008391B" w:rsidRPr="0008391B">
        <w:rPr>
          <w:i/>
          <w:lang w:val="de-DE"/>
        </w:rPr>
        <w:t>Balkans</w:t>
      </w:r>
      <w:r w:rsidR="00676730">
        <w:rPr>
          <w:lang w:val="de-DE"/>
        </w:rPr>
        <w:t>,</w:t>
      </w:r>
      <w:r w:rsidR="0008391B">
        <w:rPr>
          <w:i/>
          <w:lang w:val="de-DE"/>
        </w:rPr>
        <w:t xml:space="preserve"> </w:t>
      </w:r>
      <w:r w:rsidR="0008391B">
        <w:rPr>
          <w:lang w:val="de-DE"/>
        </w:rPr>
        <w:t>in dem sie das Konzept des „Balkanismus“ bespricht, v</w:t>
      </w:r>
      <w:r w:rsidR="00F13CAD" w:rsidRPr="0008391B">
        <w:rPr>
          <w:lang w:val="de-DE"/>
        </w:rPr>
        <w:t>erwiesen</w:t>
      </w:r>
      <w:r w:rsidR="00F13CAD">
        <w:rPr>
          <w:lang w:val="de-DE"/>
        </w:rPr>
        <w:t xml:space="preserve"> werden. </w:t>
      </w:r>
      <w:r w:rsidR="0008391B">
        <w:rPr>
          <w:lang w:val="de-DE"/>
        </w:rPr>
        <w:t>Sie definiert Balkanismus als „spezifisch auf den Balkan [beschränkte] Stereotypen“</w:t>
      </w:r>
      <w:r w:rsidR="0008391B">
        <w:rPr>
          <w:rStyle w:val="Voetnootmarkering"/>
          <w:lang w:val="de-DE"/>
        </w:rPr>
        <w:footnoteReference w:id="25"/>
      </w:r>
      <w:r w:rsidR="009041F2">
        <w:rPr>
          <w:lang w:val="de-DE"/>
        </w:rPr>
        <w:t xml:space="preserve"> und den „evolutionären Glaube</w:t>
      </w:r>
      <w:r w:rsidR="009041F2" w:rsidRPr="009041F2">
        <w:rPr>
          <w:szCs w:val="24"/>
          <w:lang w:val="de-DE"/>
        </w:rPr>
        <w:t xml:space="preserve">n an die Überlegenheit geordneter Zivilisation über </w:t>
      </w:r>
      <w:r w:rsidR="0008391B" w:rsidRPr="009041F2">
        <w:rPr>
          <w:rFonts w:eastAsia="Times New Roman" w:cs="Times New Roman"/>
          <w:szCs w:val="24"/>
          <w:lang w:val="de-DE" w:eastAsia="nl-BE"/>
        </w:rPr>
        <w:t>Barbarei, archaische Präposition, Rückständigkeit, kleinlichen Zank, una</w:t>
      </w:r>
      <w:r w:rsidR="00DD3557">
        <w:rPr>
          <w:rFonts w:eastAsia="Times New Roman" w:cs="Times New Roman"/>
          <w:szCs w:val="24"/>
          <w:lang w:val="de-DE" w:eastAsia="nl-BE"/>
        </w:rPr>
        <w:t xml:space="preserve">ngepasstes und unvorhersagbares </w:t>
      </w:r>
      <w:r w:rsidR="0008391B" w:rsidRPr="009041F2">
        <w:rPr>
          <w:rFonts w:eastAsia="Times New Roman" w:cs="Times New Roman"/>
          <w:szCs w:val="24"/>
          <w:lang w:val="de-DE" w:eastAsia="nl-BE"/>
        </w:rPr>
        <w:t>Verhalte</w:t>
      </w:r>
      <w:r w:rsidR="009041F2" w:rsidRPr="009041F2">
        <w:rPr>
          <w:rFonts w:eastAsia="Times New Roman" w:cs="Times New Roman"/>
          <w:szCs w:val="24"/>
          <w:lang w:val="de-DE" w:eastAsia="nl-BE"/>
        </w:rPr>
        <w:t>n, also ›Stammesorganisation‹</w:t>
      </w:r>
      <w:r w:rsidR="00123AC0">
        <w:rPr>
          <w:rFonts w:eastAsia="Times New Roman" w:cs="Times New Roman"/>
          <w:szCs w:val="24"/>
          <w:lang w:val="de-DE" w:eastAsia="nl-BE"/>
        </w:rPr>
        <w:t>.</w:t>
      </w:r>
      <w:r w:rsidR="009041F2" w:rsidRPr="009041F2">
        <w:rPr>
          <w:rFonts w:eastAsia="Times New Roman" w:cs="Times New Roman"/>
          <w:szCs w:val="24"/>
          <w:lang w:val="de-DE" w:eastAsia="nl-BE"/>
        </w:rPr>
        <w:t>“</w:t>
      </w:r>
      <w:r w:rsidR="009041F2">
        <w:rPr>
          <w:rStyle w:val="Voetnootmarkering"/>
          <w:rFonts w:eastAsia="Times New Roman" w:cs="Times New Roman"/>
          <w:szCs w:val="24"/>
          <w:lang w:val="de-DE" w:eastAsia="nl-BE"/>
        </w:rPr>
        <w:footnoteReference w:id="26"/>
      </w:r>
      <w:r w:rsidR="007C46C4">
        <w:rPr>
          <w:rFonts w:eastAsia="Times New Roman" w:cs="Times New Roman"/>
          <w:szCs w:val="24"/>
          <w:lang w:val="de-DE" w:eastAsia="nl-BE"/>
        </w:rPr>
        <w:t xml:space="preserve"> </w:t>
      </w:r>
      <w:r w:rsidR="00DD3557" w:rsidRPr="00DD3557">
        <w:rPr>
          <w:rFonts w:eastAsia="Times New Roman" w:cs="Times New Roman"/>
          <w:szCs w:val="24"/>
          <w:lang w:val="en-US" w:eastAsia="nl-BE"/>
        </w:rPr>
        <w:t>Todorov</w:t>
      </w:r>
      <w:r w:rsidR="00DD3557">
        <w:rPr>
          <w:rFonts w:eastAsia="Times New Roman" w:cs="Times New Roman"/>
          <w:szCs w:val="24"/>
          <w:lang w:val="en-US" w:eastAsia="nl-BE"/>
        </w:rPr>
        <w:t>a</w:t>
      </w:r>
      <w:r w:rsidR="00DD3557" w:rsidRPr="00DD3557">
        <w:rPr>
          <w:rFonts w:eastAsia="Times New Roman" w:cs="Times New Roman"/>
          <w:szCs w:val="24"/>
          <w:lang w:val="en-US" w:eastAsia="nl-BE"/>
        </w:rPr>
        <w:t xml:space="preserve"> klagt an, wie</w:t>
      </w:r>
      <w:r w:rsidR="00DD3557">
        <w:rPr>
          <w:lang w:val="en-US"/>
        </w:rPr>
        <w:t xml:space="preserve"> behauptet wird, dass</w:t>
      </w:r>
      <w:r w:rsidR="00DD3557" w:rsidRPr="00DD3557">
        <w:rPr>
          <w:lang w:val="en-US"/>
        </w:rPr>
        <w:t xml:space="preserve"> „its inhabitants do not care to conform to the standards of behavior devised as normative by and for the civilized world“</w:t>
      </w:r>
      <w:r w:rsidR="00DD3557">
        <w:rPr>
          <w:lang w:val="en-US"/>
        </w:rPr>
        <w:t>.</w:t>
      </w:r>
      <w:r w:rsidR="00DD3557">
        <w:rPr>
          <w:rStyle w:val="Voetnootmarkering"/>
          <w:lang w:val="en-US"/>
        </w:rPr>
        <w:footnoteReference w:id="27"/>
      </w:r>
      <w:r w:rsidR="00695566">
        <w:rPr>
          <w:lang w:val="en-US"/>
        </w:rPr>
        <w:t xml:space="preserve"> </w:t>
      </w:r>
      <w:r w:rsidR="00695566" w:rsidRPr="00695566">
        <w:rPr>
          <w:lang w:val="de-DE"/>
        </w:rPr>
        <w:t>Auch Clemens Ruthner hat zum Status des Bal</w:t>
      </w:r>
      <w:r w:rsidR="00695566">
        <w:rPr>
          <w:lang w:val="de-DE"/>
        </w:rPr>
        <w:t xml:space="preserve">kans, spezifischer Bosnien-Herzegowinas, </w:t>
      </w:r>
      <w:r w:rsidR="001B563A">
        <w:rPr>
          <w:lang w:val="de-DE"/>
        </w:rPr>
        <w:t>geschrieben und argumentiert, dass das Gebiet anhand von einem kolonialen Paradigma betrachtet werden kann.</w:t>
      </w:r>
      <w:r w:rsidR="001B563A">
        <w:rPr>
          <w:rStyle w:val="Voetnootmarkering"/>
          <w:lang w:val="de-DE"/>
        </w:rPr>
        <w:footnoteReference w:id="28"/>
      </w:r>
    </w:p>
    <w:p w14:paraId="6F2F6839" w14:textId="174F4249" w:rsidR="00847039" w:rsidRDefault="00847039" w:rsidP="00847039">
      <w:pPr>
        <w:ind w:firstLine="708"/>
        <w:rPr>
          <w:rFonts w:cs="Times New Roman"/>
          <w:lang w:val="de-DE"/>
        </w:rPr>
      </w:pPr>
      <w:r>
        <w:rPr>
          <w:rFonts w:cs="Times New Roman"/>
          <w:lang w:val="de-DE"/>
        </w:rPr>
        <w:t>Die Relevanz der postkolonialistischen Theorie</w:t>
      </w:r>
      <w:r w:rsidR="00F6650C">
        <w:rPr>
          <w:rFonts w:cs="Times New Roman"/>
          <w:lang w:val="de-DE"/>
        </w:rPr>
        <w:t xml:space="preserve"> für die Arbeit</w:t>
      </w:r>
      <w:r>
        <w:rPr>
          <w:rFonts w:cs="Times New Roman"/>
          <w:lang w:val="de-DE"/>
        </w:rPr>
        <w:t xml:space="preserve"> soll </w:t>
      </w:r>
      <w:r w:rsidR="00F6650C">
        <w:rPr>
          <w:rFonts w:cs="Times New Roman"/>
          <w:lang w:val="de-DE"/>
        </w:rPr>
        <w:t xml:space="preserve">hier </w:t>
      </w:r>
      <w:r>
        <w:rPr>
          <w:rFonts w:cs="Times New Roman"/>
          <w:lang w:val="de-DE"/>
        </w:rPr>
        <w:t xml:space="preserve">kurz erklärt werden. Erstens wird später in der Arbeit noch auf den umstrittenen Status des Balkans als Kolonie eingegangen. Zweitens kann das Konzept des Orientalismus als zugespitzte Form des </w:t>
      </w:r>
      <w:r w:rsidR="00F6650C">
        <w:rPr>
          <w:rFonts w:cs="Times New Roman"/>
          <w:lang w:val="de-DE"/>
        </w:rPr>
        <w:t>„</w:t>
      </w:r>
      <w:r>
        <w:rPr>
          <w:rFonts w:cs="Times New Roman"/>
          <w:lang w:val="de-DE"/>
        </w:rPr>
        <w:t>Othering</w:t>
      </w:r>
      <w:r w:rsidR="00F6650C">
        <w:rPr>
          <w:rFonts w:cs="Times New Roman"/>
          <w:lang w:val="de-DE"/>
        </w:rPr>
        <w:t>“</w:t>
      </w:r>
      <w:r>
        <w:rPr>
          <w:rFonts w:cs="Times New Roman"/>
          <w:lang w:val="de-DE"/>
        </w:rPr>
        <w:t xml:space="preserve"> interpretiert werden, bei dem vor allem die unterschiedliche ethnische Identität und das Anderssein zentral stehen. Der Begriff </w:t>
      </w:r>
      <w:r w:rsidR="00F6650C">
        <w:rPr>
          <w:rFonts w:cs="Times New Roman"/>
          <w:lang w:val="de-DE"/>
        </w:rPr>
        <w:t xml:space="preserve">„Othering“ </w:t>
      </w:r>
      <w:r>
        <w:rPr>
          <w:rFonts w:cs="Times New Roman"/>
          <w:lang w:val="de-DE"/>
        </w:rPr>
        <w:t xml:space="preserve">wurde 1985 von </w:t>
      </w:r>
      <w:r w:rsidR="00F6650C">
        <w:rPr>
          <w:rFonts w:cs="Times New Roman"/>
          <w:lang w:val="de-DE"/>
        </w:rPr>
        <w:t xml:space="preserve">Gayatri Chakravorty </w:t>
      </w:r>
      <w:r>
        <w:rPr>
          <w:rFonts w:cs="Times New Roman"/>
          <w:lang w:val="de-DE"/>
        </w:rPr>
        <w:t xml:space="preserve">Spivak introduziert, indem sie auf systematische Art und Weise </w:t>
      </w:r>
      <w:r>
        <w:rPr>
          <w:rFonts w:cs="Times New Roman"/>
          <w:lang w:val="de-DE"/>
        </w:rPr>
        <w:lastRenderedPageBreak/>
        <w:t>die Theorien von Simone de Beauvoir, Edward Saïd und Jacques Lacan einbezog. In seinem Artikel „Othering, identity</w:t>
      </w:r>
      <w:r w:rsidR="00AB68C4">
        <w:rPr>
          <w:rFonts w:cs="Times New Roman"/>
          <w:lang w:val="de-DE"/>
        </w:rPr>
        <w:t xml:space="preserve"> formation and agency“</w:t>
      </w:r>
      <w:r w:rsidR="00676730">
        <w:rPr>
          <w:rFonts w:cs="Times New Roman"/>
          <w:lang w:val="de-DE"/>
        </w:rPr>
        <w:t xml:space="preserve"> </w:t>
      </w:r>
      <w:r w:rsidR="00915008">
        <w:rPr>
          <w:rFonts w:cs="Times New Roman"/>
          <w:lang w:val="de-DE"/>
        </w:rPr>
        <w:t xml:space="preserve">erklärt Sune Q. Jensen drei Dimensionen des Othering: </w:t>
      </w:r>
    </w:p>
    <w:p w14:paraId="5F89BCB4" w14:textId="62C1C7B6" w:rsidR="00915008" w:rsidRDefault="00915008" w:rsidP="00915008">
      <w:pPr>
        <w:pStyle w:val="Lijstalinea"/>
        <w:numPr>
          <w:ilvl w:val="0"/>
          <w:numId w:val="25"/>
        </w:numPr>
        <w:rPr>
          <w:rFonts w:cs="Times New Roman"/>
          <w:lang w:val="en-US"/>
        </w:rPr>
      </w:pPr>
      <w:r w:rsidRPr="00915008">
        <w:rPr>
          <w:rFonts w:cs="Times New Roman"/>
          <w:lang w:val="en-US"/>
        </w:rPr>
        <w:t>„</w:t>
      </w:r>
      <w:r w:rsidR="00F6650C">
        <w:rPr>
          <w:rFonts w:cs="Times New Roman"/>
          <w:lang w:val="en-US"/>
        </w:rPr>
        <w:t>[The first]</w:t>
      </w:r>
      <w:r w:rsidRPr="00915008">
        <w:rPr>
          <w:rFonts w:cs="Times New Roman"/>
          <w:lang w:val="en-US"/>
        </w:rPr>
        <w:t xml:space="preserve"> dimension is about p</w:t>
      </w:r>
      <w:r>
        <w:rPr>
          <w:rFonts w:cs="Times New Roman"/>
          <w:lang w:val="en-US"/>
        </w:rPr>
        <w:t>ower, making the subordinate aware of who holds the power, and hence about the powerful producing the other as subordinate.</w:t>
      </w:r>
      <w:r w:rsidRPr="00915008">
        <w:rPr>
          <w:rFonts w:cs="Times New Roman"/>
          <w:lang w:val="en-US"/>
        </w:rPr>
        <w:t>“</w:t>
      </w:r>
      <w:r w:rsidR="001465A7">
        <w:rPr>
          <w:rStyle w:val="Voetnootmarkering"/>
          <w:rFonts w:cs="Times New Roman"/>
          <w:lang w:val="en-US"/>
        </w:rPr>
        <w:footnoteReference w:id="29"/>
      </w:r>
    </w:p>
    <w:p w14:paraId="014AF0DA" w14:textId="58CCCA8B" w:rsidR="00915008" w:rsidRDefault="00915008" w:rsidP="00915008">
      <w:pPr>
        <w:pStyle w:val="Lijstalinea"/>
        <w:numPr>
          <w:ilvl w:val="0"/>
          <w:numId w:val="25"/>
        </w:numPr>
        <w:rPr>
          <w:rFonts w:cs="Times New Roman"/>
          <w:lang w:val="en-US"/>
        </w:rPr>
      </w:pPr>
      <w:r w:rsidRPr="00915008">
        <w:rPr>
          <w:rFonts w:cs="Times New Roman"/>
          <w:lang w:val="en-US"/>
        </w:rPr>
        <w:t>„</w:t>
      </w:r>
      <w:r w:rsidR="00F6650C">
        <w:rPr>
          <w:rFonts w:cs="Times New Roman"/>
          <w:lang w:val="en-US"/>
        </w:rPr>
        <w:t>[The second]</w:t>
      </w:r>
      <w:r>
        <w:rPr>
          <w:rFonts w:cs="Times New Roman"/>
          <w:lang w:val="en-US"/>
        </w:rPr>
        <w:t xml:space="preserve"> dimension is about constructing the other as pathological and morally inferior.</w:t>
      </w:r>
      <w:r w:rsidRPr="00915008">
        <w:rPr>
          <w:rFonts w:cs="Times New Roman"/>
          <w:lang w:val="en-US"/>
        </w:rPr>
        <w:t>“</w:t>
      </w:r>
      <w:r w:rsidR="006520AD">
        <w:rPr>
          <w:rStyle w:val="Voetnootmarkering"/>
          <w:rFonts w:cs="Times New Roman"/>
          <w:lang w:val="en-US"/>
        </w:rPr>
        <w:footnoteReference w:id="30"/>
      </w:r>
    </w:p>
    <w:p w14:paraId="5D6140AD" w14:textId="745599C7" w:rsidR="00915008" w:rsidRPr="00915008" w:rsidRDefault="00915008" w:rsidP="00915008">
      <w:pPr>
        <w:pStyle w:val="Lijstalinea"/>
        <w:numPr>
          <w:ilvl w:val="0"/>
          <w:numId w:val="25"/>
        </w:numPr>
        <w:rPr>
          <w:rFonts w:cs="Times New Roman"/>
          <w:lang w:val="en-US"/>
        </w:rPr>
      </w:pPr>
      <w:r w:rsidRPr="00915008">
        <w:rPr>
          <w:rFonts w:cs="Times New Roman"/>
          <w:lang w:val="en-US"/>
        </w:rPr>
        <w:t>„</w:t>
      </w:r>
      <w:r w:rsidR="00F6650C">
        <w:rPr>
          <w:rFonts w:cs="Times New Roman"/>
          <w:lang w:val="en-US"/>
        </w:rPr>
        <w:t>[The third]</w:t>
      </w:r>
      <w:r>
        <w:rPr>
          <w:rFonts w:cs="Times New Roman"/>
          <w:lang w:val="en-US"/>
        </w:rPr>
        <w:t xml:space="preserve"> dimension of othering implies that knowledge and technology is the property of the powerful empirical self, not the colonial other.</w:t>
      </w:r>
      <w:r w:rsidRPr="00915008">
        <w:rPr>
          <w:rFonts w:cs="Times New Roman"/>
          <w:lang w:val="en-US"/>
        </w:rPr>
        <w:t>“</w:t>
      </w:r>
      <w:r w:rsidR="006520AD">
        <w:rPr>
          <w:rStyle w:val="Voetnootmarkering"/>
          <w:rFonts w:cs="Times New Roman"/>
          <w:lang w:val="en-US"/>
        </w:rPr>
        <w:footnoteReference w:id="31"/>
      </w:r>
    </w:p>
    <w:p w14:paraId="766216FF" w14:textId="08E02621" w:rsidR="008B006B" w:rsidRPr="008B006B" w:rsidRDefault="006520AD" w:rsidP="00323CBE">
      <w:pPr>
        <w:rPr>
          <w:lang w:val="de-DE"/>
        </w:rPr>
      </w:pPr>
      <w:r w:rsidRPr="006520AD">
        <w:rPr>
          <w:lang w:val="de-DE"/>
        </w:rPr>
        <w:t>Spivak selbst beschreibt Othering a</w:t>
      </w:r>
      <w:r>
        <w:rPr>
          <w:lang w:val="de-DE"/>
        </w:rPr>
        <w:t>ls einen multidimensionalen Prozess</w:t>
      </w:r>
      <w:r w:rsidR="00ED4917">
        <w:rPr>
          <w:lang w:val="de-DE"/>
        </w:rPr>
        <w:t xml:space="preserve">, der anhand von der Intersektionalitätstheorie, die später noch eingeführt wird, interpretiert werden soll, da Othering die Folgen von Rassismus, Sexismus und Diskriminierung aufgrund von Klasse betrifft. </w:t>
      </w:r>
      <w:r w:rsidR="00ED4917" w:rsidRPr="008B006B">
        <w:rPr>
          <w:lang w:val="de-DE"/>
        </w:rPr>
        <w:t>Im Allgemeinen kann Othering auf folgende A</w:t>
      </w:r>
      <w:r w:rsidR="008B006B" w:rsidRPr="008B006B">
        <w:rPr>
          <w:lang w:val="de-DE"/>
        </w:rPr>
        <w:t xml:space="preserve">rt und Weise definiert werden: </w:t>
      </w:r>
    </w:p>
    <w:p w14:paraId="153C49C0" w14:textId="5EB0A98D" w:rsidR="0008391B" w:rsidRDefault="00ED4917" w:rsidP="008B006B">
      <w:pPr>
        <w:spacing w:after="240" w:line="240" w:lineRule="auto"/>
        <w:ind w:left="567"/>
        <w:rPr>
          <w:lang w:val="en-US"/>
        </w:rPr>
      </w:pPr>
      <w:r w:rsidRPr="00ED4917">
        <w:rPr>
          <w:lang w:val="en-US"/>
        </w:rPr>
        <w:t>[T]he theory of identity formation inherent in the concept of othering assumes that subordinate people are offered, a</w:t>
      </w:r>
      <w:r>
        <w:rPr>
          <w:lang w:val="en-US"/>
        </w:rPr>
        <w:t>nd at the same time relegated to, subject positions as others in discourse. In these processes, it is the centre that has the power to describe, and the other is constructed as inferior.</w:t>
      </w:r>
      <w:r>
        <w:rPr>
          <w:rStyle w:val="Voetnootmarkering"/>
          <w:lang w:val="en-US"/>
        </w:rPr>
        <w:footnoteReference w:id="32"/>
      </w:r>
      <w:r w:rsidR="008B006B">
        <w:rPr>
          <w:lang w:val="en-US"/>
        </w:rPr>
        <w:t xml:space="preserve"> </w:t>
      </w:r>
    </w:p>
    <w:p w14:paraId="539A2A88" w14:textId="785554DA" w:rsidR="0008391B" w:rsidRDefault="00F6650C" w:rsidP="004D6F24">
      <w:pPr>
        <w:rPr>
          <w:lang w:val="de-DE"/>
        </w:rPr>
      </w:pPr>
      <w:r>
        <w:rPr>
          <w:lang w:val="de-DE"/>
        </w:rPr>
        <w:t>Auch wenn das Zitat die Relevanz von Sprache erwähnt, will sich die vorliegende Arbeit s</w:t>
      </w:r>
      <w:r w:rsidR="008B006B" w:rsidRPr="00042498">
        <w:rPr>
          <w:lang w:val="de-DE"/>
        </w:rPr>
        <w:t>tatt auf de</w:t>
      </w:r>
      <w:r w:rsidR="00042498" w:rsidRPr="00042498">
        <w:rPr>
          <w:lang w:val="de-DE"/>
        </w:rPr>
        <w:t xml:space="preserve">m </w:t>
      </w:r>
      <w:r w:rsidR="00042498">
        <w:rPr>
          <w:lang w:val="de-DE"/>
        </w:rPr>
        <w:t xml:space="preserve">Konzept des Othering, </w:t>
      </w:r>
      <w:bookmarkStart w:id="8" w:name="_Hlk513479371"/>
      <w:r w:rsidR="00042498">
        <w:rPr>
          <w:lang w:val="de-DE"/>
        </w:rPr>
        <w:t>doch auf den Kolonialismus und seine Auswirkungen fokussieren, weil sich die Position der Familie Kocsis für Analyse sowohl</w:t>
      </w:r>
      <w:r w:rsidR="00466347">
        <w:rPr>
          <w:lang w:val="de-DE"/>
        </w:rPr>
        <w:t xml:space="preserve"> als</w:t>
      </w:r>
      <w:r w:rsidR="00042498">
        <w:rPr>
          <w:lang w:val="de-DE"/>
        </w:rPr>
        <w:t xml:space="preserve"> Kolonisierte als auch </w:t>
      </w:r>
      <w:r w:rsidR="00466347">
        <w:rPr>
          <w:lang w:val="de-DE"/>
        </w:rPr>
        <w:t xml:space="preserve">als </w:t>
      </w:r>
      <w:r w:rsidR="00042498">
        <w:rPr>
          <w:lang w:val="de-DE"/>
        </w:rPr>
        <w:t>Kolonisatoren besonders eignet.</w:t>
      </w:r>
      <w:r w:rsidR="00D84B98">
        <w:rPr>
          <w:lang w:val="de-DE"/>
        </w:rPr>
        <w:t xml:space="preserve"> </w:t>
      </w:r>
    </w:p>
    <w:p w14:paraId="7CA51C83" w14:textId="77777777" w:rsidR="004D6F24" w:rsidRPr="00042498" w:rsidRDefault="004D6F24" w:rsidP="00D84B98">
      <w:pPr>
        <w:spacing w:after="240"/>
        <w:rPr>
          <w:lang w:val="de-DE"/>
        </w:rPr>
      </w:pPr>
    </w:p>
    <w:bookmarkEnd w:id="8"/>
    <w:p w14:paraId="0D61E1C0" w14:textId="31CB5797" w:rsidR="007021FB" w:rsidRDefault="007021FB" w:rsidP="007021FB">
      <w:pPr>
        <w:pStyle w:val="Kop2"/>
        <w:numPr>
          <w:ilvl w:val="1"/>
          <w:numId w:val="2"/>
        </w:numPr>
        <w:rPr>
          <w:lang w:val="de-DE"/>
        </w:rPr>
      </w:pPr>
      <w:r w:rsidRPr="00042498">
        <w:rPr>
          <w:lang w:val="de-DE"/>
        </w:rPr>
        <w:t xml:space="preserve"> </w:t>
      </w:r>
      <w:bookmarkStart w:id="9" w:name="_Toc515180088"/>
      <w:r>
        <w:rPr>
          <w:lang w:val="de-DE"/>
        </w:rPr>
        <w:t>Feministische postkolonialistische Theorie</w:t>
      </w:r>
      <w:bookmarkEnd w:id="9"/>
    </w:p>
    <w:p w14:paraId="4558F9D7" w14:textId="0074E31A" w:rsidR="00C73C89" w:rsidRDefault="00C73C89" w:rsidP="001C2EB3">
      <w:pPr>
        <w:rPr>
          <w:rFonts w:cs="Times New Roman"/>
          <w:lang w:val="de-DE"/>
        </w:rPr>
      </w:pPr>
      <w:r>
        <w:rPr>
          <w:rFonts w:cs="Times New Roman"/>
          <w:lang w:val="de-DE"/>
        </w:rPr>
        <w:t xml:space="preserve">In den </w:t>
      </w:r>
      <w:r w:rsidR="001B391E">
        <w:rPr>
          <w:rFonts w:cs="Times New Roman"/>
          <w:lang w:val="de-DE"/>
        </w:rPr>
        <w:t>bereits</w:t>
      </w:r>
      <w:r>
        <w:rPr>
          <w:rFonts w:cs="Times New Roman"/>
          <w:lang w:val="de-DE"/>
        </w:rPr>
        <w:t xml:space="preserve"> erwähnten postkolonialistischen Theorien von Césaire, Fanon, Nandy und Saïd </w:t>
      </w:r>
      <w:r w:rsidR="007B433E">
        <w:rPr>
          <w:rFonts w:cs="Times New Roman"/>
          <w:lang w:val="de-DE"/>
        </w:rPr>
        <w:t>wurden</w:t>
      </w:r>
      <w:r w:rsidRPr="00C73C89">
        <w:rPr>
          <w:rFonts w:cs="Times New Roman"/>
          <w:lang w:val="de-DE"/>
        </w:rPr>
        <w:t xml:space="preserve"> </w:t>
      </w:r>
      <w:r>
        <w:rPr>
          <w:rFonts w:cs="Times New Roman"/>
          <w:lang w:val="de-DE"/>
        </w:rPr>
        <w:t>ausschließlich</w:t>
      </w:r>
      <w:r w:rsidRPr="00C73C89">
        <w:rPr>
          <w:rFonts w:cs="Times New Roman"/>
          <w:lang w:val="de-DE"/>
        </w:rPr>
        <w:t xml:space="preserve"> männliche Perspektiven untersucht: Sowohl der Kolonist </w:t>
      </w:r>
      <w:r>
        <w:rPr>
          <w:rFonts w:cs="Times New Roman"/>
          <w:lang w:val="de-DE"/>
        </w:rPr>
        <w:t xml:space="preserve">als auch der </w:t>
      </w:r>
      <w:r w:rsidR="00D10454">
        <w:rPr>
          <w:rFonts w:cs="Times New Roman"/>
          <w:lang w:val="de-DE"/>
        </w:rPr>
        <w:t>Kolonisierte wurden</w:t>
      </w:r>
      <w:r w:rsidRPr="00C73C89">
        <w:rPr>
          <w:rFonts w:cs="Times New Roman"/>
          <w:lang w:val="de-DE"/>
        </w:rPr>
        <w:t xml:space="preserve"> als männlich vorausgesetzt.</w:t>
      </w:r>
      <w:r w:rsidR="007B433E">
        <w:rPr>
          <w:rFonts w:cs="Times New Roman"/>
          <w:lang w:val="de-DE"/>
        </w:rPr>
        <w:t xml:space="preserve"> </w:t>
      </w:r>
      <w:r w:rsidR="00CC2B44">
        <w:rPr>
          <w:rFonts w:cs="Times New Roman"/>
          <w:lang w:val="de-DE"/>
        </w:rPr>
        <w:t xml:space="preserve">Außerdem </w:t>
      </w:r>
      <w:r w:rsidR="007B433E">
        <w:rPr>
          <w:rFonts w:cs="Times New Roman"/>
          <w:lang w:val="de-DE"/>
        </w:rPr>
        <w:t>waren</w:t>
      </w:r>
      <w:r w:rsidR="00CC2B44">
        <w:rPr>
          <w:rFonts w:cs="Times New Roman"/>
          <w:lang w:val="de-DE"/>
        </w:rPr>
        <w:t xml:space="preserve"> auch die Forscher selbst hauptsächlich Männer. </w:t>
      </w:r>
      <w:r w:rsidR="009F59CB">
        <w:rPr>
          <w:rFonts w:cs="Times New Roman"/>
          <w:lang w:val="de-DE"/>
        </w:rPr>
        <w:t>In den letzten Jahr</w:t>
      </w:r>
      <w:r>
        <w:rPr>
          <w:rFonts w:cs="Times New Roman"/>
          <w:lang w:val="de-DE"/>
        </w:rPr>
        <w:t>zehnten</w:t>
      </w:r>
      <w:r w:rsidRPr="00C73C89">
        <w:rPr>
          <w:rFonts w:cs="Times New Roman"/>
          <w:lang w:val="de-DE"/>
        </w:rPr>
        <w:t xml:space="preserve"> hat die </w:t>
      </w:r>
      <w:r w:rsidRPr="00C73C89">
        <w:rPr>
          <w:rFonts w:cs="Times New Roman"/>
          <w:lang w:val="de-DE"/>
        </w:rPr>
        <w:lastRenderedPageBreak/>
        <w:t xml:space="preserve">postkolonialistische Forschung </w:t>
      </w:r>
      <w:r w:rsidR="009F59CB">
        <w:rPr>
          <w:rFonts w:cs="Times New Roman"/>
          <w:lang w:val="de-DE"/>
        </w:rPr>
        <w:t xml:space="preserve">aber </w:t>
      </w:r>
      <w:r w:rsidRPr="00C73C89">
        <w:rPr>
          <w:rFonts w:cs="Times New Roman"/>
          <w:lang w:val="de-DE"/>
        </w:rPr>
        <w:t>ihren Bereich erweitert</w:t>
      </w:r>
      <w:r w:rsidR="009F59CB">
        <w:rPr>
          <w:rFonts w:cs="Times New Roman"/>
          <w:lang w:val="de-DE"/>
        </w:rPr>
        <w:t>. Einerseits</w:t>
      </w:r>
      <w:r w:rsidRPr="00C73C89">
        <w:rPr>
          <w:rFonts w:cs="Times New Roman"/>
          <w:lang w:val="de-DE"/>
        </w:rPr>
        <w:t xml:space="preserve"> </w:t>
      </w:r>
      <w:r w:rsidR="004303B1">
        <w:rPr>
          <w:rFonts w:cs="Times New Roman"/>
          <w:lang w:val="de-DE"/>
        </w:rPr>
        <w:t xml:space="preserve">wird jetzt nicht mehr nur aus einem männlichen Blickwinkel geforscht. Die zwei feministischen postkolonialistischen Forscherinnen, die für die vorliegende Arbeit am wichtigsten sind, sind Chandra Talpade Mohanty und Gayatri Chakravorty Spivak. Andererseits </w:t>
      </w:r>
      <w:r w:rsidRPr="00C73C89">
        <w:rPr>
          <w:rFonts w:cs="Times New Roman"/>
          <w:lang w:val="de-DE"/>
        </w:rPr>
        <w:t xml:space="preserve">fokussiert </w:t>
      </w:r>
      <w:r w:rsidR="009F59CB">
        <w:rPr>
          <w:rFonts w:cs="Times New Roman"/>
          <w:lang w:val="de-DE"/>
        </w:rPr>
        <w:t>sie</w:t>
      </w:r>
      <w:r w:rsidR="001B391E">
        <w:rPr>
          <w:rFonts w:cs="Times New Roman"/>
          <w:lang w:val="de-DE"/>
        </w:rPr>
        <w:t xml:space="preserve"> sich</w:t>
      </w:r>
      <w:r w:rsidRPr="00C73C89">
        <w:rPr>
          <w:rFonts w:cs="Times New Roman"/>
          <w:lang w:val="de-DE"/>
        </w:rPr>
        <w:t xml:space="preserve"> seitdem nicht nur auf nationalistische Unabhängigkeitsbewegungen, deren Ziel es war, die koloniale Macht </w:t>
      </w:r>
      <w:r w:rsidR="009F59CB">
        <w:rPr>
          <w:rFonts w:cs="Times New Roman"/>
          <w:lang w:val="de-DE"/>
        </w:rPr>
        <w:t xml:space="preserve">während des Kolonialismus </w:t>
      </w:r>
      <w:r w:rsidR="007B433E">
        <w:rPr>
          <w:rFonts w:cs="Times New Roman"/>
          <w:lang w:val="de-DE"/>
        </w:rPr>
        <w:t>zu stürzen, sondern a</w:t>
      </w:r>
      <w:r w:rsidRPr="00C73C89">
        <w:rPr>
          <w:rFonts w:cs="Times New Roman"/>
          <w:lang w:val="de-DE"/>
        </w:rPr>
        <w:t xml:space="preserve">uch Machtbeziehungen zwischen dominanten europäischen Kulturen und Minoritätsstimmen, sowohl im Westen als auch in Kulturen, die als die „Dritte Welt“ bezeichnet werden, </w:t>
      </w:r>
      <w:r w:rsidR="009F59CB">
        <w:rPr>
          <w:rFonts w:cs="Times New Roman"/>
          <w:lang w:val="de-DE"/>
        </w:rPr>
        <w:t>ungeac</w:t>
      </w:r>
      <w:r w:rsidR="00C60299">
        <w:rPr>
          <w:rFonts w:cs="Times New Roman"/>
          <w:lang w:val="de-DE"/>
        </w:rPr>
        <w:t>htet einer kolonialen Besetzung, werden einbezogen</w:t>
      </w:r>
      <w:r w:rsidRPr="00C73C89">
        <w:rPr>
          <w:rFonts w:cs="Times New Roman"/>
          <w:lang w:val="de-DE"/>
        </w:rPr>
        <w:t>.</w:t>
      </w:r>
      <w:r>
        <w:rPr>
          <w:rStyle w:val="Voetnootmarkering"/>
          <w:rFonts w:cs="Times New Roman"/>
          <w:lang w:val="de-DE"/>
        </w:rPr>
        <w:footnoteReference w:id="33"/>
      </w:r>
      <w:r w:rsidRPr="00C73C89">
        <w:rPr>
          <w:rFonts w:cs="Times New Roman"/>
          <w:lang w:val="de-DE"/>
        </w:rPr>
        <w:t xml:space="preserve"> Solche Machtverhältnisse lassen sich auch in Melinda Nadj Abonjis </w:t>
      </w:r>
      <w:r w:rsidR="006C3B10">
        <w:rPr>
          <w:rFonts w:cs="Times New Roman"/>
          <w:i/>
          <w:lang w:val="de-DE"/>
        </w:rPr>
        <w:t>Tauben fliegen auf</w:t>
      </w:r>
      <w:r w:rsidRPr="00C73C89">
        <w:rPr>
          <w:rFonts w:cs="Times New Roman"/>
          <w:i/>
          <w:lang w:val="de-DE"/>
        </w:rPr>
        <w:t xml:space="preserve"> </w:t>
      </w:r>
      <w:r w:rsidRPr="00C73C89">
        <w:rPr>
          <w:rFonts w:cs="Times New Roman"/>
          <w:lang w:val="de-DE"/>
        </w:rPr>
        <w:t xml:space="preserve">feststellen und werden </w:t>
      </w:r>
      <w:r w:rsidR="00C60299">
        <w:rPr>
          <w:rFonts w:cs="Times New Roman"/>
          <w:lang w:val="de-DE"/>
        </w:rPr>
        <w:t>im Folgenden</w:t>
      </w:r>
      <w:r w:rsidRPr="00C73C89">
        <w:rPr>
          <w:rFonts w:cs="Times New Roman"/>
          <w:lang w:val="de-DE"/>
        </w:rPr>
        <w:t xml:space="preserve"> ausführlich untersucht.</w:t>
      </w:r>
    </w:p>
    <w:p w14:paraId="2F4849DF" w14:textId="421212F7" w:rsidR="007B433E" w:rsidRPr="008A4E58" w:rsidRDefault="00320A52" w:rsidP="007B433E">
      <w:pPr>
        <w:pStyle w:val="Kop3"/>
        <w:numPr>
          <w:ilvl w:val="2"/>
          <w:numId w:val="2"/>
        </w:numPr>
        <w:rPr>
          <w:lang w:val="de-DE"/>
        </w:rPr>
      </w:pPr>
      <w:bookmarkStart w:id="10" w:name="_Toc515180089"/>
      <w:r>
        <w:rPr>
          <w:lang w:val="de-DE"/>
        </w:rPr>
        <w:t>„</w:t>
      </w:r>
      <w:r w:rsidR="007B433E" w:rsidRPr="008A4E58">
        <w:rPr>
          <w:lang w:val="de-DE"/>
        </w:rPr>
        <w:t>Under Western Eyes</w:t>
      </w:r>
      <w:r>
        <w:rPr>
          <w:lang w:val="de-DE"/>
        </w:rPr>
        <w:t>“</w:t>
      </w:r>
      <w:bookmarkEnd w:id="10"/>
    </w:p>
    <w:p w14:paraId="0346BEC4" w14:textId="061DD9F5" w:rsidR="007B433E" w:rsidRPr="006C7C30" w:rsidRDefault="007B433E" w:rsidP="006C7C30">
      <w:pPr>
        <w:rPr>
          <w:lang w:val="de-DE"/>
        </w:rPr>
      </w:pPr>
      <w:r>
        <w:rPr>
          <w:rFonts w:cs="Times New Roman"/>
          <w:lang w:val="de-DE"/>
        </w:rPr>
        <w:t xml:space="preserve">Wie </w:t>
      </w:r>
      <w:r w:rsidR="006C7C30">
        <w:rPr>
          <w:rFonts w:cs="Times New Roman"/>
          <w:lang w:val="de-DE"/>
        </w:rPr>
        <w:t>schon erwähnt wurde,</w:t>
      </w:r>
      <w:r>
        <w:rPr>
          <w:rFonts w:cs="Times New Roman"/>
          <w:lang w:val="de-DE"/>
        </w:rPr>
        <w:t xml:space="preserve"> war der Postkolonialismus am Anfang eine Theorie, die nur den männlichen Blickwinkel in </w:t>
      </w:r>
      <w:r w:rsidR="00D70A98">
        <w:rPr>
          <w:rFonts w:cs="Times New Roman"/>
          <w:lang w:val="de-DE"/>
        </w:rPr>
        <w:t>Betrachtung</w:t>
      </w:r>
      <w:r>
        <w:rPr>
          <w:rFonts w:cs="Times New Roman"/>
          <w:lang w:val="de-DE"/>
        </w:rPr>
        <w:t xml:space="preserve"> nahm. Erst im Jahre 1984 </w:t>
      </w:r>
      <w:r w:rsidR="00C60299">
        <w:rPr>
          <w:rFonts w:cs="Times New Roman"/>
          <w:lang w:val="de-DE"/>
        </w:rPr>
        <w:t>wurde</w:t>
      </w:r>
      <w:r>
        <w:rPr>
          <w:rFonts w:cs="Times New Roman"/>
          <w:lang w:val="de-DE"/>
        </w:rPr>
        <w:t xml:space="preserve"> von Chandra Talpade Mohanty, Professorin in Women’s und Gender Studies und Soziologie, </w:t>
      </w:r>
      <w:r w:rsidR="006C7C30">
        <w:rPr>
          <w:rFonts w:cs="Times New Roman"/>
          <w:lang w:val="de-DE"/>
        </w:rPr>
        <w:t>in ihrem Artikel „</w:t>
      </w:r>
      <w:r w:rsidR="006C7C30" w:rsidRPr="001107AD">
        <w:rPr>
          <w:rFonts w:cs="Times New Roman"/>
          <w:lang w:val="de-DE"/>
        </w:rPr>
        <w:t>Under Western Eyes</w:t>
      </w:r>
      <w:r w:rsidR="006C7C30">
        <w:rPr>
          <w:rFonts w:cs="Times New Roman"/>
          <w:lang w:val="de-DE"/>
        </w:rPr>
        <w:t xml:space="preserve">“ </w:t>
      </w:r>
      <w:r>
        <w:rPr>
          <w:rFonts w:cs="Times New Roman"/>
          <w:lang w:val="de-DE"/>
        </w:rPr>
        <w:t>die feministische</w:t>
      </w:r>
      <w:r w:rsidR="004D45F2">
        <w:rPr>
          <w:rFonts w:cs="Times New Roman"/>
          <w:lang w:val="de-DE"/>
        </w:rPr>
        <w:t xml:space="preserve"> Theorie</w:t>
      </w:r>
      <w:r>
        <w:rPr>
          <w:rFonts w:cs="Times New Roman"/>
          <w:lang w:val="de-DE"/>
        </w:rPr>
        <w:t xml:space="preserve"> mit der postkolonialistischen </w:t>
      </w:r>
      <w:r w:rsidR="006C7C30">
        <w:rPr>
          <w:rFonts w:cs="Times New Roman"/>
          <w:lang w:val="de-DE"/>
        </w:rPr>
        <w:t>verknüpft</w:t>
      </w:r>
      <w:r>
        <w:rPr>
          <w:rFonts w:cs="Times New Roman"/>
          <w:lang w:val="de-DE"/>
        </w:rPr>
        <w:t>.</w:t>
      </w:r>
      <w:r>
        <w:rPr>
          <w:lang w:val="de-DE"/>
        </w:rPr>
        <w:t xml:space="preserve"> </w:t>
      </w:r>
      <w:r w:rsidR="006A4F04">
        <w:rPr>
          <w:lang w:val="de-DE"/>
        </w:rPr>
        <w:t>Sie kritisiert</w:t>
      </w:r>
      <w:r w:rsidR="00C60299">
        <w:rPr>
          <w:lang w:val="de-DE"/>
        </w:rPr>
        <w:t>e</w:t>
      </w:r>
      <w:r w:rsidR="006A4F04">
        <w:rPr>
          <w:lang w:val="de-DE"/>
        </w:rPr>
        <w:t xml:space="preserve"> nicht nur die bisherige postkolonialistische, sondern auch die westliche liberale feministische Theorie. Genauso</w:t>
      </w:r>
      <w:r w:rsidR="00D70A98">
        <w:rPr>
          <w:lang w:val="de-DE"/>
        </w:rPr>
        <w:t xml:space="preserve"> wie der Postkolonialismus ein männliches</w:t>
      </w:r>
      <w:r>
        <w:rPr>
          <w:lang w:val="de-DE"/>
        </w:rPr>
        <w:t xml:space="preserve"> Subjekt voraussetzt</w:t>
      </w:r>
      <w:r w:rsidR="00C60299">
        <w:rPr>
          <w:lang w:val="de-DE"/>
        </w:rPr>
        <w:t>e</w:t>
      </w:r>
      <w:r>
        <w:rPr>
          <w:lang w:val="de-DE"/>
        </w:rPr>
        <w:t xml:space="preserve">, </w:t>
      </w:r>
      <w:r w:rsidR="00C60299">
        <w:rPr>
          <w:lang w:val="de-DE"/>
        </w:rPr>
        <w:t>ging</w:t>
      </w:r>
      <w:r>
        <w:rPr>
          <w:lang w:val="de-DE"/>
        </w:rPr>
        <w:t xml:space="preserve"> der westliche Feminismus der sechziger und siebziger Jahre von einem wei</w:t>
      </w:r>
      <w:r w:rsidR="00C60299">
        <w:rPr>
          <w:rFonts w:cs="Times New Roman"/>
          <w:lang w:val="de-DE"/>
        </w:rPr>
        <w:t>ßen, westlichen</w:t>
      </w:r>
      <w:r>
        <w:rPr>
          <w:rFonts w:cs="Times New Roman"/>
          <w:lang w:val="de-DE"/>
        </w:rPr>
        <w:t xml:space="preserve"> und weiblichen Subjekt aus. Die amerikanischen und </w:t>
      </w:r>
      <w:r w:rsidR="006C7C30">
        <w:rPr>
          <w:rFonts w:cs="Times New Roman"/>
          <w:lang w:val="de-DE"/>
        </w:rPr>
        <w:t>west</w:t>
      </w:r>
      <w:r>
        <w:rPr>
          <w:rFonts w:cs="Times New Roman"/>
          <w:lang w:val="de-DE"/>
        </w:rPr>
        <w:t>europäischen Feministinnen behaupteten, dass sie sich für alle Frauen weltweit einsetzten und patriarchale Systeme von Macht und Privilegien kritisierten.</w:t>
      </w:r>
      <w:r>
        <w:rPr>
          <w:rStyle w:val="Voetnootmarkering"/>
          <w:rFonts w:cs="Times New Roman"/>
          <w:lang w:val="de-DE"/>
        </w:rPr>
        <w:footnoteReference w:id="34"/>
      </w:r>
      <w:r>
        <w:rPr>
          <w:rFonts w:cs="Times New Roman"/>
          <w:lang w:val="de-DE"/>
        </w:rPr>
        <w:t xml:space="preserve"> </w:t>
      </w:r>
      <w:r w:rsidRPr="006C7C30">
        <w:rPr>
          <w:rFonts w:cs="Times New Roman"/>
          <w:lang w:val="de-DE"/>
        </w:rPr>
        <w:t xml:space="preserve">Diese Behauptung war aber selbst schon </w:t>
      </w:r>
      <w:r w:rsidR="00D10454">
        <w:rPr>
          <w:rFonts w:cs="Times New Roman"/>
          <w:lang w:val="de-DE"/>
        </w:rPr>
        <w:t>Ausfluss eines Privileg</w:t>
      </w:r>
      <w:r w:rsidR="00DA3377">
        <w:rPr>
          <w:rFonts w:cs="Times New Roman"/>
          <w:lang w:val="de-DE"/>
        </w:rPr>
        <w:t>s</w:t>
      </w:r>
      <w:r w:rsidRPr="006C7C30">
        <w:rPr>
          <w:rFonts w:cs="Times New Roman"/>
          <w:lang w:val="de-DE"/>
        </w:rPr>
        <w:t xml:space="preserve">, sagt </w:t>
      </w:r>
      <w:r w:rsidR="006C7C30">
        <w:rPr>
          <w:rFonts w:cs="Times New Roman"/>
          <w:lang w:val="de-DE"/>
        </w:rPr>
        <w:t>Rachel Bailey J</w:t>
      </w:r>
      <w:r w:rsidRPr="006C7C30">
        <w:rPr>
          <w:rFonts w:cs="Times New Roman"/>
          <w:lang w:val="de-DE"/>
        </w:rPr>
        <w:t>ones</w:t>
      </w:r>
      <w:r w:rsidR="0048505E">
        <w:rPr>
          <w:rFonts w:cs="Times New Roman"/>
          <w:lang w:val="de-DE"/>
        </w:rPr>
        <w:t xml:space="preserve"> in ihrem Werk </w:t>
      </w:r>
      <w:r w:rsidR="0048505E" w:rsidRPr="0048505E">
        <w:rPr>
          <w:i/>
          <w:lang w:val="de-DE"/>
        </w:rPr>
        <w:t>Postcolonial Representations of Women</w:t>
      </w:r>
      <w:r w:rsidRPr="006C7C30">
        <w:rPr>
          <w:rFonts w:cs="Times New Roman"/>
          <w:lang w:val="de-DE"/>
        </w:rPr>
        <w:t xml:space="preserve">: </w:t>
      </w:r>
    </w:p>
    <w:p w14:paraId="4C111502" w14:textId="712664CE" w:rsidR="006A4F04" w:rsidRDefault="007B433E" w:rsidP="007B433E">
      <w:pPr>
        <w:spacing w:line="240" w:lineRule="auto"/>
        <w:ind w:left="567"/>
        <w:rPr>
          <w:rFonts w:cs="Times New Roman"/>
          <w:lang w:val="en-GB"/>
        </w:rPr>
      </w:pPr>
      <w:r w:rsidRPr="005120FE">
        <w:rPr>
          <w:rFonts w:cs="Times New Roman"/>
          <w:lang w:val="en-GB"/>
        </w:rPr>
        <w:t>Speaking from a central, western cultural position afforded these women a form of privilege over both women of color in the west and women in the de</w:t>
      </w:r>
      <w:r>
        <w:rPr>
          <w:rFonts w:cs="Times New Roman"/>
          <w:lang w:val="en-GB"/>
        </w:rPr>
        <w:t>risively labeled “third world.” The sense of knowing what was best for women as a group led to alienation of those who did not feel that liberal feminism spoke to the specificities of geography, culture, and needs of women who were left on the periphery of this discourse.</w:t>
      </w:r>
      <w:r>
        <w:rPr>
          <w:rStyle w:val="Voetnootmarkering"/>
          <w:rFonts w:cs="Times New Roman"/>
          <w:lang w:val="en-GB"/>
        </w:rPr>
        <w:footnoteReference w:id="35"/>
      </w:r>
    </w:p>
    <w:p w14:paraId="1AB1BF50" w14:textId="4D188879" w:rsidR="006A4F04" w:rsidRDefault="006A4F04" w:rsidP="006A4F04">
      <w:pPr>
        <w:spacing w:line="240" w:lineRule="auto"/>
        <w:rPr>
          <w:rFonts w:cs="Times New Roman"/>
          <w:lang w:val="en-GB"/>
        </w:rPr>
      </w:pPr>
    </w:p>
    <w:p w14:paraId="72F836AC" w14:textId="77777777" w:rsidR="00B826E9" w:rsidRDefault="006A4F04" w:rsidP="006C7C30">
      <w:pPr>
        <w:rPr>
          <w:rFonts w:cs="Times New Roman"/>
          <w:lang w:val="en-GB"/>
        </w:rPr>
      </w:pPr>
      <w:r w:rsidRPr="006A4F04">
        <w:rPr>
          <w:rFonts w:cs="Times New Roman"/>
          <w:lang w:val="de-DE"/>
        </w:rPr>
        <w:t xml:space="preserve">Indem von einer geteilten Weiblichkeit, die den Alltag von Frauen aller Welt gleichermaßen bestimmt, ausgegangen wird, produziert der westliche Feminismus </w:t>
      </w:r>
      <w:r>
        <w:rPr>
          <w:rFonts w:cs="Times New Roman"/>
          <w:lang w:val="de-DE"/>
        </w:rPr>
        <w:t>ein Bild von</w:t>
      </w:r>
      <w:r w:rsidRPr="006A4F04">
        <w:rPr>
          <w:rFonts w:cs="Times New Roman"/>
          <w:lang w:val="de-DE"/>
        </w:rPr>
        <w:t xml:space="preserve"> Frauen als monolithische Gruppe, genauso wie </w:t>
      </w:r>
      <w:r w:rsidR="00F9242F">
        <w:rPr>
          <w:rFonts w:cs="Times New Roman"/>
          <w:lang w:val="de-DE"/>
        </w:rPr>
        <w:t xml:space="preserve">der Orientalismus eine monolithische Perspektive auf den Osten bietet. </w:t>
      </w:r>
      <w:r w:rsidR="00561055" w:rsidRPr="00B826E9">
        <w:rPr>
          <w:rFonts w:cs="Times New Roman"/>
          <w:lang w:val="en-GB"/>
        </w:rPr>
        <w:t xml:space="preserve">Mohanty </w:t>
      </w:r>
      <w:r w:rsidR="00561055" w:rsidRPr="00561043">
        <w:rPr>
          <w:rFonts w:cs="Times New Roman"/>
          <w:lang w:val="en-GB"/>
        </w:rPr>
        <w:t>schreibt dazu Folgendes</w:t>
      </w:r>
      <w:r w:rsidR="00561055" w:rsidRPr="00561055">
        <w:rPr>
          <w:rFonts w:cs="Times New Roman"/>
          <w:lang w:val="en-GB"/>
        </w:rPr>
        <w:t xml:space="preserve">: </w:t>
      </w:r>
    </w:p>
    <w:p w14:paraId="41386B97" w14:textId="229577C3" w:rsidR="006A4F04" w:rsidRDefault="00561055" w:rsidP="00B826E9">
      <w:pPr>
        <w:spacing w:line="240" w:lineRule="auto"/>
        <w:ind w:left="567"/>
        <w:rPr>
          <w:rFonts w:cs="Times New Roman"/>
          <w:lang w:val="en-GB"/>
        </w:rPr>
      </w:pPr>
      <w:r w:rsidRPr="00561055">
        <w:rPr>
          <w:rFonts w:cs="Times New Roman"/>
          <w:lang w:val="en-GB"/>
        </w:rPr>
        <w:t>The assumption of women as a</w:t>
      </w:r>
      <w:r>
        <w:rPr>
          <w:rFonts w:cs="Times New Roman"/>
          <w:lang w:val="en-GB"/>
        </w:rPr>
        <w:t>n already constituted</w:t>
      </w:r>
      <w:r w:rsidR="00B826E9">
        <w:rPr>
          <w:rFonts w:cs="Times New Roman"/>
          <w:lang w:val="en-GB"/>
        </w:rPr>
        <w:t>, coherent group with identical interests and desires, regardless of class, ethnic or racial location or contradictions, implies a notion of gender or sexual difference or even patriarchy (as male dominance – men as a correspondingly coherent group) which can be applied cross-culturally.</w:t>
      </w:r>
      <w:r w:rsidR="00B826E9">
        <w:rPr>
          <w:rStyle w:val="Voetnootmarkering"/>
          <w:rFonts w:cs="Times New Roman"/>
          <w:lang w:val="en-GB"/>
        </w:rPr>
        <w:footnoteReference w:id="36"/>
      </w:r>
    </w:p>
    <w:p w14:paraId="5B203926" w14:textId="4A9E2721" w:rsidR="00B826E9" w:rsidRDefault="00B826E9" w:rsidP="00B826E9">
      <w:pPr>
        <w:spacing w:line="240" w:lineRule="auto"/>
        <w:rPr>
          <w:rFonts w:cs="Times New Roman"/>
          <w:lang w:val="en-GB"/>
        </w:rPr>
      </w:pPr>
    </w:p>
    <w:p w14:paraId="2FF090F5" w14:textId="2D132F63" w:rsidR="006B5627" w:rsidRDefault="00B826E9" w:rsidP="006B5627">
      <w:pPr>
        <w:rPr>
          <w:rFonts w:cs="Times New Roman"/>
          <w:lang w:val="de-DE"/>
        </w:rPr>
      </w:pPr>
      <w:r w:rsidRPr="00B826E9">
        <w:rPr>
          <w:rFonts w:cs="Times New Roman"/>
          <w:lang w:val="de-DE"/>
        </w:rPr>
        <w:t>Mohanty beschreibt</w:t>
      </w:r>
      <w:r w:rsidR="00911194">
        <w:rPr>
          <w:rFonts w:cs="Times New Roman"/>
          <w:lang w:val="de-DE"/>
        </w:rPr>
        <w:t xml:space="preserve"> in ihrem Artikel</w:t>
      </w:r>
      <w:r w:rsidRPr="00B826E9">
        <w:rPr>
          <w:rFonts w:cs="Times New Roman"/>
          <w:lang w:val="de-DE"/>
        </w:rPr>
        <w:t>, wie</w:t>
      </w:r>
      <w:r w:rsidR="00F07BC8">
        <w:rPr>
          <w:rFonts w:cs="Times New Roman"/>
          <w:lang w:val="de-DE"/>
        </w:rPr>
        <w:t xml:space="preserve"> Frauen als homogene Gruppe, basierend auf soziologischen und anthropologischen Merkmalen,</w:t>
      </w:r>
      <w:r w:rsidR="00F07BC8">
        <w:rPr>
          <w:rStyle w:val="Voetnootmarkering"/>
          <w:rFonts w:cs="Times New Roman"/>
          <w:lang w:val="de-DE"/>
        </w:rPr>
        <w:footnoteReference w:id="37"/>
      </w:r>
      <w:r w:rsidR="00F07BC8">
        <w:rPr>
          <w:rFonts w:cs="Times New Roman"/>
          <w:lang w:val="de-DE"/>
        </w:rPr>
        <w:t xml:space="preserve"> betrachtet werden. </w:t>
      </w:r>
      <w:r w:rsidR="00911194">
        <w:rPr>
          <w:rFonts w:cs="Times New Roman"/>
          <w:lang w:val="de-DE"/>
        </w:rPr>
        <w:t xml:space="preserve">Die Idee der Gleichheit ihrer Unterdrückung bindet sie zusammen, was impliziert, dass die Gruppe „Frauen“, die an </w:t>
      </w:r>
      <w:r w:rsidR="00DA3377">
        <w:rPr>
          <w:rFonts w:cs="Times New Roman"/>
          <w:lang w:val="de-DE"/>
        </w:rPr>
        <w:t>erster</w:t>
      </w:r>
      <w:r w:rsidR="00911194">
        <w:rPr>
          <w:rFonts w:cs="Times New Roman"/>
          <w:lang w:val="de-DE"/>
        </w:rPr>
        <w:t xml:space="preserve"> Stelle homogen sei, an </w:t>
      </w:r>
      <w:r w:rsidR="00DA3377">
        <w:rPr>
          <w:rFonts w:cs="Times New Roman"/>
          <w:lang w:val="de-DE"/>
        </w:rPr>
        <w:t>zweiter</w:t>
      </w:r>
      <w:r w:rsidR="00911194">
        <w:rPr>
          <w:rFonts w:cs="Times New Roman"/>
          <w:lang w:val="de-DE"/>
        </w:rPr>
        <w:t xml:space="preserve"> Stelle als implizit unterdrückt beschrieben werden kann</w:t>
      </w:r>
      <w:r w:rsidR="005667F1">
        <w:rPr>
          <w:rFonts w:cs="Times New Roman"/>
          <w:lang w:val="de-DE"/>
        </w:rPr>
        <w:t>,</w:t>
      </w:r>
      <w:r w:rsidR="00911194">
        <w:rPr>
          <w:rStyle w:val="Voetnootmarkering"/>
          <w:rFonts w:cs="Times New Roman"/>
          <w:lang w:val="de-DE"/>
        </w:rPr>
        <w:footnoteReference w:id="38"/>
      </w:r>
      <w:r w:rsidR="005667F1">
        <w:rPr>
          <w:rFonts w:cs="Times New Roman"/>
          <w:lang w:val="de-DE"/>
        </w:rPr>
        <w:t xml:space="preserve"> weil sexuelle Differenz mit weiblicher Unterdrückung gleichgestellt wird,</w:t>
      </w:r>
      <w:r w:rsidR="005667F1">
        <w:rPr>
          <w:rStyle w:val="Voetnootmarkering"/>
          <w:rFonts w:cs="Times New Roman"/>
          <w:lang w:val="de-DE"/>
        </w:rPr>
        <w:footnoteReference w:id="39"/>
      </w:r>
      <w:r w:rsidR="00911194">
        <w:rPr>
          <w:rFonts w:cs="Times New Roman"/>
          <w:lang w:val="de-DE"/>
        </w:rPr>
        <w:t xml:space="preserve"> und </w:t>
      </w:r>
      <w:r w:rsidR="006C7C30">
        <w:rPr>
          <w:rFonts w:cs="Times New Roman"/>
          <w:lang w:val="de-DE"/>
        </w:rPr>
        <w:t xml:space="preserve">Frauen </w:t>
      </w:r>
      <w:r w:rsidR="00911194">
        <w:rPr>
          <w:rFonts w:cs="Times New Roman"/>
          <w:lang w:val="de-DE"/>
        </w:rPr>
        <w:t>so den Status von Objekt</w:t>
      </w:r>
      <w:r w:rsidR="006C7C30">
        <w:rPr>
          <w:rFonts w:cs="Times New Roman"/>
          <w:lang w:val="de-DE"/>
        </w:rPr>
        <w:t xml:space="preserve"> und Opfer erhalten</w:t>
      </w:r>
      <w:r w:rsidR="005667F1">
        <w:rPr>
          <w:rFonts w:cs="Times New Roman"/>
          <w:lang w:val="de-DE"/>
        </w:rPr>
        <w:t xml:space="preserve">. </w:t>
      </w:r>
      <w:r w:rsidR="006B5627">
        <w:rPr>
          <w:rFonts w:cs="Times New Roman"/>
          <w:lang w:val="en-GB"/>
        </w:rPr>
        <w:t>Außerdem</w:t>
      </w:r>
      <w:r w:rsidR="005667F1" w:rsidRPr="005667F1">
        <w:rPr>
          <w:rFonts w:cs="Times New Roman"/>
          <w:lang w:val="en-GB"/>
        </w:rPr>
        <w:t xml:space="preserve"> </w:t>
      </w:r>
      <w:r w:rsidR="006B5627">
        <w:rPr>
          <w:rFonts w:cs="Times New Roman"/>
          <w:lang w:val="en-GB"/>
        </w:rPr>
        <w:t xml:space="preserve">hat </w:t>
      </w:r>
      <w:r w:rsidR="00C60299">
        <w:rPr>
          <w:rFonts w:cs="Times New Roman"/>
          <w:lang w:val="en-GB"/>
        </w:rPr>
        <w:t>dies</w:t>
      </w:r>
      <w:r w:rsidR="006B5627">
        <w:rPr>
          <w:rFonts w:cs="Times New Roman"/>
          <w:lang w:val="en-GB"/>
        </w:rPr>
        <w:t xml:space="preserve"> </w:t>
      </w:r>
      <w:r w:rsidR="005667F1" w:rsidRPr="005667F1">
        <w:rPr>
          <w:rFonts w:cs="Times New Roman"/>
          <w:lang w:val="en-GB"/>
        </w:rPr>
        <w:t>zur Folge, dass „Western feminists alone become the true “subjects” of this counter-history. Third world women, on the other hand, never rise above their generality and their “object” status.</w:t>
      </w:r>
      <w:r w:rsidR="00835BDF">
        <w:rPr>
          <w:rFonts w:cs="Times New Roman"/>
          <w:lang w:val="en-GB"/>
        </w:rPr>
        <w:t>”</w:t>
      </w:r>
      <w:r w:rsidR="000E44FC">
        <w:rPr>
          <w:rStyle w:val="Voetnootmarkering"/>
          <w:rFonts w:cs="Times New Roman"/>
          <w:lang w:val="en-GB"/>
        </w:rPr>
        <w:footnoteReference w:id="40"/>
      </w:r>
      <w:r w:rsidR="00DA3824">
        <w:rPr>
          <w:rFonts w:cs="Times New Roman"/>
          <w:lang w:val="en-GB"/>
        </w:rPr>
        <w:t xml:space="preserve"> </w:t>
      </w:r>
      <w:r w:rsidR="00DA3824" w:rsidRPr="00DA3824">
        <w:rPr>
          <w:rFonts w:cs="Times New Roman"/>
          <w:lang w:val="de-DE"/>
        </w:rPr>
        <w:t xml:space="preserve">So </w:t>
      </w:r>
      <w:r w:rsidR="00DA3824">
        <w:rPr>
          <w:rFonts w:cs="Times New Roman"/>
          <w:lang w:val="de-DE"/>
        </w:rPr>
        <w:t>entsteht die monolithische Kategorie der „Third World Women“.</w:t>
      </w:r>
      <w:r w:rsidR="005667F1" w:rsidRPr="00DA3824">
        <w:rPr>
          <w:rFonts w:cs="Times New Roman"/>
          <w:lang w:val="de-DE"/>
        </w:rPr>
        <w:t xml:space="preserve"> </w:t>
      </w:r>
      <w:r w:rsidR="00935575" w:rsidRPr="00935575">
        <w:rPr>
          <w:rFonts w:cs="Times New Roman"/>
          <w:lang w:val="de-DE"/>
        </w:rPr>
        <w:t xml:space="preserve">Mohanty </w:t>
      </w:r>
      <w:r w:rsidR="005667F1">
        <w:rPr>
          <w:rFonts w:cs="Times New Roman"/>
          <w:lang w:val="de-DE"/>
        </w:rPr>
        <w:t xml:space="preserve">nennt diese Verallgemeinerung problematisch, weil die Definition des weiblichen Subjekts </w:t>
      </w:r>
      <w:r w:rsidR="00D70A98">
        <w:rPr>
          <w:rFonts w:cs="Times New Roman"/>
          <w:lang w:val="de-DE"/>
        </w:rPr>
        <w:t>auf ihr</w:t>
      </w:r>
      <w:r w:rsidR="005667F1">
        <w:rPr>
          <w:rFonts w:cs="Times New Roman"/>
          <w:lang w:val="de-DE"/>
        </w:rPr>
        <w:t xml:space="preserve"> Gender </w:t>
      </w:r>
      <w:r w:rsidR="00D70A98">
        <w:rPr>
          <w:rFonts w:cs="Times New Roman"/>
          <w:lang w:val="de-DE"/>
        </w:rPr>
        <w:t>reduziert</w:t>
      </w:r>
      <w:r w:rsidR="005667F1">
        <w:rPr>
          <w:rFonts w:cs="Times New Roman"/>
          <w:lang w:val="de-DE"/>
        </w:rPr>
        <w:t xml:space="preserve"> wird, ohne z. B. soziale Klasse und ethnische Identität einzubeziehen.</w:t>
      </w:r>
      <w:r w:rsidR="005667F1">
        <w:rPr>
          <w:rStyle w:val="Voetnootmarkering"/>
          <w:rFonts w:cs="Times New Roman"/>
          <w:lang w:val="de-DE"/>
        </w:rPr>
        <w:footnoteReference w:id="41"/>
      </w:r>
      <w:r w:rsidR="005667F1">
        <w:rPr>
          <w:rFonts w:cs="Times New Roman"/>
          <w:lang w:val="de-DE"/>
        </w:rPr>
        <w:t xml:space="preserve"> Sie argumentiert, dass </w:t>
      </w:r>
      <w:r w:rsidR="00757968">
        <w:rPr>
          <w:rFonts w:cs="Times New Roman"/>
          <w:lang w:val="de-DE"/>
        </w:rPr>
        <w:t xml:space="preserve">die </w:t>
      </w:r>
      <w:r w:rsidR="005667F1">
        <w:rPr>
          <w:rFonts w:cs="Times New Roman"/>
          <w:lang w:val="de-DE"/>
        </w:rPr>
        <w:t>historische</w:t>
      </w:r>
      <w:r w:rsidR="00757968">
        <w:rPr>
          <w:rFonts w:cs="Times New Roman"/>
          <w:lang w:val="de-DE"/>
        </w:rPr>
        <w:t xml:space="preserve"> und soziale Spezifizität einer Gruppe nicht vernachlässigt werden darf</w:t>
      </w:r>
      <w:r w:rsidR="00835BDF">
        <w:rPr>
          <w:rFonts w:cs="Times New Roman"/>
          <w:lang w:val="de-DE"/>
        </w:rPr>
        <w:t>. Deswegen soll die Analyse einer Gruppe</w:t>
      </w:r>
      <w:r w:rsidR="006C7C30">
        <w:rPr>
          <w:rFonts w:cs="Times New Roman"/>
          <w:lang w:val="de-DE"/>
        </w:rPr>
        <w:t xml:space="preserve"> (oder einer einzelnen Frau)</w:t>
      </w:r>
      <w:r w:rsidR="00835BDF">
        <w:rPr>
          <w:rFonts w:cs="Times New Roman"/>
          <w:lang w:val="de-DE"/>
        </w:rPr>
        <w:t xml:space="preserve"> in einem bestimmten Kontext situiert werden, statt von einer homogenen Gruppe von Frauen</w:t>
      </w:r>
      <w:r w:rsidR="00D10454">
        <w:rPr>
          <w:rFonts w:cs="Times New Roman"/>
          <w:lang w:val="de-DE"/>
        </w:rPr>
        <w:t xml:space="preserve"> mit derselben Erfahrung</w:t>
      </w:r>
      <w:r w:rsidR="00835BDF">
        <w:rPr>
          <w:rFonts w:cs="Times New Roman"/>
          <w:lang w:val="de-DE"/>
        </w:rPr>
        <w:t xml:space="preserve"> zu reden. </w:t>
      </w:r>
    </w:p>
    <w:p w14:paraId="5017D3E5" w14:textId="3A04C22B" w:rsidR="00DC561F" w:rsidRPr="00F52280" w:rsidRDefault="00835BDF" w:rsidP="006B5627">
      <w:pPr>
        <w:ind w:firstLine="708"/>
        <w:rPr>
          <w:rFonts w:cs="Times New Roman"/>
          <w:lang w:val="de-DE"/>
        </w:rPr>
      </w:pPr>
      <w:r>
        <w:rPr>
          <w:rFonts w:cs="Times New Roman"/>
          <w:lang w:val="de-DE"/>
        </w:rPr>
        <w:t xml:space="preserve">Aufgrund dieser Argumentation soll </w:t>
      </w:r>
      <w:r w:rsidR="00DA3377">
        <w:rPr>
          <w:rFonts w:cs="Times New Roman"/>
          <w:lang w:val="de-DE"/>
        </w:rPr>
        <w:t>sich die</w:t>
      </w:r>
      <w:r>
        <w:rPr>
          <w:rFonts w:cs="Times New Roman"/>
          <w:lang w:val="de-DE"/>
        </w:rPr>
        <w:t xml:space="preserve"> vorliegende </w:t>
      </w:r>
      <w:r w:rsidR="006C7C30">
        <w:rPr>
          <w:rFonts w:cs="Times New Roman"/>
          <w:lang w:val="de-DE"/>
        </w:rPr>
        <w:t>Mastera</w:t>
      </w:r>
      <w:r>
        <w:rPr>
          <w:rFonts w:cs="Times New Roman"/>
          <w:lang w:val="de-DE"/>
        </w:rPr>
        <w:t xml:space="preserve">rbeit nicht auf eine Gruppe </w:t>
      </w:r>
      <w:r w:rsidR="006C7C30">
        <w:rPr>
          <w:rFonts w:cs="Times New Roman"/>
          <w:lang w:val="de-DE"/>
        </w:rPr>
        <w:t>Fra</w:t>
      </w:r>
      <w:r>
        <w:rPr>
          <w:rFonts w:cs="Times New Roman"/>
          <w:lang w:val="de-DE"/>
        </w:rPr>
        <w:t xml:space="preserve">uen aus Jugoslawien, sondern vielmehr auf </w:t>
      </w:r>
      <w:r w:rsidR="00DA3824">
        <w:rPr>
          <w:rFonts w:cs="Times New Roman"/>
          <w:lang w:val="de-DE"/>
        </w:rPr>
        <w:t>das spezifische Leben der</w:t>
      </w:r>
      <w:r>
        <w:rPr>
          <w:rFonts w:cs="Times New Roman"/>
          <w:lang w:val="de-DE"/>
        </w:rPr>
        <w:t xml:space="preserve"> Hauptfigur </w:t>
      </w:r>
      <w:r w:rsidR="00DA3824">
        <w:rPr>
          <w:rFonts w:cs="Times New Roman"/>
          <w:lang w:val="de-DE"/>
        </w:rPr>
        <w:t>eines Romans</w:t>
      </w:r>
      <w:r w:rsidR="006C7C30">
        <w:rPr>
          <w:rFonts w:cs="Times New Roman"/>
          <w:lang w:val="de-DE"/>
        </w:rPr>
        <w:t>, nämlich</w:t>
      </w:r>
      <w:r w:rsidR="00DA3824">
        <w:rPr>
          <w:rFonts w:cs="Times New Roman"/>
          <w:lang w:val="de-DE"/>
        </w:rPr>
        <w:t xml:space="preserve"> </w:t>
      </w:r>
      <w:r w:rsidR="00F73DBD">
        <w:rPr>
          <w:rFonts w:cs="Times New Roman"/>
          <w:lang w:val="de-DE"/>
        </w:rPr>
        <w:t>Ildikó</w:t>
      </w:r>
      <w:r w:rsidR="00DA3824">
        <w:rPr>
          <w:rFonts w:cs="Times New Roman"/>
          <w:lang w:val="de-DE"/>
        </w:rPr>
        <w:t xml:space="preserve"> Kocsis</w:t>
      </w:r>
      <w:r w:rsidR="006C7C30">
        <w:rPr>
          <w:rFonts w:cs="Times New Roman"/>
          <w:lang w:val="de-DE"/>
        </w:rPr>
        <w:t xml:space="preserve"> in </w:t>
      </w:r>
      <w:r w:rsidR="006C7C30">
        <w:rPr>
          <w:rFonts w:cs="Times New Roman"/>
          <w:i/>
          <w:lang w:val="de-DE"/>
        </w:rPr>
        <w:t>Tauben fliegen auf</w:t>
      </w:r>
      <w:r w:rsidR="006C7C30">
        <w:rPr>
          <w:rFonts w:cs="Times New Roman"/>
          <w:lang w:val="de-DE"/>
        </w:rPr>
        <w:t>,</w:t>
      </w:r>
      <w:r>
        <w:rPr>
          <w:rFonts w:cs="Times New Roman"/>
          <w:lang w:val="de-DE"/>
        </w:rPr>
        <w:t xml:space="preserve"> und ihre spezifische Lage </w:t>
      </w:r>
      <w:r w:rsidR="00DA3377">
        <w:rPr>
          <w:rFonts w:cs="Times New Roman"/>
          <w:lang w:val="de-DE"/>
        </w:rPr>
        <w:t>fokussieren</w:t>
      </w:r>
      <w:r>
        <w:rPr>
          <w:rFonts w:cs="Times New Roman"/>
          <w:lang w:val="de-DE"/>
        </w:rPr>
        <w:t xml:space="preserve">: Sie ist eine junge, wahrscheinlich heterosexuelle, </w:t>
      </w:r>
      <w:r>
        <w:rPr>
          <w:rFonts w:cs="Times New Roman"/>
          <w:lang w:val="de-DE"/>
        </w:rPr>
        <w:lastRenderedPageBreak/>
        <w:t xml:space="preserve">orthodoxe, aber nicht ausgesprochen religiöse Migrantin, die vier Jahre nach ihren Eltern mit ihrer Schwester aus der Vojvodina in die Schweiz migriert. </w:t>
      </w:r>
      <w:r w:rsidR="00DA3824">
        <w:rPr>
          <w:rFonts w:cs="Times New Roman"/>
          <w:lang w:val="de-DE"/>
        </w:rPr>
        <w:t xml:space="preserve">Es werden </w:t>
      </w:r>
      <w:r w:rsidR="00DA3377">
        <w:rPr>
          <w:rFonts w:cs="Times New Roman"/>
          <w:lang w:val="de-DE"/>
        </w:rPr>
        <w:t>bestimmte</w:t>
      </w:r>
      <w:r w:rsidR="00DA3824">
        <w:rPr>
          <w:rFonts w:cs="Times New Roman"/>
          <w:lang w:val="de-DE"/>
        </w:rPr>
        <w:t xml:space="preserve"> Machtbeziehungen, die </w:t>
      </w:r>
      <w:r w:rsidR="00DA3377">
        <w:rPr>
          <w:rFonts w:cs="Times New Roman"/>
          <w:lang w:val="de-DE"/>
        </w:rPr>
        <w:t xml:space="preserve">so </w:t>
      </w:r>
      <w:r w:rsidR="00DA3824">
        <w:rPr>
          <w:rFonts w:cs="Times New Roman"/>
          <w:lang w:val="de-DE"/>
        </w:rPr>
        <w:t xml:space="preserve">wahrscheinlich auch in der Wirklichkeit stattfinden, untersucht. Ziel ist </w:t>
      </w:r>
      <w:r w:rsidR="00DA3377">
        <w:rPr>
          <w:rFonts w:cs="Times New Roman"/>
          <w:lang w:val="de-DE"/>
        </w:rPr>
        <w:t>jedoch</w:t>
      </w:r>
      <w:r w:rsidR="00DA3824">
        <w:rPr>
          <w:rFonts w:cs="Times New Roman"/>
          <w:lang w:val="de-DE"/>
        </w:rPr>
        <w:t xml:space="preserve"> nicht an und für sich, die Erkenntnisse dieser Arbeit auf die reale Welt zu projizieren, sondern auch den literarischen Aspekt immer vor Augen zu </w:t>
      </w:r>
      <w:r w:rsidR="00DA3377">
        <w:rPr>
          <w:rFonts w:cs="Times New Roman"/>
          <w:lang w:val="de-DE"/>
        </w:rPr>
        <w:t>be</w:t>
      </w:r>
      <w:r w:rsidR="00DA3824">
        <w:rPr>
          <w:rFonts w:cs="Times New Roman"/>
          <w:lang w:val="de-DE"/>
        </w:rPr>
        <w:t xml:space="preserve">halten. Außerdem soll </w:t>
      </w:r>
      <w:r w:rsidR="00F73DBD">
        <w:rPr>
          <w:rFonts w:cs="Times New Roman"/>
          <w:lang w:val="de-DE"/>
        </w:rPr>
        <w:t>Ildikó</w:t>
      </w:r>
      <w:r w:rsidR="00DA3824">
        <w:rPr>
          <w:rFonts w:cs="Times New Roman"/>
          <w:lang w:val="de-DE"/>
        </w:rPr>
        <w:t xml:space="preserve"> nicht als uniformes Mitglied einer monolithischen Gruppe verstanden werden, das ihr Schicksal mit allen anderen Mitgliedern dieser Gruppe teilt, wie </w:t>
      </w:r>
      <w:r w:rsidR="00DA3377">
        <w:rPr>
          <w:rFonts w:cs="Times New Roman"/>
          <w:lang w:val="de-DE"/>
        </w:rPr>
        <w:t xml:space="preserve">es </w:t>
      </w:r>
      <w:r w:rsidR="00DA3824">
        <w:rPr>
          <w:rFonts w:cs="Times New Roman"/>
          <w:lang w:val="de-DE"/>
        </w:rPr>
        <w:t xml:space="preserve">in manchen feministischen Untersuchungen der Fall ist. </w:t>
      </w:r>
      <w:bookmarkStart w:id="11" w:name="_Hlk513479426"/>
      <w:r w:rsidR="00DA3824">
        <w:rPr>
          <w:rFonts w:cs="Times New Roman"/>
          <w:lang w:val="de-DE"/>
        </w:rPr>
        <w:t xml:space="preserve">Es wird vielmehr der Einzelfall von </w:t>
      </w:r>
      <w:r w:rsidR="00F73DBD">
        <w:rPr>
          <w:rFonts w:cs="Times New Roman"/>
          <w:lang w:val="de-DE"/>
        </w:rPr>
        <w:t>Ildikó</w:t>
      </w:r>
      <w:r w:rsidR="00DA3824">
        <w:rPr>
          <w:rFonts w:cs="Times New Roman"/>
          <w:lang w:val="de-DE"/>
        </w:rPr>
        <w:t xml:space="preserve"> Kocsis mit der Unterdrückung und der sozialen Ungleichheit, die sie treffen, und die Art und Weise, wie sie</w:t>
      </w:r>
      <w:r w:rsidR="00F52280">
        <w:rPr>
          <w:rFonts w:cs="Times New Roman"/>
          <w:lang w:val="de-DE"/>
        </w:rPr>
        <w:t xml:space="preserve"> vor allem mithilfe </w:t>
      </w:r>
      <w:r w:rsidR="007F5DB1">
        <w:rPr>
          <w:rFonts w:cs="Times New Roman"/>
          <w:lang w:val="de-DE"/>
        </w:rPr>
        <w:t>von</w:t>
      </w:r>
      <w:r w:rsidR="00F52280">
        <w:rPr>
          <w:rFonts w:cs="Times New Roman"/>
          <w:lang w:val="de-DE"/>
        </w:rPr>
        <w:t xml:space="preserve"> Sprache</w:t>
      </w:r>
      <w:r w:rsidR="00DA3824">
        <w:rPr>
          <w:rFonts w:cs="Times New Roman"/>
          <w:lang w:val="de-DE"/>
        </w:rPr>
        <w:t xml:space="preserve"> darauf reagiert und protestiert, untersucht, damit sie nicht </w:t>
      </w:r>
      <w:r w:rsidR="00811D90">
        <w:rPr>
          <w:rFonts w:cs="Times New Roman"/>
          <w:lang w:val="de-DE"/>
        </w:rPr>
        <w:t>an erster Stelle</w:t>
      </w:r>
      <w:r w:rsidR="00DA3824">
        <w:rPr>
          <w:rFonts w:cs="Times New Roman"/>
          <w:lang w:val="de-DE"/>
        </w:rPr>
        <w:t xml:space="preserve"> als Opfer, sondern hauptsächli</w:t>
      </w:r>
      <w:r w:rsidR="00AB68C4">
        <w:rPr>
          <w:rFonts w:cs="Times New Roman"/>
          <w:lang w:val="de-DE"/>
        </w:rPr>
        <w:t xml:space="preserve">ch als </w:t>
      </w:r>
      <w:r w:rsidR="006B5627">
        <w:rPr>
          <w:rFonts w:cs="Times New Roman"/>
          <w:lang w:val="de-DE"/>
        </w:rPr>
        <w:t xml:space="preserve">Agens betrachtet wird. </w:t>
      </w:r>
      <w:bookmarkEnd w:id="11"/>
      <w:r w:rsidR="006B5627">
        <w:rPr>
          <w:rFonts w:cs="Times New Roman"/>
          <w:lang w:val="de-DE"/>
        </w:rPr>
        <w:t>Außerdem soll beachtet werden, dass d</w:t>
      </w:r>
      <w:r w:rsidR="007B433E">
        <w:rPr>
          <w:rFonts w:cs="Times New Roman"/>
          <w:lang w:val="de-DE"/>
        </w:rPr>
        <w:t>ie Auffassung von Konzepte</w:t>
      </w:r>
      <w:r w:rsidR="004556DF">
        <w:rPr>
          <w:rFonts w:cs="Times New Roman"/>
          <w:lang w:val="de-DE"/>
        </w:rPr>
        <w:t>n</w:t>
      </w:r>
      <w:r w:rsidR="007B433E">
        <w:rPr>
          <w:rFonts w:cs="Times New Roman"/>
          <w:lang w:val="de-DE"/>
        </w:rPr>
        <w:t xml:space="preserve"> wie Freiheit, Emanzipation und Gleichheit immer von einem subjektiven Blick beeinflusst</w:t>
      </w:r>
      <w:r w:rsidR="006B5627">
        <w:rPr>
          <w:rFonts w:cs="Times New Roman"/>
          <w:lang w:val="de-DE"/>
        </w:rPr>
        <w:t xml:space="preserve"> wird</w:t>
      </w:r>
      <w:r w:rsidR="007B433E">
        <w:rPr>
          <w:rFonts w:cs="Times New Roman"/>
          <w:lang w:val="de-DE"/>
        </w:rPr>
        <w:t xml:space="preserve">, auch wenn man behauptet, dass das nicht der Fall ist. </w:t>
      </w:r>
    </w:p>
    <w:p w14:paraId="399F1EED" w14:textId="3B298045" w:rsidR="000C2702" w:rsidRDefault="007B433E" w:rsidP="004013D5">
      <w:pPr>
        <w:ind w:firstLine="708"/>
        <w:rPr>
          <w:rFonts w:cs="Times New Roman"/>
          <w:lang w:val="de-DE"/>
        </w:rPr>
      </w:pPr>
      <w:r>
        <w:rPr>
          <w:rFonts w:cs="Times New Roman"/>
          <w:lang w:val="de-DE"/>
        </w:rPr>
        <w:t>In Bezug auf die Kritik am westlichen Feminismus</w:t>
      </w:r>
      <w:r w:rsidRPr="00A975A0">
        <w:rPr>
          <w:rFonts w:cs="Times New Roman"/>
          <w:lang w:val="de-DE"/>
        </w:rPr>
        <w:t xml:space="preserve"> kann auf das Konzept der Intersektionalit</w:t>
      </w:r>
      <w:r>
        <w:rPr>
          <w:rFonts w:cs="Times New Roman"/>
          <w:lang w:val="de-DE"/>
        </w:rPr>
        <w:t xml:space="preserve">ät verwiesen werden. </w:t>
      </w:r>
      <w:r w:rsidR="00DD61E1">
        <w:rPr>
          <w:rFonts w:cs="Times New Roman"/>
          <w:lang w:val="de-DE"/>
        </w:rPr>
        <w:t xml:space="preserve">Der Begriff wurde 1989 von Kimberlé Crenshaw </w:t>
      </w:r>
      <w:r w:rsidR="00362C17">
        <w:rPr>
          <w:rFonts w:cs="Times New Roman"/>
          <w:lang w:val="de-DE"/>
        </w:rPr>
        <w:t>eingeführt</w:t>
      </w:r>
      <w:r w:rsidR="002261D4">
        <w:rPr>
          <w:rFonts w:cs="Times New Roman"/>
          <w:lang w:val="de-DE"/>
        </w:rPr>
        <w:t xml:space="preserve"> und hat seitdem einen großen Einfluss auf die</w:t>
      </w:r>
      <w:r w:rsidR="00C60299">
        <w:rPr>
          <w:rFonts w:cs="Times New Roman"/>
          <w:lang w:val="de-DE"/>
        </w:rPr>
        <w:t xml:space="preserve"> westliche</w:t>
      </w:r>
      <w:r w:rsidR="002261D4">
        <w:rPr>
          <w:rFonts w:cs="Times New Roman"/>
          <w:lang w:val="de-DE"/>
        </w:rPr>
        <w:t xml:space="preserve"> feministische Forschung </w:t>
      </w:r>
      <w:r w:rsidR="00902CD7">
        <w:rPr>
          <w:rFonts w:cs="Times New Roman"/>
          <w:lang w:val="de-DE"/>
        </w:rPr>
        <w:t>ausgeübt</w:t>
      </w:r>
      <w:r w:rsidR="002261D4">
        <w:rPr>
          <w:rFonts w:cs="Times New Roman"/>
          <w:lang w:val="de-DE"/>
        </w:rPr>
        <w:t>.</w:t>
      </w:r>
      <w:r w:rsidR="008365BD">
        <w:rPr>
          <w:rFonts w:cs="Times New Roman"/>
          <w:lang w:val="de-DE"/>
        </w:rPr>
        <w:t xml:space="preserve"> </w:t>
      </w:r>
      <w:r w:rsidR="004303B1">
        <w:rPr>
          <w:rFonts w:cs="Times New Roman"/>
          <w:lang w:val="de-DE"/>
        </w:rPr>
        <w:t>Crenshaw</w:t>
      </w:r>
      <w:r w:rsidR="00EE1C57">
        <w:rPr>
          <w:rFonts w:cs="Times New Roman"/>
          <w:lang w:val="de-DE"/>
        </w:rPr>
        <w:t xml:space="preserve"> zielte auf die Einbeziehung von anderen Identitätskategorien als Gender in die feministische Forschung, wie z. B. </w:t>
      </w:r>
      <w:r w:rsidR="002D123E">
        <w:rPr>
          <w:rFonts w:cs="Times New Roman"/>
          <w:lang w:val="de-DE"/>
        </w:rPr>
        <w:t>Ethnie, Klasse</w:t>
      </w:r>
      <w:r w:rsidR="00EE1C57">
        <w:rPr>
          <w:rFonts w:cs="Times New Roman"/>
          <w:lang w:val="de-DE"/>
        </w:rPr>
        <w:t xml:space="preserve">, Religion, Sexualität, Alter, </w:t>
      </w:r>
      <w:r w:rsidR="00EE1C57" w:rsidRPr="00466347">
        <w:rPr>
          <w:rFonts w:cs="Times New Roman"/>
          <w:lang w:val="de-DE"/>
        </w:rPr>
        <w:t>Behinderung</w:t>
      </w:r>
      <w:r w:rsidR="00EE1C57">
        <w:rPr>
          <w:rFonts w:cs="Times New Roman"/>
          <w:lang w:val="de-DE"/>
        </w:rPr>
        <w:t xml:space="preserve"> usw.</w:t>
      </w:r>
      <w:r w:rsidR="00362C17">
        <w:rPr>
          <w:rFonts w:cs="Times New Roman"/>
          <w:lang w:val="de-DE"/>
        </w:rPr>
        <w:t>, ab.</w:t>
      </w:r>
      <w:r w:rsidR="00EE1C57">
        <w:rPr>
          <w:rFonts w:cs="Times New Roman"/>
          <w:lang w:val="de-DE"/>
        </w:rPr>
        <w:t xml:space="preserve"> Statt</w:t>
      </w:r>
      <w:r w:rsidR="00362C17">
        <w:rPr>
          <w:rFonts w:cs="Times New Roman"/>
          <w:lang w:val="de-DE"/>
        </w:rPr>
        <w:t xml:space="preserve"> sich</w:t>
      </w:r>
      <w:r w:rsidR="00EE1C57">
        <w:rPr>
          <w:rFonts w:cs="Times New Roman"/>
          <w:lang w:val="de-DE"/>
        </w:rPr>
        <w:t xml:space="preserve"> nur auf das Frausein zu fokussieren, soll ein „Feminismus für alle“ </w:t>
      </w:r>
      <w:r w:rsidR="00362C17">
        <w:rPr>
          <w:rFonts w:cs="Times New Roman"/>
          <w:lang w:val="de-DE"/>
        </w:rPr>
        <w:t xml:space="preserve">auf </w:t>
      </w:r>
      <w:r w:rsidR="00EE1C57">
        <w:rPr>
          <w:rFonts w:cs="Times New Roman"/>
          <w:lang w:val="de-DE"/>
        </w:rPr>
        <w:t>verschiedene Achsen der sozial</w:t>
      </w:r>
      <w:r w:rsidR="00674CFA">
        <w:rPr>
          <w:rFonts w:cs="Times New Roman"/>
          <w:lang w:val="de-DE"/>
        </w:rPr>
        <w:t>en Ungleichheit Bezug nehmen</w:t>
      </w:r>
      <w:r w:rsidR="00EE1C57">
        <w:rPr>
          <w:rFonts w:cs="Times New Roman"/>
          <w:lang w:val="de-DE"/>
        </w:rPr>
        <w:t xml:space="preserve">. </w:t>
      </w:r>
      <w:r w:rsidR="001A4C18">
        <w:rPr>
          <w:rFonts w:cs="Times New Roman"/>
          <w:lang w:val="de-DE"/>
        </w:rPr>
        <w:t>Die Intersektionalitätstheorie setzt nicht nur mehrfache Identität, sondern auch die mehrfache Funktion von Macht voraus.</w:t>
      </w:r>
      <w:r w:rsidR="00902CD7">
        <w:rPr>
          <w:rFonts w:cs="Times New Roman"/>
          <w:lang w:val="de-DE"/>
        </w:rPr>
        <w:t xml:space="preserve"> Das bedeutet, dass Kategorien wie Gender, </w:t>
      </w:r>
      <w:r w:rsidR="002D123E">
        <w:rPr>
          <w:rFonts w:cs="Times New Roman"/>
          <w:lang w:val="de-DE"/>
        </w:rPr>
        <w:t>Ethnie und Klasse</w:t>
      </w:r>
      <w:r w:rsidR="00902CD7">
        <w:rPr>
          <w:rFonts w:cs="Times New Roman"/>
          <w:lang w:val="de-DE"/>
        </w:rPr>
        <w:t xml:space="preserve"> ineinandergreifende Machtsysteme</w:t>
      </w:r>
      <w:r w:rsidR="00362C17">
        <w:rPr>
          <w:rFonts w:cs="Times New Roman"/>
          <w:lang w:val="de-DE"/>
        </w:rPr>
        <w:t xml:space="preserve"> konstituieren</w:t>
      </w:r>
      <w:r w:rsidR="00902CD7">
        <w:rPr>
          <w:rFonts w:cs="Times New Roman"/>
          <w:lang w:val="de-DE"/>
        </w:rPr>
        <w:t>, die</w:t>
      </w:r>
      <w:r w:rsidR="00494501">
        <w:rPr>
          <w:rFonts w:cs="Times New Roman"/>
          <w:lang w:val="de-DE"/>
        </w:rPr>
        <w:t xml:space="preserve"> sowohl</w:t>
      </w:r>
      <w:r w:rsidR="00902CD7">
        <w:rPr>
          <w:rFonts w:cs="Times New Roman"/>
          <w:lang w:val="de-DE"/>
        </w:rPr>
        <w:t xml:space="preserve"> über ihre Kreuzungen </w:t>
      </w:r>
      <w:r w:rsidR="00494501">
        <w:rPr>
          <w:rFonts w:cs="Times New Roman"/>
          <w:lang w:val="de-DE"/>
        </w:rPr>
        <w:t xml:space="preserve">als innerhalb der unterschiedlichen Machtbereiche </w:t>
      </w:r>
      <w:r w:rsidR="00362C17">
        <w:rPr>
          <w:rFonts w:cs="Times New Roman"/>
          <w:lang w:val="de-DE"/>
        </w:rPr>
        <w:t>untersucht werden sollen.</w:t>
      </w:r>
      <w:r w:rsidR="00494501">
        <w:rPr>
          <w:rStyle w:val="Voetnootmarkering"/>
          <w:rFonts w:cs="Times New Roman"/>
          <w:lang w:val="de-DE"/>
        </w:rPr>
        <w:footnoteReference w:id="42"/>
      </w:r>
      <w:r w:rsidR="00902CD7">
        <w:rPr>
          <w:rFonts w:cs="Times New Roman"/>
          <w:lang w:val="de-DE"/>
        </w:rPr>
        <w:t xml:space="preserve"> </w:t>
      </w:r>
      <w:r w:rsidR="00674CFA" w:rsidRPr="00362C17">
        <w:rPr>
          <w:rFonts w:cs="Times New Roman"/>
          <w:lang w:val="en-US"/>
        </w:rPr>
        <w:t xml:space="preserve">Patricia Hill Collins und Sirma Bilge beschreiben in ihrem Werk </w:t>
      </w:r>
      <w:r w:rsidR="00674CFA" w:rsidRPr="00362C17">
        <w:rPr>
          <w:rFonts w:cs="Times New Roman"/>
          <w:i/>
          <w:lang w:val="en-US"/>
        </w:rPr>
        <w:t>Intersectionality</w:t>
      </w:r>
      <w:r w:rsidR="00674CFA" w:rsidRPr="00362C17">
        <w:rPr>
          <w:rFonts w:cs="Times New Roman"/>
          <w:lang w:val="en-US"/>
        </w:rPr>
        <w:t xml:space="preserve">, wie „[w]ithin intersectional frameworks, there is no pure racism or sexism. </w:t>
      </w:r>
      <w:r w:rsidR="00674CFA">
        <w:rPr>
          <w:rFonts w:cs="Times New Roman"/>
          <w:lang w:val="en-GB"/>
        </w:rPr>
        <w:t>Rather, power relations of racism and sexism gain meaning in relation to one another.”</w:t>
      </w:r>
      <w:r w:rsidR="00674CFA">
        <w:rPr>
          <w:rStyle w:val="Voetnootmarkering"/>
          <w:rFonts w:cs="Times New Roman"/>
          <w:lang w:val="en-GB"/>
        </w:rPr>
        <w:footnoteReference w:id="43"/>
      </w:r>
      <w:r w:rsidR="00674CFA">
        <w:rPr>
          <w:rFonts w:cs="Times New Roman"/>
          <w:lang w:val="en-GB"/>
        </w:rPr>
        <w:t xml:space="preserve"> </w:t>
      </w:r>
      <w:r w:rsidR="0026763C">
        <w:rPr>
          <w:rFonts w:cs="Times New Roman"/>
          <w:lang w:val="de-DE"/>
        </w:rPr>
        <w:t>Weiter</w:t>
      </w:r>
      <w:r w:rsidR="00362C17">
        <w:rPr>
          <w:rFonts w:cs="Times New Roman"/>
          <w:lang w:val="de-DE"/>
        </w:rPr>
        <w:t>hin</w:t>
      </w:r>
      <w:r w:rsidR="0026763C">
        <w:rPr>
          <w:rFonts w:cs="Times New Roman"/>
          <w:lang w:val="de-DE"/>
        </w:rPr>
        <w:t xml:space="preserve"> machen Collins und Bilge einen Unterschied zw</w:t>
      </w:r>
      <w:r w:rsidR="0084395E">
        <w:rPr>
          <w:rFonts w:cs="Times New Roman"/>
          <w:lang w:val="de-DE"/>
        </w:rPr>
        <w:t xml:space="preserve">ischen vier Machtbereichen: dem </w:t>
      </w:r>
      <w:r w:rsidR="0026763C">
        <w:rPr>
          <w:rFonts w:cs="Times New Roman"/>
          <w:lang w:val="de-DE"/>
        </w:rPr>
        <w:t>interpersönliche</w:t>
      </w:r>
      <w:r w:rsidR="0084395E">
        <w:rPr>
          <w:rFonts w:cs="Times New Roman"/>
          <w:lang w:val="de-DE"/>
        </w:rPr>
        <w:t>n, dem</w:t>
      </w:r>
      <w:r w:rsidR="0026763C">
        <w:rPr>
          <w:rFonts w:cs="Times New Roman"/>
          <w:lang w:val="de-DE"/>
        </w:rPr>
        <w:t xml:space="preserve"> disziplinäre</w:t>
      </w:r>
      <w:r w:rsidR="0084395E">
        <w:rPr>
          <w:rFonts w:cs="Times New Roman"/>
          <w:lang w:val="de-DE"/>
        </w:rPr>
        <w:t xml:space="preserve">n, </w:t>
      </w:r>
      <w:r w:rsidR="0084395E">
        <w:rPr>
          <w:rFonts w:cs="Times New Roman"/>
          <w:lang w:val="de-DE"/>
        </w:rPr>
        <w:lastRenderedPageBreak/>
        <w:t>dem</w:t>
      </w:r>
      <w:r w:rsidR="0026763C">
        <w:rPr>
          <w:rFonts w:cs="Times New Roman"/>
          <w:lang w:val="de-DE"/>
        </w:rPr>
        <w:t xml:space="preserve"> kulturelle</w:t>
      </w:r>
      <w:r w:rsidR="0084395E">
        <w:rPr>
          <w:rFonts w:cs="Times New Roman"/>
          <w:lang w:val="de-DE"/>
        </w:rPr>
        <w:t>n und dem</w:t>
      </w:r>
      <w:r w:rsidR="0026763C">
        <w:rPr>
          <w:rFonts w:cs="Times New Roman"/>
          <w:lang w:val="de-DE"/>
        </w:rPr>
        <w:t xml:space="preserve"> strukturelle</w:t>
      </w:r>
      <w:r w:rsidR="0084395E">
        <w:rPr>
          <w:rFonts w:cs="Times New Roman"/>
          <w:lang w:val="de-DE"/>
        </w:rPr>
        <w:t>n</w:t>
      </w:r>
      <w:r w:rsidR="0026763C">
        <w:rPr>
          <w:rFonts w:cs="Times New Roman"/>
          <w:lang w:val="de-DE"/>
        </w:rPr>
        <w:t xml:space="preserve"> Machtbereich. Der interpersönliche Machtbereich deutet darauf hin, dass Machtverhältnisse die Leben von Menschen betreffen: Wie verhalten sich Menschen zueinander und wer wird innerhalb von sozialen Interaktionen bevor- oder benachteiligt? Der disziplinäre Bereich weist auf die unterschiedliche Behandlung von bestimmten Personen </w:t>
      </w:r>
      <w:r w:rsidR="00444C89">
        <w:rPr>
          <w:rFonts w:cs="Times New Roman"/>
          <w:lang w:val="de-DE"/>
        </w:rPr>
        <w:t xml:space="preserve">institutionalisierten </w:t>
      </w:r>
      <w:r w:rsidR="0026763C">
        <w:rPr>
          <w:rFonts w:cs="Times New Roman"/>
          <w:lang w:val="de-DE"/>
        </w:rPr>
        <w:t>Regeln gemäß hin.</w:t>
      </w:r>
      <w:r w:rsidR="00444C89">
        <w:rPr>
          <w:rFonts w:cs="Times New Roman"/>
          <w:lang w:val="de-DE"/>
        </w:rPr>
        <w:t xml:space="preserve"> Der kulturelle Bereich enthält Erklärungen für soziale Ungleichheit, die von der Bevölkerung als wahr angenommen werden, während</w:t>
      </w:r>
      <w:r w:rsidR="00362C17">
        <w:rPr>
          <w:rFonts w:cs="Times New Roman"/>
          <w:lang w:val="de-DE"/>
        </w:rPr>
        <w:t xml:space="preserve"> sich</w:t>
      </w:r>
      <w:r w:rsidR="00444C89">
        <w:rPr>
          <w:rFonts w:cs="Times New Roman"/>
          <w:lang w:val="de-DE"/>
        </w:rPr>
        <w:t xml:space="preserve"> der strukturelle Bereich auf die strukturelle Organisation von Macht in Institutionen fokussiert.</w:t>
      </w:r>
      <w:r w:rsidR="00444C89">
        <w:rPr>
          <w:rStyle w:val="Voetnootmarkering"/>
          <w:rFonts w:cs="Times New Roman"/>
          <w:lang w:val="de-DE"/>
        </w:rPr>
        <w:footnoteReference w:id="44"/>
      </w:r>
      <w:r w:rsidR="00255675">
        <w:rPr>
          <w:rFonts w:cs="Times New Roman"/>
          <w:lang w:val="de-DE"/>
        </w:rPr>
        <w:t xml:space="preserve"> </w:t>
      </w:r>
    </w:p>
    <w:p w14:paraId="20F06D9A" w14:textId="66342222" w:rsidR="00F64E2F" w:rsidRDefault="004E640A" w:rsidP="002D123E">
      <w:pPr>
        <w:ind w:firstLine="708"/>
        <w:rPr>
          <w:rFonts w:cs="Times New Roman"/>
          <w:lang w:val="de-DE"/>
        </w:rPr>
      </w:pPr>
      <w:r>
        <w:rPr>
          <w:rFonts w:cs="Times New Roman"/>
          <w:lang w:val="de-DE"/>
        </w:rPr>
        <w:t>Außer den erwähnten Befürworter</w:t>
      </w:r>
      <w:r w:rsidR="006D78C8">
        <w:rPr>
          <w:rFonts w:cs="Times New Roman"/>
          <w:lang w:val="de-DE"/>
        </w:rPr>
        <w:t>n</w:t>
      </w:r>
      <w:r>
        <w:rPr>
          <w:rFonts w:cs="Times New Roman"/>
          <w:lang w:val="de-DE"/>
        </w:rPr>
        <w:t xml:space="preserve"> einer intersektionalen Analyse, kennt die Theorie auch Kritiker. </w:t>
      </w:r>
      <w:r w:rsidR="00B5198F">
        <w:rPr>
          <w:rFonts w:cs="Times New Roman"/>
          <w:lang w:val="de-DE"/>
        </w:rPr>
        <w:t xml:space="preserve">Nina Degele und Gabriele Winker </w:t>
      </w:r>
      <w:r w:rsidR="00A20A82">
        <w:rPr>
          <w:rFonts w:cs="Times New Roman"/>
          <w:lang w:val="de-DE"/>
        </w:rPr>
        <w:t>sind sich darüber einig, dass Ungleichheits- und Unterdrückungsverhältnisse nicht mehr auf die Kategorie Geschlecht zu reduzieren sind,</w:t>
      </w:r>
      <w:r w:rsidR="000C2702">
        <w:rPr>
          <w:rStyle w:val="Voetnootmarkering"/>
          <w:rFonts w:cs="Times New Roman"/>
          <w:lang w:val="de-DE"/>
        </w:rPr>
        <w:footnoteReference w:id="45"/>
      </w:r>
      <w:r w:rsidR="00A20A82">
        <w:rPr>
          <w:rFonts w:cs="Times New Roman"/>
          <w:lang w:val="de-DE"/>
        </w:rPr>
        <w:t xml:space="preserve"> </w:t>
      </w:r>
      <w:r w:rsidR="00B5198F">
        <w:rPr>
          <w:rFonts w:cs="Times New Roman"/>
          <w:lang w:val="de-DE"/>
        </w:rPr>
        <w:t>kritisieren</w:t>
      </w:r>
      <w:r w:rsidR="00A20A82">
        <w:rPr>
          <w:rFonts w:cs="Times New Roman"/>
          <w:lang w:val="de-DE"/>
        </w:rPr>
        <w:t xml:space="preserve"> aber</w:t>
      </w:r>
      <w:r w:rsidR="00B5198F">
        <w:rPr>
          <w:rFonts w:cs="Times New Roman"/>
          <w:lang w:val="de-DE"/>
        </w:rPr>
        <w:t xml:space="preserve"> die Tatsache, dass nur eine Untersuchungsebene betrachtet wird.</w:t>
      </w:r>
      <w:r w:rsidR="000C2702">
        <w:rPr>
          <w:rFonts w:cs="Times New Roman"/>
          <w:lang w:val="de-DE"/>
        </w:rPr>
        <w:t xml:space="preserve"> Das ist der Fall, da „bislang noch kaum jemand die Bedeutung und die Reichweite des eigenen Ansatzes zu anderen Zugängen in Beziehung setzt und reflektiert sowie andere Untersuchungsebenen berücksichtigt.“</w:t>
      </w:r>
      <w:r w:rsidR="000C2702">
        <w:rPr>
          <w:rStyle w:val="Voetnootmarkering"/>
          <w:rFonts w:cs="Times New Roman"/>
          <w:lang w:val="de-DE"/>
        </w:rPr>
        <w:footnoteReference w:id="46"/>
      </w:r>
      <w:r w:rsidR="0084395E">
        <w:rPr>
          <w:rFonts w:cs="Times New Roman"/>
          <w:lang w:val="de-DE"/>
        </w:rPr>
        <w:t xml:space="preserve"> </w:t>
      </w:r>
      <w:r w:rsidR="000C2702">
        <w:rPr>
          <w:rFonts w:cs="Times New Roman"/>
          <w:lang w:val="de-DE"/>
        </w:rPr>
        <w:t>Deswegen schlagen Degele und Winker eine Intersektionalität als Mehrebenenanalyse vor: gesellschaftliche Strukturen inklusiv</w:t>
      </w:r>
      <w:r w:rsidR="00130275">
        <w:rPr>
          <w:rFonts w:cs="Times New Roman"/>
          <w:lang w:val="de-DE"/>
        </w:rPr>
        <w:t>e</w:t>
      </w:r>
      <w:r w:rsidR="000C2702">
        <w:rPr>
          <w:rFonts w:cs="Times New Roman"/>
          <w:lang w:val="de-DE"/>
        </w:rPr>
        <w:t xml:space="preserve"> Institutionen (Makroebene), interaktiv hergestellte Prozesse der Identitätsbildung (Mikroebene) sowie kulturelle Symbole (Repräsentationsebene). Degele und Winker setzen das Ziel einer intersektionalen Analyse</w:t>
      </w:r>
      <w:r w:rsidR="004303B1">
        <w:rPr>
          <w:rFonts w:cs="Times New Roman"/>
          <w:lang w:val="de-DE"/>
        </w:rPr>
        <w:t xml:space="preserve"> folgendermaßen</w:t>
      </w:r>
      <w:r w:rsidR="000C2702">
        <w:rPr>
          <w:rFonts w:cs="Times New Roman"/>
          <w:lang w:val="de-DE"/>
        </w:rPr>
        <w:t xml:space="preserve"> voraus: eine Analyse, „in welche Strukturen (inkl</w:t>
      </w:r>
      <w:r w:rsidR="00A63614">
        <w:rPr>
          <w:rFonts w:cs="Times New Roman"/>
          <w:lang w:val="de-DE"/>
        </w:rPr>
        <w:t>.</w:t>
      </w:r>
      <w:r w:rsidR="000C2702">
        <w:rPr>
          <w:rFonts w:cs="Times New Roman"/>
          <w:lang w:val="de-DE"/>
        </w:rPr>
        <w:t xml:space="preserve"> Institutionen) und symbolischen Kontexte die sozialen Praxen eingebunden sind, wie sie Identitäten hervorbringen und verändern.“</w:t>
      </w:r>
      <w:r w:rsidR="000C2702">
        <w:rPr>
          <w:rStyle w:val="Voetnootmarkering"/>
          <w:rFonts w:cs="Times New Roman"/>
          <w:lang w:val="de-DE"/>
        </w:rPr>
        <w:footnoteReference w:id="47"/>
      </w:r>
      <w:r w:rsidR="004013D5">
        <w:rPr>
          <w:rFonts w:cs="Times New Roman"/>
          <w:lang w:val="de-DE"/>
        </w:rPr>
        <w:t xml:space="preserve"> </w:t>
      </w:r>
    </w:p>
    <w:p w14:paraId="62C31FEC" w14:textId="73040EA5" w:rsidR="004B0137" w:rsidRDefault="002D123E" w:rsidP="003D67A3">
      <w:pPr>
        <w:ind w:firstLine="709"/>
        <w:rPr>
          <w:rFonts w:cs="Times New Roman"/>
          <w:lang w:val="de-DE"/>
        </w:rPr>
      </w:pPr>
      <w:r>
        <w:rPr>
          <w:rFonts w:cs="Times New Roman"/>
          <w:lang w:val="de-DE"/>
        </w:rPr>
        <w:t>A</w:t>
      </w:r>
      <w:r w:rsidR="00130275">
        <w:rPr>
          <w:rFonts w:cs="Times New Roman"/>
          <w:lang w:val="de-DE"/>
        </w:rPr>
        <w:t>n erster</w:t>
      </w:r>
      <w:r w:rsidR="004173D7">
        <w:rPr>
          <w:rFonts w:cs="Times New Roman"/>
          <w:lang w:val="de-DE"/>
        </w:rPr>
        <w:t xml:space="preserve"> Stelle</w:t>
      </w:r>
      <w:r>
        <w:rPr>
          <w:rFonts w:cs="Times New Roman"/>
          <w:lang w:val="de-DE"/>
        </w:rPr>
        <w:t xml:space="preserve"> kann im Roman</w:t>
      </w:r>
      <w:r w:rsidR="004173D7">
        <w:rPr>
          <w:rFonts w:cs="Times New Roman"/>
          <w:lang w:val="de-DE"/>
        </w:rPr>
        <w:t xml:space="preserve"> die </w:t>
      </w:r>
      <w:bookmarkStart w:id="12" w:name="_Hlk513479480"/>
      <w:r w:rsidR="004173D7">
        <w:rPr>
          <w:rFonts w:cs="Times New Roman"/>
          <w:lang w:val="de-DE"/>
        </w:rPr>
        <w:t>Minde</w:t>
      </w:r>
      <w:r w:rsidR="00866DD6">
        <w:rPr>
          <w:rFonts w:cs="Times New Roman"/>
          <w:lang w:val="de-DE"/>
        </w:rPr>
        <w:t>rheitsposition der Hauptfigur aufgrund von ihrem Gender, ihrer Ethnie und Klasse</w:t>
      </w:r>
      <w:r w:rsidR="00F64E2F">
        <w:rPr>
          <w:rFonts w:cs="Times New Roman"/>
          <w:lang w:val="de-DE"/>
        </w:rPr>
        <w:t xml:space="preserve"> untersucht und</w:t>
      </w:r>
      <w:r w:rsidR="004173D7">
        <w:rPr>
          <w:rFonts w:cs="Times New Roman"/>
          <w:lang w:val="de-DE"/>
        </w:rPr>
        <w:t xml:space="preserve"> erklärt werden</w:t>
      </w:r>
      <w:bookmarkEnd w:id="12"/>
      <w:r w:rsidR="004173D7">
        <w:rPr>
          <w:rFonts w:cs="Times New Roman"/>
          <w:lang w:val="de-DE"/>
        </w:rPr>
        <w:t xml:space="preserve">, </w:t>
      </w:r>
      <w:r w:rsidR="0084395E">
        <w:rPr>
          <w:rFonts w:cs="Times New Roman"/>
          <w:lang w:val="de-DE"/>
        </w:rPr>
        <w:t xml:space="preserve">aber </w:t>
      </w:r>
      <w:r w:rsidR="004173D7">
        <w:rPr>
          <w:rFonts w:cs="Times New Roman"/>
          <w:lang w:val="de-DE"/>
        </w:rPr>
        <w:t xml:space="preserve">weitere Achsen der </w:t>
      </w:r>
      <w:r w:rsidR="00070A8B">
        <w:rPr>
          <w:rFonts w:cs="Times New Roman"/>
          <w:lang w:val="de-DE"/>
        </w:rPr>
        <w:t>Unterdrückung</w:t>
      </w:r>
      <w:r w:rsidR="004173D7">
        <w:rPr>
          <w:rFonts w:cs="Times New Roman"/>
          <w:lang w:val="de-DE"/>
        </w:rPr>
        <w:t xml:space="preserve"> </w:t>
      </w:r>
      <w:r w:rsidR="0084395E">
        <w:rPr>
          <w:rFonts w:cs="Times New Roman"/>
          <w:lang w:val="de-DE"/>
        </w:rPr>
        <w:t xml:space="preserve">sind </w:t>
      </w:r>
      <w:r w:rsidR="00F64E2F">
        <w:rPr>
          <w:rFonts w:cs="Times New Roman"/>
          <w:lang w:val="de-DE"/>
        </w:rPr>
        <w:t xml:space="preserve">nicht ausgeschlossen. </w:t>
      </w:r>
      <w:r w:rsidR="00742002">
        <w:rPr>
          <w:rFonts w:cs="Times New Roman"/>
          <w:lang w:val="de-DE"/>
        </w:rPr>
        <w:t xml:space="preserve">Der Grund, weswegen die Theorie und die wichtigsten Konzepte von Mohanty eingeführt wurden, ist sowohl akademisch als auch persönlich relevant. Es wird nämlich als Ziel vorausgesetzt, eine so neutral mögliche Analyse durchzuführen. Berücksichtigung der Intersektionalitätstheorie und </w:t>
      </w:r>
      <w:r w:rsidR="0039473E">
        <w:rPr>
          <w:rFonts w:cs="Times New Roman"/>
          <w:lang w:val="de-DE"/>
        </w:rPr>
        <w:lastRenderedPageBreak/>
        <w:t xml:space="preserve">eine Vorsicht in Bezug auf Homogenisierung von bestimmten Gruppen sollen dazu beitragen. </w:t>
      </w:r>
    </w:p>
    <w:p w14:paraId="7EA79379" w14:textId="7BF931F4" w:rsidR="004B0137" w:rsidRPr="00020CB0" w:rsidRDefault="00320A52" w:rsidP="004B0137">
      <w:pPr>
        <w:pStyle w:val="Kop3"/>
        <w:numPr>
          <w:ilvl w:val="2"/>
          <w:numId w:val="2"/>
        </w:numPr>
        <w:rPr>
          <w:lang w:val="en-GB"/>
        </w:rPr>
      </w:pPr>
      <w:bookmarkStart w:id="13" w:name="_Toc515180090"/>
      <w:r>
        <w:rPr>
          <w:lang w:val="de-DE"/>
        </w:rPr>
        <w:t>„</w:t>
      </w:r>
      <w:r w:rsidR="004B0137" w:rsidRPr="00020CB0">
        <w:rPr>
          <w:lang w:val="en-GB"/>
        </w:rPr>
        <w:t>Can the Subaltern Speak?</w:t>
      </w:r>
      <w:r>
        <w:rPr>
          <w:lang w:val="de-DE"/>
        </w:rPr>
        <w:t>“</w:t>
      </w:r>
      <w:bookmarkEnd w:id="13"/>
    </w:p>
    <w:p w14:paraId="6A741697" w14:textId="137F5D6E" w:rsidR="006F0700" w:rsidRPr="006F0700" w:rsidRDefault="006D78C8" w:rsidP="006F0700">
      <w:pPr>
        <w:rPr>
          <w:rFonts w:cs="Times New Roman"/>
          <w:lang w:val="de-DE"/>
        </w:rPr>
      </w:pPr>
      <w:r>
        <w:rPr>
          <w:rFonts w:cs="Times New Roman"/>
          <w:lang w:val="de-DE"/>
        </w:rPr>
        <w:t>Neben</w:t>
      </w:r>
      <w:r w:rsidR="00020CB0">
        <w:rPr>
          <w:rFonts w:cs="Times New Roman"/>
          <w:lang w:val="de-DE"/>
        </w:rPr>
        <w:t xml:space="preserve"> Chandra Talpade Mohanty ist auch Gayatri Chakravorty Spivak </w:t>
      </w:r>
      <w:r w:rsidR="0066448D">
        <w:rPr>
          <w:rFonts w:cs="Times New Roman"/>
          <w:lang w:val="de-DE"/>
        </w:rPr>
        <w:t xml:space="preserve">eine feministische postkolonialistische </w:t>
      </w:r>
      <w:r>
        <w:rPr>
          <w:rFonts w:cs="Times New Roman"/>
          <w:lang w:val="de-DE"/>
        </w:rPr>
        <w:t xml:space="preserve">Wissenschaftlerin </w:t>
      </w:r>
      <w:r w:rsidR="00020CB0">
        <w:rPr>
          <w:rFonts w:cs="Times New Roman"/>
          <w:lang w:val="de-DE"/>
        </w:rPr>
        <w:t xml:space="preserve">von großer Bedeutung für die vorliegende Arbeit. </w:t>
      </w:r>
      <w:r w:rsidR="004B0137" w:rsidRPr="002A088C">
        <w:rPr>
          <w:rFonts w:cs="Times New Roman"/>
          <w:lang w:val="de-DE"/>
        </w:rPr>
        <w:t xml:space="preserve">In ihrem Essay „Can the Subaltern Speak?“ untersucht </w:t>
      </w:r>
      <w:r w:rsidR="0066448D">
        <w:rPr>
          <w:rFonts w:cs="Times New Roman"/>
          <w:lang w:val="de-DE"/>
        </w:rPr>
        <w:t>Spivak die Möglichkeit einer Antwort auf</w:t>
      </w:r>
      <w:r w:rsidR="004B0137" w:rsidRPr="002A088C">
        <w:rPr>
          <w:rFonts w:cs="Times New Roman"/>
          <w:lang w:val="de-DE"/>
        </w:rPr>
        <w:t xml:space="preserve"> die gle</w:t>
      </w:r>
      <w:r w:rsidR="004B0137">
        <w:rPr>
          <w:rFonts w:cs="Times New Roman"/>
          <w:lang w:val="de-DE"/>
        </w:rPr>
        <w:t xml:space="preserve">ichnamige Frage. </w:t>
      </w:r>
      <w:r w:rsidR="006B1298">
        <w:rPr>
          <w:rFonts w:cs="Times New Roman"/>
          <w:lang w:val="de-DE"/>
        </w:rPr>
        <w:t xml:space="preserve">Der Begriff </w:t>
      </w:r>
      <w:r w:rsidR="00B61E3A">
        <w:rPr>
          <w:rFonts w:cs="Times New Roman"/>
          <w:lang w:val="de-DE"/>
        </w:rPr>
        <w:t xml:space="preserve">des </w:t>
      </w:r>
      <w:r w:rsidR="006B1298">
        <w:rPr>
          <w:rFonts w:cs="Times New Roman"/>
          <w:lang w:val="de-DE"/>
        </w:rPr>
        <w:t>Subaltern</w:t>
      </w:r>
      <w:r w:rsidR="0092711A">
        <w:rPr>
          <w:rFonts w:cs="Times New Roman"/>
          <w:lang w:val="de-DE"/>
        </w:rPr>
        <w:t>en</w:t>
      </w:r>
      <w:r w:rsidR="00B61E3A">
        <w:rPr>
          <w:rFonts w:cs="Times New Roman"/>
          <w:lang w:val="de-DE"/>
        </w:rPr>
        <w:t xml:space="preserve"> </w:t>
      </w:r>
      <w:r w:rsidR="00214E84">
        <w:rPr>
          <w:rFonts w:cs="Times New Roman"/>
          <w:lang w:val="de-DE"/>
        </w:rPr>
        <w:t>hat</w:t>
      </w:r>
      <w:r w:rsidR="00B61E3A">
        <w:rPr>
          <w:rFonts w:cs="Times New Roman"/>
          <w:lang w:val="de-DE"/>
        </w:rPr>
        <w:t xml:space="preserve"> </w:t>
      </w:r>
      <w:r w:rsidR="00214E84">
        <w:rPr>
          <w:rFonts w:cs="Times New Roman"/>
          <w:lang w:val="de-DE"/>
        </w:rPr>
        <w:t>seinen</w:t>
      </w:r>
      <w:r w:rsidR="00B61E3A">
        <w:rPr>
          <w:rFonts w:cs="Times New Roman"/>
          <w:lang w:val="de-DE"/>
        </w:rPr>
        <w:t xml:space="preserve"> Ursprung </w:t>
      </w:r>
      <w:r w:rsidR="00C771B8">
        <w:rPr>
          <w:rFonts w:cs="Times New Roman"/>
          <w:lang w:val="de-DE"/>
        </w:rPr>
        <w:t xml:space="preserve">in der </w:t>
      </w:r>
      <w:r w:rsidR="00214E84">
        <w:rPr>
          <w:rFonts w:cs="Times New Roman"/>
          <w:lang w:val="de-DE"/>
        </w:rPr>
        <w:t>marxistischen Theorie von Antonio Gramsci. Er benutzt den Begriff</w:t>
      </w:r>
      <w:r w:rsidR="009D45AA">
        <w:rPr>
          <w:rFonts w:cs="Times New Roman"/>
          <w:lang w:val="de-DE"/>
        </w:rPr>
        <w:t xml:space="preserve"> in seinen </w:t>
      </w:r>
      <w:r w:rsidR="009D45AA">
        <w:rPr>
          <w:rFonts w:cs="Times New Roman"/>
          <w:i/>
          <w:lang w:val="de-DE"/>
        </w:rPr>
        <w:t>Prison Notebooks</w:t>
      </w:r>
      <w:r w:rsidR="009D45AA">
        <w:rPr>
          <w:rFonts w:cs="Times New Roman"/>
          <w:lang w:val="de-DE"/>
        </w:rPr>
        <w:t>, die er zwischen 1929 und 1935 schrieb</w:t>
      </w:r>
      <w:r w:rsidR="00214E84">
        <w:rPr>
          <w:rFonts w:cs="Times New Roman"/>
          <w:lang w:val="de-DE"/>
        </w:rPr>
        <w:t xml:space="preserve">, um </w:t>
      </w:r>
      <w:r w:rsidR="003E6E64">
        <w:rPr>
          <w:rFonts w:cs="Times New Roman"/>
          <w:lang w:val="de-DE"/>
        </w:rPr>
        <w:t>Personen aus niedrigen Klassen in einer bestimm</w:t>
      </w:r>
      <w:r w:rsidR="00A140FF">
        <w:rPr>
          <w:rFonts w:cs="Times New Roman"/>
          <w:lang w:val="de-DE"/>
        </w:rPr>
        <w:t>t</w:t>
      </w:r>
      <w:r w:rsidR="003E6E64">
        <w:rPr>
          <w:rFonts w:cs="Times New Roman"/>
          <w:lang w:val="de-DE"/>
        </w:rPr>
        <w:t>en Gesellschaft</w:t>
      </w:r>
      <w:r w:rsidR="00194460">
        <w:rPr>
          <w:rFonts w:cs="Times New Roman"/>
          <w:lang w:val="de-DE"/>
        </w:rPr>
        <w:t xml:space="preserve"> zu bezeichnen</w:t>
      </w:r>
      <w:r>
        <w:rPr>
          <w:rFonts w:cs="Times New Roman"/>
          <w:lang w:val="de-DE"/>
        </w:rPr>
        <w:t>. Diese wurden</w:t>
      </w:r>
      <w:r w:rsidR="003E6E64">
        <w:rPr>
          <w:rFonts w:cs="Times New Roman"/>
          <w:lang w:val="de-DE"/>
        </w:rPr>
        <w:t xml:space="preserve"> von ei</w:t>
      </w:r>
      <w:r>
        <w:rPr>
          <w:rFonts w:cs="Times New Roman"/>
          <w:lang w:val="de-DE"/>
        </w:rPr>
        <w:t xml:space="preserve">ner herrschenden Elite und ihrer </w:t>
      </w:r>
      <w:r w:rsidR="00F52280">
        <w:rPr>
          <w:rFonts w:cs="Times New Roman"/>
          <w:lang w:val="de-DE"/>
        </w:rPr>
        <w:t>hegemonialen Macht dominiert</w:t>
      </w:r>
      <w:r w:rsidR="003E6E64">
        <w:rPr>
          <w:rFonts w:cs="Times New Roman"/>
          <w:lang w:val="de-DE"/>
        </w:rPr>
        <w:t xml:space="preserve">, die ihnen die Grundrechte </w:t>
      </w:r>
      <w:r>
        <w:rPr>
          <w:rFonts w:cs="Times New Roman"/>
          <w:lang w:val="de-DE"/>
        </w:rPr>
        <w:t>zur</w:t>
      </w:r>
      <w:r w:rsidR="003E6E64">
        <w:rPr>
          <w:rFonts w:cs="Times New Roman"/>
          <w:lang w:val="de-DE"/>
        </w:rPr>
        <w:t xml:space="preserve"> Teilnahme </w:t>
      </w:r>
      <w:r>
        <w:rPr>
          <w:rFonts w:cs="Times New Roman"/>
          <w:lang w:val="de-DE"/>
        </w:rPr>
        <w:t>an der Entwicklung</w:t>
      </w:r>
      <w:r w:rsidR="003E6E64">
        <w:rPr>
          <w:rFonts w:cs="Times New Roman"/>
          <w:lang w:val="de-DE"/>
        </w:rPr>
        <w:t xml:space="preserve"> einer lokalen Geschichte und Kultur als aktive Individuen derselben Nation entsag</w:t>
      </w:r>
      <w:r w:rsidR="00F52280">
        <w:rPr>
          <w:rFonts w:cs="Times New Roman"/>
          <w:lang w:val="de-DE"/>
        </w:rPr>
        <w:t>t</w:t>
      </w:r>
      <w:r w:rsidR="003E6E64">
        <w:rPr>
          <w:rFonts w:cs="Times New Roman"/>
          <w:lang w:val="de-DE"/>
        </w:rPr>
        <w:t>e.</w:t>
      </w:r>
      <w:r w:rsidR="003E6E64">
        <w:rPr>
          <w:rStyle w:val="Voetnootmarkering"/>
          <w:rFonts w:cs="Times New Roman"/>
          <w:lang w:val="de-DE"/>
        </w:rPr>
        <w:footnoteReference w:id="48"/>
      </w:r>
      <w:r w:rsidR="000806FF">
        <w:rPr>
          <w:rFonts w:cs="Times New Roman"/>
          <w:lang w:val="de-DE"/>
        </w:rPr>
        <w:t xml:space="preserve"> </w:t>
      </w:r>
      <w:r w:rsidR="003D7CBE">
        <w:rPr>
          <w:rFonts w:cs="Times New Roman"/>
          <w:lang w:val="de-DE"/>
        </w:rPr>
        <w:t>Damals verwies Gramsci mit dem Begriff auf die Arbeiter und Bauer, die von Benito Mussolinis faschistischem Regime unterdrückt und diskriminiert wurden</w:t>
      </w:r>
      <w:r w:rsidR="00A36D7A">
        <w:rPr>
          <w:rFonts w:cs="Times New Roman"/>
          <w:lang w:val="de-DE"/>
        </w:rPr>
        <w:t>. Der Begriff wurde von der South Asian Subaltern Studies Group, die die</w:t>
      </w:r>
      <w:r w:rsidR="00CF6677">
        <w:rPr>
          <w:rFonts w:cs="Times New Roman"/>
          <w:lang w:val="de-DE"/>
        </w:rPr>
        <w:t xml:space="preserve"> indische Bauerhistoriographie untersuchte,</w:t>
      </w:r>
      <w:r w:rsidR="006C3B10">
        <w:rPr>
          <w:rFonts w:cs="Times New Roman"/>
          <w:lang w:val="de-DE"/>
        </w:rPr>
        <w:t xml:space="preserve"> </w:t>
      </w:r>
      <w:r w:rsidR="00A36D7A">
        <w:rPr>
          <w:rFonts w:cs="Times New Roman"/>
          <w:lang w:val="de-DE"/>
        </w:rPr>
        <w:t xml:space="preserve">und </w:t>
      </w:r>
      <w:r w:rsidR="0071400F">
        <w:rPr>
          <w:rFonts w:cs="Times New Roman"/>
          <w:lang w:val="de-DE"/>
        </w:rPr>
        <w:t>ab den 1990er Jahren</w:t>
      </w:r>
      <w:r w:rsidR="00A36D7A">
        <w:rPr>
          <w:rFonts w:cs="Times New Roman"/>
          <w:lang w:val="de-DE"/>
        </w:rPr>
        <w:t xml:space="preserve"> von den Subaltern Studies</w:t>
      </w:r>
      <w:r w:rsidR="00CF6677">
        <w:rPr>
          <w:rFonts w:cs="Times New Roman"/>
          <w:lang w:val="de-DE"/>
        </w:rPr>
        <w:t xml:space="preserve">, </w:t>
      </w:r>
      <w:r w:rsidR="0071400F">
        <w:rPr>
          <w:rFonts w:cs="Times New Roman"/>
          <w:lang w:val="de-DE"/>
        </w:rPr>
        <w:t>deren Fokus über India und Südasien hinausging</w:t>
      </w:r>
      <w:r w:rsidR="00123AC0">
        <w:rPr>
          <w:rFonts w:cs="Times New Roman"/>
          <w:lang w:val="de-DE"/>
        </w:rPr>
        <w:t>,</w:t>
      </w:r>
      <w:r w:rsidR="0071400F">
        <w:rPr>
          <w:rStyle w:val="Voetnootmarkering"/>
          <w:rFonts w:cs="Times New Roman"/>
          <w:lang w:val="de-DE"/>
        </w:rPr>
        <w:footnoteReference w:id="49"/>
      </w:r>
      <w:r w:rsidR="00A36D7A">
        <w:rPr>
          <w:rFonts w:cs="Times New Roman"/>
          <w:lang w:val="de-DE"/>
        </w:rPr>
        <w:t xml:space="preserve"> übernommen</w:t>
      </w:r>
      <w:r w:rsidR="00CF6677">
        <w:rPr>
          <w:rFonts w:cs="Times New Roman"/>
          <w:lang w:val="de-DE"/>
        </w:rPr>
        <w:t xml:space="preserve">. </w:t>
      </w:r>
      <w:r>
        <w:rPr>
          <w:rFonts w:cs="Times New Roman"/>
          <w:lang w:val="de-DE"/>
        </w:rPr>
        <w:t>Sie sind v</w:t>
      </w:r>
      <w:r w:rsidR="007D5B4C">
        <w:rPr>
          <w:rFonts w:cs="Times New Roman"/>
          <w:lang w:val="de-DE"/>
        </w:rPr>
        <w:t xml:space="preserve">or allem </w:t>
      </w:r>
      <w:r w:rsidR="006F0700" w:rsidRPr="006F0700">
        <w:rPr>
          <w:rFonts w:cs="Times New Roman"/>
          <w:lang w:val="de-DE"/>
        </w:rPr>
        <w:t xml:space="preserve">für die Einführung des Begriffs in </w:t>
      </w:r>
      <w:r w:rsidR="00130275">
        <w:rPr>
          <w:rFonts w:cs="Times New Roman"/>
          <w:lang w:val="de-DE"/>
        </w:rPr>
        <w:t>den</w:t>
      </w:r>
      <w:r w:rsidR="006F0700" w:rsidRPr="006F0700">
        <w:rPr>
          <w:rFonts w:cs="Times New Roman"/>
          <w:lang w:val="de-DE"/>
        </w:rPr>
        <w:t xml:space="preserve"> heutige</w:t>
      </w:r>
      <w:r w:rsidR="00130275">
        <w:rPr>
          <w:rFonts w:cs="Times New Roman"/>
          <w:lang w:val="de-DE"/>
        </w:rPr>
        <w:t>n</w:t>
      </w:r>
      <w:r w:rsidR="006F0700" w:rsidRPr="006F0700">
        <w:rPr>
          <w:rFonts w:cs="Times New Roman"/>
          <w:lang w:val="de-DE"/>
        </w:rPr>
        <w:t xml:space="preserve"> </w:t>
      </w:r>
      <w:r w:rsidR="009C3314">
        <w:rPr>
          <w:rFonts w:cs="Times New Roman"/>
          <w:lang w:val="de-DE"/>
        </w:rPr>
        <w:t>postkolonialistische</w:t>
      </w:r>
      <w:r w:rsidR="00130275">
        <w:rPr>
          <w:rFonts w:cs="Times New Roman"/>
          <w:lang w:val="de-DE"/>
        </w:rPr>
        <w:t>n</w:t>
      </w:r>
      <w:r w:rsidR="009C3314">
        <w:rPr>
          <w:rFonts w:cs="Times New Roman"/>
          <w:lang w:val="de-DE"/>
        </w:rPr>
        <w:t xml:space="preserve"> </w:t>
      </w:r>
      <w:r w:rsidR="006F0700" w:rsidRPr="006F0700">
        <w:rPr>
          <w:rFonts w:cs="Times New Roman"/>
          <w:lang w:val="de-DE"/>
        </w:rPr>
        <w:t>D</w:t>
      </w:r>
      <w:r w:rsidR="006F0700">
        <w:rPr>
          <w:rFonts w:cs="Times New Roman"/>
          <w:lang w:val="de-DE"/>
        </w:rPr>
        <w:t>iskurs</w:t>
      </w:r>
      <w:r w:rsidR="006F0700" w:rsidRPr="006F0700">
        <w:rPr>
          <w:rFonts w:cs="Times New Roman"/>
          <w:lang w:val="de-DE"/>
        </w:rPr>
        <w:t xml:space="preserve"> verantwortlich</w:t>
      </w:r>
      <w:r w:rsidR="006F0700">
        <w:rPr>
          <w:rFonts w:cs="Times New Roman"/>
          <w:lang w:val="de-DE"/>
        </w:rPr>
        <w:t>.</w:t>
      </w:r>
      <w:r w:rsidR="006F0700" w:rsidRPr="006F0700">
        <w:rPr>
          <w:rFonts w:cs="Times New Roman"/>
          <w:lang w:val="de-DE"/>
        </w:rPr>
        <w:t xml:space="preserve"> </w:t>
      </w:r>
    </w:p>
    <w:p w14:paraId="6AC12276" w14:textId="19B93026" w:rsidR="00B86119" w:rsidRDefault="00F64E2F" w:rsidP="002A5380">
      <w:pPr>
        <w:ind w:firstLine="708"/>
        <w:rPr>
          <w:rFonts w:cs="Times New Roman"/>
          <w:lang w:val="de-DE"/>
        </w:rPr>
      </w:pPr>
      <w:r>
        <w:rPr>
          <w:rFonts w:cs="Times New Roman"/>
          <w:lang w:val="de-DE"/>
        </w:rPr>
        <w:t xml:space="preserve">Auch </w:t>
      </w:r>
      <w:r w:rsidR="00CE5FEB">
        <w:rPr>
          <w:rFonts w:cs="Times New Roman"/>
          <w:lang w:val="de-DE"/>
        </w:rPr>
        <w:t xml:space="preserve">Spivak </w:t>
      </w:r>
      <w:r>
        <w:rPr>
          <w:rFonts w:cs="Times New Roman"/>
          <w:lang w:val="de-DE"/>
        </w:rPr>
        <w:t xml:space="preserve">hat </w:t>
      </w:r>
      <w:r w:rsidR="00CE5FEB">
        <w:rPr>
          <w:rFonts w:cs="Times New Roman"/>
          <w:lang w:val="de-DE"/>
        </w:rPr>
        <w:t xml:space="preserve">ausführlich </w:t>
      </w:r>
      <w:r w:rsidR="006D78C8">
        <w:rPr>
          <w:rFonts w:cs="Times New Roman"/>
          <w:lang w:val="de-DE"/>
        </w:rPr>
        <w:t>über den</w:t>
      </w:r>
      <w:r w:rsidR="00CE5FEB">
        <w:rPr>
          <w:rFonts w:cs="Times New Roman"/>
          <w:lang w:val="de-DE"/>
        </w:rPr>
        <w:t xml:space="preserve"> Begriff des Subalternen</w:t>
      </w:r>
      <w:r>
        <w:rPr>
          <w:rFonts w:cs="Times New Roman"/>
          <w:lang w:val="de-DE"/>
        </w:rPr>
        <w:t xml:space="preserve"> geschrieben</w:t>
      </w:r>
      <w:r w:rsidR="00CE5FEB">
        <w:rPr>
          <w:rFonts w:cs="Times New Roman"/>
          <w:lang w:val="de-DE"/>
        </w:rPr>
        <w:t xml:space="preserve">. Sie </w:t>
      </w:r>
      <w:r w:rsidR="00736434">
        <w:rPr>
          <w:rFonts w:cs="Times New Roman"/>
          <w:lang w:val="de-DE"/>
        </w:rPr>
        <w:t>übt</w:t>
      </w:r>
      <w:r w:rsidR="00CE5FEB">
        <w:rPr>
          <w:rFonts w:cs="Times New Roman"/>
          <w:lang w:val="de-DE"/>
        </w:rPr>
        <w:t xml:space="preserve"> aber</w:t>
      </w:r>
      <w:r w:rsidR="00736434">
        <w:rPr>
          <w:rFonts w:cs="Times New Roman"/>
          <w:lang w:val="de-DE"/>
        </w:rPr>
        <w:t xml:space="preserve"> Kritik an</w:t>
      </w:r>
      <w:r w:rsidR="00CE5FEB">
        <w:rPr>
          <w:rFonts w:cs="Times New Roman"/>
          <w:lang w:val="de-DE"/>
        </w:rPr>
        <w:t xml:space="preserve"> Gramscis </w:t>
      </w:r>
      <w:r w:rsidR="00F52280">
        <w:rPr>
          <w:rFonts w:cs="Times New Roman"/>
          <w:lang w:val="de-DE"/>
        </w:rPr>
        <w:t>Interpretation</w:t>
      </w:r>
      <w:r w:rsidR="00CE5FEB">
        <w:rPr>
          <w:rFonts w:cs="Times New Roman"/>
          <w:lang w:val="de-DE"/>
        </w:rPr>
        <w:t xml:space="preserve"> des Konzeptes, weil seine subalternen Gruppen </w:t>
      </w:r>
      <w:r w:rsidR="00736434">
        <w:rPr>
          <w:rFonts w:cs="Times New Roman"/>
          <w:lang w:val="de-DE"/>
        </w:rPr>
        <w:t xml:space="preserve">eine Homogenität </w:t>
      </w:r>
      <w:r w:rsidR="007D5B4C">
        <w:rPr>
          <w:rFonts w:cs="Times New Roman"/>
          <w:lang w:val="de-DE"/>
        </w:rPr>
        <w:t xml:space="preserve">voraussetzen. </w:t>
      </w:r>
      <w:r w:rsidR="00736434">
        <w:rPr>
          <w:rFonts w:cs="Times New Roman"/>
          <w:lang w:val="de-DE"/>
        </w:rPr>
        <w:t>S</w:t>
      </w:r>
      <w:r w:rsidR="006C3B10">
        <w:rPr>
          <w:rFonts w:cs="Times New Roman"/>
          <w:lang w:val="de-DE"/>
        </w:rPr>
        <w:t>pivak</w:t>
      </w:r>
      <w:r w:rsidR="00736434">
        <w:rPr>
          <w:rFonts w:cs="Times New Roman"/>
          <w:lang w:val="de-DE"/>
        </w:rPr>
        <w:t xml:space="preserve"> teilt also Mohantys Überzeugung, dass eine Gruppe </w:t>
      </w:r>
      <w:r w:rsidR="00B46E7E">
        <w:rPr>
          <w:rFonts w:cs="Times New Roman"/>
          <w:lang w:val="de-DE"/>
        </w:rPr>
        <w:t>nicht als monolithischer Block ohne interne H</w:t>
      </w:r>
      <w:r w:rsidR="007D5B4C">
        <w:rPr>
          <w:rFonts w:cs="Times New Roman"/>
          <w:lang w:val="de-DE"/>
        </w:rPr>
        <w:t>eterogenität dargestellt werden darf</w:t>
      </w:r>
      <w:r w:rsidR="00B46E7E">
        <w:rPr>
          <w:rFonts w:cs="Times New Roman"/>
          <w:lang w:val="de-DE"/>
        </w:rPr>
        <w:t xml:space="preserve">. </w:t>
      </w:r>
      <w:r w:rsidR="00FF0269">
        <w:rPr>
          <w:rFonts w:cs="Times New Roman"/>
          <w:lang w:val="de-DE"/>
        </w:rPr>
        <w:t xml:space="preserve">Außerdem </w:t>
      </w:r>
      <w:r w:rsidR="00734850" w:rsidRPr="00FF0269">
        <w:rPr>
          <w:rFonts w:cs="Times New Roman"/>
          <w:lang w:val="de-DE"/>
        </w:rPr>
        <w:t>kritisiert Spivak die übe</w:t>
      </w:r>
      <w:r w:rsidR="00FF0269" w:rsidRPr="00FF0269">
        <w:rPr>
          <w:rFonts w:cs="Times New Roman"/>
          <w:lang w:val="de-DE"/>
        </w:rPr>
        <w:t xml:space="preserve">rmäßige Anwendung des Konzeptes. Rosalind C. Morris ist mit ihr einverstanden und reflektiert folgendermaßen über </w:t>
      </w:r>
      <w:r w:rsidR="006C3B10">
        <w:rPr>
          <w:rFonts w:cs="Times New Roman"/>
          <w:lang w:val="de-DE"/>
        </w:rPr>
        <w:t>den</w:t>
      </w:r>
      <w:r w:rsidR="00FF0269" w:rsidRPr="00FF0269">
        <w:rPr>
          <w:rFonts w:cs="Times New Roman"/>
          <w:lang w:val="de-DE"/>
        </w:rPr>
        <w:t xml:space="preserve"> zu h</w:t>
      </w:r>
      <w:r w:rsidR="00FF0269">
        <w:rPr>
          <w:rFonts w:cs="Times New Roman"/>
          <w:lang w:val="de-DE"/>
        </w:rPr>
        <w:t>äufigen Gebrauch</w:t>
      </w:r>
      <w:r w:rsidR="006C3B10">
        <w:rPr>
          <w:rFonts w:cs="Times New Roman"/>
          <w:lang w:val="de-DE"/>
        </w:rPr>
        <w:t xml:space="preserve"> des Begriffs</w:t>
      </w:r>
      <w:r w:rsidR="00FF0269">
        <w:rPr>
          <w:rFonts w:cs="Times New Roman"/>
          <w:lang w:val="de-DE"/>
        </w:rPr>
        <w:t>:</w:t>
      </w:r>
      <w:r w:rsidR="00734850" w:rsidRPr="00FF0269">
        <w:rPr>
          <w:rFonts w:cs="Times New Roman"/>
          <w:lang w:val="de-DE"/>
        </w:rPr>
        <w:t xml:space="preserve"> „</w:t>
      </w:r>
      <w:r w:rsidR="00734850" w:rsidRPr="00FF0269">
        <w:rPr>
          <w:rStyle w:val="Verwijzingopmerking"/>
          <w:sz w:val="24"/>
          <w:lang w:val="de-DE"/>
        </w:rPr>
        <w:t>Si</w:t>
      </w:r>
      <w:r w:rsidR="00734850" w:rsidRPr="00FF0269">
        <w:rPr>
          <w:lang w:val="de-DE"/>
        </w:rPr>
        <w:t xml:space="preserve">mply by being postcolonial or the member of an ethnic minority, we are not “subaltern”. </w:t>
      </w:r>
      <w:r w:rsidR="00734850">
        <w:rPr>
          <w:lang w:val="en-GB"/>
        </w:rPr>
        <w:t>That word is reserved for the sheer heterogeneity of decolonized space.</w:t>
      </w:r>
      <w:r w:rsidR="00734850" w:rsidRPr="00734850">
        <w:rPr>
          <w:lang w:val="en-GB"/>
        </w:rPr>
        <w:t>“</w:t>
      </w:r>
      <w:r w:rsidR="00734850">
        <w:rPr>
          <w:rStyle w:val="Voetnootmarkering"/>
          <w:lang w:val="en-GB"/>
        </w:rPr>
        <w:footnoteReference w:id="50"/>
      </w:r>
      <w:r w:rsidR="00FF0269">
        <w:rPr>
          <w:lang w:val="en-GB"/>
        </w:rPr>
        <w:t xml:space="preserve"> </w:t>
      </w:r>
      <w:r w:rsidR="006C3B10" w:rsidRPr="006C3B10">
        <w:rPr>
          <w:lang w:val="de-DE"/>
        </w:rPr>
        <w:t xml:space="preserve">In der Geschichte des Begriffs wurden also verschiedene Gruppen </w:t>
      </w:r>
      <w:r w:rsidR="006C3B10" w:rsidRPr="006C3B10">
        <w:rPr>
          <w:lang w:val="de-DE"/>
        </w:rPr>
        <w:lastRenderedPageBreak/>
        <w:t xml:space="preserve">von Menschen </w:t>
      </w:r>
      <w:r w:rsidR="006D78C8">
        <w:rPr>
          <w:lang w:val="de-DE"/>
        </w:rPr>
        <w:t>gemeint</w:t>
      </w:r>
      <w:r w:rsidR="006C3B10" w:rsidRPr="006C3B10">
        <w:rPr>
          <w:lang w:val="de-DE"/>
        </w:rPr>
        <w:t xml:space="preserve">, </w:t>
      </w:r>
      <w:r w:rsidR="006D78C8">
        <w:rPr>
          <w:lang w:val="de-DE"/>
        </w:rPr>
        <w:t>wenn</w:t>
      </w:r>
      <w:r w:rsidR="006C3B10" w:rsidRPr="006C3B10">
        <w:rPr>
          <w:lang w:val="de-DE"/>
        </w:rPr>
        <w:t xml:space="preserve"> ü</w:t>
      </w:r>
      <w:r w:rsidR="006C3B10">
        <w:rPr>
          <w:lang w:val="de-DE"/>
        </w:rPr>
        <w:t>ber Subalterne gesprochen wurde.</w:t>
      </w:r>
      <w:r>
        <w:rPr>
          <w:lang w:val="de-DE"/>
        </w:rPr>
        <w:t xml:space="preserve"> </w:t>
      </w:r>
      <w:r w:rsidR="00F64B59">
        <w:rPr>
          <w:lang w:val="de-DE"/>
        </w:rPr>
        <w:t xml:space="preserve">Der Begriff trifft zum Teil auch auf Ildikós Lage zu. </w:t>
      </w:r>
      <w:bookmarkStart w:id="14" w:name="_Hlk513479505"/>
      <w:r w:rsidR="00F64B59">
        <w:rPr>
          <w:lang w:val="de-DE"/>
        </w:rPr>
        <w:t xml:space="preserve">Auch wenn sie nicht unmittelbar vom Kolonialismus getroffen wird, sorgen einige Tendenzen, die im Folgenden noch untersucht werden, dafür, dass doch eine Parallele zwischen dem Subalternen und Ildikó gezogen werden kann. </w:t>
      </w:r>
      <w:bookmarkEnd w:id="14"/>
      <w:r w:rsidR="00F64B59">
        <w:rPr>
          <w:lang w:val="de-DE"/>
        </w:rPr>
        <w:t xml:space="preserve">Deswegen werden zunächst </w:t>
      </w:r>
      <w:r w:rsidR="001406E4">
        <w:rPr>
          <w:lang w:val="de-DE"/>
        </w:rPr>
        <w:t>die wichtigsten Ideen aus „Can the Subaltern Speak?“ besprochen</w:t>
      </w:r>
      <w:r w:rsidR="00F64B59">
        <w:rPr>
          <w:lang w:val="de-DE"/>
        </w:rPr>
        <w:t>.</w:t>
      </w:r>
    </w:p>
    <w:p w14:paraId="016432FE" w14:textId="2A45B0A5" w:rsidR="007D297D" w:rsidRPr="007D297D" w:rsidRDefault="00B70FF0" w:rsidP="007D297D">
      <w:pPr>
        <w:ind w:firstLine="708"/>
        <w:rPr>
          <w:lang w:val="de-DE"/>
        </w:rPr>
      </w:pPr>
      <w:r>
        <w:rPr>
          <w:lang w:val="de-DE"/>
        </w:rPr>
        <w:t>Spivak fängt mit einer Auseinandersetzung eines Gesprächs zwischen Michel Foucault und Gilles Deleuze</w:t>
      </w:r>
      <w:r w:rsidR="00022153">
        <w:rPr>
          <w:lang w:val="de-DE"/>
        </w:rPr>
        <w:t xml:space="preserve"> im Jahre 1972</w:t>
      </w:r>
      <w:r w:rsidR="006C3B10">
        <w:rPr>
          <w:lang w:val="de-DE"/>
        </w:rPr>
        <w:t xml:space="preserve"> an</w:t>
      </w:r>
      <w:r>
        <w:rPr>
          <w:lang w:val="de-DE"/>
        </w:rPr>
        <w:t>.</w:t>
      </w:r>
      <w:r w:rsidR="00022153">
        <w:rPr>
          <w:rStyle w:val="Voetnootmarkering"/>
          <w:lang w:val="de-DE"/>
        </w:rPr>
        <w:footnoteReference w:id="51"/>
      </w:r>
      <w:r w:rsidR="00F12901">
        <w:rPr>
          <w:lang w:val="de-DE"/>
        </w:rPr>
        <w:t xml:space="preserve"> Beide betonen im Dialog die wichtigsten Beiträge des französisch</w:t>
      </w:r>
      <w:r w:rsidR="00CA4064">
        <w:rPr>
          <w:lang w:val="de-DE"/>
        </w:rPr>
        <w:t xml:space="preserve">en Poststrukturalismus: </w:t>
      </w:r>
      <w:r w:rsidR="002176AB">
        <w:rPr>
          <w:lang w:val="de-DE"/>
        </w:rPr>
        <w:t xml:space="preserve">Erstens die Idee, dass die Netzwerke von Macht, Verlangen und Interesse so heterogen sind, dass die Reduktion </w:t>
      </w:r>
      <w:r w:rsidR="008C6768">
        <w:rPr>
          <w:lang w:val="de-DE"/>
        </w:rPr>
        <w:t>auf eine kohärente</w:t>
      </w:r>
      <w:r w:rsidR="002176AB">
        <w:rPr>
          <w:lang w:val="de-DE"/>
        </w:rPr>
        <w:t xml:space="preserve"> Erzählung kontraproduktiv wäre, und zweitens, dass Intellektuelle </w:t>
      </w:r>
      <w:r w:rsidR="007F418E">
        <w:rPr>
          <w:lang w:val="de-DE"/>
        </w:rPr>
        <w:t xml:space="preserve">versuchen sollen, </w:t>
      </w:r>
      <w:r w:rsidR="008C6768">
        <w:rPr>
          <w:lang w:val="de-DE"/>
        </w:rPr>
        <w:t>den</w:t>
      </w:r>
      <w:r w:rsidR="009C3314">
        <w:rPr>
          <w:lang w:val="de-DE"/>
        </w:rPr>
        <w:t xml:space="preserve"> Diskurs des a</w:t>
      </w:r>
      <w:r w:rsidR="00CB31EA">
        <w:rPr>
          <w:lang w:val="de-DE"/>
        </w:rPr>
        <w:t>nderen in der Gesellschaft zu offenbaren. D</w:t>
      </w:r>
      <w:r w:rsidR="00725134">
        <w:rPr>
          <w:lang w:val="de-DE"/>
        </w:rPr>
        <w:t>er erste Beitrag bestätigt einigerma</w:t>
      </w:r>
      <w:r w:rsidR="00725134">
        <w:rPr>
          <w:rFonts w:cs="Times New Roman"/>
          <w:lang w:val="de-DE"/>
        </w:rPr>
        <w:t>ß</w:t>
      </w:r>
      <w:r w:rsidR="00725134">
        <w:rPr>
          <w:lang w:val="de-DE"/>
        </w:rPr>
        <w:t xml:space="preserve">en die Idee von </w:t>
      </w:r>
      <w:r w:rsidR="003521A1">
        <w:rPr>
          <w:lang w:val="de-DE"/>
        </w:rPr>
        <w:t>Mohanty</w:t>
      </w:r>
      <w:r w:rsidR="00274DD0">
        <w:rPr>
          <w:lang w:val="de-DE"/>
        </w:rPr>
        <w:t xml:space="preserve"> und auch Spivak selbst</w:t>
      </w:r>
      <w:r w:rsidR="00725134">
        <w:rPr>
          <w:lang w:val="de-DE"/>
        </w:rPr>
        <w:t>, nämlich</w:t>
      </w:r>
      <w:r w:rsidR="002359C3">
        <w:rPr>
          <w:lang w:val="de-DE"/>
        </w:rPr>
        <w:t>,</w:t>
      </w:r>
      <w:r w:rsidR="00725134">
        <w:rPr>
          <w:lang w:val="de-DE"/>
        </w:rPr>
        <w:t xml:space="preserve"> dass Hetero</w:t>
      </w:r>
      <w:r w:rsidR="00274DD0">
        <w:rPr>
          <w:lang w:val="de-DE"/>
        </w:rPr>
        <w:t xml:space="preserve">genität </w:t>
      </w:r>
      <w:r w:rsidR="00274DD0" w:rsidRPr="008E213E">
        <w:rPr>
          <w:lang w:val="de-DE"/>
        </w:rPr>
        <w:t>respektiert</w:t>
      </w:r>
      <w:r w:rsidR="00274DD0">
        <w:rPr>
          <w:lang w:val="de-DE"/>
        </w:rPr>
        <w:t xml:space="preserve"> werden soll. </w:t>
      </w:r>
      <w:r w:rsidR="00725134">
        <w:rPr>
          <w:lang w:val="de-DE"/>
        </w:rPr>
        <w:t>Der zweite Beitrag</w:t>
      </w:r>
      <w:r w:rsidR="00DC3030">
        <w:rPr>
          <w:lang w:val="de-DE"/>
        </w:rPr>
        <w:t xml:space="preserve"> ist</w:t>
      </w:r>
      <w:r w:rsidR="00725134">
        <w:rPr>
          <w:lang w:val="de-DE"/>
        </w:rPr>
        <w:t xml:space="preserve"> aber problematisch. Er impliziert, dass der Andere in der Gesellschaft keine Stimme hat, und deswegen von den Intellektuellen vertreten werden muss. Die Frage, die Spivak im Titel ihres Artikels stellt, scheint also auf der ersten Seite dessen schon beantwortet zu werden. </w:t>
      </w:r>
      <w:r w:rsidR="004303B1">
        <w:rPr>
          <w:lang w:val="de-DE"/>
        </w:rPr>
        <w:t>Sie ist sich aber</w:t>
      </w:r>
      <w:r w:rsidR="00BB628B">
        <w:rPr>
          <w:lang w:val="de-DE"/>
        </w:rPr>
        <w:t xml:space="preserve"> der problematischen Art dieser Aussage bewusst. </w:t>
      </w:r>
      <w:r w:rsidR="001203BC">
        <w:rPr>
          <w:lang w:val="de-DE"/>
        </w:rPr>
        <w:t>Das Problem hängt mit der Differenz zwischen „denselben“ Wörtern zusammen: Spivak</w:t>
      </w:r>
      <w:r w:rsidR="00A61F68">
        <w:rPr>
          <w:lang w:val="de-DE"/>
        </w:rPr>
        <w:t xml:space="preserve"> macht den Unterschied zwischen zwei Arten </w:t>
      </w:r>
      <w:r w:rsidR="006D78C8">
        <w:rPr>
          <w:lang w:val="de-DE"/>
        </w:rPr>
        <w:t>der Repräsentation</w:t>
      </w:r>
      <w:r w:rsidR="00EF3EC2">
        <w:rPr>
          <w:lang w:val="de-DE"/>
        </w:rPr>
        <w:t>, nämlich Vertretung („r</w:t>
      </w:r>
      <w:r w:rsidR="003D088B">
        <w:rPr>
          <w:lang w:val="de-DE"/>
        </w:rPr>
        <w:t xml:space="preserve">epresentation as </w:t>
      </w:r>
      <w:r w:rsidR="003D088B" w:rsidRPr="003D088B">
        <w:rPr>
          <w:lang w:val="de-DE"/>
        </w:rPr>
        <w:t>‘speaking for’, as in politics</w:t>
      </w:r>
      <w:r w:rsidR="00EF3EC2">
        <w:rPr>
          <w:lang w:val="de-DE"/>
        </w:rPr>
        <w:t>“</w:t>
      </w:r>
      <w:r w:rsidR="00EF3EC2">
        <w:rPr>
          <w:rStyle w:val="Voetnootmarkering"/>
          <w:lang w:val="de-DE"/>
        </w:rPr>
        <w:footnoteReference w:id="52"/>
      </w:r>
      <w:r w:rsidR="00EF3EC2">
        <w:rPr>
          <w:lang w:val="de-DE"/>
        </w:rPr>
        <w:t>) und Darstellung („</w:t>
      </w:r>
      <w:r w:rsidR="003D088B" w:rsidRPr="003D088B">
        <w:rPr>
          <w:lang w:val="de-DE"/>
        </w:rPr>
        <w:t>representation as ‘re-presentation’, as in art or philosophy</w:t>
      </w:r>
      <w:r w:rsidR="00123AC0">
        <w:rPr>
          <w:lang w:val="de-DE"/>
        </w:rPr>
        <w:t>“</w:t>
      </w:r>
      <w:r w:rsidR="003D088B">
        <w:rPr>
          <w:rStyle w:val="Voetnootmarkering"/>
          <w:lang w:val="de-DE"/>
        </w:rPr>
        <w:footnoteReference w:id="53"/>
      </w:r>
      <w:r w:rsidR="00123AC0">
        <w:rPr>
          <w:lang w:val="de-DE"/>
        </w:rPr>
        <w:t>)</w:t>
      </w:r>
      <w:r w:rsidR="00EF3EC2">
        <w:rPr>
          <w:lang w:val="de-DE"/>
        </w:rPr>
        <w:t>.</w:t>
      </w:r>
      <w:r w:rsidR="00BB628B">
        <w:rPr>
          <w:lang w:val="de-DE"/>
        </w:rPr>
        <w:t xml:space="preserve"> </w:t>
      </w:r>
      <w:r w:rsidR="008C551F" w:rsidRPr="008C551F">
        <w:rPr>
          <w:lang w:val="de-DE"/>
        </w:rPr>
        <w:t xml:space="preserve">Spivak </w:t>
      </w:r>
      <w:r w:rsidR="00192AAE">
        <w:rPr>
          <w:lang w:val="de-DE"/>
        </w:rPr>
        <w:t>arg</w:t>
      </w:r>
      <w:r w:rsidR="008C551F" w:rsidRPr="008C551F">
        <w:rPr>
          <w:lang w:val="de-DE"/>
        </w:rPr>
        <w:t>umentiert, dass der We</w:t>
      </w:r>
      <w:r w:rsidR="008C551F">
        <w:rPr>
          <w:lang w:val="de-DE"/>
        </w:rPr>
        <w:t xml:space="preserve">sten </w:t>
      </w:r>
      <w:r w:rsidR="00192AAE">
        <w:rPr>
          <w:lang w:val="de-DE"/>
        </w:rPr>
        <w:t xml:space="preserve">lernen muss, sich selbst </w:t>
      </w:r>
      <w:r w:rsidR="00192AAE" w:rsidRPr="00192AAE">
        <w:rPr>
          <w:i/>
          <w:lang w:val="de-DE"/>
        </w:rPr>
        <w:t>darzustellen</w:t>
      </w:r>
      <w:r w:rsidR="009C3314">
        <w:rPr>
          <w:lang w:val="de-DE"/>
        </w:rPr>
        <w:t>, statt einem homogenen a</w:t>
      </w:r>
      <w:r w:rsidR="008C551F">
        <w:rPr>
          <w:lang w:val="de-DE"/>
        </w:rPr>
        <w:t xml:space="preserve">nderen </w:t>
      </w:r>
      <w:r w:rsidR="00192AAE">
        <w:rPr>
          <w:lang w:val="de-DE"/>
        </w:rPr>
        <w:t xml:space="preserve">im Gegensatz zu unserem Selbst zu </w:t>
      </w:r>
      <w:r w:rsidR="00192AAE" w:rsidRPr="00192AAE">
        <w:rPr>
          <w:i/>
          <w:lang w:val="de-DE"/>
        </w:rPr>
        <w:t>vertreten</w:t>
      </w:r>
      <w:r w:rsidR="008174D5">
        <w:rPr>
          <w:lang w:val="de-DE"/>
        </w:rPr>
        <w:t>.</w:t>
      </w:r>
      <w:r w:rsidR="00192AAE">
        <w:rPr>
          <w:rStyle w:val="Voetnootmarkering"/>
          <w:lang w:val="de-DE"/>
        </w:rPr>
        <w:footnoteReference w:id="54"/>
      </w:r>
      <w:r w:rsidR="00192AAE">
        <w:rPr>
          <w:lang w:val="de-DE"/>
        </w:rPr>
        <w:t xml:space="preserve"> Die Frage ist, wie </w:t>
      </w:r>
      <w:r w:rsidR="00B9535E">
        <w:rPr>
          <w:lang w:val="de-DE"/>
        </w:rPr>
        <w:t xml:space="preserve">man </w:t>
      </w:r>
      <w:r w:rsidR="008C6768">
        <w:rPr>
          <w:lang w:val="de-DE"/>
        </w:rPr>
        <w:t>das</w:t>
      </w:r>
      <w:r w:rsidR="00192AAE">
        <w:rPr>
          <w:lang w:val="de-DE"/>
        </w:rPr>
        <w:t xml:space="preserve"> ethnozentrische Subjekt </w:t>
      </w:r>
      <w:r w:rsidR="00B9535E">
        <w:rPr>
          <w:lang w:val="de-DE"/>
        </w:rPr>
        <w:t xml:space="preserve">davon abhalten kann, sich selbst </w:t>
      </w:r>
      <w:r w:rsidR="00BB53DF">
        <w:rPr>
          <w:lang w:val="de-DE"/>
        </w:rPr>
        <w:t>und seinen eigenen Subjektstatus</w:t>
      </w:r>
      <w:r w:rsidR="00BB53DF">
        <w:rPr>
          <w:rStyle w:val="Voetnootmarkering"/>
          <w:lang w:val="de-DE"/>
        </w:rPr>
        <w:footnoteReference w:id="55"/>
      </w:r>
      <w:r w:rsidR="00BB53DF">
        <w:rPr>
          <w:lang w:val="de-DE"/>
        </w:rPr>
        <w:t xml:space="preserve"> </w:t>
      </w:r>
      <w:r w:rsidR="009C3314">
        <w:rPr>
          <w:lang w:val="de-DE"/>
        </w:rPr>
        <w:t>zu etablieren, indem er einen a</w:t>
      </w:r>
      <w:r w:rsidR="00B9535E">
        <w:rPr>
          <w:lang w:val="de-DE"/>
        </w:rPr>
        <w:t>nderen selektiv definiert</w:t>
      </w:r>
      <w:r w:rsidR="00C63223">
        <w:rPr>
          <w:lang w:val="de-DE"/>
        </w:rPr>
        <w:t>.</w:t>
      </w:r>
      <w:r w:rsidR="00B9535E">
        <w:rPr>
          <w:rStyle w:val="Voetnootmarkering"/>
          <w:lang w:val="de-DE"/>
        </w:rPr>
        <w:footnoteReference w:id="56"/>
      </w:r>
      <w:r w:rsidR="00B9535E">
        <w:rPr>
          <w:lang w:val="de-DE"/>
        </w:rPr>
        <w:t xml:space="preserve"> </w:t>
      </w:r>
      <w:r w:rsidR="00BB53DF">
        <w:rPr>
          <w:lang w:val="de-DE"/>
        </w:rPr>
        <w:t>Au</w:t>
      </w:r>
      <w:r w:rsidR="00BB53DF">
        <w:rPr>
          <w:rFonts w:cs="Times New Roman"/>
          <w:lang w:val="de-DE"/>
        </w:rPr>
        <w:t>ß</w:t>
      </w:r>
      <w:r w:rsidR="00BB53DF">
        <w:rPr>
          <w:lang w:val="de-DE"/>
        </w:rPr>
        <w:t>erdem verknüpft Spivak die Sprache mit dem Räumlichen</w:t>
      </w:r>
      <w:r w:rsidR="006A1974">
        <w:rPr>
          <w:lang w:val="de-DE"/>
        </w:rPr>
        <w:t xml:space="preserve">, denn sie sagt, </w:t>
      </w:r>
      <w:r w:rsidR="006A1974">
        <w:rPr>
          <w:lang w:val="de-DE"/>
        </w:rPr>
        <w:lastRenderedPageBreak/>
        <w:t>dass es keinen Raum gibt, wo „the sexed subaltern subject“</w:t>
      </w:r>
      <w:r w:rsidR="006A1974">
        <w:rPr>
          <w:rStyle w:val="Voetnootmarkering"/>
          <w:lang w:val="de-DE"/>
        </w:rPr>
        <w:footnoteReference w:id="57"/>
      </w:r>
      <w:r w:rsidR="006A1974">
        <w:rPr>
          <w:lang w:val="de-DE"/>
        </w:rPr>
        <w:t xml:space="preserve"> sprechen kann</w:t>
      </w:r>
      <w:r w:rsidR="009748D5">
        <w:rPr>
          <w:lang w:val="de-DE"/>
        </w:rPr>
        <w:t>, und schlie</w:t>
      </w:r>
      <w:r w:rsidR="009748D5">
        <w:rPr>
          <w:rFonts w:cs="Times New Roman"/>
          <w:lang w:val="de-DE"/>
        </w:rPr>
        <w:t>ß</w:t>
      </w:r>
      <w:r w:rsidR="009748D5">
        <w:rPr>
          <w:lang w:val="de-DE"/>
        </w:rPr>
        <w:t>lich stellt sie</w:t>
      </w:r>
      <w:r w:rsidR="004303B1">
        <w:rPr>
          <w:lang w:val="de-DE"/>
        </w:rPr>
        <w:t xml:space="preserve"> sogar</w:t>
      </w:r>
      <w:r w:rsidR="009748D5">
        <w:rPr>
          <w:lang w:val="de-DE"/>
        </w:rPr>
        <w:t xml:space="preserve"> fest, dass die weibliche Subalterne nicht gehört oder gelesen werden kann</w:t>
      </w:r>
      <w:r w:rsidR="00971E12">
        <w:rPr>
          <w:lang w:val="de-DE"/>
        </w:rPr>
        <w:t>.</w:t>
      </w:r>
      <w:r w:rsidR="009748D5">
        <w:rPr>
          <w:rStyle w:val="Voetnootmarkering"/>
          <w:lang w:val="de-DE"/>
        </w:rPr>
        <w:footnoteReference w:id="58"/>
      </w:r>
      <w:r w:rsidR="009748D5">
        <w:rPr>
          <w:lang w:val="de-DE"/>
        </w:rPr>
        <w:t xml:space="preserve"> Inwiefern das auch für </w:t>
      </w:r>
      <w:r w:rsidR="00F73DBD">
        <w:rPr>
          <w:lang w:val="de-DE"/>
        </w:rPr>
        <w:t>Ildikó</w:t>
      </w:r>
      <w:r w:rsidR="009748D5">
        <w:rPr>
          <w:lang w:val="de-DE"/>
        </w:rPr>
        <w:t xml:space="preserve"> gilt, wird die bevorstehende </w:t>
      </w:r>
      <w:r w:rsidR="008174D5">
        <w:rPr>
          <w:lang w:val="de-DE"/>
        </w:rPr>
        <w:t>Untersuchung</w:t>
      </w:r>
      <w:r w:rsidR="009748D5">
        <w:rPr>
          <w:lang w:val="de-DE"/>
        </w:rPr>
        <w:t xml:space="preserve"> ergeben</w:t>
      </w:r>
      <w:r w:rsidR="008174D5">
        <w:rPr>
          <w:lang w:val="de-DE"/>
        </w:rPr>
        <w:t xml:space="preserve">. </w:t>
      </w:r>
      <w:r w:rsidR="007D297D" w:rsidRPr="007D297D">
        <w:rPr>
          <w:lang w:val="de-DE"/>
        </w:rPr>
        <w:t>Spivak fokussiert</w:t>
      </w:r>
      <w:r w:rsidR="007E6BB0">
        <w:rPr>
          <w:lang w:val="de-DE"/>
        </w:rPr>
        <w:t xml:space="preserve"> sich</w:t>
      </w:r>
      <w:r w:rsidR="007D297D" w:rsidRPr="007D297D">
        <w:rPr>
          <w:lang w:val="de-DE"/>
        </w:rPr>
        <w:t xml:space="preserve"> in ihrem Artikel innerhalb des Subalternen auf das Weibliche, weil </w:t>
      </w:r>
    </w:p>
    <w:p w14:paraId="1C394F07" w14:textId="0EDE1868" w:rsidR="007D297D" w:rsidRDefault="007D297D" w:rsidP="007D297D">
      <w:pPr>
        <w:spacing w:after="240" w:line="240" w:lineRule="auto"/>
        <w:ind w:left="567"/>
        <w:rPr>
          <w:lang w:val="en-GB"/>
        </w:rPr>
      </w:pPr>
      <w:r w:rsidRPr="007D297D">
        <w:rPr>
          <w:lang w:val="en-GB"/>
        </w:rPr>
        <w:t>within the effaced itinerary of the subaltern subject, the track of sexual difference is doubly e</w:t>
      </w:r>
      <w:r>
        <w:rPr>
          <w:lang w:val="en-GB"/>
        </w:rPr>
        <w:t>ffaced. The question is not of female participation in insurgency, or the ground rules of the sexual division of labor, for both of which there is ‘evidence’. It is, rather, that, both as object of colonialist historiography and as a subject of insurgency, the ideological construction of gender keeps the male dominant. If, in the context of colonial production, the subaltern has no history and cannot speak, the subaltern as female is even more deeply in shadow.</w:t>
      </w:r>
      <w:r w:rsidR="008F7702">
        <w:rPr>
          <w:rStyle w:val="Voetnootmarkering"/>
          <w:lang w:val="en-GB"/>
        </w:rPr>
        <w:footnoteReference w:id="59"/>
      </w:r>
    </w:p>
    <w:p w14:paraId="43F549F7" w14:textId="073451D8" w:rsidR="004B7B7D" w:rsidRDefault="008C551F" w:rsidP="002458D9">
      <w:pPr>
        <w:rPr>
          <w:lang w:val="de-DE"/>
        </w:rPr>
      </w:pPr>
      <w:bookmarkStart w:id="15" w:name="_Hlk513479524"/>
      <w:r w:rsidRPr="008C551F">
        <w:rPr>
          <w:lang w:val="de-DE"/>
        </w:rPr>
        <w:t xml:space="preserve">Die Verknüpfung </w:t>
      </w:r>
      <w:r w:rsidR="008E7894">
        <w:rPr>
          <w:lang w:val="de-DE"/>
        </w:rPr>
        <w:t>zwischen Sprache und Dominanz, hauptsächlich anhand von Unterdrückung,</w:t>
      </w:r>
      <w:r w:rsidR="009748D5">
        <w:rPr>
          <w:lang w:val="de-DE"/>
        </w:rPr>
        <w:t xml:space="preserve"> </w:t>
      </w:r>
      <w:r w:rsidRPr="008C551F">
        <w:rPr>
          <w:lang w:val="de-DE"/>
        </w:rPr>
        <w:t>wird auch in der</w:t>
      </w:r>
      <w:r w:rsidR="002458D9">
        <w:rPr>
          <w:lang w:val="de-DE"/>
        </w:rPr>
        <w:t xml:space="preserve"> vorliegenden Mastera</w:t>
      </w:r>
      <w:r>
        <w:rPr>
          <w:lang w:val="de-DE"/>
        </w:rPr>
        <w:t xml:space="preserve">rbeit </w:t>
      </w:r>
      <w:r w:rsidR="007E6BB0">
        <w:rPr>
          <w:lang w:val="de-DE"/>
        </w:rPr>
        <w:t>gebildet</w:t>
      </w:r>
      <w:bookmarkEnd w:id="15"/>
      <w:r>
        <w:rPr>
          <w:lang w:val="de-DE"/>
        </w:rPr>
        <w:t xml:space="preserve">, weil sie </w:t>
      </w:r>
      <w:r w:rsidR="00FA2780">
        <w:rPr>
          <w:lang w:val="de-DE"/>
        </w:rPr>
        <w:t xml:space="preserve">sich in </w:t>
      </w:r>
      <w:r>
        <w:rPr>
          <w:i/>
          <w:lang w:val="de-DE"/>
        </w:rPr>
        <w:t xml:space="preserve">Tauben fliegen auf </w:t>
      </w:r>
      <w:r>
        <w:rPr>
          <w:lang w:val="de-DE"/>
        </w:rPr>
        <w:t>feststellen lässt</w:t>
      </w:r>
      <w:r w:rsidR="002458D9">
        <w:rPr>
          <w:lang w:val="de-DE"/>
        </w:rPr>
        <w:t>.</w:t>
      </w:r>
      <w:r w:rsidR="007C3339">
        <w:rPr>
          <w:lang w:val="de-DE"/>
        </w:rPr>
        <w:t xml:space="preserve"> </w:t>
      </w:r>
      <w:r w:rsidR="002458D9">
        <w:rPr>
          <w:lang w:val="de-DE"/>
        </w:rPr>
        <w:t xml:space="preserve">Eine </w:t>
      </w:r>
      <w:r w:rsidR="007C3339">
        <w:rPr>
          <w:lang w:val="de-DE"/>
        </w:rPr>
        <w:t xml:space="preserve">Untersuchung der Sprache der Hauptfigur </w:t>
      </w:r>
      <w:r w:rsidR="00F73DBD">
        <w:rPr>
          <w:lang w:val="de-DE"/>
        </w:rPr>
        <w:t>Ildikó</w:t>
      </w:r>
      <w:r w:rsidR="002458D9">
        <w:rPr>
          <w:lang w:val="de-DE"/>
        </w:rPr>
        <w:t xml:space="preserve"> macht</w:t>
      </w:r>
      <w:r w:rsidR="007E6BB0">
        <w:rPr>
          <w:lang w:val="de-DE"/>
        </w:rPr>
        <w:t xml:space="preserve"> einen</w:t>
      </w:r>
      <w:r w:rsidR="002458D9">
        <w:rPr>
          <w:lang w:val="de-DE"/>
        </w:rPr>
        <w:t xml:space="preserve"> wesentlichen Teil der Arbeit aus. Folgende Fragen lassen sich diesbezüglich stellen: </w:t>
      </w:r>
      <w:bookmarkStart w:id="16" w:name="_Hlk513479531"/>
      <w:r w:rsidR="007C3339" w:rsidRPr="00D82D52">
        <w:rPr>
          <w:lang w:val="de-DE"/>
        </w:rPr>
        <w:t xml:space="preserve">Wie wird </w:t>
      </w:r>
      <w:r w:rsidR="00F73DBD" w:rsidRPr="00D82D52">
        <w:rPr>
          <w:lang w:val="de-DE"/>
        </w:rPr>
        <w:t>Ildikó</w:t>
      </w:r>
      <w:r w:rsidR="007C3339" w:rsidRPr="00D82D52">
        <w:rPr>
          <w:lang w:val="de-DE"/>
        </w:rPr>
        <w:t xml:space="preserve"> Opfer von </w:t>
      </w:r>
      <w:r w:rsidR="00A140FF">
        <w:rPr>
          <w:lang w:val="de-DE"/>
        </w:rPr>
        <w:t>Unterdrückung</w:t>
      </w:r>
      <w:r w:rsidR="007C3339" w:rsidRPr="00D82D52">
        <w:rPr>
          <w:lang w:val="de-DE"/>
        </w:rPr>
        <w:t xml:space="preserve"> durch Sp</w:t>
      </w:r>
      <w:r w:rsidR="002458D9" w:rsidRPr="00D82D52">
        <w:rPr>
          <w:lang w:val="de-DE"/>
        </w:rPr>
        <w:t xml:space="preserve">rache und wie kann sie diese </w:t>
      </w:r>
      <w:r w:rsidR="00A140FF">
        <w:rPr>
          <w:lang w:val="de-DE"/>
        </w:rPr>
        <w:t>Unterdrückung</w:t>
      </w:r>
      <w:r w:rsidR="007C3339" w:rsidRPr="00D82D52">
        <w:rPr>
          <w:lang w:val="de-DE"/>
        </w:rPr>
        <w:t>, anhand Sprache, bekämpfen?</w:t>
      </w:r>
    </w:p>
    <w:p w14:paraId="26CC612C" w14:textId="77777777" w:rsidR="004B7B7D" w:rsidRDefault="004B7B7D">
      <w:pPr>
        <w:spacing w:after="160" w:line="259" w:lineRule="auto"/>
        <w:jc w:val="left"/>
        <w:rPr>
          <w:lang w:val="de-DE"/>
        </w:rPr>
      </w:pPr>
      <w:r>
        <w:rPr>
          <w:lang w:val="de-DE"/>
        </w:rPr>
        <w:br w:type="page"/>
      </w:r>
    </w:p>
    <w:p w14:paraId="49D28A17" w14:textId="06DD01CF" w:rsidR="002458D9" w:rsidRDefault="002458D9" w:rsidP="002458D9">
      <w:pPr>
        <w:pStyle w:val="Kop1"/>
        <w:numPr>
          <w:ilvl w:val="0"/>
          <w:numId w:val="2"/>
        </w:numPr>
        <w:rPr>
          <w:lang w:val="de-DE"/>
        </w:rPr>
      </w:pPr>
      <w:bookmarkStart w:id="17" w:name="_Toc515180091"/>
      <w:bookmarkEnd w:id="16"/>
      <w:r>
        <w:rPr>
          <w:lang w:val="de-DE"/>
        </w:rPr>
        <w:lastRenderedPageBreak/>
        <w:t>Alternativen zum Subalternenbegriff</w:t>
      </w:r>
      <w:bookmarkEnd w:id="17"/>
    </w:p>
    <w:p w14:paraId="7AFA4487" w14:textId="55AE5D21" w:rsidR="007052A2" w:rsidRDefault="00BD29AE" w:rsidP="00CC6789">
      <w:pPr>
        <w:tabs>
          <w:tab w:val="left" w:pos="7088"/>
        </w:tabs>
        <w:rPr>
          <w:rFonts w:cs="Times New Roman"/>
          <w:lang w:val="de-DE"/>
        </w:rPr>
      </w:pPr>
      <w:r>
        <w:rPr>
          <w:rFonts w:cs="Times New Roman"/>
          <w:lang w:val="de-DE"/>
        </w:rPr>
        <w:t>Da Spivak zufolge</w:t>
      </w:r>
      <w:r w:rsidR="008C551F">
        <w:rPr>
          <w:rFonts w:cs="Times New Roman"/>
          <w:lang w:val="de-DE"/>
        </w:rPr>
        <w:t xml:space="preserve"> eine übermäßige </w:t>
      </w:r>
      <w:r w:rsidR="007E6BB0">
        <w:rPr>
          <w:rFonts w:cs="Times New Roman"/>
          <w:lang w:val="de-DE"/>
        </w:rPr>
        <w:t>Verwendung</w:t>
      </w:r>
      <w:r w:rsidR="008C551F">
        <w:rPr>
          <w:rFonts w:cs="Times New Roman"/>
          <w:lang w:val="de-DE"/>
        </w:rPr>
        <w:t xml:space="preserve"> des Begriffs des Subalternen vermieden werden soll</w:t>
      </w:r>
      <w:r w:rsidR="007E6BB0">
        <w:rPr>
          <w:rFonts w:cs="Times New Roman"/>
          <w:lang w:val="de-DE"/>
        </w:rPr>
        <w:t>te</w:t>
      </w:r>
      <w:r w:rsidR="008C551F">
        <w:rPr>
          <w:rFonts w:cs="Times New Roman"/>
          <w:lang w:val="de-DE"/>
        </w:rPr>
        <w:t>, wird hier</w:t>
      </w:r>
      <w:r>
        <w:rPr>
          <w:rFonts w:cs="Times New Roman"/>
          <w:lang w:val="de-DE"/>
        </w:rPr>
        <w:t xml:space="preserve"> trotz der Parallele der Sprache als Macht zwischen dem postkolonialen Subalternen und </w:t>
      </w:r>
      <w:r w:rsidR="00F73DBD">
        <w:rPr>
          <w:rFonts w:cs="Times New Roman"/>
          <w:lang w:val="de-DE"/>
        </w:rPr>
        <w:t>Ildikó</w:t>
      </w:r>
      <w:r>
        <w:rPr>
          <w:rFonts w:cs="Times New Roman"/>
          <w:lang w:val="de-DE"/>
        </w:rPr>
        <w:t xml:space="preserve"> als Migrantin in den Westen</w:t>
      </w:r>
      <w:r w:rsidR="008C551F">
        <w:rPr>
          <w:rFonts w:cs="Times New Roman"/>
          <w:lang w:val="de-DE"/>
        </w:rPr>
        <w:t xml:space="preserve"> </w:t>
      </w:r>
      <w:r w:rsidR="007E6BB0">
        <w:rPr>
          <w:rFonts w:cs="Times New Roman"/>
          <w:lang w:val="de-DE"/>
        </w:rPr>
        <w:t>ergründet</w:t>
      </w:r>
      <w:r w:rsidR="008E7894">
        <w:rPr>
          <w:rFonts w:cs="Times New Roman"/>
          <w:lang w:val="de-DE"/>
        </w:rPr>
        <w:t>, welche</w:t>
      </w:r>
      <w:r w:rsidR="008C551F">
        <w:rPr>
          <w:rFonts w:cs="Times New Roman"/>
          <w:lang w:val="de-DE"/>
        </w:rPr>
        <w:t xml:space="preserve"> alternative</w:t>
      </w:r>
      <w:r w:rsidR="008E7894">
        <w:rPr>
          <w:rFonts w:cs="Times New Roman"/>
          <w:lang w:val="de-DE"/>
        </w:rPr>
        <w:t xml:space="preserve">n </w:t>
      </w:r>
      <w:r w:rsidR="008C551F">
        <w:rPr>
          <w:rFonts w:cs="Times New Roman"/>
          <w:lang w:val="de-DE"/>
        </w:rPr>
        <w:t>Begriff</w:t>
      </w:r>
      <w:r w:rsidR="008E7894">
        <w:rPr>
          <w:rFonts w:cs="Times New Roman"/>
          <w:lang w:val="de-DE"/>
        </w:rPr>
        <w:t>e</w:t>
      </w:r>
      <w:r w:rsidR="008C551F">
        <w:rPr>
          <w:rFonts w:cs="Times New Roman"/>
          <w:lang w:val="de-DE"/>
        </w:rPr>
        <w:t xml:space="preserve"> sich für </w:t>
      </w:r>
      <w:r w:rsidR="00F73DBD">
        <w:rPr>
          <w:rFonts w:cs="Times New Roman"/>
          <w:lang w:val="de-DE"/>
        </w:rPr>
        <w:t>Ildikó</w:t>
      </w:r>
      <w:r w:rsidR="008C551F">
        <w:rPr>
          <w:rFonts w:cs="Times New Roman"/>
          <w:lang w:val="de-DE"/>
        </w:rPr>
        <w:t>s Situation eigne</w:t>
      </w:r>
      <w:r w:rsidR="008E7894">
        <w:rPr>
          <w:rFonts w:cs="Times New Roman"/>
          <w:lang w:val="de-DE"/>
        </w:rPr>
        <w:t>n</w:t>
      </w:r>
      <w:r w:rsidR="008C551F">
        <w:rPr>
          <w:rFonts w:cs="Times New Roman"/>
          <w:lang w:val="de-DE"/>
        </w:rPr>
        <w:t xml:space="preserve">. </w:t>
      </w:r>
      <w:r w:rsidR="00333A48">
        <w:rPr>
          <w:rFonts w:cs="Times New Roman"/>
          <w:lang w:val="de-DE"/>
        </w:rPr>
        <w:t xml:space="preserve">In </w:t>
      </w:r>
      <w:r w:rsidR="007E6BB0">
        <w:rPr>
          <w:rFonts w:cs="Times New Roman"/>
          <w:lang w:val="de-DE"/>
        </w:rPr>
        <w:t>meiner</w:t>
      </w:r>
      <w:r w:rsidR="00333A48">
        <w:rPr>
          <w:rFonts w:cs="Times New Roman"/>
          <w:lang w:val="de-DE"/>
        </w:rPr>
        <w:t xml:space="preserve"> </w:t>
      </w:r>
      <w:r w:rsidR="007777BE">
        <w:rPr>
          <w:rFonts w:cs="Times New Roman"/>
          <w:lang w:val="de-DE"/>
        </w:rPr>
        <w:t>Bachelorarbeit</w:t>
      </w:r>
      <w:r w:rsidR="00387F23">
        <w:rPr>
          <w:rFonts w:cs="Times New Roman"/>
          <w:lang w:val="de-DE"/>
        </w:rPr>
        <w:t xml:space="preserve"> </w:t>
      </w:r>
      <w:r w:rsidR="002E49CF">
        <w:rPr>
          <w:rFonts w:cs="Times New Roman"/>
          <w:lang w:val="de-DE"/>
        </w:rPr>
        <w:t xml:space="preserve">wurde </w:t>
      </w:r>
      <w:r w:rsidR="00F73DBD">
        <w:rPr>
          <w:rFonts w:cs="Times New Roman"/>
          <w:lang w:val="de-DE"/>
        </w:rPr>
        <w:t>Ildikó</w:t>
      </w:r>
      <w:r w:rsidR="002E49CF">
        <w:rPr>
          <w:rFonts w:cs="Times New Roman"/>
          <w:lang w:val="de-DE"/>
        </w:rPr>
        <w:t xml:space="preserve">s Position als </w:t>
      </w:r>
      <w:r w:rsidR="009A0E6B">
        <w:rPr>
          <w:rFonts w:cs="Times New Roman"/>
          <w:lang w:val="de-DE"/>
        </w:rPr>
        <w:t>„</w:t>
      </w:r>
      <w:r w:rsidR="002E49CF">
        <w:rPr>
          <w:rFonts w:cs="Times New Roman"/>
          <w:lang w:val="de-DE"/>
        </w:rPr>
        <w:t>Fremde</w:t>
      </w:r>
      <w:r w:rsidR="009A0E6B">
        <w:rPr>
          <w:rFonts w:cs="Times New Roman"/>
          <w:lang w:val="de-DE"/>
        </w:rPr>
        <w:t>“</w:t>
      </w:r>
      <w:r w:rsidR="002E49CF">
        <w:rPr>
          <w:rFonts w:cs="Times New Roman"/>
          <w:lang w:val="de-DE"/>
        </w:rPr>
        <w:t xml:space="preserve"> </w:t>
      </w:r>
      <w:r w:rsidR="007E6BB0">
        <w:rPr>
          <w:rFonts w:cs="Times New Roman"/>
          <w:lang w:val="de-DE"/>
        </w:rPr>
        <w:t>bereits</w:t>
      </w:r>
      <w:r w:rsidR="002E49CF">
        <w:rPr>
          <w:rFonts w:cs="Times New Roman"/>
          <w:lang w:val="de-DE"/>
        </w:rPr>
        <w:t xml:space="preserve"> untersucht. </w:t>
      </w:r>
      <w:r w:rsidR="00753E13">
        <w:rPr>
          <w:rFonts w:cs="Times New Roman"/>
          <w:lang w:val="de-DE"/>
        </w:rPr>
        <w:t xml:space="preserve">Es wurde ein Exkurs zur Soziologie von Georg Simmel und seinem Konzept des Fremden gemacht. Simmel zufolge </w:t>
      </w:r>
      <w:r w:rsidR="007E6BB0">
        <w:rPr>
          <w:rFonts w:cs="Times New Roman"/>
          <w:lang w:val="de-DE"/>
        </w:rPr>
        <w:t>befindet sich</w:t>
      </w:r>
      <w:r w:rsidR="00CB3824">
        <w:rPr>
          <w:rFonts w:cs="Times New Roman"/>
          <w:lang w:val="de-DE"/>
        </w:rPr>
        <w:t xml:space="preserve"> der Fremde </w:t>
      </w:r>
      <w:r w:rsidR="007E6BB0">
        <w:rPr>
          <w:rFonts w:cs="Times New Roman"/>
          <w:lang w:val="de-DE"/>
        </w:rPr>
        <w:t>in</w:t>
      </w:r>
      <w:r w:rsidR="00CB3824">
        <w:rPr>
          <w:rFonts w:cs="Times New Roman"/>
          <w:lang w:val="de-DE"/>
        </w:rPr>
        <w:t xml:space="preserve"> der Dichotomie Fixiertheit-Gelöstheit, weil er die Gelöstheit des Kommens und Gehens nicht ganz überwunden hat.</w:t>
      </w:r>
      <w:r w:rsidR="00CB3824">
        <w:rPr>
          <w:rStyle w:val="Voetnootmarkering"/>
          <w:rFonts w:cs="Times New Roman"/>
          <w:lang w:val="de-DE"/>
        </w:rPr>
        <w:footnoteReference w:id="60"/>
      </w:r>
      <w:r w:rsidR="00CB3824">
        <w:rPr>
          <w:rFonts w:cs="Times New Roman"/>
          <w:lang w:val="de-DE"/>
        </w:rPr>
        <w:t xml:space="preserve"> Diese Dichotomie trifft</w:t>
      </w:r>
      <w:r w:rsidR="007777BE">
        <w:rPr>
          <w:rFonts w:cs="Times New Roman"/>
          <w:lang w:val="de-DE"/>
        </w:rPr>
        <w:t xml:space="preserve">, wie in </w:t>
      </w:r>
      <w:r w:rsidR="009A0E6B">
        <w:rPr>
          <w:rFonts w:cs="Times New Roman"/>
          <w:lang w:val="de-DE"/>
        </w:rPr>
        <w:t>meiner</w:t>
      </w:r>
      <w:r w:rsidR="007777BE">
        <w:rPr>
          <w:rFonts w:cs="Times New Roman"/>
          <w:lang w:val="de-DE"/>
        </w:rPr>
        <w:t xml:space="preserve"> Bachelorarbeit festgestellt wurde,</w:t>
      </w:r>
      <w:r w:rsidR="00CB3824">
        <w:rPr>
          <w:rFonts w:cs="Times New Roman"/>
          <w:lang w:val="de-DE"/>
        </w:rPr>
        <w:t xml:space="preserve"> auf </w:t>
      </w:r>
      <w:r w:rsidR="00F73DBD">
        <w:rPr>
          <w:rFonts w:cs="Times New Roman"/>
          <w:lang w:val="de-DE"/>
        </w:rPr>
        <w:t>Ildikó</w:t>
      </w:r>
      <w:r w:rsidR="007777BE">
        <w:rPr>
          <w:rFonts w:cs="Times New Roman"/>
          <w:lang w:val="de-DE"/>
        </w:rPr>
        <w:t xml:space="preserve"> zu</w:t>
      </w:r>
      <w:r w:rsidR="00CB3824">
        <w:rPr>
          <w:rFonts w:cs="Times New Roman"/>
          <w:lang w:val="de-DE"/>
        </w:rPr>
        <w:t xml:space="preserve">. </w:t>
      </w:r>
      <w:r w:rsidR="006C655A">
        <w:rPr>
          <w:rFonts w:cs="Times New Roman"/>
          <w:lang w:val="de-DE"/>
        </w:rPr>
        <w:t xml:space="preserve">Weiter wurde </w:t>
      </w:r>
      <w:r w:rsidR="007E6BB0">
        <w:rPr>
          <w:rFonts w:cs="Times New Roman"/>
          <w:lang w:val="de-DE"/>
        </w:rPr>
        <w:t>erörtert</w:t>
      </w:r>
      <w:r w:rsidR="006C655A">
        <w:rPr>
          <w:rFonts w:cs="Times New Roman"/>
          <w:lang w:val="de-DE"/>
        </w:rPr>
        <w:t>, dass au</w:t>
      </w:r>
      <w:r w:rsidR="0089134B">
        <w:rPr>
          <w:rFonts w:cs="Times New Roman"/>
          <w:lang w:val="de-DE"/>
        </w:rPr>
        <w:t xml:space="preserve">ßer </w:t>
      </w:r>
      <w:r w:rsidR="00F73DBD">
        <w:rPr>
          <w:rFonts w:cs="Times New Roman"/>
          <w:lang w:val="de-DE"/>
        </w:rPr>
        <w:t>Ildikó</w:t>
      </w:r>
      <w:r w:rsidR="0089134B">
        <w:rPr>
          <w:rFonts w:cs="Times New Roman"/>
          <w:lang w:val="de-DE"/>
        </w:rPr>
        <w:t>s Selbstdefinierung, die aber nicht deutlich geäußert wird, die Fremddefinierung einen großen Einfluss auf ihr Selbstbild hat.</w:t>
      </w:r>
      <w:r w:rsidR="001B693F">
        <w:rPr>
          <w:rStyle w:val="Voetnootmarkering"/>
          <w:rFonts w:cs="Times New Roman"/>
          <w:lang w:val="de-DE"/>
        </w:rPr>
        <w:footnoteReference w:id="61"/>
      </w:r>
      <w:r w:rsidR="00706AF8">
        <w:rPr>
          <w:rFonts w:cs="Times New Roman"/>
          <w:lang w:val="de-DE"/>
        </w:rPr>
        <w:t xml:space="preserve"> </w:t>
      </w:r>
      <w:r w:rsidR="0089134B">
        <w:rPr>
          <w:rFonts w:cs="Times New Roman"/>
          <w:lang w:val="de-DE"/>
        </w:rPr>
        <w:t xml:space="preserve">In diesem Zusammenhang kann noch mal auf Saïds </w:t>
      </w:r>
      <w:r w:rsidR="0089134B">
        <w:rPr>
          <w:rFonts w:cs="Times New Roman"/>
          <w:i/>
          <w:lang w:val="de-DE"/>
        </w:rPr>
        <w:t xml:space="preserve">Orientalism </w:t>
      </w:r>
      <w:r w:rsidR="0089134B">
        <w:rPr>
          <w:rFonts w:cs="Times New Roman"/>
          <w:lang w:val="de-DE"/>
        </w:rPr>
        <w:t xml:space="preserve">verwiesen werden, weil der Osten </w:t>
      </w:r>
      <w:r w:rsidR="001B693F">
        <w:rPr>
          <w:rFonts w:cs="Times New Roman"/>
          <w:lang w:val="de-DE"/>
        </w:rPr>
        <w:t xml:space="preserve">nur in den Kategorien des Westens definiert werden kann, was auch eine Art Fremddefinierung mit sich bringt. </w:t>
      </w:r>
    </w:p>
    <w:p w14:paraId="448A205E" w14:textId="3841F0C6" w:rsidR="00C771B8" w:rsidRDefault="001975E9" w:rsidP="007B520D">
      <w:pPr>
        <w:tabs>
          <w:tab w:val="left" w:pos="7088"/>
        </w:tabs>
        <w:ind w:firstLine="708"/>
        <w:rPr>
          <w:rFonts w:cs="Times New Roman"/>
          <w:lang w:val="de-DE"/>
        </w:rPr>
      </w:pPr>
      <w:r>
        <w:rPr>
          <w:rFonts w:cs="Times New Roman"/>
          <w:lang w:val="de-DE"/>
        </w:rPr>
        <w:t xml:space="preserve">Außer dem Konzept des Fremden kann noch das des </w:t>
      </w:r>
      <w:r w:rsidR="009A0E6B">
        <w:rPr>
          <w:rFonts w:cs="Times New Roman"/>
          <w:lang w:val="de-DE"/>
        </w:rPr>
        <w:t>„</w:t>
      </w:r>
      <w:r>
        <w:rPr>
          <w:rFonts w:cs="Times New Roman"/>
          <w:lang w:val="de-DE"/>
        </w:rPr>
        <w:t>Anderen</w:t>
      </w:r>
      <w:r w:rsidR="009A0E6B">
        <w:rPr>
          <w:rFonts w:cs="Times New Roman"/>
          <w:lang w:val="de-DE"/>
        </w:rPr>
        <w:t>“</w:t>
      </w:r>
      <w:r>
        <w:rPr>
          <w:rFonts w:cs="Times New Roman"/>
          <w:lang w:val="de-DE"/>
        </w:rPr>
        <w:t xml:space="preserve"> angeführt werden. </w:t>
      </w:r>
      <w:r w:rsidR="007052A2">
        <w:rPr>
          <w:rFonts w:cs="Times New Roman"/>
          <w:lang w:val="de-DE"/>
        </w:rPr>
        <w:t>Der Begriff des Anderen wird vor allem mit dem französisch-jüdischen Philosophen Emmanuel Levinas assoziiert</w:t>
      </w:r>
      <w:r w:rsidR="00876FA6">
        <w:rPr>
          <w:rFonts w:cs="Times New Roman"/>
          <w:lang w:val="de-DE"/>
        </w:rPr>
        <w:t xml:space="preserve">. </w:t>
      </w:r>
      <w:r w:rsidR="00876FA6" w:rsidRPr="007E6BB0">
        <w:rPr>
          <w:rFonts w:cs="Times New Roman"/>
          <w:lang w:val="de-DE"/>
        </w:rPr>
        <w:t xml:space="preserve">Er </w:t>
      </w:r>
      <w:r w:rsidR="007E6BB0" w:rsidRPr="007E6BB0">
        <w:rPr>
          <w:rFonts w:cs="Times New Roman"/>
          <w:lang w:val="de-DE"/>
        </w:rPr>
        <w:t>konzentriert sich</w:t>
      </w:r>
      <w:r w:rsidR="00876FA6" w:rsidRPr="007E6BB0">
        <w:rPr>
          <w:rFonts w:cs="Times New Roman"/>
          <w:lang w:val="de-DE"/>
        </w:rPr>
        <w:t xml:space="preserve"> bei seiner Forschung auf „</w:t>
      </w:r>
      <w:r w:rsidR="00876FA6" w:rsidRPr="00363740">
        <w:rPr>
          <w:rFonts w:cs="Times New Roman"/>
          <w:lang w:val="de-DE"/>
        </w:rPr>
        <w:t>the relevance of the Other’s disruption of all horizons</w:t>
      </w:r>
      <w:r w:rsidR="00876FA6" w:rsidRPr="007E6BB0">
        <w:rPr>
          <w:rFonts w:cs="Times New Roman"/>
          <w:lang w:val="de-DE"/>
        </w:rPr>
        <w:t>“</w:t>
      </w:r>
      <w:r w:rsidR="00876FA6">
        <w:rPr>
          <w:rStyle w:val="Voetnootmarkering"/>
          <w:rFonts w:cs="Times New Roman"/>
          <w:lang w:val="en-GB"/>
        </w:rPr>
        <w:footnoteReference w:id="62"/>
      </w:r>
      <w:r w:rsidR="00876FA6" w:rsidRPr="007E6BB0">
        <w:rPr>
          <w:rFonts w:cs="Times New Roman"/>
          <w:lang w:val="de-DE"/>
        </w:rPr>
        <w:t xml:space="preserve"> statt „</w:t>
      </w:r>
      <w:r w:rsidR="00876FA6" w:rsidRPr="00363740">
        <w:rPr>
          <w:rFonts w:cs="Times New Roman"/>
          <w:lang w:val="de-DE"/>
        </w:rPr>
        <w:t>the systematic construction of wholes</w:t>
      </w:r>
      <w:r w:rsidR="00E30DA8">
        <w:rPr>
          <w:rFonts w:cs="Times New Roman"/>
          <w:lang w:val="de-DE"/>
        </w:rPr>
        <w:t>.</w:t>
      </w:r>
      <w:r w:rsidR="00876FA6" w:rsidRPr="00363740">
        <w:rPr>
          <w:rFonts w:cs="Times New Roman"/>
          <w:lang w:val="de-DE"/>
        </w:rPr>
        <w:t>“</w:t>
      </w:r>
      <w:r w:rsidR="00876FA6">
        <w:rPr>
          <w:rStyle w:val="Voetnootmarkering"/>
          <w:rFonts w:cs="Times New Roman"/>
          <w:lang w:val="en-GB"/>
        </w:rPr>
        <w:footnoteReference w:id="63"/>
      </w:r>
      <w:r w:rsidR="004928BB" w:rsidRPr="007E6BB0">
        <w:rPr>
          <w:rFonts w:cs="Times New Roman"/>
          <w:lang w:val="de-DE"/>
        </w:rPr>
        <w:t xml:space="preserve"> </w:t>
      </w:r>
      <w:r w:rsidR="004928BB" w:rsidRPr="004928BB">
        <w:rPr>
          <w:rFonts w:cs="Times New Roman"/>
          <w:lang w:val="de-DE"/>
        </w:rPr>
        <w:t xml:space="preserve">In Bezug auf </w:t>
      </w:r>
      <w:r w:rsidR="00F73DBD">
        <w:rPr>
          <w:rFonts w:cs="Times New Roman"/>
          <w:lang w:val="de-DE"/>
        </w:rPr>
        <w:t>Ildikó</w:t>
      </w:r>
      <w:r w:rsidR="004928BB" w:rsidRPr="004928BB">
        <w:rPr>
          <w:rFonts w:cs="Times New Roman"/>
          <w:lang w:val="de-DE"/>
        </w:rPr>
        <w:t xml:space="preserve">s Situation sollte </w:t>
      </w:r>
      <w:r w:rsidR="007E6BB0">
        <w:rPr>
          <w:rFonts w:cs="Times New Roman"/>
          <w:lang w:val="de-DE"/>
        </w:rPr>
        <w:t xml:space="preserve">sich </w:t>
      </w:r>
      <w:r w:rsidR="004928BB" w:rsidRPr="004928BB">
        <w:rPr>
          <w:rFonts w:cs="Times New Roman"/>
          <w:lang w:val="de-DE"/>
        </w:rPr>
        <w:t xml:space="preserve">also nicht auf ihre </w:t>
      </w:r>
      <w:r w:rsidR="0073283F">
        <w:rPr>
          <w:rFonts w:cs="Times New Roman"/>
          <w:lang w:val="de-DE"/>
        </w:rPr>
        <w:t>Integration</w:t>
      </w:r>
      <w:r w:rsidR="007E6BB0">
        <w:rPr>
          <w:rFonts w:cs="Times New Roman"/>
          <w:lang w:val="de-DE"/>
        </w:rPr>
        <w:t xml:space="preserve"> fokussiert werden</w:t>
      </w:r>
      <w:r w:rsidR="0073283F">
        <w:rPr>
          <w:rFonts w:cs="Times New Roman"/>
          <w:lang w:val="de-DE"/>
        </w:rPr>
        <w:t xml:space="preserve">, wobei </w:t>
      </w:r>
      <w:r w:rsidR="007E6BB0">
        <w:rPr>
          <w:rFonts w:cs="Times New Roman"/>
          <w:lang w:val="de-DE"/>
        </w:rPr>
        <w:t xml:space="preserve">– wie in der Bachelorarbeit schon angesprochen – </w:t>
      </w:r>
      <w:r w:rsidR="0073283F">
        <w:rPr>
          <w:rFonts w:cs="Times New Roman"/>
          <w:lang w:val="de-DE"/>
        </w:rPr>
        <w:t>ein Ganzes zwischen Herkunfts- und Ankun</w:t>
      </w:r>
      <w:r w:rsidR="007777BE">
        <w:rPr>
          <w:rFonts w:cs="Times New Roman"/>
          <w:lang w:val="de-DE"/>
        </w:rPr>
        <w:t>ftsgesellschaft bestrebt wurde, sondern auf den</w:t>
      </w:r>
      <w:r w:rsidR="007E6BB0">
        <w:rPr>
          <w:rFonts w:cs="Times New Roman"/>
          <w:lang w:val="de-DE"/>
        </w:rPr>
        <w:t xml:space="preserve"> Effekt, den der Andere bewirkt</w:t>
      </w:r>
      <w:r w:rsidR="004928BB">
        <w:rPr>
          <w:rFonts w:cs="Times New Roman"/>
          <w:lang w:val="de-DE"/>
        </w:rPr>
        <w:t xml:space="preserve">. </w:t>
      </w:r>
      <w:r w:rsidR="00931780">
        <w:rPr>
          <w:rFonts w:cs="Times New Roman"/>
          <w:lang w:val="de-DE"/>
        </w:rPr>
        <w:t>Außerdem schlägt</w:t>
      </w:r>
      <w:r w:rsidR="004928BB">
        <w:rPr>
          <w:rFonts w:cs="Times New Roman"/>
          <w:lang w:val="de-DE"/>
        </w:rPr>
        <w:t xml:space="preserve"> </w:t>
      </w:r>
      <w:r w:rsidR="0044359B">
        <w:rPr>
          <w:rFonts w:cs="Times New Roman"/>
          <w:lang w:val="de-DE"/>
        </w:rPr>
        <w:t>Levinas verschiedene Perspektiven auf den Anderen vor: Ersten</w:t>
      </w:r>
      <w:r w:rsidR="00DF6D81">
        <w:rPr>
          <w:rFonts w:cs="Times New Roman"/>
          <w:lang w:val="de-DE"/>
        </w:rPr>
        <w:t>s kann der Andere als einer, den</w:t>
      </w:r>
      <w:r w:rsidR="0044359B">
        <w:rPr>
          <w:rFonts w:cs="Times New Roman"/>
          <w:lang w:val="de-DE"/>
        </w:rPr>
        <w:t xml:space="preserve"> man bra</w:t>
      </w:r>
      <w:r w:rsidR="00AF196F">
        <w:rPr>
          <w:rFonts w:cs="Times New Roman"/>
          <w:lang w:val="de-DE"/>
        </w:rPr>
        <w:t>ucht, um eigene Nöte zu erfüllen, betrachtet werden.</w:t>
      </w:r>
      <w:r w:rsidR="0044359B">
        <w:rPr>
          <w:rFonts w:cs="Times New Roman"/>
          <w:lang w:val="de-DE"/>
        </w:rPr>
        <w:t xml:space="preserve"> Zweitens kann man den Anderen aus ästhetischer Perspektive betrachten, z. B. indem man auf </w:t>
      </w:r>
      <w:r w:rsidR="00931780">
        <w:rPr>
          <w:rFonts w:cs="Times New Roman"/>
          <w:lang w:val="de-DE"/>
        </w:rPr>
        <w:t>die Farbe der Augen oder Proportion des Gesichts</w:t>
      </w:r>
      <w:r w:rsidR="001348EA">
        <w:rPr>
          <w:rFonts w:cs="Times New Roman"/>
          <w:lang w:val="de-DE"/>
        </w:rPr>
        <w:t xml:space="preserve"> achtet</w:t>
      </w:r>
      <w:r w:rsidR="00931780">
        <w:rPr>
          <w:rFonts w:cs="Times New Roman"/>
          <w:lang w:val="de-DE"/>
        </w:rPr>
        <w:t xml:space="preserve">. </w:t>
      </w:r>
      <w:r w:rsidR="00931780" w:rsidRPr="00363740">
        <w:rPr>
          <w:rFonts w:cs="Times New Roman"/>
          <w:lang w:val="en-US"/>
        </w:rPr>
        <w:t>In diesen Fällen wird dem Anderss</w:t>
      </w:r>
      <w:r w:rsidR="001348EA" w:rsidRPr="00363740">
        <w:rPr>
          <w:rFonts w:cs="Times New Roman"/>
          <w:lang w:val="en-US"/>
        </w:rPr>
        <w:t xml:space="preserve">ein des Anderen nicht erlaubt, </w:t>
      </w:r>
      <w:r w:rsidR="00931780" w:rsidRPr="00363740">
        <w:rPr>
          <w:rFonts w:cs="Times New Roman"/>
          <w:lang w:val="en-US"/>
        </w:rPr>
        <w:t>sich selbst zu manifestieren, weil</w:t>
      </w:r>
      <w:r w:rsidR="00931780" w:rsidRPr="001348EA">
        <w:rPr>
          <w:rFonts w:cs="Times New Roman"/>
          <w:lang w:val="en-GB"/>
        </w:rPr>
        <w:t xml:space="preserve"> „[a]ll aspects manifested by a phenomenological description that </w:t>
      </w:r>
      <w:r w:rsidR="00931780" w:rsidRPr="001348EA">
        <w:rPr>
          <w:rFonts w:cs="Times New Roman"/>
          <w:lang w:val="en-GB"/>
        </w:rPr>
        <w:lastRenderedPageBreak/>
        <w:t>starts from these perspectives are immediately integrated by my self-centered, interested, and dominating consciousness.”</w:t>
      </w:r>
      <w:r w:rsidR="00931780">
        <w:rPr>
          <w:rStyle w:val="Voetnootmarkering"/>
          <w:rFonts w:cs="Times New Roman"/>
          <w:lang w:val="de-DE"/>
        </w:rPr>
        <w:footnoteReference w:id="64"/>
      </w:r>
      <w:r w:rsidR="001348EA">
        <w:rPr>
          <w:rFonts w:cs="Times New Roman"/>
          <w:lang w:val="en-GB"/>
        </w:rPr>
        <w:t xml:space="preserve"> </w:t>
      </w:r>
      <w:r w:rsidR="001348EA" w:rsidRPr="001348EA">
        <w:rPr>
          <w:rFonts w:cs="Times New Roman"/>
          <w:lang w:val="de-DE"/>
        </w:rPr>
        <w:t>A</w:t>
      </w:r>
      <w:r w:rsidR="001348EA">
        <w:rPr>
          <w:rFonts w:cs="Times New Roman"/>
          <w:lang w:val="de-DE"/>
        </w:rPr>
        <w:t xml:space="preserve">ußer </w:t>
      </w:r>
      <w:r w:rsidR="00235536">
        <w:rPr>
          <w:rFonts w:cs="Times New Roman"/>
          <w:lang w:val="de-DE"/>
        </w:rPr>
        <w:t xml:space="preserve">der Erscheinung des </w:t>
      </w:r>
      <w:r w:rsidR="007777BE">
        <w:rPr>
          <w:rFonts w:cs="Times New Roman"/>
          <w:lang w:val="de-DE"/>
        </w:rPr>
        <w:t>Anderen</w:t>
      </w:r>
      <w:r w:rsidR="00235536">
        <w:rPr>
          <w:rFonts w:cs="Times New Roman"/>
          <w:lang w:val="de-DE"/>
        </w:rPr>
        <w:t xml:space="preserve"> verweist </w:t>
      </w:r>
      <w:r w:rsidR="007B520D">
        <w:rPr>
          <w:rFonts w:cs="Times New Roman"/>
          <w:lang w:val="de-DE"/>
        </w:rPr>
        <w:t xml:space="preserve">Levinas </w:t>
      </w:r>
      <w:r w:rsidR="00235536">
        <w:rPr>
          <w:rFonts w:cs="Times New Roman"/>
          <w:lang w:val="de-DE"/>
        </w:rPr>
        <w:t>auf dessen Sprache</w:t>
      </w:r>
      <w:r w:rsidR="007B520D">
        <w:rPr>
          <w:rFonts w:cs="Times New Roman"/>
          <w:lang w:val="de-DE"/>
        </w:rPr>
        <w:t xml:space="preserve">, indem er behauptet, dass unter anderem die </w:t>
      </w:r>
      <w:r w:rsidR="007B520D" w:rsidRPr="00466347">
        <w:rPr>
          <w:rFonts w:cs="Times New Roman"/>
          <w:lang w:val="de-DE"/>
        </w:rPr>
        <w:t>Sprache</w:t>
      </w:r>
      <w:r w:rsidR="007B520D">
        <w:rPr>
          <w:rFonts w:cs="Times New Roman"/>
          <w:lang w:val="de-DE"/>
        </w:rPr>
        <w:t xml:space="preserve"> des Anderen die Ordnung der Welt des Egos – in </w:t>
      </w:r>
      <w:r w:rsidR="007B520D">
        <w:rPr>
          <w:rFonts w:cs="Times New Roman"/>
          <w:i/>
          <w:lang w:val="de-DE"/>
        </w:rPr>
        <w:t xml:space="preserve">Tauben fliegen auf </w:t>
      </w:r>
      <w:r w:rsidR="007B520D">
        <w:rPr>
          <w:rFonts w:cs="Times New Roman"/>
          <w:lang w:val="de-DE"/>
        </w:rPr>
        <w:t>die der schweizerischen Gesellschaft und k</w:t>
      </w:r>
      <w:r w:rsidR="00600FB8">
        <w:rPr>
          <w:rFonts w:cs="Times New Roman"/>
          <w:lang w:val="de-DE"/>
        </w:rPr>
        <w:t>onkreter der Kunden des Mondial</w:t>
      </w:r>
      <w:r w:rsidR="007B520D">
        <w:rPr>
          <w:rFonts w:cs="Times New Roman"/>
          <w:lang w:val="de-DE"/>
        </w:rPr>
        <w:t xml:space="preserve"> – </w:t>
      </w:r>
      <w:r w:rsidR="007E6BB0">
        <w:rPr>
          <w:rFonts w:cs="Times New Roman"/>
          <w:lang w:val="de-DE"/>
        </w:rPr>
        <w:t>durcheinanderbringt</w:t>
      </w:r>
      <w:r w:rsidR="007B520D">
        <w:rPr>
          <w:rFonts w:cs="Times New Roman"/>
          <w:lang w:val="de-DE"/>
        </w:rPr>
        <w:t xml:space="preserve"> und verstört</w:t>
      </w:r>
      <w:r w:rsidR="00C9080E">
        <w:rPr>
          <w:rFonts w:cs="Times New Roman"/>
          <w:lang w:val="de-DE"/>
        </w:rPr>
        <w:t>, ohne dass die vorherige Ordnung je wiederhergestellt wird.</w:t>
      </w:r>
      <w:r w:rsidR="007B520D">
        <w:rPr>
          <w:rStyle w:val="Voetnootmarkering"/>
          <w:rFonts w:cs="Times New Roman"/>
          <w:lang w:val="de-DE"/>
        </w:rPr>
        <w:footnoteReference w:id="65"/>
      </w:r>
      <w:r w:rsidR="00C9080E">
        <w:rPr>
          <w:rFonts w:cs="Times New Roman"/>
          <w:lang w:val="de-DE"/>
        </w:rPr>
        <w:t xml:space="preserve"> Levinas behauptet in dem Zusammenhang sogar, dass, auch wenn der Andere getötet oder verjagt wird, nichts wieder so wird, wie es war.</w:t>
      </w:r>
      <w:r w:rsidR="007B520D">
        <w:rPr>
          <w:rFonts w:cs="Times New Roman"/>
          <w:lang w:val="de-DE"/>
        </w:rPr>
        <w:t xml:space="preserve"> </w:t>
      </w:r>
      <w:r w:rsidR="00C9080E">
        <w:rPr>
          <w:rFonts w:cs="Times New Roman"/>
          <w:lang w:val="de-DE"/>
        </w:rPr>
        <w:t xml:space="preserve">Dieser Aspekt kann in </w:t>
      </w:r>
      <w:r w:rsidR="00F73DBD">
        <w:rPr>
          <w:rFonts w:cs="Times New Roman"/>
          <w:lang w:val="de-DE"/>
        </w:rPr>
        <w:t>Ildikó</w:t>
      </w:r>
      <w:r w:rsidR="00C9080E">
        <w:rPr>
          <w:rFonts w:cs="Times New Roman"/>
          <w:lang w:val="de-DE"/>
        </w:rPr>
        <w:t xml:space="preserve">s Fall nicht weiter untersucht werden, weil mit ihrem Wegzug aus dem Elternhaus </w:t>
      </w:r>
      <w:r w:rsidR="0044359B">
        <w:rPr>
          <w:rFonts w:cs="Times New Roman"/>
          <w:lang w:val="de-DE"/>
        </w:rPr>
        <w:t xml:space="preserve">auch </w:t>
      </w:r>
      <w:r w:rsidR="00E30DA8">
        <w:rPr>
          <w:rFonts w:cs="Times New Roman"/>
          <w:lang w:val="de-DE"/>
        </w:rPr>
        <w:t xml:space="preserve">der Blick auf </w:t>
      </w:r>
      <w:r w:rsidR="0044359B">
        <w:rPr>
          <w:rFonts w:cs="Times New Roman"/>
          <w:lang w:val="de-DE"/>
        </w:rPr>
        <w:t xml:space="preserve">die Perspektive der schweizerischen Bevölkerung verschwindet. </w:t>
      </w:r>
      <w:r w:rsidR="00641073">
        <w:rPr>
          <w:rFonts w:cs="Times New Roman"/>
          <w:lang w:val="de-DE"/>
        </w:rPr>
        <w:t>St</w:t>
      </w:r>
      <w:r w:rsidR="0073283F">
        <w:rPr>
          <w:rFonts w:cs="Times New Roman"/>
          <w:lang w:val="de-DE"/>
        </w:rPr>
        <w:t>attdessen will die vorliegende Mastera</w:t>
      </w:r>
      <w:r w:rsidR="00452CC4">
        <w:rPr>
          <w:rFonts w:cs="Times New Roman"/>
          <w:lang w:val="de-DE"/>
        </w:rPr>
        <w:t xml:space="preserve">rbeit </w:t>
      </w:r>
      <w:r w:rsidR="00641073">
        <w:rPr>
          <w:rFonts w:cs="Times New Roman"/>
          <w:lang w:val="de-DE"/>
        </w:rPr>
        <w:t xml:space="preserve">untersuchen, wie </w:t>
      </w:r>
      <w:r w:rsidR="00F73DBD">
        <w:rPr>
          <w:rFonts w:cs="Times New Roman"/>
          <w:lang w:val="de-DE"/>
        </w:rPr>
        <w:t>Ildikó</w:t>
      </w:r>
      <w:r w:rsidR="00641073">
        <w:rPr>
          <w:rFonts w:cs="Times New Roman"/>
          <w:lang w:val="de-DE"/>
        </w:rPr>
        <w:t>, statt</w:t>
      </w:r>
      <w:r w:rsidR="00452CC4">
        <w:rPr>
          <w:rFonts w:cs="Times New Roman"/>
          <w:lang w:val="de-DE"/>
        </w:rPr>
        <w:t xml:space="preserve"> sich</w:t>
      </w:r>
      <w:r w:rsidR="00641073">
        <w:rPr>
          <w:rFonts w:cs="Times New Roman"/>
          <w:lang w:val="de-DE"/>
        </w:rPr>
        <w:t xml:space="preserve"> zu integrieren,</w:t>
      </w:r>
      <w:r w:rsidR="007777BE">
        <w:rPr>
          <w:rFonts w:cs="Times New Roman"/>
          <w:lang w:val="de-DE"/>
        </w:rPr>
        <w:t xml:space="preserve"> nicht nur den Horizont ihrer Umgebung, sondern auch und vor allem</w:t>
      </w:r>
      <w:r w:rsidR="00641073">
        <w:rPr>
          <w:rFonts w:cs="Times New Roman"/>
          <w:lang w:val="de-DE"/>
        </w:rPr>
        <w:t xml:space="preserve"> ihren </w:t>
      </w:r>
      <w:r w:rsidR="007777BE">
        <w:rPr>
          <w:rFonts w:cs="Times New Roman"/>
          <w:lang w:val="de-DE"/>
        </w:rPr>
        <w:t xml:space="preserve">eigenen </w:t>
      </w:r>
      <w:r w:rsidR="00641073">
        <w:rPr>
          <w:rFonts w:cs="Times New Roman"/>
          <w:lang w:val="de-DE"/>
        </w:rPr>
        <w:t>Horizont durchbricht, nämlich anhand von Sprache.</w:t>
      </w:r>
    </w:p>
    <w:p w14:paraId="6B99DFB8" w14:textId="26B348B0" w:rsidR="00387F23" w:rsidRDefault="00CF2C0F" w:rsidP="00C30360">
      <w:pPr>
        <w:tabs>
          <w:tab w:val="left" w:pos="7088"/>
        </w:tabs>
        <w:ind w:firstLine="708"/>
        <w:rPr>
          <w:rFonts w:cs="Times New Roman"/>
          <w:lang w:val="fr-FR"/>
        </w:rPr>
      </w:pPr>
      <w:r>
        <w:rPr>
          <w:rFonts w:cs="Times New Roman"/>
          <w:lang w:val="de-DE"/>
        </w:rPr>
        <w:t>Außer Levinas hat auch die französische Philosophin Simone de Beauvoir zu</w:t>
      </w:r>
      <w:r w:rsidR="00503121">
        <w:rPr>
          <w:rFonts w:cs="Times New Roman"/>
          <w:lang w:val="de-DE"/>
        </w:rPr>
        <w:t xml:space="preserve">m Konzept des Anderen geschrieben. In der Einführung zu ihrem Werk </w:t>
      </w:r>
      <w:r w:rsidR="00503121">
        <w:rPr>
          <w:rFonts w:cs="Times New Roman"/>
          <w:i/>
          <w:lang w:val="de-DE"/>
        </w:rPr>
        <w:t xml:space="preserve">Le Deuxième Sexe </w:t>
      </w:r>
      <w:r w:rsidR="00503121">
        <w:rPr>
          <w:rFonts w:cs="Times New Roman"/>
          <w:lang w:val="de-DE"/>
        </w:rPr>
        <w:t>beschr</w:t>
      </w:r>
      <w:r w:rsidR="00C20919">
        <w:rPr>
          <w:rFonts w:cs="Times New Roman"/>
          <w:lang w:val="de-DE"/>
        </w:rPr>
        <w:t>ieb</w:t>
      </w:r>
      <w:r w:rsidR="00503121">
        <w:rPr>
          <w:rFonts w:cs="Times New Roman"/>
          <w:lang w:val="de-DE"/>
        </w:rPr>
        <w:t xml:space="preserve"> sie, wie die Frau</w:t>
      </w:r>
      <w:r w:rsidR="0000747E">
        <w:rPr>
          <w:rFonts w:cs="Times New Roman"/>
          <w:lang w:val="de-DE"/>
        </w:rPr>
        <w:t>, im Gegensatz zum Mann,</w:t>
      </w:r>
      <w:r w:rsidR="00503121">
        <w:rPr>
          <w:rFonts w:cs="Times New Roman"/>
          <w:lang w:val="de-DE"/>
        </w:rPr>
        <w:t xml:space="preserve"> die Rolle des Anderen auf sich nimmt</w:t>
      </w:r>
      <w:r w:rsidR="0000747E">
        <w:rPr>
          <w:rFonts w:cs="Times New Roman"/>
          <w:lang w:val="de-DE"/>
        </w:rPr>
        <w:t xml:space="preserve">: </w:t>
      </w:r>
      <w:r w:rsidR="0000747E" w:rsidRPr="00924C22">
        <w:rPr>
          <w:rFonts w:cs="Times New Roman"/>
          <w:lang w:val="de-DE"/>
        </w:rPr>
        <w:t xml:space="preserve">„Elle se détermine et se différencie par rapport à l’homme et non celui-ci par rapport à elle: elle est l’inessentiel en face de l’essentiel. </w:t>
      </w:r>
      <w:r w:rsidR="0000747E" w:rsidRPr="0000747E">
        <w:rPr>
          <w:rFonts w:cs="Times New Roman"/>
          <w:lang w:val="fr-FR"/>
        </w:rPr>
        <w:t>Il est le Sujet, il est l’Absolu: elle est l’Autre.</w:t>
      </w:r>
      <w:r w:rsidR="00BD3B56" w:rsidRPr="00924C22">
        <w:rPr>
          <w:rFonts w:cs="Times New Roman"/>
          <w:lang w:val="fr-FR"/>
        </w:rPr>
        <w:t>“</w:t>
      </w:r>
      <w:r w:rsidR="00BD3B56">
        <w:rPr>
          <w:rStyle w:val="Voetnootmarkering"/>
          <w:rFonts w:cs="Times New Roman"/>
          <w:lang w:val="de-DE"/>
        </w:rPr>
        <w:footnoteReference w:id="66"/>
      </w:r>
      <w:r w:rsidR="0000747E" w:rsidRPr="0000747E">
        <w:rPr>
          <w:rFonts w:cs="Times New Roman"/>
          <w:lang w:val="fr-FR"/>
        </w:rPr>
        <w:t xml:space="preserve"> </w:t>
      </w:r>
      <w:r w:rsidR="00387F23" w:rsidRPr="00387F23">
        <w:rPr>
          <w:rFonts w:cs="Times New Roman"/>
          <w:lang w:val="de-DE"/>
        </w:rPr>
        <w:t>De Beauvoir behauptet</w:t>
      </w:r>
      <w:r w:rsidR="00C20919">
        <w:rPr>
          <w:rFonts w:cs="Times New Roman"/>
          <w:lang w:val="de-DE"/>
        </w:rPr>
        <w:t>e</w:t>
      </w:r>
      <w:r w:rsidR="00387F23" w:rsidRPr="00387F23">
        <w:rPr>
          <w:rFonts w:cs="Times New Roman"/>
          <w:lang w:val="de-DE"/>
        </w:rPr>
        <w:t>, dass die Frau die Andere par e</w:t>
      </w:r>
      <w:r w:rsidR="00387F23">
        <w:rPr>
          <w:rFonts w:cs="Times New Roman"/>
          <w:lang w:val="de-DE"/>
        </w:rPr>
        <w:t xml:space="preserve">xcellence ist, anhand </w:t>
      </w:r>
      <w:r w:rsidR="00C20919">
        <w:rPr>
          <w:rFonts w:cs="Times New Roman"/>
          <w:lang w:val="de-DE"/>
        </w:rPr>
        <w:t>von der</w:t>
      </w:r>
      <w:r w:rsidR="00387F23">
        <w:rPr>
          <w:rFonts w:cs="Times New Roman"/>
          <w:lang w:val="de-DE"/>
        </w:rPr>
        <w:t xml:space="preserve"> der Mann sein eigen</w:t>
      </w:r>
      <w:r w:rsidR="00C20919">
        <w:rPr>
          <w:rFonts w:cs="Times New Roman"/>
          <w:lang w:val="de-DE"/>
        </w:rPr>
        <w:t>es</w:t>
      </w:r>
      <w:r w:rsidR="00387F23">
        <w:rPr>
          <w:rFonts w:cs="Times New Roman"/>
          <w:lang w:val="de-DE"/>
        </w:rPr>
        <w:t xml:space="preserve"> Subjekt konstruieren kann. Hier zeigt sich </w:t>
      </w:r>
      <w:r w:rsidR="003147E9">
        <w:rPr>
          <w:rFonts w:cs="Times New Roman"/>
          <w:lang w:val="de-DE"/>
        </w:rPr>
        <w:t xml:space="preserve">erneut </w:t>
      </w:r>
      <w:r w:rsidR="00387F23">
        <w:rPr>
          <w:rFonts w:cs="Times New Roman"/>
          <w:lang w:val="de-DE"/>
        </w:rPr>
        <w:t xml:space="preserve">eine Parallele zum Orientalismus: </w:t>
      </w:r>
      <w:r w:rsidR="008D199A">
        <w:rPr>
          <w:lang w:val="de-DE"/>
        </w:rPr>
        <w:t xml:space="preserve">Genauso wie der Westen den Osten einerseits als anders und deswegen unterlegen definiert, diesen Anderen andererseits für seine Selbstdefinierung braucht, definiert der Mann die Frau als anders und unterlegen und braucht sie für </w:t>
      </w:r>
      <w:r w:rsidR="00C20919">
        <w:rPr>
          <w:lang w:val="de-DE"/>
        </w:rPr>
        <w:t>die Definierung seines Selbst</w:t>
      </w:r>
      <w:r w:rsidR="008D199A">
        <w:rPr>
          <w:lang w:val="de-DE"/>
        </w:rPr>
        <w:t xml:space="preserve">. </w:t>
      </w:r>
      <w:r w:rsidR="008D199A">
        <w:rPr>
          <w:rFonts w:cs="Times New Roman"/>
          <w:lang w:val="de-DE"/>
        </w:rPr>
        <w:t xml:space="preserve">Ihre </w:t>
      </w:r>
      <w:r w:rsidR="0096175B" w:rsidRPr="00551024">
        <w:rPr>
          <w:rFonts w:cs="Times New Roman"/>
          <w:lang w:val="de-DE"/>
        </w:rPr>
        <w:t xml:space="preserve">Philosophie </w:t>
      </w:r>
      <w:r w:rsidR="008D199A">
        <w:rPr>
          <w:rFonts w:cs="Times New Roman"/>
          <w:lang w:val="de-DE"/>
        </w:rPr>
        <w:t xml:space="preserve">wird </w:t>
      </w:r>
      <w:r w:rsidR="00441C62" w:rsidRPr="00551024">
        <w:rPr>
          <w:rFonts w:cs="Times New Roman"/>
          <w:lang w:val="de-DE"/>
        </w:rPr>
        <w:t xml:space="preserve">oft in Bezug </w:t>
      </w:r>
      <w:r w:rsidR="00452CC4">
        <w:rPr>
          <w:rFonts w:cs="Times New Roman"/>
          <w:lang w:val="de-DE"/>
        </w:rPr>
        <w:t>zu der ihres</w:t>
      </w:r>
      <w:r w:rsidR="00441C62" w:rsidRPr="00551024">
        <w:rPr>
          <w:rFonts w:cs="Times New Roman"/>
          <w:lang w:val="de-DE"/>
        </w:rPr>
        <w:t xml:space="preserve"> Mannes</w:t>
      </w:r>
      <w:r w:rsidR="006E123B">
        <w:rPr>
          <w:rFonts w:cs="Times New Roman"/>
          <w:lang w:val="de-DE"/>
        </w:rPr>
        <w:t xml:space="preserve"> Jean-Paul Sartre</w:t>
      </w:r>
      <w:r w:rsidR="00924C22">
        <w:rPr>
          <w:rFonts w:cs="Times New Roman"/>
          <w:lang w:val="de-DE"/>
        </w:rPr>
        <w:t>, nämlich de</w:t>
      </w:r>
      <w:r w:rsidR="00452CC4">
        <w:rPr>
          <w:rFonts w:cs="Times New Roman"/>
          <w:lang w:val="de-DE"/>
        </w:rPr>
        <w:t>m</w:t>
      </w:r>
      <w:r w:rsidR="00924C22">
        <w:rPr>
          <w:rFonts w:cs="Times New Roman"/>
          <w:lang w:val="de-DE"/>
        </w:rPr>
        <w:t xml:space="preserve"> Existentialismus,</w:t>
      </w:r>
      <w:r w:rsidR="00441C62" w:rsidRPr="00551024">
        <w:rPr>
          <w:rFonts w:cs="Times New Roman"/>
          <w:lang w:val="de-DE"/>
        </w:rPr>
        <w:t xml:space="preserve"> erwähnt. </w:t>
      </w:r>
      <w:r w:rsidR="00C30360">
        <w:rPr>
          <w:rFonts w:cs="Times New Roman"/>
          <w:lang w:val="de-DE"/>
        </w:rPr>
        <w:t>De Beauvoir hat die existentialistische Idee eines Gegensatzes zwischen „a sovereign self – a subject – and an objectified Other</w:t>
      </w:r>
      <w:r w:rsidR="00924C22">
        <w:rPr>
          <w:rFonts w:cs="Times New Roman"/>
          <w:lang w:val="de-DE"/>
        </w:rPr>
        <w:t>“</w:t>
      </w:r>
      <w:r w:rsidR="00924C22">
        <w:rPr>
          <w:rStyle w:val="Voetnootmarkering"/>
          <w:rFonts w:cs="Times New Roman"/>
          <w:lang w:val="de-DE"/>
        </w:rPr>
        <w:footnoteReference w:id="67"/>
      </w:r>
      <w:r w:rsidR="00C30360">
        <w:rPr>
          <w:rFonts w:cs="Times New Roman"/>
          <w:lang w:val="de-DE"/>
        </w:rPr>
        <w:t xml:space="preserve"> von ihrem Mann </w:t>
      </w:r>
      <w:r w:rsidR="007777BE">
        <w:rPr>
          <w:rFonts w:cs="Times New Roman"/>
          <w:lang w:val="de-DE"/>
        </w:rPr>
        <w:t xml:space="preserve">zwar </w:t>
      </w:r>
      <w:r w:rsidR="00C30360">
        <w:rPr>
          <w:rFonts w:cs="Times New Roman"/>
          <w:lang w:val="de-DE"/>
        </w:rPr>
        <w:t xml:space="preserve">übernommen, </w:t>
      </w:r>
      <w:r w:rsidR="007777BE">
        <w:rPr>
          <w:rFonts w:cs="Times New Roman"/>
          <w:lang w:val="de-DE"/>
        </w:rPr>
        <w:t>aber</w:t>
      </w:r>
      <w:r w:rsidR="00C30360">
        <w:rPr>
          <w:rFonts w:cs="Times New Roman"/>
          <w:lang w:val="de-DE"/>
        </w:rPr>
        <w:t xml:space="preserve"> hat sie mit der Beziehung zwischen Männern und Frauen verknüpft. </w:t>
      </w:r>
      <w:r w:rsidR="00C30360" w:rsidRPr="00924C22">
        <w:rPr>
          <w:rFonts w:cs="Times New Roman"/>
          <w:lang w:val="fr-FR"/>
        </w:rPr>
        <w:t xml:space="preserve">Sie sagt dazu Folgendes: „Dans la mesure où la femme est considérée comme </w:t>
      </w:r>
      <w:r w:rsidR="0073283F">
        <w:rPr>
          <w:rFonts w:cs="Times New Roman"/>
          <w:lang w:val="fr-FR"/>
        </w:rPr>
        <w:t xml:space="preserve">l’Autre absolu, c’est-à-dire, </w:t>
      </w:r>
      <w:r w:rsidR="0073283F" w:rsidRPr="0073283F">
        <w:rPr>
          <w:rFonts w:cs="Times New Roman"/>
          <w:lang w:val="fr-FR"/>
        </w:rPr>
        <w:t>–</w:t>
      </w:r>
      <w:r w:rsidR="0073283F">
        <w:rPr>
          <w:rFonts w:cs="Times New Roman"/>
          <w:lang w:val="fr-FR"/>
        </w:rPr>
        <w:t xml:space="preserve"> quelle que soit </w:t>
      </w:r>
      <w:r w:rsidR="0073283F">
        <w:rPr>
          <w:rFonts w:cs="Times New Roman"/>
          <w:lang w:val="fr-FR"/>
        </w:rPr>
        <w:lastRenderedPageBreak/>
        <w:t xml:space="preserve">sa magie, </w:t>
      </w:r>
      <w:r w:rsidR="0073283F" w:rsidRPr="0073283F">
        <w:rPr>
          <w:rFonts w:cs="Times New Roman"/>
          <w:lang w:val="fr-FR"/>
        </w:rPr>
        <w:t>–</w:t>
      </w:r>
      <w:r w:rsidR="00C30360" w:rsidRPr="00924C22">
        <w:rPr>
          <w:rFonts w:cs="Times New Roman"/>
          <w:lang w:val="fr-FR"/>
        </w:rPr>
        <w:t xml:space="preserve"> com</w:t>
      </w:r>
      <w:r w:rsidR="00E30DA8">
        <w:rPr>
          <w:rFonts w:cs="Times New Roman"/>
          <w:lang w:val="fr-FR"/>
        </w:rPr>
        <w:t>me l’inessentiel, il est précisé</w:t>
      </w:r>
      <w:r w:rsidR="00C30360" w:rsidRPr="00924C22">
        <w:rPr>
          <w:rFonts w:cs="Times New Roman"/>
          <w:lang w:val="fr-FR"/>
        </w:rPr>
        <w:t>ment impossible de la regarder comme un autre sujet.”</w:t>
      </w:r>
      <w:r w:rsidR="00C30360">
        <w:rPr>
          <w:rStyle w:val="Voetnootmarkering"/>
          <w:rFonts w:cs="Times New Roman"/>
          <w:lang w:val="es-ES"/>
        </w:rPr>
        <w:footnoteReference w:id="68"/>
      </w:r>
      <w:r w:rsidR="00C30360" w:rsidRPr="00924C22">
        <w:rPr>
          <w:rFonts w:cs="Times New Roman"/>
          <w:lang w:val="fr-FR"/>
        </w:rPr>
        <w:t xml:space="preserve"> </w:t>
      </w:r>
    </w:p>
    <w:p w14:paraId="20E96782" w14:textId="0BCC9C3B" w:rsidR="00533244" w:rsidRDefault="00441C62" w:rsidP="00C30360">
      <w:pPr>
        <w:tabs>
          <w:tab w:val="left" w:pos="7088"/>
        </w:tabs>
        <w:ind w:firstLine="708"/>
        <w:rPr>
          <w:rFonts w:cs="Times New Roman"/>
          <w:lang w:val="de-DE"/>
        </w:rPr>
      </w:pPr>
      <w:r w:rsidRPr="00551024">
        <w:rPr>
          <w:rFonts w:cs="Times New Roman"/>
          <w:lang w:val="de-DE"/>
        </w:rPr>
        <w:t>Aus einem existentiellen Blickwinkel soll die Frau sich selbst aus ihrer Position zweiten Ranges befreien</w:t>
      </w:r>
      <w:r w:rsidR="007777BE">
        <w:rPr>
          <w:rFonts w:cs="Times New Roman"/>
          <w:lang w:val="de-DE"/>
        </w:rPr>
        <w:t>, um zum Subjekt zu werden</w:t>
      </w:r>
      <w:r w:rsidRPr="00551024">
        <w:rPr>
          <w:rFonts w:cs="Times New Roman"/>
          <w:lang w:val="de-DE"/>
        </w:rPr>
        <w:t xml:space="preserve">: Die Verantwortlichkeit des Erfolgs oder des Scheiterns </w:t>
      </w:r>
      <w:r w:rsidR="00C20919">
        <w:rPr>
          <w:rFonts w:cs="Times New Roman"/>
          <w:lang w:val="de-DE"/>
        </w:rPr>
        <w:t xml:space="preserve">dieses Unternehmens </w:t>
      </w:r>
      <w:r w:rsidRPr="00551024">
        <w:rPr>
          <w:rFonts w:cs="Times New Roman"/>
          <w:lang w:val="de-DE"/>
        </w:rPr>
        <w:t xml:space="preserve">liegt beim </w:t>
      </w:r>
      <w:r w:rsidR="00C30360">
        <w:rPr>
          <w:rFonts w:cs="Times New Roman"/>
          <w:lang w:val="de-DE"/>
        </w:rPr>
        <w:t xml:space="preserve">weiblichen </w:t>
      </w:r>
      <w:r w:rsidRPr="00551024">
        <w:rPr>
          <w:rFonts w:cs="Times New Roman"/>
          <w:lang w:val="de-DE"/>
        </w:rPr>
        <w:t xml:space="preserve">Individuum. </w:t>
      </w:r>
      <w:r w:rsidR="00843D3F" w:rsidRPr="00551024">
        <w:rPr>
          <w:rFonts w:cs="Times New Roman"/>
          <w:lang w:val="de-DE"/>
        </w:rPr>
        <w:t xml:space="preserve">In der Bachelorarbeit </w:t>
      </w:r>
      <w:r w:rsidR="008C1971" w:rsidRPr="00551024">
        <w:rPr>
          <w:rFonts w:cs="Times New Roman"/>
          <w:lang w:val="de-DE"/>
        </w:rPr>
        <w:t xml:space="preserve">wurde schon bewiesen, dass </w:t>
      </w:r>
      <w:r w:rsidR="00F73DBD">
        <w:rPr>
          <w:rFonts w:cs="Times New Roman"/>
          <w:lang w:val="de-DE"/>
        </w:rPr>
        <w:t>Ildikó</w:t>
      </w:r>
      <w:r w:rsidR="008C1971" w:rsidRPr="00551024">
        <w:rPr>
          <w:rFonts w:cs="Times New Roman"/>
          <w:lang w:val="de-DE"/>
        </w:rPr>
        <w:t xml:space="preserve"> selbst Teil am Scheitern ihrer Integration hat</w:t>
      </w:r>
      <w:r w:rsidR="00AC233D">
        <w:rPr>
          <w:rFonts w:cs="Times New Roman"/>
          <w:lang w:val="de-DE"/>
        </w:rPr>
        <w:t>.</w:t>
      </w:r>
      <w:r w:rsidR="008C1971" w:rsidRPr="00551024">
        <w:rPr>
          <w:rStyle w:val="Voetnootmarkering"/>
          <w:rFonts w:cs="Times New Roman"/>
          <w:lang w:val="de-DE"/>
        </w:rPr>
        <w:footnoteReference w:id="69"/>
      </w:r>
      <w:r w:rsidR="007777BE">
        <w:rPr>
          <w:rFonts w:cs="Times New Roman"/>
          <w:lang w:val="de-DE"/>
        </w:rPr>
        <w:t xml:space="preserve"> </w:t>
      </w:r>
      <w:r w:rsidR="008821AD">
        <w:rPr>
          <w:rFonts w:cs="Times New Roman"/>
          <w:lang w:val="de-DE"/>
        </w:rPr>
        <w:t>Es wurde a</w:t>
      </w:r>
      <w:r w:rsidR="00452CC4">
        <w:rPr>
          <w:rFonts w:cs="Times New Roman"/>
          <w:lang w:val="de-DE"/>
        </w:rPr>
        <w:t>ngeführt, dass die erfolgreiche</w:t>
      </w:r>
      <w:r w:rsidR="008821AD">
        <w:rPr>
          <w:rFonts w:cs="Times New Roman"/>
          <w:lang w:val="de-DE"/>
        </w:rPr>
        <w:t xml:space="preserve"> Integration </w:t>
      </w:r>
      <w:r w:rsidR="00452CC4">
        <w:rPr>
          <w:rFonts w:cs="Times New Roman"/>
          <w:lang w:val="de-DE"/>
        </w:rPr>
        <w:t>durch den</w:t>
      </w:r>
      <w:r w:rsidR="008821AD">
        <w:rPr>
          <w:rFonts w:cs="Times New Roman"/>
          <w:lang w:val="de-DE"/>
        </w:rPr>
        <w:t xml:space="preserve"> Auszug aus dem Elternhaus erreicht wird. </w:t>
      </w:r>
      <w:bookmarkStart w:id="18" w:name="_Hlk513479662"/>
      <w:r w:rsidR="008821AD">
        <w:rPr>
          <w:rFonts w:cs="Times New Roman"/>
          <w:lang w:val="de-DE"/>
        </w:rPr>
        <w:t>Die Masterarbeit stützt diese Argumentation, will</w:t>
      </w:r>
      <w:r w:rsidR="00452CC4">
        <w:rPr>
          <w:rFonts w:cs="Times New Roman"/>
          <w:lang w:val="de-DE"/>
        </w:rPr>
        <w:t xml:space="preserve"> aber</w:t>
      </w:r>
      <w:r w:rsidR="008821AD">
        <w:rPr>
          <w:rFonts w:cs="Times New Roman"/>
          <w:lang w:val="de-DE"/>
        </w:rPr>
        <w:t xml:space="preserve"> noch hinzufügen, dass hauptsächlich Ildikós sprachliche Entwicklung zum Ausbruch aus ihrer Unterdrückung und der darauffolgenden gelungenen Integration beiträgt. </w:t>
      </w:r>
    </w:p>
    <w:p w14:paraId="07BFABB8" w14:textId="189AF989" w:rsidR="004B7B7D" w:rsidRDefault="00452CC4" w:rsidP="00733006">
      <w:pPr>
        <w:pStyle w:val="Tekstopmerking"/>
        <w:spacing w:line="360" w:lineRule="auto"/>
        <w:ind w:firstLine="708"/>
        <w:rPr>
          <w:rFonts w:cs="Times New Roman"/>
          <w:sz w:val="24"/>
          <w:lang w:val="de-DE"/>
        </w:rPr>
      </w:pPr>
      <w:bookmarkStart w:id="19" w:name="_Hlk513479672"/>
      <w:bookmarkEnd w:id="18"/>
      <w:r>
        <w:rPr>
          <w:rFonts w:cs="Times New Roman"/>
          <w:sz w:val="24"/>
          <w:szCs w:val="24"/>
          <w:lang w:val="de-DE"/>
        </w:rPr>
        <w:t>Die</w:t>
      </w:r>
      <w:r w:rsidR="00786380" w:rsidRPr="0034723D">
        <w:rPr>
          <w:rFonts w:cs="Times New Roman"/>
          <w:sz w:val="24"/>
          <w:szCs w:val="24"/>
          <w:lang w:val="de-DE"/>
        </w:rPr>
        <w:t xml:space="preserve"> vorliegende Masterarbeit </w:t>
      </w:r>
      <w:r>
        <w:rPr>
          <w:rFonts w:cs="Times New Roman"/>
          <w:sz w:val="24"/>
          <w:szCs w:val="24"/>
          <w:lang w:val="de-DE"/>
        </w:rPr>
        <w:t>fokussiert sich</w:t>
      </w:r>
      <w:r w:rsidR="00533244" w:rsidRPr="0034723D">
        <w:rPr>
          <w:rFonts w:cs="Times New Roman"/>
          <w:sz w:val="24"/>
          <w:szCs w:val="24"/>
          <w:lang w:val="de-DE"/>
        </w:rPr>
        <w:t xml:space="preserve"> nicht mehr auf </w:t>
      </w:r>
      <w:r w:rsidR="00F73DBD" w:rsidRPr="0034723D">
        <w:rPr>
          <w:rFonts w:cs="Times New Roman"/>
          <w:sz w:val="24"/>
          <w:szCs w:val="24"/>
          <w:lang w:val="de-DE"/>
        </w:rPr>
        <w:t>Ildikó</w:t>
      </w:r>
      <w:r w:rsidR="00533244" w:rsidRPr="0034723D">
        <w:rPr>
          <w:rFonts w:cs="Times New Roman"/>
          <w:sz w:val="24"/>
          <w:szCs w:val="24"/>
          <w:lang w:val="de-DE"/>
        </w:rPr>
        <w:t>s Integration</w:t>
      </w:r>
      <w:r w:rsidR="00855F5F" w:rsidRPr="0034723D">
        <w:rPr>
          <w:rFonts w:cs="Times New Roman"/>
          <w:sz w:val="24"/>
          <w:szCs w:val="24"/>
          <w:lang w:val="de-DE"/>
        </w:rPr>
        <w:t xml:space="preserve"> </w:t>
      </w:r>
      <w:r w:rsidR="00B865BD" w:rsidRPr="0034723D">
        <w:rPr>
          <w:rFonts w:cs="Times New Roman"/>
          <w:sz w:val="24"/>
          <w:szCs w:val="24"/>
          <w:lang w:val="de-DE"/>
        </w:rPr>
        <w:t xml:space="preserve">in die schweizerische Gesellschaft </w:t>
      </w:r>
      <w:r w:rsidR="00855F5F" w:rsidRPr="0034723D">
        <w:rPr>
          <w:rFonts w:cs="Times New Roman"/>
          <w:sz w:val="24"/>
          <w:szCs w:val="24"/>
          <w:lang w:val="de-DE"/>
        </w:rPr>
        <w:t>und deren anfänglichen Scheitern</w:t>
      </w:r>
      <w:r w:rsidR="00533244" w:rsidRPr="0034723D">
        <w:rPr>
          <w:rFonts w:cs="Times New Roman"/>
          <w:sz w:val="24"/>
          <w:szCs w:val="24"/>
          <w:lang w:val="de-DE"/>
        </w:rPr>
        <w:t xml:space="preserve">, sondern </w:t>
      </w:r>
      <w:r>
        <w:rPr>
          <w:rFonts w:cs="Times New Roman"/>
          <w:sz w:val="24"/>
          <w:szCs w:val="24"/>
          <w:lang w:val="de-DE"/>
        </w:rPr>
        <w:t>untersucht</w:t>
      </w:r>
      <w:r w:rsidR="00533244" w:rsidRPr="0034723D">
        <w:rPr>
          <w:rFonts w:cs="Times New Roman"/>
          <w:sz w:val="24"/>
          <w:szCs w:val="24"/>
          <w:lang w:val="de-DE"/>
        </w:rPr>
        <w:t xml:space="preserve"> ihr</w:t>
      </w:r>
      <w:r>
        <w:rPr>
          <w:rFonts w:cs="Times New Roman"/>
          <w:sz w:val="24"/>
          <w:szCs w:val="24"/>
          <w:lang w:val="de-DE"/>
        </w:rPr>
        <w:t>en</w:t>
      </w:r>
      <w:r w:rsidR="00533244" w:rsidRPr="0034723D">
        <w:rPr>
          <w:rFonts w:cs="Times New Roman"/>
          <w:sz w:val="24"/>
          <w:szCs w:val="24"/>
          <w:lang w:val="de-DE"/>
        </w:rPr>
        <w:t xml:space="preserve"> Status als </w:t>
      </w:r>
      <w:r w:rsidR="00C20919">
        <w:rPr>
          <w:rFonts w:cs="Times New Roman"/>
          <w:sz w:val="24"/>
          <w:szCs w:val="24"/>
          <w:lang w:val="de-DE"/>
        </w:rPr>
        <w:t>Subalterne/</w:t>
      </w:r>
      <w:r w:rsidR="00533244" w:rsidRPr="0034723D">
        <w:rPr>
          <w:rFonts w:cs="Times New Roman"/>
          <w:sz w:val="24"/>
          <w:szCs w:val="24"/>
          <w:lang w:val="de-DE"/>
        </w:rPr>
        <w:t xml:space="preserve">Fremde/Andere </w:t>
      </w:r>
      <w:r w:rsidR="00855F5F" w:rsidRPr="0034723D">
        <w:rPr>
          <w:rFonts w:cs="Times New Roman"/>
          <w:sz w:val="24"/>
          <w:szCs w:val="24"/>
          <w:lang w:val="de-DE"/>
        </w:rPr>
        <w:t>mit dem Fokus</w:t>
      </w:r>
      <w:r w:rsidR="00CC156C" w:rsidRPr="0034723D">
        <w:rPr>
          <w:rFonts w:cs="Times New Roman"/>
          <w:sz w:val="24"/>
          <w:szCs w:val="24"/>
          <w:lang w:val="de-DE"/>
        </w:rPr>
        <w:t xml:space="preserve"> auf der sozialen Unterdrückung</w:t>
      </w:r>
      <w:r w:rsidR="00F06D33" w:rsidRPr="0034723D">
        <w:rPr>
          <w:rFonts w:cs="Times New Roman"/>
          <w:sz w:val="24"/>
          <w:szCs w:val="24"/>
          <w:lang w:val="de-DE"/>
        </w:rPr>
        <w:t xml:space="preserve"> anhand von Sprache</w:t>
      </w:r>
      <w:r w:rsidR="00CC156C" w:rsidRPr="0034723D">
        <w:rPr>
          <w:rFonts w:cs="Times New Roman"/>
          <w:sz w:val="24"/>
          <w:szCs w:val="24"/>
          <w:lang w:val="de-DE"/>
        </w:rPr>
        <w:t xml:space="preserve">, </w:t>
      </w:r>
      <w:r w:rsidR="00130275">
        <w:rPr>
          <w:rFonts w:cs="Times New Roman"/>
          <w:sz w:val="24"/>
          <w:szCs w:val="24"/>
          <w:lang w:val="de-DE"/>
        </w:rPr>
        <w:t>von der</w:t>
      </w:r>
      <w:r w:rsidR="00CC156C" w:rsidRPr="0034723D">
        <w:rPr>
          <w:rFonts w:cs="Times New Roman"/>
          <w:sz w:val="24"/>
          <w:szCs w:val="24"/>
          <w:lang w:val="de-DE"/>
        </w:rPr>
        <w:t xml:space="preserve"> </w:t>
      </w:r>
      <w:r w:rsidR="00F73DBD" w:rsidRPr="0034723D">
        <w:rPr>
          <w:rFonts w:cs="Times New Roman"/>
          <w:sz w:val="24"/>
          <w:szCs w:val="24"/>
          <w:lang w:val="de-DE"/>
        </w:rPr>
        <w:t>Ildikó</w:t>
      </w:r>
      <w:r w:rsidR="00CC156C" w:rsidRPr="0034723D">
        <w:rPr>
          <w:rFonts w:cs="Times New Roman"/>
          <w:sz w:val="24"/>
          <w:szCs w:val="24"/>
          <w:lang w:val="de-DE"/>
        </w:rPr>
        <w:t xml:space="preserve"> Opfer wird, und wie sie sich der </w:t>
      </w:r>
      <w:r w:rsidR="00C20919">
        <w:rPr>
          <w:rFonts w:cs="Times New Roman"/>
          <w:sz w:val="24"/>
          <w:szCs w:val="24"/>
          <w:lang w:val="de-DE"/>
        </w:rPr>
        <w:t>mithilfe</w:t>
      </w:r>
      <w:r w:rsidR="00CC156C" w:rsidRPr="0034723D">
        <w:rPr>
          <w:rFonts w:cs="Times New Roman"/>
          <w:sz w:val="24"/>
          <w:szCs w:val="24"/>
          <w:lang w:val="de-DE"/>
        </w:rPr>
        <w:t xml:space="preserve"> von Sprache widersetzt</w:t>
      </w:r>
      <w:bookmarkEnd w:id="19"/>
      <w:r w:rsidR="00855F5F" w:rsidRPr="0034723D">
        <w:rPr>
          <w:rFonts w:cs="Times New Roman"/>
          <w:sz w:val="24"/>
          <w:szCs w:val="24"/>
          <w:lang w:val="de-DE"/>
        </w:rPr>
        <w:t xml:space="preserve">. </w:t>
      </w:r>
      <w:r w:rsidR="009818AC" w:rsidRPr="0034723D">
        <w:rPr>
          <w:rFonts w:cs="Times New Roman"/>
          <w:sz w:val="24"/>
          <w:szCs w:val="24"/>
          <w:lang w:val="de-DE"/>
        </w:rPr>
        <w:t xml:space="preserve">Es ist schwer, zu bestimmen, welcher </w:t>
      </w:r>
      <w:r w:rsidR="003147E9">
        <w:rPr>
          <w:rFonts w:cs="Times New Roman"/>
          <w:sz w:val="24"/>
          <w:szCs w:val="24"/>
          <w:lang w:val="de-DE"/>
        </w:rPr>
        <w:t>der drei</w:t>
      </w:r>
      <w:r w:rsidR="009818AC" w:rsidRPr="0034723D">
        <w:rPr>
          <w:rFonts w:cs="Times New Roman"/>
          <w:sz w:val="24"/>
          <w:szCs w:val="24"/>
          <w:lang w:val="de-DE"/>
        </w:rPr>
        <w:t xml:space="preserve"> Begriffe</w:t>
      </w:r>
      <w:r w:rsidR="003147E9">
        <w:rPr>
          <w:rFonts w:cs="Times New Roman"/>
          <w:sz w:val="24"/>
          <w:szCs w:val="24"/>
          <w:lang w:val="de-DE"/>
        </w:rPr>
        <w:t>, die in der theoretischen Einführung zur Sprache kamen,</w:t>
      </w:r>
      <w:r w:rsidR="009818AC" w:rsidRPr="0034723D">
        <w:rPr>
          <w:rFonts w:cs="Times New Roman"/>
          <w:sz w:val="24"/>
          <w:szCs w:val="24"/>
          <w:lang w:val="de-DE"/>
        </w:rPr>
        <w:t xml:space="preserve"> sich am meisten </w:t>
      </w:r>
      <w:r w:rsidR="003147E9">
        <w:rPr>
          <w:rFonts w:cs="Times New Roman"/>
          <w:sz w:val="24"/>
          <w:szCs w:val="24"/>
          <w:lang w:val="de-DE"/>
        </w:rPr>
        <w:t>für eine Beschreibung von Ildikó</w:t>
      </w:r>
      <w:r w:rsidR="009818AC" w:rsidRPr="0034723D">
        <w:rPr>
          <w:rFonts w:cs="Times New Roman"/>
          <w:sz w:val="24"/>
          <w:szCs w:val="24"/>
          <w:lang w:val="de-DE"/>
        </w:rPr>
        <w:t>s Situation eign</w:t>
      </w:r>
      <w:r w:rsidR="003147E9">
        <w:rPr>
          <w:rFonts w:cs="Times New Roman"/>
          <w:sz w:val="24"/>
          <w:szCs w:val="24"/>
          <w:lang w:val="de-DE"/>
        </w:rPr>
        <w:t>et</w:t>
      </w:r>
      <w:r w:rsidR="009818AC" w:rsidRPr="0034723D">
        <w:rPr>
          <w:rFonts w:cs="Times New Roman"/>
          <w:sz w:val="24"/>
          <w:szCs w:val="24"/>
          <w:lang w:val="de-DE"/>
        </w:rPr>
        <w:t>.</w:t>
      </w:r>
      <w:r w:rsidR="0034723D" w:rsidRPr="0034723D">
        <w:rPr>
          <w:rFonts w:cs="Times New Roman"/>
          <w:sz w:val="24"/>
          <w:szCs w:val="24"/>
          <w:lang w:val="de-DE"/>
        </w:rPr>
        <w:t xml:space="preserve"> </w:t>
      </w:r>
      <w:r w:rsidR="00733006">
        <w:rPr>
          <w:rFonts w:cs="Times New Roman"/>
          <w:sz w:val="24"/>
          <w:szCs w:val="24"/>
          <w:lang w:val="de-DE"/>
        </w:rPr>
        <w:t>Auch wenn</w:t>
      </w:r>
      <w:r w:rsidR="0034723D" w:rsidRPr="00733006">
        <w:rPr>
          <w:rFonts w:cs="Times New Roman"/>
          <w:sz w:val="24"/>
          <w:szCs w:val="24"/>
          <w:lang w:val="de-DE"/>
        </w:rPr>
        <w:t xml:space="preserve"> </w:t>
      </w:r>
      <w:r w:rsidR="00733006" w:rsidRPr="00733006">
        <w:rPr>
          <w:rFonts w:cs="Times New Roman"/>
          <w:sz w:val="24"/>
          <w:szCs w:val="24"/>
          <w:lang w:val="de-DE"/>
        </w:rPr>
        <w:t>Sprache</w:t>
      </w:r>
      <w:r w:rsidR="00733006">
        <w:rPr>
          <w:rFonts w:cs="Times New Roman"/>
          <w:sz w:val="24"/>
          <w:szCs w:val="24"/>
          <w:lang w:val="de-DE"/>
        </w:rPr>
        <w:t xml:space="preserve">, Benennung und ihr Belang </w:t>
      </w:r>
      <w:r w:rsidR="00733006" w:rsidRPr="00733006">
        <w:rPr>
          <w:rFonts w:cs="Times New Roman"/>
          <w:sz w:val="24"/>
          <w:szCs w:val="24"/>
          <w:lang w:val="de-DE"/>
        </w:rPr>
        <w:t>in der vorliegenden Arbeit st</w:t>
      </w:r>
      <w:r w:rsidR="00733006">
        <w:rPr>
          <w:rFonts w:cs="Times New Roman"/>
          <w:sz w:val="24"/>
          <w:szCs w:val="24"/>
          <w:lang w:val="de-DE"/>
        </w:rPr>
        <w:t xml:space="preserve">ark hervorgehoben werden, bleibe in diesem Fall eine Wahl zwischen </w:t>
      </w:r>
      <w:r w:rsidR="003147E9">
        <w:rPr>
          <w:rFonts w:cs="Times New Roman"/>
          <w:sz w:val="24"/>
          <w:szCs w:val="24"/>
          <w:lang w:val="de-DE"/>
        </w:rPr>
        <w:t>den jeweiligen</w:t>
      </w:r>
      <w:r w:rsidR="00733006">
        <w:rPr>
          <w:rFonts w:cs="Times New Roman"/>
          <w:sz w:val="24"/>
          <w:szCs w:val="24"/>
          <w:lang w:val="de-DE"/>
        </w:rPr>
        <w:t xml:space="preserve"> Begriffen dahingestellt, da</w:t>
      </w:r>
      <w:r w:rsidR="003147E9" w:rsidRPr="003147E9">
        <w:rPr>
          <w:rFonts w:cs="Times New Roman"/>
          <w:sz w:val="24"/>
          <w:szCs w:val="24"/>
          <w:lang w:val="de-DE"/>
        </w:rPr>
        <w:t xml:space="preserve"> </w:t>
      </w:r>
      <w:r w:rsidR="003147E9">
        <w:rPr>
          <w:rFonts w:cs="Times New Roman"/>
          <w:sz w:val="24"/>
          <w:szCs w:val="24"/>
          <w:lang w:val="de-DE"/>
        </w:rPr>
        <w:t>alle</w:t>
      </w:r>
      <w:r w:rsidR="003147E9" w:rsidRPr="0034723D">
        <w:rPr>
          <w:rFonts w:cs="Times New Roman"/>
          <w:sz w:val="24"/>
          <w:szCs w:val="24"/>
          <w:lang w:val="de-DE"/>
        </w:rPr>
        <w:t xml:space="preserve"> Elemente aufweisen, die </w:t>
      </w:r>
      <w:r w:rsidR="003147E9">
        <w:rPr>
          <w:rFonts w:cs="Times New Roman"/>
          <w:sz w:val="24"/>
          <w:szCs w:val="24"/>
          <w:lang w:val="de-DE"/>
        </w:rPr>
        <w:t>auf Ildikós Situation zutreffen</w:t>
      </w:r>
      <w:r w:rsidR="00733006">
        <w:rPr>
          <w:rFonts w:cs="Times New Roman"/>
          <w:sz w:val="24"/>
          <w:szCs w:val="24"/>
          <w:lang w:val="de-DE"/>
        </w:rPr>
        <w:t xml:space="preserve">. </w:t>
      </w:r>
      <w:r w:rsidR="00AB0FFB">
        <w:rPr>
          <w:rFonts w:cs="Times New Roman"/>
          <w:sz w:val="24"/>
          <w:szCs w:val="24"/>
          <w:lang w:val="de-DE"/>
        </w:rPr>
        <w:t>Z</w:t>
      </w:r>
      <w:r w:rsidR="00855F5F" w:rsidRPr="00733006">
        <w:rPr>
          <w:rFonts w:cs="Times New Roman"/>
          <w:sz w:val="24"/>
          <w:lang w:val="de-DE"/>
        </w:rPr>
        <w:t xml:space="preserve">unächst </w:t>
      </w:r>
      <w:r w:rsidR="00AB0FFB">
        <w:rPr>
          <w:rFonts w:cs="Times New Roman"/>
          <w:sz w:val="24"/>
          <w:lang w:val="de-DE"/>
        </w:rPr>
        <w:t xml:space="preserve">soll </w:t>
      </w:r>
      <w:r w:rsidR="00544520" w:rsidRPr="00733006">
        <w:rPr>
          <w:rFonts w:cs="Times New Roman"/>
          <w:sz w:val="24"/>
          <w:lang w:val="de-DE"/>
        </w:rPr>
        <w:t>ein Exkurs zur Performativitäts</w:t>
      </w:r>
      <w:r w:rsidR="00390E58" w:rsidRPr="00733006">
        <w:rPr>
          <w:rFonts w:cs="Times New Roman"/>
          <w:sz w:val="24"/>
          <w:lang w:val="de-DE"/>
        </w:rPr>
        <w:t xml:space="preserve">theorie von Judith Butler gemacht werden, </w:t>
      </w:r>
      <w:r w:rsidR="00F06D33" w:rsidRPr="00733006">
        <w:rPr>
          <w:rFonts w:cs="Times New Roman"/>
          <w:sz w:val="24"/>
          <w:lang w:val="de-DE"/>
        </w:rPr>
        <w:t>weil</w:t>
      </w:r>
      <w:r w:rsidR="00390E58" w:rsidRPr="00733006">
        <w:rPr>
          <w:rFonts w:cs="Times New Roman"/>
          <w:sz w:val="24"/>
          <w:lang w:val="de-DE"/>
        </w:rPr>
        <w:t xml:space="preserve"> Sprache auch </w:t>
      </w:r>
      <w:r>
        <w:rPr>
          <w:rFonts w:cs="Times New Roman"/>
          <w:sz w:val="24"/>
          <w:lang w:val="de-DE"/>
        </w:rPr>
        <w:t>in dieser</w:t>
      </w:r>
      <w:r w:rsidR="00390E58" w:rsidRPr="00733006">
        <w:rPr>
          <w:rFonts w:cs="Times New Roman"/>
          <w:sz w:val="24"/>
          <w:lang w:val="de-DE"/>
        </w:rPr>
        <w:t xml:space="preserve"> eine wesentliche Rolle spielt. Danach soll </w:t>
      </w:r>
      <w:r w:rsidR="00855F5F" w:rsidRPr="00733006">
        <w:rPr>
          <w:rFonts w:cs="Times New Roman"/>
          <w:sz w:val="24"/>
          <w:lang w:val="de-DE"/>
        </w:rPr>
        <w:t>der historische</w:t>
      </w:r>
      <w:r w:rsidR="00B865BD" w:rsidRPr="00733006">
        <w:rPr>
          <w:rFonts w:cs="Times New Roman"/>
          <w:sz w:val="24"/>
          <w:lang w:val="de-DE"/>
        </w:rPr>
        <w:t xml:space="preserve"> politische</w:t>
      </w:r>
      <w:r w:rsidR="00855F5F" w:rsidRPr="00733006">
        <w:rPr>
          <w:rFonts w:cs="Times New Roman"/>
          <w:sz w:val="24"/>
          <w:lang w:val="de-DE"/>
        </w:rPr>
        <w:t xml:space="preserve"> Kontext skizziert werden, </w:t>
      </w:r>
      <w:r w:rsidR="003147E9">
        <w:rPr>
          <w:rFonts w:cs="Times New Roman"/>
          <w:sz w:val="24"/>
          <w:lang w:val="de-DE"/>
        </w:rPr>
        <w:t>da ohne ein Verständnis dessen</w:t>
      </w:r>
      <w:r w:rsidR="00B865BD" w:rsidRPr="00733006">
        <w:rPr>
          <w:rFonts w:cs="Times New Roman"/>
          <w:sz w:val="24"/>
          <w:lang w:val="de-DE"/>
        </w:rPr>
        <w:t xml:space="preserve"> </w:t>
      </w:r>
      <w:r w:rsidR="00F73DBD" w:rsidRPr="00733006">
        <w:rPr>
          <w:rFonts w:cs="Times New Roman"/>
          <w:sz w:val="24"/>
          <w:lang w:val="de-DE"/>
        </w:rPr>
        <w:t>Ildikó</w:t>
      </w:r>
      <w:r w:rsidR="00855F5F" w:rsidRPr="00733006">
        <w:rPr>
          <w:rFonts w:cs="Times New Roman"/>
          <w:sz w:val="24"/>
          <w:lang w:val="de-DE"/>
        </w:rPr>
        <w:t xml:space="preserve">s Zwischenposition </w:t>
      </w:r>
      <w:r w:rsidR="003147E9" w:rsidRPr="00733006">
        <w:rPr>
          <w:rFonts w:cs="Times New Roman"/>
          <w:sz w:val="24"/>
          <w:lang w:val="de-DE"/>
        </w:rPr>
        <w:t>wegen der Zwischenposition der Vojvodina in der Geschichte</w:t>
      </w:r>
      <w:r w:rsidR="003147E9">
        <w:rPr>
          <w:rFonts w:cs="Times New Roman"/>
          <w:sz w:val="24"/>
          <w:lang w:val="de-DE"/>
        </w:rPr>
        <w:t xml:space="preserve"> </w:t>
      </w:r>
      <w:r w:rsidR="00855F5F" w:rsidRPr="00733006">
        <w:rPr>
          <w:rFonts w:cs="Times New Roman"/>
          <w:sz w:val="24"/>
          <w:lang w:val="de-DE"/>
        </w:rPr>
        <w:t xml:space="preserve">nur unvollständig verstanden werden </w:t>
      </w:r>
      <w:r w:rsidR="00F06D33" w:rsidRPr="00733006">
        <w:rPr>
          <w:rFonts w:cs="Times New Roman"/>
          <w:sz w:val="24"/>
          <w:lang w:val="de-DE"/>
        </w:rPr>
        <w:t>könnte</w:t>
      </w:r>
      <w:r w:rsidR="00855F5F" w:rsidRPr="00733006">
        <w:rPr>
          <w:rFonts w:cs="Times New Roman"/>
          <w:sz w:val="24"/>
          <w:lang w:val="de-DE"/>
        </w:rPr>
        <w:t xml:space="preserve">. </w:t>
      </w:r>
    </w:p>
    <w:p w14:paraId="1934E572" w14:textId="77777777" w:rsidR="004B7B7D" w:rsidRDefault="004B7B7D">
      <w:pPr>
        <w:spacing w:after="160" w:line="259" w:lineRule="auto"/>
        <w:jc w:val="left"/>
        <w:rPr>
          <w:rFonts w:cs="Times New Roman"/>
          <w:szCs w:val="20"/>
          <w:lang w:val="de-DE"/>
        </w:rPr>
      </w:pPr>
      <w:r>
        <w:rPr>
          <w:rFonts w:cs="Times New Roman"/>
          <w:lang w:val="de-DE"/>
        </w:rPr>
        <w:br w:type="page"/>
      </w:r>
    </w:p>
    <w:p w14:paraId="2ED7031B" w14:textId="41DC0780" w:rsidR="00927569" w:rsidRDefault="00927569" w:rsidP="00927569">
      <w:pPr>
        <w:pStyle w:val="Kop1"/>
        <w:numPr>
          <w:ilvl w:val="0"/>
          <w:numId w:val="2"/>
        </w:numPr>
        <w:rPr>
          <w:lang w:val="de-DE"/>
        </w:rPr>
      </w:pPr>
      <w:bookmarkStart w:id="20" w:name="_Toc515180092"/>
      <w:r>
        <w:rPr>
          <w:lang w:val="de-DE"/>
        </w:rPr>
        <w:lastRenderedPageBreak/>
        <w:t>Performativitätstheorie</w:t>
      </w:r>
      <w:bookmarkEnd w:id="20"/>
    </w:p>
    <w:p w14:paraId="48898711" w14:textId="7C8D7DC9" w:rsidR="00086088" w:rsidRPr="00C4737C" w:rsidRDefault="003039CA" w:rsidP="0009763A">
      <w:pPr>
        <w:rPr>
          <w:lang w:val="de-DE"/>
        </w:rPr>
      </w:pPr>
      <w:r>
        <w:rPr>
          <w:lang w:val="de-DE"/>
        </w:rPr>
        <w:t xml:space="preserve">Judith Butler ist am weitesten für ihr Werk </w:t>
      </w:r>
      <w:r>
        <w:rPr>
          <w:i/>
          <w:lang w:val="de-DE"/>
        </w:rPr>
        <w:t>Gender Trouble</w:t>
      </w:r>
      <w:r w:rsidR="00A44ECB">
        <w:rPr>
          <w:lang w:val="de-DE"/>
        </w:rPr>
        <w:t xml:space="preserve">, in dem sie </w:t>
      </w:r>
      <w:r w:rsidR="00452CC4">
        <w:rPr>
          <w:lang w:val="de-DE"/>
        </w:rPr>
        <w:t>sich kritisch mit den</w:t>
      </w:r>
      <w:r w:rsidR="00A44ECB">
        <w:rPr>
          <w:lang w:val="de-DE"/>
        </w:rPr>
        <w:t xml:space="preserve"> Begriffe</w:t>
      </w:r>
      <w:r w:rsidR="00452CC4">
        <w:rPr>
          <w:lang w:val="de-DE"/>
        </w:rPr>
        <w:t>n</w:t>
      </w:r>
      <w:r w:rsidR="00A44ECB">
        <w:rPr>
          <w:lang w:val="de-DE"/>
        </w:rPr>
        <w:t xml:space="preserve"> „</w:t>
      </w:r>
      <w:r>
        <w:rPr>
          <w:lang w:val="de-DE"/>
        </w:rPr>
        <w:t>sex</w:t>
      </w:r>
      <w:r w:rsidR="00A44ECB">
        <w:rPr>
          <w:lang w:val="de-DE"/>
        </w:rPr>
        <w:t>“ und „</w:t>
      </w:r>
      <w:r w:rsidR="00C4737C">
        <w:rPr>
          <w:lang w:val="de-DE"/>
        </w:rPr>
        <w:t>gender</w:t>
      </w:r>
      <w:r w:rsidR="00A44ECB">
        <w:rPr>
          <w:lang w:val="de-DE"/>
        </w:rPr>
        <w:t>“</w:t>
      </w:r>
      <w:r>
        <w:rPr>
          <w:lang w:val="de-DE"/>
        </w:rPr>
        <w:t xml:space="preserve"> </w:t>
      </w:r>
      <w:r w:rsidR="00452CC4">
        <w:rPr>
          <w:lang w:val="de-DE"/>
        </w:rPr>
        <w:t>auseinandersetzt</w:t>
      </w:r>
      <w:r w:rsidR="00A77770">
        <w:rPr>
          <w:lang w:val="de-DE"/>
        </w:rPr>
        <w:t>, bekannt</w:t>
      </w:r>
      <w:r>
        <w:rPr>
          <w:lang w:val="de-DE"/>
        </w:rPr>
        <w:t xml:space="preserve">. </w:t>
      </w:r>
      <w:r w:rsidR="0089215E" w:rsidRPr="00C4737C">
        <w:rPr>
          <w:lang w:val="de-DE"/>
        </w:rPr>
        <w:t xml:space="preserve">Eine ihrer Grundannahmen, wie </w:t>
      </w:r>
      <w:r w:rsidR="00452CC4">
        <w:rPr>
          <w:lang w:val="de-DE"/>
        </w:rPr>
        <w:t xml:space="preserve">sie </w:t>
      </w:r>
      <w:r w:rsidR="0089215E" w:rsidRPr="00C4737C">
        <w:rPr>
          <w:lang w:val="de-DE"/>
        </w:rPr>
        <w:t>im Essay „Performative Acts and Gender Constitution: An Essay in Phenomenology and Feminist Theory“</w:t>
      </w:r>
      <w:r w:rsidR="00C4737C" w:rsidRPr="00C4737C">
        <w:rPr>
          <w:lang w:val="de-DE"/>
        </w:rPr>
        <w:t xml:space="preserve"> </w:t>
      </w:r>
      <w:r w:rsidR="0089215E" w:rsidRPr="00C4737C">
        <w:rPr>
          <w:lang w:val="de-DE"/>
        </w:rPr>
        <w:t>formu</w:t>
      </w:r>
      <w:r w:rsidR="00086088" w:rsidRPr="00C4737C">
        <w:rPr>
          <w:lang w:val="de-DE"/>
        </w:rPr>
        <w:t xml:space="preserve">liert, ist die folgende: </w:t>
      </w:r>
    </w:p>
    <w:p w14:paraId="01E60FF0" w14:textId="5E5C5974" w:rsidR="00086088" w:rsidRDefault="00DA768F" w:rsidP="00437A1C">
      <w:pPr>
        <w:spacing w:after="240" w:line="240" w:lineRule="auto"/>
        <w:ind w:left="567"/>
        <w:rPr>
          <w:lang w:val="en-US"/>
        </w:rPr>
      </w:pPr>
      <w:r>
        <w:rPr>
          <w:lang w:val="en-US"/>
        </w:rPr>
        <w:t>[G]ender</w:t>
      </w:r>
      <w:r w:rsidR="008C6480" w:rsidRPr="008C6480">
        <w:rPr>
          <w:lang w:val="en-US"/>
        </w:rPr>
        <w:t xml:space="preserve"> is in no way a stable identity or locus of agency from which various acts proceed; rather, it is an identity</w:t>
      </w:r>
      <w:r w:rsidR="008C6480">
        <w:rPr>
          <w:lang w:val="en-US"/>
        </w:rPr>
        <w:t xml:space="preserve"> tenuously constituted in time – a</w:t>
      </w:r>
      <w:r w:rsidR="00437A1C">
        <w:rPr>
          <w:lang w:val="en-US"/>
        </w:rPr>
        <w:t>n</w:t>
      </w:r>
      <w:r w:rsidR="008C6480">
        <w:rPr>
          <w:lang w:val="en-US"/>
        </w:rPr>
        <w:t xml:space="preserve"> identity</w:t>
      </w:r>
      <w:r w:rsidR="00F516AC">
        <w:rPr>
          <w:lang w:val="en-US"/>
        </w:rPr>
        <w:t xml:space="preserve"> instituted through a </w:t>
      </w:r>
      <w:r w:rsidR="00F516AC">
        <w:rPr>
          <w:i/>
          <w:lang w:val="en-US"/>
        </w:rPr>
        <w:t>stylized repetition of acts</w:t>
      </w:r>
      <w:r w:rsidR="00F516AC">
        <w:rPr>
          <w:lang w:val="en-US"/>
        </w:rPr>
        <w:t>. Further, gender is instituted through the stylization of the body and, hence, must be understood as the mundane way in which bodily gestures, movements, and enactments of various kinds constitute the illusion of an abiding gendered self.</w:t>
      </w:r>
      <w:r w:rsidR="00F516AC">
        <w:rPr>
          <w:rStyle w:val="Voetnootmarkering"/>
          <w:lang w:val="en-US"/>
        </w:rPr>
        <w:footnoteReference w:id="70"/>
      </w:r>
      <w:r w:rsidR="00F516AC">
        <w:rPr>
          <w:lang w:val="en-US"/>
        </w:rPr>
        <w:t xml:space="preserve"> </w:t>
      </w:r>
    </w:p>
    <w:p w14:paraId="31189118" w14:textId="480D793B" w:rsidR="0009763A" w:rsidRDefault="008D1401" w:rsidP="0009763A">
      <w:pPr>
        <w:rPr>
          <w:lang w:val="de-DE"/>
        </w:rPr>
      </w:pPr>
      <w:r>
        <w:rPr>
          <w:lang w:val="de-DE"/>
        </w:rPr>
        <w:t>Butler basiert ihre Theorie, die sie in späteren Werken ausarbeitet, zum Teil auf der Philosophie von Simone de Beauvoir und verweist auf ihre wohlbekannte Aussage „</w:t>
      </w:r>
      <w:r w:rsidRPr="00363740">
        <w:rPr>
          <w:lang w:val="de-DE"/>
        </w:rPr>
        <w:t>on ne naît pas femme, on le devient</w:t>
      </w:r>
      <w:r>
        <w:rPr>
          <w:lang w:val="de-DE"/>
        </w:rPr>
        <w:t>“</w:t>
      </w:r>
      <w:r w:rsidR="0098571C">
        <w:rPr>
          <w:lang w:val="de-DE"/>
        </w:rPr>
        <w:t>,</w:t>
      </w:r>
      <w:r w:rsidR="0098571C" w:rsidRPr="0098571C">
        <w:rPr>
          <w:rStyle w:val="Voetnootmarkering"/>
          <w:lang w:val="de-DE"/>
        </w:rPr>
        <w:t xml:space="preserve"> </w:t>
      </w:r>
      <w:r w:rsidR="0098571C">
        <w:rPr>
          <w:rStyle w:val="Voetnootmarkering"/>
          <w:lang w:val="de-DE"/>
        </w:rPr>
        <w:footnoteReference w:id="71"/>
      </w:r>
      <w:r w:rsidR="0098571C">
        <w:rPr>
          <w:lang w:val="de-DE"/>
        </w:rPr>
        <w:t xml:space="preserve"> mit der sie </w:t>
      </w:r>
      <w:r w:rsidR="00FD138C">
        <w:rPr>
          <w:lang w:val="de-DE"/>
        </w:rPr>
        <w:t>1949</w:t>
      </w:r>
      <w:r w:rsidR="00DA768F">
        <w:rPr>
          <w:lang w:val="de-DE"/>
        </w:rPr>
        <w:t xml:space="preserve"> </w:t>
      </w:r>
      <w:r w:rsidR="00FD138C">
        <w:rPr>
          <w:lang w:val="de-DE"/>
        </w:rPr>
        <w:t xml:space="preserve">– wohl vierzig Jahre vor dem Aufstieg der Gender Studies – </w:t>
      </w:r>
      <w:r w:rsidR="00C4737C">
        <w:rPr>
          <w:lang w:val="de-DE"/>
        </w:rPr>
        <w:t xml:space="preserve">den Unterschied zwischen </w:t>
      </w:r>
      <w:r w:rsidR="00A44ECB">
        <w:rPr>
          <w:lang w:val="de-DE"/>
        </w:rPr>
        <w:t>„sex“ und „</w:t>
      </w:r>
      <w:r w:rsidR="00C4737C">
        <w:rPr>
          <w:lang w:val="de-DE"/>
        </w:rPr>
        <w:t>gender</w:t>
      </w:r>
      <w:r w:rsidR="00A44ECB">
        <w:rPr>
          <w:lang w:val="de-DE"/>
        </w:rPr>
        <w:t>“</w:t>
      </w:r>
      <w:r w:rsidR="0098571C">
        <w:rPr>
          <w:lang w:val="de-DE"/>
        </w:rPr>
        <w:t xml:space="preserve"> antizipiert</w:t>
      </w:r>
      <w:r w:rsidR="00452CC4">
        <w:rPr>
          <w:lang w:val="de-DE"/>
        </w:rPr>
        <w:t>e</w:t>
      </w:r>
      <w:r w:rsidR="0098571C">
        <w:rPr>
          <w:lang w:val="de-DE"/>
        </w:rPr>
        <w:t>.</w:t>
      </w:r>
      <w:r w:rsidR="00437A1C">
        <w:rPr>
          <w:lang w:val="de-DE"/>
        </w:rPr>
        <w:t xml:space="preserve"> Der konstruktive Charakter von Gender wird von </w:t>
      </w:r>
      <w:r w:rsidR="0098571C">
        <w:rPr>
          <w:lang w:val="de-DE"/>
        </w:rPr>
        <w:t>sowohl de Beauvoir als auch von Butler</w:t>
      </w:r>
      <w:r w:rsidR="00437A1C">
        <w:rPr>
          <w:lang w:val="de-DE"/>
        </w:rPr>
        <w:t xml:space="preserve"> </w:t>
      </w:r>
      <w:r w:rsidR="00D57D5E">
        <w:rPr>
          <w:lang w:val="de-DE"/>
        </w:rPr>
        <w:t>hervorgehoben</w:t>
      </w:r>
      <w:r w:rsidR="00437A1C">
        <w:rPr>
          <w:lang w:val="de-DE"/>
        </w:rPr>
        <w:t xml:space="preserve">. Butler geht </w:t>
      </w:r>
      <w:r w:rsidR="00964A86">
        <w:rPr>
          <w:lang w:val="de-DE"/>
        </w:rPr>
        <w:t xml:space="preserve">darin </w:t>
      </w:r>
      <w:r w:rsidR="00437A1C">
        <w:rPr>
          <w:lang w:val="de-DE"/>
        </w:rPr>
        <w:t xml:space="preserve">aber noch weiter, denn für sie wird nicht nur </w:t>
      </w:r>
      <w:r w:rsidR="00A44ECB">
        <w:rPr>
          <w:lang w:val="de-DE"/>
        </w:rPr>
        <w:t>„</w:t>
      </w:r>
      <w:r w:rsidR="00C4737C">
        <w:rPr>
          <w:lang w:val="de-DE"/>
        </w:rPr>
        <w:t>gender</w:t>
      </w:r>
      <w:r w:rsidR="00A44ECB">
        <w:rPr>
          <w:lang w:val="de-DE"/>
        </w:rPr>
        <w:t>“, sondern auch „sex“</w:t>
      </w:r>
      <w:r w:rsidR="00437A1C">
        <w:rPr>
          <w:lang w:val="de-DE"/>
        </w:rPr>
        <w:t xml:space="preserve"> (biologisches Geschlecht) auf soziokultu</w:t>
      </w:r>
      <w:r w:rsidR="00A96684">
        <w:rPr>
          <w:lang w:val="de-DE"/>
        </w:rPr>
        <w:t>rel</w:t>
      </w:r>
      <w:r w:rsidR="00D87198">
        <w:rPr>
          <w:lang w:val="de-DE"/>
        </w:rPr>
        <w:t>le Art und Weise konstruiert: „[I]</w:t>
      </w:r>
      <w:r w:rsidR="00A96684">
        <w:rPr>
          <w:lang w:val="de-DE"/>
        </w:rPr>
        <w:t>t is rather discourses of gender that produce sex as a causal category“.</w:t>
      </w:r>
      <w:r w:rsidR="00A96684">
        <w:rPr>
          <w:rStyle w:val="Voetnootmarkering"/>
          <w:lang w:val="de-DE"/>
        </w:rPr>
        <w:footnoteReference w:id="72"/>
      </w:r>
      <w:r w:rsidR="0098571C">
        <w:rPr>
          <w:lang w:val="de-DE"/>
        </w:rPr>
        <w:t xml:space="preserve"> </w:t>
      </w:r>
      <w:r w:rsidR="00452CC4">
        <w:rPr>
          <w:lang w:val="de-DE"/>
        </w:rPr>
        <w:t>W</w:t>
      </w:r>
      <w:r w:rsidR="0098571C" w:rsidRPr="00F516AC">
        <w:rPr>
          <w:lang w:val="de-DE"/>
        </w:rPr>
        <w:t>ichtig ist</w:t>
      </w:r>
      <w:r w:rsidR="00452CC4">
        <w:rPr>
          <w:lang w:val="de-DE"/>
        </w:rPr>
        <w:t xml:space="preserve"> vor allem</w:t>
      </w:r>
      <w:r w:rsidR="0098571C" w:rsidRPr="00F516AC">
        <w:rPr>
          <w:lang w:val="de-DE"/>
        </w:rPr>
        <w:t xml:space="preserve"> die Tatsache, dass Butler </w:t>
      </w:r>
      <w:r w:rsidR="00A77770">
        <w:rPr>
          <w:lang w:val="de-DE"/>
        </w:rPr>
        <w:t xml:space="preserve">in der Definition </w:t>
      </w:r>
      <w:r w:rsidR="0098571C" w:rsidRPr="00F516AC">
        <w:rPr>
          <w:lang w:val="de-DE"/>
        </w:rPr>
        <w:t>den Begri</w:t>
      </w:r>
      <w:r w:rsidR="00C4737C">
        <w:rPr>
          <w:lang w:val="de-DE"/>
        </w:rPr>
        <w:t xml:space="preserve">ff </w:t>
      </w:r>
      <w:r w:rsidR="00A44ECB">
        <w:rPr>
          <w:lang w:val="de-DE"/>
        </w:rPr>
        <w:t>„</w:t>
      </w:r>
      <w:r w:rsidR="0098571C">
        <w:rPr>
          <w:lang w:val="de-DE"/>
        </w:rPr>
        <w:t>illusion</w:t>
      </w:r>
      <w:r w:rsidR="00A44ECB">
        <w:rPr>
          <w:lang w:val="de-DE"/>
        </w:rPr>
        <w:t>“</w:t>
      </w:r>
      <w:r w:rsidR="0098571C">
        <w:rPr>
          <w:lang w:val="de-DE"/>
        </w:rPr>
        <w:t xml:space="preserve"> benutzt</w:t>
      </w:r>
      <w:r w:rsidR="0098571C" w:rsidRPr="0098571C">
        <w:rPr>
          <w:lang w:val="de-DE"/>
        </w:rPr>
        <w:t xml:space="preserve">. </w:t>
      </w:r>
      <w:r w:rsidR="00D87198" w:rsidRPr="00D57D5E">
        <w:rPr>
          <w:lang w:val="en-US"/>
        </w:rPr>
        <w:t xml:space="preserve">Ihr zufolge </w:t>
      </w:r>
      <w:r w:rsidR="0098571C" w:rsidRPr="00D57D5E">
        <w:rPr>
          <w:lang w:val="en-US"/>
        </w:rPr>
        <w:t>konstituieren unsere Handlungen, Bewegungen und Inszenierungen nicht einen inneren Genderkern, sondern nur</w:t>
      </w:r>
      <w:r w:rsidR="0098571C" w:rsidRPr="00111EEE">
        <w:rPr>
          <w:lang w:val="en-US"/>
        </w:rPr>
        <w:t xml:space="preserve"> die Illusion dessen:</w:t>
      </w:r>
      <w:r w:rsidR="0098571C" w:rsidRPr="0098571C">
        <w:rPr>
          <w:lang w:val="en-US"/>
        </w:rPr>
        <w:t xml:space="preserve"> „Beca</w:t>
      </w:r>
      <w:r w:rsidR="00A77770">
        <w:rPr>
          <w:lang w:val="en-US"/>
        </w:rPr>
        <w:t>use there is neither an ‘essence’</w:t>
      </w:r>
      <w:r w:rsidR="0098571C" w:rsidRPr="0098571C">
        <w:rPr>
          <w:lang w:val="en-US"/>
        </w:rPr>
        <w:t xml:space="preserve"> that gender expresses or externalizes nor an objective ideal to which gender aspires; because gender is not a fact, the various acts of gender </w:t>
      </w:r>
      <w:r w:rsidR="0098571C" w:rsidRPr="00D57D5E">
        <w:rPr>
          <w:lang w:val="en-US"/>
        </w:rPr>
        <w:t>creates</w:t>
      </w:r>
      <w:r w:rsidR="00D57D5E">
        <w:rPr>
          <w:lang w:val="en-US"/>
        </w:rPr>
        <w:t xml:space="preserve"> [sic]</w:t>
      </w:r>
      <w:r w:rsidR="0098571C" w:rsidRPr="0098571C">
        <w:rPr>
          <w:lang w:val="en-US"/>
        </w:rPr>
        <w:t xml:space="preserve"> the idea of gender, and without those acts, there would be </w:t>
      </w:r>
      <w:r w:rsidR="0098571C">
        <w:rPr>
          <w:lang w:val="en-US"/>
        </w:rPr>
        <w:t>no gender at all”.</w:t>
      </w:r>
      <w:r w:rsidR="0098571C">
        <w:rPr>
          <w:rStyle w:val="Voetnootmarkering"/>
          <w:lang w:val="en-US"/>
        </w:rPr>
        <w:footnoteReference w:id="73"/>
      </w:r>
      <w:r w:rsidR="0098571C">
        <w:rPr>
          <w:lang w:val="en-US"/>
        </w:rPr>
        <w:t xml:space="preserve"> </w:t>
      </w:r>
      <w:r w:rsidR="00FD138C" w:rsidRPr="00A96684">
        <w:rPr>
          <w:lang w:val="de-DE"/>
        </w:rPr>
        <w:t xml:space="preserve">Beide Zitate antizipieren </w:t>
      </w:r>
      <w:r w:rsidR="00A96684" w:rsidRPr="00A96684">
        <w:rPr>
          <w:lang w:val="de-DE"/>
        </w:rPr>
        <w:t xml:space="preserve">Butlers </w:t>
      </w:r>
      <w:r w:rsidR="00031100">
        <w:rPr>
          <w:lang w:val="de-DE"/>
        </w:rPr>
        <w:t xml:space="preserve">spätere </w:t>
      </w:r>
      <w:r w:rsidR="00A96684" w:rsidRPr="00A96684">
        <w:rPr>
          <w:lang w:val="de-DE"/>
        </w:rPr>
        <w:t>Performativitätstheorie, die die Landschaft der G</w:t>
      </w:r>
      <w:r w:rsidR="007246B2">
        <w:rPr>
          <w:lang w:val="de-DE"/>
        </w:rPr>
        <w:t>ender Studies endgültig ver</w:t>
      </w:r>
      <w:r w:rsidR="00A96684">
        <w:rPr>
          <w:lang w:val="de-DE"/>
        </w:rPr>
        <w:t xml:space="preserve">ändert hat. </w:t>
      </w:r>
    </w:p>
    <w:p w14:paraId="6FBFCE15" w14:textId="48ABAFAE" w:rsidR="00FA6B67" w:rsidRPr="00684B4A" w:rsidRDefault="00A96684" w:rsidP="00684B4A">
      <w:pPr>
        <w:rPr>
          <w:lang w:val="de-DE"/>
        </w:rPr>
      </w:pPr>
      <w:r>
        <w:rPr>
          <w:lang w:val="de-DE"/>
        </w:rPr>
        <w:lastRenderedPageBreak/>
        <w:tab/>
      </w:r>
      <w:r w:rsidR="001D6FAE">
        <w:rPr>
          <w:lang w:val="de-DE"/>
        </w:rPr>
        <w:t xml:space="preserve">Es muss </w:t>
      </w:r>
      <w:r w:rsidR="007833D9">
        <w:rPr>
          <w:lang w:val="de-DE"/>
        </w:rPr>
        <w:t xml:space="preserve">an </w:t>
      </w:r>
      <w:r w:rsidR="00DA768F">
        <w:rPr>
          <w:lang w:val="de-DE"/>
        </w:rPr>
        <w:t>erster</w:t>
      </w:r>
      <w:r w:rsidR="007833D9">
        <w:rPr>
          <w:lang w:val="de-DE"/>
        </w:rPr>
        <w:t xml:space="preserve"> Stelle zwischen </w:t>
      </w:r>
      <w:r w:rsidR="00A44ECB">
        <w:rPr>
          <w:lang w:val="de-DE"/>
        </w:rPr>
        <w:t>„</w:t>
      </w:r>
      <w:r w:rsidR="007833D9">
        <w:rPr>
          <w:lang w:val="de-DE"/>
        </w:rPr>
        <w:t>performativity</w:t>
      </w:r>
      <w:r w:rsidR="00A44ECB">
        <w:rPr>
          <w:lang w:val="de-DE"/>
        </w:rPr>
        <w:t>“</w:t>
      </w:r>
      <w:r w:rsidR="007833D9">
        <w:rPr>
          <w:lang w:val="de-DE"/>
        </w:rPr>
        <w:t xml:space="preserve"> („performance in a performative sense“</w:t>
      </w:r>
      <w:r w:rsidR="007833D9">
        <w:rPr>
          <w:rStyle w:val="Voetnootmarkering"/>
          <w:lang w:val="de-DE"/>
        </w:rPr>
        <w:footnoteReference w:id="74"/>
      </w:r>
      <w:r w:rsidR="007833D9">
        <w:rPr>
          <w:lang w:val="de-DE"/>
        </w:rPr>
        <w:t xml:space="preserve">) und </w:t>
      </w:r>
      <w:r w:rsidR="00A44ECB">
        <w:rPr>
          <w:lang w:val="de-DE"/>
        </w:rPr>
        <w:t>„</w:t>
      </w:r>
      <w:r w:rsidR="007833D9">
        <w:rPr>
          <w:lang w:val="de-DE"/>
        </w:rPr>
        <w:t>performance</w:t>
      </w:r>
      <w:r w:rsidR="00A44ECB">
        <w:rPr>
          <w:lang w:val="de-DE"/>
        </w:rPr>
        <w:t>“</w:t>
      </w:r>
      <w:r w:rsidR="007833D9">
        <w:rPr>
          <w:lang w:val="de-DE"/>
        </w:rPr>
        <w:t xml:space="preserve"> („performance in a theatrical sense“</w:t>
      </w:r>
      <w:r w:rsidR="007833D9">
        <w:rPr>
          <w:rStyle w:val="Voetnootmarkering"/>
          <w:lang w:val="de-DE"/>
        </w:rPr>
        <w:footnoteReference w:id="75"/>
      </w:r>
      <w:r w:rsidR="007833D9">
        <w:rPr>
          <w:lang w:val="de-DE"/>
        </w:rPr>
        <w:t xml:space="preserve">) nuanciert werden. </w:t>
      </w:r>
      <w:r w:rsidR="00A44ECB">
        <w:rPr>
          <w:lang w:val="de-DE"/>
        </w:rPr>
        <w:t>Die „</w:t>
      </w:r>
      <w:r w:rsidR="00C4737C">
        <w:rPr>
          <w:lang w:val="de-DE"/>
        </w:rPr>
        <w:t>performance</w:t>
      </w:r>
      <w:r w:rsidR="00A44ECB">
        <w:rPr>
          <w:lang w:val="de-DE"/>
        </w:rPr>
        <w:t>“</w:t>
      </w:r>
      <w:r w:rsidR="00DA768F">
        <w:rPr>
          <w:lang w:val="de-DE"/>
        </w:rPr>
        <w:t xml:space="preserve"> im performativen Sinne</w:t>
      </w:r>
      <w:r w:rsidR="00C4737C">
        <w:rPr>
          <w:lang w:val="de-DE"/>
        </w:rPr>
        <w:t xml:space="preserve"> wird von einem temporalen Aspekt bestimmt, denn die „ritualized repetition of conventions“</w:t>
      </w:r>
      <w:r w:rsidR="00FB429C">
        <w:rPr>
          <w:rStyle w:val="Voetnootmarkering"/>
          <w:lang w:val="de-DE"/>
        </w:rPr>
        <w:footnoteReference w:id="76"/>
      </w:r>
      <w:r w:rsidR="00C4737C">
        <w:rPr>
          <w:lang w:val="de-DE"/>
        </w:rPr>
        <w:t xml:space="preserve"> ist wesentlich. </w:t>
      </w:r>
      <w:r w:rsidR="00FB429C">
        <w:rPr>
          <w:lang w:val="de-DE"/>
        </w:rPr>
        <w:t>Butler bestimmt diese Wiederholungen als „sustained social performances“,</w:t>
      </w:r>
      <w:r w:rsidR="00FB429C">
        <w:rPr>
          <w:rStyle w:val="Voetnootmarkering"/>
          <w:lang w:val="de-DE"/>
        </w:rPr>
        <w:footnoteReference w:id="77"/>
      </w:r>
      <w:r w:rsidR="00FB429C">
        <w:rPr>
          <w:lang w:val="de-DE"/>
        </w:rPr>
        <w:t xml:space="preserve"> die un</w:t>
      </w:r>
      <w:r w:rsidR="00A44ECB">
        <w:rPr>
          <w:lang w:val="de-DE"/>
        </w:rPr>
        <w:t xml:space="preserve">trennbar vom </w:t>
      </w:r>
      <w:r w:rsidR="00D43DAB">
        <w:rPr>
          <w:lang w:val="de-DE"/>
        </w:rPr>
        <w:t>Agens</w:t>
      </w:r>
      <w:r w:rsidR="00FB429C">
        <w:rPr>
          <w:lang w:val="de-DE"/>
        </w:rPr>
        <w:t xml:space="preserve"> sind.</w:t>
      </w:r>
      <w:r w:rsidR="00C51757">
        <w:rPr>
          <w:lang w:val="de-DE"/>
        </w:rPr>
        <w:t xml:space="preserve"> </w:t>
      </w:r>
      <w:r w:rsidR="00A44ECB">
        <w:rPr>
          <w:lang w:val="de-DE"/>
        </w:rPr>
        <w:t xml:space="preserve">Die Verknüpfung zwischen </w:t>
      </w:r>
      <w:r w:rsidR="00D43DAB">
        <w:rPr>
          <w:lang w:val="de-DE"/>
        </w:rPr>
        <w:t>Gender</w:t>
      </w:r>
      <w:r w:rsidR="00A44ECB">
        <w:rPr>
          <w:lang w:val="de-DE"/>
        </w:rPr>
        <w:t xml:space="preserve"> und </w:t>
      </w:r>
      <w:r w:rsidR="00D43DAB">
        <w:rPr>
          <w:lang w:val="de-DE"/>
        </w:rPr>
        <w:t>Agens</w:t>
      </w:r>
      <w:r w:rsidR="0038265D">
        <w:rPr>
          <w:lang w:val="de-DE"/>
        </w:rPr>
        <w:t xml:space="preserve"> löste</w:t>
      </w:r>
      <w:r w:rsidR="00031100">
        <w:rPr>
          <w:lang w:val="de-DE"/>
        </w:rPr>
        <w:t xml:space="preserve"> aber</w:t>
      </w:r>
      <w:r w:rsidR="0038265D">
        <w:rPr>
          <w:lang w:val="de-DE"/>
        </w:rPr>
        <w:t xml:space="preserve"> scharfe Kritik an Butlers Theorie aus. </w:t>
      </w:r>
      <w:r w:rsidR="0038265D">
        <w:rPr>
          <w:lang w:val="en-US"/>
        </w:rPr>
        <w:t>Sie</w:t>
      </w:r>
      <w:r w:rsidR="0038265D" w:rsidRPr="0038265D">
        <w:rPr>
          <w:lang w:val="en-US"/>
        </w:rPr>
        <w:t xml:space="preserve"> wurde </w:t>
      </w:r>
      <w:r w:rsidR="00031100">
        <w:rPr>
          <w:lang w:val="en-US"/>
        </w:rPr>
        <w:t xml:space="preserve">nämlich </w:t>
      </w:r>
      <w:r w:rsidR="0038265D">
        <w:rPr>
          <w:lang w:val="en-US"/>
        </w:rPr>
        <w:t xml:space="preserve">so </w:t>
      </w:r>
      <w:r w:rsidR="0038265D" w:rsidRPr="0038265D">
        <w:rPr>
          <w:lang w:val="en-US"/>
        </w:rPr>
        <w:t>interpretiert,</w:t>
      </w:r>
      <w:r w:rsidR="0038265D">
        <w:rPr>
          <w:lang w:val="en-US"/>
        </w:rPr>
        <w:t xml:space="preserve"> als gäbe es </w:t>
      </w:r>
      <w:r w:rsidR="0038265D" w:rsidRPr="0038265D">
        <w:rPr>
          <w:lang w:val="en-US"/>
        </w:rPr>
        <w:t xml:space="preserve">„an actor who chooses which script to follow and then does the </w:t>
      </w:r>
      <w:r w:rsidR="0038265D">
        <w:rPr>
          <w:lang w:val="en-US"/>
        </w:rPr>
        <w:t>acting […]. This, then would seem to imply voluntarism and the idea that there is some sort of everyday optionality about sex, gender and even the body</w:t>
      </w:r>
      <w:r w:rsidR="00840854">
        <w:rPr>
          <w:lang w:val="en-US"/>
        </w:rPr>
        <w:t>.”</w:t>
      </w:r>
      <w:r w:rsidR="0038265D">
        <w:rPr>
          <w:rStyle w:val="Voetnootmarkering"/>
          <w:lang w:val="en-US"/>
        </w:rPr>
        <w:footnoteReference w:id="78"/>
      </w:r>
      <w:r w:rsidR="0038265D" w:rsidRPr="0038265D">
        <w:rPr>
          <w:lang w:val="en-US"/>
        </w:rPr>
        <w:t xml:space="preserve"> </w:t>
      </w:r>
      <w:r w:rsidR="0038265D" w:rsidRPr="0038265D">
        <w:rPr>
          <w:lang w:val="de-DE"/>
        </w:rPr>
        <w:t xml:space="preserve">Butler </w:t>
      </w:r>
      <w:r w:rsidR="0038265D">
        <w:rPr>
          <w:lang w:val="de-DE"/>
        </w:rPr>
        <w:t>wendet</w:t>
      </w:r>
      <w:r w:rsidR="0038265D" w:rsidRPr="0038265D">
        <w:rPr>
          <w:lang w:val="de-DE"/>
        </w:rPr>
        <w:t xml:space="preserve"> </w:t>
      </w:r>
      <w:r w:rsidR="00DA768F">
        <w:rPr>
          <w:lang w:val="de-DE"/>
        </w:rPr>
        <w:t xml:space="preserve">aber </w:t>
      </w:r>
      <w:r w:rsidR="0038265D" w:rsidRPr="0038265D">
        <w:rPr>
          <w:lang w:val="de-DE"/>
        </w:rPr>
        <w:t xml:space="preserve">nicht das Modell der Theatralik </w:t>
      </w:r>
      <w:r w:rsidR="0038265D">
        <w:rPr>
          <w:lang w:val="de-DE"/>
        </w:rPr>
        <w:t>an</w:t>
      </w:r>
      <w:r w:rsidR="0038265D" w:rsidRPr="0038265D">
        <w:rPr>
          <w:lang w:val="de-DE"/>
        </w:rPr>
        <w:t xml:space="preserve">, sondern </w:t>
      </w:r>
      <w:r w:rsidR="002F654D">
        <w:rPr>
          <w:lang w:val="de-DE"/>
        </w:rPr>
        <w:t>stützt sich</w:t>
      </w:r>
      <w:r w:rsidR="0038265D">
        <w:rPr>
          <w:lang w:val="de-DE"/>
        </w:rPr>
        <w:t xml:space="preserve"> vielmehr</w:t>
      </w:r>
      <w:r w:rsidR="0038265D" w:rsidRPr="0038265D">
        <w:rPr>
          <w:lang w:val="de-DE"/>
        </w:rPr>
        <w:t xml:space="preserve"> auf </w:t>
      </w:r>
      <w:r w:rsidR="00A44ECB">
        <w:rPr>
          <w:lang w:val="de-DE"/>
        </w:rPr>
        <w:t>„</w:t>
      </w:r>
      <w:r w:rsidR="00D87198">
        <w:rPr>
          <w:lang w:val="de-DE"/>
        </w:rPr>
        <w:t>performance in a performative sense</w:t>
      </w:r>
      <w:r w:rsidR="00A44ECB">
        <w:rPr>
          <w:lang w:val="de-DE"/>
        </w:rPr>
        <w:t>“</w:t>
      </w:r>
      <w:r w:rsidR="00676730">
        <w:rPr>
          <w:lang w:val="de-DE"/>
        </w:rPr>
        <w:t>.</w:t>
      </w:r>
      <w:r w:rsidR="0038265D">
        <w:rPr>
          <w:lang w:val="de-DE"/>
        </w:rPr>
        <w:t xml:space="preserve"> Sie macht </w:t>
      </w:r>
      <w:r w:rsidR="00D87198">
        <w:rPr>
          <w:lang w:val="de-DE"/>
        </w:rPr>
        <w:t>eine</w:t>
      </w:r>
      <w:r w:rsidR="00DA768F">
        <w:rPr>
          <w:lang w:val="de-DE"/>
        </w:rPr>
        <w:t>n</w:t>
      </w:r>
      <w:r w:rsidR="0038265D">
        <w:rPr>
          <w:lang w:val="de-DE"/>
        </w:rPr>
        <w:t xml:space="preserve"> Unterschied zwi</w:t>
      </w:r>
      <w:r w:rsidR="00840854">
        <w:rPr>
          <w:lang w:val="de-DE"/>
        </w:rPr>
        <w:t>schen der Rolle des jeweiligen Agens</w:t>
      </w:r>
      <w:r w:rsidR="0038265D">
        <w:rPr>
          <w:lang w:val="de-DE"/>
        </w:rPr>
        <w:t xml:space="preserve">. </w:t>
      </w:r>
      <w:r w:rsidR="00A44ECB">
        <w:rPr>
          <w:lang w:val="en-US"/>
        </w:rPr>
        <w:t xml:space="preserve">Statt einem </w:t>
      </w:r>
      <w:r w:rsidR="00840854">
        <w:rPr>
          <w:lang w:val="en-US"/>
        </w:rPr>
        <w:t>Agens,</w:t>
      </w:r>
      <w:r w:rsidR="00A44ECB">
        <w:rPr>
          <w:lang w:val="en-US"/>
        </w:rPr>
        <w:t xml:space="preserve"> </w:t>
      </w:r>
      <w:r w:rsidR="00840854">
        <w:rPr>
          <w:lang w:val="en-US"/>
        </w:rPr>
        <w:t>das</w:t>
      </w:r>
      <w:r w:rsidR="00A44ECB">
        <w:rPr>
          <w:lang w:val="en-US"/>
        </w:rPr>
        <w:t xml:space="preserve"> das </w:t>
      </w:r>
      <w:r w:rsidR="00A44ECB" w:rsidRPr="00A44ECB">
        <w:rPr>
          <w:lang w:val="en-US"/>
        </w:rPr>
        <w:t>„</w:t>
      </w:r>
      <w:r w:rsidR="0038265D" w:rsidRPr="00AB6793">
        <w:rPr>
          <w:lang w:val="en-US"/>
        </w:rPr>
        <w:t>acting</w:t>
      </w:r>
      <w:r w:rsidR="00A44ECB" w:rsidRPr="00A44ECB">
        <w:rPr>
          <w:lang w:val="en-US"/>
        </w:rPr>
        <w:t>“</w:t>
      </w:r>
      <w:r w:rsidR="00A44ECB">
        <w:rPr>
          <w:lang w:val="en-US"/>
        </w:rPr>
        <w:t xml:space="preserve"> </w:t>
      </w:r>
      <w:r w:rsidR="002F654D">
        <w:rPr>
          <w:lang w:val="en-US"/>
        </w:rPr>
        <w:t>betreibt</w:t>
      </w:r>
      <w:r w:rsidR="00A44ECB">
        <w:rPr>
          <w:lang w:val="en-US"/>
        </w:rPr>
        <w:t xml:space="preserve">, wird </w:t>
      </w:r>
      <w:r w:rsidR="00840854">
        <w:rPr>
          <w:lang w:val="en-US"/>
        </w:rPr>
        <w:t>es</w:t>
      </w:r>
      <w:r w:rsidR="0038265D" w:rsidRPr="00AB6793">
        <w:rPr>
          <w:lang w:val="en-US"/>
        </w:rPr>
        <w:t xml:space="preserve"> in Butlers Performativitätstheorie in und von </w:t>
      </w:r>
      <w:r w:rsidR="00D87198">
        <w:rPr>
          <w:lang w:val="en-US"/>
        </w:rPr>
        <w:t>der Handlung produziert</w:t>
      </w:r>
      <w:r w:rsidR="00AB6793" w:rsidRPr="00AB6793">
        <w:rPr>
          <w:lang w:val="en-US"/>
        </w:rPr>
        <w:t>: „In opposition to theatrical or phe</w:t>
      </w:r>
      <w:r w:rsidR="00DA768F">
        <w:rPr>
          <w:lang w:val="en-US"/>
        </w:rPr>
        <w:t>n</w:t>
      </w:r>
      <w:r w:rsidR="00AB6793" w:rsidRPr="00AB6793">
        <w:rPr>
          <w:lang w:val="en-US"/>
        </w:rPr>
        <w:t>omenological models which take the g</w:t>
      </w:r>
      <w:r w:rsidR="00D87198">
        <w:rPr>
          <w:lang w:val="en-US"/>
        </w:rPr>
        <w:t xml:space="preserve">endered self to be prior to its </w:t>
      </w:r>
      <w:r w:rsidR="00AB6793" w:rsidRPr="00AB6793">
        <w:rPr>
          <w:lang w:val="en-US"/>
        </w:rPr>
        <w:t xml:space="preserve">acts, I will understand constituting acts not only as constituting the identity of the actor but </w:t>
      </w:r>
      <w:r w:rsidR="00AB6793">
        <w:rPr>
          <w:lang w:val="en-US"/>
        </w:rPr>
        <w:t xml:space="preserve">as constituting that identity as a compelling illusion, an object of </w:t>
      </w:r>
      <w:r w:rsidR="00AB6793">
        <w:rPr>
          <w:i/>
          <w:lang w:val="en-US"/>
        </w:rPr>
        <w:t>belief</w:t>
      </w:r>
      <w:r w:rsidR="00840854">
        <w:rPr>
          <w:lang w:val="en-US"/>
        </w:rPr>
        <w:t>.”</w:t>
      </w:r>
      <w:r w:rsidR="00AB6793">
        <w:rPr>
          <w:rStyle w:val="Voetnootmarkering"/>
          <w:lang w:val="en-US"/>
        </w:rPr>
        <w:footnoteReference w:id="79"/>
      </w:r>
      <w:r w:rsidR="007821BC">
        <w:rPr>
          <w:lang w:val="en-US"/>
        </w:rPr>
        <w:t xml:space="preserve"> </w:t>
      </w:r>
      <w:r w:rsidR="001A2BCA">
        <w:rPr>
          <w:lang w:val="de-DE"/>
        </w:rPr>
        <w:t xml:space="preserve">Diese Idee kann mit </w:t>
      </w:r>
      <w:r w:rsidR="00E0779B">
        <w:rPr>
          <w:lang w:val="de-DE"/>
        </w:rPr>
        <w:t>der</w:t>
      </w:r>
      <w:r w:rsidR="001A2BCA">
        <w:rPr>
          <w:lang w:val="de-DE"/>
        </w:rPr>
        <w:t xml:space="preserve"> Aussage </w:t>
      </w:r>
      <w:r w:rsidR="00840854">
        <w:rPr>
          <w:lang w:val="de-DE"/>
        </w:rPr>
        <w:t>„</w:t>
      </w:r>
      <w:r w:rsidR="007821BC" w:rsidRPr="007821BC">
        <w:rPr>
          <w:lang w:val="de-DE"/>
        </w:rPr>
        <w:t>no doer behind the deed</w:t>
      </w:r>
      <w:r w:rsidR="00840854">
        <w:rPr>
          <w:lang w:val="de-DE"/>
        </w:rPr>
        <w:t>“</w:t>
      </w:r>
      <w:r w:rsidR="007821BC" w:rsidRPr="007821BC">
        <w:rPr>
          <w:lang w:val="de-DE"/>
        </w:rPr>
        <w:t xml:space="preserve"> zusammengefasst </w:t>
      </w:r>
      <w:r w:rsidR="00FA6B67">
        <w:rPr>
          <w:lang w:val="de-DE"/>
        </w:rPr>
        <w:t>we</w:t>
      </w:r>
      <w:r w:rsidR="007821BC" w:rsidRPr="007821BC">
        <w:rPr>
          <w:lang w:val="de-DE"/>
        </w:rPr>
        <w:t>rden</w:t>
      </w:r>
      <w:r w:rsidR="00840854">
        <w:rPr>
          <w:lang w:val="de-DE"/>
        </w:rPr>
        <w:t>.</w:t>
      </w:r>
    </w:p>
    <w:p w14:paraId="4D6D2392" w14:textId="6FD1A8FC" w:rsidR="005521DF" w:rsidRPr="004E1B2A" w:rsidRDefault="00DA768F" w:rsidP="00684B4A">
      <w:pPr>
        <w:ind w:firstLine="708"/>
        <w:rPr>
          <w:lang w:val="de-DE"/>
        </w:rPr>
      </w:pPr>
      <w:r>
        <w:rPr>
          <w:lang w:val="de-DE"/>
        </w:rPr>
        <w:t>An zweiter Stelle</w:t>
      </w:r>
      <w:r w:rsidR="00B44350" w:rsidRPr="00B44350">
        <w:rPr>
          <w:lang w:val="de-DE"/>
        </w:rPr>
        <w:t xml:space="preserve"> behauptet Butler, dass e</w:t>
      </w:r>
      <w:r w:rsidR="00B44350">
        <w:rPr>
          <w:lang w:val="de-DE"/>
        </w:rPr>
        <w:t>in Individuum</w:t>
      </w:r>
      <w:r w:rsidR="00D92100">
        <w:rPr>
          <w:lang w:val="de-DE"/>
        </w:rPr>
        <w:t xml:space="preserve"> kein Subjekt werden kann,</w:t>
      </w:r>
      <w:r w:rsidR="00A44ECB">
        <w:rPr>
          <w:lang w:val="de-DE"/>
        </w:rPr>
        <w:t xml:space="preserve"> ohne zuerst unterworfen (eng. „</w:t>
      </w:r>
      <w:r w:rsidR="00D92100">
        <w:rPr>
          <w:lang w:val="de-DE"/>
        </w:rPr>
        <w:t>subjected</w:t>
      </w:r>
      <w:r w:rsidR="00A44ECB">
        <w:rPr>
          <w:lang w:val="de-DE"/>
        </w:rPr>
        <w:t>“</w:t>
      </w:r>
      <w:r w:rsidR="00D92100">
        <w:rPr>
          <w:lang w:val="de-DE"/>
        </w:rPr>
        <w:t>) zu werden</w:t>
      </w:r>
      <w:r w:rsidR="005521DF">
        <w:rPr>
          <w:lang w:val="de-DE"/>
        </w:rPr>
        <w:t>:</w:t>
      </w:r>
      <w:r w:rsidR="00D92100">
        <w:rPr>
          <w:lang w:val="de-DE"/>
        </w:rPr>
        <w:t xml:space="preserve"> </w:t>
      </w:r>
      <w:r w:rsidR="00840854">
        <w:rPr>
          <w:lang w:val="de-DE"/>
        </w:rPr>
        <w:t>Unterwerfung</w:t>
      </w:r>
      <w:r w:rsidR="00D92100">
        <w:rPr>
          <w:lang w:val="de-DE"/>
        </w:rPr>
        <w:t xml:space="preserve"> </w:t>
      </w:r>
      <w:r w:rsidR="005521DF">
        <w:rPr>
          <w:lang w:val="de-DE"/>
        </w:rPr>
        <w:t xml:space="preserve">ist also notwendig. </w:t>
      </w:r>
      <w:r w:rsidR="00D87198">
        <w:rPr>
          <w:lang w:val="de-DE"/>
        </w:rPr>
        <w:t>Sie</w:t>
      </w:r>
      <w:r w:rsidR="005521DF" w:rsidRPr="004E1B2A">
        <w:rPr>
          <w:lang w:val="de-DE"/>
        </w:rPr>
        <w:t xml:space="preserve"> verknüpft diesen Prozess mit einem Paradox, das die folgende Idee enthält:</w:t>
      </w:r>
    </w:p>
    <w:p w14:paraId="410D7FB7" w14:textId="7A91540E" w:rsidR="00B44350" w:rsidRPr="005521DF" w:rsidRDefault="00B44350" w:rsidP="005521DF">
      <w:pPr>
        <w:spacing w:after="240" w:line="240" w:lineRule="auto"/>
        <w:ind w:left="567"/>
        <w:rPr>
          <w:lang w:val="en-US"/>
        </w:rPr>
      </w:pPr>
      <w:r>
        <w:rPr>
          <w:lang w:val="en-GB"/>
        </w:rPr>
        <w:t>The paradox of</w:t>
      </w:r>
      <w:r w:rsidRPr="00156A64">
        <w:rPr>
          <w:lang w:val="en-GB"/>
        </w:rPr>
        <w:t xml:space="preserve"> </w:t>
      </w:r>
      <w:r w:rsidRPr="00A42945">
        <w:rPr>
          <w:lang w:val="en-GB"/>
        </w:rPr>
        <w:t>subject</w:t>
      </w:r>
      <w:r>
        <w:rPr>
          <w:lang w:val="en-GB"/>
        </w:rPr>
        <w:t>ivation (</w:t>
      </w:r>
      <w:r>
        <w:rPr>
          <w:i/>
          <w:lang w:val="en-GB"/>
        </w:rPr>
        <w:t>assujetiss</w:t>
      </w:r>
      <w:r w:rsidR="00D87198">
        <w:rPr>
          <w:i/>
          <w:lang w:val="en-GB"/>
        </w:rPr>
        <w:t>e</w:t>
      </w:r>
      <w:r>
        <w:rPr>
          <w:i/>
          <w:lang w:val="en-GB"/>
        </w:rPr>
        <w:t>ment</w:t>
      </w:r>
      <w:r>
        <w:rPr>
          <w:lang w:val="en-GB"/>
        </w:rPr>
        <w:t>) is precisely that the subject</w:t>
      </w:r>
      <w:r w:rsidRPr="00A42945">
        <w:rPr>
          <w:lang w:val="en-GB"/>
        </w:rPr>
        <w:t xml:space="preserve"> who would resist such norms is itself enabled, if not produced by such norms.</w:t>
      </w:r>
      <w:r>
        <w:rPr>
          <w:lang w:val="en-GB"/>
        </w:rPr>
        <w:t xml:space="preserve"> Although this constitutive constraint does not foreclose the possibility of agency, it does locate agency as a reiterative or rearticulatory practice, immanent to power, and not a relation </w:t>
      </w:r>
      <w:r w:rsidR="005521DF">
        <w:rPr>
          <w:lang w:val="en-GB"/>
        </w:rPr>
        <w:t>of external opposition to power.</w:t>
      </w:r>
      <w:r>
        <w:rPr>
          <w:rStyle w:val="Voetnootmarkering"/>
          <w:lang w:val="en-GB"/>
        </w:rPr>
        <w:footnoteReference w:id="80"/>
      </w:r>
    </w:p>
    <w:p w14:paraId="38C3DA1C" w14:textId="7FCB5C63" w:rsidR="00666E04" w:rsidRPr="009315D6" w:rsidRDefault="002F654D" w:rsidP="00B44350">
      <w:pPr>
        <w:rPr>
          <w:rFonts w:cs="Times New Roman"/>
          <w:lang w:val="en-US"/>
        </w:rPr>
      </w:pPr>
      <w:r>
        <w:rPr>
          <w:rFonts w:cs="Times New Roman"/>
          <w:lang w:val="en-US"/>
        </w:rPr>
        <w:lastRenderedPageBreak/>
        <w:t>Butler ist sich des</w:t>
      </w:r>
      <w:r w:rsidR="00666E04" w:rsidRPr="00666E04">
        <w:rPr>
          <w:rFonts w:cs="Times New Roman"/>
          <w:lang w:val="en-US"/>
        </w:rPr>
        <w:t xml:space="preserve"> paradoxalen </w:t>
      </w:r>
      <w:r>
        <w:rPr>
          <w:rFonts w:cs="Times New Roman"/>
          <w:lang w:val="en-US"/>
        </w:rPr>
        <w:t>Charakters</w:t>
      </w:r>
      <w:r w:rsidR="00666E04" w:rsidRPr="00666E04">
        <w:rPr>
          <w:rFonts w:cs="Times New Roman"/>
          <w:lang w:val="en-US"/>
        </w:rPr>
        <w:t xml:space="preserve"> dieser Aussage bewusst: „The double aspect of subjection appea</w:t>
      </w:r>
      <w:r w:rsidR="00666E04">
        <w:rPr>
          <w:rFonts w:cs="Times New Roman"/>
          <w:lang w:val="en-US"/>
        </w:rPr>
        <w:t>rs to lead to a vicious circle: the agency of the subject appears to be an effect of its subordination.</w:t>
      </w:r>
      <w:r w:rsidR="00666E04" w:rsidRPr="00666E04">
        <w:rPr>
          <w:rFonts w:cs="Times New Roman"/>
          <w:lang w:val="en-US"/>
        </w:rPr>
        <w:t>“</w:t>
      </w:r>
      <w:r w:rsidR="00666E04">
        <w:rPr>
          <w:rStyle w:val="Voetnootmarkering"/>
          <w:rFonts w:cs="Times New Roman"/>
          <w:lang w:val="en-US"/>
        </w:rPr>
        <w:footnoteReference w:id="81"/>
      </w:r>
      <w:r w:rsidR="00666E04">
        <w:rPr>
          <w:rFonts w:cs="Times New Roman"/>
          <w:lang w:val="en-US"/>
        </w:rPr>
        <w:t xml:space="preserve"> </w:t>
      </w:r>
      <w:r w:rsidR="00666E04" w:rsidRPr="00C61774">
        <w:rPr>
          <w:rFonts w:cs="Times New Roman"/>
          <w:lang w:val="en-US"/>
        </w:rPr>
        <w:t>Sie löst das Problem auf folgende Art und Weise: „</w:t>
      </w:r>
      <w:r w:rsidR="00C61774" w:rsidRPr="00C61774">
        <w:rPr>
          <w:rFonts w:cs="Times New Roman"/>
          <w:lang w:val="en-US"/>
        </w:rPr>
        <w:t>A significant and potentially enabling reversal occurs when power shif</w:t>
      </w:r>
      <w:r w:rsidR="00C61774">
        <w:rPr>
          <w:rFonts w:cs="Times New Roman"/>
          <w:lang w:val="en-US"/>
        </w:rPr>
        <w:t>ts from its status as a condition of agency to the subject’s “own” agency (constitutin</w:t>
      </w:r>
      <w:r w:rsidR="00D87198">
        <w:rPr>
          <w:rFonts w:cs="Times New Roman"/>
          <w:lang w:val="en-US"/>
        </w:rPr>
        <w:t>g an appearance of power in which</w:t>
      </w:r>
      <w:r w:rsidR="00C61774">
        <w:rPr>
          <w:rFonts w:cs="Times New Roman"/>
          <w:lang w:val="en-US"/>
        </w:rPr>
        <w:t xml:space="preserve"> the subject appears as the condition of its “own” power)</w:t>
      </w:r>
      <w:r w:rsidR="00123AC0">
        <w:rPr>
          <w:rFonts w:cs="Times New Roman"/>
          <w:lang w:val="en-US"/>
        </w:rPr>
        <w:t>.</w:t>
      </w:r>
      <w:r w:rsidR="001A2BCA" w:rsidRPr="001A2BCA">
        <w:rPr>
          <w:rFonts w:cs="Times New Roman"/>
          <w:lang w:val="en-US"/>
        </w:rPr>
        <w:t>“</w:t>
      </w:r>
      <w:r w:rsidR="00C61774">
        <w:rPr>
          <w:rStyle w:val="Voetnootmarkering"/>
          <w:rFonts w:cs="Times New Roman"/>
          <w:lang w:val="en-US"/>
        </w:rPr>
        <w:footnoteReference w:id="82"/>
      </w:r>
      <w:r w:rsidR="00C61774">
        <w:rPr>
          <w:rFonts w:cs="Times New Roman"/>
          <w:lang w:val="en-US"/>
        </w:rPr>
        <w:t xml:space="preserve"> </w:t>
      </w:r>
      <w:r w:rsidR="00A44ECB">
        <w:rPr>
          <w:rFonts w:cs="Times New Roman"/>
          <w:lang w:val="en-US"/>
        </w:rPr>
        <w:t xml:space="preserve">Butler definiert </w:t>
      </w:r>
      <w:r w:rsidR="00840854">
        <w:rPr>
          <w:rFonts w:cs="Times New Roman"/>
          <w:lang w:val="en-US"/>
        </w:rPr>
        <w:t>Macht</w:t>
      </w:r>
      <w:r w:rsidR="00C61774" w:rsidRPr="00B63E18">
        <w:rPr>
          <w:rFonts w:cs="Times New Roman"/>
          <w:lang w:val="en-US"/>
        </w:rPr>
        <w:t xml:space="preserve"> </w:t>
      </w:r>
      <w:r w:rsidR="00B63E18" w:rsidRPr="00B63E18">
        <w:rPr>
          <w:rFonts w:cs="Times New Roman"/>
          <w:lang w:val="en-US"/>
        </w:rPr>
        <w:t xml:space="preserve">auf zweifache Art und Weise: „[F]irst, as what is </w:t>
      </w:r>
      <w:r w:rsidR="00B63E18">
        <w:rPr>
          <w:rFonts w:cs="Times New Roman"/>
          <w:lang w:val="en-US"/>
        </w:rPr>
        <w:t>for t</w:t>
      </w:r>
      <w:r w:rsidR="00B63E18" w:rsidRPr="00B63E18">
        <w:rPr>
          <w:rFonts w:cs="Times New Roman"/>
          <w:lang w:val="en-US"/>
        </w:rPr>
        <w:t>he subject alwa</w:t>
      </w:r>
      <w:r w:rsidR="00B63E18">
        <w:rPr>
          <w:rFonts w:cs="Times New Roman"/>
          <w:lang w:val="en-US"/>
        </w:rPr>
        <w:t>y</w:t>
      </w:r>
      <w:r w:rsidR="00B63E18" w:rsidRPr="00B63E18">
        <w:rPr>
          <w:rFonts w:cs="Times New Roman"/>
          <w:lang w:val="en-US"/>
        </w:rPr>
        <w:t>s prior, out</w:t>
      </w:r>
      <w:r w:rsidR="00B63E18">
        <w:rPr>
          <w:rFonts w:cs="Times New Roman"/>
          <w:lang w:val="en-US"/>
        </w:rPr>
        <w:t>side of itself, and operative from the start; second, as the willed effect of the subject</w:t>
      </w:r>
      <w:r w:rsidR="00123AC0">
        <w:rPr>
          <w:rFonts w:cs="Times New Roman"/>
          <w:lang w:val="en-US"/>
        </w:rPr>
        <w:t>.”</w:t>
      </w:r>
      <w:r w:rsidR="00B63E18">
        <w:rPr>
          <w:rStyle w:val="Voetnootmarkering"/>
          <w:rFonts w:cs="Times New Roman"/>
          <w:lang w:val="en-US"/>
        </w:rPr>
        <w:footnoteReference w:id="83"/>
      </w:r>
      <w:r w:rsidR="007A6CAA">
        <w:rPr>
          <w:rFonts w:cs="Times New Roman"/>
          <w:lang w:val="en-US"/>
        </w:rPr>
        <w:t xml:space="preserve"> </w:t>
      </w:r>
      <w:bookmarkStart w:id="21" w:name="_Hlk512071063"/>
    </w:p>
    <w:bookmarkEnd w:id="21"/>
    <w:p w14:paraId="78B7247A" w14:textId="462F4402" w:rsidR="00684B4A" w:rsidRDefault="00B44350" w:rsidP="00684B4A">
      <w:pPr>
        <w:ind w:firstLine="708"/>
        <w:rPr>
          <w:rFonts w:cs="Times New Roman"/>
          <w:lang w:val="de-DE"/>
        </w:rPr>
      </w:pPr>
      <w:r>
        <w:rPr>
          <w:rFonts w:cs="Times New Roman"/>
          <w:lang w:val="de-DE"/>
        </w:rPr>
        <w:t xml:space="preserve">Diesbezüglich ist auch </w:t>
      </w:r>
      <w:r w:rsidR="005521DF">
        <w:rPr>
          <w:lang w:val="de-DE"/>
        </w:rPr>
        <w:t xml:space="preserve">Elleke Boehmers Konzept des </w:t>
      </w:r>
      <w:r>
        <w:rPr>
          <w:lang w:val="de-DE"/>
        </w:rPr>
        <w:t>doppelte</w:t>
      </w:r>
      <w:r w:rsidR="005521DF">
        <w:rPr>
          <w:lang w:val="de-DE"/>
        </w:rPr>
        <w:t>n</w:t>
      </w:r>
      <w:r>
        <w:rPr>
          <w:lang w:val="de-DE"/>
        </w:rPr>
        <w:t xml:space="preserve"> Prozesses des </w:t>
      </w:r>
      <w:r w:rsidR="00A44ECB">
        <w:rPr>
          <w:lang w:val="de-DE"/>
        </w:rPr>
        <w:t>„</w:t>
      </w:r>
      <w:r w:rsidR="00840854">
        <w:rPr>
          <w:lang w:val="de-DE"/>
        </w:rPr>
        <w:t>C</w:t>
      </w:r>
      <w:r>
        <w:rPr>
          <w:lang w:val="de-DE"/>
        </w:rPr>
        <w:t>leaving</w:t>
      </w:r>
      <w:r w:rsidR="00A44ECB">
        <w:rPr>
          <w:lang w:val="de-DE"/>
        </w:rPr>
        <w:t>“</w:t>
      </w:r>
      <w:r>
        <w:rPr>
          <w:lang w:val="de-DE"/>
        </w:rPr>
        <w:t xml:space="preserve"> erwähnenswert. </w:t>
      </w:r>
      <w:r w:rsidRPr="00320F09">
        <w:rPr>
          <w:lang w:val="en-GB"/>
        </w:rPr>
        <w:t xml:space="preserve">Sie definiert diesen Begriff </w:t>
      </w:r>
      <w:r w:rsidR="002F654D">
        <w:rPr>
          <w:lang w:val="en-GB"/>
        </w:rPr>
        <w:t>wie folgend</w:t>
      </w:r>
      <w:r w:rsidRPr="00320F09">
        <w:rPr>
          <w:lang w:val="en-GB"/>
        </w:rPr>
        <w:t>: „</w:t>
      </w:r>
      <w:r w:rsidR="00D87198">
        <w:rPr>
          <w:i/>
          <w:lang w:val="en-GB"/>
        </w:rPr>
        <w:t>[C]</w:t>
      </w:r>
      <w:r w:rsidRPr="00320F09">
        <w:rPr>
          <w:i/>
          <w:lang w:val="en-GB"/>
        </w:rPr>
        <w:t>leaving from</w:t>
      </w:r>
      <w:r w:rsidR="005521DF">
        <w:rPr>
          <w:lang w:val="en-GB"/>
        </w:rPr>
        <w:t>, mo</w:t>
      </w:r>
      <w:r w:rsidRPr="00320F09">
        <w:rPr>
          <w:lang w:val="en-GB"/>
        </w:rPr>
        <w:t>ving away from colonial definitions, transgressing the boundaries of</w:t>
      </w:r>
      <w:r>
        <w:rPr>
          <w:lang w:val="en-GB"/>
        </w:rPr>
        <w:t xml:space="preserve"> colonialist discourse; and in order to effect this, </w:t>
      </w:r>
      <w:r>
        <w:rPr>
          <w:i/>
          <w:lang w:val="en-GB"/>
        </w:rPr>
        <w:t>cleaving to</w:t>
      </w:r>
      <w:r>
        <w:rPr>
          <w:lang w:val="en-GB"/>
        </w:rPr>
        <w:t>: borrowing, taking over, or appropriating the ideological, linguistic, and textual forms of the colonial power.”</w:t>
      </w:r>
      <w:r>
        <w:rPr>
          <w:rStyle w:val="Voetnootmarkering"/>
          <w:lang w:val="en-GB"/>
        </w:rPr>
        <w:footnoteReference w:id="84"/>
      </w:r>
      <w:r>
        <w:rPr>
          <w:lang w:val="en-GB"/>
        </w:rPr>
        <w:t xml:space="preserve"> </w:t>
      </w:r>
      <w:r w:rsidR="00D87198" w:rsidRPr="00D87198">
        <w:rPr>
          <w:lang w:val="de-DE"/>
        </w:rPr>
        <w:t>In</w:t>
      </w:r>
      <w:r w:rsidR="00D87198">
        <w:rPr>
          <w:lang w:val="de-DE"/>
        </w:rPr>
        <w:t xml:space="preserve"> dieser Definition begegnen sich </w:t>
      </w:r>
      <w:r w:rsidR="0065587D">
        <w:rPr>
          <w:lang w:val="de-DE"/>
        </w:rPr>
        <w:t>Butlers T</w:t>
      </w:r>
      <w:r w:rsidR="00684B4A">
        <w:rPr>
          <w:lang w:val="de-DE"/>
        </w:rPr>
        <w:t xml:space="preserve">heorie und </w:t>
      </w:r>
      <w:r w:rsidR="00D87198">
        <w:rPr>
          <w:lang w:val="de-DE"/>
        </w:rPr>
        <w:t xml:space="preserve">die </w:t>
      </w:r>
      <w:r w:rsidR="001A2BCA">
        <w:rPr>
          <w:lang w:val="de-DE"/>
        </w:rPr>
        <w:t>postkolonialistischen Theorien</w:t>
      </w:r>
      <w:r w:rsidR="00684B4A">
        <w:rPr>
          <w:lang w:val="de-DE"/>
        </w:rPr>
        <w:t xml:space="preserve">. </w:t>
      </w:r>
      <w:r w:rsidRPr="005A3215">
        <w:rPr>
          <w:lang w:val="de-DE"/>
        </w:rPr>
        <w:t xml:space="preserve">In ihrem Werk </w:t>
      </w:r>
      <w:r w:rsidRPr="005A3215">
        <w:rPr>
          <w:i/>
          <w:lang w:val="de-DE"/>
        </w:rPr>
        <w:t>Colonial and Postcolonial Literature: Migrant Metaphors</w:t>
      </w:r>
      <w:r w:rsidR="00E0779B">
        <w:rPr>
          <w:lang w:val="de-DE"/>
        </w:rPr>
        <w:t xml:space="preserve"> </w:t>
      </w:r>
      <w:r>
        <w:rPr>
          <w:lang w:val="de-DE"/>
        </w:rPr>
        <w:t>führt Boehmer das</w:t>
      </w:r>
      <w:r w:rsidRPr="005A3215">
        <w:rPr>
          <w:lang w:val="de-DE"/>
        </w:rPr>
        <w:t xml:space="preserve"> Konzept</w:t>
      </w:r>
      <w:r>
        <w:rPr>
          <w:lang w:val="de-DE"/>
        </w:rPr>
        <w:t xml:space="preserve"> an, um zu zeigen, wie einheimische koloniale Schriftsteller auf die Texte von britischen Schriftstellern, die sich mit Themen wie Rückzug und Desillusionierung auseinandersetzten, reagierten: oft anhand der englischen Sprache, mit einem englischen Metrum und englischen Idiomen, </w:t>
      </w:r>
      <w:r w:rsidR="002F654D">
        <w:rPr>
          <w:lang w:val="de-DE"/>
        </w:rPr>
        <w:t>wobei</w:t>
      </w:r>
      <w:r>
        <w:rPr>
          <w:lang w:val="de-DE"/>
        </w:rPr>
        <w:t xml:space="preserve"> </w:t>
      </w:r>
      <w:r w:rsidR="00E0779B">
        <w:rPr>
          <w:lang w:val="de-DE"/>
        </w:rPr>
        <w:t xml:space="preserve">aber </w:t>
      </w:r>
      <w:r>
        <w:rPr>
          <w:lang w:val="de-DE"/>
        </w:rPr>
        <w:t>auch kultureller Stolz geäu</w:t>
      </w:r>
      <w:r>
        <w:rPr>
          <w:rFonts w:cs="Times New Roman"/>
          <w:lang w:val="de-DE"/>
        </w:rPr>
        <w:t>ß</w:t>
      </w:r>
      <w:r>
        <w:rPr>
          <w:lang w:val="de-DE"/>
        </w:rPr>
        <w:t>ert wurde.</w:t>
      </w:r>
      <w:r>
        <w:rPr>
          <w:rStyle w:val="Voetnootmarkering"/>
          <w:lang w:val="de-DE"/>
        </w:rPr>
        <w:footnoteReference w:id="85"/>
      </w:r>
      <w:r>
        <w:rPr>
          <w:lang w:val="de-DE"/>
        </w:rPr>
        <w:t xml:space="preserve"> </w:t>
      </w:r>
    </w:p>
    <w:p w14:paraId="6FA35FF5" w14:textId="2124A498" w:rsidR="003A2D3D" w:rsidRPr="00111EEE" w:rsidRDefault="00DA768F" w:rsidP="00DA768F">
      <w:pPr>
        <w:ind w:firstLine="708"/>
        <w:rPr>
          <w:lang w:val="de-DE"/>
        </w:rPr>
      </w:pPr>
      <w:r>
        <w:rPr>
          <w:lang w:val="de-DE"/>
        </w:rPr>
        <w:t>An dritter Stelle</w:t>
      </w:r>
      <w:r w:rsidR="007A6CAA">
        <w:rPr>
          <w:lang w:val="de-DE"/>
        </w:rPr>
        <w:t xml:space="preserve"> soll vor allem auf Butlers Theorie in </w:t>
      </w:r>
      <w:r w:rsidR="002F654D">
        <w:rPr>
          <w:lang w:val="de-DE"/>
        </w:rPr>
        <w:t>Bezug auf die Performativität der</w:t>
      </w:r>
      <w:r w:rsidR="007A6CAA">
        <w:rPr>
          <w:lang w:val="de-DE"/>
        </w:rPr>
        <w:t xml:space="preserve"> Sprache </w:t>
      </w:r>
      <w:r w:rsidR="00684B4A">
        <w:rPr>
          <w:lang w:val="de-DE"/>
        </w:rPr>
        <w:t xml:space="preserve">fokussiert werden. </w:t>
      </w:r>
      <w:r w:rsidR="001A2BCA">
        <w:rPr>
          <w:lang w:val="de-DE"/>
        </w:rPr>
        <w:t xml:space="preserve">Dafür </w:t>
      </w:r>
      <w:r w:rsidR="002F654D">
        <w:rPr>
          <w:lang w:val="de-DE"/>
        </w:rPr>
        <w:t>greift</w:t>
      </w:r>
      <w:r w:rsidR="00E0779B">
        <w:rPr>
          <w:lang w:val="de-DE"/>
        </w:rPr>
        <w:t xml:space="preserve"> sie auf die</w:t>
      </w:r>
      <w:r w:rsidR="003A2D3D">
        <w:rPr>
          <w:lang w:val="de-DE"/>
        </w:rPr>
        <w:t xml:space="preserve"> Theorie </w:t>
      </w:r>
      <w:r w:rsidR="002F654D">
        <w:rPr>
          <w:lang w:val="de-DE"/>
        </w:rPr>
        <w:t xml:space="preserve">Louis </w:t>
      </w:r>
      <w:r w:rsidR="003A2D3D">
        <w:rPr>
          <w:lang w:val="de-DE"/>
        </w:rPr>
        <w:t>Althussers</w:t>
      </w:r>
      <w:r w:rsidR="002F654D">
        <w:rPr>
          <w:lang w:val="de-DE"/>
        </w:rPr>
        <w:t xml:space="preserve"> zurück</w:t>
      </w:r>
      <w:r w:rsidR="003A2D3D">
        <w:rPr>
          <w:lang w:val="de-DE"/>
        </w:rPr>
        <w:t>, in der er behauptet, dass jemand</w:t>
      </w:r>
      <w:r w:rsidR="00E14479">
        <w:rPr>
          <w:lang w:val="de-DE"/>
        </w:rPr>
        <w:t>,</w:t>
      </w:r>
      <w:r w:rsidR="003F31F0">
        <w:rPr>
          <w:lang w:val="de-DE"/>
        </w:rPr>
        <w:t xml:space="preserve"> „der nicht als intelligibel anerkannt ist, in der und für die Gesellschaft sozial nicht existiert“,</w:t>
      </w:r>
      <w:r w:rsidR="009008D5">
        <w:rPr>
          <w:rStyle w:val="Voetnootmarkering"/>
          <w:lang w:val="de-DE"/>
        </w:rPr>
        <w:footnoteReference w:id="86"/>
      </w:r>
      <w:r w:rsidR="003F31F0">
        <w:rPr>
          <w:lang w:val="de-DE"/>
        </w:rPr>
        <w:t xml:space="preserve"> denn „erst die sprachliche Benennung weist ihm/ihr eine soziale Rolle zu“</w:t>
      </w:r>
      <w:r w:rsidR="008D18B7">
        <w:rPr>
          <w:lang w:val="de-DE"/>
        </w:rPr>
        <w:t>,</w:t>
      </w:r>
      <w:r w:rsidR="009008D5">
        <w:rPr>
          <w:rStyle w:val="Voetnootmarkering"/>
          <w:lang w:val="de-DE"/>
        </w:rPr>
        <w:footnoteReference w:id="87"/>
      </w:r>
      <w:r w:rsidR="008D18B7">
        <w:rPr>
          <w:lang w:val="de-DE"/>
        </w:rPr>
        <w:t xml:space="preserve"> in der ihm/ihr erlaubt wird, zu sprechen. </w:t>
      </w:r>
      <w:r w:rsidR="003A2D3D">
        <w:rPr>
          <w:lang w:val="de-DE"/>
        </w:rPr>
        <w:t xml:space="preserve">Folglich </w:t>
      </w:r>
      <w:r w:rsidR="003A2D3D" w:rsidRPr="00111EEE">
        <w:rPr>
          <w:lang w:val="de-DE"/>
        </w:rPr>
        <w:t>interpretiert</w:t>
      </w:r>
      <w:r w:rsidR="003A2D3D">
        <w:rPr>
          <w:lang w:val="de-DE"/>
        </w:rPr>
        <w:t xml:space="preserve"> Butler</w:t>
      </w:r>
      <w:r w:rsidR="003A2D3D" w:rsidRPr="00111EEE">
        <w:rPr>
          <w:lang w:val="de-DE"/>
        </w:rPr>
        <w:t xml:space="preserve"> das Verlangen nach „continuity, visibility and </w:t>
      </w:r>
      <w:r w:rsidR="003A2D3D" w:rsidRPr="00111EEE">
        <w:rPr>
          <w:lang w:val="de-DE"/>
        </w:rPr>
        <w:lastRenderedPageBreak/>
        <w:t>place“</w:t>
      </w:r>
      <w:r w:rsidR="003A2D3D">
        <w:rPr>
          <w:rStyle w:val="Voetnootmarkering"/>
          <w:lang w:val="de-DE"/>
        </w:rPr>
        <w:footnoteReference w:id="88"/>
      </w:r>
      <w:r w:rsidR="003A2D3D" w:rsidRPr="00111EEE">
        <w:rPr>
          <w:lang w:val="de-DE"/>
        </w:rPr>
        <w:t xml:space="preserve"> in linguistischen Begriffen, weil Individuen nur anhand von Sprache als Subjekte verständlich sein können: </w:t>
      </w:r>
    </w:p>
    <w:p w14:paraId="69A52154" w14:textId="77777777" w:rsidR="003A2D3D" w:rsidRDefault="003A2D3D" w:rsidP="003A2D3D">
      <w:pPr>
        <w:spacing w:after="240" w:line="240" w:lineRule="auto"/>
        <w:ind w:left="567"/>
        <w:rPr>
          <w:lang w:val="en-US"/>
        </w:rPr>
      </w:pPr>
      <w:r w:rsidRPr="00111EEE">
        <w:rPr>
          <w:lang w:val="en-US"/>
        </w:rPr>
        <w:t xml:space="preserve">Individuals come to occupy the site of the subject […], and they enjoy intelligibility only to the extent that they are, as it were, first established in language. The subject is the linguistic occasion for the individual to achieve and reproduce intelligibility, </w:t>
      </w:r>
      <w:r>
        <w:rPr>
          <w:lang w:val="en-US"/>
        </w:rPr>
        <w:t xml:space="preserve">the linguistic condition of its </w:t>
      </w:r>
      <w:r w:rsidRPr="00111EEE">
        <w:rPr>
          <w:lang w:val="en-US"/>
        </w:rPr>
        <w:t>existence and agency.</w:t>
      </w:r>
      <w:r>
        <w:rPr>
          <w:rStyle w:val="Voetnootmarkering"/>
          <w:lang w:val="en-US"/>
        </w:rPr>
        <w:footnoteReference w:id="89"/>
      </w:r>
    </w:p>
    <w:p w14:paraId="164B5616" w14:textId="668B53BF" w:rsidR="006657B4" w:rsidRPr="004A37E9" w:rsidRDefault="009521BF" w:rsidP="003A2D3D">
      <w:pPr>
        <w:rPr>
          <w:lang w:val="de-DE"/>
        </w:rPr>
      </w:pPr>
      <w:r>
        <w:rPr>
          <w:lang w:val="de-DE"/>
        </w:rPr>
        <w:t xml:space="preserve">Für Butler ist </w:t>
      </w:r>
      <w:bookmarkStart w:id="22" w:name="_Hlk513480010"/>
      <w:r>
        <w:rPr>
          <w:lang w:val="de-DE"/>
        </w:rPr>
        <w:t>die Sprache die Möglichkeitsbedingung der Subjektwerdung</w:t>
      </w:r>
      <w:r w:rsidR="003A2D3D">
        <w:rPr>
          <w:lang w:val="de-DE"/>
        </w:rPr>
        <w:t>,</w:t>
      </w:r>
      <w:bookmarkEnd w:id="22"/>
      <w:r w:rsidR="003A2D3D">
        <w:rPr>
          <w:lang w:val="de-DE"/>
        </w:rPr>
        <w:t xml:space="preserve"> aber</w:t>
      </w:r>
      <w:r>
        <w:rPr>
          <w:lang w:val="de-DE"/>
        </w:rPr>
        <w:t xml:space="preserve"> der Subjektwerdung </w:t>
      </w:r>
      <w:r w:rsidR="003A2D3D">
        <w:rPr>
          <w:lang w:val="de-DE"/>
        </w:rPr>
        <w:t xml:space="preserve">sei </w:t>
      </w:r>
      <w:r>
        <w:rPr>
          <w:lang w:val="de-DE"/>
        </w:rPr>
        <w:t>immer auch das Potential d</w:t>
      </w:r>
      <w:r w:rsidR="003A2D3D">
        <w:rPr>
          <w:lang w:val="de-DE"/>
        </w:rPr>
        <w:t xml:space="preserve">er Desubjektivation implizit. </w:t>
      </w:r>
      <w:r w:rsidR="001A36BC">
        <w:rPr>
          <w:lang w:val="de-DE"/>
        </w:rPr>
        <w:t>Au</w:t>
      </w:r>
      <w:r w:rsidR="001A36BC">
        <w:rPr>
          <w:rFonts w:cs="Times New Roman"/>
          <w:lang w:val="de-DE"/>
        </w:rPr>
        <w:t>ß</w:t>
      </w:r>
      <w:r w:rsidR="001A36BC">
        <w:rPr>
          <w:lang w:val="de-DE"/>
        </w:rPr>
        <w:t>erdem</w:t>
      </w:r>
      <w:r>
        <w:rPr>
          <w:lang w:val="de-DE"/>
        </w:rPr>
        <w:t xml:space="preserve"> </w:t>
      </w:r>
      <w:r w:rsidR="001A36BC">
        <w:rPr>
          <w:lang w:val="de-DE"/>
        </w:rPr>
        <w:t>„</w:t>
      </w:r>
      <w:r>
        <w:rPr>
          <w:lang w:val="de-DE"/>
        </w:rPr>
        <w:t>ist Sprache zudem auch die Möglichkeitsbedingung des Widerstands gegen die Unterwerfung und die Subjektivation.“</w:t>
      </w:r>
      <w:r>
        <w:rPr>
          <w:rStyle w:val="Voetnootmarkering"/>
          <w:lang w:val="de-DE"/>
        </w:rPr>
        <w:footnoteReference w:id="90"/>
      </w:r>
      <w:r>
        <w:rPr>
          <w:lang w:val="de-DE"/>
        </w:rPr>
        <w:t xml:space="preserve"> Basierend auf der Sprechakttheorie</w:t>
      </w:r>
      <w:r w:rsidR="001A36BC">
        <w:rPr>
          <w:lang w:val="de-DE"/>
        </w:rPr>
        <w:t xml:space="preserve"> von Austin und Searle</w:t>
      </w:r>
      <w:r>
        <w:rPr>
          <w:lang w:val="de-DE"/>
        </w:rPr>
        <w:t xml:space="preserve"> hat Butler die Performativität von Sprache untersucht</w:t>
      </w:r>
      <w:r w:rsidR="000C3515">
        <w:rPr>
          <w:lang w:val="de-DE"/>
        </w:rPr>
        <w:t>, indem sie Sprache und gesellschaftlich</w:t>
      </w:r>
      <w:r w:rsidR="001A36BC">
        <w:rPr>
          <w:lang w:val="de-DE"/>
        </w:rPr>
        <w:t>e</w:t>
      </w:r>
      <w:r w:rsidR="000C3515">
        <w:rPr>
          <w:lang w:val="de-DE"/>
        </w:rPr>
        <w:t xml:space="preserve"> Veränderungen konzeptionell miteinander verbindet: „Sprache ist […] performativ […]. Die Subjektivation ist demnach ein Akt, der ma</w:t>
      </w:r>
      <w:r w:rsidR="000C3515">
        <w:rPr>
          <w:rFonts w:cs="Times New Roman"/>
          <w:lang w:val="de-DE"/>
        </w:rPr>
        <w:t>ß</w:t>
      </w:r>
      <w:r w:rsidR="000C3515">
        <w:rPr>
          <w:lang w:val="de-DE"/>
        </w:rPr>
        <w:t xml:space="preserve">geblich durch Sprache geschieht: </w:t>
      </w:r>
      <w:bookmarkStart w:id="23" w:name="_Hlk513480026"/>
      <w:r w:rsidR="000C3515">
        <w:rPr>
          <w:lang w:val="de-DE"/>
        </w:rPr>
        <w:t xml:space="preserve">Sprache </w:t>
      </w:r>
      <w:r w:rsidR="000C3515">
        <w:rPr>
          <w:i/>
          <w:lang w:val="de-DE"/>
        </w:rPr>
        <w:t xml:space="preserve">macht </w:t>
      </w:r>
      <w:r w:rsidR="000C3515">
        <w:rPr>
          <w:lang w:val="de-DE"/>
        </w:rPr>
        <w:t xml:space="preserve">das Subjekt, </w:t>
      </w:r>
      <w:r w:rsidR="000C3515">
        <w:rPr>
          <w:i/>
          <w:lang w:val="de-DE"/>
        </w:rPr>
        <w:t xml:space="preserve">macht </w:t>
      </w:r>
      <w:r w:rsidR="000C3515">
        <w:rPr>
          <w:lang w:val="de-DE"/>
        </w:rPr>
        <w:t>Gesellschaft.</w:t>
      </w:r>
      <w:bookmarkEnd w:id="23"/>
      <w:r w:rsidR="000C3515">
        <w:rPr>
          <w:lang w:val="de-DE"/>
        </w:rPr>
        <w:t>“</w:t>
      </w:r>
      <w:r w:rsidR="000C3515">
        <w:rPr>
          <w:rStyle w:val="Voetnootmarkering"/>
          <w:lang w:val="de-DE"/>
        </w:rPr>
        <w:footnoteReference w:id="91"/>
      </w:r>
      <w:r w:rsidR="00F751EE">
        <w:rPr>
          <w:lang w:val="de-DE"/>
        </w:rPr>
        <w:t xml:space="preserve"> Der Sprache als Werkzeug zur Konstitution des Sozialen</w:t>
      </w:r>
      <w:r w:rsidR="000C3515">
        <w:rPr>
          <w:lang w:val="de-DE"/>
        </w:rPr>
        <w:t xml:space="preserve"> widmet</w:t>
      </w:r>
      <w:r w:rsidR="00F751EE">
        <w:rPr>
          <w:lang w:val="de-DE"/>
        </w:rPr>
        <w:t xml:space="preserve"> Butler</w:t>
      </w:r>
      <w:r w:rsidR="000C3515">
        <w:rPr>
          <w:lang w:val="de-DE"/>
        </w:rPr>
        <w:t xml:space="preserve"> ihr Werk </w:t>
      </w:r>
      <w:r w:rsidR="000C3515">
        <w:rPr>
          <w:i/>
          <w:lang w:val="de-DE"/>
        </w:rPr>
        <w:t>Excitable Speech</w:t>
      </w:r>
      <w:r w:rsidR="00897AF7">
        <w:rPr>
          <w:lang w:val="de-DE"/>
        </w:rPr>
        <w:t xml:space="preserve">, </w:t>
      </w:r>
      <w:r w:rsidR="00F751EE">
        <w:rPr>
          <w:lang w:val="de-DE"/>
        </w:rPr>
        <w:t>in</w:t>
      </w:r>
      <w:r w:rsidR="001B6D01">
        <w:rPr>
          <w:lang w:val="de-DE"/>
        </w:rPr>
        <w:t xml:space="preserve"> </w:t>
      </w:r>
      <w:r w:rsidR="00F751EE">
        <w:rPr>
          <w:lang w:val="de-DE"/>
        </w:rPr>
        <w:t xml:space="preserve">dem sie </w:t>
      </w:r>
      <w:r w:rsidR="00A44ECB">
        <w:rPr>
          <w:lang w:val="de-DE"/>
        </w:rPr>
        <w:t>vor allem das Phänomen der „hate speech“</w:t>
      </w:r>
      <w:r w:rsidR="001B6D01">
        <w:rPr>
          <w:lang w:val="de-DE"/>
        </w:rPr>
        <w:t xml:space="preserve"> in den USA untersucht. Sie behauptet, </w:t>
      </w:r>
      <w:r w:rsidR="002F654D">
        <w:rPr>
          <w:lang w:val="de-DE"/>
        </w:rPr>
        <w:t>dass</w:t>
      </w:r>
      <w:r w:rsidR="001B6D01">
        <w:rPr>
          <w:lang w:val="de-DE"/>
        </w:rPr>
        <w:t xml:space="preserve"> nicht nur Sprache im Allgemeinen sondern auch verletzende Sprach</w:t>
      </w:r>
      <w:r w:rsidR="001A36BC">
        <w:rPr>
          <w:lang w:val="de-DE"/>
        </w:rPr>
        <w:t>e ein bestimmtes Subjekt hervor</w:t>
      </w:r>
      <w:r w:rsidR="001B6D01">
        <w:rPr>
          <w:lang w:val="de-DE"/>
        </w:rPr>
        <w:t xml:space="preserve">bringt. </w:t>
      </w:r>
      <w:r w:rsidR="001B6D01" w:rsidRPr="004A37E9">
        <w:rPr>
          <w:lang w:val="de-DE"/>
        </w:rPr>
        <w:t xml:space="preserve">Sie schreibt </w:t>
      </w:r>
      <w:r w:rsidR="00FA5160" w:rsidRPr="004A37E9">
        <w:rPr>
          <w:lang w:val="de-DE"/>
        </w:rPr>
        <w:t xml:space="preserve">Folgendes </w:t>
      </w:r>
      <w:r w:rsidR="001B6D01" w:rsidRPr="004A37E9">
        <w:rPr>
          <w:lang w:val="de-DE"/>
        </w:rPr>
        <w:t xml:space="preserve">in der Einführung zum Werk: </w:t>
      </w:r>
    </w:p>
    <w:p w14:paraId="35FBC0A3" w14:textId="25756979" w:rsidR="007A6CAA" w:rsidRDefault="006657B4" w:rsidP="004E1B2A">
      <w:pPr>
        <w:spacing w:after="240" w:line="240" w:lineRule="auto"/>
        <w:ind w:left="567"/>
        <w:rPr>
          <w:lang w:val="en-US"/>
        </w:rPr>
      </w:pPr>
      <w:r w:rsidRPr="004A37E9">
        <w:rPr>
          <w:lang w:val="de-DE"/>
        </w:rPr>
        <w:t xml:space="preserve">In being called an injurious name, one is derogated and demeaned. </w:t>
      </w:r>
      <w:r w:rsidRPr="006657B4">
        <w:rPr>
          <w:lang w:val="en-US"/>
        </w:rPr>
        <w:t>But the name holds out another possibility as well: by being c</w:t>
      </w:r>
      <w:r>
        <w:rPr>
          <w:lang w:val="en-US"/>
        </w:rPr>
        <w:t>alled a name, one is also, paradoxically, given a certain possibility for social existence, initiated into a temporal life of language that exceeds the prior purposes that animate that call. Thus, the injurious address may appear to fix or paralyze the one it hails, but it may also produce an unexpected and enabling response. If to be addressed is to be interpellated, then the offensive call runs the risk of inaugurating a subject in speech who comes to use language to counter the offensive call.</w:t>
      </w:r>
      <w:r>
        <w:rPr>
          <w:rStyle w:val="Voetnootmarkering"/>
          <w:lang w:val="en-US"/>
        </w:rPr>
        <w:footnoteReference w:id="92"/>
      </w:r>
      <w:r>
        <w:rPr>
          <w:lang w:val="en-US"/>
        </w:rPr>
        <w:t xml:space="preserve"> </w:t>
      </w:r>
    </w:p>
    <w:p w14:paraId="3B1B2F3A" w14:textId="0A9A26F0" w:rsidR="001A36BC" w:rsidRDefault="004E1B2A" w:rsidP="003A2D3D">
      <w:pPr>
        <w:rPr>
          <w:rFonts w:cs="Times New Roman"/>
          <w:lang w:val="de-DE"/>
        </w:rPr>
      </w:pPr>
      <w:r w:rsidRPr="004E1B2A">
        <w:rPr>
          <w:lang w:val="de-DE"/>
        </w:rPr>
        <w:t>Butler betont, dass auch die Konsti</w:t>
      </w:r>
      <w:r>
        <w:rPr>
          <w:lang w:val="de-DE"/>
        </w:rPr>
        <w:t xml:space="preserve">tution </w:t>
      </w:r>
      <w:r w:rsidR="002F654D">
        <w:rPr>
          <w:lang w:val="de-DE"/>
        </w:rPr>
        <w:t>eines erniedrigten</w:t>
      </w:r>
      <w:r>
        <w:rPr>
          <w:lang w:val="de-DE"/>
        </w:rPr>
        <w:t xml:space="preserve"> Subjekt</w:t>
      </w:r>
      <w:r w:rsidR="002F654D">
        <w:rPr>
          <w:lang w:val="de-DE"/>
        </w:rPr>
        <w:t>es</w:t>
      </w:r>
      <w:r>
        <w:rPr>
          <w:lang w:val="de-DE"/>
        </w:rPr>
        <w:t xml:space="preserve"> gewisserma</w:t>
      </w:r>
      <w:r>
        <w:rPr>
          <w:rFonts w:cs="Times New Roman"/>
          <w:lang w:val="de-DE"/>
        </w:rPr>
        <w:t xml:space="preserve">ßen eine Ermächtigung ist. „Indem über die Annahme der Unterwerfung eine Subjektposition zugewiesen wurde, ist dieses Subjekt nun schließlich auch ermächtigt zum Sprechen, es kann »nun seinerseits die Sprache [gebrauchen], um der verletzenden Benennung </w:t>
      </w:r>
      <w:r>
        <w:rPr>
          <w:rFonts w:cs="Times New Roman"/>
          <w:lang w:val="de-DE"/>
        </w:rPr>
        <w:lastRenderedPageBreak/>
        <w:t>entgegenzutreten.«“</w:t>
      </w:r>
      <w:r>
        <w:rPr>
          <w:rStyle w:val="Voetnootmarkering"/>
          <w:rFonts w:cs="Times New Roman"/>
          <w:lang w:val="de-DE"/>
        </w:rPr>
        <w:footnoteReference w:id="93"/>
      </w:r>
      <w:r>
        <w:rPr>
          <w:rFonts w:cs="Times New Roman"/>
          <w:lang w:val="de-DE"/>
        </w:rPr>
        <w:t xml:space="preserve"> Butler </w:t>
      </w:r>
      <w:r w:rsidR="00A44ECB">
        <w:rPr>
          <w:rFonts w:cs="Times New Roman"/>
          <w:lang w:val="de-DE"/>
        </w:rPr>
        <w:t>gibt das Beispiel des Begriffs „</w:t>
      </w:r>
      <w:r>
        <w:rPr>
          <w:rFonts w:cs="Times New Roman"/>
          <w:lang w:val="de-DE"/>
        </w:rPr>
        <w:t>queer</w:t>
      </w:r>
      <w:r w:rsidR="00A44ECB">
        <w:rPr>
          <w:rFonts w:cs="Times New Roman"/>
          <w:lang w:val="de-DE"/>
        </w:rPr>
        <w:t>“</w:t>
      </w:r>
      <w:r>
        <w:rPr>
          <w:rFonts w:cs="Times New Roman"/>
          <w:lang w:val="de-DE"/>
        </w:rPr>
        <w:t>, um zu zeigen, wie eine Beleidigung zur „affirmativen Selbstbeschreibung“</w:t>
      </w:r>
      <w:r>
        <w:rPr>
          <w:rStyle w:val="Voetnootmarkering"/>
          <w:rFonts w:cs="Times New Roman"/>
          <w:lang w:val="de-DE"/>
        </w:rPr>
        <w:footnoteReference w:id="94"/>
      </w:r>
      <w:r>
        <w:rPr>
          <w:rFonts w:cs="Times New Roman"/>
          <w:lang w:val="de-DE"/>
        </w:rPr>
        <w:t xml:space="preserve"> umgedeutet werden kann</w:t>
      </w:r>
      <w:r w:rsidR="004042E5">
        <w:rPr>
          <w:rFonts w:cs="Times New Roman"/>
          <w:lang w:val="de-DE"/>
        </w:rPr>
        <w:t xml:space="preserve">, und diese Umdeutung bringt die Möglichkeit der Transformation gesellschaftlicher Ordnung mit sich. </w:t>
      </w:r>
      <w:r w:rsidR="00483FA7">
        <w:rPr>
          <w:rFonts w:cs="Times New Roman"/>
          <w:lang w:val="de-DE"/>
        </w:rPr>
        <w:t xml:space="preserve">Anna-Lisa </w:t>
      </w:r>
      <w:r w:rsidR="004042E5">
        <w:rPr>
          <w:rFonts w:cs="Times New Roman"/>
          <w:lang w:val="de-DE"/>
        </w:rPr>
        <w:t xml:space="preserve">Müller gelangt </w:t>
      </w:r>
      <w:r w:rsidR="00483FA7">
        <w:rPr>
          <w:rFonts w:cs="Times New Roman"/>
          <w:lang w:val="de-DE"/>
        </w:rPr>
        <w:t>in ihrem Artikel „</w:t>
      </w:r>
      <w:r w:rsidR="00483FA7" w:rsidRPr="00A32BFA">
        <w:rPr>
          <w:lang w:val="de-DE"/>
        </w:rPr>
        <w:t>Worte schaffen Soziales: Wie Sprache Gesellschaft verändert</w:t>
      </w:r>
      <w:r w:rsidR="00483FA7">
        <w:rPr>
          <w:rFonts w:cs="Times New Roman"/>
          <w:lang w:val="de-DE"/>
        </w:rPr>
        <w:t xml:space="preserve">“ </w:t>
      </w:r>
      <w:r w:rsidR="004042E5">
        <w:rPr>
          <w:rFonts w:cs="Times New Roman"/>
          <w:lang w:val="de-DE"/>
        </w:rPr>
        <w:t xml:space="preserve">zur folgenden Schlussfolgerung: </w:t>
      </w:r>
    </w:p>
    <w:p w14:paraId="4B728C97" w14:textId="2702838D" w:rsidR="003A2D3D" w:rsidRDefault="004042E5" w:rsidP="001A36BC">
      <w:pPr>
        <w:spacing w:after="240" w:line="240" w:lineRule="auto"/>
        <w:ind w:left="567"/>
        <w:rPr>
          <w:rFonts w:cs="Times New Roman"/>
          <w:lang w:val="de-DE"/>
        </w:rPr>
      </w:pPr>
      <w:r>
        <w:rPr>
          <w:rFonts w:cs="Times New Roman"/>
          <w:lang w:val="de-DE"/>
        </w:rPr>
        <w:t>Zum einen werden mit [Sprache] soziale Verhältnisse verfestigt und bilden so ein Dispositiv, also ein starres Gerüst der Gesellschaft. Zum anderen ist Sprache das entscheidende Werkzeug, mi</w:t>
      </w:r>
      <w:r w:rsidR="006B0278">
        <w:rPr>
          <w:rFonts w:cs="Times New Roman"/>
          <w:lang w:val="de-DE"/>
        </w:rPr>
        <w:t>t</w:t>
      </w:r>
      <w:r>
        <w:rPr>
          <w:rFonts w:cs="Times New Roman"/>
          <w:lang w:val="de-DE"/>
        </w:rPr>
        <w:t xml:space="preserve"> dem Veränderungen ins Leben gebracht, also realisiert werden; sie ist Motor und konstitutives Element für gesellschaftliche Transformationen, welche wiederum in </w:t>
      </w:r>
      <w:r w:rsidR="001A36BC">
        <w:rPr>
          <w:rFonts w:cs="Times New Roman"/>
          <w:lang w:val="de-DE"/>
        </w:rPr>
        <w:t>Diskursen ihren Ausdruck finden</w:t>
      </w:r>
      <w:r>
        <w:rPr>
          <w:rFonts w:cs="Times New Roman"/>
          <w:lang w:val="de-DE"/>
        </w:rPr>
        <w:t>.</w:t>
      </w:r>
      <w:r>
        <w:rPr>
          <w:rStyle w:val="Voetnootmarkering"/>
          <w:rFonts w:cs="Times New Roman"/>
          <w:lang w:val="de-DE"/>
        </w:rPr>
        <w:footnoteReference w:id="95"/>
      </w:r>
      <w:r w:rsidR="003A2D3D">
        <w:rPr>
          <w:rFonts w:cs="Times New Roman"/>
          <w:lang w:val="de-DE"/>
        </w:rPr>
        <w:t xml:space="preserve"> </w:t>
      </w:r>
    </w:p>
    <w:p w14:paraId="41D6A21A" w14:textId="3F6734EA" w:rsidR="004B7B7D" w:rsidRDefault="001E2373" w:rsidP="001E2373">
      <w:pPr>
        <w:rPr>
          <w:rFonts w:cs="Times New Roman"/>
          <w:lang w:val="de-DE"/>
        </w:rPr>
      </w:pPr>
      <w:r>
        <w:rPr>
          <w:rFonts w:cs="Times New Roman"/>
          <w:lang w:val="de-DE"/>
        </w:rPr>
        <w:t>Butlers Performativitätstheorie</w:t>
      </w:r>
      <w:r w:rsidR="007A074D">
        <w:rPr>
          <w:rFonts w:cs="Times New Roman"/>
          <w:lang w:val="de-DE"/>
        </w:rPr>
        <w:t xml:space="preserve"> – und die dazugehörigen Konzepte – </w:t>
      </w:r>
      <w:r w:rsidRPr="00031100">
        <w:rPr>
          <w:rFonts w:cs="Times New Roman"/>
          <w:lang w:val="de-DE"/>
        </w:rPr>
        <w:t xml:space="preserve">eignet sich besonders für eine Analyse </w:t>
      </w:r>
      <w:r>
        <w:rPr>
          <w:rFonts w:cs="Times New Roman"/>
          <w:lang w:val="de-DE"/>
        </w:rPr>
        <w:t xml:space="preserve">von Ildikós Situation. </w:t>
      </w:r>
      <w:r w:rsidR="007A074D">
        <w:rPr>
          <w:lang w:val="de-DE"/>
        </w:rPr>
        <w:t>Sie erklärt, warum Ildikó anfänglich keine Stimme hat, nämlich, weil sie kein Vollmitglied der Gesellschaft ist, was in der einführenden Bachelorarbeit untersucht wurde: Sie schwebt zwischen den sozialen Systemen der Herkunfts- und Ankunftsgesellschaft.</w:t>
      </w:r>
      <w:r w:rsidR="00522D49">
        <w:rPr>
          <w:lang w:val="de-DE"/>
        </w:rPr>
        <w:t xml:space="preserve"> Die Sprache ihrer Umgebung und ihre eigene Sprachlosigkeit</w:t>
      </w:r>
      <w:r w:rsidR="00522D49" w:rsidRPr="000C3515">
        <w:rPr>
          <w:lang w:val="de-DE"/>
        </w:rPr>
        <w:t xml:space="preserve"> </w:t>
      </w:r>
      <w:r w:rsidR="00522D49">
        <w:rPr>
          <w:lang w:val="de-DE"/>
        </w:rPr>
        <w:t xml:space="preserve">bewirken </w:t>
      </w:r>
      <w:r w:rsidR="0065587D">
        <w:rPr>
          <w:lang w:val="de-DE"/>
        </w:rPr>
        <w:t>ihre</w:t>
      </w:r>
      <w:r w:rsidR="00522D49">
        <w:rPr>
          <w:lang w:val="de-DE"/>
        </w:rPr>
        <w:t xml:space="preserve"> Position in der Gesellschaft. </w:t>
      </w:r>
      <w:r w:rsidR="007A074D">
        <w:rPr>
          <w:lang w:val="de-DE"/>
        </w:rPr>
        <w:t xml:space="preserve">Während Althusser die Möglichkeit zur Veränderung von gesellschaftlichen Verhältnissen nur in den Staatsinstitutionen statt beim Subjekt </w:t>
      </w:r>
      <w:r w:rsidR="00483FA7">
        <w:rPr>
          <w:lang w:val="de-DE"/>
        </w:rPr>
        <w:t>sah</w:t>
      </w:r>
      <w:r w:rsidR="007A074D">
        <w:rPr>
          <w:lang w:val="de-DE"/>
        </w:rPr>
        <w:t xml:space="preserve">, konzeptualisiert Butler gerade das </w:t>
      </w:r>
      <w:bookmarkStart w:id="24" w:name="_Hlk513480057"/>
      <w:r w:rsidR="007A074D">
        <w:rPr>
          <w:lang w:val="de-DE"/>
        </w:rPr>
        <w:t>Subjekt als potentiellen Ort von Widerständigkeit und Veränderung.</w:t>
      </w:r>
      <w:r w:rsidR="007A074D">
        <w:rPr>
          <w:rStyle w:val="Voetnootmarkering"/>
          <w:lang w:val="de-DE"/>
        </w:rPr>
        <w:footnoteReference w:id="96"/>
      </w:r>
      <w:bookmarkEnd w:id="24"/>
      <w:r w:rsidR="007A074D">
        <w:rPr>
          <w:lang w:val="de-DE"/>
        </w:rPr>
        <w:t xml:space="preserve"> Mithilfe </w:t>
      </w:r>
      <w:r w:rsidR="007F5DB1">
        <w:rPr>
          <w:lang w:val="de-DE"/>
        </w:rPr>
        <w:t>von</w:t>
      </w:r>
      <w:r w:rsidR="007A074D">
        <w:rPr>
          <w:lang w:val="de-DE"/>
        </w:rPr>
        <w:t xml:space="preserve"> Sprache kann die Subjektwerdung </w:t>
      </w:r>
      <w:r w:rsidR="00DA341E">
        <w:rPr>
          <w:lang w:val="de-DE"/>
        </w:rPr>
        <w:t xml:space="preserve">(und in </w:t>
      </w:r>
      <w:r w:rsidR="00320A52">
        <w:rPr>
          <w:lang w:val="de-DE"/>
        </w:rPr>
        <w:t>Ildikó</w:t>
      </w:r>
      <w:r w:rsidR="00DA341E">
        <w:rPr>
          <w:lang w:val="de-DE"/>
        </w:rPr>
        <w:t xml:space="preserve">s Fall auch ihr Ausbruch aus der Unterdrückung) </w:t>
      </w:r>
      <w:r w:rsidR="007A074D">
        <w:rPr>
          <w:lang w:val="de-DE"/>
        </w:rPr>
        <w:t xml:space="preserve">vollendet werden. </w:t>
      </w:r>
      <w:bookmarkStart w:id="25" w:name="_Hlk513480073"/>
      <w:r w:rsidR="007A074D">
        <w:rPr>
          <w:rFonts w:cs="Times New Roman"/>
          <w:lang w:val="de-DE"/>
        </w:rPr>
        <w:t>Ildikó</w:t>
      </w:r>
      <w:r w:rsidR="00483FA7">
        <w:rPr>
          <w:rFonts w:cs="Times New Roman"/>
          <w:lang w:val="de-DE"/>
        </w:rPr>
        <w:t xml:space="preserve"> als Agens</w:t>
      </w:r>
      <w:r w:rsidR="007A074D">
        <w:rPr>
          <w:rFonts w:cs="Times New Roman"/>
          <w:lang w:val="de-DE"/>
        </w:rPr>
        <w:t xml:space="preserve"> </w:t>
      </w:r>
      <w:r w:rsidR="007A074D">
        <w:rPr>
          <w:lang w:val="de-DE"/>
        </w:rPr>
        <w:t>wird</w:t>
      </w:r>
      <w:r w:rsidR="007A074D" w:rsidRPr="00031100">
        <w:rPr>
          <w:lang w:val="de-DE"/>
        </w:rPr>
        <w:t xml:space="preserve"> in und </w:t>
      </w:r>
      <w:r w:rsidR="002F654D">
        <w:rPr>
          <w:lang w:val="de-DE"/>
        </w:rPr>
        <w:t>durch</w:t>
      </w:r>
      <w:r w:rsidR="007A074D" w:rsidRPr="00031100">
        <w:rPr>
          <w:lang w:val="de-DE"/>
        </w:rPr>
        <w:t xml:space="preserve"> </w:t>
      </w:r>
      <w:r w:rsidR="007A074D">
        <w:rPr>
          <w:lang w:val="de-DE"/>
        </w:rPr>
        <w:t>ihre</w:t>
      </w:r>
      <w:r w:rsidR="007A074D" w:rsidRPr="00031100">
        <w:rPr>
          <w:lang w:val="de-DE"/>
        </w:rPr>
        <w:t xml:space="preserve"> Handlung</w:t>
      </w:r>
      <w:r w:rsidR="007A074D">
        <w:rPr>
          <w:lang w:val="de-DE"/>
        </w:rPr>
        <w:t>en</w:t>
      </w:r>
      <w:r w:rsidR="007A074D" w:rsidRPr="00031100">
        <w:rPr>
          <w:lang w:val="de-DE"/>
        </w:rPr>
        <w:t xml:space="preserve"> produziert</w:t>
      </w:r>
      <w:r w:rsidR="007A074D">
        <w:rPr>
          <w:lang w:val="de-DE"/>
        </w:rPr>
        <w:t xml:space="preserve">: Ihre Sprache konstruiert </w:t>
      </w:r>
      <w:r w:rsidR="002F654D">
        <w:rPr>
          <w:lang w:val="de-DE"/>
        </w:rPr>
        <w:t>ihre Identität</w:t>
      </w:r>
      <w:r w:rsidR="007A074D">
        <w:rPr>
          <w:lang w:val="de-DE"/>
        </w:rPr>
        <w:t xml:space="preserve">. </w:t>
      </w:r>
      <w:r w:rsidR="007A074D" w:rsidRPr="001A36BC">
        <w:rPr>
          <w:lang w:val="de-DE"/>
        </w:rPr>
        <w:t xml:space="preserve">In </w:t>
      </w:r>
      <w:r w:rsidR="007A074D">
        <w:rPr>
          <w:lang w:val="de-DE"/>
        </w:rPr>
        <w:t>ihrem</w:t>
      </w:r>
      <w:r w:rsidR="007A074D" w:rsidRPr="001A36BC">
        <w:rPr>
          <w:lang w:val="de-DE"/>
        </w:rPr>
        <w:t xml:space="preserve"> Fall geht es vor allem darum, dass sie das Mittel ihrer Unterdrückung – nämlich die Sprache – </w:t>
      </w:r>
      <w:r w:rsidR="002F654D">
        <w:rPr>
          <w:lang w:val="de-DE"/>
        </w:rPr>
        <w:t>an</w:t>
      </w:r>
      <w:r w:rsidR="007A074D" w:rsidRPr="001A36BC">
        <w:rPr>
          <w:lang w:val="de-DE"/>
        </w:rPr>
        <w:t xml:space="preserve"> sich nimmt, es subvertiert und es einsetzt, um den Ausbruch aus ihrer Unterdrückung zu </w:t>
      </w:r>
      <w:r w:rsidR="002F654D">
        <w:rPr>
          <w:lang w:val="de-DE"/>
        </w:rPr>
        <w:t>erreichen</w:t>
      </w:r>
      <w:bookmarkEnd w:id="25"/>
      <w:r w:rsidR="007A074D" w:rsidRPr="001A36BC">
        <w:rPr>
          <w:lang w:val="de-DE"/>
        </w:rPr>
        <w:t xml:space="preserve">. </w:t>
      </w:r>
      <w:r w:rsidR="007A074D">
        <w:rPr>
          <w:lang w:val="de-DE"/>
        </w:rPr>
        <w:t xml:space="preserve">Erst nachdem sie (anhand von Sprache) unterworfen wird, ist sie imstande, </w:t>
      </w:r>
      <w:r w:rsidR="002F654D">
        <w:rPr>
          <w:lang w:val="de-DE"/>
        </w:rPr>
        <w:t>sich</w:t>
      </w:r>
      <w:r w:rsidR="007A074D">
        <w:rPr>
          <w:lang w:val="de-DE"/>
        </w:rPr>
        <w:t xml:space="preserve"> das Unterdrückungsmittel zuzueignen, um </w:t>
      </w:r>
      <w:r w:rsidR="002F654D">
        <w:rPr>
          <w:lang w:val="de-DE"/>
        </w:rPr>
        <w:t xml:space="preserve">so </w:t>
      </w:r>
      <w:r w:rsidR="007A074D">
        <w:rPr>
          <w:lang w:val="de-DE"/>
        </w:rPr>
        <w:t xml:space="preserve">aus </w:t>
      </w:r>
      <w:r w:rsidR="00483FA7">
        <w:rPr>
          <w:lang w:val="de-DE"/>
        </w:rPr>
        <w:t>ihrer</w:t>
      </w:r>
      <w:r w:rsidR="007A074D">
        <w:rPr>
          <w:lang w:val="de-DE"/>
        </w:rPr>
        <w:t xml:space="preserve"> Unterdrückung auszubrechen und zum Subjekt zu werden. </w:t>
      </w:r>
      <w:r w:rsidR="007A074D" w:rsidRPr="001A36BC">
        <w:rPr>
          <w:rFonts w:cs="Times New Roman"/>
          <w:lang w:val="de-DE"/>
        </w:rPr>
        <w:t xml:space="preserve">Konkret bedeutet das, dass </w:t>
      </w:r>
      <w:r w:rsidR="007A074D">
        <w:rPr>
          <w:rFonts w:cs="Times New Roman"/>
          <w:lang w:val="de-DE"/>
        </w:rPr>
        <w:t>Ildikó anhand</w:t>
      </w:r>
      <w:r w:rsidR="007A074D" w:rsidRPr="001A36BC">
        <w:rPr>
          <w:rFonts w:cs="Times New Roman"/>
          <w:lang w:val="de-DE"/>
        </w:rPr>
        <w:t xml:space="preserve"> von Sprache sowohl unterdrückt und beschränkt, als au</w:t>
      </w:r>
      <w:r w:rsidR="007A074D">
        <w:rPr>
          <w:rFonts w:cs="Times New Roman"/>
          <w:lang w:val="de-DE"/>
        </w:rPr>
        <w:t xml:space="preserve">ch </w:t>
      </w:r>
      <w:r w:rsidR="00483FA7">
        <w:rPr>
          <w:rFonts w:cs="Times New Roman"/>
          <w:lang w:val="de-DE"/>
        </w:rPr>
        <w:t>befreit und ermöglicht</w:t>
      </w:r>
      <w:r w:rsidR="007A074D">
        <w:rPr>
          <w:rFonts w:cs="Times New Roman"/>
          <w:lang w:val="de-DE"/>
        </w:rPr>
        <w:t xml:space="preserve"> wird.</w:t>
      </w:r>
      <w:r w:rsidR="00DA341E">
        <w:rPr>
          <w:rFonts w:cs="Times New Roman"/>
          <w:lang w:val="de-DE"/>
        </w:rPr>
        <w:t xml:space="preserve"> Eine gründliche Analyse beider Tendenzen wird weiter in </w:t>
      </w:r>
      <w:r w:rsidR="002F654D">
        <w:rPr>
          <w:rFonts w:cs="Times New Roman"/>
          <w:lang w:val="de-DE"/>
        </w:rPr>
        <w:t>dieser</w:t>
      </w:r>
      <w:r w:rsidR="00DA341E">
        <w:rPr>
          <w:rFonts w:cs="Times New Roman"/>
          <w:lang w:val="de-DE"/>
        </w:rPr>
        <w:t xml:space="preserve"> Arbeit durchgeführt.</w:t>
      </w:r>
    </w:p>
    <w:p w14:paraId="7D5F635D" w14:textId="77777777" w:rsidR="004B7B7D" w:rsidRDefault="004B7B7D">
      <w:pPr>
        <w:spacing w:after="160" w:line="259" w:lineRule="auto"/>
        <w:jc w:val="left"/>
        <w:rPr>
          <w:rFonts w:cs="Times New Roman"/>
          <w:lang w:val="de-DE"/>
        </w:rPr>
      </w:pPr>
      <w:r>
        <w:rPr>
          <w:rFonts w:cs="Times New Roman"/>
          <w:lang w:val="de-DE"/>
        </w:rPr>
        <w:br w:type="page"/>
      </w:r>
    </w:p>
    <w:p w14:paraId="397476FC" w14:textId="2B96C06D" w:rsidR="00B865BD" w:rsidRDefault="00B865BD" w:rsidP="00B865BD">
      <w:pPr>
        <w:pStyle w:val="Kop1"/>
        <w:numPr>
          <w:ilvl w:val="0"/>
          <w:numId w:val="2"/>
        </w:numPr>
        <w:rPr>
          <w:lang w:val="de-DE"/>
        </w:rPr>
      </w:pPr>
      <w:bookmarkStart w:id="26" w:name="_Toc515180093"/>
      <w:r>
        <w:rPr>
          <w:lang w:val="de-DE"/>
        </w:rPr>
        <w:lastRenderedPageBreak/>
        <w:t>Historischer Überblick</w:t>
      </w:r>
      <w:bookmarkEnd w:id="26"/>
    </w:p>
    <w:p w14:paraId="3FCDE270" w14:textId="3A88E23E" w:rsidR="00B865BD" w:rsidRPr="00B865BD" w:rsidRDefault="00B865BD" w:rsidP="00B865BD">
      <w:pPr>
        <w:rPr>
          <w:lang w:val="de-DE"/>
        </w:rPr>
      </w:pPr>
      <w:r w:rsidRPr="00B865BD">
        <w:rPr>
          <w:lang w:val="de-DE"/>
        </w:rPr>
        <w:t xml:space="preserve">Sowohl </w:t>
      </w:r>
      <w:r w:rsidR="00D05A11">
        <w:rPr>
          <w:lang w:val="de-DE"/>
        </w:rPr>
        <w:t>in der Wirklichkeit als</w:t>
      </w:r>
      <w:r w:rsidR="006B0278">
        <w:rPr>
          <w:lang w:val="de-DE"/>
        </w:rPr>
        <w:t xml:space="preserve"> auch</w:t>
      </w:r>
      <w:r w:rsidR="00D05A11">
        <w:rPr>
          <w:lang w:val="de-DE"/>
        </w:rPr>
        <w:t xml:space="preserve"> </w:t>
      </w:r>
      <w:r w:rsidR="001214C3">
        <w:rPr>
          <w:lang w:val="de-DE"/>
        </w:rPr>
        <w:t xml:space="preserve">in </w:t>
      </w:r>
      <w:r w:rsidR="00C05398">
        <w:rPr>
          <w:lang w:val="de-DE"/>
        </w:rPr>
        <w:t xml:space="preserve">Nadj </w:t>
      </w:r>
      <w:r w:rsidR="001214C3">
        <w:rPr>
          <w:lang w:val="de-DE"/>
        </w:rPr>
        <w:t>Abonjis Werk</w:t>
      </w:r>
      <w:r w:rsidRPr="00B865BD">
        <w:rPr>
          <w:lang w:val="de-DE"/>
        </w:rPr>
        <w:t xml:space="preserve"> wird ein Gegensatz zwischen der Schweiz und der Vojvodi</w:t>
      </w:r>
      <w:r w:rsidR="00D05A11">
        <w:rPr>
          <w:lang w:val="de-DE"/>
        </w:rPr>
        <w:t xml:space="preserve">na </w:t>
      </w:r>
      <w:r w:rsidR="00172DAF">
        <w:rPr>
          <w:lang w:val="de-DE"/>
        </w:rPr>
        <w:t>deutlich</w:t>
      </w:r>
      <w:r w:rsidR="00D05A11">
        <w:rPr>
          <w:lang w:val="de-DE"/>
        </w:rPr>
        <w:t xml:space="preserve">. Dieser gilt </w:t>
      </w:r>
      <w:r w:rsidRPr="00B865BD">
        <w:rPr>
          <w:lang w:val="de-DE"/>
        </w:rPr>
        <w:t>aber nicht als genaue Opposition zw</w:t>
      </w:r>
      <w:r w:rsidR="00D05A11">
        <w:rPr>
          <w:lang w:val="de-DE"/>
        </w:rPr>
        <w:t xml:space="preserve">ischen dem Osten und dem Westen. </w:t>
      </w:r>
      <w:r w:rsidRPr="00B865BD">
        <w:rPr>
          <w:lang w:val="de-DE"/>
        </w:rPr>
        <w:t xml:space="preserve">Die Vojvodina belegt nämlich eine Zwischenposition, und zwar eine doppelte, weil </w:t>
      </w:r>
      <w:r w:rsidR="00172DAF">
        <w:rPr>
          <w:lang w:val="de-DE"/>
        </w:rPr>
        <w:t>zusätzlich zur</w:t>
      </w:r>
      <w:r w:rsidRPr="00B865BD">
        <w:rPr>
          <w:lang w:val="de-DE"/>
        </w:rPr>
        <w:t xml:space="preserve"> Position zwischen dem Osten und dem Westen ein Teil der Vojvod</w:t>
      </w:r>
      <w:r w:rsidR="00F203EE">
        <w:rPr>
          <w:lang w:val="de-DE"/>
        </w:rPr>
        <w:t>iner Bevölkerung sich zwischen dem</w:t>
      </w:r>
      <w:r w:rsidRPr="00B865BD">
        <w:rPr>
          <w:lang w:val="de-DE"/>
        </w:rPr>
        <w:t xml:space="preserve"> serbischen und </w:t>
      </w:r>
      <w:r w:rsidR="00F203EE">
        <w:rPr>
          <w:lang w:val="de-DE"/>
        </w:rPr>
        <w:t>dem ungarischen Raum</w:t>
      </w:r>
      <w:r w:rsidRPr="00B865BD">
        <w:rPr>
          <w:lang w:val="de-DE"/>
        </w:rPr>
        <w:t xml:space="preserve"> befindet</w:t>
      </w:r>
      <w:r w:rsidR="00F203EE">
        <w:rPr>
          <w:lang w:val="de-DE"/>
        </w:rPr>
        <w:t xml:space="preserve">, da </w:t>
      </w:r>
      <w:r w:rsidR="00172DAF">
        <w:rPr>
          <w:lang w:val="de-DE"/>
        </w:rPr>
        <w:t>er</w:t>
      </w:r>
      <w:r w:rsidR="00F203EE">
        <w:rPr>
          <w:lang w:val="de-DE"/>
        </w:rPr>
        <w:t xml:space="preserve"> eigentlich </w:t>
      </w:r>
      <w:r w:rsidR="00172DAF">
        <w:rPr>
          <w:lang w:val="de-DE"/>
        </w:rPr>
        <w:t xml:space="preserve">aus </w:t>
      </w:r>
      <w:r w:rsidR="00F203EE">
        <w:rPr>
          <w:lang w:val="de-DE"/>
        </w:rPr>
        <w:t>ethnische</w:t>
      </w:r>
      <w:r w:rsidR="00172DAF">
        <w:rPr>
          <w:lang w:val="de-DE"/>
        </w:rPr>
        <w:t>n Ungarn besteht</w:t>
      </w:r>
      <w:r w:rsidRPr="00B865BD">
        <w:rPr>
          <w:lang w:val="de-DE"/>
        </w:rPr>
        <w:t>. Heute leben in</w:t>
      </w:r>
      <w:r w:rsidR="00130275">
        <w:rPr>
          <w:lang w:val="de-DE"/>
        </w:rPr>
        <w:t xml:space="preserve"> Serbien um die 250.000 Ungarn, wovon</w:t>
      </w:r>
      <w:r w:rsidRPr="00B865BD">
        <w:rPr>
          <w:lang w:val="de-DE"/>
        </w:rPr>
        <w:t xml:space="preserve"> die weitaus gro</w:t>
      </w:r>
      <w:r w:rsidRPr="00B865BD">
        <w:rPr>
          <w:rFonts w:cs="Times New Roman"/>
          <w:lang w:val="de-DE"/>
        </w:rPr>
        <w:t>ß</w:t>
      </w:r>
      <w:r w:rsidRPr="00B865BD">
        <w:rPr>
          <w:lang w:val="de-DE"/>
        </w:rPr>
        <w:t>e Mehrheit in der Vojvodina wohnt.</w:t>
      </w:r>
      <w:r>
        <w:rPr>
          <w:rStyle w:val="Voetnootmarkering"/>
          <w:lang w:val="de-DE"/>
        </w:rPr>
        <w:footnoteReference w:id="97"/>
      </w:r>
      <w:r w:rsidRPr="00B865BD">
        <w:rPr>
          <w:lang w:val="de-DE"/>
        </w:rPr>
        <w:t xml:space="preserve"> In </w:t>
      </w:r>
      <w:r w:rsidR="005943B3">
        <w:rPr>
          <w:lang w:val="de-DE"/>
        </w:rPr>
        <w:t>meine</w:t>
      </w:r>
      <w:r w:rsidRPr="00B865BD">
        <w:rPr>
          <w:lang w:val="de-DE"/>
        </w:rPr>
        <w:t xml:space="preserve"> Bachelorarbeit wurde die Zwischenposition der Vojvodina schon kurz besprochen, weil die Familie Kocsis zu ihrer ungarischen Minderheit gehört.</w:t>
      </w:r>
      <w:r>
        <w:rPr>
          <w:rStyle w:val="Voetnootmarkering"/>
          <w:lang w:val="de-DE"/>
        </w:rPr>
        <w:footnoteReference w:id="98"/>
      </w:r>
      <w:r w:rsidRPr="00B865BD">
        <w:rPr>
          <w:lang w:val="de-DE"/>
        </w:rPr>
        <w:t xml:space="preserve"> Obwohl man erwarten könnte, dass </w:t>
      </w:r>
      <w:r w:rsidR="00F73DBD">
        <w:rPr>
          <w:lang w:val="de-DE"/>
        </w:rPr>
        <w:t>Ildikó</w:t>
      </w:r>
      <w:r w:rsidRPr="00B865BD">
        <w:rPr>
          <w:lang w:val="de-DE"/>
        </w:rPr>
        <w:t xml:space="preserve"> also eher der ungarischen als der serbischen Identität angehören würde, wei</w:t>
      </w:r>
      <w:r w:rsidRPr="00B865BD">
        <w:rPr>
          <w:rFonts w:cs="Times New Roman"/>
          <w:lang w:val="de-DE"/>
        </w:rPr>
        <w:t>ß</w:t>
      </w:r>
      <w:r w:rsidRPr="00B865BD">
        <w:rPr>
          <w:lang w:val="de-DE"/>
        </w:rPr>
        <w:t xml:space="preserve"> sie selbst nicht, wer sie </w:t>
      </w:r>
      <w:r w:rsidR="00F203EE">
        <w:rPr>
          <w:lang w:val="de-DE"/>
        </w:rPr>
        <w:t>genau</w:t>
      </w:r>
      <w:r w:rsidRPr="00B865BD">
        <w:rPr>
          <w:lang w:val="de-DE"/>
        </w:rPr>
        <w:t xml:space="preserve"> ist. </w:t>
      </w:r>
      <w:r w:rsidR="006B0278">
        <w:rPr>
          <w:lang w:val="de-DE"/>
        </w:rPr>
        <w:t>Au</w:t>
      </w:r>
      <w:r w:rsidR="006B0278">
        <w:rPr>
          <w:rFonts w:cs="Times New Roman"/>
          <w:lang w:val="de-DE"/>
        </w:rPr>
        <w:t>ß</w:t>
      </w:r>
      <w:r w:rsidR="006B0278">
        <w:rPr>
          <w:lang w:val="de-DE"/>
        </w:rPr>
        <w:t>er</w:t>
      </w:r>
      <w:r w:rsidRPr="00B865BD">
        <w:rPr>
          <w:lang w:val="de-DE"/>
        </w:rPr>
        <w:t xml:space="preserve"> dem Identitätsproblem bringt die ethnisch komplizierte Lage auch praktische Schwierigkeiten mit sich, wie z. B. die Einberufung in die jugoslawische Volksarmee, die dafür sorgt, dass einige männliche Mitglieder der Familie als ethnische Ungarn für den jugoslawischen Staat kämpfen müssen: eine Pflicht, der einige Angehörige entfliehen. </w:t>
      </w:r>
      <w:r w:rsidR="00172DAF">
        <w:rPr>
          <w:lang w:val="de-DE"/>
        </w:rPr>
        <w:t>D</w:t>
      </w:r>
      <w:r w:rsidRPr="00B865BD">
        <w:rPr>
          <w:lang w:val="de-DE"/>
        </w:rPr>
        <w:t xml:space="preserve">iese Problematik </w:t>
      </w:r>
      <w:r w:rsidR="00172DAF">
        <w:rPr>
          <w:lang w:val="de-DE"/>
        </w:rPr>
        <w:t xml:space="preserve">wurde </w:t>
      </w:r>
      <w:r w:rsidRPr="00B865BD">
        <w:rPr>
          <w:lang w:val="de-DE"/>
        </w:rPr>
        <w:t xml:space="preserve">schon in meiner Bachelorarbeit </w:t>
      </w:r>
      <w:r w:rsidR="00172DAF">
        <w:rPr>
          <w:lang w:val="de-DE"/>
        </w:rPr>
        <w:t>erläutert</w:t>
      </w:r>
      <w:r w:rsidRPr="00B865BD">
        <w:rPr>
          <w:lang w:val="de-DE"/>
        </w:rPr>
        <w:t>,</w:t>
      </w:r>
      <w:r w:rsidR="00172DAF">
        <w:rPr>
          <w:lang w:val="de-DE"/>
        </w:rPr>
        <w:t xml:space="preserve"> weshalb</w:t>
      </w:r>
      <w:r w:rsidRPr="00B865BD">
        <w:rPr>
          <w:lang w:val="de-DE"/>
        </w:rPr>
        <w:t xml:space="preserve"> </w:t>
      </w:r>
      <w:r w:rsidR="002F73ED">
        <w:rPr>
          <w:lang w:val="de-DE"/>
        </w:rPr>
        <w:t>die</w:t>
      </w:r>
      <w:r w:rsidRPr="00B865BD">
        <w:rPr>
          <w:lang w:val="de-DE"/>
        </w:rPr>
        <w:t xml:space="preserve"> Untersuchung hier </w:t>
      </w:r>
      <w:r w:rsidR="00172DAF">
        <w:rPr>
          <w:lang w:val="de-DE"/>
        </w:rPr>
        <w:t>durch</w:t>
      </w:r>
      <w:r w:rsidRPr="00B865BD">
        <w:rPr>
          <w:lang w:val="de-DE"/>
        </w:rPr>
        <w:t xml:space="preserve"> die zweite Zwischenposition, nämlich, die von Serbien</w:t>
      </w:r>
      <w:r w:rsidR="00D05A11">
        <w:rPr>
          <w:lang w:val="de-DE"/>
        </w:rPr>
        <w:t xml:space="preserve"> </w:t>
      </w:r>
      <w:r w:rsidRPr="00B865BD">
        <w:rPr>
          <w:lang w:val="de-DE"/>
        </w:rPr>
        <w:t>zwischen Osten und Westen</w:t>
      </w:r>
      <w:r w:rsidR="00D05A11">
        <w:rPr>
          <w:lang w:val="de-DE"/>
        </w:rPr>
        <w:t xml:space="preserve"> erweitert</w:t>
      </w:r>
      <w:r w:rsidR="00172DAF">
        <w:rPr>
          <w:lang w:val="de-DE"/>
        </w:rPr>
        <w:t xml:space="preserve"> wird</w:t>
      </w:r>
      <w:r w:rsidR="002F73ED">
        <w:rPr>
          <w:lang w:val="de-DE"/>
        </w:rPr>
        <w:t xml:space="preserve">, </w:t>
      </w:r>
      <w:r w:rsidR="00172DAF">
        <w:rPr>
          <w:lang w:val="de-DE"/>
        </w:rPr>
        <w:t>sodass</w:t>
      </w:r>
      <w:r w:rsidR="002F73ED">
        <w:rPr>
          <w:lang w:val="de-DE"/>
        </w:rPr>
        <w:t xml:space="preserve"> zu einem vollständig</w:t>
      </w:r>
      <w:r w:rsidRPr="00B865BD">
        <w:rPr>
          <w:lang w:val="de-DE"/>
        </w:rPr>
        <w:t>en Verständnis der Position der Familie Kocsis gel</w:t>
      </w:r>
      <w:r w:rsidR="00D05A11">
        <w:rPr>
          <w:lang w:val="de-DE"/>
        </w:rPr>
        <w:t>a</w:t>
      </w:r>
      <w:r w:rsidRPr="00B865BD">
        <w:rPr>
          <w:lang w:val="de-DE"/>
        </w:rPr>
        <w:t xml:space="preserve">ngt werden kann. Um aber die Position von Serbien, und mit ihm der Vojvodina, </w:t>
      </w:r>
      <w:r w:rsidR="00172DAF">
        <w:rPr>
          <w:lang w:val="de-DE"/>
        </w:rPr>
        <w:t xml:space="preserve">genauer </w:t>
      </w:r>
      <w:r w:rsidRPr="00B865BD">
        <w:rPr>
          <w:lang w:val="de-DE"/>
        </w:rPr>
        <w:t xml:space="preserve">bestimmen zu können, soll zuerst die Geschichte des Landes </w:t>
      </w:r>
      <w:r w:rsidR="00172DAF">
        <w:rPr>
          <w:lang w:val="de-DE"/>
        </w:rPr>
        <w:t>eingehend betrachtet</w:t>
      </w:r>
      <w:r w:rsidRPr="00B865BD">
        <w:rPr>
          <w:lang w:val="de-DE"/>
        </w:rPr>
        <w:t xml:space="preserve"> werden.</w:t>
      </w:r>
    </w:p>
    <w:p w14:paraId="5874C66A" w14:textId="23A2A57E" w:rsidR="00B865BD" w:rsidRPr="00B865BD" w:rsidRDefault="00B865BD" w:rsidP="00B865BD">
      <w:pPr>
        <w:ind w:firstLine="708"/>
        <w:rPr>
          <w:lang w:val="de-DE"/>
        </w:rPr>
      </w:pPr>
      <w:r w:rsidRPr="00B865BD">
        <w:rPr>
          <w:lang w:val="de-DE"/>
        </w:rPr>
        <w:t>Ein südslawischer Nationalismus mit dazugehöriger Idee eines jugoslawischen Staates entstand im 19. Jahrhundert, als auch Deutsche, Italiener, Polen und andere europäische Völker von Einheit und Selbstbestimmung träumten. Aufgrund sprachlicher und kultureller Gemeinsamkeiten entstanden Gefühle von Verwandtschaft und Zusammengehörigkeit.</w:t>
      </w:r>
      <w:r>
        <w:rPr>
          <w:rStyle w:val="Voetnootmarkering"/>
          <w:lang w:val="de-DE"/>
        </w:rPr>
        <w:footnoteReference w:id="99"/>
      </w:r>
      <w:r w:rsidR="007A1F48">
        <w:rPr>
          <w:lang w:val="de-DE"/>
        </w:rPr>
        <w:t xml:space="preserve"> Doch muss hier schon nuanciert werden, dass Unterschiede in </w:t>
      </w:r>
      <w:r w:rsidR="007A1F48">
        <w:rPr>
          <w:lang w:val="de-DE"/>
        </w:rPr>
        <w:lastRenderedPageBreak/>
        <w:t>ähnlichen Kategorien – z. B. anhand von Religion, Schrift und Sprache – auch als Gründe für einen Nationalismus, der die eigene Nation von der anderen abgrenzte, angeführt wurden.</w:t>
      </w:r>
      <w:r w:rsidR="007A1F48">
        <w:rPr>
          <w:rStyle w:val="Voetnootmarkering"/>
          <w:lang w:val="de-DE"/>
        </w:rPr>
        <w:footnoteReference w:id="100"/>
      </w:r>
      <w:r w:rsidRPr="00B865BD">
        <w:rPr>
          <w:lang w:val="de-DE"/>
        </w:rPr>
        <w:t xml:space="preserve"> Die Idee wurde anfangs nur von wenigen getragen, entwickelte sich</w:t>
      </w:r>
      <w:r w:rsidR="00172DAF">
        <w:rPr>
          <w:lang w:val="de-DE"/>
        </w:rPr>
        <w:t xml:space="preserve"> jedoch</w:t>
      </w:r>
      <w:r w:rsidRPr="00B865BD">
        <w:rPr>
          <w:lang w:val="de-DE"/>
        </w:rPr>
        <w:t xml:space="preserve"> ab der Jahrhundertwende zu einer nationalistischen Massenbewegung. Als der Erste Weltkrieg dafür sorgte, dass die Habsburgermonarchie endgültig unterging, wurde die Gründung eines jugoslawischen Staates </w:t>
      </w:r>
      <w:r w:rsidR="00172DAF">
        <w:rPr>
          <w:lang w:val="de-DE"/>
        </w:rPr>
        <w:t>möglich</w:t>
      </w:r>
      <w:r w:rsidRPr="00B865BD">
        <w:rPr>
          <w:lang w:val="de-DE"/>
        </w:rPr>
        <w:t>. Auch die Siegermächte waren der Meinung, dass „ein demokratisches und liberales Jugoslawien besser in die Nachkriegsordnung passen würde als ein Flickenteppich kleinerer Nationalstaaten:“</w:t>
      </w:r>
      <w:r>
        <w:rPr>
          <w:rStyle w:val="Voetnootmarkering"/>
          <w:lang w:val="de-DE"/>
        </w:rPr>
        <w:footnoteReference w:id="101"/>
      </w:r>
      <w:r w:rsidRPr="00B865BD">
        <w:rPr>
          <w:lang w:val="de-DE"/>
        </w:rPr>
        <w:t xml:space="preserve"> Das Königreich der Serben, Kroaten und Slowenen wurde gegründet, aber au</w:t>
      </w:r>
      <w:r w:rsidR="00524A89">
        <w:rPr>
          <w:lang w:val="de-DE"/>
        </w:rPr>
        <w:t>ch die Montenegriner, Bosniaken</w:t>
      </w:r>
      <w:r w:rsidR="00524A89">
        <w:rPr>
          <w:rStyle w:val="Voetnootmarkering"/>
          <w:lang w:val="de-DE"/>
        </w:rPr>
        <w:footnoteReference w:id="102"/>
      </w:r>
      <w:r w:rsidRPr="00B865BD">
        <w:rPr>
          <w:lang w:val="de-DE"/>
        </w:rPr>
        <w:t xml:space="preserve"> und Mazedonier gehörten dazu. Die Serben waren in Regierung und Verwaltung, bei Militär und Polizei</w:t>
      </w:r>
      <w:r w:rsidR="006B0278">
        <w:rPr>
          <w:lang w:val="de-DE"/>
        </w:rPr>
        <w:t>,</w:t>
      </w:r>
      <w:r w:rsidR="00115D9C">
        <w:rPr>
          <w:lang w:val="de-DE"/>
        </w:rPr>
        <w:t xml:space="preserve"> </w:t>
      </w:r>
      <w:r w:rsidR="00172DAF">
        <w:rPr>
          <w:lang w:val="de-DE"/>
        </w:rPr>
        <w:t>allerdings</w:t>
      </w:r>
      <w:r w:rsidRPr="00B865BD">
        <w:rPr>
          <w:lang w:val="de-DE"/>
        </w:rPr>
        <w:t xml:space="preserve"> überrepräsentiert, was bei den übrigen Völkern </w:t>
      </w:r>
      <w:r w:rsidR="00115D9C">
        <w:rPr>
          <w:lang w:val="de-DE"/>
        </w:rPr>
        <w:t xml:space="preserve">mit Recht </w:t>
      </w:r>
      <w:r w:rsidRPr="00B865BD">
        <w:rPr>
          <w:lang w:val="de-DE"/>
        </w:rPr>
        <w:t xml:space="preserve">zu Argwohn führte: Der Serbische König Alexander I. </w:t>
      </w:r>
      <w:r w:rsidR="00172DAF">
        <w:rPr>
          <w:lang w:val="de-DE"/>
        </w:rPr>
        <w:t>errichtete</w:t>
      </w:r>
      <w:r w:rsidRPr="00B865BD">
        <w:rPr>
          <w:lang w:val="de-DE"/>
        </w:rPr>
        <w:t xml:space="preserve"> 1929 ein diktatorisches Regime, das aber nach seinem Tod 1934 </w:t>
      </w:r>
      <w:r w:rsidR="00DF6D81">
        <w:rPr>
          <w:lang w:val="de-DE"/>
        </w:rPr>
        <w:t xml:space="preserve">bei </w:t>
      </w:r>
      <w:r w:rsidRPr="00B865BD">
        <w:rPr>
          <w:lang w:val="de-DE"/>
        </w:rPr>
        <w:t xml:space="preserve">einem Attentat zu Ende kam. </w:t>
      </w:r>
    </w:p>
    <w:p w14:paraId="12ECC7A6" w14:textId="0A1889D5" w:rsidR="00B865BD" w:rsidRPr="00B865BD" w:rsidRDefault="00B865BD" w:rsidP="00B865BD">
      <w:pPr>
        <w:ind w:firstLine="708"/>
        <w:rPr>
          <w:lang w:val="de-DE"/>
        </w:rPr>
      </w:pPr>
      <w:r w:rsidRPr="00B865BD">
        <w:rPr>
          <w:lang w:val="de-DE"/>
        </w:rPr>
        <w:t>Am 6. April 1941 wurde Jugoslawien als Reaktion auf einen Putsch serbischer Generäle, „die aus Protest gegen den erzwungenen Beitritt Jugoslawiens zum Dreimächtepakt die jugoslawisch</w:t>
      </w:r>
      <w:r w:rsidR="005943B3">
        <w:rPr>
          <w:lang w:val="de-DE"/>
        </w:rPr>
        <w:t>e Regierung gestürzt hatten</w:t>
      </w:r>
      <w:r w:rsidRPr="00B865BD">
        <w:rPr>
          <w:lang w:val="de-DE"/>
        </w:rPr>
        <w:t>“</w:t>
      </w:r>
      <w:r w:rsidR="005943B3">
        <w:rPr>
          <w:lang w:val="de-DE"/>
        </w:rPr>
        <w:t>,</w:t>
      </w:r>
      <w:r>
        <w:rPr>
          <w:rStyle w:val="Voetnootmarkering"/>
          <w:lang w:val="de-DE"/>
        </w:rPr>
        <w:footnoteReference w:id="103"/>
      </w:r>
      <w:r w:rsidR="00115D9C">
        <w:rPr>
          <w:lang w:val="de-DE"/>
        </w:rPr>
        <w:t xml:space="preserve"> </w:t>
      </w:r>
      <w:r w:rsidR="00115D9C" w:rsidRPr="00B865BD">
        <w:rPr>
          <w:lang w:val="de-DE"/>
        </w:rPr>
        <w:t>von deutschen und</w:t>
      </w:r>
      <w:r w:rsidR="00115D9C">
        <w:rPr>
          <w:lang w:val="de-DE"/>
        </w:rPr>
        <w:t xml:space="preserve"> italienischen Truppen besetzt.</w:t>
      </w:r>
      <w:r w:rsidRPr="00B865BD">
        <w:rPr>
          <w:lang w:val="de-DE"/>
        </w:rPr>
        <w:t xml:space="preserve"> Im kroatischen Gebiet sowie in Teilen Bosniens und der Herzegowina wurde unter Leitung der faschistischen Bewegung Ustascha ein Führer-Staat nach NS-Vorbild installiert. Der Rest Jugoslawien</w:t>
      </w:r>
      <w:r w:rsidR="005943B3">
        <w:rPr>
          <w:lang w:val="de-DE"/>
        </w:rPr>
        <w:t>s</w:t>
      </w:r>
      <w:r w:rsidRPr="00B865BD">
        <w:rPr>
          <w:lang w:val="de-DE"/>
        </w:rPr>
        <w:t xml:space="preserve"> wurde unter den Revisionsmächten Italien, Bulgarien, Ung</w:t>
      </w:r>
      <w:r w:rsidR="00115D9C">
        <w:rPr>
          <w:lang w:val="de-DE"/>
        </w:rPr>
        <w:t xml:space="preserve">arn und Deutschland aufgeteilt. </w:t>
      </w:r>
      <w:r w:rsidRPr="00B865BD">
        <w:rPr>
          <w:lang w:val="de-DE"/>
        </w:rPr>
        <w:t>Im Sommer 1941 traten zwei rivalisierende Widerstandsgruppen hervor: die kommunistischen Partisanen unter der Leitung von Tito und die nationalserbischen Tschetniks. Sie kämpften anfangs gemeinsam gegen die Besatzer, aber ein Bürgerkrieg zwischen beiden Parteien blieb nicht lange aus, weil die Tschetniks sich für ein monarchisches und ethnisch homogenes Gro</w:t>
      </w:r>
      <w:r w:rsidRPr="00B865BD">
        <w:rPr>
          <w:rFonts w:cs="Times New Roman"/>
          <w:lang w:val="de-DE"/>
        </w:rPr>
        <w:t>ß</w:t>
      </w:r>
      <w:r w:rsidRPr="00B865BD">
        <w:rPr>
          <w:lang w:val="de-DE"/>
        </w:rPr>
        <w:t>serbien einsetzten, die Partisanen aber einen sozialistischen Föderalstaat, nach dem Motto „Brüderlichkeit und Einheit“,</w:t>
      </w:r>
      <w:r>
        <w:rPr>
          <w:rStyle w:val="Voetnootmarkering"/>
          <w:lang w:val="de-DE"/>
        </w:rPr>
        <w:footnoteReference w:id="104"/>
      </w:r>
      <w:r w:rsidRPr="00B865BD">
        <w:rPr>
          <w:lang w:val="de-DE"/>
        </w:rPr>
        <w:t xml:space="preserve"> aufbauen wollten. Die </w:t>
      </w:r>
      <w:r w:rsidRPr="00B865BD">
        <w:rPr>
          <w:lang w:val="de-DE"/>
        </w:rPr>
        <w:lastRenderedPageBreak/>
        <w:t xml:space="preserve">Tschetniks waren zur Kooperation mit den Besatzern übergegangen, </w:t>
      </w:r>
      <w:r w:rsidR="00172DAF">
        <w:rPr>
          <w:lang w:val="de-DE"/>
        </w:rPr>
        <w:t>weshalb</w:t>
      </w:r>
      <w:r w:rsidRPr="00B865BD">
        <w:rPr>
          <w:lang w:val="de-DE"/>
        </w:rPr>
        <w:t xml:space="preserve"> Tito zum alleinigen Widerstandsführer </w:t>
      </w:r>
      <w:r w:rsidR="00172DAF">
        <w:rPr>
          <w:lang w:val="de-DE"/>
        </w:rPr>
        <w:t>wurde</w:t>
      </w:r>
      <w:r w:rsidRPr="00B865BD">
        <w:rPr>
          <w:lang w:val="de-DE"/>
        </w:rPr>
        <w:t xml:space="preserve"> und Jugoslawien schlie</w:t>
      </w:r>
      <w:r w:rsidRPr="00B865BD">
        <w:rPr>
          <w:rFonts w:cs="Times New Roman"/>
          <w:lang w:val="de-DE"/>
        </w:rPr>
        <w:t>ß</w:t>
      </w:r>
      <w:r w:rsidRPr="00B865BD">
        <w:rPr>
          <w:lang w:val="de-DE"/>
        </w:rPr>
        <w:t>lich trotz höchster Verluste befreien konnte. Bei Kriegsende war keine politische Kraft mehr imstande, „Tito die Führungsrolle im künftigen Jugoslawien streitig zu machen.“</w:t>
      </w:r>
      <w:r>
        <w:rPr>
          <w:rStyle w:val="Voetnootmarkering"/>
          <w:lang w:val="de-DE"/>
        </w:rPr>
        <w:footnoteReference w:id="105"/>
      </w:r>
      <w:r w:rsidRPr="00B865BD">
        <w:rPr>
          <w:lang w:val="de-DE"/>
        </w:rPr>
        <w:t xml:space="preserve"> Am 29. November 1945 wurde die Sozialistische Föderative Republik Jugoslawien ausgerufen, die aus sechs Republiken (Slowenien, Kroatien, Serbien, Mazedonien, Montenegro, Bosnien) und zwei autonomen Provinzen (der Vojvodina und dem Kosovo) bestand. </w:t>
      </w:r>
    </w:p>
    <w:p w14:paraId="3845F275" w14:textId="73D809B4" w:rsidR="0062218B" w:rsidRDefault="00172DAF" w:rsidP="00952343">
      <w:pPr>
        <w:ind w:firstLine="708"/>
        <w:rPr>
          <w:lang w:val="de-DE"/>
        </w:rPr>
      </w:pPr>
      <w:r>
        <w:rPr>
          <w:lang w:val="de-DE"/>
        </w:rPr>
        <w:t>Der Anfang der Republik verlief stabil</w:t>
      </w:r>
      <w:r w:rsidR="00B865BD" w:rsidRPr="00B865BD">
        <w:rPr>
          <w:lang w:val="de-DE"/>
        </w:rPr>
        <w:t xml:space="preserve">. Demokratische Arbeiterräte wurden </w:t>
      </w:r>
      <w:r>
        <w:rPr>
          <w:lang w:val="de-DE"/>
        </w:rPr>
        <w:t>eingerichtet</w:t>
      </w:r>
      <w:r w:rsidR="00B865BD" w:rsidRPr="00B865BD">
        <w:rPr>
          <w:lang w:val="de-DE"/>
        </w:rPr>
        <w:t>, das Wirtschaftswunder transformierte das Land in einen Industriestaat mit höherem Realeinkommen, und Titos Sozialismus „mit menschlichem Antlitz“</w:t>
      </w:r>
      <w:r w:rsidR="00B865BD">
        <w:rPr>
          <w:rStyle w:val="Voetnootmarkering"/>
          <w:lang w:val="de-DE"/>
        </w:rPr>
        <w:footnoteReference w:id="106"/>
      </w:r>
      <w:r w:rsidR="00B865BD" w:rsidRPr="00B865BD">
        <w:rPr>
          <w:lang w:val="de-DE"/>
        </w:rPr>
        <w:t xml:space="preserve"> erlaubte im Gegensatz zum sowjetischen Kommunismus Pluralismus in Literatur, Wissenschaften und Künsten. Jugoslawien befand sich zwischen Ost und West: Von Stalin als „Abweichler“ </w:t>
      </w:r>
      <w:r>
        <w:rPr>
          <w:lang w:val="de-DE"/>
        </w:rPr>
        <w:t>bezeichnet</w:t>
      </w:r>
      <w:r w:rsidR="00B865BD" w:rsidRPr="00B865BD">
        <w:rPr>
          <w:lang w:val="de-DE"/>
        </w:rPr>
        <w:t>, von der USA militärische und wi</w:t>
      </w:r>
      <w:r>
        <w:rPr>
          <w:lang w:val="de-DE"/>
        </w:rPr>
        <w:t xml:space="preserve">rtschaftliche Hilfe geboten, </w:t>
      </w:r>
      <w:r w:rsidR="00B865BD" w:rsidRPr="00B865BD">
        <w:rPr>
          <w:lang w:val="de-DE"/>
        </w:rPr>
        <w:t>weigerte sich Tito, einem der beiden antagonistischen Bündnissys</w:t>
      </w:r>
      <w:r w:rsidR="005943B3">
        <w:rPr>
          <w:lang w:val="de-DE"/>
        </w:rPr>
        <w:t xml:space="preserve">teme beizutreten. Der Wohlstand </w:t>
      </w:r>
      <w:r w:rsidR="00B865BD" w:rsidRPr="00B865BD">
        <w:rPr>
          <w:lang w:val="de-DE"/>
        </w:rPr>
        <w:t>brachte</w:t>
      </w:r>
      <w:r w:rsidR="00952343">
        <w:rPr>
          <w:lang w:val="de-DE"/>
        </w:rPr>
        <w:t xml:space="preserve"> Zufriedenheit mit sich: „[D]</w:t>
      </w:r>
      <w:r w:rsidR="00B865BD" w:rsidRPr="00B865BD">
        <w:rPr>
          <w:lang w:val="de-DE"/>
        </w:rPr>
        <w:t>ie Bürgerinnen und Bürger Jugoslawiens [waren] durchaus stolz auf Fortschritte und Freiheiten, und nur wenigen dämmerte, dass das System möglicherweise auch für Misswirtschaft, Bürokratisierung und Korruption verantwortlich war.“</w:t>
      </w:r>
      <w:r w:rsidR="00B865BD">
        <w:rPr>
          <w:rStyle w:val="Voetnootmarkering"/>
          <w:lang w:val="de-DE"/>
        </w:rPr>
        <w:footnoteReference w:id="107"/>
      </w:r>
      <w:r w:rsidR="00B865BD" w:rsidRPr="00B865BD">
        <w:rPr>
          <w:lang w:val="de-DE"/>
        </w:rPr>
        <w:t xml:space="preserve"> Trotz eines stabilen Anfangs misslang das zentrale sozialistische Vorhaben, die Entwicklungs- und Einkommensunterschiede zwischen den </w:t>
      </w:r>
      <w:r w:rsidR="003E590D">
        <w:rPr>
          <w:lang w:val="de-DE"/>
        </w:rPr>
        <w:t>Teilrepubliken</w:t>
      </w:r>
      <w:r w:rsidR="00B865BD" w:rsidRPr="00B865BD">
        <w:rPr>
          <w:lang w:val="de-DE"/>
        </w:rPr>
        <w:t xml:space="preserve"> zu verringern, und das Fehlen brachte einen wachsenden Nationalismus </w:t>
      </w:r>
      <w:r w:rsidR="00952343">
        <w:rPr>
          <w:lang w:val="de-DE"/>
        </w:rPr>
        <w:t xml:space="preserve">mit sich. </w:t>
      </w:r>
      <w:r w:rsidR="00B865BD" w:rsidRPr="00B865BD">
        <w:rPr>
          <w:lang w:val="de-DE"/>
        </w:rPr>
        <w:t>Au</w:t>
      </w:r>
      <w:r w:rsidR="00B865BD" w:rsidRPr="00B865BD">
        <w:rPr>
          <w:rFonts w:cs="Times New Roman"/>
          <w:lang w:val="de-DE"/>
        </w:rPr>
        <w:t>ß</w:t>
      </w:r>
      <w:r w:rsidR="00B865BD" w:rsidRPr="00B865BD">
        <w:rPr>
          <w:lang w:val="de-DE"/>
        </w:rPr>
        <w:t>erdem erschienen die ersten Zeichen der europäischen Wirts</w:t>
      </w:r>
      <w:r w:rsidR="00952343">
        <w:rPr>
          <w:lang w:val="de-DE"/>
        </w:rPr>
        <w:t xml:space="preserve">chaftskrise, und </w:t>
      </w:r>
      <w:r w:rsidR="00B865BD" w:rsidRPr="00B865BD">
        <w:rPr>
          <w:lang w:val="de-DE"/>
        </w:rPr>
        <w:t xml:space="preserve">Instabilität und Unsicherheit </w:t>
      </w:r>
      <w:r w:rsidR="00B84D62">
        <w:rPr>
          <w:lang w:val="de-DE"/>
        </w:rPr>
        <w:t>bezüglich der</w:t>
      </w:r>
      <w:r w:rsidR="00B865BD" w:rsidRPr="00B865BD">
        <w:rPr>
          <w:lang w:val="de-DE"/>
        </w:rPr>
        <w:t xml:space="preserve"> Zukunft herrschten nach Titos Tod 1980. Die Republik geriet in hohe Schulden, viele Menschen wurden von Arbeitslosigkeit getroffen und die verbindende Ideologie von „Brüderlichkeit und Einheit“ verschwand endgültig. Die Einheitspartei zerfiel 1990, was in den Republiken Mehrparteienwahlen ermöglichte, die zu „ethnischer Versäulung der politischen Landschaft und nationalistischen Polarisierungen“,</w:t>
      </w:r>
      <w:r w:rsidR="00B865BD">
        <w:rPr>
          <w:rStyle w:val="Voetnootmarkering"/>
          <w:lang w:val="de-DE"/>
        </w:rPr>
        <w:footnoteReference w:id="108"/>
      </w:r>
      <w:r w:rsidR="00B865BD" w:rsidRPr="00B865BD">
        <w:rPr>
          <w:lang w:val="de-DE"/>
        </w:rPr>
        <w:t xml:space="preserve"> schlie</w:t>
      </w:r>
      <w:r w:rsidR="00B865BD" w:rsidRPr="00B865BD">
        <w:rPr>
          <w:rFonts w:cs="Times New Roman"/>
          <w:lang w:val="de-DE"/>
        </w:rPr>
        <w:t>ß</w:t>
      </w:r>
      <w:r w:rsidR="00B865BD" w:rsidRPr="00B865BD">
        <w:rPr>
          <w:lang w:val="de-DE"/>
        </w:rPr>
        <w:t>lich zu</w:t>
      </w:r>
      <w:r w:rsidR="0062218B">
        <w:rPr>
          <w:lang w:val="de-DE"/>
        </w:rPr>
        <w:t>r Auflösung Jugoslawiens führte</w:t>
      </w:r>
      <w:r w:rsidR="00B865BD" w:rsidRPr="00B865BD">
        <w:rPr>
          <w:lang w:val="de-DE"/>
        </w:rPr>
        <w:t xml:space="preserve">. </w:t>
      </w:r>
    </w:p>
    <w:p w14:paraId="2E5CBD01" w14:textId="5F7B7428" w:rsidR="00B865BD" w:rsidRPr="00B865BD" w:rsidRDefault="00B865BD" w:rsidP="00952343">
      <w:pPr>
        <w:ind w:firstLine="708"/>
        <w:rPr>
          <w:lang w:val="de-DE"/>
        </w:rPr>
      </w:pPr>
      <w:r w:rsidRPr="00B865BD">
        <w:rPr>
          <w:lang w:val="de-DE"/>
        </w:rPr>
        <w:t xml:space="preserve">Slowenien und Kroatien wollten mehr Handlungsfreiheit, um die Annäherung an die Europäische Gemeinschaft voranzubringen, </w:t>
      </w:r>
      <w:r w:rsidR="00B84D62">
        <w:rPr>
          <w:lang w:val="de-DE"/>
        </w:rPr>
        <w:t>was</w:t>
      </w:r>
      <w:r w:rsidRPr="00B865BD">
        <w:rPr>
          <w:lang w:val="de-DE"/>
        </w:rPr>
        <w:t xml:space="preserve"> die nationale Einheit der Serben, von </w:t>
      </w:r>
      <w:r w:rsidRPr="00B865BD">
        <w:rPr>
          <w:lang w:val="de-DE"/>
        </w:rPr>
        <w:lastRenderedPageBreak/>
        <w:t>denen ein Viertel in Kroatien und Bosnien-Herzegow</w:t>
      </w:r>
      <w:r w:rsidR="00B84D62">
        <w:rPr>
          <w:lang w:val="de-DE"/>
        </w:rPr>
        <w:t>ina lebte, gefährden würde. Dennoch</w:t>
      </w:r>
      <w:r w:rsidRPr="00B865BD">
        <w:rPr>
          <w:lang w:val="de-DE"/>
        </w:rPr>
        <w:t xml:space="preserve"> erklärten Slowenien und Kroatien am 25. Juni 1991 trotzdem ihre Unabhängigkeit. Serbien, das den Vielvölkerstaat, in dem alle Nationsangehörigen vereint waren, durch Zentralisierung zusammenhalten wollte, begann als Antwort darauf eine Gro</w:t>
      </w:r>
      <w:r w:rsidRPr="00B865BD">
        <w:rPr>
          <w:rFonts w:cs="Times New Roman"/>
          <w:lang w:val="de-DE"/>
        </w:rPr>
        <w:t>ß</w:t>
      </w:r>
      <w:r w:rsidRPr="00B865BD">
        <w:rPr>
          <w:lang w:val="de-DE"/>
        </w:rPr>
        <w:t>offensive: Die J</w:t>
      </w:r>
      <w:r w:rsidR="0062218B">
        <w:rPr>
          <w:lang w:val="de-DE"/>
        </w:rPr>
        <w:t>ugoslawische Volksarmee brachte</w:t>
      </w:r>
      <w:r w:rsidRPr="00B865BD">
        <w:rPr>
          <w:lang w:val="de-DE"/>
        </w:rPr>
        <w:t xml:space="preserve"> ein Drittel Kroatiens unt</w:t>
      </w:r>
      <w:r w:rsidR="005943B3">
        <w:rPr>
          <w:lang w:val="de-DE"/>
        </w:rPr>
        <w:t>er ihre Kontrolle und vertrieb</w:t>
      </w:r>
      <w:r w:rsidRPr="00B865BD">
        <w:rPr>
          <w:lang w:val="de-DE"/>
        </w:rPr>
        <w:t xml:space="preserve"> eine halbe Million Menschen</w:t>
      </w:r>
      <w:r w:rsidR="00B84D62">
        <w:rPr>
          <w:lang w:val="de-DE"/>
        </w:rPr>
        <w:t>.</w:t>
      </w:r>
      <w:r>
        <w:rPr>
          <w:rStyle w:val="Voetnootmarkering"/>
          <w:lang w:val="de-DE"/>
        </w:rPr>
        <w:footnoteReference w:id="109"/>
      </w:r>
      <w:r w:rsidRPr="00B865BD">
        <w:rPr>
          <w:lang w:val="de-DE"/>
        </w:rPr>
        <w:t xml:space="preserve"> </w:t>
      </w:r>
      <w:r w:rsidR="00B84D62">
        <w:rPr>
          <w:lang w:val="de-DE"/>
        </w:rPr>
        <w:t>In</w:t>
      </w:r>
      <w:r w:rsidRPr="00B865BD">
        <w:rPr>
          <w:lang w:val="de-DE"/>
        </w:rPr>
        <w:t xml:space="preserve"> Bosnien-Herzegowina eroberten die bosnisch-serbischen Streitkräfte 70 Prozent des Territoriums. Kroaten und Bosniaken begannen, nachdem sie anfangs gemeinsam gegen die Serben gekämpft hatten, einen „Krieg im Krieg“</w:t>
      </w:r>
      <w:r>
        <w:rPr>
          <w:rStyle w:val="Voetnootmarkering"/>
          <w:lang w:val="de-DE"/>
        </w:rPr>
        <w:footnoteReference w:id="110"/>
      </w:r>
      <w:r w:rsidRPr="00B865BD">
        <w:rPr>
          <w:lang w:val="de-DE"/>
        </w:rPr>
        <w:t xml:space="preserve"> gegeneinander. Zwei Millionen Menschen begaben sich infolge der eskalierenden Kämpfe zwischen den Armeen von drei Kriegsparteie</w:t>
      </w:r>
      <w:r w:rsidR="00952343">
        <w:rPr>
          <w:lang w:val="de-DE"/>
        </w:rPr>
        <w:t xml:space="preserve">n und paramilitärischen Gruppen </w:t>
      </w:r>
      <w:r w:rsidR="00952343" w:rsidRPr="00B865BD">
        <w:rPr>
          <w:lang w:val="de-DE"/>
        </w:rPr>
        <w:t>auf die Flucht</w:t>
      </w:r>
      <w:r w:rsidR="00952343">
        <w:rPr>
          <w:lang w:val="de-DE"/>
        </w:rPr>
        <w:t>,</w:t>
      </w:r>
      <w:r>
        <w:rPr>
          <w:rStyle w:val="Voetnootmarkering"/>
          <w:lang w:val="de-DE"/>
        </w:rPr>
        <w:footnoteReference w:id="111"/>
      </w:r>
      <w:r w:rsidRPr="00B865BD">
        <w:rPr>
          <w:lang w:val="de-DE"/>
        </w:rPr>
        <w:t xml:space="preserve"> und viele wurden planmä</w:t>
      </w:r>
      <w:r w:rsidRPr="00B865BD">
        <w:rPr>
          <w:rFonts w:cs="Times New Roman"/>
          <w:lang w:val="de-DE"/>
        </w:rPr>
        <w:t>ß</w:t>
      </w:r>
      <w:r w:rsidRPr="00B865BD">
        <w:rPr>
          <w:lang w:val="de-DE"/>
        </w:rPr>
        <w:t>ig vertrieben. So ermordeten bosnisch-serbische Streitkräfte in Srebrenica mehr al</w:t>
      </w:r>
      <w:r w:rsidR="00B84D62">
        <w:rPr>
          <w:lang w:val="de-DE"/>
        </w:rPr>
        <w:t>s 8.200 bosniakische Männer: der</w:t>
      </w:r>
      <w:r w:rsidRPr="00B865BD">
        <w:rPr>
          <w:lang w:val="de-DE"/>
        </w:rPr>
        <w:t xml:space="preserve"> erste Genozid auf europäischem Boden seit 1945.</w:t>
      </w:r>
      <w:r>
        <w:rPr>
          <w:rStyle w:val="Voetnootmarkering"/>
          <w:lang w:val="de-DE"/>
        </w:rPr>
        <w:footnoteReference w:id="112"/>
      </w:r>
      <w:r w:rsidRPr="00B865BD">
        <w:rPr>
          <w:lang w:val="de-DE"/>
        </w:rPr>
        <w:t xml:space="preserve"> Als Antwort auf die Gräueltat begann die NATO 1995, bosnisch-serbische Stellungen zu bombardieren, und </w:t>
      </w:r>
      <w:r w:rsidR="00B84D62">
        <w:rPr>
          <w:lang w:val="de-DE"/>
        </w:rPr>
        <w:t>führte</w:t>
      </w:r>
      <w:r w:rsidRPr="00B865BD">
        <w:rPr>
          <w:lang w:val="de-DE"/>
        </w:rPr>
        <w:t xml:space="preserve"> </w:t>
      </w:r>
      <w:r w:rsidR="00952343">
        <w:rPr>
          <w:lang w:val="de-DE"/>
        </w:rPr>
        <w:t xml:space="preserve">sie </w:t>
      </w:r>
      <w:r w:rsidRPr="00B865BD">
        <w:rPr>
          <w:lang w:val="de-DE"/>
        </w:rPr>
        <w:t>1999 einen erneuten Luftkrieg</w:t>
      </w:r>
      <w:r w:rsidR="00B84D62">
        <w:rPr>
          <w:lang w:val="de-DE"/>
        </w:rPr>
        <w:t xml:space="preserve"> durch</w:t>
      </w:r>
      <w:r w:rsidRPr="00B865BD">
        <w:rPr>
          <w:lang w:val="de-DE"/>
        </w:rPr>
        <w:t xml:space="preserve">, diesmal in Serbien, wo die nach Unabhängigkeit strebende albanische Guerilla von den Serben gewaltsam bekämpft wurde. Jugoslawien wurde unter internationale Verwaltung gestellt, zerfiel in sieben Nachfolgestaaten und Kosovo wurde zu einem UNO-Protektorat, bis es sich 2008 </w:t>
      </w:r>
      <w:r w:rsidR="00B84D62">
        <w:rPr>
          <w:lang w:val="de-DE"/>
        </w:rPr>
        <w:t>als</w:t>
      </w:r>
      <w:r w:rsidRPr="00B865BD">
        <w:rPr>
          <w:lang w:val="de-DE"/>
        </w:rPr>
        <w:t xml:space="preserve"> unabhängig erklärte. Auch heut</w:t>
      </w:r>
      <w:r w:rsidR="005F2FFF">
        <w:rPr>
          <w:lang w:val="de-DE"/>
        </w:rPr>
        <w:t xml:space="preserve">e sind </w:t>
      </w:r>
      <w:r w:rsidR="00B84D62">
        <w:rPr>
          <w:lang w:val="de-DE"/>
        </w:rPr>
        <w:t xml:space="preserve"> </w:t>
      </w:r>
      <w:r w:rsidRPr="00B865BD">
        <w:rPr>
          <w:lang w:val="de-DE"/>
        </w:rPr>
        <w:t>Identitäts</w:t>
      </w:r>
      <w:r w:rsidR="00B84D62">
        <w:rPr>
          <w:lang w:val="de-DE"/>
        </w:rPr>
        <w:t>-</w:t>
      </w:r>
      <w:r w:rsidRPr="00B865BD">
        <w:rPr>
          <w:lang w:val="de-DE"/>
        </w:rPr>
        <w:t xml:space="preserve">, Grenz- und Statusfragen, </w:t>
      </w:r>
      <w:r w:rsidR="00B84D62">
        <w:rPr>
          <w:lang w:val="de-DE"/>
        </w:rPr>
        <w:t>insbesondere</w:t>
      </w:r>
      <w:r w:rsidRPr="00B865BD">
        <w:rPr>
          <w:lang w:val="de-DE"/>
        </w:rPr>
        <w:t xml:space="preserve"> die serbische, bosnische, mazedonische und albanische nationale Frage, noch immer ungelöst.</w:t>
      </w:r>
      <w:r w:rsidR="005943B3">
        <w:rPr>
          <w:rStyle w:val="Voetnootmarkering"/>
          <w:lang w:val="de-DE"/>
        </w:rPr>
        <w:footnoteReference w:id="113"/>
      </w:r>
    </w:p>
    <w:p w14:paraId="36CB969F" w14:textId="6FA8BA5B" w:rsidR="00B865BD" w:rsidRPr="00B865BD" w:rsidRDefault="00B865BD" w:rsidP="00B865BD">
      <w:pPr>
        <w:ind w:firstLine="708"/>
        <w:rPr>
          <w:lang w:val="de-DE"/>
        </w:rPr>
      </w:pPr>
      <w:r w:rsidRPr="00B865BD">
        <w:rPr>
          <w:lang w:val="de-DE"/>
        </w:rPr>
        <w:t>Die Zwischenposition Jugoslawiens – genauer</w:t>
      </w:r>
      <w:r w:rsidR="00B84D62">
        <w:rPr>
          <w:lang w:val="de-DE"/>
        </w:rPr>
        <w:t xml:space="preserve"> gesagt</w:t>
      </w:r>
      <w:r w:rsidRPr="00B865BD">
        <w:rPr>
          <w:lang w:val="de-DE"/>
        </w:rPr>
        <w:t xml:space="preserve"> Serbiens und mit ihm die der Vojvodina – wird </w:t>
      </w:r>
      <w:r w:rsidR="00B84D62">
        <w:rPr>
          <w:lang w:val="de-DE"/>
        </w:rPr>
        <w:t>durch</w:t>
      </w:r>
      <w:r w:rsidR="00996151">
        <w:rPr>
          <w:lang w:val="de-DE"/>
        </w:rPr>
        <w:t xml:space="preserve"> </w:t>
      </w:r>
      <w:r w:rsidRPr="00B865BD">
        <w:rPr>
          <w:lang w:val="de-DE"/>
        </w:rPr>
        <w:t xml:space="preserve">verschiedene Aspekte konstituiert. </w:t>
      </w:r>
      <w:r w:rsidR="00811C9A">
        <w:rPr>
          <w:lang w:val="de-DE"/>
        </w:rPr>
        <w:t>Sowohl</w:t>
      </w:r>
      <w:r w:rsidRPr="00B865BD">
        <w:rPr>
          <w:lang w:val="de-DE"/>
        </w:rPr>
        <w:t xml:space="preserve"> auf </w:t>
      </w:r>
      <w:r w:rsidR="00811C9A">
        <w:rPr>
          <w:lang w:val="de-DE"/>
        </w:rPr>
        <w:t>politischer und ethnischer als</w:t>
      </w:r>
      <w:r w:rsidRPr="00B865BD">
        <w:rPr>
          <w:lang w:val="de-DE"/>
        </w:rPr>
        <w:t xml:space="preserve"> auch auf </w:t>
      </w:r>
      <w:r w:rsidR="00811C9A">
        <w:rPr>
          <w:lang w:val="de-DE"/>
        </w:rPr>
        <w:t>geografischer</w:t>
      </w:r>
      <w:r w:rsidRPr="00B865BD">
        <w:rPr>
          <w:lang w:val="de-DE"/>
        </w:rPr>
        <w:t xml:space="preserve"> Ebene befindet</w:t>
      </w:r>
      <w:r w:rsidR="00B84D62">
        <w:rPr>
          <w:lang w:val="de-DE"/>
        </w:rPr>
        <w:t xml:space="preserve"> sich</w:t>
      </w:r>
      <w:r w:rsidRPr="00B865BD">
        <w:rPr>
          <w:lang w:val="de-DE"/>
        </w:rPr>
        <w:t xml:space="preserve"> Serbien sich zwischen Ost</w:t>
      </w:r>
      <w:r w:rsidR="00B84D62">
        <w:rPr>
          <w:lang w:val="de-DE"/>
        </w:rPr>
        <w:t>en</w:t>
      </w:r>
      <w:r w:rsidRPr="00B865BD">
        <w:rPr>
          <w:lang w:val="de-DE"/>
        </w:rPr>
        <w:t xml:space="preserve"> und West</w:t>
      </w:r>
      <w:r w:rsidR="00B84D62">
        <w:rPr>
          <w:lang w:val="de-DE"/>
        </w:rPr>
        <w:t>en</w:t>
      </w:r>
      <w:r w:rsidR="0084701D">
        <w:rPr>
          <w:lang w:val="de-DE"/>
        </w:rPr>
        <w:t>.</w:t>
      </w:r>
      <w:r w:rsidRPr="00B865BD">
        <w:rPr>
          <w:lang w:val="de-DE"/>
        </w:rPr>
        <w:t xml:space="preserve"> Die Geschichte des Staates zeigt eine </w:t>
      </w:r>
      <w:r w:rsidR="00B84D62">
        <w:rPr>
          <w:lang w:val="de-DE"/>
        </w:rPr>
        <w:t>Divergenz</w:t>
      </w:r>
      <w:r w:rsidRPr="00B865BD">
        <w:rPr>
          <w:lang w:val="de-DE"/>
        </w:rPr>
        <w:t xml:space="preserve"> von politischen Systemen, </w:t>
      </w:r>
      <w:r w:rsidR="00B84D62">
        <w:rPr>
          <w:lang w:val="de-DE"/>
        </w:rPr>
        <w:t>unter diesen</w:t>
      </w:r>
      <w:r w:rsidR="00245800">
        <w:rPr>
          <w:lang w:val="de-DE"/>
        </w:rPr>
        <w:t xml:space="preserve"> Monarchie, </w:t>
      </w:r>
      <w:r w:rsidR="00811C9A">
        <w:rPr>
          <w:lang w:val="de-DE"/>
        </w:rPr>
        <w:t>Faschismus und Sozialismus. Au</w:t>
      </w:r>
      <w:r w:rsidR="00811C9A">
        <w:rPr>
          <w:rFonts w:cs="Times New Roman"/>
          <w:lang w:val="de-DE"/>
        </w:rPr>
        <w:t>ß</w:t>
      </w:r>
      <w:r w:rsidR="00811C9A">
        <w:rPr>
          <w:lang w:val="de-DE"/>
        </w:rPr>
        <w:t>erdem l</w:t>
      </w:r>
      <w:r w:rsidR="0084701D">
        <w:rPr>
          <w:lang w:val="de-DE"/>
        </w:rPr>
        <w:t>ie</w:t>
      </w:r>
      <w:r w:rsidR="0084701D">
        <w:rPr>
          <w:rFonts w:cs="Times New Roman"/>
          <w:lang w:val="de-DE"/>
        </w:rPr>
        <w:t>ß</w:t>
      </w:r>
      <w:r w:rsidR="00811C9A">
        <w:rPr>
          <w:lang w:val="de-DE"/>
        </w:rPr>
        <w:t xml:space="preserve"> sich Serbien </w:t>
      </w:r>
      <w:r w:rsidRPr="00B865BD">
        <w:rPr>
          <w:lang w:val="de-DE"/>
        </w:rPr>
        <w:t>zwischen</w:t>
      </w:r>
      <w:r w:rsidR="00811C9A">
        <w:rPr>
          <w:lang w:val="de-DE"/>
        </w:rPr>
        <w:t xml:space="preserve"> dem</w:t>
      </w:r>
      <w:r w:rsidRPr="00B865BD">
        <w:rPr>
          <w:lang w:val="de-DE"/>
        </w:rPr>
        <w:t xml:space="preserve"> Kapitalismus</w:t>
      </w:r>
      <w:r w:rsidR="00811C9A">
        <w:rPr>
          <w:lang w:val="de-DE"/>
        </w:rPr>
        <w:t xml:space="preserve"> im Westen und dem</w:t>
      </w:r>
      <w:r w:rsidRPr="00B865BD">
        <w:rPr>
          <w:lang w:val="de-DE"/>
        </w:rPr>
        <w:t xml:space="preserve"> Kommunismus</w:t>
      </w:r>
      <w:r w:rsidR="00811C9A">
        <w:rPr>
          <w:lang w:val="de-DE"/>
        </w:rPr>
        <w:t xml:space="preserve"> im Osten</w:t>
      </w:r>
      <w:r w:rsidRPr="00B865BD">
        <w:rPr>
          <w:lang w:val="de-DE"/>
        </w:rPr>
        <w:t xml:space="preserve"> </w:t>
      </w:r>
      <w:r w:rsidR="00811C9A">
        <w:rPr>
          <w:lang w:val="de-DE"/>
        </w:rPr>
        <w:t>positionieren</w:t>
      </w:r>
      <w:r w:rsidRPr="00B865BD">
        <w:rPr>
          <w:lang w:val="de-DE"/>
        </w:rPr>
        <w:t xml:space="preserve">. Wie schon erwähnt, wand Tito sich mit seinem Sozialismus von Stalin und der Sowjetunion ab, was </w:t>
      </w:r>
      <w:r w:rsidR="00811C9A">
        <w:rPr>
          <w:lang w:val="de-DE"/>
        </w:rPr>
        <w:t>also</w:t>
      </w:r>
      <w:r w:rsidRPr="00B865BD">
        <w:rPr>
          <w:lang w:val="de-DE"/>
        </w:rPr>
        <w:t xml:space="preserve"> innerhalb des Kommunismus eine jugoslawische </w:t>
      </w:r>
      <w:r w:rsidRPr="00B865BD">
        <w:rPr>
          <w:lang w:val="de-DE"/>
        </w:rPr>
        <w:lastRenderedPageBreak/>
        <w:t>Sonderposition bewirkt</w:t>
      </w:r>
      <w:r w:rsidR="003E590D">
        <w:rPr>
          <w:lang w:val="de-DE"/>
        </w:rPr>
        <w:t>e</w:t>
      </w:r>
      <w:r w:rsidRPr="00B865BD">
        <w:rPr>
          <w:lang w:val="de-DE"/>
        </w:rPr>
        <w:t>.</w:t>
      </w:r>
      <w:r>
        <w:rPr>
          <w:rStyle w:val="Voetnootmarkering"/>
          <w:lang w:val="de-DE"/>
        </w:rPr>
        <w:footnoteReference w:id="114"/>
      </w:r>
      <w:r w:rsidRPr="00B865BD">
        <w:rPr>
          <w:lang w:val="de-DE"/>
        </w:rPr>
        <w:t xml:space="preserve"> </w:t>
      </w:r>
      <w:r w:rsidR="002F3AA0">
        <w:rPr>
          <w:lang w:val="de-DE"/>
        </w:rPr>
        <w:t>Über die politischen Unterschiede hinaus</w:t>
      </w:r>
      <w:r w:rsidRPr="00B865BD">
        <w:rPr>
          <w:lang w:val="de-DE"/>
        </w:rPr>
        <w:t xml:space="preserve"> macht auch </w:t>
      </w:r>
      <w:r w:rsidR="002F3AA0">
        <w:rPr>
          <w:lang w:val="de-DE"/>
        </w:rPr>
        <w:t xml:space="preserve">die </w:t>
      </w:r>
      <w:r w:rsidRPr="00B865BD">
        <w:rPr>
          <w:lang w:val="de-DE"/>
        </w:rPr>
        <w:t xml:space="preserve">ethnische Mischung von Serben, Rumänen, Ungarn, Slowenen usw. </w:t>
      </w:r>
      <w:r w:rsidR="001B4E54">
        <w:rPr>
          <w:lang w:val="de-DE"/>
        </w:rPr>
        <w:t xml:space="preserve">einen </w:t>
      </w:r>
      <w:r w:rsidRPr="00B865BD">
        <w:rPr>
          <w:lang w:val="de-DE"/>
        </w:rPr>
        <w:t xml:space="preserve">Teil der Identität des Landes aus. Geographisch lässt sich </w:t>
      </w:r>
      <w:r w:rsidR="00AE0511">
        <w:rPr>
          <w:lang w:val="de-DE"/>
        </w:rPr>
        <w:t>Serbien</w:t>
      </w:r>
      <w:r w:rsidRPr="00B865BD">
        <w:rPr>
          <w:lang w:val="de-DE"/>
        </w:rPr>
        <w:t xml:space="preserve"> buchstäblich zwischen Osten und Westen situieren: Der Balkan gehört nicht wirklich </w:t>
      </w:r>
      <w:r w:rsidR="002F3AA0">
        <w:rPr>
          <w:lang w:val="de-DE"/>
        </w:rPr>
        <w:t xml:space="preserve">zu </w:t>
      </w:r>
      <w:r w:rsidRPr="00B865BD">
        <w:rPr>
          <w:lang w:val="de-DE"/>
        </w:rPr>
        <w:t xml:space="preserve">Europa, </w:t>
      </w:r>
      <w:r w:rsidR="002F3AA0">
        <w:rPr>
          <w:lang w:val="de-DE"/>
        </w:rPr>
        <w:t>und</w:t>
      </w:r>
      <w:r w:rsidRPr="00B865BD">
        <w:rPr>
          <w:lang w:val="de-DE"/>
        </w:rPr>
        <w:t xml:space="preserve"> auch nicht </w:t>
      </w:r>
      <w:r w:rsidR="002F3AA0">
        <w:rPr>
          <w:lang w:val="de-DE"/>
        </w:rPr>
        <w:t>zum</w:t>
      </w:r>
      <w:r w:rsidRPr="00B865BD">
        <w:rPr>
          <w:lang w:val="de-DE"/>
        </w:rPr>
        <w:t xml:space="preserve"> Nahen Osten. Auf jeden Fall setzt das Land sich</w:t>
      </w:r>
      <w:r w:rsidR="002F3AA0">
        <w:rPr>
          <w:lang w:val="de-DE"/>
        </w:rPr>
        <w:t xml:space="preserve"> dafür</w:t>
      </w:r>
      <w:r w:rsidRPr="00B865BD">
        <w:rPr>
          <w:lang w:val="de-DE"/>
        </w:rPr>
        <w:t xml:space="preserve"> ein, Europa anzunähern, mit </w:t>
      </w:r>
      <w:r w:rsidR="002F3AA0">
        <w:rPr>
          <w:lang w:val="de-DE"/>
        </w:rPr>
        <w:t>dem Ziel eines</w:t>
      </w:r>
      <w:r w:rsidRPr="00B865BD">
        <w:rPr>
          <w:lang w:val="de-DE"/>
        </w:rPr>
        <w:t xml:space="preserve"> Anschluss</w:t>
      </w:r>
      <w:r w:rsidR="002F3AA0">
        <w:rPr>
          <w:lang w:val="de-DE"/>
        </w:rPr>
        <w:t>es</w:t>
      </w:r>
      <w:r w:rsidRPr="00B865BD">
        <w:rPr>
          <w:lang w:val="de-DE"/>
        </w:rPr>
        <w:t xml:space="preserve"> bei der Europäischen Union, für den 2014 Verhandlungen </w:t>
      </w:r>
      <w:r w:rsidR="002F3AA0">
        <w:rPr>
          <w:lang w:val="de-DE"/>
        </w:rPr>
        <w:t>begonnen</w:t>
      </w:r>
      <w:r w:rsidR="0062218B">
        <w:rPr>
          <w:lang w:val="de-DE"/>
        </w:rPr>
        <w:t xml:space="preserve"> wurde</w:t>
      </w:r>
      <w:r w:rsidR="002F3AA0">
        <w:rPr>
          <w:lang w:val="de-DE"/>
        </w:rPr>
        <w:t>n</w:t>
      </w:r>
      <w:r w:rsidR="0062218B">
        <w:rPr>
          <w:lang w:val="de-DE"/>
        </w:rPr>
        <w:t>. Zielvorgabe ist, vor 202</w:t>
      </w:r>
      <w:r w:rsidRPr="00B865BD">
        <w:rPr>
          <w:lang w:val="de-DE"/>
        </w:rPr>
        <w:t>5 Unionsmitglied zu werden.</w:t>
      </w:r>
      <w:r>
        <w:rPr>
          <w:rStyle w:val="Voetnootmarkering"/>
          <w:lang w:val="de-DE"/>
        </w:rPr>
        <w:footnoteReference w:id="115"/>
      </w:r>
      <w:r w:rsidRPr="00B865BD">
        <w:rPr>
          <w:lang w:val="de-DE"/>
        </w:rPr>
        <w:t xml:space="preserve"> Auch wenn Serbien heute</w:t>
      </w:r>
      <w:r w:rsidR="002F3AA0">
        <w:rPr>
          <w:lang w:val="de-DE"/>
        </w:rPr>
        <w:t xml:space="preserve"> der Europäischen Union bei</w:t>
      </w:r>
      <w:r w:rsidRPr="00B865BD">
        <w:rPr>
          <w:lang w:val="de-DE"/>
        </w:rPr>
        <w:t>treten</w:t>
      </w:r>
      <w:r w:rsidR="002F3AA0">
        <w:rPr>
          <w:lang w:val="de-DE"/>
        </w:rPr>
        <w:t xml:space="preserve"> möchte</w:t>
      </w:r>
      <w:r w:rsidRPr="00B865BD">
        <w:rPr>
          <w:lang w:val="de-DE"/>
        </w:rPr>
        <w:t>, ist seine Geschichte des Nationalismus noch</w:t>
      </w:r>
      <w:r w:rsidR="002F3AA0">
        <w:rPr>
          <w:lang w:val="de-DE"/>
        </w:rPr>
        <w:t xml:space="preserve"> nicht in weiter Ferne</w:t>
      </w:r>
      <w:r w:rsidRPr="00B865BD">
        <w:rPr>
          <w:lang w:val="de-DE"/>
        </w:rPr>
        <w:t xml:space="preserve">. Im Kontext des Wiederfindens der nationalen Identität der neunziger Jahre des 20. Jahrhunderts wurde statt vom Serbien </w:t>
      </w:r>
      <w:r w:rsidRPr="00B865BD">
        <w:rPr>
          <w:i/>
          <w:lang w:val="de-DE"/>
        </w:rPr>
        <w:t xml:space="preserve">zwischen </w:t>
      </w:r>
      <w:r w:rsidRPr="00B865BD">
        <w:rPr>
          <w:lang w:val="de-DE"/>
        </w:rPr>
        <w:t xml:space="preserve">Ost und West von einem Serbien </w:t>
      </w:r>
      <w:r w:rsidRPr="00B865BD">
        <w:rPr>
          <w:i/>
          <w:lang w:val="de-DE"/>
        </w:rPr>
        <w:t xml:space="preserve">über </w:t>
      </w:r>
      <w:r w:rsidRPr="00B865BD">
        <w:rPr>
          <w:lang w:val="de-DE"/>
        </w:rPr>
        <w:t xml:space="preserve">Ost und West geredet. </w:t>
      </w:r>
      <w:r w:rsidR="00811C9A">
        <w:rPr>
          <w:lang w:val="de-DE"/>
        </w:rPr>
        <w:t xml:space="preserve">Ein weiterer Definitionsversuch war die Annahme, </w:t>
      </w:r>
      <w:r w:rsidRPr="00B865BD">
        <w:rPr>
          <w:lang w:val="de-DE"/>
        </w:rPr>
        <w:t>Serbien sei „der Osten im</w:t>
      </w:r>
      <w:r w:rsidR="003E590D">
        <w:rPr>
          <w:lang w:val="de-DE"/>
        </w:rPr>
        <w:t xml:space="preserve"> Westen und der Westen im Osten</w:t>
      </w:r>
      <w:r w:rsidR="00123AC0">
        <w:rPr>
          <w:lang w:val="de-DE"/>
        </w:rPr>
        <w:t>.</w:t>
      </w:r>
      <w:r w:rsidRPr="00B865BD">
        <w:rPr>
          <w:lang w:val="de-DE"/>
        </w:rPr>
        <w:t>“</w:t>
      </w:r>
      <w:r>
        <w:rPr>
          <w:rStyle w:val="Voetnootmarkering"/>
          <w:lang w:val="de-DE"/>
        </w:rPr>
        <w:footnoteReference w:id="116"/>
      </w:r>
      <w:r w:rsidRPr="00B865BD">
        <w:rPr>
          <w:lang w:val="de-DE"/>
        </w:rPr>
        <w:t xml:space="preserve"> </w:t>
      </w:r>
    </w:p>
    <w:p w14:paraId="3B5E21A3" w14:textId="4EEEA1E6" w:rsidR="00B865BD" w:rsidRPr="00B865BD" w:rsidRDefault="00B865BD" w:rsidP="00DC5377">
      <w:pPr>
        <w:ind w:firstLine="708"/>
        <w:rPr>
          <w:lang w:val="de-DE"/>
        </w:rPr>
      </w:pPr>
      <w:r w:rsidRPr="00B865BD">
        <w:rPr>
          <w:lang w:val="de-DE"/>
        </w:rPr>
        <w:t xml:space="preserve">Das Verlangen nach </w:t>
      </w:r>
      <w:r w:rsidR="00DC5377">
        <w:rPr>
          <w:lang w:val="de-DE"/>
        </w:rPr>
        <w:t>geistiger</w:t>
      </w:r>
      <w:r w:rsidRPr="00B865BD">
        <w:rPr>
          <w:lang w:val="de-DE"/>
        </w:rPr>
        <w:t xml:space="preserve"> Autonomie, das Serbien seit </w:t>
      </w:r>
      <w:r w:rsidR="00DC5377">
        <w:rPr>
          <w:lang w:val="de-DE"/>
        </w:rPr>
        <w:t>den 1990er Jahren</w:t>
      </w:r>
      <w:r w:rsidR="005A1B9F">
        <w:rPr>
          <w:lang w:val="de-DE"/>
        </w:rPr>
        <w:t xml:space="preserve"> </w:t>
      </w:r>
      <w:r w:rsidRPr="00B865BD">
        <w:rPr>
          <w:lang w:val="de-DE"/>
        </w:rPr>
        <w:t>prägt, wird in diesen und ähnlichen Versuchen der „Zwangsselbstbestimmung“</w:t>
      </w:r>
      <w:r>
        <w:rPr>
          <w:rStyle w:val="Voetnootmarkering"/>
          <w:lang w:val="de-DE"/>
        </w:rPr>
        <w:footnoteReference w:id="117"/>
      </w:r>
      <w:r w:rsidRPr="00B865BD">
        <w:rPr>
          <w:lang w:val="de-DE"/>
        </w:rPr>
        <w:t xml:space="preserve"> sichtbar. Dazu schreibt Tihomor Popovic in seinem Artikel „Serbien zwischen Ost und West</w:t>
      </w:r>
      <w:r w:rsidR="00897AF7">
        <w:rPr>
          <w:lang w:val="de-DE"/>
        </w:rPr>
        <w:t xml:space="preserve">“ </w:t>
      </w:r>
      <w:r w:rsidRPr="00B865BD">
        <w:rPr>
          <w:lang w:val="de-DE"/>
        </w:rPr>
        <w:t>Folgendes: „Die Serb</w:t>
      </w:r>
      <w:r w:rsidR="002F3AA0">
        <w:rPr>
          <w:lang w:val="de-DE"/>
        </w:rPr>
        <w:t>en lehnen es ab, als „Orientale</w:t>
      </w:r>
      <w:r w:rsidRPr="00B865BD">
        <w:rPr>
          <w:lang w:val="de-DE"/>
        </w:rPr>
        <w:t>“ abgestempelt zu werden, möchten aber – spätestens seit der NATO-Bombardierung</w:t>
      </w:r>
      <w:r>
        <w:rPr>
          <w:rStyle w:val="Voetnootmarkering"/>
          <w:lang w:val="de-DE"/>
        </w:rPr>
        <w:footnoteReference w:id="118"/>
      </w:r>
      <w:r w:rsidRPr="00B865BD">
        <w:rPr>
          <w:lang w:val="de-DE"/>
        </w:rPr>
        <w:t xml:space="preserve"> – auch keine „Westler“ sein.“</w:t>
      </w:r>
      <w:r>
        <w:rPr>
          <w:rStyle w:val="Voetnootmarkering"/>
          <w:lang w:val="de-DE"/>
        </w:rPr>
        <w:footnoteReference w:id="119"/>
      </w:r>
      <w:r w:rsidRPr="00B865BD">
        <w:rPr>
          <w:lang w:val="de-DE"/>
        </w:rPr>
        <w:t xml:space="preserve"> Die Geschichte zeigt die serbische Positio</w:t>
      </w:r>
      <w:r w:rsidR="006613ED">
        <w:rPr>
          <w:lang w:val="de-DE"/>
        </w:rPr>
        <w:t>n aber nicht wie ein „Entweder-</w:t>
      </w:r>
      <w:r w:rsidRPr="00B865BD">
        <w:rPr>
          <w:lang w:val="de-DE"/>
        </w:rPr>
        <w:t>O</w:t>
      </w:r>
      <w:r w:rsidR="006613ED">
        <w:rPr>
          <w:lang w:val="de-DE"/>
        </w:rPr>
        <w:t>der“, sondern wie ein „Sowohl-</w:t>
      </w:r>
      <w:r w:rsidRPr="00B865BD">
        <w:rPr>
          <w:lang w:val="de-DE"/>
        </w:rPr>
        <w:t xml:space="preserve">Als auch“-Verhältnis, weil </w:t>
      </w:r>
      <w:r w:rsidR="005A1B9F">
        <w:rPr>
          <w:lang w:val="de-DE"/>
        </w:rPr>
        <w:t xml:space="preserve">auf politischer Ebene </w:t>
      </w:r>
      <w:r w:rsidRPr="00B865BD">
        <w:rPr>
          <w:lang w:val="de-DE"/>
        </w:rPr>
        <w:t>eine Mischung des westlichen Polyzentrismus und des byzantinischen Hierarchiebewusstseins vorhanden war.</w:t>
      </w:r>
      <w:r>
        <w:rPr>
          <w:rStyle w:val="Voetnootmarkering"/>
          <w:lang w:val="de-DE"/>
        </w:rPr>
        <w:footnoteReference w:id="120"/>
      </w:r>
      <w:r w:rsidRPr="00B865BD">
        <w:rPr>
          <w:lang w:val="de-DE"/>
        </w:rPr>
        <w:t xml:space="preserve"> Der serbische Staat – insofern schon von einem Staat, wie man das Konzept heute kennt, gesprochen werden konnte – wusste aus den vielen Möglichkeiten der Positionierung zwischen Byzanz und Westeuropa </w:t>
      </w:r>
      <w:r w:rsidR="0062218B">
        <w:rPr>
          <w:lang w:val="de-DE"/>
        </w:rPr>
        <w:t>politisches Kapital zu schlagen</w:t>
      </w:r>
      <w:r w:rsidR="002F3AA0">
        <w:rPr>
          <w:lang w:val="de-DE"/>
        </w:rPr>
        <w:t>;</w:t>
      </w:r>
      <w:r w:rsidRPr="00B865BD">
        <w:rPr>
          <w:lang w:val="de-DE"/>
        </w:rPr>
        <w:t xml:space="preserve"> eine Leistung, die von den serbischen Herrschern der neunziger Jahre nicht vollbracht wurde.</w:t>
      </w:r>
      <w:r>
        <w:rPr>
          <w:rStyle w:val="Voetnootmarkering"/>
          <w:lang w:val="de-DE"/>
        </w:rPr>
        <w:footnoteReference w:id="121"/>
      </w:r>
      <w:r w:rsidRPr="00B865BD">
        <w:rPr>
          <w:lang w:val="de-DE"/>
        </w:rPr>
        <w:t xml:space="preserve"> Die Positionierung zwischen Byzanz und Westeuropa brachte aber nicht nur </w:t>
      </w:r>
      <w:r w:rsidRPr="00B865BD">
        <w:rPr>
          <w:lang w:val="de-DE"/>
        </w:rPr>
        <w:lastRenderedPageBreak/>
        <w:t xml:space="preserve">unterschiedliche Regierungssysteme, sondern auch unterschiedliche Religionen mit sich, </w:t>
      </w:r>
      <w:r w:rsidR="00AE0511">
        <w:rPr>
          <w:lang w:val="de-DE"/>
        </w:rPr>
        <w:t>unter anderem</w:t>
      </w:r>
      <w:r w:rsidRPr="00B865BD">
        <w:rPr>
          <w:lang w:val="de-DE"/>
        </w:rPr>
        <w:t xml:space="preserve"> die orthodoxe </w:t>
      </w:r>
      <w:r w:rsidR="0062218B">
        <w:rPr>
          <w:lang w:val="de-DE"/>
        </w:rPr>
        <w:t>und</w:t>
      </w:r>
      <w:r w:rsidRPr="00B865BD">
        <w:rPr>
          <w:lang w:val="de-DE"/>
        </w:rPr>
        <w:t xml:space="preserve"> die römisch-katholische Kirche. </w:t>
      </w:r>
    </w:p>
    <w:p w14:paraId="12C50397" w14:textId="221EB03F" w:rsidR="004B7B7D" w:rsidRDefault="00B865BD" w:rsidP="005A704F">
      <w:pPr>
        <w:ind w:firstLine="708"/>
        <w:rPr>
          <w:lang w:val="de-DE"/>
        </w:rPr>
      </w:pPr>
      <w:r w:rsidRPr="00B865BD">
        <w:rPr>
          <w:lang w:val="de-DE"/>
        </w:rPr>
        <w:t>Die Nationalisten der neunziger Jahre</w:t>
      </w:r>
      <w:r w:rsidR="0043447A">
        <w:rPr>
          <w:lang w:val="de-DE"/>
        </w:rPr>
        <w:t xml:space="preserve"> riefen</w:t>
      </w:r>
      <w:r w:rsidR="006B1E38">
        <w:rPr>
          <w:lang w:val="de-DE"/>
        </w:rPr>
        <w:t xml:space="preserve">, unter Leitung </w:t>
      </w:r>
      <w:r w:rsidR="009347EE">
        <w:rPr>
          <w:lang w:val="de-DE"/>
        </w:rPr>
        <w:t>von</w:t>
      </w:r>
      <w:r w:rsidR="006B1E38">
        <w:rPr>
          <w:lang w:val="de-DE"/>
        </w:rPr>
        <w:t xml:space="preserve"> Slobodan</w:t>
      </w:r>
      <w:r w:rsidRPr="00B865BD">
        <w:rPr>
          <w:lang w:val="de-DE"/>
        </w:rPr>
        <w:t xml:space="preserve"> </w:t>
      </w:r>
      <w:r w:rsidR="006B1E38" w:rsidRPr="008F2F54">
        <w:rPr>
          <w:lang w:val="de-DE"/>
        </w:rPr>
        <w:t>Milošević</w:t>
      </w:r>
      <w:r w:rsidRPr="00B865BD">
        <w:rPr>
          <w:lang w:val="de-DE"/>
        </w:rPr>
        <w:t>, die nationalen serbischen Mythen wieder ins Leben und denunzierten diejenige</w:t>
      </w:r>
      <w:r w:rsidR="002F3AA0">
        <w:rPr>
          <w:lang w:val="de-DE"/>
        </w:rPr>
        <w:t>n</w:t>
      </w:r>
      <w:r w:rsidRPr="00B865BD">
        <w:rPr>
          <w:lang w:val="de-DE"/>
        </w:rPr>
        <w:t xml:space="preserve">, die </w:t>
      </w:r>
      <w:r w:rsidR="0043447A">
        <w:rPr>
          <w:lang w:val="de-DE"/>
        </w:rPr>
        <w:t xml:space="preserve">sich </w:t>
      </w:r>
      <w:r w:rsidRPr="00B865BD">
        <w:rPr>
          <w:lang w:val="de-DE"/>
        </w:rPr>
        <w:t xml:space="preserve">dem Trend widersetzten, als westliche Spione und Verräter. </w:t>
      </w:r>
      <w:r w:rsidR="002F3AA0">
        <w:rPr>
          <w:lang w:val="de-DE"/>
        </w:rPr>
        <w:t>Anstatt</w:t>
      </w:r>
      <w:r w:rsidRPr="00B865BD">
        <w:rPr>
          <w:lang w:val="de-DE"/>
        </w:rPr>
        <w:t xml:space="preserve"> den Menschen ihre Identität zurückzuge</w:t>
      </w:r>
      <w:r w:rsidR="002F3AA0">
        <w:rPr>
          <w:lang w:val="de-DE"/>
        </w:rPr>
        <w:t>ben, „entwurzelte[n] und verwirrte[n] die Nationalisten</w:t>
      </w:r>
      <w:r w:rsidRPr="00B865BD">
        <w:rPr>
          <w:lang w:val="de-DE"/>
        </w:rPr>
        <w:t xml:space="preserve"> sie durch </w:t>
      </w:r>
      <w:r w:rsidR="002F3AA0">
        <w:rPr>
          <w:lang w:val="de-DE"/>
        </w:rPr>
        <w:t>ihre</w:t>
      </w:r>
      <w:r w:rsidRPr="00B865BD">
        <w:rPr>
          <w:lang w:val="de-DE"/>
        </w:rPr>
        <w:t xml:space="preserve"> Propagandamethoden so, dass sie sich weder mit dem ganz konkret vorgestellten Westen noch mit dem etwas abstrakten Osten identifizieren konnten.“</w:t>
      </w:r>
      <w:r>
        <w:rPr>
          <w:rStyle w:val="Voetnootmarkering"/>
          <w:lang w:val="de-DE"/>
        </w:rPr>
        <w:footnoteReference w:id="122"/>
      </w:r>
      <w:r w:rsidRPr="00B865BD">
        <w:rPr>
          <w:lang w:val="de-DE"/>
        </w:rPr>
        <w:t xml:space="preserve"> Es lässt sich feststellen, dass der Balkan auf mehreren Ebenen eine Zwischenposition hält. Eine Geschichte, die von unterschiedlichen Regimen, Religionen, Ethnien usw. gefärbt wurde, und ein erneut nationalistischer</w:t>
      </w:r>
      <w:r w:rsidR="008240CB">
        <w:rPr>
          <w:lang w:val="de-DE"/>
        </w:rPr>
        <w:t xml:space="preserve"> Ansatz in den neunziger Jahren</w:t>
      </w:r>
      <w:r w:rsidRPr="00B865BD">
        <w:rPr>
          <w:lang w:val="de-DE"/>
        </w:rPr>
        <w:t xml:space="preserve"> haben zu dem heutigen Zustand geführt, in dem die Serben immer noch nicht genau wissen, wer sie sind. </w:t>
      </w:r>
      <w:r w:rsidR="00E12A69">
        <w:rPr>
          <w:lang w:val="de-DE"/>
        </w:rPr>
        <w:t xml:space="preserve">So ergeht es auch der Familie Kocsis, spezifisch einer der Töchter, </w:t>
      </w:r>
      <w:r w:rsidR="009347EE">
        <w:rPr>
          <w:lang w:val="de-DE"/>
        </w:rPr>
        <w:t>Ildikó</w:t>
      </w:r>
      <w:r w:rsidR="00E12A69">
        <w:rPr>
          <w:lang w:val="de-DE"/>
        </w:rPr>
        <w:t xml:space="preserve">, in Melinda Nadj Abonjis Roman </w:t>
      </w:r>
      <w:r w:rsidR="00E12A69">
        <w:rPr>
          <w:i/>
          <w:lang w:val="de-DE"/>
        </w:rPr>
        <w:t xml:space="preserve">Tauben fliegen auf. </w:t>
      </w:r>
      <w:r w:rsidR="00E12A69">
        <w:rPr>
          <w:lang w:val="de-DE"/>
        </w:rPr>
        <w:t xml:space="preserve">Im Folgenden wird die eigentliche Analyse des Textes durchgeführt. Der Status der </w:t>
      </w:r>
      <w:r w:rsidR="00E12A69" w:rsidRPr="009347EE">
        <w:rPr>
          <w:lang w:val="de-DE"/>
        </w:rPr>
        <w:t>Familie Kocsi</w:t>
      </w:r>
      <w:r w:rsidR="0062218B" w:rsidRPr="009347EE">
        <w:rPr>
          <w:lang w:val="de-DE"/>
        </w:rPr>
        <w:t>s wird unter die Lupe genommen: Zunächst wird eine Antwort auf die Fragen „</w:t>
      </w:r>
      <w:r w:rsidR="009347EE" w:rsidRPr="009347EE">
        <w:rPr>
          <w:lang w:val="de-DE"/>
        </w:rPr>
        <w:t>Wie verhäl</w:t>
      </w:r>
      <w:r w:rsidR="00E12A69" w:rsidRPr="009347EE">
        <w:rPr>
          <w:lang w:val="de-DE"/>
        </w:rPr>
        <w:t>t</w:t>
      </w:r>
      <w:r w:rsidR="002F3AA0">
        <w:rPr>
          <w:lang w:val="de-DE"/>
        </w:rPr>
        <w:t xml:space="preserve"> sich</w:t>
      </w:r>
      <w:r w:rsidR="00E12A69" w:rsidRPr="009347EE">
        <w:rPr>
          <w:lang w:val="de-DE"/>
        </w:rPr>
        <w:t xml:space="preserve"> </w:t>
      </w:r>
      <w:r w:rsidR="0062218B" w:rsidRPr="009347EE">
        <w:rPr>
          <w:lang w:val="de-DE"/>
        </w:rPr>
        <w:t>die Familie</w:t>
      </w:r>
      <w:r w:rsidR="00E12A69" w:rsidRPr="009347EE">
        <w:rPr>
          <w:lang w:val="de-DE"/>
        </w:rPr>
        <w:t xml:space="preserve"> zum Westen und welche Rolle nimmt sie auf</w:t>
      </w:r>
      <w:r w:rsidR="002F3AA0">
        <w:rPr>
          <w:lang w:val="de-DE"/>
        </w:rPr>
        <w:t xml:space="preserve"> sich</w:t>
      </w:r>
      <w:r w:rsidR="00E12A69" w:rsidRPr="009347EE">
        <w:rPr>
          <w:lang w:val="de-DE"/>
        </w:rPr>
        <w:t>?</w:t>
      </w:r>
      <w:r w:rsidR="0062218B" w:rsidRPr="009347EE">
        <w:rPr>
          <w:lang w:val="de-DE"/>
        </w:rPr>
        <w:t xml:space="preserve">“ gesucht, und </w:t>
      </w:r>
      <w:r w:rsidR="002F3AA0">
        <w:rPr>
          <w:lang w:val="de-DE"/>
        </w:rPr>
        <w:t>danach</w:t>
      </w:r>
      <w:r w:rsidR="0062218B" w:rsidRPr="009347EE">
        <w:rPr>
          <w:lang w:val="de-DE"/>
        </w:rPr>
        <w:t xml:space="preserve"> eine Analyse der Sprache im Text durchgeführt.</w:t>
      </w:r>
      <w:r w:rsidR="0062218B">
        <w:rPr>
          <w:lang w:val="de-DE"/>
        </w:rPr>
        <w:t xml:space="preserve"> </w:t>
      </w:r>
    </w:p>
    <w:p w14:paraId="7F1106DA" w14:textId="77777777" w:rsidR="004B7B7D" w:rsidRDefault="004B7B7D">
      <w:pPr>
        <w:spacing w:after="160" w:line="259" w:lineRule="auto"/>
        <w:jc w:val="left"/>
        <w:rPr>
          <w:lang w:val="de-DE"/>
        </w:rPr>
      </w:pPr>
      <w:r>
        <w:rPr>
          <w:lang w:val="de-DE"/>
        </w:rPr>
        <w:br w:type="page"/>
      </w:r>
    </w:p>
    <w:p w14:paraId="0CA921EA" w14:textId="791BEDDD" w:rsidR="00E12A69" w:rsidRDefault="00A31BE6" w:rsidP="00E12A69">
      <w:pPr>
        <w:pStyle w:val="Kop1"/>
        <w:numPr>
          <w:ilvl w:val="0"/>
          <w:numId w:val="2"/>
        </w:numPr>
        <w:rPr>
          <w:lang w:val="de-DE"/>
        </w:rPr>
      </w:pPr>
      <w:bookmarkStart w:id="27" w:name="_Toc515180094"/>
      <w:bookmarkEnd w:id="3"/>
      <w:r>
        <w:rPr>
          <w:lang w:val="de-DE"/>
        </w:rPr>
        <w:lastRenderedPageBreak/>
        <w:t>Kolonisierte</w:t>
      </w:r>
      <w:r w:rsidR="001979DA">
        <w:rPr>
          <w:lang w:val="de-DE"/>
        </w:rPr>
        <w:t>/Kolonisator</w:t>
      </w:r>
      <w:r>
        <w:rPr>
          <w:lang w:val="de-DE"/>
        </w:rPr>
        <w:t>en?</w:t>
      </w:r>
      <w:bookmarkEnd w:id="27"/>
    </w:p>
    <w:p w14:paraId="40F29FBC" w14:textId="2720BAAC" w:rsidR="005A704F" w:rsidRPr="005A704F" w:rsidRDefault="005A704F" w:rsidP="005A704F">
      <w:pPr>
        <w:rPr>
          <w:lang w:val="de-DE"/>
        </w:rPr>
      </w:pPr>
      <w:r w:rsidRPr="005A704F">
        <w:rPr>
          <w:lang w:val="de-DE"/>
        </w:rPr>
        <w:t>Die Demographie</w:t>
      </w:r>
      <w:r w:rsidR="004D362A">
        <w:rPr>
          <w:lang w:val="de-DE"/>
        </w:rPr>
        <w:t xml:space="preserve"> von Serbien</w:t>
      </w:r>
      <w:r w:rsidRPr="005A704F">
        <w:rPr>
          <w:lang w:val="de-DE"/>
        </w:rPr>
        <w:t xml:space="preserve"> zeigt, wie im historischen Überblick schon erwä</w:t>
      </w:r>
      <w:r w:rsidR="004D362A">
        <w:rPr>
          <w:lang w:val="de-DE"/>
        </w:rPr>
        <w:t xml:space="preserve">hnt wurde, </w:t>
      </w:r>
      <w:r w:rsidR="000212A0">
        <w:rPr>
          <w:lang w:val="de-DE"/>
        </w:rPr>
        <w:t>die</w:t>
      </w:r>
      <w:r w:rsidR="004D362A">
        <w:rPr>
          <w:lang w:val="de-DE"/>
        </w:rPr>
        <w:t xml:space="preserve"> Zwischenposition</w:t>
      </w:r>
      <w:r w:rsidR="000212A0">
        <w:rPr>
          <w:lang w:val="de-DE"/>
        </w:rPr>
        <w:t xml:space="preserve"> des Landes</w:t>
      </w:r>
      <w:r w:rsidRPr="005A704F">
        <w:rPr>
          <w:lang w:val="de-DE"/>
        </w:rPr>
        <w:t>: Au</w:t>
      </w:r>
      <w:r w:rsidRPr="005A704F">
        <w:rPr>
          <w:rFonts w:cs="Times New Roman"/>
          <w:lang w:val="de-DE"/>
        </w:rPr>
        <w:t>ß</w:t>
      </w:r>
      <w:r w:rsidRPr="005A704F">
        <w:rPr>
          <w:lang w:val="de-DE"/>
        </w:rPr>
        <w:t xml:space="preserve">er in Serbien selbst </w:t>
      </w:r>
      <w:r w:rsidR="004D362A">
        <w:rPr>
          <w:lang w:val="de-DE"/>
        </w:rPr>
        <w:t>leben</w:t>
      </w:r>
      <w:r w:rsidRPr="005A704F">
        <w:rPr>
          <w:lang w:val="de-DE"/>
        </w:rPr>
        <w:t xml:space="preserve"> auch in Bosnien, Herzegowina und </w:t>
      </w:r>
      <w:r w:rsidR="001A33F1">
        <w:rPr>
          <w:lang w:val="de-DE"/>
        </w:rPr>
        <w:t xml:space="preserve">Kroatien ethnische Serben. Die </w:t>
      </w:r>
      <w:r w:rsidR="00395685">
        <w:rPr>
          <w:lang w:val="de-DE"/>
        </w:rPr>
        <w:t>Verbreitung – und mit ihr die Mischung –</w:t>
      </w:r>
      <w:r w:rsidRPr="005A704F">
        <w:rPr>
          <w:lang w:val="de-DE"/>
        </w:rPr>
        <w:t xml:space="preserve"> von Ethnizitäten war auch </w:t>
      </w:r>
      <w:r w:rsidR="000212A0">
        <w:rPr>
          <w:lang w:val="de-DE"/>
        </w:rPr>
        <w:t>Realität</w:t>
      </w:r>
      <w:r w:rsidRPr="005A704F">
        <w:rPr>
          <w:lang w:val="de-DE"/>
        </w:rPr>
        <w:t xml:space="preserve"> in den anderen Teil</w:t>
      </w:r>
      <w:r w:rsidR="000212A0">
        <w:rPr>
          <w:lang w:val="de-DE"/>
        </w:rPr>
        <w:t xml:space="preserve">republiken und Provinzen, denn z. B. </w:t>
      </w:r>
      <w:r w:rsidRPr="005A704F">
        <w:rPr>
          <w:lang w:val="de-DE"/>
        </w:rPr>
        <w:t>in der Vojvodina</w:t>
      </w:r>
      <w:r w:rsidR="000212A0">
        <w:rPr>
          <w:lang w:val="de-DE"/>
        </w:rPr>
        <w:t xml:space="preserve"> lebten</w:t>
      </w:r>
      <w:r w:rsidRPr="005A704F">
        <w:rPr>
          <w:lang w:val="de-DE"/>
        </w:rPr>
        <w:t xml:space="preserve"> nicht nur Serben, sondern auch Kroaten, Ungarn und Rumänen.</w:t>
      </w:r>
      <w:r>
        <w:rPr>
          <w:rStyle w:val="Voetnootmarkering"/>
          <w:lang w:val="de-DE"/>
        </w:rPr>
        <w:footnoteReference w:id="123"/>
      </w:r>
      <w:r w:rsidRPr="005A704F">
        <w:rPr>
          <w:lang w:val="de-DE"/>
        </w:rPr>
        <w:t xml:space="preserve"> Infolge dieser ethnischen Verbreitung eiferte </w:t>
      </w:r>
      <w:bookmarkStart w:id="28" w:name="_Hlk507676633"/>
      <w:r w:rsidRPr="005A704F">
        <w:rPr>
          <w:lang w:val="de-DE"/>
        </w:rPr>
        <w:t xml:space="preserve">Milošević </w:t>
      </w:r>
      <w:bookmarkEnd w:id="28"/>
      <w:r w:rsidR="000212A0">
        <w:rPr>
          <w:lang w:val="de-DE"/>
        </w:rPr>
        <w:t>nach</w:t>
      </w:r>
      <w:r w:rsidR="004D362A">
        <w:rPr>
          <w:lang w:val="de-DE"/>
        </w:rPr>
        <w:t xml:space="preserve"> ein</w:t>
      </w:r>
      <w:r w:rsidR="000212A0">
        <w:rPr>
          <w:lang w:val="de-DE"/>
        </w:rPr>
        <w:t>em starken</w:t>
      </w:r>
      <w:r w:rsidR="004D362A">
        <w:rPr>
          <w:lang w:val="de-DE"/>
        </w:rPr>
        <w:t xml:space="preserve"> Gro</w:t>
      </w:r>
      <w:r w:rsidR="004D362A">
        <w:rPr>
          <w:rFonts w:cs="Times New Roman"/>
          <w:lang w:val="de-DE"/>
        </w:rPr>
        <w:t>ß</w:t>
      </w:r>
      <w:r w:rsidR="00374422">
        <w:rPr>
          <w:rFonts w:cs="Times New Roman"/>
          <w:lang w:val="de-DE"/>
        </w:rPr>
        <w:t>s</w:t>
      </w:r>
      <w:r w:rsidRPr="005A704F">
        <w:rPr>
          <w:lang w:val="de-DE"/>
        </w:rPr>
        <w:t xml:space="preserve">erbien, </w:t>
      </w:r>
      <w:r w:rsidR="000212A0">
        <w:rPr>
          <w:lang w:val="de-DE"/>
        </w:rPr>
        <w:t>von dem</w:t>
      </w:r>
      <w:r w:rsidRPr="005A704F">
        <w:rPr>
          <w:lang w:val="de-DE"/>
        </w:rPr>
        <w:t xml:space="preserve"> die von Serben bewohnten Gebiete auch</w:t>
      </w:r>
      <w:r w:rsidR="000212A0">
        <w:rPr>
          <w:lang w:val="de-DE"/>
        </w:rPr>
        <w:t xml:space="preserve"> einen</w:t>
      </w:r>
      <w:r w:rsidRPr="005A704F">
        <w:rPr>
          <w:lang w:val="de-DE"/>
        </w:rPr>
        <w:t xml:space="preserve"> Teil ausmachen würden, </w:t>
      </w:r>
      <w:r w:rsidR="000212A0">
        <w:rPr>
          <w:lang w:val="de-DE"/>
        </w:rPr>
        <w:t>da</w:t>
      </w:r>
      <w:r w:rsidRPr="005A704F">
        <w:rPr>
          <w:lang w:val="de-DE"/>
        </w:rPr>
        <w:t xml:space="preserve"> der Vielvölkerstaat mit allen Nationsangehörigen </w:t>
      </w:r>
      <w:r w:rsidR="008B1290">
        <w:rPr>
          <w:lang w:val="de-DE"/>
        </w:rPr>
        <w:t>fehlgeschlagen</w:t>
      </w:r>
      <w:r w:rsidRPr="005A704F">
        <w:rPr>
          <w:lang w:val="de-DE"/>
        </w:rPr>
        <w:t xml:space="preserve"> </w:t>
      </w:r>
      <w:r w:rsidR="000212A0">
        <w:rPr>
          <w:lang w:val="de-DE"/>
        </w:rPr>
        <w:t>war</w:t>
      </w:r>
      <w:r w:rsidRPr="005A704F">
        <w:rPr>
          <w:lang w:val="de-DE"/>
        </w:rPr>
        <w:t xml:space="preserve">. </w:t>
      </w:r>
      <w:r w:rsidR="000212A0">
        <w:rPr>
          <w:lang w:val="de-DE"/>
        </w:rPr>
        <w:t xml:space="preserve">In </w:t>
      </w:r>
      <w:r w:rsidR="000212A0">
        <w:rPr>
          <w:i/>
          <w:lang w:val="de-DE"/>
        </w:rPr>
        <w:t>Tauben fliegen auf</w:t>
      </w:r>
      <w:r w:rsidRPr="005A704F">
        <w:rPr>
          <w:lang w:val="de-DE"/>
        </w:rPr>
        <w:t xml:space="preserve"> </w:t>
      </w:r>
      <w:r w:rsidR="000212A0">
        <w:rPr>
          <w:lang w:val="de-DE"/>
        </w:rPr>
        <w:t>verdeutlichen</w:t>
      </w:r>
      <w:r w:rsidRPr="005A704F">
        <w:rPr>
          <w:lang w:val="de-DE"/>
        </w:rPr>
        <w:t xml:space="preserve"> sich die ethnischen Unterschiede vor allem im Mondial: Glorija und Dragana, z</w:t>
      </w:r>
      <w:r>
        <w:rPr>
          <w:lang w:val="de-DE"/>
        </w:rPr>
        <w:t>wei Mitarbeiterinnen des Familiengeschäfts</w:t>
      </w:r>
      <w:r w:rsidRPr="005A704F">
        <w:rPr>
          <w:lang w:val="de-DE"/>
        </w:rPr>
        <w:t>, reden</w:t>
      </w:r>
      <w:r w:rsidR="00DF458F">
        <w:rPr>
          <w:lang w:val="de-DE"/>
        </w:rPr>
        <w:t xml:space="preserve"> oft</w:t>
      </w:r>
      <w:r w:rsidR="0049504E">
        <w:rPr>
          <w:lang w:val="de-DE"/>
        </w:rPr>
        <w:t xml:space="preserve"> S</w:t>
      </w:r>
      <w:r w:rsidRPr="005A704F">
        <w:rPr>
          <w:lang w:val="de-DE"/>
        </w:rPr>
        <w:t xml:space="preserve">erbokroatisch miteinander, </w:t>
      </w:r>
      <w:r w:rsidR="0049504E">
        <w:rPr>
          <w:lang w:val="de-DE"/>
        </w:rPr>
        <w:t>auch wenn es ihnen von den Kocsis verboten wurde</w:t>
      </w:r>
      <w:r w:rsidR="005A29A0">
        <w:rPr>
          <w:lang w:val="de-DE"/>
        </w:rPr>
        <w:t xml:space="preserve">: </w:t>
      </w:r>
      <w:r w:rsidR="00320A52">
        <w:rPr>
          <w:lang w:val="de-DE"/>
        </w:rPr>
        <w:t>Ildikó</w:t>
      </w:r>
      <w:r w:rsidR="005A29A0">
        <w:rPr>
          <w:lang w:val="de-DE"/>
        </w:rPr>
        <w:t xml:space="preserve"> nennt sie die absolut verbotene Sprache.</w:t>
      </w:r>
      <w:r w:rsidR="0084720D">
        <w:rPr>
          <w:rStyle w:val="Voetnootmarkering"/>
          <w:lang w:val="de-DE"/>
        </w:rPr>
        <w:footnoteReference w:id="124"/>
      </w:r>
      <w:r w:rsidR="0084720D">
        <w:rPr>
          <w:lang w:val="de-DE"/>
        </w:rPr>
        <w:t xml:space="preserve"> </w:t>
      </w:r>
      <w:r w:rsidR="0049504E">
        <w:rPr>
          <w:lang w:val="de-DE"/>
        </w:rPr>
        <w:t>D</w:t>
      </w:r>
      <w:r w:rsidRPr="005A704F">
        <w:rPr>
          <w:lang w:val="de-DE"/>
        </w:rPr>
        <w:t>ie Kocsis selbst</w:t>
      </w:r>
      <w:r w:rsidR="0049504E">
        <w:rPr>
          <w:lang w:val="de-DE"/>
        </w:rPr>
        <w:t xml:space="preserve"> sprechen U</w:t>
      </w:r>
      <w:r w:rsidR="003621A9">
        <w:rPr>
          <w:lang w:val="de-DE"/>
        </w:rPr>
        <w:t>ngarisch, was ihnen erlaubt, ein</w:t>
      </w:r>
      <w:r w:rsidR="007F7B3A">
        <w:rPr>
          <w:lang w:val="de-DE"/>
        </w:rPr>
        <w:t>en</w:t>
      </w:r>
      <w:r w:rsidR="003621A9">
        <w:rPr>
          <w:lang w:val="de-DE"/>
        </w:rPr>
        <w:t xml:space="preserve"> Teil ihrer ungarischen Identität</w:t>
      </w:r>
      <w:r w:rsidR="000212A0">
        <w:rPr>
          <w:lang w:val="de-DE"/>
        </w:rPr>
        <w:t xml:space="preserve"> weit weg von ihrer Heimat</w:t>
      </w:r>
      <w:r w:rsidR="003621A9">
        <w:rPr>
          <w:lang w:val="de-DE"/>
        </w:rPr>
        <w:t xml:space="preserve"> zu erhalten</w:t>
      </w:r>
      <w:r w:rsidR="008F13E7">
        <w:rPr>
          <w:lang w:val="de-DE"/>
        </w:rPr>
        <w:t xml:space="preserve">. </w:t>
      </w:r>
      <w:r w:rsidRPr="005A704F">
        <w:rPr>
          <w:lang w:val="de-DE"/>
        </w:rPr>
        <w:t xml:space="preserve">Nicht nur die </w:t>
      </w:r>
      <w:r w:rsidR="008F13E7">
        <w:rPr>
          <w:lang w:val="de-DE"/>
        </w:rPr>
        <w:t>sprachlichen Unterschiede</w:t>
      </w:r>
      <w:r w:rsidR="00F42947">
        <w:rPr>
          <w:lang w:val="de-DE"/>
        </w:rPr>
        <w:t xml:space="preserve">, die in der Arbeit noch ausführlich </w:t>
      </w:r>
      <w:r w:rsidR="008F13E7">
        <w:rPr>
          <w:lang w:val="de-DE"/>
        </w:rPr>
        <w:t>untersucht</w:t>
      </w:r>
      <w:r w:rsidR="00F42947">
        <w:rPr>
          <w:lang w:val="de-DE"/>
        </w:rPr>
        <w:t xml:space="preserve"> </w:t>
      </w:r>
      <w:r w:rsidR="008F13E7">
        <w:rPr>
          <w:lang w:val="de-DE"/>
        </w:rPr>
        <w:t>werden</w:t>
      </w:r>
      <w:r w:rsidR="00F42947">
        <w:rPr>
          <w:lang w:val="de-DE"/>
        </w:rPr>
        <w:t>,</w:t>
      </w:r>
      <w:r>
        <w:rPr>
          <w:lang w:val="de-DE"/>
        </w:rPr>
        <w:t xml:space="preserve"> </w:t>
      </w:r>
      <w:r w:rsidR="008F13E7">
        <w:rPr>
          <w:lang w:val="de-DE"/>
        </w:rPr>
        <w:t>kommen</w:t>
      </w:r>
      <w:r w:rsidR="00F42947">
        <w:rPr>
          <w:lang w:val="de-DE"/>
        </w:rPr>
        <w:t xml:space="preserve"> hier</w:t>
      </w:r>
      <w:r>
        <w:rPr>
          <w:lang w:val="de-DE"/>
        </w:rPr>
        <w:t xml:space="preserve"> zum Ausdruck</w:t>
      </w:r>
      <w:r w:rsidRPr="005A704F">
        <w:rPr>
          <w:lang w:val="de-DE"/>
        </w:rPr>
        <w:t xml:space="preserve">, sondern auch die </w:t>
      </w:r>
      <w:r w:rsidR="00E35DBB">
        <w:rPr>
          <w:lang w:val="de-DE"/>
        </w:rPr>
        <w:t xml:space="preserve">unterschiedliche </w:t>
      </w:r>
      <w:r w:rsidRPr="005A704F">
        <w:rPr>
          <w:lang w:val="de-DE"/>
        </w:rPr>
        <w:t xml:space="preserve">Ethnie wird thematisiert: </w:t>
      </w:r>
    </w:p>
    <w:p w14:paraId="36E6CDB5" w14:textId="12661701" w:rsidR="005A704F" w:rsidRPr="005A704F" w:rsidRDefault="005A704F" w:rsidP="008F13E7">
      <w:pPr>
        <w:pStyle w:val="Lijstalinea"/>
        <w:spacing w:after="240" w:line="240" w:lineRule="auto"/>
        <w:ind w:left="567"/>
        <w:rPr>
          <w:lang w:val="de-DE"/>
        </w:rPr>
      </w:pPr>
      <w:r w:rsidRPr="005A704F">
        <w:rPr>
          <w:lang w:val="de-DE"/>
        </w:rPr>
        <w:t xml:space="preserve">Seit diese gottlosen Krieger, meine Serben!, angefangen haben, von den Bergen zu schiessen. Ich schwöre dir, die machen mit uns, was sie wollen, erzählen uns, dass wir uns schon immer gehasst haben, die Serben, Kroaten und Muslime, ja, das würde ich gern glauben, glaubt ja niemand, der Herz hat, wir sind alle Bosnier, </w:t>
      </w:r>
      <w:r w:rsidRPr="005A704F">
        <w:rPr>
          <w:i/>
          <w:lang w:val="de-DE"/>
        </w:rPr>
        <w:t>glaubsch mir?</w:t>
      </w:r>
      <w:r w:rsidRPr="005A704F">
        <w:rPr>
          <w:lang w:val="de-DE"/>
        </w:rPr>
        <w:t>, alle ihre Verwandten, die sich immer als Bosnier gefühlt hätten, so Dragana, werden jetzt als bosnische Serben bezeichnet, ihre Stadt, die sie lieben, die von Serben belagert wird, von Serben und Kroaten und Muslimen beschossen wird</w:t>
      </w:r>
      <w:r w:rsidRPr="005A704F">
        <w:rPr>
          <w:i/>
          <w:lang w:val="de-DE"/>
        </w:rPr>
        <w:t xml:space="preserve"> </w:t>
      </w:r>
      <w:r w:rsidRPr="005A704F">
        <w:rPr>
          <w:lang w:val="de-DE"/>
        </w:rPr>
        <w:t>(TFA: 156).</w:t>
      </w:r>
    </w:p>
    <w:p w14:paraId="28B210E2" w14:textId="1C8CE0D2" w:rsidR="00C91F78" w:rsidRDefault="005A704F" w:rsidP="005A704F">
      <w:pPr>
        <w:rPr>
          <w:lang w:val="de-DE"/>
        </w:rPr>
      </w:pPr>
      <w:r w:rsidRPr="005A704F">
        <w:rPr>
          <w:lang w:val="de-DE"/>
        </w:rPr>
        <w:t>Diese Worte werden von Dragana gesprochen, die scheinbar selbst nicht wei</w:t>
      </w:r>
      <w:r w:rsidRPr="005A704F">
        <w:rPr>
          <w:rFonts w:cs="Times New Roman"/>
          <w:lang w:val="de-DE"/>
        </w:rPr>
        <w:t>ß</w:t>
      </w:r>
      <w:r w:rsidRPr="005A704F">
        <w:rPr>
          <w:lang w:val="de-DE"/>
        </w:rPr>
        <w:t>, zu welcher Ethnie sie jetzt eigentlich gehört. Sie hat sich immer</w:t>
      </w:r>
      <w:r w:rsidR="000212A0">
        <w:rPr>
          <w:lang w:val="de-DE"/>
        </w:rPr>
        <w:t xml:space="preserve"> als</w:t>
      </w:r>
      <w:r w:rsidRPr="005A704F">
        <w:rPr>
          <w:lang w:val="de-DE"/>
        </w:rPr>
        <w:t xml:space="preserve"> Bosnierin gefühlt, nennt die Serben aber „ihre Serben“ und wird jetzt als bosnische Serbin bezeichnet, weil </w:t>
      </w:r>
      <w:r w:rsidR="00D22C80" w:rsidRPr="008F2F54">
        <w:rPr>
          <w:lang w:val="de-DE"/>
        </w:rPr>
        <w:t>Milošević</w:t>
      </w:r>
      <w:r w:rsidR="00D22C80" w:rsidRPr="005A704F">
        <w:rPr>
          <w:lang w:val="de-DE"/>
        </w:rPr>
        <w:t xml:space="preserve"> </w:t>
      </w:r>
      <w:r w:rsidRPr="005A704F">
        <w:rPr>
          <w:lang w:val="de-DE"/>
        </w:rPr>
        <w:t>ein Gro</w:t>
      </w:r>
      <w:r w:rsidRPr="005A704F">
        <w:rPr>
          <w:rFonts w:cs="Times New Roman"/>
          <w:lang w:val="de-DE"/>
        </w:rPr>
        <w:t>ß</w:t>
      </w:r>
      <w:r w:rsidRPr="005A704F">
        <w:rPr>
          <w:lang w:val="de-DE"/>
        </w:rPr>
        <w:t>serbien, von dem alle ethnische</w:t>
      </w:r>
      <w:r w:rsidR="008F13E7">
        <w:rPr>
          <w:lang w:val="de-DE"/>
        </w:rPr>
        <w:t>n</w:t>
      </w:r>
      <w:r w:rsidRPr="005A704F">
        <w:rPr>
          <w:lang w:val="de-DE"/>
        </w:rPr>
        <w:t xml:space="preserve"> Serben</w:t>
      </w:r>
      <w:r w:rsidR="000212A0">
        <w:rPr>
          <w:lang w:val="de-DE"/>
        </w:rPr>
        <w:t xml:space="preserve"> einen</w:t>
      </w:r>
      <w:r w:rsidRPr="005A704F">
        <w:rPr>
          <w:lang w:val="de-DE"/>
        </w:rPr>
        <w:t xml:space="preserve"> Teil ausmachen würden, anstrebt. Sie fügt eine Frage an </w:t>
      </w:r>
      <w:r w:rsidR="00F73DBD">
        <w:rPr>
          <w:lang w:val="de-DE"/>
        </w:rPr>
        <w:t>Ildikó</w:t>
      </w:r>
      <w:r w:rsidRPr="005A704F">
        <w:rPr>
          <w:lang w:val="de-DE"/>
        </w:rPr>
        <w:t xml:space="preserve"> hinzu: „</w:t>
      </w:r>
      <w:r w:rsidRPr="005A704F">
        <w:rPr>
          <w:i/>
          <w:lang w:val="de-DE"/>
        </w:rPr>
        <w:t xml:space="preserve">[W]arum glaubt jeder in Welt, wir Serben sind </w:t>
      </w:r>
      <w:r w:rsidRPr="005A704F">
        <w:rPr>
          <w:i/>
          <w:lang w:val="de-DE"/>
        </w:rPr>
        <w:lastRenderedPageBreak/>
        <w:t xml:space="preserve">Menschenfresser, </w:t>
      </w:r>
      <w:r w:rsidRPr="005A704F">
        <w:rPr>
          <w:lang w:val="de-DE"/>
        </w:rPr>
        <w:t xml:space="preserve">Ildi?“ (TFA: 156) Das Zitat und die Frage zeigen, dass die einfachen Menschen wenig mit dem Krieg zu tun haben, weil er von Politikern und vom Militär geführt wird. </w:t>
      </w:r>
      <w:r>
        <w:rPr>
          <w:lang w:val="de-DE"/>
        </w:rPr>
        <w:t>Auch die Kocsis fühlen sich</w:t>
      </w:r>
      <w:r w:rsidR="000212A0">
        <w:rPr>
          <w:lang w:val="de-DE"/>
        </w:rPr>
        <w:t xml:space="preserve"> nicht mit dem Krieg </w:t>
      </w:r>
      <w:r>
        <w:rPr>
          <w:lang w:val="de-DE"/>
        </w:rPr>
        <w:t xml:space="preserve">verbunden, weil </w:t>
      </w:r>
      <w:r w:rsidR="00660693">
        <w:rPr>
          <w:lang w:val="de-DE"/>
        </w:rPr>
        <w:t>ihnen</w:t>
      </w:r>
      <w:r>
        <w:rPr>
          <w:lang w:val="de-DE"/>
        </w:rPr>
        <w:t xml:space="preserve"> das Ziel eines </w:t>
      </w:r>
      <w:r w:rsidR="00660693">
        <w:rPr>
          <w:lang w:val="de-DE"/>
        </w:rPr>
        <w:t>Gro</w:t>
      </w:r>
      <w:r w:rsidR="00660693">
        <w:rPr>
          <w:rFonts w:cs="Times New Roman"/>
          <w:lang w:val="de-DE"/>
        </w:rPr>
        <w:t>ß</w:t>
      </w:r>
      <w:r w:rsidR="00660693">
        <w:rPr>
          <w:lang w:val="de-DE"/>
        </w:rPr>
        <w:t>serbien</w:t>
      </w:r>
      <w:r w:rsidR="001979DA">
        <w:rPr>
          <w:lang w:val="de-DE"/>
        </w:rPr>
        <w:t>s</w:t>
      </w:r>
      <w:r>
        <w:rPr>
          <w:lang w:val="de-DE"/>
        </w:rPr>
        <w:t xml:space="preserve"> als ethnische Ungarn </w:t>
      </w:r>
      <w:r w:rsidR="00660693">
        <w:rPr>
          <w:lang w:val="de-DE"/>
        </w:rPr>
        <w:t xml:space="preserve">nur </w:t>
      </w:r>
      <w:r>
        <w:rPr>
          <w:lang w:val="de-DE"/>
        </w:rPr>
        <w:t>wenig</w:t>
      </w:r>
      <w:r w:rsidR="00660693">
        <w:rPr>
          <w:lang w:val="de-DE"/>
        </w:rPr>
        <w:t xml:space="preserve"> bedeutet.</w:t>
      </w:r>
      <w:r>
        <w:rPr>
          <w:lang w:val="de-DE"/>
        </w:rPr>
        <w:t xml:space="preserve"> </w:t>
      </w:r>
      <w:r w:rsidR="00660693">
        <w:rPr>
          <w:lang w:val="de-DE"/>
        </w:rPr>
        <w:t>Im Folgenden wird ihre Zwischenpositio</w:t>
      </w:r>
      <w:r w:rsidR="008F13E7">
        <w:rPr>
          <w:lang w:val="de-DE"/>
        </w:rPr>
        <w:t xml:space="preserve">n zwischen Ost und West auf den </w:t>
      </w:r>
      <w:r w:rsidR="00660693">
        <w:rPr>
          <w:lang w:val="de-DE"/>
        </w:rPr>
        <w:t>Gegensatz zwischen Kolonisiertem und Kolonisator erweitert, um zu ermitteln, wie die postkolonialistische Theorie in die Analyse hineinpasst.</w:t>
      </w:r>
      <w:r w:rsidR="00223BDF">
        <w:rPr>
          <w:lang w:val="de-DE"/>
        </w:rPr>
        <w:t xml:space="preserve"> Mit Blick auf die Geschichte und den Text wird in der folgenden Analyse davon ausgegangen, dass einerseits die Familie Kocsis als Kolonisierte, während sie in der Schweiz leben, andererseits die Vojvodina und ihre Einwohner als Kolonisierte, die von der Familie Kocsis selbst kolonisiert werden, </w:t>
      </w:r>
      <w:r w:rsidR="000212A0">
        <w:rPr>
          <w:lang w:val="de-DE"/>
        </w:rPr>
        <w:t>angesehen</w:t>
      </w:r>
      <w:r w:rsidR="00223BDF">
        <w:rPr>
          <w:lang w:val="de-DE"/>
        </w:rPr>
        <w:t xml:space="preserve"> werd</w:t>
      </w:r>
      <w:r w:rsidR="008240CB">
        <w:rPr>
          <w:lang w:val="de-DE"/>
        </w:rPr>
        <w:t xml:space="preserve">en können. </w:t>
      </w:r>
    </w:p>
    <w:p w14:paraId="63999A26" w14:textId="77777777" w:rsidR="004D6F24" w:rsidRDefault="004D6F24" w:rsidP="005A704F">
      <w:pPr>
        <w:rPr>
          <w:lang w:val="de-DE"/>
        </w:rPr>
      </w:pPr>
    </w:p>
    <w:p w14:paraId="1F1B9CE0" w14:textId="23A6CEF7" w:rsidR="001979DA" w:rsidRDefault="001979DA" w:rsidP="001979DA">
      <w:pPr>
        <w:pStyle w:val="Kop2"/>
        <w:numPr>
          <w:ilvl w:val="1"/>
          <w:numId w:val="2"/>
        </w:numPr>
        <w:rPr>
          <w:lang w:val="de-DE"/>
        </w:rPr>
      </w:pPr>
      <w:r>
        <w:rPr>
          <w:lang w:val="de-DE"/>
        </w:rPr>
        <w:t xml:space="preserve"> </w:t>
      </w:r>
      <w:bookmarkStart w:id="29" w:name="_Toc515180095"/>
      <w:r>
        <w:rPr>
          <w:lang w:val="de-DE"/>
        </w:rPr>
        <w:t>Die Kocsis als Kolonisierte</w:t>
      </w:r>
      <w:bookmarkEnd w:id="29"/>
    </w:p>
    <w:p w14:paraId="4494E898" w14:textId="27A50ECC" w:rsidR="003510D8" w:rsidRPr="00CC31CB" w:rsidRDefault="001979DA" w:rsidP="001979DA">
      <w:pPr>
        <w:rPr>
          <w:lang w:val="de-DE"/>
        </w:rPr>
      </w:pPr>
      <w:r w:rsidRPr="001979DA">
        <w:rPr>
          <w:lang w:val="de-DE"/>
        </w:rPr>
        <w:t>Um die serbische Zwischenposition mit der postkolonialen Theorie verknüpfen</w:t>
      </w:r>
      <w:r w:rsidR="00C443E4">
        <w:rPr>
          <w:lang w:val="de-DE"/>
        </w:rPr>
        <w:t xml:space="preserve"> zu können</w:t>
      </w:r>
      <w:r w:rsidRPr="001979DA">
        <w:rPr>
          <w:lang w:val="de-DE"/>
        </w:rPr>
        <w:t xml:space="preserve">, </w:t>
      </w:r>
      <w:r w:rsidR="005A29A0">
        <w:rPr>
          <w:lang w:val="de-DE"/>
        </w:rPr>
        <w:t>soll</w:t>
      </w:r>
      <w:r w:rsidR="00504EA2">
        <w:rPr>
          <w:lang w:val="de-DE"/>
        </w:rPr>
        <w:t>en zunächst</w:t>
      </w:r>
      <w:r w:rsidRPr="001979DA">
        <w:rPr>
          <w:lang w:val="de-DE"/>
        </w:rPr>
        <w:t xml:space="preserve"> </w:t>
      </w:r>
      <w:r w:rsidR="00504EA2">
        <w:rPr>
          <w:lang w:val="de-DE"/>
        </w:rPr>
        <w:t xml:space="preserve">die historische Position des Balkans als Kolonie und die Effekte dieser Kolonisierung kurz </w:t>
      </w:r>
      <w:r w:rsidR="008F13E7">
        <w:rPr>
          <w:lang w:val="de-DE"/>
        </w:rPr>
        <w:t>erläutert</w:t>
      </w:r>
      <w:r w:rsidR="00504EA2">
        <w:rPr>
          <w:lang w:val="de-DE"/>
        </w:rPr>
        <w:t xml:space="preserve"> werden. D</w:t>
      </w:r>
      <w:r w:rsidR="00D22C80">
        <w:rPr>
          <w:lang w:val="de-DE"/>
        </w:rPr>
        <w:t xml:space="preserve">er Balkan </w:t>
      </w:r>
      <w:r w:rsidR="00504EA2">
        <w:rPr>
          <w:lang w:val="de-DE"/>
        </w:rPr>
        <w:t>wurde</w:t>
      </w:r>
      <w:r w:rsidR="002F679B">
        <w:rPr>
          <w:lang w:val="de-DE"/>
        </w:rPr>
        <w:t xml:space="preserve"> </w:t>
      </w:r>
      <w:r w:rsidR="00D22C80">
        <w:rPr>
          <w:lang w:val="de-DE"/>
        </w:rPr>
        <w:t>vom Ende des 4. bis zum Anfang des 7. Jahrhunderts von unter anderem den Griechen und später den Römer</w:t>
      </w:r>
      <w:r w:rsidR="008659AB">
        <w:rPr>
          <w:lang w:val="de-DE"/>
        </w:rPr>
        <w:t>n</w:t>
      </w:r>
      <w:r w:rsidR="00D22C80">
        <w:rPr>
          <w:lang w:val="de-DE"/>
        </w:rPr>
        <w:t xml:space="preserve"> zum Teil kolonisiert und</w:t>
      </w:r>
      <w:r w:rsidR="008F13E7">
        <w:rPr>
          <w:lang w:val="de-DE"/>
        </w:rPr>
        <w:t xml:space="preserve"> erlebte</w:t>
      </w:r>
      <w:r w:rsidR="00D22C80">
        <w:rPr>
          <w:lang w:val="de-DE"/>
        </w:rPr>
        <w:t xml:space="preserve"> </w:t>
      </w:r>
      <w:r w:rsidR="000212A0">
        <w:rPr>
          <w:lang w:val="de-DE"/>
        </w:rPr>
        <w:t>Invasionen</w:t>
      </w:r>
      <w:r w:rsidR="00D22C80">
        <w:rPr>
          <w:lang w:val="de-DE"/>
        </w:rPr>
        <w:t xml:space="preserve"> von an</w:t>
      </w:r>
      <w:r w:rsidR="008F13E7">
        <w:rPr>
          <w:lang w:val="de-DE"/>
        </w:rPr>
        <w:t>deren Völkern, z. B. den Hunnen</w:t>
      </w:r>
      <w:r w:rsidR="002F679B">
        <w:rPr>
          <w:lang w:val="de-DE"/>
        </w:rPr>
        <w:t>.</w:t>
      </w:r>
      <w:r w:rsidR="00D22C80">
        <w:rPr>
          <w:rStyle w:val="Voetnootmarkering"/>
          <w:lang w:val="de-DE"/>
        </w:rPr>
        <w:footnoteReference w:id="125"/>
      </w:r>
      <w:r w:rsidR="00D22C80">
        <w:rPr>
          <w:lang w:val="de-DE"/>
        </w:rPr>
        <w:t xml:space="preserve"> </w:t>
      </w:r>
      <w:r w:rsidR="00700402">
        <w:rPr>
          <w:lang w:val="de-DE"/>
        </w:rPr>
        <w:t xml:space="preserve">Später </w:t>
      </w:r>
      <w:r w:rsidR="00CB42D5">
        <w:rPr>
          <w:lang w:val="de-DE"/>
        </w:rPr>
        <w:t>verbreiteten</w:t>
      </w:r>
      <w:r w:rsidR="00700402">
        <w:rPr>
          <w:lang w:val="de-DE"/>
        </w:rPr>
        <w:t xml:space="preserve"> </w:t>
      </w:r>
      <w:r w:rsidR="007A1F48">
        <w:rPr>
          <w:lang w:val="de-DE"/>
        </w:rPr>
        <w:t xml:space="preserve">unter anderem </w:t>
      </w:r>
      <w:r w:rsidR="00700402">
        <w:rPr>
          <w:lang w:val="de-DE"/>
        </w:rPr>
        <w:t>d</w:t>
      </w:r>
      <w:r w:rsidR="002E68E0">
        <w:rPr>
          <w:lang w:val="de-DE"/>
        </w:rPr>
        <w:t xml:space="preserve">as Osmanische Reich und die Habsburgermonarchie </w:t>
      </w:r>
      <w:r w:rsidR="00CB42D5">
        <w:rPr>
          <w:lang w:val="de-DE"/>
        </w:rPr>
        <w:t>ihren</w:t>
      </w:r>
      <w:r w:rsidR="002E68E0">
        <w:rPr>
          <w:lang w:val="de-DE"/>
        </w:rPr>
        <w:t xml:space="preserve"> Einfluss</w:t>
      </w:r>
      <w:r w:rsidR="008240CB">
        <w:rPr>
          <w:lang w:val="de-DE"/>
        </w:rPr>
        <w:t>. S</w:t>
      </w:r>
      <w:r w:rsidR="00701FE8">
        <w:rPr>
          <w:lang w:val="de-DE"/>
        </w:rPr>
        <w:t xml:space="preserve">o wurde die bosnische und vormals osmanische Provinz 1878 von Österreich-Ungarn </w:t>
      </w:r>
      <w:r w:rsidR="00BF1D3C">
        <w:rPr>
          <w:lang w:val="de-DE"/>
        </w:rPr>
        <w:t>nach der Eindämmung des osmanischen Vormarsches in Richtung Zentraleuropa endgültig zur Verwaltung übernomme</w:t>
      </w:r>
      <w:r w:rsidR="00FC0D0B">
        <w:rPr>
          <w:lang w:val="de-DE"/>
        </w:rPr>
        <w:t>n</w:t>
      </w:r>
      <w:r w:rsidR="008F13E7">
        <w:rPr>
          <w:lang w:val="de-DE"/>
        </w:rPr>
        <w:t>.</w:t>
      </w:r>
      <w:r w:rsidR="005E5DA5">
        <w:rPr>
          <w:rStyle w:val="Voetnootmarkering"/>
          <w:lang w:val="de-DE"/>
        </w:rPr>
        <w:footnoteReference w:id="126"/>
      </w:r>
      <w:r w:rsidR="00FC0D0B">
        <w:rPr>
          <w:lang w:val="de-DE"/>
        </w:rPr>
        <w:t xml:space="preserve"> In</w:t>
      </w:r>
      <w:r w:rsidR="007A1F48">
        <w:rPr>
          <w:lang w:val="de-DE"/>
        </w:rPr>
        <w:t xml:space="preserve"> den letzten Jahrzehnten hat sich</w:t>
      </w:r>
      <w:r w:rsidR="00FC0D0B">
        <w:rPr>
          <w:lang w:val="de-DE"/>
        </w:rPr>
        <w:t xml:space="preserve"> hingegen</w:t>
      </w:r>
      <w:r w:rsidR="007A1F48">
        <w:rPr>
          <w:lang w:val="de-DE"/>
        </w:rPr>
        <w:t xml:space="preserve"> die Macht Europas im Gebiet manifestiert.</w:t>
      </w:r>
      <w:r w:rsidR="00701FE8">
        <w:rPr>
          <w:lang w:val="de-DE"/>
        </w:rPr>
        <w:t xml:space="preserve"> </w:t>
      </w:r>
      <w:r w:rsidR="00FC0D0B">
        <w:rPr>
          <w:lang w:val="de-DE"/>
        </w:rPr>
        <w:t xml:space="preserve">Die Bürgerkriege der 90er Jahre, bei denen Europa </w:t>
      </w:r>
      <w:r w:rsidR="000212A0">
        <w:rPr>
          <w:lang w:val="de-DE"/>
        </w:rPr>
        <w:t>seinen</w:t>
      </w:r>
      <w:r w:rsidR="00FC0D0B">
        <w:rPr>
          <w:lang w:val="de-DE"/>
        </w:rPr>
        <w:t xml:space="preserve"> Einfluss hat gelten lassen, kön</w:t>
      </w:r>
      <w:r w:rsidR="00742002">
        <w:rPr>
          <w:lang w:val="de-DE"/>
        </w:rPr>
        <w:t xml:space="preserve">nen als späte </w:t>
      </w:r>
      <w:r w:rsidR="008F13E7">
        <w:rPr>
          <w:lang w:val="de-DE"/>
        </w:rPr>
        <w:t xml:space="preserve">Nachbeben vom Zusammenbruch der </w:t>
      </w:r>
      <w:r w:rsidR="00742002">
        <w:rPr>
          <w:lang w:val="de-DE"/>
        </w:rPr>
        <w:t>gro</w:t>
      </w:r>
      <w:r w:rsidR="00742002">
        <w:rPr>
          <w:rFonts w:cs="Times New Roman"/>
          <w:lang w:val="de-DE"/>
        </w:rPr>
        <w:t>ßen osmanischen und habsburgischen Reichen</w:t>
      </w:r>
      <w:r w:rsidR="008F13E7">
        <w:rPr>
          <w:rFonts w:cs="Times New Roman"/>
          <w:lang w:val="de-DE"/>
        </w:rPr>
        <w:t xml:space="preserve"> interpretiert werden</w:t>
      </w:r>
      <w:r w:rsidR="00742002">
        <w:rPr>
          <w:rFonts w:cs="Times New Roman"/>
          <w:lang w:val="de-DE"/>
        </w:rPr>
        <w:t>.</w:t>
      </w:r>
      <w:r w:rsidR="00FC0D0B">
        <w:rPr>
          <w:lang w:val="de-DE"/>
        </w:rPr>
        <w:t xml:space="preserve"> </w:t>
      </w:r>
      <w:r w:rsidR="00701FE8">
        <w:rPr>
          <w:lang w:val="de-DE"/>
        </w:rPr>
        <w:t xml:space="preserve">Karl Kaser beschreibt, wie </w:t>
      </w:r>
      <w:r w:rsidR="00CC31CB" w:rsidRPr="00CC31CB">
        <w:rPr>
          <w:lang w:val="de-DE"/>
        </w:rPr>
        <w:t xml:space="preserve">die politische Balance </w:t>
      </w:r>
      <w:r w:rsidR="00CC31CB">
        <w:rPr>
          <w:lang w:val="de-DE"/>
        </w:rPr>
        <w:t xml:space="preserve">zwischen den unterschiedlichen Völkern und Staaten </w:t>
      </w:r>
      <w:r w:rsidR="00CC31CB" w:rsidRPr="00CC31CB">
        <w:rPr>
          <w:lang w:val="de-DE"/>
        </w:rPr>
        <w:t>seit dem B</w:t>
      </w:r>
      <w:r w:rsidR="00CC31CB">
        <w:rPr>
          <w:lang w:val="de-DE"/>
        </w:rPr>
        <w:t>ürgerkrieg der 90er Jahre nur „unter kolonialähnlichen Zuständen (Anwesenheit internationaler Truppenkontingente und eines Internationalen Hochkommissars, der alle Letztentscheidungsrechte besitzt)“</w:t>
      </w:r>
      <w:r w:rsidR="00CC31CB">
        <w:rPr>
          <w:rStyle w:val="Voetnootmarkering"/>
          <w:lang w:val="de-DE"/>
        </w:rPr>
        <w:footnoteReference w:id="127"/>
      </w:r>
      <w:r w:rsidR="00FC0D0B">
        <w:rPr>
          <w:lang w:val="de-DE"/>
        </w:rPr>
        <w:t xml:space="preserve"> </w:t>
      </w:r>
      <w:r w:rsidR="00FC0D0B">
        <w:rPr>
          <w:lang w:val="de-DE"/>
        </w:rPr>
        <w:lastRenderedPageBreak/>
        <w:t>gewährt wird</w:t>
      </w:r>
      <w:r w:rsidR="00CC31CB">
        <w:rPr>
          <w:lang w:val="de-DE"/>
        </w:rPr>
        <w:t>.</w:t>
      </w:r>
      <w:r w:rsidR="008240CB">
        <w:rPr>
          <w:lang w:val="de-DE"/>
        </w:rPr>
        <w:t xml:space="preserve"> Jetzt soll der spezifische Status</w:t>
      </w:r>
      <w:r w:rsidR="00A825C3">
        <w:rPr>
          <w:lang w:val="de-DE"/>
        </w:rPr>
        <w:t xml:space="preserve"> der Kocsis</w:t>
      </w:r>
      <w:r w:rsidR="008240CB">
        <w:rPr>
          <w:lang w:val="de-DE"/>
        </w:rPr>
        <w:t xml:space="preserve"> als Kolonisierte in </w:t>
      </w:r>
      <w:r w:rsidR="00C05398">
        <w:rPr>
          <w:lang w:val="de-DE"/>
        </w:rPr>
        <w:t xml:space="preserve">Nadj </w:t>
      </w:r>
      <w:r w:rsidR="008240CB">
        <w:rPr>
          <w:lang w:val="de-DE"/>
        </w:rPr>
        <w:t>Abonjis Werk untersucht werden.</w:t>
      </w:r>
    </w:p>
    <w:p w14:paraId="33CC1EF6" w14:textId="66C83A20" w:rsidR="00A825C3" w:rsidRDefault="000212A0" w:rsidP="00E15DC5">
      <w:pPr>
        <w:ind w:firstLine="708"/>
        <w:rPr>
          <w:lang w:val="de-DE"/>
        </w:rPr>
      </w:pPr>
      <w:r>
        <w:rPr>
          <w:lang w:val="de-DE"/>
        </w:rPr>
        <w:t xml:space="preserve">In </w:t>
      </w:r>
      <w:r>
        <w:rPr>
          <w:i/>
          <w:lang w:val="de-DE"/>
        </w:rPr>
        <w:t>Tauben fliegen auf</w:t>
      </w:r>
      <w:r w:rsidR="001979DA" w:rsidRPr="001979DA">
        <w:rPr>
          <w:lang w:val="de-DE"/>
        </w:rPr>
        <w:t xml:space="preserve"> wird oft darauf verwiesen, dass man Arbeit braucht, um als </w:t>
      </w:r>
      <w:r>
        <w:rPr>
          <w:lang w:val="de-DE"/>
        </w:rPr>
        <w:t>vollwertiges Mitglied</w:t>
      </w:r>
      <w:r w:rsidR="001979DA" w:rsidRPr="001979DA">
        <w:rPr>
          <w:lang w:val="de-DE"/>
        </w:rPr>
        <w:t xml:space="preserve"> der Gesellschaft betrachtet zu werden. Das ist zum Teil so, weil im Westen </w:t>
      </w:r>
      <w:r w:rsidR="005A2A7E">
        <w:rPr>
          <w:lang w:val="de-DE"/>
        </w:rPr>
        <w:t>hauptsächlich</w:t>
      </w:r>
      <w:r w:rsidR="001979DA" w:rsidRPr="001979DA">
        <w:rPr>
          <w:lang w:val="de-DE"/>
        </w:rPr>
        <w:t xml:space="preserve"> Arbeitsgesellschaften herrschen, die den Kapitalismus zur Anwendung bringen</w:t>
      </w:r>
      <w:r w:rsidR="004A7BF1">
        <w:rPr>
          <w:lang w:val="de-DE"/>
        </w:rPr>
        <w:t xml:space="preserve"> und auf Konsum und Gewinn beruh</w:t>
      </w:r>
      <w:r w:rsidR="001979DA" w:rsidRPr="001979DA">
        <w:rPr>
          <w:lang w:val="de-DE"/>
        </w:rPr>
        <w:t>en. Nur wenn man</w:t>
      </w:r>
      <w:r w:rsidR="00223BDF">
        <w:rPr>
          <w:lang w:val="de-DE"/>
        </w:rPr>
        <w:t xml:space="preserve"> einen</w:t>
      </w:r>
      <w:r w:rsidR="001979DA" w:rsidRPr="001979DA">
        <w:rPr>
          <w:lang w:val="de-DE"/>
        </w:rPr>
        <w:t xml:space="preserve"> Teil des kapitalistischen Systems ausmacht, wird man auch als vollwertiges Mitglied der Gesellschaft akzeptiert. </w:t>
      </w:r>
      <w:r w:rsidR="002456C5">
        <w:rPr>
          <w:lang w:val="de-DE"/>
        </w:rPr>
        <w:t xml:space="preserve">So erzählt der Vater, dass sie nur „mit einem Koffer und einem Wort“ (TFA: 46), nämlich das Wort „Arbeit“ (vgl. TFA: 49) in die Schweiz gekommen sind. Der Belang von Arbeit </w:t>
      </w:r>
      <w:r w:rsidR="001979DA" w:rsidRPr="001979DA">
        <w:rPr>
          <w:lang w:val="de-DE"/>
        </w:rPr>
        <w:t>kulminiert im Satz, die von der Mutter mehrmals geäu</w:t>
      </w:r>
      <w:r w:rsidR="001979DA" w:rsidRPr="001979DA">
        <w:rPr>
          <w:rFonts w:cs="Times New Roman"/>
          <w:lang w:val="de-DE"/>
        </w:rPr>
        <w:t>ß</w:t>
      </w:r>
      <w:r w:rsidR="001979DA" w:rsidRPr="001979DA">
        <w:rPr>
          <w:lang w:val="de-DE"/>
        </w:rPr>
        <w:t>ert wird, nämlich: „Wir haben noch kein menschliches Schicksal, das müssen wir uns erst noch erarbeiten“ (TFA: 85).</w:t>
      </w:r>
      <w:r w:rsidR="004A7BF1">
        <w:rPr>
          <w:lang w:val="de-DE"/>
        </w:rPr>
        <w:t xml:space="preserve"> </w:t>
      </w:r>
      <w:r w:rsidR="00F5537A">
        <w:rPr>
          <w:lang w:val="de-DE"/>
        </w:rPr>
        <w:t xml:space="preserve">Ein menschliches Schicksal kann ihr zufolge nur mittels Arbeit erworben werden. </w:t>
      </w:r>
    </w:p>
    <w:p w14:paraId="56C5F9E6" w14:textId="41E7E22F" w:rsidR="00494B74" w:rsidRDefault="006C773E" w:rsidP="00E15DC5">
      <w:pPr>
        <w:ind w:firstLine="708"/>
        <w:rPr>
          <w:lang w:val="de-DE"/>
        </w:rPr>
      </w:pPr>
      <w:r>
        <w:rPr>
          <w:lang w:val="de-DE"/>
        </w:rPr>
        <w:t>Die Geschichte zeigt stark die berufliche Evolution der Familie Kocsis. Bevor ihre Kinder in die Schweiz kommen, üben die Eltern verschiedene kleine Jobs aus</w:t>
      </w:r>
      <w:r w:rsidR="004E576C">
        <w:rPr>
          <w:lang w:val="de-DE"/>
        </w:rPr>
        <w:t>: Die Mutter hat z. B. als „Putzfrau, Kassiererin, Mädchen für alles, Wäscherin, Büglerin, Kellnerin, Buffettochter“ (TFA: 45) gearbeitet</w:t>
      </w:r>
      <w:r>
        <w:rPr>
          <w:lang w:val="de-DE"/>
        </w:rPr>
        <w:t xml:space="preserve">. </w:t>
      </w:r>
      <w:r w:rsidR="00E15DC5">
        <w:rPr>
          <w:lang w:val="de-DE"/>
        </w:rPr>
        <w:t xml:space="preserve">Danach </w:t>
      </w:r>
      <w:r>
        <w:rPr>
          <w:lang w:val="de-DE"/>
        </w:rPr>
        <w:t xml:space="preserve">eröffnen sie eine Wäscherei, in der die Kinder mithelfen, später eine erste Cafeteria in ungünstiger Lage, nachdem sie zum Schluss die Cafeteria Mondial bekommen. Die Entwicklung erinnert fast an das Konzept der Indentur, das </w:t>
      </w:r>
      <w:r w:rsidR="000212A0">
        <w:rPr>
          <w:lang w:val="de-DE"/>
        </w:rPr>
        <w:t xml:space="preserve">aus </w:t>
      </w:r>
      <w:r>
        <w:rPr>
          <w:lang w:val="de-DE"/>
        </w:rPr>
        <w:t>eine</w:t>
      </w:r>
      <w:r w:rsidR="000212A0">
        <w:rPr>
          <w:lang w:val="de-DE"/>
        </w:rPr>
        <w:t>r</w:t>
      </w:r>
      <w:r>
        <w:rPr>
          <w:lang w:val="de-DE"/>
        </w:rPr>
        <w:t xml:space="preserve"> Vertragsknechtschaft </w:t>
      </w:r>
      <w:r w:rsidR="000212A0">
        <w:rPr>
          <w:lang w:val="de-DE"/>
        </w:rPr>
        <w:t>bestand</w:t>
      </w:r>
      <w:r w:rsidR="007C1001">
        <w:rPr>
          <w:lang w:val="de-DE"/>
        </w:rPr>
        <w:t>.</w:t>
      </w:r>
      <w:r w:rsidR="00D51755">
        <w:rPr>
          <w:lang w:val="de-DE"/>
        </w:rPr>
        <w:t xml:space="preserve"> Auch heute locken Unternehmen mit Arbeitsverträgen Menschen in entlegene Regionen, „wo sie den Arbeitgebern hilflos ausgeliefert sind und in Unfreiheit fallen, die sich eventuell über Jahrzehnte erstreckt</w:t>
      </w:r>
      <w:r w:rsidR="00760ECD">
        <w:rPr>
          <w:lang w:val="de-DE"/>
        </w:rPr>
        <w:t>.“</w:t>
      </w:r>
      <w:r w:rsidR="00D51755">
        <w:rPr>
          <w:rStyle w:val="Voetnootmarkering"/>
          <w:lang w:val="de-DE"/>
        </w:rPr>
        <w:footnoteReference w:id="128"/>
      </w:r>
      <w:r w:rsidR="007C1001">
        <w:rPr>
          <w:lang w:val="de-DE"/>
        </w:rPr>
        <w:t xml:space="preserve"> Genauso wie unter Vertrag stehende Arbeiter für eine bestimmte Zeit für e</w:t>
      </w:r>
      <w:r w:rsidR="005A2A7E">
        <w:rPr>
          <w:lang w:val="de-DE"/>
        </w:rPr>
        <w:t>in anderes Unternehmen arbeiten</w:t>
      </w:r>
      <w:r w:rsidR="007C1001">
        <w:rPr>
          <w:lang w:val="de-DE"/>
        </w:rPr>
        <w:t>, um nachher ein eigenes Gewerbe auszuüben, erhalten die Kocsis ihr eigenes Geschäft erst nach</w:t>
      </w:r>
      <w:r w:rsidR="000212A0">
        <w:rPr>
          <w:lang w:val="de-DE"/>
        </w:rPr>
        <w:t>dem sie</w:t>
      </w:r>
      <w:r w:rsidR="00F6018C">
        <w:rPr>
          <w:lang w:val="de-DE"/>
        </w:rPr>
        <w:t xml:space="preserve"> </w:t>
      </w:r>
      <w:r w:rsidR="000212A0">
        <w:rPr>
          <w:lang w:val="de-DE"/>
        </w:rPr>
        <w:t xml:space="preserve">– oft unter schlechten Bedingungen – </w:t>
      </w:r>
      <w:r w:rsidR="00F6018C">
        <w:rPr>
          <w:lang w:val="de-DE"/>
        </w:rPr>
        <w:t xml:space="preserve">für andere </w:t>
      </w:r>
      <w:r w:rsidR="005A2A7E">
        <w:rPr>
          <w:lang w:val="de-DE"/>
        </w:rPr>
        <w:t>gearbeitet hab</w:t>
      </w:r>
      <w:r w:rsidR="000212A0">
        <w:rPr>
          <w:lang w:val="de-DE"/>
        </w:rPr>
        <w:t>en</w:t>
      </w:r>
      <w:r w:rsidR="007C1001">
        <w:rPr>
          <w:lang w:val="de-DE"/>
        </w:rPr>
        <w:t>.</w:t>
      </w:r>
      <w:r w:rsidR="004E576C">
        <w:rPr>
          <w:lang w:val="de-DE"/>
        </w:rPr>
        <w:t xml:space="preserve"> </w:t>
      </w:r>
      <w:r w:rsidR="002456C5">
        <w:rPr>
          <w:lang w:val="de-DE"/>
        </w:rPr>
        <w:t xml:space="preserve">Der Vater erzählt </w:t>
      </w:r>
      <w:r w:rsidR="000212A0">
        <w:rPr>
          <w:lang w:val="de-DE"/>
        </w:rPr>
        <w:t>von der</w:t>
      </w:r>
      <w:r w:rsidR="002456C5">
        <w:rPr>
          <w:lang w:val="de-DE"/>
        </w:rPr>
        <w:t xml:space="preserve"> Schwarzarbeit, die er zum Vorteil seines Arbeitsgebers ausübte, und wie das den verspäteten Familiennachzug </w:t>
      </w:r>
      <w:r w:rsidR="00223BDF">
        <w:rPr>
          <w:lang w:val="de-DE"/>
        </w:rPr>
        <w:t>seiner Töchter</w:t>
      </w:r>
      <w:r w:rsidR="00760ECD">
        <w:rPr>
          <w:lang w:val="de-DE"/>
        </w:rPr>
        <w:t xml:space="preserve"> </w:t>
      </w:r>
      <w:r w:rsidR="002456C5">
        <w:rPr>
          <w:lang w:val="de-DE"/>
        </w:rPr>
        <w:t xml:space="preserve">zur Folge hatte. </w:t>
      </w:r>
      <w:r w:rsidR="005C4BC2">
        <w:rPr>
          <w:lang w:val="de-DE"/>
        </w:rPr>
        <w:t>Er</w:t>
      </w:r>
      <w:r w:rsidR="00247E4F">
        <w:rPr>
          <w:lang w:val="de-DE"/>
        </w:rPr>
        <w:t xml:space="preserve"> hat nach einem Tipp eines Kollegen „seinen ganzen Mut zusammengenommen und zu seinem Chef gesagt: </w:t>
      </w:r>
      <w:r w:rsidR="00247E4F">
        <w:rPr>
          <w:i/>
          <w:lang w:val="de-DE"/>
        </w:rPr>
        <w:t>Wenn kein Papier, Miklós gehen.</w:t>
      </w:r>
      <w:r w:rsidR="00247E4F">
        <w:rPr>
          <w:lang w:val="de-DE"/>
        </w:rPr>
        <w:t xml:space="preserve"> Und Vater, der erstaunt war, dass sein kleiner Satz eine so grosse Wirkung hatte“ (TFA: 47)</w:t>
      </w:r>
      <w:r w:rsidR="00760ECD">
        <w:rPr>
          <w:lang w:val="de-DE"/>
        </w:rPr>
        <w:t>.</w:t>
      </w:r>
      <w:r w:rsidR="00247E4F">
        <w:rPr>
          <w:lang w:val="de-DE"/>
        </w:rPr>
        <w:t xml:space="preserve"> Hier stellt sich schon früh i</w:t>
      </w:r>
      <w:r w:rsidR="000212A0">
        <w:rPr>
          <w:lang w:val="de-DE"/>
        </w:rPr>
        <w:t xml:space="preserve">n </w:t>
      </w:r>
      <w:r w:rsidR="00C05398">
        <w:rPr>
          <w:lang w:val="de-DE"/>
        </w:rPr>
        <w:t xml:space="preserve">Nadj </w:t>
      </w:r>
      <w:r w:rsidR="000212A0">
        <w:rPr>
          <w:lang w:val="de-DE"/>
        </w:rPr>
        <w:t>Abonjis</w:t>
      </w:r>
      <w:r w:rsidR="00247E4F">
        <w:rPr>
          <w:lang w:val="de-DE"/>
        </w:rPr>
        <w:t xml:space="preserve"> </w:t>
      </w:r>
      <w:r w:rsidR="00A825C3">
        <w:rPr>
          <w:lang w:val="de-DE"/>
        </w:rPr>
        <w:t>Werk</w:t>
      </w:r>
      <w:r w:rsidR="00247E4F">
        <w:rPr>
          <w:lang w:val="de-DE"/>
        </w:rPr>
        <w:t xml:space="preserve"> </w:t>
      </w:r>
      <w:r w:rsidR="000212A0">
        <w:rPr>
          <w:lang w:val="de-DE"/>
        </w:rPr>
        <w:t>die Bedeutsamkeit der</w:t>
      </w:r>
      <w:r w:rsidR="00247E4F">
        <w:rPr>
          <w:lang w:val="de-DE"/>
        </w:rPr>
        <w:t xml:space="preserve"> </w:t>
      </w:r>
      <w:r w:rsidR="00247E4F">
        <w:rPr>
          <w:lang w:val="de-DE"/>
        </w:rPr>
        <w:lastRenderedPageBreak/>
        <w:t xml:space="preserve">Sprache heraus. </w:t>
      </w:r>
      <w:r w:rsidR="004E576C">
        <w:rPr>
          <w:lang w:val="de-DE"/>
        </w:rPr>
        <w:t>Endlich sorgt die Übernahme de</w:t>
      </w:r>
      <w:r w:rsidR="000212A0">
        <w:rPr>
          <w:lang w:val="de-DE"/>
        </w:rPr>
        <w:t>s Mondials für eine berufliche Verb</w:t>
      </w:r>
      <w:r w:rsidR="004E576C">
        <w:rPr>
          <w:lang w:val="de-DE"/>
        </w:rPr>
        <w:t>esserung, die auch einen wirtschaftlichen und sozialen Aufschwung mit sich bringt</w:t>
      </w:r>
      <w:r w:rsidR="00223BDF">
        <w:rPr>
          <w:lang w:val="de-DE"/>
        </w:rPr>
        <w:t xml:space="preserve">, was die </w:t>
      </w:r>
      <w:r w:rsidR="00760ECD">
        <w:rPr>
          <w:lang w:val="de-DE"/>
        </w:rPr>
        <w:t xml:space="preserve">Kocsis auch selbst </w:t>
      </w:r>
      <w:r w:rsidR="000212A0">
        <w:rPr>
          <w:lang w:val="de-DE"/>
        </w:rPr>
        <w:t>bemerken</w:t>
      </w:r>
      <w:r w:rsidR="00760ECD">
        <w:rPr>
          <w:lang w:val="de-DE"/>
        </w:rPr>
        <w:t xml:space="preserve">. Diese </w:t>
      </w:r>
      <w:r w:rsidR="000212A0">
        <w:rPr>
          <w:lang w:val="de-DE"/>
        </w:rPr>
        <w:t>Erkenntnis</w:t>
      </w:r>
      <w:r w:rsidR="00760ECD">
        <w:rPr>
          <w:lang w:val="de-DE"/>
        </w:rPr>
        <w:t xml:space="preserve"> </w:t>
      </w:r>
      <w:r w:rsidR="000212A0">
        <w:rPr>
          <w:lang w:val="de-DE"/>
        </w:rPr>
        <w:t>zeigt</w:t>
      </w:r>
      <w:r w:rsidR="00760ECD">
        <w:rPr>
          <w:lang w:val="de-DE"/>
        </w:rPr>
        <w:t xml:space="preserve"> sich im folgenden Zitat</w:t>
      </w:r>
      <w:r w:rsidR="004E576C">
        <w:rPr>
          <w:lang w:val="de-DE"/>
        </w:rPr>
        <w:t>: „[M]it einem Mal sind wir nicht einen Schritt weiter, sondern e</w:t>
      </w:r>
      <w:r w:rsidR="005C4BC2">
        <w:rPr>
          <w:lang w:val="de-DE"/>
        </w:rPr>
        <w:t>inen riesigen Sprung“ (TFA: 45).</w:t>
      </w:r>
    </w:p>
    <w:p w14:paraId="679CF4A1" w14:textId="529AADDD" w:rsidR="005C4BC2" w:rsidRDefault="00C0440D" w:rsidP="0019110F">
      <w:pPr>
        <w:ind w:firstLine="708"/>
        <w:rPr>
          <w:lang w:val="de-DE"/>
        </w:rPr>
      </w:pPr>
      <w:r>
        <w:rPr>
          <w:lang w:val="de-DE"/>
        </w:rPr>
        <w:t xml:space="preserve">In </w:t>
      </w:r>
      <w:r w:rsidR="002B1C09">
        <w:rPr>
          <w:lang w:val="de-DE"/>
        </w:rPr>
        <w:t>meiner</w:t>
      </w:r>
      <w:r>
        <w:rPr>
          <w:lang w:val="de-DE"/>
        </w:rPr>
        <w:t xml:space="preserve"> Bachelorarbeit wurde </w:t>
      </w:r>
      <w:r w:rsidR="000212A0">
        <w:rPr>
          <w:lang w:val="de-DE"/>
        </w:rPr>
        <w:t xml:space="preserve">bereits </w:t>
      </w:r>
      <w:r w:rsidR="00320A52">
        <w:rPr>
          <w:lang w:val="de-DE"/>
        </w:rPr>
        <w:t>Ildikó</w:t>
      </w:r>
      <w:r>
        <w:rPr>
          <w:lang w:val="de-DE"/>
        </w:rPr>
        <w:t>s Posi</w:t>
      </w:r>
      <w:r w:rsidRPr="005A35AD">
        <w:rPr>
          <w:lang w:val="de-DE"/>
        </w:rPr>
        <w:t>tion als Serviertochter untersucht</w:t>
      </w:r>
      <w:r w:rsidR="00965903" w:rsidRPr="005A35AD">
        <w:rPr>
          <w:lang w:val="de-DE"/>
        </w:rPr>
        <w:t>. Hier wird die</w:t>
      </w:r>
      <w:r w:rsidR="00F443FD" w:rsidRPr="005A35AD">
        <w:rPr>
          <w:lang w:val="de-DE"/>
        </w:rPr>
        <w:t>se</w:t>
      </w:r>
      <w:r w:rsidR="00965903" w:rsidRPr="005A35AD">
        <w:rPr>
          <w:lang w:val="de-DE"/>
        </w:rPr>
        <w:t xml:space="preserve"> Untersuchung fortgesetzt</w:t>
      </w:r>
      <w:r w:rsidR="00A6734E" w:rsidRPr="005A35AD">
        <w:rPr>
          <w:lang w:val="de-DE"/>
        </w:rPr>
        <w:t xml:space="preserve"> und erkundet, </w:t>
      </w:r>
      <w:bookmarkStart w:id="30" w:name="_Hlk513480166"/>
      <w:r w:rsidR="00A6734E" w:rsidRPr="005A35AD">
        <w:rPr>
          <w:lang w:val="de-DE"/>
        </w:rPr>
        <w:t>ob diese Position aus einem postkolonialistischen Blickwinkel betrachtet werden kann.</w:t>
      </w:r>
      <w:r w:rsidRPr="005A35AD">
        <w:rPr>
          <w:lang w:val="de-DE"/>
        </w:rPr>
        <w:t xml:space="preserve"> </w:t>
      </w:r>
      <w:r w:rsidR="00AE0331">
        <w:rPr>
          <w:lang w:val="de-DE"/>
        </w:rPr>
        <w:t xml:space="preserve">Keineswegs kann die Sklaverei, zu der im Folgenden einige Parallelen gezogen werden, vollständig mit Ildikós Position verglichen werden, aber aus postkolonialistischer Sicht zeigen beide Fälle einige Ähnlichkeiten auf. </w:t>
      </w:r>
      <w:r w:rsidR="00320A52" w:rsidRPr="005A35AD">
        <w:rPr>
          <w:lang w:val="de-DE"/>
        </w:rPr>
        <w:t>Ildikó</w:t>
      </w:r>
      <w:r w:rsidR="00965903" w:rsidRPr="005A35AD">
        <w:rPr>
          <w:lang w:val="de-DE"/>
        </w:rPr>
        <w:t xml:space="preserve"> ist sich der problematische</w:t>
      </w:r>
      <w:r w:rsidR="002B1C09" w:rsidRPr="005A35AD">
        <w:rPr>
          <w:lang w:val="de-DE"/>
        </w:rPr>
        <w:t>n</w:t>
      </w:r>
      <w:r w:rsidR="00965903" w:rsidRPr="005A35AD">
        <w:rPr>
          <w:lang w:val="de-DE"/>
        </w:rPr>
        <w:t xml:space="preserve"> Art ihres Berufs, und der Tatsache, dass </w:t>
      </w:r>
      <w:r w:rsidR="00B73D6A" w:rsidRPr="005A35AD">
        <w:rPr>
          <w:lang w:val="de-DE"/>
        </w:rPr>
        <w:t>dieser</w:t>
      </w:r>
      <w:r w:rsidR="00965903" w:rsidRPr="005A35AD">
        <w:rPr>
          <w:lang w:val="de-DE"/>
        </w:rPr>
        <w:t xml:space="preserve"> ihre gespaltene</w:t>
      </w:r>
      <w:r w:rsidR="00965903">
        <w:rPr>
          <w:lang w:val="de-DE"/>
        </w:rPr>
        <w:t xml:space="preserve"> Identität verursacht, stark bewusst</w:t>
      </w:r>
      <w:r w:rsidR="00A6734E">
        <w:rPr>
          <w:lang w:val="de-DE"/>
        </w:rPr>
        <w:t xml:space="preserve">, </w:t>
      </w:r>
      <w:bookmarkEnd w:id="30"/>
      <w:r w:rsidR="00A6734E">
        <w:rPr>
          <w:lang w:val="de-DE"/>
        </w:rPr>
        <w:t xml:space="preserve">denn sie beschreibt, wie „sie, das Fräulein, nur dazu da ist, die unterschiedlichsten Wünsche schnell und ohne Hektik zu erfüllen“ (TFA: 103). </w:t>
      </w:r>
      <w:r w:rsidR="00A667DA">
        <w:rPr>
          <w:lang w:val="de-DE"/>
        </w:rPr>
        <w:t>Dies erinnert an die Sklaverei, die z. B. in den amerikanischen Kolonien die Wirtschaft und den Wohlstand, die die USA heute kennen, mitgeprägt</w:t>
      </w:r>
      <w:r w:rsidR="005C4BC2">
        <w:rPr>
          <w:lang w:val="de-DE"/>
        </w:rPr>
        <w:t xml:space="preserve"> hat</w:t>
      </w:r>
      <w:r w:rsidR="00A667DA">
        <w:rPr>
          <w:lang w:val="de-DE"/>
        </w:rPr>
        <w:t xml:space="preserve">. </w:t>
      </w:r>
      <w:r w:rsidR="00A6734E">
        <w:rPr>
          <w:lang w:val="de-DE"/>
        </w:rPr>
        <w:t>Sie fügt hinz</w:t>
      </w:r>
      <w:r w:rsidR="00A667DA">
        <w:rPr>
          <w:lang w:val="de-DE"/>
        </w:rPr>
        <w:t xml:space="preserve">u, dass „das Einzige, </w:t>
      </w:r>
      <w:r w:rsidR="00A6734E">
        <w:rPr>
          <w:lang w:val="de-DE"/>
        </w:rPr>
        <w:t xml:space="preserve">was mich herausfordert, ist, ob ich es schaffe, von sechs bis zwei ein Fräulein zu sein“ (TFA: 104). </w:t>
      </w:r>
      <w:r w:rsidR="00D4758C">
        <w:rPr>
          <w:lang w:val="de-DE"/>
        </w:rPr>
        <w:t xml:space="preserve">In diesem Zusammenhang </w:t>
      </w:r>
      <w:r w:rsidR="00890862">
        <w:rPr>
          <w:lang w:val="de-DE"/>
        </w:rPr>
        <w:t xml:space="preserve">ist vor allem Arlie Hochschilds Forschung </w:t>
      </w:r>
      <w:r w:rsidR="003538C0">
        <w:rPr>
          <w:lang w:val="de-DE"/>
        </w:rPr>
        <w:t xml:space="preserve">von Gefühlsarbeit erwähnenswert. Ihre Befunde bezüglich der Arbeit von Flugbegleiterinnen können teils auch auf andere Dienstleistungsberufe angewendet werden, wie z. B. den der Serviertochter. </w:t>
      </w:r>
      <w:r w:rsidR="002B1C09">
        <w:rPr>
          <w:lang w:val="de-DE"/>
        </w:rPr>
        <w:t xml:space="preserve">Diese Berufe bringt sie auf einen gemeinsamen Nenner, indem sie den Begriff der Gefühlsarbeit </w:t>
      </w:r>
      <w:r w:rsidR="00A667DA">
        <w:rPr>
          <w:lang w:val="de-DE"/>
        </w:rPr>
        <w:t>prägt</w:t>
      </w:r>
      <w:r w:rsidR="002B1C09">
        <w:rPr>
          <w:lang w:val="de-DE"/>
        </w:rPr>
        <w:t>,</w:t>
      </w:r>
      <w:r w:rsidR="0078566E">
        <w:rPr>
          <w:lang w:val="de-DE"/>
        </w:rPr>
        <w:t xml:space="preserve"> wozu sie Folgendes schreibt</w:t>
      </w:r>
      <w:r w:rsidR="002B1C09">
        <w:rPr>
          <w:lang w:val="de-DE"/>
        </w:rPr>
        <w:t>: „</w:t>
      </w:r>
      <w:r w:rsidR="0078566E">
        <w:rPr>
          <w:lang w:val="de-DE"/>
        </w:rPr>
        <w:t>[Gefühlsarbeit] verlangt das Zeigen oder Unterdrücken von Gefühlen, damit die äu</w:t>
      </w:r>
      <w:r w:rsidR="0078566E">
        <w:rPr>
          <w:rFonts w:cs="Times New Roman"/>
          <w:lang w:val="de-DE"/>
        </w:rPr>
        <w:t>ß</w:t>
      </w:r>
      <w:r w:rsidR="0078566E">
        <w:rPr>
          <w:lang w:val="de-DE"/>
        </w:rPr>
        <w:t>ere Haltung gewahrt bleibt, die bei anderen die erwünschte Wirkung hat</w:t>
      </w:r>
      <w:r w:rsidR="00760ECD">
        <w:rPr>
          <w:lang w:val="de-DE"/>
        </w:rPr>
        <w:t>.</w:t>
      </w:r>
      <w:r w:rsidR="0078566E">
        <w:rPr>
          <w:lang w:val="de-DE"/>
        </w:rPr>
        <w:t>“</w:t>
      </w:r>
      <w:r w:rsidR="0078566E">
        <w:rPr>
          <w:rStyle w:val="Voetnootmarkering"/>
          <w:lang w:val="de-DE"/>
        </w:rPr>
        <w:footnoteReference w:id="129"/>
      </w:r>
      <w:r w:rsidR="00A667DA">
        <w:rPr>
          <w:lang w:val="de-DE"/>
        </w:rPr>
        <w:t xml:space="preserve"> Das Unterdrücken von Gefühlen erinnert aufs Neue an die Sklaverei in den USA, wo Sklaven z. B. Beziehungen zu ihren Familien aufgeben mussten</w:t>
      </w:r>
      <w:r w:rsidR="005A2A7E">
        <w:rPr>
          <w:lang w:val="de-DE"/>
        </w:rPr>
        <w:t>, folglich</w:t>
      </w:r>
      <w:r w:rsidR="00A667DA">
        <w:rPr>
          <w:lang w:val="de-DE"/>
        </w:rPr>
        <w:t xml:space="preserve"> und ihr Gefühlsleben von den Sklavenbesitzern vernachlässigt wurde. </w:t>
      </w:r>
    </w:p>
    <w:p w14:paraId="0A42F094" w14:textId="6A194C9C" w:rsidR="001979DA" w:rsidRDefault="000B7935" w:rsidP="0019110F">
      <w:pPr>
        <w:ind w:firstLine="708"/>
        <w:rPr>
          <w:lang w:val="de-DE"/>
        </w:rPr>
      </w:pPr>
      <w:r>
        <w:rPr>
          <w:lang w:val="de-DE"/>
        </w:rPr>
        <w:t>Dieter Zapf beschreibt da</w:t>
      </w:r>
      <w:r w:rsidR="003538C0">
        <w:rPr>
          <w:lang w:val="de-DE"/>
        </w:rPr>
        <w:t xml:space="preserve">s </w:t>
      </w:r>
      <w:r w:rsidR="00B73D6A">
        <w:rPr>
          <w:lang w:val="de-DE"/>
        </w:rPr>
        <w:t>besondere</w:t>
      </w:r>
      <w:r w:rsidR="003538C0">
        <w:rPr>
          <w:lang w:val="de-DE"/>
        </w:rPr>
        <w:t xml:space="preserve"> an Dienstleistungsberufen </w:t>
      </w:r>
      <w:r>
        <w:rPr>
          <w:lang w:val="de-DE"/>
        </w:rPr>
        <w:t>als „</w:t>
      </w:r>
      <w:r w:rsidR="003538C0">
        <w:rPr>
          <w:lang w:val="de-DE"/>
        </w:rPr>
        <w:t>die Interaktion mit Kunden und die entsprechenden Arbeitsanforderungen“</w:t>
      </w:r>
      <w:r w:rsidR="003538C0">
        <w:rPr>
          <w:rStyle w:val="Voetnootmarkering"/>
          <w:lang w:val="de-DE"/>
        </w:rPr>
        <w:footnoteReference w:id="130"/>
      </w:r>
      <w:r w:rsidR="003538C0">
        <w:rPr>
          <w:lang w:val="de-DE"/>
        </w:rPr>
        <w:t xml:space="preserve"> kognitiver, sozialer und emotionaler Natur, die sich daraus ergeben.</w:t>
      </w:r>
      <w:r w:rsidR="00F443FD">
        <w:rPr>
          <w:lang w:val="de-DE"/>
        </w:rPr>
        <w:t xml:space="preserve"> Im Allgemeinen wird vom </w:t>
      </w:r>
      <w:r w:rsidR="00F443FD">
        <w:rPr>
          <w:lang w:val="de-DE"/>
        </w:rPr>
        <w:lastRenderedPageBreak/>
        <w:t>konstruktivistischen Ansatz innerhalb der Soziologie der Emotionen behauptet, „dass Menschen gemä</w:t>
      </w:r>
      <w:r w:rsidR="00F443FD">
        <w:rPr>
          <w:rFonts w:cs="Times New Roman"/>
          <w:lang w:val="de-DE"/>
        </w:rPr>
        <w:t>ß</w:t>
      </w:r>
      <w:r w:rsidR="00F443FD">
        <w:rPr>
          <w:lang w:val="de-DE"/>
        </w:rPr>
        <w:t xml:space="preserve"> den in ihrem sozialen Umfeld gültigen Gefühlsregeln Emotionsmanagement betreiben. Passt das eigene Empfinden nicht zu den sozial erwarteten Gefühlsäu</w:t>
      </w:r>
      <w:r w:rsidR="00F443FD">
        <w:rPr>
          <w:rFonts w:cs="Times New Roman"/>
          <w:lang w:val="de-DE"/>
        </w:rPr>
        <w:t>ß</w:t>
      </w:r>
      <w:r w:rsidR="00F443FD">
        <w:rPr>
          <w:lang w:val="de-DE"/>
        </w:rPr>
        <w:t>erungen, werden Anpassungsschritte gesetzt</w:t>
      </w:r>
      <w:r w:rsidR="00760ECD">
        <w:rPr>
          <w:lang w:val="de-DE"/>
        </w:rPr>
        <w:t>.</w:t>
      </w:r>
      <w:r w:rsidR="00875F2B">
        <w:rPr>
          <w:lang w:val="de-DE"/>
        </w:rPr>
        <w:t>“</w:t>
      </w:r>
      <w:r w:rsidR="00875F2B">
        <w:rPr>
          <w:rStyle w:val="Voetnootmarkering"/>
          <w:lang w:val="de-DE"/>
        </w:rPr>
        <w:footnoteReference w:id="131"/>
      </w:r>
      <w:r w:rsidR="002405B2">
        <w:rPr>
          <w:lang w:val="de-DE"/>
        </w:rPr>
        <w:t xml:space="preserve"> </w:t>
      </w:r>
      <w:r w:rsidR="00AF142A">
        <w:rPr>
          <w:lang w:val="de-DE"/>
        </w:rPr>
        <w:t xml:space="preserve">Empfinden und Verhalten sollen auf die im „jeweiligen sozialen Kontext gültigen </w:t>
      </w:r>
      <w:r w:rsidR="002405B2">
        <w:rPr>
          <w:lang w:val="de-DE"/>
        </w:rPr>
        <w:t>Gefühlsregeln</w:t>
      </w:r>
      <w:r w:rsidR="00AF142A">
        <w:rPr>
          <w:lang w:val="de-DE"/>
        </w:rPr>
        <w:t>“</w:t>
      </w:r>
      <w:r w:rsidR="00AF142A">
        <w:rPr>
          <w:rStyle w:val="Voetnootmarkering"/>
          <w:lang w:val="de-DE"/>
        </w:rPr>
        <w:footnoteReference w:id="132"/>
      </w:r>
      <w:r w:rsidR="00AF142A">
        <w:rPr>
          <w:lang w:val="de-DE"/>
        </w:rPr>
        <w:t xml:space="preserve"> abgestimmt werden. </w:t>
      </w:r>
      <w:r w:rsidR="00DE3B5A">
        <w:rPr>
          <w:lang w:val="de-DE"/>
        </w:rPr>
        <w:t>Dies wird hauptsächlich erreicht, indem versucht wird, „Diskrepanzen zwischen dem von ihrer Umgebung erwarteten Gefühlsausdruck und ihrem tatsächlichen Empfinden zu minimieren</w:t>
      </w:r>
      <w:r w:rsidR="00760ECD">
        <w:rPr>
          <w:lang w:val="de-DE"/>
        </w:rPr>
        <w:t>.“</w:t>
      </w:r>
      <w:r w:rsidR="00DE3B5A">
        <w:rPr>
          <w:rStyle w:val="Voetnootmarkering"/>
          <w:lang w:val="de-DE"/>
        </w:rPr>
        <w:footnoteReference w:id="133"/>
      </w:r>
      <w:r w:rsidR="00DE3B5A">
        <w:rPr>
          <w:lang w:val="de-DE"/>
        </w:rPr>
        <w:t xml:space="preserve"> Diese Gefühlsregeln stehen „in engem Zusammenhang mit gesellschaftlichen Rollenvorstellungen“,</w:t>
      </w:r>
      <w:r w:rsidR="00DE3B5A">
        <w:rPr>
          <w:rStyle w:val="Voetnootmarkering"/>
          <w:lang w:val="de-DE"/>
        </w:rPr>
        <w:footnoteReference w:id="134"/>
      </w:r>
      <w:r w:rsidR="00DE3B5A">
        <w:rPr>
          <w:lang w:val="de-DE"/>
        </w:rPr>
        <w:t xml:space="preserve"> was sich auch in </w:t>
      </w:r>
      <w:r w:rsidR="00DE3B5A">
        <w:rPr>
          <w:i/>
          <w:lang w:val="de-DE"/>
        </w:rPr>
        <w:t xml:space="preserve">Tauben fliegen auf </w:t>
      </w:r>
      <w:r w:rsidR="00DE3B5A">
        <w:rPr>
          <w:lang w:val="de-DE"/>
        </w:rPr>
        <w:t>feststellen lässt.</w:t>
      </w:r>
      <w:r w:rsidR="009859D5">
        <w:rPr>
          <w:lang w:val="de-DE"/>
        </w:rPr>
        <w:t xml:space="preserve"> </w:t>
      </w:r>
      <w:bookmarkStart w:id="31" w:name="_Hlk513480183"/>
      <w:r w:rsidR="00320A52">
        <w:rPr>
          <w:lang w:val="de-DE"/>
        </w:rPr>
        <w:t>Ildikó</w:t>
      </w:r>
      <w:r w:rsidR="009859D5">
        <w:rPr>
          <w:lang w:val="de-DE"/>
        </w:rPr>
        <w:t xml:space="preserve"> </w:t>
      </w:r>
      <w:r w:rsidR="00051444">
        <w:rPr>
          <w:lang w:val="de-DE"/>
        </w:rPr>
        <w:t xml:space="preserve">passt nämlich ihr Verhalten und vor allem ihre Sprache </w:t>
      </w:r>
      <w:r>
        <w:rPr>
          <w:lang w:val="de-DE"/>
        </w:rPr>
        <w:t>der</w:t>
      </w:r>
      <w:r w:rsidR="00051444">
        <w:rPr>
          <w:lang w:val="de-DE"/>
        </w:rPr>
        <w:t xml:space="preserve"> Umgebung </w:t>
      </w:r>
      <w:r>
        <w:rPr>
          <w:lang w:val="de-DE"/>
        </w:rPr>
        <w:t xml:space="preserve">und den Gesprächspartnern an. </w:t>
      </w:r>
      <w:bookmarkEnd w:id="31"/>
      <w:r>
        <w:rPr>
          <w:lang w:val="de-DE"/>
        </w:rPr>
        <w:t xml:space="preserve">Eine ausführliche Analyse dieser </w:t>
      </w:r>
      <w:r w:rsidR="00CC0D56">
        <w:rPr>
          <w:lang w:val="de-DE"/>
        </w:rPr>
        <w:t>Anpassungen</w:t>
      </w:r>
      <w:r>
        <w:rPr>
          <w:lang w:val="de-DE"/>
        </w:rPr>
        <w:t xml:space="preserve"> wird im Folgenden durchgeführt.</w:t>
      </w:r>
    </w:p>
    <w:p w14:paraId="2FBE5FB7" w14:textId="77777777" w:rsidR="004D6F24" w:rsidRDefault="004D6F24" w:rsidP="0019110F">
      <w:pPr>
        <w:ind w:firstLine="708"/>
        <w:rPr>
          <w:lang w:val="de-DE"/>
        </w:rPr>
      </w:pPr>
    </w:p>
    <w:p w14:paraId="4D557195" w14:textId="753DB3DC" w:rsidR="001979DA" w:rsidRDefault="001979DA" w:rsidP="001979DA">
      <w:pPr>
        <w:pStyle w:val="Kop2"/>
        <w:numPr>
          <w:ilvl w:val="1"/>
          <w:numId w:val="2"/>
        </w:numPr>
        <w:rPr>
          <w:lang w:val="de-DE"/>
        </w:rPr>
      </w:pPr>
      <w:r>
        <w:rPr>
          <w:lang w:val="de-DE"/>
        </w:rPr>
        <w:t xml:space="preserve"> </w:t>
      </w:r>
      <w:bookmarkStart w:id="32" w:name="_Toc515180096"/>
      <w:r>
        <w:rPr>
          <w:lang w:val="de-DE"/>
        </w:rPr>
        <w:t>Die Kocsis als Kolonisatoren</w:t>
      </w:r>
      <w:bookmarkEnd w:id="32"/>
    </w:p>
    <w:p w14:paraId="62AEE0C1" w14:textId="7340810F" w:rsidR="001979DA" w:rsidRPr="001979DA" w:rsidRDefault="001979DA" w:rsidP="006F6319">
      <w:pPr>
        <w:rPr>
          <w:lang w:val="de-DE"/>
        </w:rPr>
      </w:pPr>
      <w:r w:rsidRPr="001979DA">
        <w:rPr>
          <w:lang w:val="de-DE"/>
        </w:rPr>
        <w:t xml:space="preserve">In der Geschichte, die sich in </w:t>
      </w:r>
      <w:r w:rsidRPr="001979DA">
        <w:rPr>
          <w:i/>
          <w:lang w:val="de-DE"/>
        </w:rPr>
        <w:t xml:space="preserve">Tauben fliegen auf </w:t>
      </w:r>
      <w:r w:rsidRPr="001979DA">
        <w:rPr>
          <w:lang w:val="de-DE"/>
        </w:rPr>
        <w:t>ereignet, nimmt</w:t>
      </w:r>
      <w:r w:rsidR="00247E4F">
        <w:rPr>
          <w:lang w:val="de-DE"/>
        </w:rPr>
        <w:t xml:space="preserve"> die Familie Kocsis </w:t>
      </w:r>
      <w:r w:rsidR="006F6319">
        <w:rPr>
          <w:lang w:val="de-DE"/>
        </w:rPr>
        <w:t>au</w:t>
      </w:r>
      <w:r w:rsidR="006F6319">
        <w:rPr>
          <w:rFonts w:cs="Times New Roman"/>
          <w:lang w:val="de-DE"/>
        </w:rPr>
        <w:t>ß</w:t>
      </w:r>
      <w:r w:rsidR="006F6319">
        <w:rPr>
          <w:lang w:val="de-DE"/>
        </w:rPr>
        <w:t xml:space="preserve">er der Rolle der Kolonisierten auch die des Kolonisatoren </w:t>
      </w:r>
      <w:r w:rsidR="00B73D6A">
        <w:rPr>
          <w:lang w:val="de-DE"/>
        </w:rPr>
        <w:t>ein.</w:t>
      </w:r>
      <w:r w:rsidR="006F6319">
        <w:rPr>
          <w:lang w:val="de-DE"/>
        </w:rPr>
        <w:t xml:space="preserve"> Ildikó, Nomi und ihre Eltern werden allmählich als Kolonisatoren</w:t>
      </w:r>
      <w:r w:rsidRPr="001979DA">
        <w:rPr>
          <w:lang w:val="de-DE"/>
        </w:rPr>
        <w:t>, mit einem – manchmal unbewussten, manchmal aber auch bewussten – Überlegenheitsgefühl, dargestellt.</w:t>
      </w:r>
      <w:r w:rsidR="006F6319">
        <w:rPr>
          <w:lang w:val="de-DE"/>
        </w:rPr>
        <w:t xml:space="preserve"> Die z</w:t>
      </w:r>
      <w:r w:rsidR="006F6319" w:rsidRPr="001979DA">
        <w:rPr>
          <w:lang w:val="de-DE"/>
        </w:rPr>
        <w:t>urückgebliebene Familie in der Vojvodina</w:t>
      </w:r>
      <w:r w:rsidRPr="001979DA">
        <w:rPr>
          <w:lang w:val="de-DE"/>
        </w:rPr>
        <w:t xml:space="preserve"> </w:t>
      </w:r>
      <w:r w:rsidR="006F6319">
        <w:rPr>
          <w:lang w:val="de-DE"/>
        </w:rPr>
        <w:t xml:space="preserve">nimmt in dieser Konstellation den Status der Kolonisierten an. </w:t>
      </w:r>
      <w:r w:rsidR="004B6FAF">
        <w:rPr>
          <w:lang w:val="de-DE"/>
        </w:rPr>
        <w:t xml:space="preserve">Von einer Entwicklung von Kolonisierten zu Kolonisatoren kann nur schwer gesprochen werden, denn die Familie erfüllt beide Rollen manchmal gleichzeitig, weil die Geschichte </w:t>
      </w:r>
      <w:r w:rsidR="00B73D6A">
        <w:rPr>
          <w:lang w:val="de-DE"/>
        </w:rPr>
        <w:t>einen Wechsel</w:t>
      </w:r>
      <w:r w:rsidR="004B6FAF">
        <w:rPr>
          <w:lang w:val="de-DE"/>
        </w:rPr>
        <w:t xml:space="preserve"> </w:t>
      </w:r>
      <w:r w:rsidR="00B73D6A">
        <w:rPr>
          <w:lang w:val="de-DE"/>
        </w:rPr>
        <w:t>der Gebiete</w:t>
      </w:r>
      <w:r w:rsidR="004B6FAF">
        <w:rPr>
          <w:lang w:val="de-DE"/>
        </w:rPr>
        <w:t xml:space="preserve"> Schweiz/</w:t>
      </w:r>
      <w:r w:rsidR="002B701C">
        <w:rPr>
          <w:lang w:val="de-DE"/>
        </w:rPr>
        <w:t>Vojvodina enthält. So verkörpert</w:t>
      </w:r>
      <w:r w:rsidR="004B6FAF">
        <w:rPr>
          <w:lang w:val="de-DE"/>
        </w:rPr>
        <w:t xml:space="preserve"> sie in der Schweiz hauptsächlich die Figur des Kolonisierten, während sie in</w:t>
      </w:r>
      <w:r w:rsidR="002B701C">
        <w:rPr>
          <w:lang w:val="de-DE"/>
        </w:rPr>
        <w:t xml:space="preserve"> der Vojvodina als Kolonisator</w:t>
      </w:r>
      <w:r w:rsidR="004B6FAF">
        <w:rPr>
          <w:lang w:val="de-DE"/>
        </w:rPr>
        <w:t xml:space="preserve"> bezeichnet werden k</w:t>
      </w:r>
      <w:r w:rsidR="002B701C">
        <w:rPr>
          <w:lang w:val="de-DE"/>
        </w:rPr>
        <w:t>ann</w:t>
      </w:r>
      <w:r w:rsidR="004B6FAF">
        <w:rPr>
          <w:lang w:val="de-DE"/>
        </w:rPr>
        <w:t xml:space="preserve">. </w:t>
      </w:r>
    </w:p>
    <w:p w14:paraId="69F1341D" w14:textId="2F5BF8B1" w:rsidR="001979DA" w:rsidRPr="001979DA" w:rsidRDefault="00B73D6A" w:rsidP="00B73D6A">
      <w:pPr>
        <w:ind w:firstLine="708"/>
        <w:rPr>
          <w:lang w:val="de-DE"/>
        </w:rPr>
      </w:pPr>
      <w:r>
        <w:rPr>
          <w:lang w:val="de-DE"/>
        </w:rPr>
        <w:t>Bei</w:t>
      </w:r>
      <w:r w:rsidR="001979DA" w:rsidRPr="001979DA">
        <w:rPr>
          <w:lang w:val="de-DE"/>
        </w:rPr>
        <w:t xml:space="preserve"> der Rückkehr in die Vojvodina fü</w:t>
      </w:r>
      <w:r w:rsidR="004B6FAF">
        <w:rPr>
          <w:lang w:val="de-DE"/>
        </w:rPr>
        <w:t>r die Heirat von Nándor und Valé</w:t>
      </w:r>
      <w:r w:rsidR="001979DA" w:rsidRPr="001979DA">
        <w:rPr>
          <w:lang w:val="de-DE"/>
        </w:rPr>
        <w:t xml:space="preserve">ria stellt sich heraus, dass die Familie Kocsis jetzt selbst teils </w:t>
      </w:r>
      <w:r>
        <w:rPr>
          <w:lang w:val="de-DE"/>
        </w:rPr>
        <w:t>dem</w:t>
      </w:r>
      <w:r w:rsidR="001979DA" w:rsidRPr="001979DA">
        <w:rPr>
          <w:lang w:val="de-DE"/>
        </w:rPr>
        <w:t xml:space="preserve"> Westen </w:t>
      </w:r>
      <w:r>
        <w:rPr>
          <w:lang w:val="de-DE"/>
        </w:rPr>
        <w:t>an</w:t>
      </w:r>
      <w:r w:rsidR="001979DA" w:rsidRPr="001979DA">
        <w:rPr>
          <w:lang w:val="de-DE"/>
        </w:rPr>
        <w:t xml:space="preserve">gehört. Das zeigt sich </w:t>
      </w:r>
      <w:r>
        <w:rPr>
          <w:lang w:val="de-DE"/>
        </w:rPr>
        <w:t>an</w:t>
      </w:r>
      <w:r w:rsidR="001979DA" w:rsidRPr="001979DA">
        <w:rPr>
          <w:lang w:val="de-DE"/>
        </w:rPr>
        <w:t xml:space="preserve"> </w:t>
      </w:r>
      <w:r>
        <w:rPr>
          <w:lang w:val="de-DE"/>
        </w:rPr>
        <w:t>mehreren</w:t>
      </w:r>
      <w:r w:rsidR="001979DA" w:rsidRPr="001979DA">
        <w:rPr>
          <w:lang w:val="de-DE"/>
        </w:rPr>
        <w:t xml:space="preserve"> Aspekten</w:t>
      </w:r>
      <w:r w:rsidR="005C4BC2">
        <w:rPr>
          <w:lang w:val="de-DE"/>
        </w:rPr>
        <w:t>.</w:t>
      </w:r>
      <w:r w:rsidR="002B701C">
        <w:rPr>
          <w:lang w:val="de-DE"/>
        </w:rPr>
        <w:t xml:space="preserve"> A</w:t>
      </w:r>
      <w:r w:rsidR="001979DA" w:rsidRPr="001979DA">
        <w:rPr>
          <w:lang w:val="de-DE"/>
        </w:rPr>
        <w:t>m deutlichsten</w:t>
      </w:r>
      <w:r w:rsidR="002B701C">
        <w:rPr>
          <w:lang w:val="de-DE"/>
        </w:rPr>
        <w:t xml:space="preserve"> aber ist der </w:t>
      </w:r>
      <w:r w:rsidR="001979DA" w:rsidRPr="001979DA">
        <w:rPr>
          <w:lang w:val="de-DE"/>
        </w:rPr>
        <w:t>tiefbraune Chevrolet, ein amerikanische</w:t>
      </w:r>
      <w:r w:rsidR="005C4BC2">
        <w:rPr>
          <w:lang w:val="de-DE"/>
        </w:rPr>
        <w:t>r</w:t>
      </w:r>
      <w:r w:rsidR="001979DA" w:rsidRPr="001979DA">
        <w:rPr>
          <w:lang w:val="de-DE"/>
        </w:rPr>
        <w:t xml:space="preserve"> Wagen, Zeichen ihrer Verwestlichung</w:t>
      </w:r>
      <w:r w:rsidR="005C4BC2">
        <w:rPr>
          <w:lang w:val="de-DE"/>
        </w:rPr>
        <w:t>:</w:t>
      </w:r>
      <w:r w:rsidR="001979DA" w:rsidRPr="001979DA">
        <w:rPr>
          <w:lang w:val="de-DE"/>
        </w:rPr>
        <w:t xml:space="preserve"> Der Chevrolet ist Symbol für den </w:t>
      </w:r>
      <w:r w:rsidR="001979DA" w:rsidRPr="001979DA">
        <w:rPr>
          <w:lang w:val="de-DE"/>
        </w:rPr>
        <w:lastRenderedPageBreak/>
        <w:t xml:space="preserve">westlichen Einfluss </w:t>
      </w:r>
      <w:r>
        <w:rPr>
          <w:lang w:val="de-DE"/>
        </w:rPr>
        <w:t xml:space="preserve">gegenüber </w:t>
      </w:r>
      <w:r w:rsidR="001979DA" w:rsidRPr="001979DA">
        <w:rPr>
          <w:lang w:val="de-DE"/>
        </w:rPr>
        <w:t xml:space="preserve">der unzivilisierten serbischen Kleinstadt. </w:t>
      </w:r>
      <w:r w:rsidR="00F73DBD">
        <w:rPr>
          <w:lang w:val="de-DE"/>
        </w:rPr>
        <w:t>Ildikó</w:t>
      </w:r>
      <w:r w:rsidR="001979DA" w:rsidRPr="001979DA">
        <w:rPr>
          <w:lang w:val="de-DE"/>
        </w:rPr>
        <w:t xml:space="preserve"> fantasiert während der Fahrt in die Stadt darüber, ob ihr Vater sich eine Gruppe von professionellen Gärtnern wünscht, die die Äste der Pappeln zurechtstutzen</w:t>
      </w:r>
      <w:r>
        <w:rPr>
          <w:lang w:val="de-DE"/>
        </w:rPr>
        <w:t xml:space="preserve"> </w:t>
      </w:r>
      <w:r w:rsidR="001979DA" w:rsidRPr="001979DA">
        <w:rPr>
          <w:lang w:val="de-DE"/>
        </w:rPr>
        <w:t xml:space="preserve">– „dem Wildwuchs Zivilisation entgegensetzen!“ (TFA: 6) – oder sie sogar fällen würde. </w:t>
      </w:r>
      <w:r w:rsidR="00377391">
        <w:rPr>
          <w:lang w:val="de-DE"/>
        </w:rPr>
        <w:t xml:space="preserve">Weiter </w:t>
      </w:r>
      <w:r w:rsidR="001979DA" w:rsidRPr="001979DA">
        <w:rPr>
          <w:lang w:val="de-DE"/>
        </w:rPr>
        <w:t>bildet</w:t>
      </w:r>
      <w:r w:rsidR="00377391">
        <w:rPr>
          <w:lang w:val="de-DE"/>
        </w:rPr>
        <w:t xml:space="preserve"> sie</w:t>
      </w:r>
      <w:r w:rsidR="001979DA" w:rsidRPr="001979DA">
        <w:rPr>
          <w:lang w:val="de-DE"/>
        </w:rPr>
        <w:t xml:space="preserve"> sich ein, wie ihr Vater „sich einmal um die eigene Achse drehen würde, um dann mit der bitteren Stimme eines Menschen, der spät, aber besser spät als nie!, Recht bekommt, zu sagen: Endlich sind diese verdammten, staubigen Bäume weg“ (TFA: 6). </w:t>
      </w:r>
      <w:r>
        <w:rPr>
          <w:lang w:val="de-DE"/>
        </w:rPr>
        <w:t>Dies</w:t>
      </w:r>
      <w:r w:rsidR="001979DA" w:rsidRPr="001979DA">
        <w:rPr>
          <w:lang w:val="de-DE"/>
        </w:rPr>
        <w:t xml:space="preserve"> zeigt, wie sich ihr Vater der Zivilisation </w:t>
      </w:r>
      <w:r>
        <w:rPr>
          <w:lang w:val="de-DE"/>
        </w:rPr>
        <w:t>angepasst</w:t>
      </w:r>
      <w:r w:rsidR="001979DA" w:rsidRPr="001979DA">
        <w:rPr>
          <w:lang w:val="de-DE"/>
        </w:rPr>
        <w:t xml:space="preserve"> hat: Sogar schiefgewachsene Bäume sind Symbol der „Nichtzivilisation“, oder das ist wenigstens, wie sich </w:t>
      </w:r>
      <w:r w:rsidR="00F73DBD">
        <w:rPr>
          <w:lang w:val="de-DE"/>
        </w:rPr>
        <w:t>Ildikó</w:t>
      </w:r>
      <w:r w:rsidR="001979DA" w:rsidRPr="001979DA">
        <w:rPr>
          <w:lang w:val="de-DE"/>
        </w:rPr>
        <w:t xml:space="preserve"> ihr</w:t>
      </w:r>
      <w:r>
        <w:rPr>
          <w:lang w:val="de-DE"/>
        </w:rPr>
        <w:t>en</w:t>
      </w:r>
      <w:r w:rsidR="001979DA" w:rsidRPr="001979DA">
        <w:rPr>
          <w:lang w:val="de-DE"/>
        </w:rPr>
        <w:t xml:space="preserve"> Vater einbildet. Danach erklärt sie dem Leser, wie wichtig aber die Bäume für sie sind, und wie sie nirgends so verhei</w:t>
      </w:r>
      <w:r w:rsidR="001979DA" w:rsidRPr="001979DA">
        <w:rPr>
          <w:rFonts w:cs="Times New Roman"/>
          <w:lang w:val="de-DE"/>
        </w:rPr>
        <w:t>ß</w:t>
      </w:r>
      <w:r w:rsidR="001979DA" w:rsidRPr="001979DA">
        <w:rPr>
          <w:lang w:val="de-DE"/>
        </w:rPr>
        <w:t xml:space="preserve">ungsvoll sind wie dort. Aus diesen Gedanken geht schon eine </w:t>
      </w:r>
      <w:r w:rsidR="005C4BC2">
        <w:rPr>
          <w:lang w:val="de-DE"/>
        </w:rPr>
        <w:t>Ahnung</w:t>
      </w:r>
      <w:r w:rsidR="001979DA" w:rsidRPr="001979DA">
        <w:rPr>
          <w:lang w:val="de-DE"/>
        </w:rPr>
        <w:t xml:space="preserve"> über die Beziehung zwischen Vater und Tochter hervor, denn </w:t>
      </w:r>
      <w:r w:rsidR="00F73DBD">
        <w:rPr>
          <w:lang w:val="de-DE"/>
        </w:rPr>
        <w:t>Ildikó</w:t>
      </w:r>
      <w:r w:rsidR="001979DA" w:rsidRPr="001979DA">
        <w:rPr>
          <w:lang w:val="de-DE"/>
        </w:rPr>
        <w:t xml:space="preserve"> assoziiert ihren Vater mit dem westlichen Auto und sich selbst mit der Freiheit der Pappeln. Der Wagen sei gegen die Unebenheiten der Stra</w:t>
      </w:r>
      <w:r w:rsidR="001979DA" w:rsidRPr="001979DA">
        <w:rPr>
          <w:rFonts w:cs="Times New Roman"/>
          <w:lang w:val="de-DE"/>
        </w:rPr>
        <w:t>ß</w:t>
      </w:r>
      <w:r w:rsidR="001979DA" w:rsidRPr="001979DA">
        <w:rPr>
          <w:lang w:val="de-DE"/>
        </w:rPr>
        <w:t>e</w:t>
      </w:r>
      <w:r w:rsidR="00571574">
        <w:rPr>
          <w:lang w:val="de-DE"/>
        </w:rPr>
        <w:t xml:space="preserve"> </w:t>
      </w:r>
      <w:r w:rsidR="00571574" w:rsidRPr="001979DA">
        <w:rPr>
          <w:lang w:val="de-DE"/>
        </w:rPr>
        <w:t>fast immun</w:t>
      </w:r>
      <w:r w:rsidR="001979DA" w:rsidRPr="001979DA">
        <w:rPr>
          <w:lang w:val="de-DE"/>
        </w:rPr>
        <w:t xml:space="preserve"> und beweist so seine westliche Überlegenheit</w:t>
      </w:r>
      <w:r w:rsidR="008321AF">
        <w:rPr>
          <w:lang w:val="de-DE"/>
        </w:rPr>
        <w:t>.</w:t>
      </w:r>
      <w:r w:rsidR="001979DA" w:rsidRPr="001979DA">
        <w:rPr>
          <w:lang w:val="de-DE"/>
        </w:rPr>
        <w:t xml:space="preserve"> Er wird sogar buchstäblich mit </w:t>
      </w:r>
      <w:r>
        <w:rPr>
          <w:lang w:val="de-DE"/>
        </w:rPr>
        <w:t xml:space="preserve">der </w:t>
      </w:r>
      <w:r w:rsidR="001979DA" w:rsidRPr="001979DA">
        <w:rPr>
          <w:lang w:val="de-DE"/>
        </w:rPr>
        <w:t xml:space="preserve">Zivilisation gleichgestellt, aber nur </w:t>
      </w:r>
      <w:r>
        <w:rPr>
          <w:lang w:val="de-DE"/>
        </w:rPr>
        <w:t>in dem</w:t>
      </w:r>
      <w:r w:rsidR="001979DA" w:rsidRPr="001979DA">
        <w:rPr>
          <w:lang w:val="de-DE"/>
        </w:rPr>
        <w:t xml:space="preserve"> Kontext, </w:t>
      </w:r>
      <w:r>
        <w:rPr>
          <w:lang w:val="de-DE"/>
        </w:rPr>
        <w:t>in dem</w:t>
      </w:r>
      <w:r w:rsidR="001979DA" w:rsidRPr="001979DA">
        <w:rPr>
          <w:lang w:val="de-DE"/>
        </w:rPr>
        <w:t xml:space="preserve"> er von der nichtgeteerten Stra</w:t>
      </w:r>
      <w:r w:rsidR="001979DA" w:rsidRPr="001979DA">
        <w:rPr>
          <w:rFonts w:cs="Times New Roman"/>
          <w:lang w:val="de-DE"/>
        </w:rPr>
        <w:t>ß</w:t>
      </w:r>
      <w:r w:rsidR="001979DA" w:rsidRPr="001979DA">
        <w:rPr>
          <w:lang w:val="de-DE"/>
        </w:rPr>
        <w:t xml:space="preserve">e zu einem </w:t>
      </w:r>
      <w:r>
        <w:rPr>
          <w:lang w:val="de-DE"/>
        </w:rPr>
        <w:t>„</w:t>
      </w:r>
      <w:r w:rsidR="001979DA" w:rsidRPr="001979DA">
        <w:rPr>
          <w:lang w:val="de-DE"/>
        </w:rPr>
        <w:t>bepuderten Unding</w:t>
      </w:r>
      <w:r>
        <w:rPr>
          <w:lang w:val="de-DE"/>
        </w:rPr>
        <w:t>“</w:t>
      </w:r>
      <w:r w:rsidR="001979DA" w:rsidRPr="001979DA">
        <w:rPr>
          <w:lang w:val="de-DE"/>
        </w:rPr>
        <w:t xml:space="preserve"> </w:t>
      </w:r>
      <w:r>
        <w:rPr>
          <w:lang w:val="de-DE"/>
        </w:rPr>
        <w:t xml:space="preserve">(TFA: 12) </w:t>
      </w:r>
      <w:r w:rsidR="001979DA" w:rsidRPr="001979DA">
        <w:rPr>
          <w:lang w:val="de-DE"/>
        </w:rPr>
        <w:t xml:space="preserve">gemacht wird: Die Zivilisation wird zum Stillstand gebracht, und zwar von der „Nichtzivilisation“ (vgl. TFA: 12). </w:t>
      </w:r>
    </w:p>
    <w:p w14:paraId="65691ADE" w14:textId="010AA9B9" w:rsidR="001979DA" w:rsidRPr="001979DA" w:rsidRDefault="001979DA" w:rsidP="001979DA">
      <w:pPr>
        <w:ind w:firstLine="708"/>
        <w:rPr>
          <w:lang w:val="de-DE"/>
        </w:rPr>
      </w:pPr>
      <w:r w:rsidRPr="001979DA">
        <w:rPr>
          <w:lang w:val="de-DE"/>
        </w:rPr>
        <w:t>Später im Text wird erwähnt, dass die Kocsis jetzt einen wei</w:t>
      </w:r>
      <w:r w:rsidRPr="001979DA">
        <w:rPr>
          <w:rFonts w:cs="Times New Roman"/>
          <w:lang w:val="de-DE"/>
        </w:rPr>
        <w:t>ß</w:t>
      </w:r>
      <w:r w:rsidRPr="001979DA">
        <w:rPr>
          <w:lang w:val="de-DE"/>
        </w:rPr>
        <w:t>en</w:t>
      </w:r>
      <w:r w:rsidR="00200A27">
        <w:rPr>
          <w:lang w:val="de-DE"/>
        </w:rPr>
        <w:t xml:space="preserve"> </w:t>
      </w:r>
      <w:r w:rsidR="00571574">
        <w:rPr>
          <w:lang w:val="de-DE"/>
        </w:rPr>
        <w:t xml:space="preserve">(vgl. TFA: 111) </w:t>
      </w:r>
      <w:r w:rsidR="00200A27">
        <w:rPr>
          <w:lang w:val="de-DE"/>
        </w:rPr>
        <w:t>und sp</w:t>
      </w:r>
      <w:r w:rsidR="000632C9">
        <w:rPr>
          <w:lang w:val="de-DE"/>
        </w:rPr>
        <w:t>äter einen silberg</w:t>
      </w:r>
      <w:r w:rsidR="00200A27">
        <w:rPr>
          <w:lang w:val="de-DE"/>
        </w:rPr>
        <w:t>rauen</w:t>
      </w:r>
      <w:r w:rsidRPr="001979DA">
        <w:rPr>
          <w:lang w:val="de-DE"/>
        </w:rPr>
        <w:t xml:space="preserve"> Mercedes</w:t>
      </w:r>
      <w:r w:rsidR="000632C9">
        <w:rPr>
          <w:lang w:val="de-DE"/>
        </w:rPr>
        <w:t xml:space="preserve"> (vgl. TFA: 162)</w:t>
      </w:r>
      <w:r w:rsidRPr="001979DA">
        <w:rPr>
          <w:lang w:val="de-DE"/>
        </w:rPr>
        <w:t xml:space="preserve"> besitzen: ein Beweis für den wirtschaftlichen </w:t>
      </w:r>
      <w:r w:rsidR="006305C7">
        <w:rPr>
          <w:lang w:val="de-DE"/>
        </w:rPr>
        <w:t>Aufschwung</w:t>
      </w:r>
      <w:r w:rsidRPr="001979DA">
        <w:rPr>
          <w:lang w:val="de-DE"/>
        </w:rPr>
        <w:t xml:space="preserve"> seit ihrem Aufenthalt in der Schweiz. Der Wagen wird sogar zum „Stern des Fortschritts“ (TFA: 66) gehoben und gilt für </w:t>
      </w:r>
      <w:r w:rsidR="00F73DBD">
        <w:rPr>
          <w:lang w:val="de-DE"/>
        </w:rPr>
        <w:t>Ildikó</w:t>
      </w:r>
      <w:r w:rsidRPr="001979DA">
        <w:rPr>
          <w:lang w:val="de-DE"/>
        </w:rPr>
        <w:t xml:space="preserve"> </w:t>
      </w:r>
      <w:r w:rsidR="008321AF">
        <w:rPr>
          <w:lang w:val="de-DE"/>
        </w:rPr>
        <w:t>als Zeichen ihrer unübersehbaren</w:t>
      </w:r>
      <w:r w:rsidRPr="001979DA">
        <w:rPr>
          <w:lang w:val="de-DE"/>
        </w:rPr>
        <w:t xml:space="preserve"> </w:t>
      </w:r>
      <w:r w:rsidR="002B701C">
        <w:rPr>
          <w:lang w:val="de-DE"/>
        </w:rPr>
        <w:t>Überlegenheit</w:t>
      </w:r>
      <w:r w:rsidRPr="002B701C">
        <w:rPr>
          <w:lang w:val="de-DE"/>
        </w:rPr>
        <w:t>.</w:t>
      </w:r>
      <w:r w:rsidRPr="001979DA">
        <w:rPr>
          <w:lang w:val="de-DE"/>
        </w:rPr>
        <w:t xml:space="preserve"> Sie erwartet, dass sie aufgrund </w:t>
      </w:r>
      <w:r w:rsidR="006305C7">
        <w:rPr>
          <w:lang w:val="de-DE"/>
        </w:rPr>
        <w:t>ihres</w:t>
      </w:r>
      <w:r w:rsidRPr="001979DA">
        <w:rPr>
          <w:lang w:val="de-DE"/>
        </w:rPr>
        <w:t xml:space="preserve"> Wagen</w:t>
      </w:r>
      <w:r w:rsidR="006305C7">
        <w:rPr>
          <w:lang w:val="de-DE"/>
        </w:rPr>
        <w:t>s</w:t>
      </w:r>
      <w:r w:rsidR="008321AF">
        <w:rPr>
          <w:lang w:val="de-DE"/>
        </w:rPr>
        <w:t xml:space="preserve"> beim Grenzübergang</w:t>
      </w:r>
      <w:r w:rsidRPr="001979DA">
        <w:rPr>
          <w:lang w:val="de-DE"/>
        </w:rPr>
        <w:t xml:space="preserve"> durchgelassen würden, aber ist enttäuscht, </w:t>
      </w:r>
      <w:r w:rsidR="00562ABD">
        <w:rPr>
          <w:lang w:val="de-DE"/>
        </w:rPr>
        <w:t>als</w:t>
      </w:r>
      <w:r w:rsidRPr="001979DA">
        <w:rPr>
          <w:lang w:val="de-DE"/>
        </w:rPr>
        <w:t xml:space="preserve"> sie, wie alle andere</w:t>
      </w:r>
      <w:r w:rsidR="008321AF">
        <w:rPr>
          <w:lang w:val="de-DE"/>
        </w:rPr>
        <w:t>n</w:t>
      </w:r>
      <w:r w:rsidRPr="001979DA">
        <w:rPr>
          <w:lang w:val="de-DE"/>
        </w:rPr>
        <w:t xml:space="preserve">, warten müssen. Das zeugt von einem Überlegenheitsgefühl, das noch </w:t>
      </w:r>
      <w:r w:rsidR="006305C7">
        <w:rPr>
          <w:lang w:val="de-DE"/>
        </w:rPr>
        <w:t>verstärkt</w:t>
      </w:r>
      <w:r w:rsidRPr="001979DA">
        <w:rPr>
          <w:lang w:val="de-DE"/>
        </w:rPr>
        <w:t xml:space="preserve"> wird, </w:t>
      </w:r>
      <w:r w:rsidR="00562ABD">
        <w:rPr>
          <w:lang w:val="de-DE"/>
        </w:rPr>
        <w:t>als</w:t>
      </w:r>
      <w:r w:rsidRPr="001979DA">
        <w:rPr>
          <w:lang w:val="de-DE"/>
        </w:rPr>
        <w:t xml:space="preserve"> sie sich einbildet, dass der „gute, gerechte Gott, unseren Mercedes in ein Luftschiff“ (TFA: 66) verwandelt, und „in zwei, drei Augenblicken werden wir alle anderen mit unseren weissen Schwingen überflügeln, weil wir die Guten sind, im richtigen System leben, wir werden nicht nur aus der Reihe tanzen, sondern von weit oben auf diese gottlosen Kommunisten hinunterspucken“ (TFA: 66). </w:t>
      </w:r>
      <w:r w:rsidR="008321AF">
        <w:rPr>
          <w:lang w:val="de-DE"/>
        </w:rPr>
        <w:t xml:space="preserve">Das Zitat zeigt </w:t>
      </w:r>
      <w:r w:rsidR="002B701C">
        <w:rPr>
          <w:lang w:val="de-DE"/>
        </w:rPr>
        <w:t xml:space="preserve">aber </w:t>
      </w:r>
      <w:r w:rsidR="008321AF">
        <w:rPr>
          <w:lang w:val="de-DE"/>
        </w:rPr>
        <w:t xml:space="preserve">eine gewisse Ironie auf. Es ist, als ob </w:t>
      </w:r>
      <w:r w:rsidR="00F73DBD">
        <w:rPr>
          <w:lang w:val="de-DE"/>
        </w:rPr>
        <w:t>Ildikó</w:t>
      </w:r>
      <w:r w:rsidR="008321AF">
        <w:rPr>
          <w:lang w:val="de-DE"/>
        </w:rPr>
        <w:t xml:space="preserve"> diese Worte von jemand gehört hat und sie jetzt wiederholt, z. B. von ihrem Vater, </w:t>
      </w:r>
      <w:r w:rsidR="006305C7">
        <w:rPr>
          <w:lang w:val="de-DE"/>
        </w:rPr>
        <w:t>d</w:t>
      </w:r>
      <w:r w:rsidR="008321AF">
        <w:rPr>
          <w:lang w:val="de-DE"/>
        </w:rPr>
        <w:t>er die Kommunisten ständig</w:t>
      </w:r>
      <w:r w:rsidR="006305C7">
        <w:rPr>
          <w:lang w:val="de-DE"/>
        </w:rPr>
        <w:t xml:space="preserve"> beschimpft</w:t>
      </w:r>
      <w:r w:rsidR="008321AF">
        <w:rPr>
          <w:lang w:val="de-DE"/>
        </w:rPr>
        <w:t xml:space="preserve">. </w:t>
      </w:r>
      <w:r w:rsidRPr="001979DA">
        <w:rPr>
          <w:lang w:val="de-DE"/>
        </w:rPr>
        <w:t xml:space="preserve">Das Gefühl der </w:t>
      </w:r>
      <w:r w:rsidRPr="001979DA">
        <w:rPr>
          <w:lang w:val="de-DE"/>
        </w:rPr>
        <w:lastRenderedPageBreak/>
        <w:t xml:space="preserve">Superiorität </w:t>
      </w:r>
      <w:r w:rsidR="006305C7">
        <w:rPr>
          <w:lang w:val="de-DE"/>
        </w:rPr>
        <w:t xml:space="preserve">wird den </w:t>
      </w:r>
      <w:r w:rsidRPr="001979DA">
        <w:rPr>
          <w:lang w:val="de-DE"/>
        </w:rPr>
        <w:t xml:space="preserve">Schwestern </w:t>
      </w:r>
      <w:r w:rsidR="008149EC">
        <w:rPr>
          <w:lang w:val="de-DE"/>
        </w:rPr>
        <w:t xml:space="preserve">also </w:t>
      </w:r>
      <w:r w:rsidRPr="001979DA">
        <w:rPr>
          <w:lang w:val="de-DE"/>
        </w:rPr>
        <w:t xml:space="preserve">nicht nur von der westlichen Gesellschaft </w:t>
      </w:r>
      <w:r w:rsidR="006305C7">
        <w:rPr>
          <w:lang w:val="de-DE"/>
        </w:rPr>
        <w:t>vermittelt</w:t>
      </w:r>
      <w:r w:rsidRPr="001979DA">
        <w:rPr>
          <w:lang w:val="de-DE"/>
        </w:rPr>
        <w:t xml:space="preserve">, sondern zum Teil auch von ihrem Vater selbst. Er </w:t>
      </w:r>
      <w:r w:rsidR="00562ABD">
        <w:rPr>
          <w:lang w:val="de-DE"/>
        </w:rPr>
        <w:t xml:space="preserve">preist den Westen, indem er ständig betont, „dass in der Schweiz alles seine richtige Ordnung hat“ (TFA: 148) und </w:t>
      </w:r>
      <w:r w:rsidRPr="001979DA">
        <w:rPr>
          <w:lang w:val="de-DE"/>
        </w:rPr>
        <w:t xml:space="preserve">übt mehrmals starke Kritik am Kommunismus, weil die Kommunisten sein Leben und das Leben seines Vaters zerstört haben, </w:t>
      </w:r>
      <w:r w:rsidR="00EC669C">
        <w:rPr>
          <w:lang w:val="de-DE"/>
        </w:rPr>
        <w:t>was</w:t>
      </w:r>
      <w:r w:rsidRPr="001979DA">
        <w:rPr>
          <w:lang w:val="de-DE"/>
        </w:rPr>
        <w:t xml:space="preserve"> die Schwestern von ihrer </w:t>
      </w:r>
      <w:r w:rsidR="005A1642">
        <w:rPr>
          <w:lang w:val="de-DE"/>
        </w:rPr>
        <w:t>Mutter</w:t>
      </w:r>
      <w:r w:rsidRPr="001979DA">
        <w:rPr>
          <w:lang w:val="de-DE"/>
        </w:rPr>
        <w:t xml:space="preserve"> erfahren</w:t>
      </w:r>
      <w:r w:rsidR="005A1642">
        <w:rPr>
          <w:lang w:val="de-DE"/>
        </w:rPr>
        <w:t xml:space="preserve"> (vgl. TFA: 29).</w:t>
      </w:r>
    </w:p>
    <w:p w14:paraId="2EE31A86" w14:textId="611C9DA2" w:rsidR="00562ABD" w:rsidRDefault="001979DA" w:rsidP="001979DA">
      <w:pPr>
        <w:ind w:firstLine="708"/>
        <w:rPr>
          <w:lang w:val="de-DE"/>
        </w:rPr>
      </w:pPr>
      <w:r w:rsidRPr="001979DA">
        <w:rPr>
          <w:lang w:val="de-DE"/>
        </w:rPr>
        <w:t>Die Spaltung zwischen Kolonisatore</w:t>
      </w:r>
      <w:r w:rsidR="008B1290">
        <w:rPr>
          <w:lang w:val="de-DE"/>
        </w:rPr>
        <w:t>n und Kolonisierten wird noch ver</w:t>
      </w:r>
      <w:r w:rsidRPr="001979DA">
        <w:rPr>
          <w:lang w:val="de-DE"/>
        </w:rPr>
        <w:t xml:space="preserve">stärkt, </w:t>
      </w:r>
      <w:r w:rsidR="008E4902">
        <w:rPr>
          <w:lang w:val="de-DE"/>
        </w:rPr>
        <w:t>als sich</w:t>
      </w:r>
      <w:r w:rsidRPr="001979DA">
        <w:rPr>
          <w:lang w:val="de-DE"/>
        </w:rPr>
        <w:t xml:space="preserve"> die Einwohner der Vojvodiner Kleinstadt das Auto anschauen.</w:t>
      </w:r>
      <w:r w:rsidR="00C16250">
        <w:rPr>
          <w:lang w:val="de-DE"/>
        </w:rPr>
        <w:t xml:space="preserve"> Erstens will</w:t>
      </w:r>
      <w:r w:rsidR="002B701C">
        <w:rPr>
          <w:lang w:val="de-DE"/>
        </w:rPr>
        <w:t xml:space="preserve"> der</w:t>
      </w:r>
      <w:r w:rsidR="00C16250">
        <w:rPr>
          <w:lang w:val="de-DE"/>
        </w:rPr>
        <w:t xml:space="preserve"> Vater allen Mitgliedern der Familie den Wagen zeigen: Er hält Mamikas Hände, als sie sich ins Auto hineinsetzt, setzt sich neben ihr ans Steuerrad und erklärt ihr alles: „die automatische Gangschaltung, die Fenster, die auf Knopfdruck reagieren, die Klimaanlage, den Komfort, ein Wort, das Vater falsch betont, aber gern gebraucht“ (TFA: </w:t>
      </w:r>
      <w:r w:rsidR="00BE686E">
        <w:rPr>
          <w:lang w:val="de-DE"/>
        </w:rPr>
        <w:t>22-</w:t>
      </w:r>
      <w:r w:rsidR="00C16250">
        <w:rPr>
          <w:lang w:val="de-DE"/>
        </w:rPr>
        <w:t xml:space="preserve">23). In diesem Zitat </w:t>
      </w:r>
      <w:r w:rsidR="00562ABD">
        <w:rPr>
          <w:lang w:val="de-DE"/>
        </w:rPr>
        <w:t>zeigen</w:t>
      </w:r>
      <w:r w:rsidR="00C16250">
        <w:rPr>
          <w:lang w:val="de-DE"/>
        </w:rPr>
        <w:t xml:space="preserve"> sich</w:t>
      </w:r>
      <w:r w:rsidR="00E625F2">
        <w:rPr>
          <w:lang w:val="de-DE"/>
        </w:rPr>
        <w:t xml:space="preserve"> nicht nur die Schwierigkeiten, die </w:t>
      </w:r>
      <w:r w:rsidR="006305C7">
        <w:rPr>
          <w:lang w:val="de-DE"/>
        </w:rPr>
        <w:t>dem</w:t>
      </w:r>
      <w:r w:rsidR="00E625F2">
        <w:rPr>
          <w:lang w:val="de-DE"/>
        </w:rPr>
        <w:t xml:space="preserve"> Vater beim Erlernen einer neuen Sprache </w:t>
      </w:r>
      <w:r w:rsidR="006305C7">
        <w:rPr>
          <w:lang w:val="de-DE"/>
        </w:rPr>
        <w:t>begegnen</w:t>
      </w:r>
      <w:r w:rsidR="00E625F2">
        <w:rPr>
          <w:lang w:val="de-DE"/>
        </w:rPr>
        <w:t>, sondern auch</w:t>
      </w:r>
      <w:r w:rsidR="00C16250">
        <w:rPr>
          <w:lang w:val="de-DE"/>
        </w:rPr>
        <w:t xml:space="preserve"> Ildikós Aufmerksamkeit </w:t>
      </w:r>
      <w:r w:rsidR="00E625F2">
        <w:rPr>
          <w:lang w:val="de-DE"/>
        </w:rPr>
        <w:t xml:space="preserve">und Empfindsamkeit </w:t>
      </w:r>
      <w:r w:rsidR="00C16250">
        <w:rPr>
          <w:lang w:val="de-DE"/>
        </w:rPr>
        <w:t>der Sprache gegenüber</w:t>
      </w:r>
      <w:r w:rsidR="00562ABD">
        <w:rPr>
          <w:lang w:val="de-DE"/>
        </w:rPr>
        <w:t>, die später in der Arbeit ausführlich untersucht werden</w:t>
      </w:r>
      <w:r w:rsidR="00C16250">
        <w:rPr>
          <w:lang w:val="de-DE"/>
        </w:rPr>
        <w:t>.</w:t>
      </w:r>
      <w:r w:rsidR="00E625F2">
        <w:rPr>
          <w:lang w:val="de-DE"/>
        </w:rPr>
        <w:t xml:space="preserve"> </w:t>
      </w:r>
      <w:r w:rsidR="00320A52">
        <w:rPr>
          <w:lang w:val="de-DE"/>
        </w:rPr>
        <w:t>Ildikó</w:t>
      </w:r>
      <w:r w:rsidR="00E625F2">
        <w:rPr>
          <w:lang w:val="de-DE"/>
        </w:rPr>
        <w:t xml:space="preserve"> </w:t>
      </w:r>
      <w:r w:rsidR="002B701C">
        <w:rPr>
          <w:lang w:val="de-DE"/>
        </w:rPr>
        <w:t>beschreibt</w:t>
      </w:r>
      <w:r w:rsidR="00E625F2">
        <w:rPr>
          <w:lang w:val="de-DE"/>
        </w:rPr>
        <w:t xml:space="preserve">, wie ihre Familienmitglieder den westlichen Wagen betrachten: </w:t>
      </w:r>
    </w:p>
    <w:p w14:paraId="666225F6" w14:textId="77777777" w:rsidR="00562ABD" w:rsidRDefault="00E625F2" w:rsidP="00562ABD">
      <w:pPr>
        <w:spacing w:after="240" w:line="240" w:lineRule="auto"/>
        <w:ind w:left="567"/>
        <w:rPr>
          <w:lang w:val="de-DE"/>
        </w:rPr>
      </w:pPr>
      <w:r>
        <w:rPr>
          <w:lang w:val="de-DE"/>
        </w:rPr>
        <w:t xml:space="preserve">[A]ls wären sie gekommen, um dem Wagen die Ehre zu erweisen und nicht dem Brautpaar; wir sehen sie schon, die Männer, wie sie mit langsamen, denkwürdigen Schritten den Wagen umkreisen, sein glänzendes Metall streicheln, weil jede kleine Berührung damit Glück bringen muss </w:t>
      </w:r>
      <w:r w:rsidR="00BE686E">
        <w:rPr>
          <w:lang w:val="de-DE"/>
        </w:rPr>
        <w:t>(TFA: 23).</w:t>
      </w:r>
    </w:p>
    <w:p w14:paraId="0C38AACA" w14:textId="67B598DF" w:rsidR="001979DA" w:rsidRPr="001979DA" w:rsidRDefault="00BE686E" w:rsidP="00562ABD">
      <w:pPr>
        <w:rPr>
          <w:lang w:val="de-DE"/>
        </w:rPr>
      </w:pPr>
      <w:r>
        <w:rPr>
          <w:lang w:val="de-DE"/>
        </w:rPr>
        <w:t xml:space="preserve">Der Wagen wird von der Familie als </w:t>
      </w:r>
      <w:r w:rsidR="006305C7">
        <w:rPr>
          <w:lang w:val="de-DE"/>
        </w:rPr>
        <w:t>Symbol</w:t>
      </w:r>
      <w:r>
        <w:rPr>
          <w:lang w:val="de-DE"/>
        </w:rPr>
        <w:t xml:space="preserve"> der westlichen Zivilis</w:t>
      </w:r>
      <w:r w:rsidR="008A3B2E">
        <w:rPr>
          <w:lang w:val="de-DE"/>
        </w:rPr>
        <w:t xml:space="preserve">ation fast wie ein Gott verehrt, und wird später in der Geschichte zum Wagen des Onkels </w:t>
      </w:r>
      <w:r w:rsidR="006305C7">
        <w:rPr>
          <w:lang w:val="de-DE"/>
        </w:rPr>
        <w:t>kontrastiert</w:t>
      </w:r>
      <w:r w:rsidR="008A3B2E">
        <w:rPr>
          <w:lang w:val="de-DE"/>
        </w:rPr>
        <w:t>,</w:t>
      </w:r>
      <w:r w:rsidR="006305C7">
        <w:rPr>
          <w:lang w:val="de-DE"/>
        </w:rPr>
        <w:t xml:space="preserve"> d</w:t>
      </w:r>
      <w:r w:rsidR="00EC669C">
        <w:rPr>
          <w:lang w:val="de-DE"/>
        </w:rPr>
        <w:t xml:space="preserve">er </w:t>
      </w:r>
      <w:r w:rsidR="008A3B2E">
        <w:rPr>
          <w:lang w:val="de-DE"/>
        </w:rPr>
        <w:t>einen Moskwitsch (vgl. TFA: 213), e</w:t>
      </w:r>
      <w:r w:rsidR="005F2FFF">
        <w:rPr>
          <w:lang w:val="de-DE"/>
        </w:rPr>
        <w:t>inen sowjetischen Wagen, fährt.</w:t>
      </w:r>
      <w:r w:rsidR="001979DA" w:rsidRPr="001979DA">
        <w:rPr>
          <w:lang w:val="de-DE"/>
        </w:rPr>
        <w:t xml:space="preserve"> </w:t>
      </w:r>
      <w:r w:rsidR="00562ABD">
        <w:rPr>
          <w:lang w:val="de-DE"/>
        </w:rPr>
        <w:t>Die verwestlichten Kocsis</w:t>
      </w:r>
      <w:r w:rsidR="001979DA" w:rsidRPr="001979DA">
        <w:rPr>
          <w:lang w:val="de-DE"/>
        </w:rPr>
        <w:t xml:space="preserve"> sind sich stark </w:t>
      </w:r>
      <w:r w:rsidR="006305C7">
        <w:rPr>
          <w:lang w:val="de-DE"/>
        </w:rPr>
        <w:t>des</w:t>
      </w:r>
      <w:r w:rsidR="001979DA" w:rsidRPr="001979DA">
        <w:rPr>
          <w:lang w:val="de-DE"/>
        </w:rPr>
        <w:t xml:space="preserve"> Unterschied</w:t>
      </w:r>
      <w:r w:rsidR="006305C7">
        <w:rPr>
          <w:lang w:val="de-DE"/>
        </w:rPr>
        <w:t>s</w:t>
      </w:r>
      <w:r w:rsidR="001979DA" w:rsidRPr="001979DA">
        <w:rPr>
          <w:lang w:val="de-DE"/>
        </w:rPr>
        <w:t xml:space="preserve"> zwischen dem Westen und der Vojvodina bewusst.</w:t>
      </w:r>
      <w:r w:rsidR="00123D9D">
        <w:rPr>
          <w:lang w:val="de-DE"/>
        </w:rPr>
        <w:t xml:space="preserve"> Ildikó bemerkt z. B., dass der Chevrolet in Mamikas Innenhof irgendwie weltfremd aussieht</w:t>
      </w:r>
      <w:r w:rsidR="003B4DCA">
        <w:rPr>
          <w:lang w:val="de-DE"/>
        </w:rPr>
        <w:t xml:space="preserve"> und auch die Mutter stellt fest, dass der Wagen nicht für hier gemacht sei (vgl. TFA: 111</w:t>
      </w:r>
      <w:r w:rsidR="00562ABD">
        <w:rPr>
          <w:lang w:val="de-DE"/>
        </w:rPr>
        <w:t xml:space="preserve">). </w:t>
      </w:r>
      <w:r w:rsidR="00EB065B">
        <w:rPr>
          <w:lang w:val="de-DE"/>
        </w:rPr>
        <w:t xml:space="preserve">Nicht nur </w:t>
      </w:r>
      <w:r w:rsidR="003B4DCA">
        <w:rPr>
          <w:lang w:val="de-DE"/>
        </w:rPr>
        <w:t>die migrierten Kocsis</w:t>
      </w:r>
      <w:r w:rsidR="00EB065B">
        <w:rPr>
          <w:lang w:val="de-DE"/>
        </w:rPr>
        <w:t>, sondern auch die zurückgebliebene Familie ist sich stark des Unterschieds zwischen dem Westen und der Vojvodina bewusst. So bemerkt ihr Cousin Béla: „Ihr seid ganz schön verwöhnt bei euch im Westen“ (TFA: 115).</w:t>
      </w:r>
    </w:p>
    <w:p w14:paraId="37AD6DAB" w14:textId="7B699592" w:rsidR="00AB2BBE" w:rsidRDefault="006305C7" w:rsidP="00CA58B1">
      <w:pPr>
        <w:ind w:firstLine="709"/>
        <w:rPr>
          <w:lang w:val="de-DE"/>
        </w:rPr>
      </w:pPr>
      <w:r>
        <w:rPr>
          <w:lang w:val="de-DE"/>
        </w:rPr>
        <w:t>Überdies</w:t>
      </w:r>
      <w:r w:rsidR="00CA58B1">
        <w:rPr>
          <w:lang w:val="de-DE"/>
        </w:rPr>
        <w:t xml:space="preserve"> beschreibt Ildikó</w:t>
      </w:r>
      <w:r w:rsidR="00CA58B1" w:rsidRPr="001979DA">
        <w:rPr>
          <w:lang w:val="de-DE"/>
        </w:rPr>
        <w:t xml:space="preserve"> die Blicke der Kinder, die sich um das „Wunderwerk der Technik“ versammeln</w:t>
      </w:r>
      <w:r w:rsidR="00CA58B1">
        <w:rPr>
          <w:lang w:val="de-DE"/>
        </w:rPr>
        <w:t>,</w:t>
      </w:r>
      <w:r w:rsidR="00CA58B1" w:rsidRPr="001979DA">
        <w:rPr>
          <w:lang w:val="de-DE"/>
        </w:rPr>
        <w:t xml:space="preserve"> als schamlos und sehnsüchtig und will sich ihnen nicht ausliefern (vgl. TFA: 69). In dieser Szene wird </w:t>
      </w:r>
      <w:r>
        <w:rPr>
          <w:lang w:val="de-DE"/>
        </w:rPr>
        <w:t xml:space="preserve">bezüglich </w:t>
      </w:r>
      <w:r w:rsidR="00CA58B1">
        <w:rPr>
          <w:lang w:val="de-DE"/>
        </w:rPr>
        <w:t>Ildikó</w:t>
      </w:r>
      <w:r w:rsidR="00CA58B1" w:rsidRPr="001979DA">
        <w:rPr>
          <w:lang w:val="de-DE"/>
        </w:rPr>
        <w:t xml:space="preserve">s Überlegenheitsgefühl den Kindern gegenüber nuanciert: Sie fühlt sich auf eine ganz bestimmte Art elend, </w:t>
      </w:r>
      <w:r w:rsidR="00CA58B1" w:rsidRPr="001979DA">
        <w:rPr>
          <w:lang w:val="de-DE"/>
        </w:rPr>
        <w:lastRenderedPageBreak/>
        <w:t xml:space="preserve">„mickrig, und wäre Gott neben [ihr] gestanden, hätte [sie] ihn gefragt, ob er [ihr] dieses Gefühl erklären könne“ (TFA: 70). Das Gefühl, das </w:t>
      </w:r>
      <w:r w:rsidR="00CA58B1">
        <w:rPr>
          <w:lang w:val="de-DE"/>
        </w:rPr>
        <w:t>Ildikó</w:t>
      </w:r>
      <w:r w:rsidR="00CA58B1" w:rsidRPr="001979DA">
        <w:rPr>
          <w:lang w:val="de-DE"/>
        </w:rPr>
        <w:t xml:space="preserve"> </w:t>
      </w:r>
      <w:r w:rsidR="00CA58B1">
        <w:rPr>
          <w:lang w:val="de-DE"/>
        </w:rPr>
        <w:t>erwähnt</w:t>
      </w:r>
      <w:r w:rsidR="00CA58B1" w:rsidRPr="001979DA">
        <w:rPr>
          <w:lang w:val="de-DE"/>
        </w:rPr>
        <w:t xml:space="preserve">, könnte das Bewusstsein sein, dass sie </w:t>
      </w:r>
      <w:r w:rsidR="007D1C02">
        <w:rPr>
          <w:lang w:val="de-DE"/>
        </w:rPr>
        <w:t>früher</w:t>
      </w:r>
      <w:r w:rsidR="00CA58B1">
        <w:rPr>
          <w:lang w:val="de-DE"/>
        </w:rPr>
        <w:t xml:space="preserve"> eines dieser Kinder war</w:t>
      </w:r>
      <w:r w:rsidR="00CA58B1" w:rsidRPr="001979DA">
        <w:rPr>
          <w:lang w:val="de-DE"/>
        </w:rPr>
        <w:t>, und sie wei</w:t>
      </w:r>
      <w:r w:rsidR="00CA58B1" w:rsidRPr="001979DA">
        <w:rPr>
          <w:rFonts w:cs="Times New Roman"/>
          <w:lang w:val="de-DE"/>
        </w:rPr>
        <w:t>ß</w:t>
      </w:r>
      <w:r w:rsidR="00CA58B1" w:rsidRPr="001979DA">
        <w:rPr>
          <w:lang w:val="de-DE"/>
        </w:rPr>
        <w:t xml:space="preserve"> nicht, wie sie damit umgehen soll, dass ihre Migration sie vor einer ähnlichen Situation </w:t>
      </w:r>
      <w:r w:rsidR="00AB2BBE">
        <w:rPr>
          <w:lang w:val="de-DE"/>
        </w:rPr>
        <w:t>ge</w:t>
      </w:r>
      <w:r w:rsidR="00CA58B1" w:rsidRPr="001979DA">
        <w:rPr>
          <w:lang w:val="de-DE"/>
        </w:rPr>
        <w:t>schont</w:t>
      </w:r>
      <w:r w:rsidR="00AB2BBE">
        <w:rPr>
          <w:lang w:val="de-DE"/>
        </w:rPr>
        <w:t xml:space="preserve"> hat</w:t>
      </w:r>
      <w:r w:rsidR="00CA58B1" w:rsidRPr="001979DA">
        <w:rPr>
          <w:lang w:val="de-DE"/>
        </w:rPr>
        <w:t xml:space="preserve">. Die Szene </w:t>
      </w:r>
      <w:r w:rsidR="008B1290">
        <w:rPr>
          <w:lang w:val="de-DE"/>
        </w:rPr>
        <w:t>stellt</w:t>
      </w:r>
      <w:r w:rsidR="007D1C02">
        <w:rPr>
          <w:lang w:val="de-DE"/>
        </w:rPr>
        <w:t xml:space="preserve"> den Einstieg</w:t>
      </w:r>
      <w:r w:rsidR="00CA58B1" w:rsidRPr="001979DA">
        <w:rPr>
          <w:lang w:val="de-DE"/>
        </w:rPr>
        <w:t xml:space="preserve"> zur Begegnung mit Janka</w:t>
      </w:r>
      <w:r w:rsidR="008B1290">
        <w:rPr>
          <w:lang w:val="de-DE"/>
        </w:rPr>
        <w:t xml:space="preserve"> dar</w:t>
      </w:r>
      <w:r w:rsidR="00CA58B1" w:rsidRPr="001979DA">
        <w:rPr>
          <w:lang w:val="de-DE"/>
        </w:rPr>
        <w:t xml:space="preserve">, </w:t>
      </w:r>
      <w:r w:rsidR="008B1290">
        <w:rPr>
          <w:lang w:val="de-DE"/>
        </w:rPr>
        <w:t>der</w:t>
      </w:r>
      <w:r w:rsidR="00CA58B1" w:rsidRPr="001979DA">
        <w:rPr>
          <w:lang w:val="de-DE"/>
        </w:rPr>
        <w:t xml:space="preserve"> Tochter aus </w:t>
      </w:r>
      <w:r w:rsidR="005C4BC2">
        <w:rPr>
          <w:lang w:val="de-DE"/>
        </w:rPr>
        <w:t>der ersten</w:t>
      </w:r>
      <w:r w:rsidR="00CA58B1" w:rsidRPr="001979DA">
        <w:rPr>
          <w:lang w:val="de-DE"/>
        </w:rPr>
        <w:t xml:space="preserve"> Ehe</w:t>
      </w:r>
      <w:r w:rsidR="005C4BC2">
        <w:rPr>
          <w:lang w:val="de-DE"/>
        </w:rPr>
        <w:t xml:space="preserve"> des Vaters</w:t>
      </w:r>
      <w:r w:rsidR="00CA58B1" w:rsidRPr="001979DA">
        <w:rPr>
          <w:lang w:val="de-DE"/>
        </w:rPr>
        <w:t xml:space="preserve"> und Halbschwester von </w:t>
      </w:r>
      <w:r w:rsidR="00CA58B1">
        <w:rPr>
          <w:lang w:val="de-DE"/>
        </w:rPr>
        <w:t>Ildikó</w:t>
      </w:r>
      <w:r w:rsidR="00EC669C">
        <w:rPr>
          <w:lang w:val="de-DE"/>
        </w:rPr>
        <w:t xml:space="preserve"> und Nomi. Hier kann </w:t>
      </w:r>
      <w:r w:rsidR="00CA58B1" w:rsidRPr="001979DA">
        <w:rPr>
          <w:lang w:val="de-DE"/>
        </w:rPr>
        <w:t>nochmals der Unterschied zwischen den vom Westen beeinflussten Kocsis und den „Kolonisierten“</w:t>
      </w:r>
      <w:r w:rsidR="005C4BC2">
        <w:rPr>
          <w:lang w:val="de-DE"/>
        </w:rPr>
        <w:t xml:space="preserve"> in der Vojvodina</w:t>
      </w:r>
      <w:r w:rsidR="00CA58B1" w:rsidRPr="001979DA">
        <w:rPr>
          <w:lang w:val="de-DE"/>
        </w:rPr>
        <w:t xml:space="preserve"> festgestellt werden. Janka beschreibt die Schweiz nämlich als das Land, „in dem Milch und Honig fliessen“ (TFA: 73), und der Vater beantwortet die</w:t>
      </w:r>
      <w:r w:rsidR="00CA58B1">
        <w:rPr>
          <w:lang w:val="de-DE"/>
        </w:rPr>
        <w:t>se</w:t>
      </w:r>
      <w:r w:rsidR="00CA58B1" w:rsidRPr="001979DA">
        <w:rPr>
          <w:lang w:val="de-DE"/>
        </w:rPr>
        <w:t xml:space="preserve"> Aussage, indem er sagt, dass sie staunen wird, „was es bei uns alles gibt“</w:t>
      </w:r>
      <w:r w:rsidR="00CA58B1">
        <w:rPr>
          <w:lang w:val="de-DE"/>
        </w:rPr>
        <w:t xml:space="preserve"> (TFA: 73), wo mit „bei uns“ der</w:t>
      </w:r>
      <w:r w:rsidR="00CA58B1" w:rsidRPr="001979DA">
        <w:rPr>
          <w:lang w:val="de-DE"/>
        </w:rPr>
        <w:t xml:space="preserve"> Westen bezeichnet wird.</w:t>
      </w:r>
      <w:r w:rsidR="00CA58B1">
        <w:rPr>
          <w:lang w:val="de-DE"/>
        </w:rPr>
        <w:t xml:space="preserve"> </w:t>
      </w:r>
      <w:r w:rsidR="00AB2BBE">
        <w:rPr>
          <w:lang w:val="de-DE"/>
        </w:rPr>
        <w:t xml:space="preserve">Der Vater fühlt sich also Teil des Westens. </w:t>
      </w:r>
    </w:p>
    <w:p w14:paraId="74FCCFB0" w14:textId="5637D9DA" w:rsidR="001979DA" w:rsidRPr="001979DA" w:rsidRDefault="00CA58B1" w:rsidP="00CA58B1">
      <w:pPr>
        <w:ind w:firstLine="709"/>
        <w:rPr>
          <w:lang w:val="de-DE"/>
        </w:rPr>
      </w:pPr>
      <w:r>
        <w:rPr>
          <w:lang w:val="de-DE"/>
        </w:rPr>
        <w:t>Auch</w:t>
      </w:r>
      <w:r w:rsidR="001979DA" w:rsidRPr="001979DA">
        <w:rPr>
          <w:lang w:val="de-DE"/>
        </w:rPr>
        <w:t xml:space="preserve"> als der Wagen am Anfang der Geschichte an einem Müllberg vorbeifährt</w:t>
      </w:r>
      <w:r>
        <w:rPr>
          <w:lang w:val="de-DE"/>
        </w:rPr>
        <w:t>, werden d</w:t>
      </w:r>
      <w:r w:rsidRPr="001979DA">
        <w:rPr>
          <w:lang w:val="de-DE"/>
        </w:rPr>
        <w:t xml:space="preserve">as Bild des westlichen Autos </w:t>
      </w:r>
      <w:r>
        <w:rPr>
          <w:lang w:val="de-DE"/>
        </w:rPr>
        <w:t xml:space="preserve">und seine Überlegenheit </w:t>
      </w:r>
      <w:r w:rsidR="007D1C02">
        <w:rPr>
          <w:lang w:val="de-DE"/>
        </w:rPr>
        <w:t>noch ver</w:t>
      </w:r>
      <w:r w:rsidRPr="001979DA">
        <w:rPr>
          <w:lang w:val="de-DE"/>
        </w:rPr>
        <w:t>stärkt</w:t>
      </w:r>
      <w:r w:rsidR="001979DA" w:rsidRPr="001979DA">
        <w:rPr>
          <w:lang w:val="de-DE"/>
        </w:rPr>
        <w:t xml:space="preserve">. </w:t>
      </w:r>
      <w:r w:rsidR="00F73DBD">
        <w:rPr>
          <w:lang w:val="de-DE"/>
        </w:rPr>
        <w:t>Ildikó</w:t>
      </w:r>
      <w:r w:rsidR="001979DA" w:rsidRPr="001979DA">
        <w:rPr>
          <w:lang w:val="de-DE"/>
        </w:rPr>
        <w:t xml:space="preserve"> beschreibt das Ereignis folgenderma</w:t>
      </w:r>
      <w:r w:rsidR="001979DA" w:rsidRPr="001979DA">
        <w:rPr>
          <w:rFonts w:cs="Times New Roman"/>
          <w:lang w:val="de-DE"/>
        </w:rPr>
        <w:t>ß</w:t>
      </w:r>
      <w:r w:rsidR="001979DA" w:rsidRPr="001979DA">
        <w:rPr>
          <w:lang w:val="de-DE"/>
        </w:rPr>
        <w:t xml:space="preserve">en: </w:t>
      </w:r>
    </w:p>
    <w:p w14:paraId="21B877A5" w14:textId="77777777" w:rsidR="001979DA" w:rsidRPr="001979DA" w:rsidRDefault="001979DA" w:rsidP="001979DA">
      <w:pPr>
        <w:spacing w:line="240" w:lineRule="auto"/>
        <w:ind w:left="567"/>
        <w:rPr>
          <w:lang w:val="de-DE"/>
        </w:rPr>
      </w:pPr>
      <w:r w:rsidRPr="001979DA">
        <w:rPr>
          <w:lang w:val="de-DE"/>
        </w:rPr>
        <w:t xml:space="preserve">[U]nd wir Kinder drücken linkerhand unsere Gesichter gegen die Scheibe, die erstaunlich kühl ist, sehen mit ungläubigen Augen Menschen, die in einem Berg von Müll leben, […] Hütten aus Wellblech, Gummi, zerzauste Kinder, die zwischen Autowracks und Haushaltsmüll spielen, als gäbe es nichts Normaleres, […] ich verlängere meinen Blick, als müsste ich das alles verstehen (TFA: 7). </w:t>
      </w:r>
    </w:p>
    <w:p w14:paraId="3CD2AD37" w14:textId="77777777" w:rsidR="001979DA" w:rsidRPr="001979DA" w:rsidRDefault="001979DA" w:rsidP="001979DA">
      <w:pPr>
        <w:pStyle w:val="Lijstalinea"/>
        <w:spacing w:line="240" w:lineRule="auto"/>
        <w:rPr>
          <w:lang w:val="de-DE"/>
        </w:rPr>
      </w:pPr>
    </w:p>
    <w:p w14:paraId="6773C3BA" w14:textId="3862204A" w:rsidR="003877E1" w:rsidRDefault="007D1C02" w:rsidP="00CA58B1">
      <w:pPr>
        <w:rPr>
          <w:lang w:val="de-DE"/>
        </w:rPr>
      </w:pPr>
      <w:r>
        <w:rPr>
          <w:lang w:val="de-DE"/>
        </w:rPr>
        <w:t>Der</w:t>
      </w:r>
      <w:r w:rsidR="001979DA" w:rsidRPr="001979DA">
        <w:rPr>
          <w:lang w:val="de-DE"/>
        </w:rPr>
        <w:t xml:space="preserve"> Überlegenheit des Wagens, und mit ihm </w:t>
      </w:r>
      <w:r>
        <w:rPr>
          <w:lang w:val="de-DE"/>
        </w:rPr>
        <w:t>des Westens, wird die</w:t>
      </w:r>
      <w:r w:rsidR="001979DA" w:rsidRPr="001979DA">
        <w:rPr>
          <w:lang w:val="de-DE"/>
        </w:rPr>
        <w:t xml:space="preserve"> Armut am Müllberg gegenübergestellt. Aus dem Zitat </w:t>
      </w:r>
      <w:r>
        <w:rPr>
          <w:lang w:val="de-DE"/>
        </w:rPr>
        <w:t>lässt sich erkennen</w:t>
      </w:r>
      <w:r w:rsidR="001979DA" w:rsidRPr="001979DA">
        <w:rPr>
          <w:lang w:val="de-DE"/>
        </w:rPr>
        <w:t>, dass diese</w:t>
      </w:r>
      <w:r>
        <w:rPr>
          <w:lang w:val="de-DE"/>
        </w:rPr>
        <w:t>r</w:t>
      </w:r>
      <w:r w:rsidR="001979DA" w:rsidRPr="001979DA">
        <w:rPr>
          <w:lang w:val="de-DE"/>
        </w:rPr>
        <w:t xml:space="preserve"> </w:t>
      </w:r>
      <w:r>
        <w:rPr>
          <w:lang w:val="de-DE"/>
        </w:rPr>
        <w:t>Anblick</w:t>
      </w:r>
      <w:r w:rsidR="001979DA" w:rsidRPr="001979DA">
        <w:rPr>
          <w:lang w:val="de-DE"/>
        </w:rPr>
        <w:t xml:space="preserve"> für die Schwestern sehr ungewöhnlich ist. Ihre Migration hat dafür gesorgt, dass sie in </w:t>
      </w:r>
      <w:r>
        <w:rPr>
          <w:lang w:val="de-DE"/>
        </w:rPr>
        <w:t xml:space="preserve">eine Gesellschaft </w:t>
      </w:r>
      <w:r w:rsidR="001979DA" w:rsidRPr="001979DA">
        <w:rPr>
          <w:lang w:val="de-DE"/>
        </w:rPr>
        <w:t>gekommen sind, wo Armut weniger (sichtbar) anwesend ist. Es muss erwähnt werden, dass die Fahrt aus dem Zitat im Jahre 1980, also nur kurz nach der Migration der Schwestern, stattfindet. Demzufolge haben sie noch keine lange Zeit in der Schweiz verbracht, und doch sind sie beim</w:t>
      </w:r>
      <w:r w:rsidR="0060532D">
        <w:rPr>
          <w:lang w:val="de-DE"/>
        </w:rPr>
        <w:t xml:space="preserve"> Anblick des Müllbergs erstaunt;</w:t>
      </w:r>
      <w:r w:rsidR="001979DA" w:rsidRPr="001979DA">
        <w:rPr>
          <w:lang w:val="de-DE"/>
        </w:rPr>
        <w:t xml:space="preserve"> </w:t>
      </w:r>
      <w:r w:rsidR="00B030CB">
        <w:rPr>
          <w:lang w:val="de-DE"/>
        </w:rPr>
        <w:t>einem Anblick</w:t>
      </w:r>
      <w:r w:rsidR="001979DA" w:rsidRPr="001979DA">
        <w:rPr>
          <w:lang w:val="de-DE"/>
        </w:rPr>
        <w:t xml:space="preserve">, </w:t>
      </w:r>
      <w:r w:rsidR="00B030CB">
        <w:rPr>
          <w:lang w:val="de-DE"/>
        </w:rPr>
        <w:t>der</w:t>
      </w:r>
      <w:r w:rsidR="0060532D">
        <w:rPr>
          <w:lang w:val="de-DE"/>
        </w:rPr>
        <w:t xml:space="preserve"> sich</w:t>
      </w:r>
      <w:r w:rsidR="001979DA" w:rsidRPr="001979DA">
        <w:rPr>
          <w:lang w:val="de-DE"/>
        </w:rPr>
        <w:t xml:space="preserve"> </w:t>
      </w:r>
      <w:r w:rsidR="00B030CB">
        <w:rPr>
          <w:lang w:val="de-DE"/>
        </w:rPr>
        <w:t>ihnen</w:t>
      </w:r>
      <w:r w:rsidR="001979DA" w:rsidRPr="001979DA">
        <w:rPr>
          <w:lang w:val="de-DE"/>
        </w:rPr>
        <w:t xml:space="preserve">, als sie noch in der Vojvodina </w:t>
      </w:r>
      <w:r w:rsidR="00B030CB">
        <w:rPr>
          <w:lang w:val="de-DE"/>
        </w:rPr>
        <w:t>lebten</w:t>
      </w:r>
      <w:r w:rsidR="001979DA" w:rsidRPr="001979DA">
        <w:rPr>
          <w:lang w:val="de-DE"/>
        </w:rPr>
        <w:t xml:space="preserve">, wahrscheinlich oft genug </w:t>
      </w:r>
      <w:r w:rsidR="00B030CB">
        <w:rPr>
          <w:lang w:val="de-DE"/>
        </w:rPr>
        <w:t>ergeben hat</w:t>
      </w:r>
      <w:r w:rsidR="001979DA" w:rsidRPr="001979DA">
        <w:rPr>
          <w:lang w:val="de-DE"/>
        </w:rPr>
        <w:t xml:space="preserve">. </w:t>
      </w:r>
    </w:p>
    <w:p w14:paraId="67E063FB" w14:textId="7925055A" w:rsidR="002907CD" w:rsidRDefault="001979DA" w:rsidP="00CA58B1">
      <w:pPr>
        <w:ind w:firstLine="708"/>
        <w:rPr>
          <w:lang w:val="de-DE"/>
        </w:rPr>
      </w:pPr>
      <w:r w:rsidRPr="001979DA">
        <w:rPr>
          <w:lang w:val="de-DE"/>
        </w:rPr>
        <w:t xml:space="preserve">Während der Vater seine Überlegenheit anhand </w:t>
      </w:r>
      <w:r w:rsidR="000C3449">
        <w:rPr>
          <w:lang w:val="de-DE"/>
        </w:rPr>
        <w:t>vom</w:t>
      </w:r>
      <w:r w:rsidRPr="001979DA">
        <w:rPr>
          <w:lang w:val="de-DE"/>
        </w:rPr>
        <w:t xml:space="preserve"> Wagen </w:t>
      </w:r>
      <w:r w:rsidR="00B030CB">
        <w:rPr>
          <w:lang w:val="de-DE"/>
        </w:rPr>
        <w:t>zur Schau stellt</w:t>
      </w:r>
      <w:r w:rsidRPr="001979DA">
        <w:rPr>
          <w:lang w:val="de-DE"/>
        </w:rPr>
        <w:t xml:space="preserve">, haben die Schwestern einen eigenen Gegenstand, wegen dessen sie sich überlegen fühlen: westliche Coca-Cola. In ihrer Heimat besteht ein Ersatzgetränk, nämlich Apa Cola, worüber die Schwestern sich lustig machen, weil die im Osten versuchen, Coca-Cola zu imitieren und dabei nichts weiter als eine „braune, ungeniessbare Brühe namens Apa Cola </w:t>
      </w:r>
      <w:r w:rsidRPr="001979DA">
        <w:rPr>
          <w:lang w:val="de-DE"/>
        </w:rPr>
        <w:lastRenderedPageBreak/>
        <w:t>zustande bringen (Apa Cola, was für ein bescheuerter Name!)“ (TFA: 15). Es soll</w:t>
      </w:r>
      <w:r w:rsidR="00B030CB">
        <w:rPr>
          <w:lang w:val="de-DE"/>
        </w:rPr>
        <w:t>te ange</w:t>
      </w:r>
      <w:r w:rsidRPr="001979DA">
        <w:rPr>
          <w:lang w:val="de-DE"/>
        </w:rPr>
        <w:t xml:space="preserve">merkt werden, dass </w:t>
      </w:r>
      <w:r w:rsidR="00F73DBD">
        <w:rPr>
          <w:lang w:val="de-DE"/>
        </w:rPr>
        <w:t>Ildikó</w:t>
      </w:r>
      <w:r w:rsidRPr="001979DA">
        <w:rPr>
          <w:lang w:val="de-DE"/>
        </w:rPr>
        <w:t xml:space="preserve"> hier selbst erwähnt, dass ihre Familie zum Osten gehört, eine Erkenntnis, die im Kontext der Zwischenposition </w:t>
      </w:r>
      <w:r w:rsidR="00EC669C">
        <w:rPr>
          <w:lang w:val="de-DE"/>
        </w:rPr>
        <w:t>der Vojvodina problematisch ist. W</w:t>
      </w:r>
      <w:r w:rsidRPr="001979DA">
        <w:rPr>
          <w:lang w:val="de-DE"/>
        </w:rPr>
        <w:t xml:space="preserve">ahrscheinlich </w:t>
      </w:r>
      <w:r w:rsidR="00EC669C">
        <w:rPr>
          <w:lang w:val="de-DE"/>
        </w:rPr>
        <w:t xml:space="preserve">bemerkt Ildikó dies </w:t>
      </w:r>
      <w:r w:rsidRPr="001979DA">
        <w:rPr>
          <w:lang w:val="de-DE"/>
        </w:rPr>
        <w:t xml:space="preserve">erst nach ihrem Kontakt mit dem Westen, weil sie sich vor ihrer Migration </w:t>
      </w:r>
      <w:r w:rsidR="002907CD">
        <w:rPr>
          <w:lang w:val="de-DE"/>
        </w:rPr>
        <w:t xml:space="preserve">der Möglichkeit </w:t>
      </w:r>
      <w:r w:rsidRPr="001979DA">
        <w:rPr>
          <w:lang w:val="de-DE"/>
        </w:rPr>
        <w:t xml:space="preserve">dieses Unterschieds noch nicht bewusst war. </w:t>
      </w:r>
      <w:r w:rsidR="0060532D">
        <w:rPr>
          <w:lang w:val="de-DE"/>
        </w:rPr>
        <w:t>Sie</w:t>
      </w:r>
      <w:r w:rsidRPr="001979DA">
        <w:rPr>
          <w:lang w:val="de-DE"/>
        </w:rPr>
        <w:t xml:space="preserve"> </w:t>
      </w:r>
      <w:r w:rsidR="00B030CB">
        <w:rPr>
          <w:lang w:val="de-DE"/>
        </w:rPr>
        <w:t>erkennt</w:t>
      </w:r>
      <w:r w:rsidRPr="001979DA">
        <w:rPr>
          <w:lang w:val="de-DE"/>
        </w:rPr>
        <w:t xml:space="preserve"> </w:t>
      </w:r>
      <w:r w:rsidR="00EC669C">
        <w:rPr>
          <w:lang w:val="de-DE"/>
        </w:rPr>
        <w:t>jedoch ihr</w:t>
      </w:r>
      <w:r w:rsidRPr="001979DA">
        <w:rPr>
          <w:lang w:val="de-DE"/>
        </w:rPr>
        <w:t xml:space="preserve"> Überlegenheitsgefühl</w:t>
      </w:r>
      <w:r w:rsidR="00EC669C">
        <w:rPr>
          <w:lang w:val="de-DE"/>
        </w:rPr>
        <w:t xml:space="preserve"> </w:t>
      </w:r>
      <w:r w:rsidRPr="001979DA">
        <w:rPr>
          <w:lang w:val="de-DE"/>
        </w:rPr>
        <w:t>und nennt sich selbst und ihre Schwester „verwöhnte Westgören“</w:t>
      </w:r>
      <w:r w:rsidR="00EC669C">
        <w:rPr>
          <w:lang w:val="de-DE"/>
        </w:rPr>
        <w:t xml:space="preserve"> (vgl. TFA: 15)</w:t>
      </w:r>
      <w:r w:rsidRPr="001979DA">
        <w:rPr>
          <w:lang w:val="de-DE"/>
        </w:rPr>
        <w:t>.</w:t>
      </w:r>
    </w:p>
    <w:p w14:paraId="4AE34E2F" w14:textId="29301983" w:rsidR="001979DA" w:rsidRDefault="00B030CB" w:rsidP="00CA58B1">
      <w:pPr>
        <w:ind w:firstLine="708"/>
        <w:rPr>
          <w:lang w:val="de-DE"/>
        </w:rPr>
      </w:pPr>
      <w:r>
        <w:rPr>
          <w:lang w:val="de-DE"/>
        </w:rPr>
        <w:t>I</w:t>
      </w:r>
      <w:r w:rsidR="001979DA" w:rsidRPr="001979DA">
        <w:rPr>
          <w:lang w:val="de-DE"/>
        </w:rPr>
        <w:t xml:space="preserve">hre Verwestlichung </w:t>
      </w:r>
      <w:r>
        <w:rPr>
          <w:lang w:val="de-DE"/>
        </w:rPr>
        <w:t>fällt</w:t>
      </w:r>
      <w:r w:rsidR="001979DA" w:rsidRPr="001979DA">
        <w:rPr>
          <w:lang w:val="de-DE"/>
        </w:rPr>
        <w:t xml:space="preserve"> </w:t>
      </w:r>
      <w:r w:rsidR="002907CD">
        <w:rPr>
          <w:lang w:val="de-DE"/>
        </w:rPr>
        <w:t xml:space="preserve">auch </w:t>
      </w:r>
      <w:r w:rsidR="001979DA" w:rsidRPr="001979DA">
        <w:rPr>
          <w:lang w:val="de-DE"/>
        </w:rPr>
        <w:t xml:space="preserve">der in der Vojvodina zurückgebliebenen Familie auf, und das sorgt sogar für einigen Streit. Als </w:t>
      </w:r>
      <w:r w:rsidR="00F73DBD">
        <w:rPr>
          <w:lang w:val="de-DE"/>
        </w:rPr>
        <w:t>Ildikó</w:t>
      </w:r>
      <w:r w:rsidR="001979DA" w:rsidRPr="001979DA">
        <w:rPr>
          <w:lang w:val="de-DE"/>
        </w:rPr>
        <w:t xml:space="preserve"> und Nomi mit ihrer Cou-Cousine Lujza für die Hochzeit schmücken, sagt Lujza, </w:t>
      </w:r>
      <w:r w:rsidR="00AC3934">
        <w:rPr>
          <w:lang w:val="de-DE"/>
        </w:rPr>
        <w:t>als</w:t>
      </w:r>
      <w:r w:rsidR="001979DA" w:rsidRPr="001979DA">
        <w:rPr>
          <w:lang w:val="de-DE"/>
        </w:rPr>
        <w:t xml:space="preserve"> die Schwester etwas langsam vorgehen, sie finde es erstaunlich, dass sie so was nicht auf die Reihe kriegen, und fügt hinzu: „[I]ch dachte, ehrlich gesagt, dass ihr im Westen alles könnt“ (TFA:</w:t>
      </w:r>
      <w:r>
        <w:rPr>
          <w:lang w:val="de-DE"/>
        </w:rPr>
        <w:t xml:space="preserve"> 32). Die Aussage zeigt </w:t>
      </w:r>
      <w:r w:rsidR="001979DA" w:rsidRPr="001979DA">
        <w:rPr>
          <w:lang w:val="de-DE"/>
        </w:rPr>
        <w:t xml:space="preserve">ein unterschwelliges Gefühl von Eifersucht, </w:t>
      </w:r>
      <w:r>
        <w:rPr>
          <w:lang w:val="de-DE"/>
        </w:rPr>
        <w:t>auf das</w:t>
      </w:r>
      <w:r w:rsidR="001979DA" w:rsidRPr="001979DA">
        <w:rPr>
          <w:lang w:val="de-DE"/>
        </w:rPr>
        <w:t xml:space="preserve"> </w:t>
      </w:r>
      <w:r w:rsidR="00F73DBD">
        <w:rPr>
          <w:lang w:val="de-DE"/>
        </w:rPr>
        <w:t>Ildikó</w:t>
      </w:r>
      <w:r w:rsidR="001979DA" w:rsidRPr="001979DA">
        <w:rPr>
          <w:lang w:val="de-DE"/>
        </w:rPr>
        <w:t xml:space="preserve"> mit Scham </w:t>
      </w:r>
      <w:r>
        <w:rPr>
          <w:lang w:val="de-DE"/>
        </w:rPr>
        <w:t>reagiert</w:t>
      </w:r>
      <w:r w:rsidR="001979DA" w:rsidRPr="001979DA">
        <w:rPr>
          <w:lang w:val="de-DE"/>
        </w:rPr>
        <w:t>,</w:t>
      </w:r>
      <w:r>
        <w:rPr>
          <w:lang w:val="de-DE"/>
        </w:rPr>
        <w:t xml:space="preserve"> insbesondere</w:t>
      </w:r>
      <w:r w:rsidR="001979DA" w:rsidRPr="001979DA">
        <w:rPr>
          <w:lang w:val="de-DE"/>
        </w:rPr>
        <w:t xml:space="preserve"> weil Lujza wegen dem bisschen Papier- und Blumenschmuck so stolz und aufgeregt ist (vgl. TFA: 33). Das Ereignis zeigt den Unterschied zwischen Ost und West und vor allem das</w:t>
      </w:r>
      <w:r>
        <w:rPr>
          <w:lang w:val="de-DE"/>
        </w:rPr>
        <w:t xml:space="preserve"> westliche</w:t>
      </w:r>
      <w:r w:rsidR="001979DA" w:rsidRPr="001979DA">
        <w:rPr>
          <w:lang w:val="de-DE"/>
        </w:rPr>
        <w:t xml:space="preserve"> Überlegenheitsgefühl, als </w:t>
      </w:r>
      <w:r w:rsidR="00F73DBD">
        <w:rPr>
          <w:lang w:val="de-DE"/>
        </w:rPr>
        <w:t>Ildikó</w:t>
      </w:r>
      <w:r w:rsidR="001979DA" w:rsidRPr="001979DA">
        <w:rPr>
          <w:lang w:val="de-DE"/>
        </w:rPr>
        <w:t xml:space="preserve"> sagt, dass Lujza eben die wirkliche Aufregung nicht kennt: „Jungs mit richtig sitzenden, modischen Jeans, halsbrecherische Achterbahnen, sie tut mir leid, dass </w:t>
      </w:r>
      <w:r w:rsidR="008C36EC">
        <w:rPr>
          <w:lang w:val="de-DE"/>
        </w:rPr>
        <w:t xml:space="preserve">sie wahrscheinlich noch nie in </w:t>
      </w:r>
      <w:r w:rsidR="003D6D93">
        <w:rPr>
          <w:lang w:val="de-DE"/>
        </w:rPr>
        <w:t>ihrem Leben ein richtiges</w:t>
      </w:r>
      <w:r w:rsidR="001979DA" w:rsidRPr="001979DA">
        <w:rPr>
          <w:lang w:val="de-DE"/>
        </w:rPr>
        <w:t xml:space="preserve"> Schaufenster gesehen hat“ (TFA: 33). </w:t>
      </w:r>
      <w:r w:rsidR="00F73DBD">
        <w:rPr>
          <w:lang w:val="de-DE"/>
        </w:rPr>
        <w:t>Ildikó</w:t>
      </w:r>
      <w:r w:rsidR="001979DA" w:rsidRPr="001979DA">
        <w:rPr>
          <w:lang w:val="de-DE"/>
        </w:rPr>
        <w:t xml:space="preserve"> erwähnt zwei typisch westlich-kapitalistische Sachen, nämlich Jeans und das Schaufenster, zwei Symbole der Konsumgesellschaft, die v</w:t>
      </w:r>
      <w:r w:rsidR="0049504E">
        <w:rPr>
          <w:lang w:val="de-DE"/>
        </w:rPr>
        <w:t>on ihrer Verwestlichung zeugen.</w:t>
      </w:r>
    </w:p>
    <w:p w14:paraId="657BF1A0" w14:textId="6A196FEC" w:rsidR="00527D52" w:rsidRDefault="00952C28" w:rsidP="00527D52">
      <w:pPr>
        <w:ind w:firstLine="708"/>
        <w:rPr>
          <w:lang w:val="de-DE"/>
        </w:rPr>
      </w:pPr>
      <w:r>
        <w:rPr>
          <w:lang w:val="de-DE"/>
        </w:rPr>
        <w:t>Au</w:t>
      </w:r>
      <w:r>
        <w:rPr>
          <w:rFonts w:cs="Times New Roman"/>
          <w:lang w:val="de-DE"/>
        </w:rPr>
        <w:t>ß</w:t>
      </w:r>
      <w:r>
        <w:rPr>
          <w:lang w:val="de-DE"/>
        </w:rPr>
        <w:t xml:space="preserve">er dem Wagen und dem Lieblingsgetränk der Schwestern zeigt auch das Motiv der Kleidung </w:t>
      </w:r>
      <w:r w:rsidR="00273E92">
        <w:rPr>
          <w:lang w:val="de-DE"/>
        </w:rPr>
        <w:t xml:space="preserve">stark </w:t>
      </w:r>
      <w:r w:rsidR="00B030CB">
        <w:rPr>
          <w:lang w:val="de-DE"/>
        </w:rPr>
        <w:t>ihre</w:t>
      </w:r>
      <w:r w:rsidR="00273E92">
        <w:rPr>
          <w:lang w:val="de-DE"/>
        </w:rPr>
        <w:t xml:space="preserve"> Verwestlichung </w:t>
      </w:r>
      <w:r w:rsidR="00CA58B1">
        <w:rPr>
          <w:lang w:val="de-DE"/>
        </w:rPr>
        <w:t>und die Rolle</w:t>
      </w:r>
      <w:r w:rsidR="00B030CB">
        <w:rPr>
          <w:lang w:val="de-DE"/>
        </w:rPr>
        <w:t xml:space="preserve"> der Kocsis</w:t>
      </w:r>
      <w:r w:rsidR="00CA58B1">
        <w:rPr>
          <w:lang w:val="de-DE"/>
        </w:rPr>
        <w:t xml:space="preserve"> als Kolonisatoren</w:t>
      </w:r>
      <w:r w:rsidR="003C0284">
        <w:rPr>
          <w:lang w:val="de-DE"/>
        </w:rPr>
        <w:t>.</w:t>
      </w:r>
      <w:r w:rsidR="0052280E">
        <w:rPr>
          <w:lang w:val="de-DE"/>
        </w:rPr>
        <w:t xml:space="preserve"> Erstens beschreibt die Mutter die Stoffe der „Reichen“, als sie über die Kunden ihrer Wäscherei – die sie vor den beiden Cafeterien besa</w:t>
      </w:r>
      <w:r w:rsidR="0052280E">
        <w:rPr>
          <w:rFonts w:cs="Times New Roman"/>
          <w:lang w:val="de-DE"/>
        </w:rPr>
        <w:t>ß</w:t>
      </w:r>
      <w:r w:rsidR="0052280E">
        <w:rPr>
          <w:lang w:val="de-DE"/>
        </w:rPr>
        <w:t>en – und ihre Kleidung redet.</w:t>
      </w:r>
      <w:r w:rsidR="003C0284">
        <w:rPr>
          <w:lang w:val="de-DE"/>
        </w:rPr>
        <w:t xml:space="preserve"> </w:t>
      </w:r>
      <w:r w:rsidR="0052280E">
        <w:rPr>
          <w:lang w:val="de-DE"/>
        </w:rPr>
        <w:t xml:space="preserve">Zweitens </w:t>
      </w:r>
      <w:r w:rsidR="003C0284">
        <w:rPr>
          <w:lang w:val="de-DE"/>
        </w:rPr>
        <w:t>bringen</w:t>
      </w:r>
      <w:r w:rsidR="0052280E">
        <w:rPr>
          <w:lang w:val="de-DE"/>
        </w:rPr>
        <w:t xml:space="preserve"> sie</w:t>
      </w:r>
      <w:r w:rsidR="003C0284">
        <w:rPr>
          <w:lang w:val="de-DE"/>
        </w:rPr>
        <w:t xml:space="preserve"> der Gro</w:t>
      </w:r>
      <w:r w:rsidR="003C0284">
        <w:rPr>
          <w:rFonts w:cs="Times New Roman"/>
          <w:lang w:val="de-DE"/>
        </w:rPr>
        <w:t>ß</w:t>
      </w:r>
      <w:r w:rsidR="003C0284">
        <w:rPr>
          <w:lang w:val="de-DE"/>
        </w:rPr>
        <w:t xml:space="preserve">mutter ein Kleid für die Hochzeit mit, das für sie sehr teuer aussieht, denn </w:t>
      </w:r>
      <w:r w:rsidR="002907CD">
        <w:rPr>
          <w:lang w:val="de-DE"/>
        </w:rPr>
        <w:t>Mamika</w:t>
      </w:r>
      <w:r w:rsidR="003C0284">
        <w:rPr>
          <w:lang w:val="de-DE"/>
        </w:rPr>
        <w:t xml:space="preserve"> sagt, dass sie nicht immer so</w:t>
      </w:r>
      <w:r w:rsidR="0052280E">
        <w:rPr>
          <w:lang w:val="de-DE"/>
        </w:rPr>
        <w:t xml:space="preserve"> </w:t>
      </w:r>
      <w:r w:rsidR="003C0284">
        <w:rPr>
          <w:lang w:val="de-DE"/>
        </w:rPr>
        <w:t>viel Geld für sie ausgeben sollen (vgl. TFA: 31).</w:t>
      </w:r>
      <w:r w:rsidR="0052280E">
        <w:rPr>
          <w:lang w:val="de-DE"/>
        </w:rPr>
        <w:t xml:space="preserve"> Auch als Ildikó und Nomi das Hochzeitszelt betreten, </w:t>
      </w:r>
      <w:r w:rsidR="00B030CB">
        <w:rPr>
          <w:lang w:val="de-DE"/>
        </w:rPr>
        <w:t>steht</w:t>
      </w:r>
      <w:r w:rsidR="00527D52">
        <w:rPr>
          <w:lang w:val="de-DE"/>
        </w:rPr>
        <w:t xml:space="preserve"> </w:t>
      </w:r>
      <w:r w:rsidR="0052280E">
        <w:rPr>
          <w:lang w:val="de-DE"/>
        </w:rPr>
        <w:t>ihre auf</w:t>
      </w:r>
      <w:r w:rsidR="00527D52">
        <w:rPr>
          <w:lang w:val="de-DE"/>
        </w:rPr>
        <w:t xml:space="preserve">wendige Kleidung </w:t>
      </w:r>
      <w:r w:rsidR="00B030CB">
        <w:rPr>
          <w:lang w:val="de-DE"/>
        </w:rPr>
        <w:t>im Mittelpunkt</w:t>
      </w:r>
      <w:r w:rsidR="00527D52">
        <w:rPr>
          <w:lang w:val="de-DE"/>
        </w:rPr>
        <w:t>:</w:t>
      </w:r>
    </w:p>
    <w:p w14:paraId="4A7940C9" w14:textId="1335D373" w:rsidR="00952C28" w:rsidRDefault="00527D52" w:rsidP="00527D52">
      <w:pPr>
        <w:spacing w:after="240" w:line="240" w:lineRule="auto"/>
        <w:ind w:left="567"/>
        <w:rPr>
          <w:lang w:val="de-DE"/>
        </w:rPr>
      </w:pPr>
      <w:r>
        <w:rPr>
          <w:lang w:val="de-DE"/>
        </w:rPr>
        <w:t>[D]ass Nomi und ich mit unseren Kleidern auffallen, aber nicht so, wie wir uns das vorgestellt hatten, und dabei fällt mir das Wort „Schandfleck“ ein (Schandfleck und Festtagskleid, mit einem Mal gehört das unzertrennlich zusammen). Hat wirklich jemand, da soll noch einer wissen, wer die Braut ist, gesagt? (TFA: 36)</w:t>
      </w:r>
    </w:p>
    <w:p w14:paraId="10791BD2" w14:textId="77777777" w:rsidR="00CF0408" w:rsidRDefault="00320A52" w:rsidP="003C0889">
      <w:pPr>
        <w:rPr>
          <w:lang w:val="de-DE"/>
        </w:rPr>
      </w:pPr>
      <w:r>
        <w:rPr>
          <w:lang w:val="de-DE"/>
        </w:rPr>
        <w:lastRenderedPageBreak/>
        <w:t>Ildikó</w:t>
      </w:r>
      <w:r w:rsidR="00527D52">
        <w:rPr>
          <w:lang w:val="de-DE"/>
        </w:rPr>
        <w:t xml:space="preserve"> erfährt stark den Unterschied zwischen ihr selbst und den anderen Gästen, der anhand von ihrer Kleidung thematisiert</w:t>
      </w:r>
      <w:r w:rsidR="00AB01AD">
        <w:rPr>
          <w:lang w:val="de-DE"/>
        </w:rPr>
        <w:t xml:space="preserve"> wird</w:t>
      </w:r>
      <w:r w:rsidR="00527D52">
        <w:rPr>
          <w:lang w:val="de-DE"/>
        </w:rPr>
        <w:t>.</w:t>
      </w:r>
      <w:r w:rsidR="00985962">
        <w:rPr>
          <w:lang w:val="de-DE"/>
        </w:rPr>
        <w:t xml:space="preserve"> </w:t>
      </w:r>
    </w:p>
    <w:p w14:paraId="7CABFBEC" w14:textId="00607BC6" w:rsidR="004B7B7D" w:rsidRDefault="00CA58B1" w:rsidP="00CF0408">
      <w:pPr>
        <w:ind w:firstLine="708"/>
        <w:rPr>
          <w:lang w:val="de-DE"/>
        </w:rPr>
      </w:pPr>
      <w:r>
        <w:rPr>
          <w:lang w:val="de-DE"/>
        </w:rPr>
        <w:t>Drittens</w:t>
      </w:r>
      <w:r w:rsidR="00E3010B">
        <w:rPr>
          <w:lang w:val="de-DE"/>
        </w:rPr>
        <w:t xml:space="preserve"> bringen die Kocsis</w:t>
      </w:r>
      <w:r w:rsidR="001F615E">
        <w:rPr>
          <w:lang w:val="de-DE"/>
        </w:rPr>
        <w:t xml:space="preserve"> au</w:t>
      </w:r>
      <w:r w:rsidR="001F615E">
        <w:rPr>
          <w:rFonts w:cs="Times New Roman"/>
          <w:lang w:val="de-DE"/>
        </w:rPr>
        <w:t>ß</w:t>
      </w:r>
      <w:r w:rsidR="001F615E">
        <w:rPr>
          <w:lang w:val="de-DE"/>
        </w:rPr>
        <w:t xml:space="preserve">er den spezifischen Geschenken </w:t>
      </w:r>
      <w:r w:rsidR="00245800">
        <w:rPr>
          <w:lang w:val="de-DE"/>
        </w:rPr>
        <w:t>(</w:t>
      </w:r>
      <w:r w:rsidR="001F615E">
        <w:rPr>
          <w:lang w:val="de-DE"/>
        </w:rPr>
        <w:t>„Diätschokolade für unsere Mamika, Taubenfutter für Béla, Haarfärbemittel für Bélas Frau, die Coiffeuse ist, hautfarbene Verbände für Tante Icu</w:t>
      </w:r>
      <w:r w:rsidR="00245800">
        <w:rPr>
          <w:lang w:val="de-DE"/>
        </w:rPr>
        <w:t>“ (TFA: 247) usw.)</w:t>
      </w:r>
      <w:r w:rsidR="00E3010B">
        <w:rPr>
          <w:lang w:val="de-DE"/>
        </w:rPr>
        <w:t xml:space="preserve"> mit Kleidern vollgepackten Taschen für ihre Familie in der Heimat mit. </w:t>
      </w:r>
      <w:r w:rsidR="00985962">
        <w:rPr>
          <w:lang w:val="de-DE"/>
        </w:rPr>
        <w:t xml:space="preserve">Dazu trägt noch bei, dass </w:t>
      </w:r>
      <w:r w:rsidR="00320A52">
        <w:rPr>
          <w:lang w:val="de-DE"/>
        </w:rPr>
        <w:t>Ildikó</w:t>
      </w:r>
      <w:r w:rsidR="00985962">
        <w:rPr>
          <w:lang w:val="de-DE"/>
        </w:rPr>
        <w:t xml:space="preserve"> sich mit der Position ihrer Familie identifizieren kann. Sie beschreibt nämlich, wie </w:t>
      </w:r>
      <w:r w:rsidR="00AC3934">
        <w:rPr>
          <w:lang w:val="de-DE"/>
        </w:rPr>
        <w:t>auch sie von den</w:t>
      </w:r>
      <w:r w:rsidR="00985962">
        <w:rPr>
          <w:lang w:val="de-DE"/>
        </w:rPr>
        <w:t xml:space="preserve"> Kunden ihrer Wäscherei</w:t>
      </w:r>
      <w:r w:rsidR="00B030CB">
        <w:rPr>
          <w:lang w:val="de-DE"/>
        </w:rPr>
        <w:t xml:space="preserve"> Säcke mit ab</w:t>
      </w:r>
      <w:r w:rsidR="00A31BE6">
        <w:rPr>
          <w:lang w:val="de-DE"/>
        </w:rPr>
        <w:t xml:space="preserve">getragenen Kleidern </w:t>
      </w:r>
      <w:r w:rsidR="00AC3934">
        <w:rPr>
          <w:lang w:val="de-DE"/>
        </w:rPr>
        <w:t>bekommen haben</w:t>
      </w:r>
      <w:r w:rsidR="00A31BE6">
        <w:rPr>
          <w:lang w:val="de-DE"/>
        </w:rPr>
        <w:t>. Das Motiv der Kleidung vereinigt also die Position der Kocsis als Kolonisierte einerseits und</w:t>
      </w:r>
      <w:r w:rsidR="00E3010B">
        <w:rPr>
          <w:lang w:val="de-DE"/>
        </w:rPr>
        <w:t xml:space="preserve"> als Kolonisatoren andererseits. </w:t>
      </w:r>
      <w:r w:rsidR="00AB01AD">
        <w:rPr>
          <w:lang w:val="de-DE"/>
        </w:rPr>
        <w:t>Es lässt sich feststellen</w:t>
      </w:r>
      <w:bookmarkStart w:id="33" w:name="_Hlk513480226"/>
      <w:r w:rsidR="00AB01AD">
        <w:rPr>
          <w:lang w:val="de-DE"/>
        </w:rPr>
        <w:t>, dass d</w:t>
      </w:r>
      <w:r w:rsidRPr="001979DA">
        <w:rPr>
          <w:lang w:val="de-DE"/>
        </w:rPr>
        <w:t>ie Bekanntschaft mit dem Westen, auch wenn sie erst seit kurzem besteht, erstens für die En</w:t>
      </w:r>
      <w:r w:rsidR="003C0889">
        <w:rPr>
          <w:lang w:val="de-DE"/>
        </w:rPr>
        <w:t>tfremdung von der Heimat</w:t>
      </w:r>
      <w:r w:rsidRPr="001979DA">
        <w:rPr>
          <w:lang w:val="de-DE"/>
        </w:rPr>
        <w:t xml:space="preserve">, die </w:t>
      </w:r>
      <w:r>
        <w:rPr>
          <w:lang w:val="de-DE"/>
        </w:rPr>
        <w:t>Ildikó</w:t>
      </w:r>
      <w:r w:rsidR="00AB01AD">
        <w:rPr>
          <w:lang w:val="de-DE"/>
        </w:rPr>
        <w:t xml:space="preserve"> </w:t>
      </w:r>
      <w:r w:rsidRPr="001979DA">
        <w:rPr>
          <w:lang w:val="de-DE"/>
        </w:rPr>
        <w:t>befürchtet</w:t>
      </w:r>
      <w:r w:rsidR="00AC3934">
        <w:rPr>
          <w:lang w:val="de-DE"/>
        </w:rPr>
        <w:t>,</w:t>
      </w:r>
      <w:r>
        <w:rPr>
          <w:rStyle w:val="Voetnootmarkering"/>
          <w:lang w:val="de-DE"/>
        </w:rPr>
        <w:footnoteReference w:id="135"/>
      </w:r>
      <w:r w:rsidR="00AB01AD">
        <w:rPr>
          <w:lang w:val="de-DE"/>
        </w:rPr>
        <w:t xml:space="preserve"> </w:t>
      </w:r>
      <w:r w:rsidRPr="001979DA">
        <w:rPr>
          <w:lang w:val="de-DE"/>
        </w:rPr>
        <w:t xml:space="preserve">und zweitens für ein Überlegenheitsgefühl, </w:t>
      </w:r>
      <w:r w:rsidR="00AB01AD">
        <w:rPr>
          <w:lang w:val="de-DE"/>
        </w:rPr>
        <w:t>das mit dem Kolonialismus assoziiert werden kann</w:t>
      </w:r>
      <w:r w:rsidR="00C9394F">
        <w:rPr>
          <w:lang w:val="de-DE"/>
        </w:rPr>
        <w:t xml:space="preserve">, gesorgt hat. </w:t>
      </w:r>
    </w:p>
    <w:p w14:paraId="2DD9F627" w14:textId="77777777" w:rsidR="004B7B7D" w:rsidRDefault="004B7B7D">
      <w:pPr>
        <w:spacing w:after="160" w:line="259" w:lineRule="auto"/>
        <w:jc w:val="left"/>
        <w:rPr>
          <w:lang w:val="de-DE"/>
        </w:rPr>
      </w:pPr>
      <w:r>
        <w:rPr>
          <w:lang w:val="de-DE"/>
        </w:rPr>
        <w:br w:type="page"/>
      </w:r>
    </w:p>
    <w:p w14:paraId="25B1FD90" w14:textId="77777777" w:rsidR="00FB6783" w:rsidRDefault="0049504E" w:rsidP="00E72049">
      <w:pPr>
        <w:pStyle w:val="Kop1"/>
        <w:numPr>
          <w:ilvl w:val="0"/>
          <w:numId w:val="2"/>
        </w:numPr>
        <w:rPr>
          <w:lang w:val="de-DE"/>
        </w:rPr>
      </w:pPr>
      <w:bookmarkStart w:id="34" w:name="_Toc515180097"/>
      <w:bookmarkEnd w:id="33"/>
      <w:r w:rsidRPr="0049504E">
        <w:rPr>
          <w:lang w:val="de-DE"/>
        </w:rPr>
        <w:lastRenderedPageBreak/>
        <w:t>Sprache</w:t>
      </w:r>
      <w:bookmarkEnd w:id="34"/>
    </w:p>
    <w:p w14:paraId="38F128C4" w14:textId="783AD6B9" w:rsidR="00CD6744" w:rsidRDefault="00FB6783" w:rsidP="007C46C4">
      <w:pPr>
        <w:rPr>
          <w:lang w:val="de-DE"/>
        </w:rPr>
      </w:pPr>
      <w:r w:rsidRPr="007C46C4">
        <w:rPr>
          <w:lang w:val="de-DE"/>
        </w:rPr>
        <w:t>Au</w:t>
      </w:r>
      <w:r w:rsidRPr="007C46C4">
        <w:rPr>
          <w:rFonts w:cs="Times New Roman"/>
          <w:lang w:val="de-DE"/>
        </w:rPr>
        <w:t>ß</w:t>
      </w:r>
      <w:r w:rsidRPr="007C46C4">
        <w:rPr>
          <w:lang w:val="de-DE"/>
        </w:rPr>
        <w:t>er den Unterschieden in Reichtum und Wohlstand</w:t>
      </w:r>
      <w:r w:rsidR="00460C1B" w:rsidRPr="007C46C4">
        <w:rPr>
          <w:lang w:val="de-DE"/>
        </w:rPr>
        <w:t>, die</w:t>
      </w:r>
      <w:r w:rsidR="00C9394F">
        <w:rPr>
          <w:lang w:val="de-DE"/>
        </w:rPr>
        <w:t xml:space="preserve"> der Kontrast zwischen der Schweiz und der Vojvodina mit sich bringt und die</w:t>
      </w:r>
      <w:r w:rsidR="00460C1B" w:rsidRPr="007C46C4">
        <w:rPr>
          <w:lang w:val="de-DE"/>
        </w:rPr>
        <w:t xml:space="preserve"> in den vorigen Paragrafen untersucht wurden,</w:t>
      </w:r>
      <w:r w:rsidRPr="007C46C4">
        <w:rPr>
          <w:lang w:val="de-DE"/>
        </w:rPr>
        <w:t xml:space="preserve"> </w:t>
      </w:r>
      <w:bookmarkStart w:id="35" w:name="_Hlk513480307"/>
      <w:r w:rsidRPr="007C46C4">
        <w:rPr>
          <w:lang w:val="de-DE"/>
        </w:rPr>
        <w:t xml:space="preserve">ist das Mittel, anhand </w:t>
      </w:r>
      <w:r w:rsidR="005C2F37">
        <w:rPr>
          <w:lang w:val="de-DE"/>
        </w:rPr>
        <w:t>dessen</w:t>
      </w:r>
      <w:r w:rsidRPr="007C46C4">
        <w:rPr>
          <w:lang w:val="de-DE"/>
        </w:rPr>
        <w:t xml:space="preserve"> die ungleichen Machtverhältnisse und fo</w:t>
      </w:r>
      <w:r w:rsidR="00C9394F">
        <w:rPr>
          <w:lang w:val="de-DE"/>
        </w:rPr>
        <w:t xml:space="preserve">lglich die soziale Ungleichheit </w:t>
      </w:r>
      <w:r w:rsidR="00460C1B" w:rsidRPr="007C46C4">
        <w:rPr>
          <w:lang w:val="de-DE"/>
        </w:rPr>
        <w:t xml:space="preserve">schlechthin </w:t>
      </w:r>
      <w:r w:rsidRPr="007C46C4">
        <w:rPr>
          <w:lang w:val="de-DE"/>
        </w:rPr>
        <w:t xml:space="preserve">am deutlichsten </w:t>
      </w:r>
      <w:r w:rsidR="005C2F37">
        <w:rPr>
          <w:lang w:val="de-DE"/>
        </w:rPr>
        <w:t>zum Ausdruck</w:t>
      </w:r>
      <w:r w:rsidR="006E31BC" w:rsidRPr="007C46C4">
        <w:rPr>
          <w:rFonts w:cs="Times New Roman"/>
          <w:lang w:val="de-DE"/>
        </w:rPr>
        <w:t xml:space="preserve"> kommen,</w:t>
      </w:r>
      <w:r w:rsidRPr="007C46C4">
        <w:rPr>
          <w:rFonts w:cs="Times New Roman"/>
          <w:lang w:val="de-DE"/>
        </w:rPr>
        <w:t xml:space="preserve"> die Sprache</w:t>
      </w:r>
      <w:bookmarkEnd w:id="35"/>
      <w:r w:rsidRPr="007C46C4">
        <w:rPr>
          <w:rFonts w:cs="Times New Roman"/>
          <w:lang w:val="de-DE"/>
        </w:rPr>
        <w:t>.</w:t>
      </w:r>
      <w:r w:rsidR="006E31BC">
        <w:rPr>
          <w:rFonts w:cs="Times New Roman"/>
          <w:lang w:val="de-DE"/>
        </w:rPr>
        <w:t xml:space="preserve"> </w:t>
      </w:r>
      <w:r w:rsidR="00460C1B">
        <w:rPr>
          <w:rFonts w:cs="Times New Roman"/>
          <w:lang w:val="de-DE"/>
        </w:rPr>
        <w:t>Deshalb wird im Folgenden die Sprache in ihrer Vielfältigkeit untersucht.</w:t>
      </w:r>
      <w:r w:rsidR="006E31BC">
        <w:rPr>
          <w:rFonts w:cs="Times New Roman"/>
          <w:lang w:val="de-DE"/>
        </w:rPr>
        <w:t xml:space="preserve"> </w:t>
      </w:r>
      <w:r w:rsidR="00460C1B">
        <w:rPr>
          <w:rFonts w:cs="Times New Roman"/>
          <w:lang w:val="de-DE"/>
        </w:rPr>
        <w:t xml:space="preserve">Fragen, die in diesem Zusammenhang von Bedeutung sind, sind folgende: </w:t>
      </w:r>
      <w:bookmarkStart w:id="36" w:name="_Hlk513480318"/>
      <w:r w:rsidR="006E31BC">
        <w:rPr>
          <w:rFonts w:cs="Times New Roman"/>
          <w:lang w:val="de-DE"/>
        </w:rPr>
        <w:t>Welche</w:t>
      </w:r>
      <w:r w:rsidR="005C2F37">
        <w:rPr>
          <w:rFonts w:cs="Times New Roman"/>
          <w:lang w:val="de-DE"/>
        </w:rPr>
        <w:t>n</w:t>
      </w:r>
      <w:r w:rsidR="006E31BC">
        <w:rPr>
          <w:rFonts w:cs="Times New Roman"/>
          <w:lang w:val="de-DE"/>
        </w:rPr>
        <w:t xml:space="preserve"> Status haben unterschiedliche Sprachen </w:t>
      </w:r>
      <w:r w:rsidR="005C2F37">
        <w:rPr>
          <w:rFonts w:cs="Times New Roman"/>
          <w:lang w:val="de-DE"/>
        </w:rPr>
        <w:t xml:space="preserve">in </w:t>
      </w:r>
      <w:r w:rsidR="005C2F37">
        <w:rPr>
          <w:rFonts w:cs="Times New Roman"/>
          <w:i/>
          <w:lang w:val="de-DE"/>
        </w:rPr>
        <w:t>Tauben fliegen auf</w:t>
      </w:r>
      <w:r w:rsidR="006E31BC">
        <w:rPr>
          <w:rFonts w:cs="Times New Roman"/>
          <w:lang w:val="de-DE"/>
        </w:rPr>
        <w:t xml:space="preserve">? Welche Verhältnisse werden mithilfe </w:t>
      </w:r>
      <w:r w:rsidR="007F5DB1">
        <w:rPr>
          <w:rFonts w:cs="Times New Roman"/>
          <w:lang w:val="de-DE"/>
        </w:rPr>
        <w:t>von</w:t>
      </w:r>
      <w:r w:rsidR="006E31BC">
        <w:rPr>
          <w:rFonts w:cs="Times New Roman"/>
          <w:lang w:val="de-DE"/>
        </w:rPr>
        <w:t xml:space="preserve"> Sprache konstruiert oder beendet? </w:t>
      </w:r>
      <w:r w:rsidR="006E31BC" w:rsidRPr="00460C1B">
        <w:rPr>
          <w:rFonts w:cs="Times New Roman"/>
          <w:lang w:val="de-DE"/>
        </w:rPr>
        <w:t xml:space="preserve">Wie funktionieren sowohl Unterdrückung als auch Befreiung anhand von Sprache im </w:t>
      </w:r>
      <w:bookmarkEnd w:id="36"/>
      <w:r w:rsidR="00626998">
        <w:rPr>
          <w:rFonts w:cs="Times New Roman"/>
          <w:lang w:val="de-DE"/>
        </w:rPr>
        <w:t>Werk</w:t>
      </w:r>
      <w:r w:rsidR="005C2F37">
        <w:rPr>
          <w:rFonts w:cs="Times New Roman"/>
          <w:lang w:val="de-DE"/>
        </w:rPr>
        <w:t xml:space="preserve"> </w:t>
      </w:r>
      <w:r w:rsidR="00C05398">
        <w:rPr>
          <w:rFonts w:cs="Times New Roman"/>
          <w:lang w:val="de-DE"/>
        </w:rPr>
        <w:t xml:space="preserve">Nadj </w:t>
      </w:r>
      <w:r w:rsidR="005C2F37">
        <w:rPr>
          <w:rFonts w:cs="Times New Roman"/>
          <w:lang w:val="de-DE"/>
        </w:rPr>
        <w:t>Abonjis</w:t>
      </w:r>
      <w:r w:rsidR="006E31BC" w:rsidRPr="00460C1B">
        <w:rPr>
          <w:rFonts w:cs="Times New Roman"/>
          <w:lang w:val="de-DE"/>
        </w:rPr>
        <w:t>?</w:t>
      </w:r>
      <w:r w:rsidRPr="00460C1B">
        <w:rPr>
          <w:rFonts w:cs="Times New Roman"/>
          <w:lang w:val="de-DE"/>
        </w:rPr>
        <w:t xml:space="preserve"> </w:t>
      </w:r>
      <w:r w:rsidR="00460C1B" w:rsidRPr="00460C1B">
        <w:rPr>
          <w:lang w:val="de-DE"/>
        </w:rPr>
        <w:t xml:space="preserve">Zunächst soll erwähnt werden, dass Ildikós Beziehung zu Sprache schon </w:t>
      </w:r>
      <w:r w:rsidR="005C2F37">
        <w:rPr>
          <w:lang w:val="de-DE"/>
        </w:rPr>
        <w:t xml:space="preserve">immer </w:t>
      </w:r>
      <w:r w:rsidR="00460C1B" w:rsidRPr="00460C1B">
        <w:rPr>
          <w:lang w:val="de-DE"/>
        </w:rPr>
        <w:t xml:space="preserve">kompliziert war, </w:t>
      </w:r>
      <w:r w:rsidR="005C2F37">
        <w:rPr>
          <w:lang w:val="de-DE"/>
        </w:rPr>
        <w:t>durch die</w:t>
      </w:r>
      <w:r w:rsidR="00460C1B" w:rsidRPr="00460C1B">
        <w:rPr>
          <w:lang w:val="de-DE"/>
        </w:rPr>
        <w:t xml:space="preserve"> Migration aber noch stark erschwert wird.</w:t>
      </w:r>
      <w:r w:rsidR="001C432A">
        <w:rPr>
          <w:lang w:val="de-DE"/>
        </w:rPr>
        <w:t xml:space="preserve"> </w:t>
      </w:r>
      <w:r w:rsidR="00C877B0">
        <w:rPr>
          <w:lang w:val="de-DE"/>
        </w:rPr>
        <w:t xml:space="preserve">Deswegen </w:t>
      </w:r>
      <w:r w:rsidR="00993946">
        <w:rPr>
          <w:lang w:val="de-DE"/>
        </w:rPr>
        <w:t xml:space="preserve">soll zuerst einen </w:t>
      </w:r>
      <w:r w:rsidR="007C5D2D">
        <w:rPr>
          <w:lang w:val="de-DE"/>
        </w:rPr>
        <w:t>kleinen</w:t>
      </w:r>
      <w:r w:rsidR="00993946">
        <w:rPr>
          <w:lang w:val="de-DE"/>
        </w:rPr>
        <w:t xml:space="preserve"> Überblick</w:t>
      </w:r>
      <w:r w:rsidR="001C432A">
        <w:rPr>
          <w:lang w:val="de-DE"/>
        </w:rPr>
        <w:t xml:space="preserve"> </w:t>
      </w:r>
      <w:r w:rsidR="005C2F37">
        <w:rPr>
          <w:lang w:val="de-DE"/>
        </w:rPr>
        <w:t>über</w:t>
      </w:r>
      <w:r w:rsidR="00993946">
        <w:rPr>
          <w:lang w:val="de-DE"/>
        </w:rPr>
        <w:t xml:space="preserve"> Ildikós Verhältnis zu</w:t>
      </w:r>
      <w:r w:rsidR="007C5D2D">
        <w:rPr>
          <w:lang w:val="de-DE"/>
        </w:rPr>
        <w:t>r</w:t>
      </w:r>
      <w:r w:rsidR="00993946">
        <w:rPr>
          <w:lang w:val="de-DE"/>
        </w:rPr>
        <w:t xml:space="preserve"> Sprache</w:t>
      </w:r>
      <w:r w:rsidR="007C5D2D">
        <w:rPr>
          <w:lang w:val="de-DE"/>
        </w:rPr>
        <w:t xml:space="preserve">, unabhängig von </w:t>
      </w:r>
      <w:r w:rsidR="00C55E49">
        <w:rPr>
          <w:lang w:val="de-DE"/>
        </w:rPr>
        <w:t>ihrer</w:t>
      </w:r>
      <w:r w:rsidR="007C5D2D">
        <w:rPr>
          <w:lang w:val="de-DE"/>
        </w:rPr>
        <w:t xml:space="preserve"> Migration, geboten werden.</w:t>
      </w:r>
    </w:p>
    <w:p w14:paraId="5161AF26" w14:textId="0F35635D" w:rsidR="008B1290" w:rsidRDefault="007C5D2D" w:rsidP="007C46C4">
      <w:pPr>
        <w:rPr>
          <w:rFonts w:cs="Times New Roman"/>
          <w:lang w:val="de-DE"/>
        </w:rPr>
      </w:pPr>
      <w:r>
        <w:rPr>
          <w:lang w:val="de-DE"/>
        </w:rPr>
        <w:tab/>
      </w:r>
      <w:r>
        <w:rPr>
          <w:rFonts w:cs="Times New Roman"/>
          <w:lang w:val="de-DE"/>
        </w:rPr>
        <w:t>Aus</w:t>
      </w:r>
      <w:r w:rsidR="00C05398">
        <w:rPr>
          <w:rFonts w:cs="Times New Roman"/>
          <w:lang w:val="de-DE"/>
        </w:rPr>
        <w:t xml:space="preserve"> Nadj</w:t>
      </w:r>
      <w:r>
        <w:rPr>
          <w:rFonts w:cs="Times New Roman"/>
          <w:lang w:val="de-DE"/>
        </w:rPr>
        <w:t xml:space="preserve"> </w:t>
      </w:r>
      <w:r w:rsidR="00C55E49">
        <w:rPr>
          <w:rFonts w:cs="Times New Roman"/>
          <w:lang w:val="de-DE"/>
        </w:rPr>
        <w:t>Abonjis</w:t>
      </w:r>
      <w:r>
        <w:rPr>
          <w:rFonts w:cs="Times New Roman"/>
          <w:lang w:val="de-DE"/>
        </w:rPr>
        <w:t xml:space="preserve"> Text </w:t>
      </w:r>
      <w:r w:rsidR="00C55E49">
        <w:rPr>
          <w:rFonts w:cs="Times New Roman"/>
          <w:lang w:val="de-DE"/>
        </w:rPr>
        <w:t>wird deutlich</w:t>
      </w:r>
      <w:r>
        <w:rPr>
          <w:rFonts w:cs="Times New Roman"/>
          <w:lang w:val="de-DE"/>
        </w:rPr>
        <w:t xml:space="preserve">, dass Ildikó nicht gerne redet. Ihre Liebe für die Stille und ihr </w:t>
      </w:r>
      <w:r w:rsidR="00C55E49">
        <w:rPr>
          <w:rFonts w:cs="Times New Roman"/>
          <w:lang w:val="de-DE"/>
        </w:rPr>
        <w:t>Missfallen</w:t>
      </w:r>
      <w:r>
        <w:rPr>
          <w:rFonts w:cs="Times New Roman"/>
          <w:lang w:val="de-DE"/>
        </w:rPr>
        <w:t xml:space="preserve"> an Geräuschen einerseits, aber auch ihre Faszination für Sprache andererseits werden stark thematisiert. So wünscht sie sich, dass </w:t>
      </w:r>
      <w:r w:rsidR="00C55E49">
        <w:rPr>
          <w:rFonts w:cs="Times New Roman"/>
          <w:lang w:val="de-DE"/>
        </w:rPr>
        <w:t>ihre Gesprächspartner</w:t>
      </w:r>
      <w:r>
        <w:rPr>
          <w:rFonts w:cs="Times New Roman"/>
          <w:lang w:val="de-DE"/>
        </w:rPr>
        <w:t xml:space="preserve"> einen Moment lang ganz still sind (vgl. TFA: 71), bittet ihren Vater, still zu sein (vgl. TFA: 97), und versucht Dragana „endlich zum Schweigen zu bringen“ (TFA: 151). Ihre Beziehung zur Sprache scheint sehr vielseitig zu sein. Sie zeigt ein unglaublich starkes Bewusstsein darüber, wie Sprache funktioniert und wie sie selbst dazu in Verhaltung steht. Zitate wie „[a]ndere Wörter hingegen stapelten sich in meinem Kopf wie nutzloser Kram“ (TFA: 47), „wirbelten die Wörter in meinem Kopf wie Laub an einem regn</w:t>
      </w:r>
      <w:r w:rsidR="001F0836">
        <w:rPr>
          <w:rFonts w:cs="Times New Roman"/>
          <w:lang w:val="de-DE"/>
        </w:rPr>
        <w:t>erischen, stürmischen Herbsttag</w:t>
      </w:r>
      <w:r>
        <w:rPr>
          <w:rFonts w:cs="Times New Roman"/>
          <w:lang w:val="de-DE"/>
        </w:rPr>
        <w:t>“ (TFA: 48)</w:t>
      </w:r>
      <w:r w:rsidR="001F0836">
        <w:rPr>
          <w:rFonts w:cs="Times New Roman"/>
          <w:lang w:val="de-DE"/>
        </w:rPr>
        <w:t>,</w:t>
      </w:r>
      <w:r>
        <w:rPr>
          <w:rFonts w:cs="Times New Roman"/>
          <w:lang w:val="de-DE"/>
        </w:rPr>
        <w:t xml:space="preserve"> und „Draganas Konsonanten, die miteinander zu tanzen scheinen“ (TFA: 157) zeigen, dass Ildikó auf eine poetische Art und Weise über Wörter </w:t>
      </w:r>
      <w:r w:rsidR="001F0836">
        <w:rPr>
          <w:rFonts w:cs="Times New Roman"/>
          <w:lang w:val="de-DE"/>
        </w:rPr>
        <w:t xml:space="preserve">und Sprache </w:t>
      </w:r>
      <w:r>
        <w:rPr>
          <w:rFonts w:cs="Times New Roman"/>
          <w:lang w:val="de-DE"/>
        </w:rPr>
        <w:t>nachdenkt. Trotz dieses Bewusstseins fühlt Ildikó sich nicht imstande, ihre Gedanken zu äußern, was zahlreiche Zitate im Text beweisen: „[W]arum widerspreche ich ihm nicht?“ (TFA: 141), „ich</w:t>
      </w:r>
      <w:r w:rsidR="001F0836">
        <w:rPr>
          <w:rFonts w:cs="Times New Roman"/>
          <w:lang w:val="de-DE"/>
        </w:rPr>
        <w:t>,</w:t>
      </w:r>
      <w:r>
        <w:rPr>
          <w:rFonts w:cs="Times New Roman"/>
          <w:lang w:val="de-DE"/>
        </w:rPr>
        <w:t xml:space="preserve"> die nicht weiss, was sie sagen soll“ (TFA: 151) und „dass meine Stimme wenig überzeugend klingt“ (TFA: 99) sind nur einige davon. </w:t>
      </w:r>
    </w:p>
    <w:p w14:paraId="0E3193D2" w14:textId="77777777" w:rsidR="00BF71AE" w:rsidRPr="00BF71AE" w:rsidRDefault="00BF71AE" w:rsidP="007C46C4">
      <w:pPr>
        <w:rPr>
          <w:rFonts w:cs="Times New Roman"/>
          <w:lang w:val="de-DE"/>
        </w:rPr>
      </w:pPr>
    </w:p>
    <w:p w14:paraId="4DC17E7C" w14:textId="7246C224" w:rsidR="00C94E57" w:rsidRPr="007C5D2D" w:rsidRDefault="00460C1B" w:rsidP="00C94E57">
      <w:pPr>
        <w:pStyle w:val="Kop2"/>
        <w:numPr>
          <w:ilvl w:val="1"/>
          <w:numId w:val="2"/>
        </w:numPr>
        <w:rPr>
          <w:lang w:val="de-DE"/>
        </w:rPr>
      </w:pPr>
      <w:r w:rsidRPr="00460C1B">
        <w:rPr>
          <w:lang w:val="de-DE"/>
        </w:rPr>
        <w:lastRenderedPageBreak/>
        <w:t xml:space="preserve"> </w:t>
      </w:r>
      <w:bookmarkStart w:id="37" w:name="_Toc515180098"/>
      <w:r w:rsidR="00DB209B" w:rsidRPr="007C5D2D">
        <w:rPr>
          <w:lang w:val="de-DE"/>
        </w:rPr>
        <w:t>Beziehung</w:t>
      </w:r>
      <w:r w:rsidR="0058234A" w:rsidRPr="007C5D2D">
        <w:rPr>
          <w:lang w:val="de-DE"/>
        </w:rPr>
        <w:t xml:space="preserve"> Schweizer</w:t>
      </w:r>
      <w:r w:rsidR="003F25F4" w:rsidRPr="007C5D2D">
        <w:rPr>
          <w:lang w:val="de-DE"/>
        </w:rPr>
        <w:t>d</w:t>
      </w:r>
      <w:r w:rsidR="0058234A" w:rsidRPr="007C5D2D">
        <w:rPr>
          <w:lang w:val="de-DE"/>
        </w:rPr>
        <w:t>eutsch/Ungarisch</w:t>
      </w:r>
      <w:bookmarkEnd w:id="37"/>
    </w:p>
    <w:p w14:paraId="58D03184" w14:textId="1DE406C6" w:rsidR="003133A3" w:rsidRPr="003133A3" w:rsidRDefault="000B1738" w:rsidP="003133A3">
      <w:pPr>
        <w:pStyle w:val="Kop3"/>
        <w:numPr>
          <w:ilvl w:val="2"/>
          <w:numId w:val="2"/>
        </w:numPr>
      </w:pPr>
      <w:bookmarkStart w:id="38" w:name="_Toc515180099"/>
      <w:r>
        <w:t>Sonderposition</w:t>
      </w:r>
      <w:bookmarkEnd w:id="38"/>
    </w:p>
    <w:p w14:paraId="0628CC21" w14:textId="769DE74C" w:rsidR="00E71275" w:rsidRDefault="00C006D6" w:rsidP="003103F8">
      <w:pPr>
        <w:rPr>
          <w:lang w:val="de-DE"/>
        </w:rPr>
      </w:pPr>
      <w:r>
        <w:rPr>
          <w:lang w:val="de-DE"/>
        </w:rPr>
        <w:t>Bevor untersucht wird</w:t>
      </w:r>
      <w:r w:rsidR="003103F8" w:rsidRPr="003103F8">
        <w:rPr>
          <w:lang w:val="de-DE"/>
        </w:rPr>
        <w:t>, inwieweit der Unterschied zwischen dem Schweize</w:t>
      </w:r>
      <w:r w:rsidR="00993946">
        <w:rPr>
          <w:lang w:val="de-DE"/>
        </w:rPr>
        <w:t>rdeutschen und dem Ungarischen</w:t>
      </w:r>
      <w:r w:rsidR="003103F8" w:rsidRPr="003103F8">
        <w:rPr>
          <w:lang w:val="de-DE"/>
        </w:rPr>
        <w:t xml:space="preserve"> au</w:t>
      </w:r>
      <w:r>
        <w:rPr>
          <w:lang w:val="de-DE"/>
        </w:rPr>
        <w:t xml:space="preserve">f </w:t>
      </w:r>
      <w:r w:rsidR="00F73DBD">
        <w:rPr>
          <w:lang w:val="de-DE"/>
        </w:rPr>
        <w:t>Ildikó</w:t>
      </w:r>
      <w:r>
        <w:rPr>
          <w:lang w:val="de-DE"/>
        </w:rPr>
        <w:t xml:space="preserve">s Spracherlebnis </w:t>
      </w:r>
      <w:r w:rsidR="00993946">
        <w:rPr>
          <w:lang w:val="de-DE"/>
        </w:rPr>
        <w:t>einen E</w:t>
      </w:r>
      <w:r w:rsidR="00993946" w:rsidRPr="003103F8">
        <w:rPr>
          <w:lang w:val="de-DE"/>
        </w:rPr>
        <w:t>influss</w:t>
      </w:r>
      <w:r w:rsidR="00993946">
        <w:rPr>
          <w:lang w:val="de-DE"/>
        </w:rPr>
        <w:t xml:space="preserve"> </w:t>
      </w:r>
      <w:r>
        <w:rPr>
          <w:lang w:val="de-DE"/>
        </w:rPr>
        <w:t>ausübt, soll</w:t>
      </w:r>
      <w:r w:rsidR="00C55E49">
        <w:rPr>
          <w:lang w:val="de-DE"/>
        </w:rPr>
        <w:t>te</w:t>
      </w:r>
      <w:r>
        <w:rPr>
          <w:lang w:val="de-DE"/>
        </w:rPr>
        <w:t xml:space="preserve"> zunächst erwähnt werden, dass </w:t>
      </w:r>
      <w:r w:rsidR="00720F46">
        <w:rPr>
          <w:lang w:val="de-DE"/>
        </w:rPr>
        <w:t>au</w:t>
      </w:r>
      <w:r w:rsidR="00720F46">
        <w:rPr>
          <w:rFonts w:cs="Times New Roman"/>
          <w:lang w:val="de-DE"/>
        </w:rPr>
        <w:t>ß</w:t>
      </w:r>
      <w:r w:rsidR="00720F46">
        <w:rPr>
          <w:lang w:val="de-DE"/>
        </w:rPr>
        <w:t>er Ser</w:t>
      </w:r>
      <w:r w:rsidR="00993946">
        <w:rPr>
          <w:lang w:val="de-DE"/>
        </w:rPr>
        <w:t>bien und der</w:t>
      </w:r>
      <w:r w:rsidR="00720F46">
        <w:rPr>
          <w:lang w:val="de-DE"/>
        </w:rPr>
        <w:t xml:space="preserve"> Vojvodina auch </w:t>
      </w:r>
      <w:r>
        <w:rPr>
          <w:lang w:val="de-DE"/>
        </w:rPr>
        <w:t>die</w:t>
      </w:r>
      <w:r w:rsidR="00302D1D">
        <w:rPr>
          <w:lang w:val="de-DE"/>
        </w:rPr>
        <w:t xml:space="preserve"> </w:t>
      </w:r>
      <w:r>
        <w:rPr>
          <w:lang w:val="de-DE"/>
        </w:rPr>
        <w:t>schweizerdeutsche</w:t>
      </w:r>
      <w:r w:rsidR="00302D1D">
        <w:rPr>
          <w:lang w:val="de-DE"/>
        </w:rPr>
        <w:t>, vor allem aber die ungarische</w:t>
      </w:r>
      <w:r w:rsidR="003D6BEC">
        <w:rPr>
          <w:lang w:val="de-DE"/>
        </w:rPr>
        <w:t>,</w:t>
      </w:r>
      <w:r w:rsidR="00302D1D">
        <w:rPr>
          <w:lang w:val="de-DE"/>
        </w:rPr>
        <w:t xml:space="preserve"> </w:t>
      </w:r>
      <w:r>
        <w:rPr>
          <w:lang w:val="de-DE"/>
        </w:rPr>
        <w:t xml:space="preserve">Sprache selbst, eine </w:t>
      </w:r>
      <w:r w:rsidR="003D6BEC">
        <w:rPr>
          <w:lang w:val="de-DE"/>
        </w:rPr>
        <w:t>Sonderposition belegt</w:t>
      </w:r>
      <w:r w:rsidR="00302D1D">
        <w:rPr>
          <w:lang w:val="de-DE"/>
        </w:rPr>
        <w:t>.</w:t>
      </w:r>
      <w:r>
        <w:rPr>
          <w:lang w:val="de-DE"/>
        </w:rPr>
        <w:t xml:space="preserve"> Das Schweizerdeutsche </w:t>
      </w:r>
      <w:r w:rsidR="00302D1D">
        <w:rPr>
          <w:lang w:val="de-DE"/>
        </w:rPr>
        <w:t>lässt sich in der germanischen Sprachfamilie situieren, genauer im elbgermanischen</w:t>
      </w:r>
      <w:r w:rsidR="003103F8" w:rsidRPr="003103F8">
        <w:rPr>
          <w:lang w:val="de-DE"/>
        </w:rPr>
        <w:t xml:space="preserve"> </w:t>
      </w:r>
      <w:r w:rsidR="00302D1D">
        <w:rPr>
          <w:lang w:val="de-DE"/>
        </w:rPr>
        <w:t>Sprachzweig, in dem es dem altalemannischen Dialekt gehört.</w:t>
      </w:r>
      <w:r w:rsidR="00302D1D">
        <w:rPr>
          <w:rStyle w:val="Voetnootmarkering"/>
          <w:lang w:val="de-DE"/>
        </w:rPr>
        <w:footnoteReference w:id="136"/>
      </w:r>
      <w:r w:rsidR="00B648A6">
        <w:rPr>
          <w:lang w:val="de-DE"/>
        </w:rPr>
        <w:t xml:space="preserve"> </w:t>
      </w:r>
      <w:r w:rsidR="00E71275">
        <w:rPr>
          <w:lang w:val="de-DE"/>
        </w:rPr>
        <w:t>Ein Dialekt betrifft die einer Sprechergruppe gemeinsame Sprachvarietät, die als eine Variant von</w:t>
      </w:r>
      <w:r w:rsidR="00993946">
        <w:rPr>
          <w:lang w:val="de-DE"/>
        </w:rPr>
        <w:t xml:space="preserve"> einer</w:t>
      </w:r>
      <w:r w:rsidR="00E71275">
        <w:rPr>
          <w:lang w:val="de-DE"/>
        </w:rPr>
        <w:t xml:space="preserve"> überdachenden Standardsprache abgegrenzt wird.</w:t>
      </w:r>
      <w:r w:rsidR="00E71275">
        <w:rPr>
          <w:rStyle w:val="Voetnootmarkering"/>
          <w:lang w:val="de-DE"/>
        </w:rPr>
        <w:footnoteReference w:id="137"/>
      </w:r>
      <w:r w:rsidR="00E71275">
        <w:rPr>
          <w:lang w:val="de-DE"/>
        </w:rPr>
        <w:t xml:space="preserve"> Dialekte haben keine standardsprachliche</w:t>
      </w:r>
      <w:r w:rsidR="00993946">
        <w:rPr>
          <w:lang w:val="de-DE"/>
        </w:rPr>
        <w:t>n</w:t>
      </w:r>
      <w:r w:rsidR="00E71275">
        <w:rPr>
          <w:lang w:val="de-DE"/>
        </w:rPr>
        <w:t xml:space="preserve"> Funktionen, </w:t>
      </w:r>
      <w:r w:rsidR="00993946">
        <w:rPr>
          <w:lang w:val="de-DE"/>
        </w:rPr>
        <w:t>wie</w:t>
      </w:r>
      <w:r w:rsidR="00E71275">
        <w:rPr>
          <w:lang w:val="de-DE"/>
        </w:rPr>
        <w:t xml:space="preserve"> </w:t>
      </w:r>
      <w:r w:rsidR="00993946">
        <w:rPr>
          <w:lang w:val="de-DE"/>
        </w:rPr>
        <w:t>die</w:t>
      </w:r>
      <w:r w:rsidR="00E71275">
        <w:rPr>
          <w:lang w:val="de-DE"/>
        </w:rPr>
        <w:t xml:space="preserve"> Anwendung für Verwaltung und Sachliteratur.</w:t>
      </w:r>
      <w:r w:rsidR="00E71275">
        <w:rPr>
          <w:rStyle w:val="Voetnootmarkering"/>
          <w:lang w:val="de-DE"/>
        </w:rPr>
        <w:footnoteReference w:id="138"/>
      </w:r>
      <w:r w:rsidR="00E71275">
        <w:rPr>
          <w:lang w:val="de-DE"/>
        </w:rPr>
        <w:t xml:space="preserve"> In diesem Zusammenhang wird oft auf den Ausspruch vom jiddischen Linguisten Max Weinreich verwiesen: </w:t>
      </w:r>
      <w:r w:rsidR="00BF72EC">
        <w:rPr>
          <w:lang w:val="de-DE"/>
        </w:rPr>
        <w:t>„Eine Sprache ist ein Dialekt mit einer Armee und einer Marine</w:t>
      </w:r>
      <w:r w:rsidR="001F0836">
        <w:rPr>
          <w:lang w:val="de-DE"/>
        </w:rPr>
        <w:t>.</w:t>
      </w:r>
      <w:r w:rsidR="00BF72EC">
        <w:rPr>
          <w:lang w:val="de-DE"/>
        </w:rPr>
        <w:t>“</w:t>
      </w:r>
      <w:r w:rsidR="00BF72EC">
        <w:rPr>
          <w:rStyle w:val="Voetnootmarkering"/>
          <w:lang w:val="de-DE"/>
        </w:rPr>
        <w:footnoteReference w:id="139"/>
      </w:r>
      <w:r w:rsidR="001261C3">
        <w:rPr>
          <w:lang w:val="de-DE"/>
        </w:rPr>
        <w:t xml:space="preserve"> Die Aussage </w:t>
      </w:r>
      <w:r w:rsidR="00A8234B">
        <w:rPr>
          <w:lang w:val="de-DE"/>
        </w:rPr>
        <w:t>verweist darauf</w:t>
      </w:r>
      <w:r w:rsidR="001261C3">
        <w:rPr>
          <w:lang w:val="de-DE"/>
        </w:rPr>
        <w:t xml:space="preserve">, dass nicht linguistische, sondern politische Kriterien den Charakter einer Sprache </w:t>
      </w:r>
      <w:r w:rsidR="00C55E49">
        <w:rPr>
          <w:lang w:val="de-DE"/>
        </w:rPr>
        <w:t>ausmachen</w:t>
      </w:r>
      <w:r w:rsidR="001261C3">
        <w:rPr>
          <w:lang w:val="de-DE"/>
        </w:rPr>
        <w:t>, denn „rein sprachliche Kriterien, die es erlauben würden, einen Dialekt im Gegensatz zu einer (Standard-)Sprache zu definieren, gibt es nach weitverbreiteter Ansicht jedenfalls nicht</w:t>
      </w:r>
      <w:r w:rsidR="007C5D2D">
        <w:rPr>
          <w:lang w:val="de-DE"/>
        </w:rPr>
        <w:t>.</w:t>
      </w:r>
      <w:r w:rsidR="001261C3">
        <w:rPr>
          <w:lang w:val="de-DE"/>
        </w:rPr>
        <w:t>“</w:t>
      </w:r>
      <w:r w:rsidR="001261C3">
        <w:rPr>
          <w:rStyle w:val="Voetnootmarkering"/>
          <w:lang w:val="de-DE"/>
        </w:rPr>
        <w:footnoteReference w:id="140"/>
      </w:r>
      <w:r w:rsidR="001261C3">
        <w:rPr>
          <w:lang w:val="de-DE"/>
        </w:rPr>
        <w:t xml:space="preserve"> Elvira Glaser argumentiert, dass bei einem entsprechenden politischen Willen </w:t>
      </w:r>
      <w:r w:rsidR="003E3A6C">
        <w:rPr>
          <w:lang w:val="de-DE"/>
        </w:rPr>
        <w:t>„</w:t>
      </w:r>
      <w:r w:rsidR="001261C3">
        <w:rPr>
          <w:lang w:val="de-DE"/>
        </w:rPr>
        <w:t>jede sprachliche Varietät zu einer eigenen Sprache</w:t>
      </w:r>
      <w:r w:rsidR="003E3A6C">
        <w:rPr>
          <w:lang w:val="de-DE"/>
        </w:rPr>
        <w:t>, im Sinne von Schriftsprache/Standardsprache, ausgebaut werden“</w:t>
      </w:r>
      <w:r w:rsidR="003E3A6C">
        <w:rPr>
          <w:rStyle w:val="Voetnootmarkering"/>
          <w:lang w:val="de-DE"/>
        </w:rPr>
        <w:footnoteReference w:id="141"/>
      </w:r>
      <w:r w:rsidR="003E3A6C">
        <w:rPr>
          <w:lang w:val="de-DE"/>
        </w:rPr>
        <w:t xml:space="preserve"> kann. Glaser gibt das Beispiel des Lëtzebuergeschen, das „auf der Basis der vorhandenen sprachlichen Unterschiede zum Standarddeutschen als Nationalsprache ausgebaut wird</w:t>
      </w:r>
      <w:r w:rsidR="001F0836">
        <w:rPr>
          <w:lang w:val="de-DE"/>
        </w:rPr>
        <w:t>.</w:t>
      </w:r>
      <w:r w:rsidR="003E3A6C">
        <w:rPr>
          <w:lang w:val="de-DE"/>
        </w:rPr>
        <w:t>“</w:t>
      </w:r>
      <w:r w:rsidR="003E3A6C">
        <w:rPr>
          <w:rStyle w:val="Voetnootmarkering"/>
          <w:lang w:val="de-DE"/>
        </w:rPr>
        <w:footnoteReference w:id="142"/>
      </w:r>
      <w:r w:rsidR="003E3A6C">
        <w:rPr>
          <w:lang w:val="de-DE"/>
        </w:rPr>
        <w:t xml:space="preserve"> Auf die gleiche Art und Weise könnte auch das Schweizerdeutsche zu einer eigenen Sprache ausgebaut werden, behauptet Glaser, aber im schweizerdeutschen Fall redet man aufgrund von den vielfältigen Funktionen, die die gesprochenen Dialekte überne</w:t>
      </w:r>
      <w:r w:rsidR="00A8234B">
        <w:rPr>
          <w:lang w:val="de-DE"/>
        </w:rPr>
        <w:t xml:space="preserve">hmen, </w:t>
      </w:r>
      <w:r w:rsidR="00993946">
        <w:rPr>
          <w:lang w:val="de-DE"/>
        </w:rPr>
        <w:t xml:space="preserve">vorläufig </w:t>
      </w:r>
      <w:r w:rsidR="00A8234B">
        <w:rPr>
          <w:lang w:val="de-DE"/>
        </w:rPr>
        <w:t>von einem „Ausbaudialekt“</w:t>
      </w:r>
      <w:r w:rsidR="003E3A6C">
        <w:rPr>
          <w:rStyle w:val="Voetnootmarkering"/>
          <w:lang w:val="de-DE"/>
        </w:rPr>
        <w:footnoteReference w:id="143"/>
      </w:r>
      <w:r w:rsidR="00A8234B">
        <w:rPr>
          <w:lang w:val="de-DE"/>
        </w:rPr>
        <w:t xml:space="preserve"> statt einer </w:t>
      </w:r>
      <w:r w:rsidR="00A8234B">
        <w:rPr>
          <w:lang w:val="de-DE"/>
        </w:rPr>
        <w:lastRenderedPageBreak/>
        <w:t>tatsächlichen Sprache.</w:t>
      </w:r>
      <w:r w:rsidR="003E3A6C">
        <w:rPr>
          <w:lang w:val="de-DE"/>
        </w:rPr>
        <w:t xml:space="preserve"> Glaser schlussfolgert, dass die Besonderheit des Schweizerdeutschen „weniger im sprachlichen Abstand von der Schriftsprache, der auch bei anderen deutschen Dialekten gleich gross sein kann, sondern in den Regeln des a</w:t>
      </w:r>
      <w:r w:rsidR="00AD71D6">
        <w:rPr>
          <w:lang w:val="de-DE"/>
        </w:rPr>
        <w:t>llgemeinen mündlichen Gebrauchs</w:t>
      </w:r>
      <w:r w:rsidR="003E3A6C">
        <w:rPr>
          <w:lang w:val="de-DE"/>
        </w:rPr>
        <w:t>“</w:t>
      </w:r>
      <w:r w:rsidR="003E3A6C">
        <w:rPr>
          <w:rStyle w:val="Voetnootmarkering"/>
          <w:lang w:val="de-DE"/>
        </w:rPr>
        <w:footnoteReference w:id="144"/>
      </w:r>
      <w:r w:rsidR="00AD71D6">
        <w:rPr>
          <w:lang w:val="de-DE"/>
        </w:rPr>
        <w:t xml:space="preserve"> liegt.</w:t>
      </w:r>
      <w:r w:rsidR="00812D82">
        <w:rPr>
          <w:lang w:val="de-DE"/>
        </w:rPr>
        <w:t xml:space="preserve"> Auch wenn es sich </w:t>
      </w:r>
      <w:r w:rsidR="003E3A6C">
        <w:rPr>
          <w:lang w:val="de-DE"/>
        </w:rPr>
        <w:t>feststellen</w:t>
      </w:r>
      <w:r w:rsidR="00812D82">
        <w:rPr>
          <w:lang w:val="de-DE"/>
        </w:rPr>
        <w:t xml:space="preserve"> lässt</w:t>
      </w:r>
      <w:r w:rsidR="003E3A6C">
        <w:rPr>
          <w:lang w:val="de-DE"/>
        </w:rPr>
        <w:t>, dass das Schweizerdeutsche</w:t>
      </w:r>
      <w:r w:rsidR="00812D82">
        <w:rPr>
          <w:lang w:val="de-DE"/>
        </w:rPr>
        <w:t xml:space="preserve"> im Vergleich zu anderen Dialekten, die aufgrund </w:t>
      </w:r>
      <w:r w:rsidR="00C55E49">
        <w:rPr>
          <w:lang w:val="de-DE"/>
        </w:rPr>
        <w:t>ihrer</w:t>
      </w:r>
      <w:r w:rsidR="00812D82">
        <w:rPr>
          <w:lang w:val="de-DE"/>
        </w:rPr>
        <w:t xml:space="preserve"> </w:t>
      </w:r>
      <w:r w:rsidR="00C55E49">
        <w:rPr>
          <w:lang w:val="de-DE"/>
        </w:rPr>
        <w:t>Abweichungen</w:t>
      </w:r>
      <w:r w:rsidR="00812D82">
        <w:rPr>
          <w:lang w:val="de-DE"/>
        </w:rPr>
        <w:t xml:space="preserve"> zur Standardsprache den Dialektstatus bekommen, </w:t>
      </w:r>
      <w:r w:rsidR="003E3A6C">
        <w:rPr>
          <w:lang w:val="de-DE"/>
        </w:rPr>
        <w:t>also eine bes</w:t>
      </w:r>
      <w:r w:rsidR="00AD71D6">
        <w:rPr>
          <w:lang w:val="de-DE"/>
        </w:rPr>
        <w:t>timmte Sonderposition einnimmt</w:t>
      </w:r>
      <w:r w:rsidR="00812D82">
        <w:rPr>
          <w:lang w:val="de-DE"/>
        </w:rPr>
        <w:t xml:space="preserve">, kann nicht ausgeschlossen werden, dass das Schweizerdeutsche sich in der Zukunft </w:t>
      </w:r>
      <w:r w:rsidR="00720F46">
        <w:rPr>
          <w:lang w:val="de-DE"/>
        </w:rPr>
        <w:t xml:space="preserve">noch </w:t>
      </w:r>
      <w:r w:rsidR="00812D82">
        <w:rPr>
          <w:lang w:val="de-DE"/>
        </w:rPr>
        <w:t>zu einer Sprache entwickelt.</w:t>
      </w:r>
    </w:p>
    <w:p w14:paraId="117C1FE7" w14:textId="0CE7E432" w:rsidR="006F0754" w:rsidRDefault="00AD71D6" w:rsidP="003103F8">
      <w:pPr>
        <w:rPr>
          <w:rFonts w:cs="Times New Roman"/>
          <w:lang w:val="de-DE"/>
        </w:rPr>
      </w:pPr>
      <w:r>
        <w:rPr>
          <w:lang w:val="de-DE"/>
        </w:rPr>
        <w:tab/>
      </w:r>
      <w:r w:rsidR="00AE0C55">
        <w:rPr>
          <w:lang w:val="de-DE"/>
        </w:rPr>
        <w:t xml:space="preserve">Die ungarische Sprache </w:t>
      </w:r>
      <w:r w:rsidR="003D6BEC">
        <w:rPr>
          <w:lang w:val="de-DE"/>
        </w:rPr>
        <w:t xml:space="preserve">ist natürlich eine Sprache und kein Dialekt, auch wenn von den Kocsis wahrscheinlich ein Vojvodiner Dialekt gesprochen wird, aber </w:t>
      </w:r>
      <w:r w:rsidR="00AE0C55">
        <w:rPr>
          <w:lang w:val="de-DE"/>
        </w:rPr>
        <w:t>kennt ih</w:t>
      </w:r>
      <w:r w:rsidR="00627A6C">
        <w:rPr>
          <w:lang w:val="de-DE"/>
        </w:rPr>
        <w:t>re Sonderposition darin, dass sie nicht zur indoeuropäischen, sondern zur uralischen Sprachfamilie gehört. Sie gestaltet mit der estnischen und der finnischen Sprache die finno-ugris</w:t>
      </w:r>
      <w:r w:rsidR="002D6C84">
        <w:rPr>
          <w:lang w:val="de-DE"/>
        </w:rPr>
        <w:t>che Sprachgruppe. Das Ungarisch</w:t>
      </w:r>
      <w:r w:rsidR="00627A6C">
        <w:rPr>
          <w:lang w:val="de-DE"/>
        </w:rPr>
        <w:t xml:space="preserve"> </w:t>
      </w:r>
      <w:r w:rsidR="00C55E49">
        <w:rPr>
          <w:lang w:val="de-DE"/>
        </w:rPr>
        <w:t xml:space="preserve">entwickelte sich </w:t>
      </w:r>
      <w:r w:rsidR="00627A6C">
        <w:rPr>
          <w:lang w:val="de-DE"/>
        </w:rPr>
        <w:t>nicht aus vergangenen Sprachen im ungarischen Gebiet, sondern wurde mit der Ankunft der Magyaren</w:t>
      </w:r>
      <w:r w:rsidR="006A4DB2">
        <w:rPr>
          <w:lang w:val="de-DE"/>
        </w:rPr>
        <w:t xml:space="preserve"> um das 9. Jahrhundert</w:t>
      </w:r>
      <w:r w:rsidR="006A4DB2">
        <w:rPr>
          <w:rStyle w:val="Voetnootmarkering"/>
          <w:lang w:val="de-DE"/>
        </w:rPr>
        <w:footnoteReference w:id="145"/>
      </w:r>
      <w:r w:rsidR="00627A6C">
        <w:rPr>
          <w:lang w:val="de-DE"/>
        </w:rPr>
        <w:t xml:space="preserve"> in Europa </w:t>
      </w:r>
      <w:r w:rsidR="00C55E49">
        <w:rPr>
          <w:lang w:val="de-DE"/>
        </w:rPr>
        <w:t>eingeführt</w:t>
      </w:r>
      <w:r w:rsidR="00627A6C">
        <w:rPr>
          <w:lang w:val="de-DE"/>
        </w:rPr>
        <w:t>.</w:t>
      </w:r>
      <w:r w:rsidR="006A4DB2">
        <w:rPr>
          <w:rStyle w:val="Voetnootmarkering"/>
          <w:lang w:val="de-DE"/>
        </w:rPr>
        <w:footnoteReference w:id="146"/>
      </w:r>
      <w:r w:rsidR="004D26EB">
        <w:rPr>
          <w:lang w:val="de-DE"/>
        </w:rPr>
        <w:t xml:space="preserve"> </w:t>
      </w:r>
      <w:r w:rsidR="00C55E49">
        <w:rPr>
          <w:lang w:val="de-DE"/>
        </w:rPr>
        <w:t>Es fand also ein Sprach</w:t>
      </w:r>
      <w:r w:rsidR="001F0836">
        <w:rPr>
          <w:lang w:val="de-DE"/>
        </w:rPr>
        <w:t>ersatz</w:t>
      </w:r>
      <w:r w:rsidR="001F57F8">
        <w:rPr>
          <w:lang w:val="de-DE"/>
        </w:rPr>
        <w:t xml:space="preserve"> statt, wie auch in von den Römern</w:t>
      </w:r>
      <w:r w:rsidR="00720F46">
        <w:rPr>
          <w:lang w:val="de-DE"/>
        </w:rPr>
        <w:t xml:space="preserve"> eroberten Gebieten der Fall war</w:t>
      </w:r>
      <w:r w:rsidR="001F57F8">
        <w:rPr>
          <w:lang w:val="de-DE"/>
        </w:rPr>
        <w:t>, woraus sich die romanischen Sprachen entwickelt haben.</w:t>
      </w:r>
      <w:r w:rsidR="001F57F8">
        <w:rPr>
          <w:rStyle w:val="Voetnootmarkering"/>
          <w:lang w:val="de-DE"/>
        </w:rPr>
        <w:footnoteReference w:id="147"/>
      </w:r>
      <w:r w:rsidR="00A8234B">
        <w:rPr>
          <w:lang w:val="de-DE"/>
        </w:rPr>
        <w:t xml:space="preserve"> </w:t>
      </w:r>
      <w:r w:rsidR="00993946">
        <w:rPr>
          <w:lang w:val="de-DE"/>
        </w:rPr>
        <w:t>Die Unterschiede zwischen dem Schweizerd</w:t>
      </w:r>
      <w:r w:rsidR="00BB7F5F">
        <w:rPr>
          <w:lang w:val="de-DE"/>
        </w:rPr>
        <w:t xml:space="preserve">eutschen und dem Ungarischen </w:t>
      </w:r>
      <w:r w:rsidR="00D069E2">
        <w:rPr>
          <w:lang w:val="de-DE"/>
        </w:rPr>
        <w:t xml:space="preserve">bezeichnen zugleich die Grenzen zweier Gesellschaften, wie René Kegelmann in </w:t>
      </w:r>
      <w:r w:rsidR="007C5D2D">
        <w:rPr>
          <w:lang w:val="de-DE"/>
        </w:rPr>
        <w:t>seinem</w:t>
      </w:r>
      <w:r w:rsidR="00D069E2">
        <w:rPr>
          <w:lang w:val="de-DE"/>
        </w:rPr>
        <w:t xml:space="preserve"> Artikel „</w:t>
      </w:r>
      <w:r w:rsidR="00D069E2">
        <w:rPr>
          <w:rFonts w:cs="Times New Roman"/>
          <w:lang w:val="de-DE"/>
        </w:rPr>
        <w:t>«Wenn nämlich bereits ein Wort keine Ents</w:t>
      </w:r>
      <w:r w:rsidR="00A8234B">
        <w:rPr>
          <w:rFonts w:cs="Times New Roman"/>
          <w:lang w:val="de-DE"/>
        </w:rPr>
        <w:t xml:space="preserve">prechung findet, wie soll dann </w:t>
      </w:r>
      <w:r w:rsidR="00D069E2">
        <w:rPr>
          <w:rFonts w:cs="Times New Roman"/>
          <w:lang w:val="de-DE"/>
        </w:rPr>
        <w:t>ein halbes Leben in der neuen Sprache erzählt werden?»“</w:t>
      </w:r>
      <w:r w:rsidR="003D6D93">
        <w:rPr>
          <w:rFonts w:cs="Times New Roman"/>
          <w:lang w:val="de-DE"/>
        </w:rPr>
        <w:t xml:space="preserve"> </w:t>
      </w:r>
      <w:r w:rsidR="00D069E2">
        <w:rPr>
          <w:rFonts w:cs="Times New Roman"/>
          <w:lang w:val="de-DE"/>
        </w:rPr>
        <w:t>beschreibt.</w:t>
      </w:r>
      <w:r w:rsidR="00A8234B">
        <w:rPr>
          <w:rFonts w:cs="Times New Roman"/>
          <w:lang w:val="de-DE"/>
        </w:rPr>
        <w:t xml:space="preserve"> Beide Sprachen belegen also eine bestimmte Sonderposition: Das Schweizerdeutsche befindet sich irgendwo zwischen einer Sprache und einem Dialekt, und das Ungarisch gehört als eine der einzigen</w:t>
      </w:r>
      <w:r w:rsidR="00993946">
        <w:rPr>
          <w:rFonts w:cs="Times New Roman"/>
          <w:lang w:val="de-DE"/>
        </w:rPr>
        <w:t xml:space="preserve"> </w:t>
      </w:r>
      <w:r w:rsidR="00C813C0" w:rsidRPr="00464894">
        <w:rPr>
          <w:rFonts w:cs="Times New Roman"/>
          <w:lang w:val="de-DE"/>
        </w:rPr>
        <w:t>der</w:t>
      </w:r>
      <w:r w:rsidR="00C813C0">
        <w:rPr>
          <w:rFonts w:cs="Times New Roman"/>
          <w:lang w:val="de-DE"/>
        </w:rPr>
        <w:t xml:space="preserve"> </w:t>
      </w:r>
      <w:r w:rsidR="00993946">
        <w:rPr>
          <w:rFonts w:cs="Times New Roman"/>
          <w:lang w:val="de-DE"/>
        </w:rPr>
        <w:t>in Europa gesprochenen Sprachen</w:t>
      </w:r>
      <w:r w:rsidR="00A8234B">
        <w:rPr>
          <w:rFonts w:cs="Times New Roman"/>
          <w:lang w:val="de-DE"/>
        </w:rPr>
        <w:t xml:space="preserve"> nicht zur indoeuropäischen Sprachfamilie.</w:t>
      </w:r>
    </w:p>
    <w:p w14:paraId="16812473" w14:textId="70957139" w:rsidR="00D96B07" w:rsidRPr="006F0754" w:rsidRDefault="006F0754" w:rsidP="003103F8">
      <w:pPr>
        <w:rPr>
          <w:rFonts w:cs="Times New Roman"/>
          <w:lang w:val="de-DE"/>
        </w:rPr>
      </w:pPr>
      <w:r>
        <w:rPr>
          <w:rFonts w:cs="Times New Roman"/>
          <w:lang w:val="de-DE"/>
        </w:rPr>
        <w:tab/>
        <w:t xml:space="preserve">Für </w:t>
      </w:r>
      <w:r w:rsidR="00D96B07">
        <w:rPr>
          <w:rFonts w:cs="Times New Roman"/>
          <w:lang w:val="de-DE"/>
        </w:rPr>
        <w:t>Melinda Nadj Abonji</w:t>
      </w:r>
      <w:r>
        <w:rPr>
          <w:rFonts w:cs="Times New Roman"/>
          <w:lang w:val="de-DE"/>
        </w:rPr>
        <w:t xml:space="preserve"> war Sprache immer etwas Besonderes, oft aber auch etwas Schmerzliches.</w:t>
      </w:r>
      <w:r>
        <w:rPr>
          <w:rStyle w:val="Voetnootmarkering"/>
          <w:rFonts w:cs="Times New Roman"/>
          <w:lang w:val="de-DE"/>
        </w:rPr>
        <w:footnoteReference w:id="148"/>
      </w:r>
      <w:r>
        <w:rPr>
          <w:rFonts w:cs="Times New Roman"/>
          <w:lang w:val="de-DE"/>
        </w:rPr>
        <w:t xml:space="preserve"> Ihr „</w:t>
      </w:r>
      <w:r w:rsidRPr="006F0754">
        <w:rPr>
          <w:rFonts w:cs="Times New Roman"/>
          <w:lang w:val="de-DE"/>
        </w:rPr>
        <w:t xml:space="preserve">literarisches Schaffen ist von sprachlichen Experimenten </w:t>
      </w:r>
      <w:r w:rsidRPr="006F0754">
        <w:rPr>
          <w:rFonts w:cs="Times New Roman"/>
          <w:lang w:val="de-DE"/>
        </w:rPr>
        <w:lastRenderedPageBreak/>
        <w:t>geprägt, bei denen die Po</w:t>
      </w:r>
      <w:r>
        <w:rPr>
          <w:rFonts w:cs="Times New Roman"/>
          <w:lang w:val="de-DE"/>
        </w:rPr>
        <w:t>lyphonie des Alltags Pate steht</w:t>
      </w:r>
      <w:r w:rsidR="00A03905">
        <w:rPr>
          <w:rFonts w:cs="Times New Roman"/>
          <w:lang w:val="de-DE"/>
        </w:rPr>
        <w:t>.</w:t>
      </w:r>
      <w:r>
        <w:rPr>
          <w:rFonts w:cs="Times New Roman"/>
          <w:lang w:val="de-DE"/>
        </w:rPr>
        <w:t>“</w:t>
      </w:r>
      <w:r>
        <w:rPr>
          <w:rStyle w:val="Voetnootmarkering"/>
          <w:rFonts w:cs="Times New Roman"/>
          <w:lang w:val="de-DE"/>
        </w:rPr>
        <w:footnoteReference w:id="149"/>
      </w:r>
      <w:r w:rsidR="00A03905">
        <w:rPr>
          <w:rFonts w:cs="Times New Roman"/>
          <w:lang w:val="de-DE"/>
        </w:rPr>
        <w:t xml:space="preserve"> </w:t>
      </w:r>
      <w:r w:rsidR="00D96B07">
        <w:rPr>
          <w:rFonts w:cs="Times New Roman"/>
          <w:lang w:val="de-DE"/>
        </w:rPr>
        <w:t xml:space="preserve">Sie hat den Unterschied zwischen beiden Sprachen kommentiert, da sie selbst als junges Kind aus der Vojvodina in die Schweiz umzog, was dem Text einen autobiographischen Charakter </w:t>
      </w:r>
      <w:r w:rsidR="00C55E49">
        <w:rPr>
          <w:rFonts w:cs="Times New Roman"/>
          <w:lang w:val="de-DE"/>
        </w:rPr>
        <w:t>verleiht</w:t>
      </w:r>
      <w:r w:rsidR="00D96B07">
        <w:rPr>
          <w:rFonts w:cs="Times New Roman"/>
          <w:lang w:val="de-DE"/>
        </w:rPr>
        <w:t xml:space="preserve">. </w:t>
      </w:r>
      <w:r w:rsidR="004E17F5">
        <w:rPr>
          <w:rFonts w:cs="Times New Roman"/>
          <w:lang w:val="de-DE"/>
        </w:rPr>
        <w:t xml:space="preserve">Nadj </w:t>
      </w:r>
      <w:r w:rsidR="00D96B07">
        <w:rPr>
          <w:rFonts w:cs="Times New Roman"/>
          <w:lang w:val="de-DE"/>
        </w:rPr>
        <w:t>Abonji betont in Veranstaltungen oft, „dass sie mit ihrer zweiten angelernten Sprache Deutsch nicht in die tiefen emotionalen Schichten ihrer Kindheit eindringen [k</w:t>
      </w:r>
      <w:r w:rsidR="00443320">
        <w:rPr>
          <w:rFonts w:cs="Times New Roman"/>
          <w:lang w:val="de-DE"/>
        </w:rPr>
        <w:t>ö</w:t>
      </w:r>
      <w:r w:rsidR="00D96B07">
        <w:rPr>
          <w:rFonts w:cs="Times New Roman"/>
          <w:lang w:val="de-DE"/>
        </w:rPr>
        <w:t>nn</w:t>
      </w:r>
      <w:r w:rsidR="00443320">
        <w:rPr>
          <w:rFonts w:cs="Times New Roman"/>
          <w:lang w:val="de-DE"/>
        </w:rPr>
        <w:t>e</w:t>
      </w:r>
      <w:r w:rsidR="00D96B07">
        <w:rPr>
          <w:rFonts w:cs="Times New Roman"/>
          <w:lang w:val="de-DE"/>
        </w:rPr>
        <w:t>], und das wirke sich auch deutlich auf ihre literarischen Texte aus.“</w:t>
      </w:r>
      <w:r w:rsidR="00D96B07">
        <w:rPr>
          <w:rStyle w:val="Voetnootmarkering"/>
          <w:rFonts w:cs="Times New Roman"/>
          <w:lang w:val="de-DE"/>
        </w:rPr>
        <w:footnoteReference w:id="150"/>
      </w:r>
      <w:r w:rsidR="004E17F5">
        <w:rPr>
          <w:rFonts w:cs="Times New Roman"/>
          <w:lang w:val="de-DE"/>
        </w:rPr>
        <w:t xml:space="preserve"> Für sie funktioniert die erste Sprache </w:t>
      </w:r>
      <w:r w:rsidR="00EF2141">
        <w:rPr>
          <w:rFonts w:cs="Times New Roman"/>
          <w:lang w:val="de-DE"/>
        </w:rPr>
        <w:t xml:space="preserve">als </w:t>
      </w:r>
      <w:r w:rsidR="004E17F5">
        <w:rPr>
          <w:rFonts w:cs="Times New Roman"/>
          <w:lang w:val="de-DE"/>
        </w:rPr>
        <w:t xml:space="preserve">ein </w:t>
      </w:r>
      <w:r w:rsidR="00EF2141">
        <w:rPr>
          <w:rFonts w:cs="Times New Roman"/>
          <w:lang w:val="de-DE"/>
        </w:rPr>
        <w:t>„</w:t>
      </w:r>
      <w:r w:rsidR="004E17F5">
        <w:rPr>
          <w:rFonts w:cs="Times New Roman"/>
          <w:lang w:val="de-DE"/>
        </w:rPr>
        <w:t xml:space="preserve">Speicher </w:t>
      </w:r>
      <w:r w:rsidR="00EF2141">
        <w:rPr>
          <w:rFonts w:cs="Times New Roman"/>
          <w:lang w:val="de-DE"/>
        </w:rPr>
        <w:t>von Erinnerungen und sinnlichen Eindrücken“,</w:t>
      </w:r>
      <w:r w:rsidR="006D6304">
        <w:rPr>
          <w:rStyle w:val="Voetnootmarkering"/>
          <w:rFonts w:cs="Times New Roman"/>
          <w:lang w:val="de-DE"/>
        </w:rPr>
        <w:footnoteReference w:id="151"/>
      </w:r>
      <w:r w:rsidR="00EF2141">
        <w:rPr>
          <w:rFonts w:cs="Times New Roman"/>
          <w:lang w:val="de-DE"/>
        </w:rPr>
        <w:t xml:space="preserve"> die in der neuen Sprache fehlen.</w:t>
      </w:r>
      <w:r w:rsidR="00EF2141">
        <w:rPr>
          <w:rStyle w:val="Voetnootmarkering"/>
          <w:rFonts w:cs="Times New Roman"/>
          <w:lang w:val="de-DE"/>
        </w:rPr>
        <w:footnoteReference w:id="152"/>
      </w:r>
      <w:r w:rsidR="00F87250">
        <w:rPr>
          <w:rFonts w:cs="Times New Roman"/>
          <w:lang w:val="de-DE"/>
        </w:rPr>
        <w:t xml:space="preserve"> </w:t>
      </w:r>
      <w:r w:rsidR="00710BE9">
        <w:rPr>
          <w:rFonts w:cs="Times New Roman"/>
          <w:lang w:val="de-DE"/>
        </w:rPr>
        <w:t xml:space="preserve">Das Fehlen einer Gefühlshoheit der (deutschen) Sprache wird in </w:t>
      </w:r>
      <w:r w:rsidR="00710BE9">
        <w:rPr>
          <w:rFonts w:cs="Times New Roman"/>
          <w:i/>
          <w:lang w:val="de-DE"/>
        </w:rPr>
        <w:t>Tauben fliegen auf</w:t>
      </w:r>
      <w:r w:rsidR="00710BE9">
        <w:rPr>
          <w:rFonts w:cs="Times New Roman"/>
          <w:lang w:val="de-DE"/>
        </w:rPr>
        <w:t xml:space="preserve"> auch thematisiert. So resultiert </w:t>
      </w:r>
      <w:r w:rsidR="00F73DBD">
        <w:rPr>
          <w:rFonts w:cs="Times New Roman"/>
          <w:lang w:val="de-DE"/>
        </w:rPr>
        <w:t>Ildikó</w:t>
      </w:r>
      <w:r w:rsidR="00710BE9">
        <w:rPr>
          <w:rFonts w:cs="Times New Roman"/>
          <w:lang w:val="de-DE"/>
        </w:rPr>
        <w:t>s Sprachlosigkeit zum Teil daraus, dass „bereits ein Wort keine Entsprechung findet“ (TFA: 165) und daher scheint es ihr fast unmöglich „ein halbes Leben in der neuen Sprache“ (TFA: 165) zu erzählen.</w:t>
      </w:r>
      <w:r w:rsidR="00710BE9">
        <w:rPr>
          <w:rStyle w:val="Voetnootmarkering"/>
          <w:rFonts w:cs="Times New Roman"/>
          <w:lang w:val="de-DE"/>
        </w:rPr>
        <w:footnoteReference w:id="153"/>
      </w:r>
      <w:r w:rsidR="003A6A67">
        <w:rPr>
          <w:rFonts w:cs="Times New Roman"/>
          <w:lang w:val="de-DE"/>
        </w:rPr>
        <w:t xml:space="preserve"> </w:t>
      </w:r>
      <w:bookmarkStart w:id="39" w:name="_Hlk513480344"/>
      <w:r w:rsidR="00B25543">
        <w:rPr>
          <w:lang w:val="de-DE"/>
        </w:rPr>
        <w:t xml:space="preserve">Wie </w:t>
      </w:r>
      <w:r w:rsidR="00216620">
        <w:rPr>
          <w:lang w:val="de-DE"/>
        </w:rPr>
        <w:t>sich</w:t>
      </w:r>
      <w:r w:rsidR="00B25543">
        <w:rPr>
          <w:lang w:val="de-DE"/>
        </w:rPr>
        <w:t xml:space="preserve"> die beiden Sprachen im Text zueinander verhalten</w:t>
      </w:r>
      <w:bookmarkEnd w:id="39"/>
      <w:r w:rsidR="00B25543">
        <w:rPr>
          <w:lang w:val="de-DE"/>
        </w:rPr>
        <w:t>, wird im Folgenden untersucht.</w:t>
      </w:r>
    </w:p>
    <w:p w14:paraId="65770757" w14:textId="6FFA8287" w:rsidR="003133A3" w:rsidRPr="000B1738" w:rsidRDefault="000B1738" w:rsidP="00F71F8A">
      <w:pPr>
        <w:pStyle w:val="Kop3"/>
        <w:numPr>
          <w:ilvl w:val="2"/>
          <w:numId w:val="2"/>
        </w:numPr>
        <w:rPr>
          <w:lang w:val="de-DE"/>
        </w:rPr>
      </w:pPr>
      <w:bookmarkStart w:id="40" w:name="_Toc515180100"/>
      <w:r w:rsidRPr="000B1738">
        <w:rPr>
          <w:lang w:val="de-DE"/>
        </w:rPr>
        <w:t>Motiv des Fensters</w:t>
      </w:r>
      <w:bookmarkEnd w:id="40"/>
    </w:p>
    <w:p w14:paraId="27FE75B6" w14:textId="3212252E" w:rsidR="00600FB8" w:rsidRDefault="00A752B6" w:rsidP="007E5154">
      <w:pPr>
        <w:rPr>
          <w:lang w:val="de-DE"/>
        </w:rPr>
      </w:pPr>
      <w:r>
        <w:rPr>
          <w:lang w:val="de-DE"/>
        </w:rPr>
        <w:t xml:space="preserve">In einem Aufsatz </w:t>
      </w:r>
      <w:r w:rsidR="00A8234B">
        <w:rPr>
          <w:lang w:val="de-DE"/>
        </w:rPr>
        <w:t xml:space="preserve">für </w:t>
      </w:r>
      <w:r w:rsidR="00C55E49">
        <w:rPr>
          <w:lang w:val="de-DE"/>
        </w:rPr>
        <w:t>den</w:t>
      </w:r>
      <w:r w:rsidR="00A8234B">
        <w:rPr>
          <w:lang w:val="de-DE"/>
        </w:rPr>
        <w:t xml:space="preserve"> Blog „Das Leben ist Ausland“ </w:t>
      </w:r>
      <w:r>
        <w:rPr>
          <w:lang w:val="de-DE"/>
        </w:rPr>
        <w:t>macht</w:t>
      </w:r>
      <w:r w:rsidR="00F21D11">
        <w:rPr>
          <w:lang w:val="de-DE"/>
        </w:rPr>
        <w:t xml:space="preserve"> Melinda Nadj Abonji</w:t>
      </w:r>
      <w:r>
        <w:rPr>
          <w:lang w:val="de-DE"/>
        </w:rPr>
        <w:t xml:space="preserve"> </w:t>
      </w:r>
      <w:r w:rsidR="00F21D11">
        <w:rPr>
          <w:lang w:val="de-DE"/>
        </w:rPr>
        <w:t>einen Vergleich</w:t>
      </w:r>
      <w:r w:rsidR="007879C2">
        <w:rPr>
          <w:lang w:val="de-DE"/>
        </w:rPr>
        <w:t xml:space="preserve"> zwischen den </w:t>
      </w:r>
      <w:r>
        <w:rPr>
          <w:lang w:val="de-DE"/>
        </w:rPr>
        <w:t>jeweiligen Sprachen anhand vom Wort „Haus“</w:t>
      </w:r>
      <w:r w:rsidR="00C813C0">
        <w:rPr>
          <w:lang w:val="de-DE"/>
        </w:rPr>
        <w:t>.</w:t>
      </w:r>
      <w:r w:rsidR="00F21D11">
        <w:rPr>
          <w:rStyle w:val="Voetnootmarkering"/>
          <w:lang w:val="de-DE"/>
        </w:rPr>
        <w:footnoteReference w:id="154"/>
      </w:r>
      <w:r w:rsidR="00F21D11">
        <w:rPr>
          <w:lang w:val="de-DE"/>
        </w:rPr>
        <w:t xml:space="preserve"> </w:t>
      </w:r>
      <w:r w:rsidR="00A45C23">
        <w:rPr>
          <w:lang w:val="de-DE"/>
        </w:rPr>
        <w:t xml:space="preserve">Das </w:t>
      </w:r>
      <w:r w:rsidR="001650E6">
        <w:rPr>
          <w:lang w:val="de-DE"/>
        </w:rPr>
        <w:t>ungarische</w:t>
      </w:r>
      <w:r w:rsidR="00C449AE">
        <w:rPr>
          <w:lang w:val="de-DE"/>
        </w:rPr>
        <w:t xml:space="preserve"> „</w:t>
      </w:r>
      <w:r w:rsidR="00A45C23">
        <w:rPr>
          <w:lang w:val="de-DE"/>
        </w:rPr>
        <w:t>h</w:t>
      </w:r>
      <w:r w:rsidR="00C449AE">
        <w:rPr>
          <w:lang w:val="de-DE"/>
        </w:rPr>
        <w:t>áz“</w:t>
      </w:r>
      <w:r w:rsidR="007F6987">
        <w:rPr>
          <w:lang w:val="de-DE"/>
        </w:rPr>
        <w:t xml:space="preserve"> bedeutet </w:t>
      </w:r>
      <w:r w:rsidR="00A8234B">
        <w:rPr>
          <w:lang w:val="de-DE"/>
        </w:rPr>
        <w:t xml:space="preserve">für sie </w:t>
      </w:r>
      <w:r w:rsidR="007F6987">
        <w:rPr>
          <w:lang w:val="de-DE"/>
        </w:rPr>
        <w:t>das Haus ihrer Gro</w:t>
      </w:r>
      <w:r w:rsidR="007F6987">
        <w:rPr>
          <w:rFonts w:cs="Times New Roman"/>
          <w:lang w:val="de-DE"/>
        </w:rPr>
        <w:t>ß</w:t>
      </w:r>
      <w:r w:rsidR="007F6987">
        <w:rPr>
          <w:lang w:val="de-DE"/>
        </w:rPr>
        <w:t>mutter, „ein ebenerdiges Haus mit einem grossen Korridor, in dem wir die Suppeneinlagen zum Trocknen auslegten, und zum Haus meiner Grossmutter gehörte ein Innenhof, das Wort „Haus“, also „ház“, was insofern untrennbar mit einem Innenhof verbunden</w:t>
      </w:r>
      <w:r w:rsidR="00123AC0">
        <w:rPr>
          <w:lang w:val="de-DE"/>
        </w:rPr>
        <w:t>.“</w:t>
      </w:r>
      <w:r w:rsidR="007F6987">
        <w:rPr>
          <w:rStyle w:val="Voetnootmarkering"/>
          <w:lang w:val="de-DE"/>
        </w:rPr>
        <w:footnoteReference w:id="155"/>
      </w:r>
      <w:r w:rsidR="00DA06DA">
        <w:rPr>
          <w:lang w:val="de-DE"/>
        </w:rPr>
        <w:t xml:space="preserve"> </w:t>
      </w:r>
      <w:r w:rsidR="00FB6783">
        <w:rPr>
          <w:lang w:val="de-DE"/>
        </w:rPr>
        <w:t xml:space="preserve">Auch in </w:t>
      </w:r>
      <w:r w:rsidR="00FB6783">
        <w:rPr>
          <w:i/>
          <w:lang w:val="de-DE"/>
        </w:rPr>
        <w:t xml:space="preserve">Tauben fliegen auf </w:t>
      </w:r>
      <w:r w:rsidR="00FB6783">
        <w:rPr>
          <w:lang w:val="de-DE"/>
        </w:rPr>
        <w:t xml:space="preserve">wird auf den Innenhof </w:t>
      </w:r>
      <w:r w:rsidR="008152F5">
        <w:rPr>
          <w:lang w:val="de-DE"/>
        </w:rPr>
        <w:t>des Hauses von Ildikós Gro</w:t>
      </w:r>
      <w:r w:rsidR="008152F5">
        <w:rPr>
          <w:rFonts w:cs="Times New Roman"/>
          <w:lang w:val="de-DE"/>
        </w:rPr>
        <w:t>ß</w:t>
      </w:r>
      <w:r w:rsidR="008152F5">
        <w:rPr>
          <w:lang w:val="de-DE"/>
        </w:rPr>
        <w:t xml:space="preserve">mutter </w:t>
      </w:r>
      <w:r w:rsidR="00FB6783">
        <w:rPr>
          <w:lang w:val="de-DE"/>
        </w:rPr>
        <w:t xml:space="preserve">verwiesen (vgl. TFA: 12-13). </w:t>
      </w:r>
      <w:r w:rsidR="00DA06DA">
        <w:rPr>
          <w:lang w:val="de-DE"/>
        </w:rPr>
        <w:t xml:space="preserve">Für </w:t>
      </w:r>
      <w:r w:rsidR="00C813C0">
        <w:rPr>
          <w:lang w:val="de-DE"/>
        </w:rPr>
        <w:t xml:space="preserve">Nadj </w:t>
      </w:r>
      <w:r w:rsidR="00DA06DA">
        <w:rPr>
          <w:lang w:val="de-DE"/>
        </w:rPr>
        <w:t xml:space="preserve">Abonji </w:t>
      </w:r>
      <w:r w:rsidR="00C55E49">
        <w:rPr>
          <w:lang w:val="de-DE"/>
        </w:rPr>
        <w:t xml:space="preserve">hatte </w:t>
      </w:r>
      <w:r w:rsidR="00DA06DA">
        <w:rPr>
          <w:lang w:val="de-DE"/>
        </w:rPr>
        <w:t xml:space="preserve">als Kind ein schweizerisches Haus nichts mit einem ungarischen </w:t>
      </w:r>
      <w:r w:rsidR="00C449AE">
        <w:rPr>
          <w:lang w:val="de-DE"/>
        </w:rPr>
        <w:t>„</w:t>
      </w:r>
      <w:r w:rsidR="008152F5">
        <w:rPr>
          <w:lang w:val="de-DE"/>
        </w:rPr>
        <w:t>há</w:t>
      </w:r>
      <w:r w:rsidR="00DA06DA">
        <w:rPr>
          <w:lang w:val="de-DE"/>
        </w:rPr>
        <w:t>z</w:t>
      </w:r>
      <w:r w:rsidR="00C449AE">
        <w:rPr>
          <w:lang w:val="de-DE"/>
        </w:rPr>
        <w:t>“</w:t>
      </w:r>
      <w:r w:rsidR="00DA06DA">
        <w:rPr>
          <w:lang w:val="de-DE"/>
        </w:rPr>
        <w:t xml:space="preserve"> zu tun, denn „das schweizerische Haus war mehrstöckig, hatte einen Vorplatz, und in den </w:t>
      </w:r>
      <w:r w:rsidR="00DA06DA">
        <w:rPr>
          <w:lang w:val="de-DE"/>
        </w:rPr>
        <w:lastRenderedPageBreak/>
        <w:t>Treppenhäusern waren rote Blumen mit Blättern, die sich pelzig anfühlten, auf Fenstersimsen aufgereiht; vor allem aber war das schweizerdeutsche Haus ausgehöhlt, und diese Höhle, in der die Autos standen, wurde „Garage“ genannt.“</w:t>
      </w:r>
      <w:r w:rsidR="00DA06DA">
        <w:rPr>
          <w:rStyle w:val="Voetnootmarkering"/>
          <w:lang w:val="de-DE"/>
        </w:rPr>
        <w:footnoteReference w:id="156"/>
      </w:r>
      <w:r w:rsidR="00DA06DA">
        <w:rPr>
          <w:lang w:val="de-DE"/>
        </w:rPr>
        <w:t xml:space="preserve"> </w:t>
      </w:r>
      <w:r w:rsidR="00C05398">
        <w:rPr>
          <w:lang w:val="de-DE"/>
        </w:rPr>
        <w:t xml:space="preserve">Nadj </w:t>
      </w:r>
      <w:r w:rsidR="00DA06DA">
        <w:rPr>
          <w:lang w:val="de-DE"/>
        </w:rPr>
        <w:t xml:space="preserve">Abonji beschreibt, wie sie die Erfahrung hatte, dass man die Wörter nicht </w:t>
      </w:r>
      <w:r w:rsidR="00C449AE">
        <w:rPr>
          <w:lang w:val="de-DE"/>
        </w:rPr>
        <w:t>übersetzen kann, denn das, was „</w:t>
      </w:r>
      <w:r w:rsidR="00DA06DA">
        <w:rPr>
          <w:lang w:val="de-DE"/>
        </w:rPr>
        <w:t>ház</w:t>
      </w:r>
      <w:r w:rsidR="00C449AE">
        <w:rPr>
          <w:lang w:val="de-DE"/>
        </w:rPr>
        <w:t>“ ausmachte, fehlte beim „</w:t>
      </w:r>
      <w:r w:rsidR="001650E6">
        <w:rPr>
          <w:lang w:val="de-DE"/>
        </w:rPr>
        <w:t>Haus</w:t>
      </w:r>
      <w:r w:rsidR="00C449AE">
        <w:rPr>
          <w:lang w:val="de-DE"/>
        </w:rPr>
        <w:t>“</w:t>
      </w:r>
      <w:r w:rsidR="000B1738">
        <w:rPr>
          <w:lang w:val="de-DE"/>
        </w:rPr>
        <w:t>.</w:t>
      </w:r>
      <w:r w:rsidR="008C36EC">
        <w:rPr>
          <w:lang w:val="de-DE"/>
        </w:rPr>
        <w:t xml:space="preserve"> Kegelmann argumentiert, dass </w:t>
      </w:r>
      <w:r w:rsidR="00C813C0">
        <w:rPr>
          <w:lang w:val="de-DE"/>
        </w:rPr>
        <w:t xml:space="preserve">Nadj </w:t>
      </w:r>
      <w:r w:rsidR="008C36EC">
        <w:rPr>
          <w:lang w:val="de-DE"/>
        </w:rPr>
        <w:t>Abonji als Kind „eine sehr einfache, eher ländliche, aber emotional stark besetzte Kinderwelt“</w:t>
      </w:r>
      <w:r w:rsidR="008C36EC">
        <w:rPr>
          <w:rStyle w:val="Voetnootmarkering"/>
          <w:lang w:val="de-DE"/>
        </w:rPr>
        <w:footnoteReference w:id="157"/>
      </w:r>
      <w:r w:rsidR="008C36EC">
        <w:rPr>
          <w:lang w:val="de-DE"/>
        </w:rPr>
        <w:t xml:space="preserve"> mit Haus </w:t>
      </w:r>
      <w:r w:rsidR="007B1CE5">
        <w:rPr>
          <w:lang w:val="de-DE"/>
        </w:rPr>
        <w:t>verband</w:t>
      </w:r>
      <w:r w:rsidR="008C36EC">
        <w:rPr>
          <w:lang w:val="de-DE"/>
        </w:rPr>
        <w:t>, während in der Schweiz „Haus eher mit Anonymität, Ordnung und Perfektion verbunden“</w:t>
      </w:r>
      <w:r w:rsidR="008C36EC">
        <w:rPr>
          <w:rStyle w:val="Voetnootmarkering"/>
          <w:lang w:val="de-DE"/>
        </w:rPr>
        <w:footnoteReference w:id="158"/>
      </w:r>
      <w:r w:rsidR="008C36EC">
        <w:rPr>
          <w:lang w:val="de-DE"/>
        </w:rPr>
        <w:t xml:space="preserve"> </w:t>
      </w:r>
      <w:r w:rsidR="007B1CE5">
        <w:rPr>
          <w:lang w:val="de-DE"/>
        </w:rPr>
        <w:t>wurde</w:t>
      </w:r>
      <w:r w:rsidR="008C36EC">
        <w:rPr>
          <w:lang w:val="de-DE"/>
        </w:rPr>
        <w:t xml:space="preserve">. </w:t>
      </w:r>
      <w:r w:rsidR="000B1738">
        <w:rPr>
          <w:lang w:val="de-DE"/>
        </w:rPr>
        <w:t xml:space="preserve">Auch </w:t>
      </w:r>
      <w:r w:rsidR="00F73DBD">
        <w:rPr>
          <w:lang w:val="de-DE"/>
        </w:rPr>
        <w:t>Ildikó</w:t>
      </w:r>
      <w:r w:rsidR="000B1738">
        <w:rPr>
          <w:lang w:val="de-DE"/>
        </w:rPr>
        <w:t xml:space="preserve"> gelangt zur Erkenntnis, dass das Wesentliche unübersetzbar bleibt, </w:t>
      </w:r>
      <w:r w:rsidR="008152F5">
        <w:rPr>
          <w:lang w:val="de-DE"/>
        </w:rPr>
        <w:t xml:space="preserve">z. B. </w:t>
      </w:r>
      <w:r w:rsidR="000B1738">
        <w:rPr>
          <w:lang w:val="de-DE"/>
        </w:rPr>
        <w:t>als sie ihren Eltern erklären will, weshalb sie aus dem Elternhaus zieht: „[B]in verstummt, weil ich einsah, dass es keine lindernden Worte geben würde, das Wesentliche blieb unüberset</w:t>
      </w:r>
      <w:r w:rsidR="00792E06">
        <w:rPr>
          <w:lang w:val="de-DE"/>
        </w:rPr>
        <w:t xml:space="preserve">zbar“ (TFA: 310). </w:t>
      </w:r>
      <w:bookmarkStart w:id="41" w:name="_Hlk513480362"/>
      <w:r w:rsidR="00792E06">
        <w:rPr>
          <w:lang w:val="de-DE"/>
        </w:rPr>
        <w:t xml:space="preserve">Hier kann </w:t>
      </w:r>
      <w:r w:rsidR="00F73DBD">
        <w:rPr>
          <w:lang w:val="de-DE"/>
        </w:rPr>
        <w:t>Ildikó</w:t>
      </w:r>
      <w:r w:rsidR="00792E06">
        <w:rPr>
          <w:lang w:val="de-DE"/>
        </w:rPr>
        <w:t xml:space="preserve"> nicht reden, weil die Sprache nicht fassen kann, was sie sagen will.</w:t>
      </w:r>
      <w:r w:rsidR="000B1738">
        <w:rPr>
          <w:lang w:val="de-DE"/>
        </w:rPr>
        <w:t xml:space="preserve"> </w:t>
      </w:r>
    </w:p>
    <w:bookmarkEnd w:id="41"/>
    <w:p w14:paraId="500A653B" w14:textId="381A892B" w:rsidR="00443320" w:rsidRDefault="00C55E49" w:rsidP="00443320">
      <w:pPr>
        <w:ind w:firstLine="708"/>
        <w:rPr>
          <w:lang w:val="de-DE"/>
        </w:rPr>
      </w:pPr>
      <w:r>
        <w:rPr>
          <w:lang w:val="de-DE"/>
        </w:rPr>
        <w:t xml:space="preserve">In </w:t>
      </w:r>
      <w:r w:rsidR="00C05398">
        <w:rPr>
          <w:lang w:val="de-DE"/>
        </w:rPr>
        <w:t xml:space="preserve">Nadj </w:t>
      </w:r>
      <w:r>
        <w:rPr>
          <w:lang w:val="de-DE"/>
        </w:rPr>
        <w:t>Abonjis Werk erlebt</w:t>
      </w:r>
      <w:r w:rsidR="00EB47E0">
        <w:rPr>
          <w:lang w:val="de-DE"/>
        </w:rPr>
        <w:t xml:space="preserve"> </w:t>
      </w:r>
      <w:r w:rsidR="00F73DBD">
        <w:rPr>
          <w:lang w:val="de-DE"/>
        </w:rPr>
        <w:t>Ildikó</w:t>
      </w:r>
      <w:r w:rsidR="00EB47E0">
        <w:rPr>
          <w:lang w:val="de-DE"/>
        </w:rPr>
        <w:t xml:space="preserve"> das Haus ihrer Gro</w:t>
      </w:r>
      <w:r w:rsidR="00EB47E0">
        <w:rPr>
          <w:rFonts w:cs="Times New Roman"/>
          <w:lang w:val="de-DE"/>
        </w:rPr>
        <w:t>ß</w:t>
      </w:r>
      <w:r w:rsidR="00EB47E0">
        <w:rPr>
          <w:lang w:val="de-DE"/>
        </w:rPr>
        <w:t>mutte</w:t>
      </w:r>
      <w:r w:rsidR="00C64FAC">
        <w:rPr>
          <w:lang w:val="de-DE"/>
        </w:rPr>
        <w:t>r auf ähnliche Art und Weise</w:t>
      </w:r>
      <w:r w:rsidR="00443320">
        <w:rPr>
          <w:lang w:val="de-DE"/>
        </w:rPr>
        <w:t xml:space="preserve"> wie Nadj Abonji selbst</w:t>
      </w:r>
      <w:r w:rsidR="00C64FAC">
        <w:rPr>
          <w:lang w:val="de-DE"/>
        </w:rPr>
        <w:t>. Sie beschreibt es folgenderma</w:t>
      </w:r>
      <w:r w:rsidR="00C64FAC">
        <w:rPr>
          <w:rFonts w:cs="Times New Roman"/>
          <w:lang w:val="de-DE"/>
        </w:rPr>
        <w:t>ß</w:t>
      </w:r>
      <w:r w:rsidR="00C64FAC">
        <w:rPr>
          <w:lang w:val="de-DE"/>
        </w:rPr>
        <w:t>en: „</w:t>
      </w:r>
      <w:r w:rsidR="007E5154">
        <w:rPr>
          <w:lang w:val="de-DE"/>
        </w:rPr>
        <w:t xml:space="preserve">[W]ir blinzeln zum kleinen, weissen Haus, zur Einfahrt gehörend, von der Sonne grell ausgeleuchtet, das Haus von Mamika, der Mutter meines Vaters, für mich der Prototyp eines Hauses, das </w:t>
      </w:r>
      <w:r w:rsidR="006D083E">
        <w:rPr>
          <w:lang w:val="de-DE"/>
        </w:rPr>
        <w:t>die ersten und tiefsten Geheimniss</w:t>
      </w:r>
      <w:r w:rsidR="007E5154">
        <w:rPr>
          <w:lang w:val="de-DE"/>
        </w:rPr>
        <w:t xml:space="preserve">e birgt“ (TFA: 12). </w:t>
      </w:r>
      <w:r w:rsidR="00F73DBD">
        <w:rPr>
          <w:lang w:val="de-DE"/>
        </w:rPr>
        <w:t>Ildikó</w:t>
      </w:r>
      <w:r w:rsidR="00D77F8D">
        <w:rPr>
          <w:lang w:val="de-DE"/>
        </w:rPr>
        <w:t xml:space="preserve"> trägt Mamikas Haus als Prototyp eines Hauses in der Schweiz noch mit sich und denkt vor allem oft an </w:t>
      </w:r>
      <w:r w:rsidR="006D083E">
        <w:rPr>
          <w:lang w:val="de-DE"/>
        </w:rPr>
        <w:t>ein bestimmtes</w:t>
      </w:r>
      <w:r w:rsidR="00D77F8D">
        <w:rPr>
          <w:lang w:val="de-DE"/>
        </w:rPr>
        <w:t xml:space="preserve"> Fenster zurück: „[I]hr Küchen- und Badezimmerfenster, das ich „mein schönes Fenster“ nenne, weil ich da zum ersten Mal, an einem frühen Morgen, gesehen habe, wie schön das Licht sein kann, wenn es auf den Flickenteppich leuchtet, in eine Ecke des Spiegels hinein“ (TFA: 75). Fü</w:t>
      </w:r>
      <w:r w:rsidR="008C36EC">
        <w:rPr>
          <w:lang w:val="de-DE"/>
        </w:rPr>
        <w:t xml:space="preserve">r </w:t>
      </w:r>
      <w:r w:rsidR="00F73DBD">
        <w:rPr>
          <w:lang w:val="de-DE"/>
        </w:rPr>
        <w:t>Ildikó</w:t>
      </w:r>
      <w:r w:rsidR="008C36EC">
        <w:rPr>
          <w:lang w:val="de-DE"/>
        </w:rPr>
        <w:t xml:space="preserve"> stellt das Fenster im A</w:t>
      </w:r>
      <w:r w:rsidR="00D77F8D">
        <w:rPr>
          <w:lang w:val="de-DE"/>
        </w:rPr>
        <w:t>llgemeinen einen Ausweg da</w:t>
      </w:r>
      <w:r w:rsidR="003D6D93">
        <w:rPr>
          <w:lang w:val="de-DE"/>
        </w:rPr>
        <w:t>r</w:t>
      </w:r>
      <w:r w:rsidR="00D77F8D">
        <w:rPr>
          <w:lang w:val="de-DE"/>
        </w:rPr>
        <w:t>: eine Möglichkeit der Wirklichkeit zu entfliehen</w:t>
      </w:r>
      <w:r w:rsidR="006D083E">
        <w:rPr>
          <w:lang w:val="de-DE"/>
        </w:rPr>
        <w:t xml:space="preserve"> und ins Freie hinauszugehen</w:t>
      </w:r>
      <w:r w:rsidR="00DE094F">
        <w:rPr>
          <w:lang w:val="de-DE"/>
        </w:rPr>
        <w:t xml:space="preserve">. </w:t>
      </w:r>
      <w:r w:rsidR="009B626A">
        <w:rPr>
          <w:lang w:val="de-DE"/>
        </w:rPr>
        <w:t xml:space="preserve">Auch als </w:t>
      </w:r>
      <w:r w:rsidR="00F73DBD">
        <w:rPr>
          <w:lang w:val="de-DE"/>
        </w:rPr>
        <w:t>Ildikó</w:t>
      </w:r>
      <w:r w:rsidR="009B626A">
        <w:rPr>
          <w:lang w:val="de-DE"/>
        </w:rPr>
        <w:t xml:space="preserve"> an ihre Migration in die Schweiz zurückdenkt, erwähnt sie, wie sie sich an das Fenster des Autos verloren hat (vgl. TFA. 178) und wenn sie im Mondial arbeitet, erwähnt sie manchmal, wie sie aus dem Fenster hinausschaut: „Als die Sonne durch die Fenster des Mondial scheint</w:t>
      </w:r>
      <w:r w:rsidR="00600FB8">
        <w:rPr>
          <w:lang w:val="de-DE"/>
        </w:rPr>
        <w:t xml:space="preserve">, an einem Vormittag, an einem normalen Vormittag im Sommer, ich zwischen den Bestellungen immer wieder hinausschaue, ins Freie“ (TFA: 218). </w:t>
      </w:r>
      <w:r w:rsidR="004565AE">
        <w:rPr>
          <w:lang w:val="de-DE"/>
        </w:rPr>
        <w:t xml:space="preserve">Es wäre fast, als </w:t>
      </w:r>
      <w:r w:rsidR="008C36EC">
        <w:rPr>
          <w:lang w:val="de-DE"/>
        </w:rPr>
        <w:t>würde</w:t>
      </w:r>
      <w:r w:rsidR="004565AE">
        <w:rPr>
          <w:lang w:val="de-DE"/>
        </w:rPr>
        <w:t xml:space="preserve"> </w:t>
      </w:r>
      <w:r w:rsidR="00F73DBD">
        <w:rPr>
          <w:lang w:val="de-DE"/>
        </w:rPr>
        <w:t>Ildikó</w:t>
      </w:r>
      <w:r w:rsidR="004565AE">
        <w:rPr>
          <w:lang w:val="de-DE"/>
        </w:rPr>
        <w:t xml:space="preserve"> in ihre Zukunft</w:t>
      </w:r>
      <w:r w:rsidR="008C36EC">
        <w:rPr>
          <w:lang w:val="de-DE"/>
        </w:rPr>
        <w:t xml:space="preserve"> schauen</w:t>
      </w:r>
      <w:r w:rsidR="004565AE">
        <w:rPr>
          <w:lang w:val="de-DE"/>
        </w:rPr>
        <w:t>, die sie mit der Freiheit des Fensters assoziiert, denn als sie in die Gro</w:t>
      </w:r>
      <w:r w:rsidR="004565AE">
        <w:rPr>
          <w:rFonts w:cs="Times New Roman"/>
          <w:lang w:val="de-DE"/>
        </w:rPr>
        <w:t>ß</w:t>
      </w:r>
      <w:r w:rsidR="004565AE">
        <w:rPr>
          <w:lang w:val="de-DE"/>
        </w:rPr>
        <w:t xml:space="preserve">stadt umzieht, was als Ausbruch </w:t>
      </w:r>
      <w:r w:rsidR="004565AE">
        <w:rPr>
          <w:lang w:val="de-DE"/>
        </w:rPr>
        <w:lastRenderedPageBreak/>
        <w:t xml:space="preserve">aus </w:t>
      </w:r>
      <w:r w:rsidR="003133A3">
        <w:rPr>
          <w:lang w:val="de-DE"/>
        </w:rPr>
        <w:t>ihrer</w:t>
      </w:r>
      <w:r w:rsidR="004565AE">
        <w:rPr>
          <w:lang w:val="de-DE"/>
        </w:rPr>
        <w:t xml:space="preserve"> Unterdrückung inter</w:t>
      </w:r>
      <w:r w:rsidR="008C36EC">
        <w:rPr>
          <w:lang w:val="de-DE"/>
        </w:rPr>
        <w:t>pretiert werden kann, bleibt das</w:t>
      </w:r>
      <w:r w:rsidR="002C727F">
        <w:rPr>
          <w:lang w:val="de-DE"/>
        </w:rPr>
        <w:t xml:space="preserve"> Motiv des Fensters wichtig. Vor</w:t>
      </w:r>
      <w:r w:rsidR="004565AE">
        <w:rPr>
          <w:lang w:val="de-DE"/>
        </w:rPr>
        <w:t xml:space="preserve"> dem Auszug aus dem Elternhaus fantasiert sie aber schon über die Zukunft und ihre Fenster: „[I]ch sehe meine Zukunft vor mir, in einem imaginären Kaffeesatz, eine winzige Wohnung in der Stadt, in einem schiefen, grünen Haus […] mit einem schönen Fenster, ich werde da sitzen und zuschauen, wie das Licht durch das schöne Fenster fällt“ (TFA: 292). Das Zitat erinnert an </w:t>
      </w:r>
      <w:r w:rsidR="008C2CBD">
        <w:rPr>
          <w:lang w:val="de-DE"/>
        </w:rPr>
        <w:t xml:space="preserve">die Szene, </w:t>
      </w:r>
      <w:r w:rsidR="002C727F">
        <w:rPr>
          <w:lang w:val="de-DE"/>
        </w:rPr>
        <w:t>in der</w:t>
      </w:r>
      <w:r w:rsidR="008C2CBD">
        <w:rPr>
          <w:lang w:val="de-DE"/>
        </w:rPr>
        <w:t xml:space="preserve"> </w:t>
      </w:r>
      <w:r w:rsidR="00F73DBD">
        <w:rPr>
          <w:lang w:val="de-DE"/>
        </w:rPr>
        <w:t>Ildikó</w:t>
      </w:r>
      <w:r w:rsidR="003870D8">
        <w:rPr>
          <w:lang w:val="de-DE"/>
        </w:rPr>
        <w:t xml:space="preserve"> vom Lichteinfall durch das Fenster in Mamikas Haus fasziniert </w:t>
      </w:r>
      <w:r w:rsidR="002C727F">
        <w:rPr>
          <w:lang w:val="de-DE"/>
        </w:rPr>
        <w:t>ist</w:t>
      </w:r>
      <w:r w:rsidR="003870D8">
        <w:rPr>
          <w:lang w:val="de-DE"/>
        </w:rPr>
        <w:t>.</w:t>
      </w:r>
      <w:r w:rsidR="003870D8" w:rsidRPr="003870D8">
        <w:rPr>
          <w:lang w:val="de-DE"/>
        </w:rPr>
        <w:t xml:space="preserve"> </w:t>
      </w:r>
      <w:r w:rsidR="003870D8">
        <w:rPr>
          <w:lang w:val="de-DE"/>
        </w:rPr>
        <w:t xml:space="preserve">Es </w:t>
      </w:r>
      <w:r w:rsidR="002C727F">
        <w:rPr>
          <w:lang w:val="de-DE"/>
        </w:rPr>
        <w:t>ist</w:t>
      </w:r>
      <w:r w:rsidR="003870D8">
        <w:rPr>
          <w:lang w:val="de-DE"/>
        </w:rPr>
        <w:t xml:space="preserve">, als ob alle Fenster auf der Welt mit dem in Mamikas Haus verknüpft </w:t>
      </w:r>
      <w:r w:rsidR="00443320">
        <w:rPr>
          <w:lang w:val="de-DE"/>
        </w:rPr>
        <w:t>wären</w:t>
      </w:r>
      <w:r w:rsidR="003870D8">
        <w:rPr>
          <w:lang w:val="de-DE"/>
        </w:rPr>
        <w:t xml:space="preserve">. Auch wenn </w:t>
      </w:r>
      <w:r w:rsidR="00F73DBD">
        <w:rPr>
          <w:lang w:val="de-DE"/>
        </w:rPr>
        <w:t>Ildikó</w:t>
      </w:r>
      <w:r w:rsidR="003870D8">
        <w:rPr>
          <w:lang w:val="de-DE"/>
        </w:rPr>
        <w:t xml:space="preserve"> sich mit ihren Eltern str</w:t>
      </w:r>
      <w:r w:rsidR="00463774">
        <w:rPr>
          <w:lang w:val="de-DE"/>
        </w:rPr>
        <w:t xml:space="preserve">eitet, betrachtet sie das Fenster: „[S]eht mal, das Fenster, ist es nicht schön, wie das Licht durch dieses Fenster fällt? (das Einzige, was ich will, ein schönes Fenster)“ (TFA: 294). </w:t>
      </w:r>
      <w:r w:rsidR="008152F5">
        <w:rPr>
          <w:lang w:val="de-DE"/>
        </w:rPr>
        <w:t>Das</w:t>
      </w:r>
      <w:r w:rsidR="00463774">
        <w:rPr>
          <w:lang w:val="de-DE"/>
        </w:rPr>
        <w:t xml:space="preserve"> Fenster </w:t>
      </w:r>
      <w:r w:rsidR="008152F5">
        <w:rPr>
          <w:lang w:val="de-DE"/>
        </w:rPr>
        <w:t xml:space="preserve">wird auch </w:t>
      </w:r>
      <w:r w:rsidR="00463774">
        <w:rPr>
          <w:lang w:val="de-DE"/>
        </w:rPr>
        <w:t xml:space="preserve">in </w:t>
      </w:r>
      <w:r w:rsidR="00F73DBD">
        <w:rPr>
          <w:lang w:val="de-DE"/>
        </w:rPr>
        <w:t>Ildikó</w:t>
      </w:r>
      <w:r w:rsidR="00463774">
        <w:rPr>
          <w:lang w:val="de-DE"/>
        </w:rPr>
        <w:t xml:space="preserve">s neuer Wohnung </w:t>
      </w:r>
      <w:r w:rsidR="008152F5">
        <w:rPr>
          <w:lang w:val="de-DE"/>
        </w:rPr>
        <w:t xml:space="preserve">stark </w:t>
      </w:r>
      <w:r w:rsidR="00463774">
        <w:rPr>
          <w:lang w:val="de-DE"/>
        </w:rPr>
        <w:t xml:space="preserve">thematisiert. Sie wohnt mitten in der Stadt an einer Autobahn. </w:t>
      </w:r>
      <w:r w:rsidR="00F73DBD">
        <w:rPr>
          <w:lang w:val="de-DE"/>
        </w:rPr>
        <w:t>Ildikó</w:t>
      </w:r>
      <w:r w:rsidR="00463774">
        <w:rPr>
          <w:lang w:val="de-DE"/>
        </w:rPr>
        <w:t xml:space="preserve"> beschreibt, wie sie von den Kindern in einem Bus </w:t>
      </w:r>
      <w:r w:rsidR="00443320">
        <w:rPr>
          <w:lang w:val="de-DE"/>
        </w:rPr>
        <w:t>angeschaut wird, und wie sie den</w:t>
      </w:r>
      <w:r w:rsidR="00463774">
        <w:rPr>
          <w:lang w:val="de-DE"/>
        </w:rPr>
        <w:t xml:space="preserve"> Kinde</w:t>
      </w:r>
      <w:r w:rsidR="007F3FF0">
        <w:rPr>
          <w:lang w:val="de-DE"/>
        </w:rPr>
        <w:t>r</w:t>
      </w:r>
      <w:r w:rsidR="00443320">
        <w:rPr>
          <w:lang w:val="de-DE"/>
        </w:rPr>
        <w:t>n</w:t>
      </w:r>
      <w:r w:rsidR="00463774">
        <w:rPr>
          <w:lang w:val="de-DE"/>
        </w:rPr>
        <w:t xml:space="preserve"> zuwinkt. </w:t>
      </w:r>
    </w:p>
    <w:p w14:paraId="3AC58199" w14:textId="68B0C0E5" w:rsidR="00D15E0C" w:rsidRDefault="00AD4076" w:rsidP="006D083E">
      <w:pPr>
        <w:ind w:firstLine="708"/>
        <w:rPr>
          <w:lang w:val="de-DE"/>
        </w:rPr>
      </w:pPr>
      <w:r>
        <w:rPr>
          <w:lang w:val="de-DE"/>
        </w:rPr>
        <w:t xml:space="preserve">Ein Motiv das unlösbar mit dem des Fensters verbunden ist, ist das der </w:t>
      </w:r>
      <w:r w:rsidRPr="00145842">
        <w:rPr>
          <w:lang w:val="de-DE"/>
        </w:rPr>
        <w:t>Beobachtung</w:t>
      </w:r>
      <w:r>
        <w:rPr>
          <w:lang w:val="de-DE"/>
        </w:rPr>
        <w:t>.</w:t>
      </w:r>
      <w:r w:rsidR="007F3FF0">
        <w:rPr>
          <w:lang w:val="de-DE"/>
        </w:rPr>
        <w:t xml:space="preserve"> </w:t>
      </w:r>
      <w:r w:rsidR="00A75100">
        <w:rPr>
          <w:lang w:val="de-DE"/>
        </w:rPr>
        <w:t xml:space="preserve">Oft beschreibt </w:t>
      </w:r>
      <w:r w:rsidR="00320A52">
        <w:rPr>
          <w:lang w:val="de-DE"/>
        </w:rPr>
        <w:t>Ildikó</w:t>
      </w:r>
      <w:r w:rsidR="00A75100">
        <w:rPr>
          <w:lang w:val="de-DE"/>
        </w:rPr>
        <w:t>, wie sie die Beo</w:t>
      </w:r>
      <w:r w:rsidR="008152F5">
        <w:rPr>
          <w:lang w:val="de-DE"/>
        </w:rPr>
        <w:t xml:space="preserve">bachtung </w:t>
      </w:r>
      <w:r w:rsidR="002C727F">
        <w:rPr>
          <w:lang w:val="de-DE"/>
        </w:rPr>
        <w:t>durch</w:t>
      </w:r>
      <w:r w:rsidR="008152F5">
        <w:rPr>
          <w:lang w:val="de-DE"/>
        </w:rPr>
        <w:t xml:space="preserve"> andere irritiert, a</w:t>
      </w:r>
      <w:r>
        <w:rPr>
          <w:lang w:val="de-DE"/>
        </w:rPr>
        <w:t>uch wenn es Ausnahmen gibt, z.</w:t>
      </w:r>
      <w:r w:rsidR="00325782">
        <w:rPr>
          <w:lang w:val="de-DE"/>
        </w:rPr>
        <w:t xml:space="preserve"> B.</w:t>
      </w:r>
      <w:r>
        <w:rPr>
          <w:lang w:val="de-DE"/>
        </w:rPr>
        <w:t xml:space="preserve"> Nomi, die sie „mit einem Blick beruhigen kann“ (TFA: 103). </w:t>
      </w:r>
      <w:r w:rsidR="00325782">
        <w:rPr>
          <w:lang w:val="de-DE"/>
        </w:rPr>
        <w:t>Ein Grund, weswegen sie die Beobachtung nicht ertragen kann</w:t>
      </w:r>
      <w:r w:rsidR="008152F5">
        <w:rPr>
          <w:lang w:val="de-DE"/>
        </w:rPr>
        <w:t>,</w:t>
      </w:r>
      <w:r w:rsidR="00325782">
        <w:rPr>
          <w:lang w:val="de-DE"/>
        </w:rPr>
        <w:t xml:space="preserve"> ist die Tatsache, dass sie im Mondial unentbehrlich ist: „[D]en Überblick darf man nie verlieren!“ (TFA: 102). Wie in der Bachelorarbeit zu </w:t>
      </w:r>
      <w:r w:rsidR="00320A52">
        <w:rPr>
          <w:lang w:val="de-DE"/>
        </w:rPr>
        <w:t>Ildikó</w:t>
      </w:r>
      <w:r w:rsidR="00325782">
        <w:rPr>
          <w:lang w:val="de-DE"/>
        </w:rPr>
        <w:t xml:space="preserve">s Suche nach ihrer Identität festgestellt wurde, trägt die Umgebung des </w:t>
      </w:r>
      <w:r w:rsidR="008152F5">
        <w:rPr>
          <w:lang w:val="de-DE"/>
        </w:rPr>
        <w:t xml:space="preserve">Mondial </w:t>
      </w:r>
      <w:r w:rsidR="00325782">
        <w:rPr>
          <w:lang w:val="de-DE"/>
        </w:rPr>
        <w:t xml:space="preserve">zum </w:t>
      </w:r>
      <w:r w:rsidR="007B1CE5">
        <w:rPr>
          <w:lang w:val="de-DE"/>
        </w:rPr>
        <w:t xml:space="preserve">anfänglichen </w:t>
      </w:r>
      <w:r w:rsidR="00325782">
        <w:rPr>
          <w:lang w:val="de-DE"/>
        </w:rPr>
        <w:t xml:space="preserve">Scheitern ihres Integrationsversuchs und </w:t>
      </w:r>
      <w:r w:rsidR="00552D04">
        <w:rPr>
          <w:lang w:val="de-DE"/>
        </w:rPr>
        <w:t xml:space="preserve">ihrer </w:t>
      </w:r>
      <w:r w:rsidR="00325782">
        <w:rPr>
          <w:lang w:val="de-DE"/>
        </w:rPr>
        <w:t xml:space="preserve">Identitätssuche bei. </w:t>
      </w:r>
      <w:r w:rsidR="00320A52">
        <w:rPr>
          <w:lang w:val="de-DE"/>
        </w:rPr>
        <w:t>Ildikó</w:t>
      </w:r>
      <w:r w:rsidR="00325782">
        <w:rPr>
          <w:lang w:val="de-DE"/>
        </w:rPr>
        <w:t xml:space="preserve"> fühlt sich im </w:t>
      </w:r>
      <w:r w:rsidR="003B4DCA">
        <w:rPr>
          <w:lang w:val="de-DE"/>
        </w:rPr>
        <w:t xml:space="preserve">Mondial unglücklich, was zum Teil durch </w:t>
      </w:r>
      <w:r w:rsidR="002C727F">
        <w:rPr>
          <w:lang w:val="de-DE"/>
        </w:rPr>
        <w:t>das</w:t>
      </w:r>
      <w:r w:rsidR="003B4DCA">
        <w:rPr>
          <w:lang w:val="de-DE"/>
        </w:rPr>
        <w:t xml:space="preserve"> Beoba</w:t>
      </w:r>
      <w:r w:rsidR="002C727F">
        <w:rPr>
          <w:lang w:val="de-DE"/>
        </w:rPr>
        <w:t>chtetwerden</w:t>
      </w:r>
      <w:r w:rsidR="003B4DCA">
        <w:rPr>
          <w:lang w:val="de-DE"/>
        </w:rPr>
        <w:t xml:space="preserve"> verursacht wird. </w:t>
      </w:r>
      <w:r w:rsidR="00B953F4">
        <w:rPr>
          <w:lang w:val="de-DE"/>
        </w:rPr>
        <w:t>Die Beobachtung wird auch in der Szene, in der Nomi ihre Cousine Csilla, die in einem armen Viertel lebt, besucht</w:t>
      </w:r>
      <w:r w:rsidR="008152F5">
        <w:rPr>
          <w:lang w:val="de-DE"/>
        </w:rPr>
        <w:t>, thematisiert</w:t>
      </w:r>
      <w:r w:rsidR="00B953F4">
        <w:rPr>
          <w:lang w:val="de-DE"/>
        </w:rPr>
        <w:t xml:space="preserve">: </w:t>
      </w:r>
    </w:p>
    <w:p w14:paraId="355CAF21" w14:textId="3125D97B" w:rsidR="00D15E0C" w:rsidRDefault="00B953F4" w:rsidP="00D15E0C">
      <w:pPr>
        <w:spacing w:after="240" w:line="240" w:lineRule="auto"/>
        <w:ind w:left="567"/>
        <w:rPr>
          <w:lang w:val="de-DE"/>
        </w:rPr>
      </w:pPr>
      <w:r>
        <w:rPr>
          <w:lang w:val="de-DE"/>
        </w:rPr>
        <w:t>Und ich will mich nicht umschauen, ich will nicht zuviel sehen, ich möchte meine Augen irgendwohin drehen, zum Himmel vielleicht</w:t>
      </w:r>
      <w:r w:rsidR="000D79D7">
        <w:rPr>
          <w:lang w:val="de-DE"/>
        </w:rPr>
        <w:t>, damit ich die halbnackten, verdreckten Kinder nicht sehe, die ich sonst nur aus der Distanz kenne, ein paar Frauen, die uns mit rohen Augen beobachten, uns mit ihren Blicken die Kleider stehlen, unsere gesunde Haut</w:t>
      </w:r>
      <w:r>
        <w:rPr>
          <w:lang w:val="de-DE"/>
        </w:rPr>
        <w:t xml:space="preserve"> (TFA: 123)</w:t>
      </w:r>
      <w:r w:rsidR="000D79D7">
        <w:rPr>
          <w:lang w:val="de-DE"/>
        </w:rPr>
        <w:t>.</w:t>
      </w:r>
    </w:p>
    <w:p w14:paraId="2049C1D1" w14:textId="275B87F2" w:rsidR="003133A3" w:rsidRDefault="002C727F" w:rsidP="008152F5">
      <w:pPr>
        <w:rPr>
          <w:lang w:val="de-DE"/>
        </w:rPr>
      </w:pPr>
      <w:r>
        <w:rPr>
          <w:lang w:val="de-DE"/>
        </w:rPr>
        <w:t>Das gegenseitige Beobachten</w:t>
      </w:r>
      <w:r w:rsidR="00D15E0C">
        <w:rPr>
          <w:lang w:val="de-DE"/>
        </w:rPr>
        <w:t xml:space="preserve"> bringt für </w:t>
      </w:r>
      <w:r w:rsidR="00320A52">
        <w:rPr>
          <w:lang w:val="de-DE"/>
        </w:rPr>
        <w:t>Ildikó</w:t>
      </w:r>
      <w:r>
        <w:rPr>
          <w:lang w:val="de-DE"/>
        </w:rPr>
        <w:t xml:space="preserve"> ein doppelt</w:t>
      </w:r>
      <w:r w:rsidR="00D15E0C">
        <w:rPr>
          <w:lang w:val="de-DE"/>
        </w:rPr>
        <w:t xml:space="preserve"> unbequemes Gefühl mit sich. Einerseits will sie selbst keine Beobachtungen der schwierigen Position, in der sich ihre Cousine befindet, machen, und andererseits kann sie die unangenehme Beobachtung </w:t>
      </w:r>
      <w:r>
        <w:rPr>
          <w:lang w:val="de-DE"/>
        </w:rPr>
        <w:t>durch die</w:t>
      </w:r>
      <w:r w:rsidR="00D15E0C">
        <w:rPr>
          <w:lang w:val="de-DE"/>
        </w:rPr>
        <w:t xml:space="preserve"> Frauen dieser Gegend nicht ertragen. </w:t>
      </w:r>
      <w:r w:rsidR="00A75100">
        <w:rPr>
          <w:lang w:val="de-DE"/>
        </w:rPr>
        <w:t xml:space="preserve">Die Lage, in die sie ihre neue Wohnung versetzt, stellt einen deutlichen Gegensatz zu </w:t>
      </w:r>
      <w:r w:rsidR="00325782">
        <w:rPr>
          <w:lang w:val="de-DE"/>
        </w:rPr>
        <w:t>ihrer</w:t>
      </w:r>
      <w:r w:rsidR="00A75100">
        <w:rPr>
          <w:lang w:val="de-DE"/>
        </w:rPr>
        <w:t xml:space="preserve"> Irritation </w:t>
      </w:r>
      <w:r w:rsidR="00B953F4">
        <w:rPr>
          <w:lang w:val="de-DE"/>
        </w:rPr>
        <w:t xml:space="preserve">und ihrem Ungemach </w:t>
      </w:r>
      <w:r w:rsidR="00D15E0C">
        <w:rPr>
          <w:lang w:val="de-DE"/>
        </w:rPr>
        <w:t xml:space="preserve">der </w:t>
      </w:r>
      <w:r w:rsidR="00D15E0C">
        <w:rPr>
          <w:lang w:val="de-DE"/>
        </w:rPr>
        <w:lastRenderedPageBreak/>
        <w:t xml:space="preserve">Beobachtung gegenüber </w:t>
      </w:r>
      <w:r w:rsidR="00A75100">
        <w:rPr>
          <w:lang w:val="de-DE"/>
        </w:rPr>
        <w:t xml:space="preserve">dar. </w:t>
      </w:r>
      <w:r w:rsidR="007F3FF0">
        <w:rPr>
          <w:lang w:val="de-DE"/>
        </w:rPr>
        <w:t>Jetzt genie</w:t>
      </w:r>
      <w:r w:rsidR="007F3FF0">
        <w:rPr>
          <w:rFonts w:cs="Times New Roman"/>
          <w:lang w:val="de-DE"/>
        </w:rPr>
        <w:t>ß</w:t>
      </w:r>
      <w:r>
        <w:rPr>
          <w:lang w:val="de-DE"/>
        </w:rPr>
        <w:t>t sie fast das Beobachtetwerden</w:t>
      </w:r>
      <w:r w:rsidR="00505596">
        <w:rPr>
          <w:lang w:val="de-DE"/>
        </w:rPr>
        <w:t xml:space="preserve">, während sie </w:t>
      </w:r>
      <w:r>
        <w:rPr>
          <w:lang w:val="de-DE"/>
        </w:rPr>
        <w:t xml:space="preserve">es </w:t>
      </w:r>
      <w:r w:rsidR="00505596">
        <w:rPr>
          <w:lang w:val="de-DE"/>
        </w:rPr>
        <w:t>im Mondial unbedingt vermeiden wollte</w:t>
      </w:r>
      <w:r w:rsidR="007F3FF0">
        <w:rPr>
          <w:lang w:val="de-DE"/>
        </w:rPr>
        <w:t>: „[I]ch bleibe noch ein bisschen stehen, bin eine Attraktion am Fenster“ (TFA: 302)</w:t>
      </w:r>
      <w:r w:rsidR="00145842">
        <w:rPr>
          <w:lang w:val="de-DE"/>
        </w:rPr>
        <w:t xml:space="preserve"> im Gegensatz zu „heute schützt die armeegrüne Theke wenigstens den unteren Teil des Körpers, ja, ich bin jedes Mal froh, wenn ich mit Nomi den Dienst tauschen kann, sie für mich im Service arbeitet“ (TFA: 89)</w:t>
      </w:r>
      <w:r w:rsidR="005D37C6">
        <w:rPr>
          <w:lang w:val="de-DE"/>
        </w:rPr>
        <w:t>. Sie will</w:t>
      </w:r>
      <w:r w:rsidR="00552D04">
        <w:rPr>
          <w:lang w:val="de-DE"/>
        </w:rPr>
        <w:t xml:space="preserve"> in ihrer neuen Wohnung</w:t>
      </w:r>
      <w:r w:rsidR="005D37C6">
        <w:rPr>
          <w:lang w:val="de-DE"/>
        </w:rPr>
        <w:t xml:space="preserve"> sogar keine Vorhänge aufhängen, weil „es stört mich wirklich nicht, </w:t>
      </w:r>
      <w:r w:rsidR="00B13705">
        <w:rPr>
          <w:lang w:val="de-DE"/>
        </w:rPr>
        <w:t>[…] wenn ich schlafe, schlafe ich, und wen</w:t>
      </w:r>
      <w:r w:rsidR="008C36EC">
        <w:rPr>
          <w:lang w:val="de-DE"/>
        </w:rPr>
        <w:t>n</w:t>
      </w:r>
      <w:r w:rsidR="00B13705">
        <w:rPr>
          <w:lang w:val="de-DE"/>
        </w:rPr>
        <w:t xml:space="preserve"> ich wach bi</w:t>
      </w:r>
      <w:r w:rsidR="003133A3">
        <w:rPr>
          <w:lang w:val="de-DE"/>
        </w:rPr>
        <w:t xml:space="preserve">n, gaffe ich selber“ (TFA: 303), auch wenn ihr ihre Hausmeisterin vorschlägt, um Vorhänge für sie zu nähen, </w:t>
      </w:r>
      <w:r w:rsidR="00552D04">
        <w:rPr>
          <w:lang w:val="de-DE"/>
        </w:rPr>
        <w:t>falls</w:t>
      </w:r>
      <w:r w:rsidR="003133A3">
        <w:rPr>
          <w:lang w:val="de-DE"/>
        </w:rPr>
        <w:t xml:space="preserve"> sie kein Geld dafür hat. </w:t>
      </w:r>
    </w:p>
    <w:p w14:paraId="3C72CF73" w14:textId="6AF83FE3" w:rsidR="00D77F8D" w:rsidRDefault="00B13705" w:rsidP="006D083E">
      <w:pPr>
        <w:ind w:firstLine="708"/>
        <w:rPr>
          <w:lang w:val="de-DE"/>
        </w:rPr>
      </w:pPr>
      <w:r>
        <w:rPr>
          <w:lang w:val="de-DE"/>
        </w:rPr>
        <w:t>In Bezug auf das Fenster wurde</w:t>
      </w:r>
      <w:r w:rsidR="002C727F">
        <w:rPr>
          <w:lang w:val="de-DE"/>
        </w:rPr>
        <w:t>n</w:t>
      </w:r>
      <w:r>
        <w:rPr>
          <w:lang w:val="de-DE"/>
        </w:rPr>
        <w:t xml:space="preserve"> schon einige</w:t>
      </w:r>
      <w:r w:rsidR="002C727F">
        <w:rPr>
          <w:lang w:val="de-DE"/>
        </w:rPr>
        <w:t xml:space="preserve"> Theorien aufgestellt</w:t>
      </w:r>
      <w:r>
        <w:rPr>
          <w:lang w:val="de-DE"/>
        </w:rPr>
        <w:t>. Georg Simmel hat in seinem Artikel „Brücke und Tür“</w:t>
      </w:r>
      <w:r w:rsidR="005D5FCA">
        <w:rPr>
          <w:lang w:val="de-DE"/>
        </w:rPr>
        <w:t xml:space="preserve"> die Bedeutung von alltäglichen Objekten, unter denen Brücke, Tür und Fenster, untersucht. Ihm zufolge geht das teleologische Gefühl dem Fenster gegenüber fast ausschlie</w:t>
      </w:r>
      <w:r w:rsidR="005D5FCA">
        <w:rPr>
          <w:rFonts w:cs="Times New Roman"/>
          <w:lang w:val="de-DE"/>
        </w:rPr>
        <w:t>ß</w:t>
      </w:r>
      <w:r w:rsidR="005D5FCA">
        <w:rPr>
          <w:lang w:val="de-DE"/>
        </w:rPr>
        <w:t>lich von innen nach au</w:t>
      </w:r>
      <w:r w:rsidR="005D5FCA">
        <w:rPr>
          <w:rFonts w:cs="Times New Roman"/>
          <w:lang w:val="de-DE"/>
        </w:rPr>
        <w:t>ß</w:t>
      </w:r>
      <w:r w:rsidR="003133A3">
        <w:rPr>
          <w:lang w:val="de-DE"/>
        </w:rPr>
        <w:t>en: „[E]</w:t>
      </w:r>
      <w:r w:rsidR="005D5FCA">
        <w:rPr>
          <w:lang w:val="de-DE"/>
        </w:rPr>
        <w:t>s ist für das Hinaussehen da, nicht für das Hineinsehen.“</w:t>
      </w:r>
      <w:r w:rsidR="005D5FCA">
        <w:rPr>
          <w:rStyle w:val="Voetnootmarkering"/>
          <w:lang w:val="de-DE"/>
        </w:rPr>
        <w:footnoteReference w:id="159"/>
      </w:r>
      <w:r w:rsidR="005D5FCA">
        <w:rPr>
          <w:lang w:val="de-DE"/>
        </w:rPr>
        <w:t xml:space="preserve"> </w:t>
      </w:r>
      <w:r w:rsidR="00840541">
        <w:rPr>
          <w:lang w:val="de-DE"/>
        </w:rPr>
        <w:t xml:space="preserve">Das Zitat betrifft vor allem </w:t>
      </w:r>
      <w:r w:rsidR="00F73DBD">
        <w:rPr>
          <w:lang w:val="de-DE"/>
        </w:rPr>
        <w:t>Ildikó</w:t>
      </w:r>
      <w:r w:rsidR="00840541">
        <w:rPr>
          <w:lang w:val="de-DE"/>
        </w:rPr>
        <w:t xml:space="preserve">s Situation bevor ihrem Auszug, als sie das Fenster brauchte, um für ein Moment aus ihrer Wirklichkeit zu gelangen, denn nachher wird auch </w:t>
      </w:r>
      <w:r w:rsidR="009D6BF6">
        <w:rPr>
          <w:lang w:val="de-DE"/>
        </w:rPr>
        <w:t>das Hineinsehen für sie wichtig: Sie fühlt sich nicht mehr unbehaglich, wenn sie beobachtet wird, was bei ihrer Arbeit im Mondial schon der Fall war.</w:t>
      </w:r>
      <w:r w:rsidR="003D6BEC">
        <w:rPr>
          <w:lang w:val="de-DE"/>
        </w:rPr>
        <w:t xml:space="preserve"> Das Motiv des Fensters stellt eine Konstanz in der ganzen Geschichte da, während das Motiv der Beobachtung, das mit dem des Fensters zu tun hat, vor allem aber </w:t>
      </w:r>
      <w:r w:rsidR="003133A3">
        <w:rPr>
          <w:lang w:val="de-DE"/>
        </w:rPr>
        <w:t xml:space="preserve">die Art und Weise, </w:t>
      </w:r>
      <w:r w:rsidR="003D6BEC">
        <w:rPr>
          <w:lang w:val="de-DE"/>
        </w:rPr>
        <w:t xml:space="preserve">wie </w:t>
      </w:r>
      <w:r w:rsidR="00F73DBD">
        <w:rPr>
          <w:lang w:val="de-DE"/>
        </w:rPr>
        <w:t>Ildikó</w:t>
      </w:r>
      <w:r w:rsidR="003D6BEC">
        <w:rPr>
          <w:lang w:val="de-DE"/>
        </w:rPr>
        <w:t xml:space="preserve"> damit umgeht, sich im Laufe der Geschichte ändert.</w:t>
      </w:r>
    </w:p>
    <w:p w14:paraId="58B33ACD" w14:textId="4EBB66A8" w:rsidR="000B1738" w:rsidRDefault="002C727F" w:rsidP="000B1738">
      <w:pPr>
        <w:pStyle w:val="Kop3"/>
        <w:numPr>
          <w:ilvl w:val="2"/>
          <w:numId w:val="2"/>
        </w:numPr>
        <w:rPr>
          <w:lang w:val="de-DE"/>
        </w:rPr>
      </w:pPr>
      <w:bookmarkStart w:id="42" w:name="_Toc515180101"/>
      <w:r>
        <w:rPr>
          <w:lang w:val="de-DE"/>
        </w:rPr>
        <w:t>Spracherlernu</w:t>
      </w:r>
      <w:r w:rsidR="000B1738">
        <w:rPr>
          <w:lang w:val="de-DE"/>
        </w:rPr>
        <w:t>ngsprozess</w:t>
      </w:r>
      <w:bookmarkEnd w:id="42"/>
    </w:p>
    <w:p w14:paraId="19410433" w14:textId="17F95B09" w:rsidR="002456C5" w:rsidRDefault="003C359C" w:rsidP="003C359C">
      <w:pPr>
        <w:rPr>
          <w:rFonts w:cs="Times New Roman"/>
          <w:lang w:val="de-DE"/>
        </w:rPr>
      </w:pPr>
      <w:r w:rsidRPr="003103F8">
        <w:rPr>
          <w:rFonts w:cs="Times New Roman"/>
          <w:lang w:val="de-DE"/>
        </w:rPr>
        <w:t xml:space="preserve">In </w:t>
      </w:r>
      <w:r w:rsidRPr="003103F8">
        <w:rPr>
          <w:rFonts w:cs="Times New Roman"/>
          <w:i/>
          <w:lang w:val="de-DE"/>
        </w:rPr>
        <w:t xml:space="preserve">Tauben fliegen auf </w:t>
      </w:r>
      <w:r w:rsidR="002C727F">
        <w:rPr>
          <w:rFonts w:cs="Times New Roman"/>
          <w:lang w:val="de-DE"/>
        </w:rPr>
        <w:t>wird der Spracherlernungs</w:t>
      </w:r>
      <w:r w:rsidRPr="003103F8">
        <w:rPr>
          <w:rFonts w:cs="Times New Roman"/>
          <w:lang w:val="de-DE"/>
        </w:rPr>
        <w:t xml:space="preserve">prozess von </w:t>
      </w:r>
      <w:r w:rsidR="00F73DBD">
        <w:rPr>
          <w:rFonts w:cs="Times New Roman"/>
          <w:lang w:val="de-DE"/>
        </w:rPr>
        <w:t>Ildikó</w:t>
      </w:r>
      <w:r w:rsidRPr="003103F8">
        <w:rPr>
          <w:rFonts w:cs="Times New Roman"/>
          <w:lang w:val="de-DE"/>
        </w:rPr>
        <w:t xml:space="preserve"> nicht </w:t>
      </w:r>
      <w:r w:rsidR="00A74A16">
        <w:rPr>
          <w:rFonts w:cs="Times New Roman"/>
          <w:lang w:val="de-DE"/>
        </w:rPr>
        <w:t>ausführlich</w:t>
      </w:r>
      <w:r w:rsidR="009E1E0A">
        <w:rPr>
          <w:rFonts w:cs="Times New Roman"/>
          <w:lang w:val="de-DE"/>
        </w:rPr>
        <w:t xml:space="preserve"> </w:t>
      </w:r>
      <w:r w:rsidR="001670FB">
        <w:rPr>
          <w:rFonts w:cs="Times New Roman"/>
          <w:lang w:val="de-DE"/>
        </w:rPr>
        <w:t>dokumentiert, aber d</w:t>
      </w:r>
      <w:r w:rsidRPr="003103F8">
        <w:rPr>
          <w:rFonts w:cs="Times New Roman"/>
          <w:lang w:val="de-DE"/>
        </w:rPr>
        <w:t>ie Erfahrung ihrer Eltern zeigt schon die Schwierigkeiten des</w:t>
      </w:r>
      <w:r w:rsidR="003F4896">
        <w:rPr>
          <w:rFonts w:cs="Times New Roman"/>
          <w:lang w:val="de-DE"/>
        </w:rPr>
        <w:t xml:space="preserve"> Erlernens einer neuen Sprache. Erstens beschreiben d</w:t>
      </w:r>
      <w:r w:rsidR="00AA79C2">
        <w:rPr>
          <w:rFonts w:cs="Times New Roman"/>
          <w:lang w:val="de-DE"/>
        </w:rPr>
        <w:t xml:space="preserve">ie Eltern </w:t>
      </w:r>
      <w:r w:rsidR="005124FD">
        <w:rPr>
          <w:rFonts w:cs="Times New Roman"/>
          <w:lang w:val="de-DE"/>
        </w:rPr>
        <w:t xml:space="preserve">in Bezug auf ihre misslungene </w:t>
      </w:r>
      <w:r w:rsidR="009D1FCE">
        <w:rPr>
          <w:rFonts w:cs="Times New Roman"/>
          <w:lang w:val="de-DE"/>
        </w:rPr>
        <w:t>Einbürgerungsprüfung, aufgrund des Missverständnisses der Fragen</w:t>
      </w:r>
      <w:r w:rsidR="00AA79C2">
        <w:rPr>
          <w:rFonts w:cs="Times New Roman"/>
          <w:lang w:val="de-DE"/>
        </w:rPr>
        <w:t xml:space="preserve">, wie unangenehm es </w:t>
      </w:r>
      <w:r w:rsidR="009D1FCE">
        <w:rPr>
          <w:rFonts w:cs="Times New Roman"/>
          <w:lang w:val="de-DE"/>
        </w:rPr>
        <w:t>sei</w:t>
      </w:r>
      <w:r w:rsidR="00AA79C2">
        <w:rPr>
          <w:rFonts w:cs="Times New Roman"/>
          <w:lang w:val="de-DE"/>
        </w:rPr>
        <w:t xml:space="preserve">, „ständig zu schwitzen, wenn man Deutsch spricht, und wahrscheinlich schwitze man so, weil man wisse, dass man falsch spreche, auch wenn man sich noch so Mühe gäbe“ (TFA: 149). Diese Szene zeigt außer den Schwierigkeiten der Eltern beim Erlernen des Deutschen auch </w:t>
      </w:r>
      <w:r w:rsidR="008E6143">
        <w:rPr>
          <w:rFonts w:cs="Times New Roman"/>
          <w:lang w:val="de-DE"/>
        </w:rPr>
        <w:t>die Kraft von Sprache. Ildik</w:t>
      </w:r>
      <w:r w:rsidR="009D1FCE">
        <w:rPr>
          <w:rFonts w:cs="Times New Roman"/>
          <w:lang w:val="de-DE"/>
        </w:rPr>
        <w:t>ó</w:t>
      </w:r>
      <w:r w:rsidR="008E6143">
        <w:rPr>
          <w:rFonts w:cs="Times New Roman"/>
          <w:lang w:val="de-DE"/>
        </w:rPr>
        <w:t xml:space="preserve"> beschreibt, </w:t>
      </w:r>
      <w:r w:rsidR="008E6143">
        <w:rPr>
          <w:rFonts w:cs="Times New Roman"/>
          <w:lang w:val="de-DE"/>
        </w:rPr>
        <w:lastRenderedPageBreak/>
        <w:t xml:space="preserve">wie die oben erwähnten Worte ihrer Mutter sie mitten ins Herz treffen. Am stärksten ergreift sie aber die „Hilflosigkeit gegenüber erlittenem Schmerz, Enttäuschungen, die sich hinter diesen Sprüchen verschanzen“ (TFA: 149). </w:t>
      </w:r>
      <w:r w:rsidR="005124FD">
        <w:rPr>
          <w:rFonts w:cs="Times New Roman"/>
          <w:lang w:val="de-DE"/>
        </w:rPr>
        <w:t xml:space="preserve">In ihren Ohren haben die Fehler ihrer Eltern eine eigene Schönheit. Nomi schlägt vor, </w:t>
      </w:r>
      <w:r w:rsidR="002C727F">
        <w:rPr>
          <w:rFonts w:cs="Times New Roman"/>
          <w:lang w:val="de-DE"/>
        </w:rPr>
        <w:t>den</w:t>
      </w:r>
      <w:r w:rsidR="005124FD">
        <w:rPr>
          <w:rFonts w:cs="Times New Roman"/>
          <w:lang w:val="de-DE"/>
        </w:rPr>
        <w:t xml:space="preserve"> Eltern beim </w:t>
      </w:r>
      <w:r w:rsidR="009D1FCE">
        <w:rPr>
          <w:rFonts w:cs="Times New Roman"/>
          <w:lang w:val="de-DE"/>
        </w:rPr>
        <w:t>nächsten Prüfungsversuch simultan zu übersetzen, worauf Ildikó bemerkt, „als könnte Nomi meine Gedanken lesen“ (TFA: 149), damit dann die Herren schwitzen werden, „weil ihnen so viele Wörter um die Ohren fliegen“ (TFA: 149).</w:t>
      </w:r>
    </w:p>
    <w:p w14:paraId="5E020994" w14:textId="1EE18C95" w:rsidR="003C359C" w:rsidRPr="003103F8" w:rsidRDefault="003F4896" w:rsidP="003C359C">
      <w:pPr>
        <w:rPr>
          <w:rFonts w:cs="Times New Roman"/>
          <w:lang w:val="de-DE"/>
        </w:rPr>
      </w:pPr>
      <w:r>
        <w:rPr>
          <w:rFonts w:cs="Times New Roman"/>
          <w:lang w:val="de-DE"/>
        </w:rPr>
        <w:tab/>
        <w:t>Zweitens zeigt sich die Schwierigkeit auch darin, dass die Eltern i</w:t>
      </w:r>
      <w:r w:rsidR="003C359C" w:rsidRPr="003103F8">
        <w:rPr>
          <w:rFonts w:cs="Times New Roman"/>
          <w:lang w:val="de-DE"/>
        </w:rPr>
        <w:t xml:space="preserve">ns Ungarische wechseln, um </w:t>
      </w:r>
      <w:r w:rsidR="00CA2117">
        <w:rPr>
          <w:rFonts w:cs="Times New Roman"/>
          <w:lang w:val="de-DE"/>
        </w:rPr>
        <w:t>sich über etwas</w:t>
      </w:r>
      <w:r w:rsidR="003C359C" w:rsidRPr="003103F8">
        <w:rPr>
          <w:rFonts w:cs="Times New Roman"/>
          <w:lang w:val="de-DE"/>
        </w:rPr>
        <w:t xml:space="preserve"> Bestimmtes </w:t>
      </w:r>
      <w:r w:rsidR="00CA2117">
        <w:rPr>
          <w:rFonts w:cs="Times New Roman"/>
          <w:lang w:val="de-DE"/>
        </w:rPr>
        <w:t>äußern</w:t>
      </w:r>
      <w:r w:rsidR="003C359C" w:rsidRPr="003103F8">
        <w:rPr>
          <w:rFonts w:cs="Times New Roman"/>
          <w:lang w:val="de-DE"/>
        </w:rPr>
        <w:t xml:space="preserve"> zu können. </w:t>
      </w:r>
      <w:r w:rsidR="00CA2117">
        <w:rPr>
          <w:rFonts w:cs="Times New Roman"/>
          <w:lang w:val="de-DE"/>
        </w:rPr>
        <w:t>Nicht nur sie, sondern auch ihre Kinder brauchen manchmal ihre Muttersprache, um sich aus</w:t>
      </w:r>
      <w:r w:rsidR="00167828">
        <w:rPr>
          <w:rFonts w:cs="Times New Roman"/>
          <w:lang w:val="de-DE"/>
        </w:rPr>
        <w:t>zu</w:t>
      </w:r>
      <w:r w:rsidR="00CA2117">
        <w:rPr>
          <w:rFonts w:cs="Times New Roman"/>
          <w:lang w:val="de-DE"/>
        </w:rPr>
        <w:t xml:space="preserve">drücken. So kennen sie z. B. nicht das deutsche </w:t>
      </w:r>
      <w:r w:rsidR="002C727F">
        <w:rPr>
          <w:rFonts w:cs="Times New Roman"/>
          <w:lang w:val="de-DE"/>
        </w:rPr>
        <w:t xml:space="preserve">Wort </w:t>
      </w:r>
      <w:r w:rsidR="00CA2117">
        <w:rPr>
          <w:rFonts w:cs="Times New Roman"/>
          <w:lang w:val="de-DE"/>
        </w:rPr>
        <w:t>„Ochsenschwanz“, sondern nur die ungarische Übersetzung</w:t>
      </w:r>
      <w:r w:rsidR="00FA18E3">
        <w:rPr>
          <w:rFonts w:cs="Times New Roman"/>
          <w:lang w:val="de-DE"/>
        </w:rPr>
        <w:t xml:space="preserve"> (vgl. TFA: 49). </w:t>
      </w:r>
      <w:r w:rsidR="003C359C" w:rsidRPr="003103F8">
        <w:rPr>
          <w:rFonts w:cs="Times New Roman"/>
          <w:lang w:val="de-DE"/>
        </w:rPr>
        <w:t>Oft findet dieser Wechsel</w:t>
      </w:r>
      <w:r w:rsidR="00B00DEB">
        <w:rPr>
          <w:rFonts w:cs="Times New Roman"/>
          <w:lang w:val="de-DE"/>
        </w:rPr>
        <w:t xml:space="preserve"> ins Ungarische</w:t>
      </w:r>
      <w:r w:rsidR="003C359C" w:rsidRPr="003103F8">
        <w:rPr>
          <w:rFonts w:cs="Times New Roman"/>
          <w:lang w:val="de-DE"/>
        </w:rPr>
        <w:t xml:space="preserve"> während einer Diskussion oder</w:t>
      </w:r>
      <w:r w:rsidR="003D6D93">
        <w:rPr>
          <w:rFonts w:cs="Times New Roman"/>
          <w:lang w:val="de-DE"/>
        </w:rPr>
        <w:t xml:space="preserve"> eines</w:t>
      </w:r>
      <w:r w:rsidR="003C359C" w:rsidRPr="003103F8">
        <w:rPr>
          <w:rFonts w:cs="Times New Roman"/>
          <w:lang w:val="de-DE"/>
        </w:rPr>
        <w:t xml:space="preserve"> spannungsgeladene</w:t>
      </w:r>
      <w:r>
        <w:rPr>
          <w:rFonts w:cs="Times New Roman"/>
          <w:lang w:val="de-DE"/>
        </w:rPr>
        <w:t>n</w:t>
      </w:r>
      <w:r w:rsidR="003C359C" w:rsidRPr="003103F8">
        <w:rPr>
          <w:rFonts w:cs="Times New Roman"/>
          <w:lang w:val="de-DE"/>
        </w:rPr>
        <w:t xml:space="preserve"> Momentes statt. In dem Sinne kann eine gewisse Gefühlshoheit mit dem Ungarischen verknüpft werden, da die Diskussionen, die von der Familie geführt werden, oft von </w:t>
      </w:r>
      <w:r w:rsidR="002C727F">
        <w:rPr>
          <w:rFonts w:cs="Times New Roman"/>
          <w:lang w:val="de-DE"/>
        </w:rPr>
        <w:t>emotionalen</w:t>
      </w:r>
      <w:r w:rsidR="003C359C" w:rsidRPr="003103F8">
        <w:rPr>
          <w:rFonts w:cs="Times New Roman"/>
          <w:lang w:val="de-DE"/>
        </w:rPr>
        <w:t xml:space="preserve"> Themen handeln, wie z. B. der Kriegslage in der Heimat im folgenden Zitat: </w:t>
      </w:r>
    </w:p>
    <w:p w14:paraId="0F3660EA" w14:textId="4E1260C7" w:rsidR="003C359C" w:rsidRPr="003103F8" w:rsidRDefault="003C359C" w:rsidP="008C36EC">
      <w:pPr>
        <w:spacing w:after="240" w:line="240" w:lineRule="auto"/>
        <w:ind w:left="567"/>
        <w:rPr>
          <w:rFonts w:cs="Times New Roman"/>
          <w:lang w:val="de-DE"/>
        </w:rPr>
      </w:pPr>
      <w:r w:rsidRPr="003103F8">
        <w:rPr>
          <w:rFonts w:cs="Times New Roman"/>
          <w:lang w:val="de-DE"/>
        </w:rPr>
        <w:t xml:space="preserve">Neulich habe ich Icu einen Brief geschickt und Geld, Deutsche Mark, mindestens ein halbes Jahr hätten sie und Onkel Piri davon leben können. Meint ihr, der Briefträger fährt dort wie in der Schweiz mit einem gelben Motorrad von Haus zu Haus und bringt mit einem freundlichen „Hallo“ die Briefe vorbei? Meint ihr, die Post kommt noch da an, wo sie ankommen sollte? Meint ihr, es gibt da noch irgendeinen ehrlichen Menschen in den öffentlichen Ämtern? Wie soll ich es anstellen, dass auf meinem Brief keine Briefmarke aus der Schweiz drauf ist, sagt mal, habt ihr eigentlich schon mal irgendwas überlegt, das über eure Nasenspitze hinausgeht? (normalerweise sagt das Vater), Mutter, die schon längstens ins Ungarische gewechselt hat […] </w:t>
      </w:r>
      <w:r w:rsidR="00E84820">
        <w:rPr>
          <w:rFonts w:cs="Times New Roman"/>
          <w:lang w:val="de-DE"/>
        </w:rPr>
        <w:t xml:space="preserve">ich will nicht über den Krieg – </w:t>
      </w:r>
      <w:r w:rsidR="00E84820">
        <w:rPr>
          <w:rFonts w:cs="Times New Roman"/>
          <w:i/>
          <w:lang w:val="de-DE"/>
        </w:rPr>
        <w:t xml:space="preserve">háború – </w:t>
      </w:r>
      <w:r w:rsidR="00E84820">
        <w:rPr>
          <w:rFonts w:cs="Times New Roman"/>
          <w:lang w:val="de-DE"/>
        </w:rPr>
        <w:t xml:space="preserve">reden </w:t>
      </w:r>
      <w:r w:rsidRPr="003103F8">
        <w:rPr>
          <w:rFonts w:cs="Times New Roman"/>
          <w:lang w:val="de-DE"/>
        </w:rPr>
        <w:t>(TFA: 94)</w:t>
      </w:r>
      <w:r w:rsidR="009E46C1">
        <w:rPr>
          <w:rFonts w:cs="Times New Roman"/>
          <w:lang w:val="de-DE"/>
        </w:rPr>
        <w:t>.</w:t>
      </w:r>
    </w:p>
    <w:p w14:paraId="493439F1" w14:textId="3702044D" w:rsidR="003C359C" w:rsidRDefault="009E46C1" w:rsidP="003C359C">
      <w:pPr>
        <w:rPr>
          <w:rFonts w:cs="Times New Roman"/>
          <w:lang w:val="de-DE"/>
        </w:rPr>
      </w:pPr>
      <w:r>
        <w:rPr>
          <w:rFonts w:cs="Times New Roman"/>
          <w:lang w:val="de-DE"/>
        </w:rPr>
        <w:t>Erstens stellt</w:t>
      </w:r>
      <w:r w:rsidR="003C359C" w:rsidRPr="003103F8">
        <w:rPr>
          <w:rFonts w:cs="Times New Roman"/>
          <w:lang w:val="de-DE"/>
        </w:rPr>
        <w:t xml:space="preserve"> </w:t>
      </w:r>
      <w:r>
        <w:rPr>
          <w:rFonts w:cs="Times New Roman"/>
          <w:lang w:val="de-DE"/>
        </w:rPr>
        <w:t xml:space="preserve">es </w:t>
      </w:r>
      <w:r w:rsidR="003C359C" w:rsidRPr="003103F8">
        <w:rPr>
          <w:rFonts w:cs="Times New Roman"/>
          <w:lang w:val="de-DE"/>
        </w:rPr>
        <w:t xml:space="preserve">sich heraus, dass die </w:t>
      </w:r>
      <w:r w:rsidR="00B00DEB">
        <w:rPr>
          <w:rFonts w:cs="Times New Roman"/>
          <w:lang w:val="de-DE"/>
        </w:rPr>
        <w:t xml:space="preserve">Mutter </w:t>
      </w:r>
      <w:r w:rsidR="00B00DEB" w:rsidRPr="003103F8">
        <w:rPr>
          <w:rFonts w:cs="Times New Roman"/>
          <w:lang w:val="de-DE"/>
        </w:rPr>
        <w:t>in diesem Fall</w:t>
      </w:r>
      <w:r w:rsidR="00B00DEB">
        <w:rPr>
          <w:rFonts w:cs="Times New Roman"/>
          <w:lang w:val="de-DE"/>
        </w:rPr>
        <w:t xml:space="preserve"> ins Ungarische wechselt</w:t>
      </w:r>
      <w:r w:rsidR="003C359C" w:rsidRPr="003103F8">
        <w:rPr>
          <w:rFonts w:cs="Times New Roman"/>
          <w:lang w:val="de-DE"/>
        </w:rPr>
        <w:t xml:space="preserve">, weil sie über die Lage in ihrer Heimat redet, und sie ihre Töchter fast davon beschuldigt, dass sie sich dieser nicht bewusst sind. Ihre Frage, ob sie daran glauben, dass der Briefträger auf </w:t>
      </w:r>
      <w:r w:rsidR="00907997">
        <w:rPr>
          <w:rFonts w:cs="Times New Roman"/>
          <w:lang w:val="de-DE"/>
        </w:rPr>
        <w:t>die beschriebene</w:t>
      </w:r>
      <w:r w:rsidR="003C359C" w:rsidRPr="003103F8">
        <w:rPr>
          <w:rFonts w:cs="Times New Roman"/>
          <w:lang w:val="de-DE"/>
        </w:rPr>
        <w:t xml:space="preserve"> Art und Weise die Briefe vorbeibringt, enthält eine Beschuldigung der Naivität </w:t>
      </w:r>
      <w:r w:rsidR="00F73DBD">
        <w:rPr>
          <w:rFonts w:cs="Times New Roman"/>
          <w:lang w:val="de-DE"/>
        </w:rPr>
        <w:t>Ildikó</w:t>
      </w:r>
      <w:r w:rsidR="003C359C" w:rsidRPr="003103F8">
        <w:rPr>
          <w:rFonts w:cs="Times New Roman"/>
          <w:lang w:val="de-DE"/>
        </w:rPr>
        <w:t xml:space="preserve"> und Nomi gegenüber. Auffällig ist auch die Tatsache, dass die Mutter den Vergleich mit der Schweiz </w:t>
      </w:r>
      <w:r w:rsidR="00B00DEB">
        <w:rPr>
          <w:rFonts w:cs="Times New Roman"/>
          <w:lang w:val="de-DE"/>
        </w:rPr>
        <w:t>macht. Sie impliziert, dass ihre</w:t>
      </w:r>
      <w:r w:rsidR="003C359C" w:rsidRPr="003103F8">
        <w:rPr>
          <w:rFonts w:cs="Times New Roman"/>
          <w:lang w:val="de-DE"/>
        </w:rPr>
        <w:t xml:space="preserve"> Töchter zum Teil der Schweiz schon zugehören und nicht verstehen können, was sich in der Vojvodina ereignet. </w:t>
      </w:r>
      <w:r w:rsidR="000B1738">
        <w:rPr>
          <w:rFonts w:cs="Times New Roman"/>
          <w:lang w:val="de-DE"/>
        </w:rPr>
        <w:t>Die Mutter vergisst</w:t>
      </w:r>
      <w:r w:rsidR="003C359C" w:rsidRPr="003103F8">
        <w:rPr>
          <w:rFonts w:cs="Times New Roman"/>
          <w:lang w:val="de-DE"/>
        </w:rPr>
        <w:t xml:space="preserve">, dass die beiden Schwestern noch vier Jahre nach </w:t>
      </w:r>
      <w:r w:rsidR="002C727F">
        <w:rPr>
          <w:rFonts w:cs="Times New Roman"/>
          <w:lang w:val="de-DE"/>
        </w:rPr>
        <w:t>der</w:t>
      </w:r>
      <w:r w:rsidR="003C359C" w:rsidRPr="003103F8">
        <w:rPr>
          <w:rFonts w:cs="Times New Roman"/>
          <w:lang w:val="de-DE"/>
        </w:rPr>
        <w:t xml:space="preserve"> </w:t>
      </w:r>
      <w:r w:rsidR="002C727F">
        <w:rPr>
          <w:rFonts w:cs="Times New Roman"/>
          <w:lang w:val="de-DE"/>
        </w:rPr>
        <w:lastRenderedPageBreak/>
        <w:t>Ausreise</w:t>
      </w:r>
      <w:r w:rsidR="003C359C" w:rsidRPr="003103F8">
        <w:rPr>
          <w:rFonts w:cs="Times New Roman"/>
          <w:lang w:val="de-DE"/>
        </w:rPr>
        <w:t xml:space="preserve"> ihrer Eltern in der Vojvodina verbracht haben und die neuesten verändernden Umstände – vielleicht </w:t>
      </w:r>
      <w:r w:rsidR="000B1738">
        <w:rPr>
          <w:rFonts w:cs="Times New Roman"/>
          <w:lang w:val="de-DE"/>
        </w:rPr>
        <w:t xml:space="preserve">schon </w:t>
      </w:r>
      <w:r w:rsidR="003C359C" w:rsidRPr="003103F8">
        <w:rPr>
          <w:rFonts w:cs="Times New Roman"/>
          <w:lang w:val="de-DE"/>
        </w:rPr>
        <w:t>eher unbewusst</w:t>
      </w:r>
      <w:r w:rsidR="00F9669A">
        <w:rPr>
          <w:rFonts w:cs="Times New Roman"/>
          <w:lang w:val="de-DE"/>
        </w:rPr>
        <w:t>, da sie wohl sehr jung waren</w:t>
      </w:r>
      <w:r w:rsidR="003C359C" w:rsidRPr="003103F8">
        <w:rPr>
          <w:rFonts w:cs="Times New Roman"/>
          <w:lang w:val="de-DE"/>
        </w:rPr>
        <w:t xml:space="preserve"> – miterlebt haben. Die Beschuldigung, dass die Schwestern nichts von dem, was in ihrer Heimat passiert, verstehen, ist also </w:t>
      </w:r>
      <w:r w:rsidR="00DD43CD">
        <w:rPr>
          <w:rFonts w:cs="Times New Roman"/>
          <w:lang w:val="de-DE"/>
        </w:rPr>
        <w:t>ungerecht</w:t>
      </w:r>
      <w:r w:rsidR="003C359C" w:rsidRPr="003103F8">
        <w:rPr>
          <w:rFonts w:cs="Times New Roman"/>
          <w:lang w:val="de-DE"/>
        </w:rPr>
        <w:t xml:space="preserve"> und vernachlässigt ihre</w:t>
      </w:r>
      <w:r w:rsidR="00B00DEB">
        <w:rPr>
          <w:rFonts w:cs="Times New Roman"/>
          <w:lang w:val="de-DE"/>
        </w:rPr>
        <w:t xml:space="preserve"> persönlichen</w:t>
      </w:r>
      <w:r w:rsidR="003C359C" w:rsidRPr="003103F8">
        <w:rPr>
          <w:rFonts w:cs="Times New Roman"/>
          <w:lang w:val="de-DE"/>
        </w:rPr>
        <w:t xml:space="preserve"> </w:t>
      </w:r>
      <w:r w:rsidR="003C359C" w:rsidRPr="00FA18E3">
        <w:rPr>
          <w:rFonts w:cs="Times New Roman"/>
          <w:lang w:val="de-DE"/>
        </w:rPr>
        <w:t>Erfahrungen. Der Monolog</w:t>
      </w:r>
      <w:r w:rsidR="00FA18E3" w:rsidRPr="00FA18E3">
        <w:rPr>
          <w:rFonts w:cs="Times New Roman"/>
          <w:lang w:val="de-DE"/>
        </w:rPr>
        <w:t xml:space="preserve"> der Mutter</w:t>
      </w:r>
      <w:r w:rsidR="000B1738" w:rsidRPr="00FA18E3">
        <w:rPr>
          <w:rFonts w:cs="Times New Roman"/>
          <w:lang w:val="de-DE"/>
        </w:rPr>
        <w:t xml:space="preserve"> im Zitat</w:t>
      </w:r>
      <w:r w:rsidR="003C359C" w:rsidRPr="00FA18E3">
        <w:rPr>
          <w:rFonts w:cs="Times New Roman"/>
          <w:lang w:val="de-DE"/>
        </w:rPr>
        <w:t xml:space="preserve"> ist die Antwort auf </w:t>
      </w:r>
      <w:r w:rsidR="00F73DBD" w:rsidRPr="00FA18E3">
        <w:rPr>
          <w:rFonts w:cs="Times New Roman"/>
          <w:lang w:val="de-DE"/>
        </w:rPr>
        <w:t>Ildikó</w:t>
      </w:r>
      <w:r w:rsidR="003C359C" w:rsidRPr="00FA18E3">
        <w:rPr>
          <w:rFonts w:cs="Times New Roman"/>
          <w:lang w:val="de-DE"/>
        </w:rPr>
        <w:t>s Frage, ob sie noch nie daran gedacht</w:t>
      </w:r>
      <w:r w:rsidR="003C359C" w:rsidRPr="003103F8">
        <w:rPr>
          <w:rFonts w:cs="Times New Roman"/>
          <w:lang w:val="de-DE"/>
        </w:rPr>
        <w:t xml:space="preserve"> ha</w:t>
      </w:r>
      <w:r w:rsidR="003515E7">
        <w:rPr>
          <w:rFonts w:cs="Times New Roman"/>
          <w:lang w:val="de-DE"/>
        </w:rPr>
        <w:t>be</w:t>
      </w:r>
      <w:r w:rsidR="003C359C" w:rsidRPr="003103F8">
        <w:rPr>
          <w:rFonts w:cs="Times New Roman"/>
          <w:lang w:val="de-DE"/>
        </w:rPr>
        <w:t>, dass Tante Icu bei ihnen in der Küche arbeiten könnte (vgl. TFA: 92</w:t>
      </w:r>
      <w:r>
        <w:rPr>
          <w:rFonts w:cs="Times New Roman"/>
          <w:lang w:val="de-DE"/>
        </w:rPr>
        <w:t>).</w:t>
      </w:r>
      <w:r w:rsidR="003C359C" w:rsidRPr="003103F8">
        <w:rPr>
          <w:rFonts w:cs="Times New Roman"/>
          <w:lang w:val="de-DE"/>
        </w:rPr>
        <w:t xml:space="preserve"> Zweitens soll erwähnt werden, dass die Kocsis eigentlich nie über den Krieg reden, weswegen </w:t>
      </w:r>
      <w:r w:rsidR="00F73DBD">
        <w:rPr>
          <w:rFonts w:cs="Times New Roman"/>
          <w:lang w:val="de-DE"/>
        </w:rPr>
        <w:t>Ildikó</w:t>
      </w:r>
      <w:r w:rsidR="003C359C" w:rsidRPr="003103F8">
        <w:rPr>
          <w:rFonts w:cs="Times New Roman"/>
          <w:lang w:val="de-DE"/>
        </w:rPr>
        <w:t xml:space="preserve"> von Mutters heftiger Reaktion völlig erschlagen ist (vgl. TFA: 95). Diese Szene ist eine von vielen, in denen ein Unverständnis zwischen Eltern und Töchtern zum Ausdruck kommt. </w:t>
      </w:r>
    </w:p>
    <w:p w14:paraId="2902188E" w14:textId="4F0DA15E" w:rsidR="00792E06" w:rsidRDefault="00792E06" w:rsidP="003C359C">
      <w:pPr>
        <w:rPr>
          <w:rFonts w:cs="Times New Roman"/>
          <w:lang w:val="de-DE"/>
        </w:rPr>
      </w:pPr>
      <w:r>
        <w:rPr>
          <w:rFonts w:cs="Times New Roman"/>
          <w:lang w:val="de-DE"/>
        </w:rPr>
        <w:tab/>
        <w:t xml:space="preserve">Wie schon erwähnt, wechseln die Eltern ins Ungarische, wenn die Gemüter sich erhitzen, wie im Zitat anhand </w:t>
      </w:r>
      <w:r w:rsidR="00DD43CD">
        <w:rPr>
          <w:rFonts w:cs="Times New Roman"/>
          <w:lang w:val="de-DE"/>
        </w:rPr>
        <w:t>des</w:t>
      </w:r>
      <w:r>
        <w:rPr>
          <w:rFonts w:cs="Times New Roman"/>
          <w:lang w:val="de-DE"/>
        </w:rPr>
        <w:t xml:space="preserve"> Monolog</w:t>
      </w:r>
      <w:r w:rsidR="00DD43CD">
        <w:rPr>
          <w:rFonts w:cs="Times New Roman"/>
          <w:lang w:val="de-DE"/>
        </w:rPr>
        <w:t>s</w:t>
      </w:r>
      <w:r>
        <w:rPr>
          <w:rFonts w:cs="Times New Roman"/>
          <w:lang w:val="de-DE"/>
        </w:rPr>
        <w:t xml:space="preserve"> der Mutter gezeigt wurde</w:t>
      </w:r>
      <w:r w:rsidR="009E46C1">
        <w:rPr>
          <w:rFonts w:cs="Times New Roman"/>
          <w:lang w:val="de-DE"/>
        </w:rPr>
        <w:t xml:space="preserve">, </w:t>
      </w:r>
      <w:r w:rsidR="00DD43CD">
        <w:rPr>
          <w:rFonts w:cs="Times New Roman"/>
          <w:lang w:val="de-DE"/>
        </w:rPr>
        <w:t>in dem</w:t>
      </w:r>
      <w:r w:rsidR="009E46C1">
        <w:rPr>
          <w:rFonts w:cs="Times New Roman"/>
          <w:lang w:val="de-DE"/>
        </w:rPr>
        <w:t xml:space="preserve"> sie das ungarische Wort für „Krieg“ benutzt</w:t>
      </w:r>
      <w:r>
        <w:rPr>
          <w:rFonts w:cs="Times New Roman"/>
          <w:lang w:val="de-DE"/>
        </w:rPr>
        <w:t xml:space="preserve">. Kegelmann führt das Beispiel des Fluchens des Vaters an. </w:t>
      </w:r>
      <w:r w:rsidR="00F73DBD">
        <w:rPr>
          <w:rFonts w:cs="Times New Roman"/>
          <w:lang w:val="de-DE"/>
        </w:rPr>
        <w:t>Ildikó</w:t>
      </w:r>
      <w:r>
        <w:rPr>
          <w:rFonts w:cs="Times New Roman"/>
          <w:lang w:val="de-DE"/>
        </w:rPr>
        <w:t xml:space="preserve"> erklärt das folgendermaßen: „[S]o bin ich mir immerhin sicher, dass Vater losballert, um zu verhindern, dass seine Muttersprache auskühlt, solange das Fluchen noch fliesst, können die geliebte</w:t>
      </w:r>
      <w:r w:rsidR="00513AAB">
        <w:rPr>
          <w:rFonts w:cs="Times New Roman"/>
          <w:lang w:val="de-DE"/>
        </w:rPr>
        <w:t>n Wörter doch unmöglich absterben oder?“ (T</w:t>
      </w:r>
      <w:r w:rsidR="00323DC7">
        <w:rPr>
          <w:rFonts w:cs="Times New Roman"/>
          <w:lang w:val="de-DE"/>
        </w:rPr>
        <w:t xml:space="preserve">FA: 165). Das Zitat zeigt, dass </w:t>
      </w:r>
      <w:r w:rsidR="00F73DBD">
        <w:rPr>
          <w:rFonts w:cs="Times New Roman"/>
          <w:lang w:val="de-DE"/>
        </w:rPr>
        <w:t>Ildikó</w:t>
      </w:r>
      <w:r w:rsidR="00323DC7">
        <w:rPr>
          <w:rFonts w:cs="Times New Roman"/>
          <w:lang w:val="de-DE"/>
        </w:rPr>
        <w:t xml:space="preserve"> eine gewisse Angst </w:t>
      </w:r>
      <w:r w:rsidR="005B5D38">
        <w:rPr>
          <w:rFonts w:cs="Times New Roman"/>
          <w:lang w:val="de-DE"/>
        </w:rPr>
        <w:t>davor</w:t>
      </w:r>
      <w:r w:rsidR="00323DC7">
        <w:rPr>
          <w:rFonts w:cs="Times New Roman"/>
          <w:lang w:val="de-DE"/>
        </w:rPr>
        <w:t xml:space="preserve"> hat, dass ihre Eltern die Muttersprache verlieren würden. Das ungarische Fluchen ihres Vaters beruhigt sie, weil es die Kontinuität der Muttersprache </w:t>
      </w:r>
      <w:r w:rsidR="003515E7">
        <w:rPr>
          <w:rFonts w:cs="Times New Roman"/>
          <w:lang w:val="de-DE"/>
        </w:rPr>
        <w:t>versichert</w:t>
      </w:r>
      <w:r w:rsidR="005B5D38">
        <w:rPr>
          <w:rFonts w:cs="Times New Roman"/>
          <w:lang w:val="de-DE"/>
        </w:rPr>
        <w:t>, die eine der einzigen übrig</w:t>
      </w:r>
      <w:r w:rsidR="00323DC7">
        <w:rPr>
          <w:rFonts w:cs="Times New Roman"/>
          <w:lang w:val="de-DE"/>
        </w:rPr>
        <w:t>gebliebenen Verknüpfungen mit ihrer Heimat nach der Migration symbolisiert</w:t>
      </w:r>
      <w:r w:rsidR="00C94E57">
        <w:rPr>
          <w:rFonts w:cs="Times New Roman"/>
          <w:lang w:val="de-DE"/>
        </w:rPr>
        <w:t xml:space="preserve">. </w:t>
      </w:r>
      <w:r w:rsidR="00323DC7">
        <w:rPr>
          <w:rFonts w:cs="Times New Roman"/>
          <w:lang w:val="de-DE"/>
        </w:rPr>
        <w:t xml:space="preserve">Kegelmann beschreibt nicht nur, wie </w:t>
      </w:r>
      <w:r w:rsidR="00DD43CD">
        <w:rPr>
          <w:rFonts w:cs="Times New Roman"/>
          <w:lang w:val="de-DE"/>
        </w:rPr>
        <w:t>eine</w:t>
      </w:r>
      <w:r w:rsidR="00323DC7">
        <w:rPr>
          <w:rFonts w:cs="Times New Roman"/>
          <w:lang w:val="de-DE"/>
        </w:rPr>
        <w:t xml:space="preserve"> </w:t>
      </w:r>
      <w:r w:rsidR="00513AAB">
        <w:rPr>
          <w:rFonts w:cs="Times New Roman"/>
          <w:lang w:val="de-DE"/>
        </w:rPr>
        <w:t>„Übersetzung ins Deutsche, die dem ungarischen Original gleichkommt, schon bei einzelnen Wörtern, aber umso mehr bei der Artikulation von Erfahrungen, nicht möglich ist“</w:t>
      </w:r>
      <w:r w:rsidR="00123AC0">
        <w:rPr>
          <w:rFonts w:cs="Times New Roman"/>
          <w:lang w:val="de-DE"/>
        </w:rPr>
        <w:t>,</w:t>
      </w:r>
      <w:r w:rsidR="00513AAB">
        <w:rPr>
          <w:rStyle w:val="Voetnootmarkering"/>
          <w:rFonts w:cs="Times New Roman"/>
          <w:lang w:val="de-DE"/>
        </w:rPr>
        <w:footnoteReference w:id="160"/>
      </w:r>
      <w:r w:rsidR="00323DC7">
        <w:rPr>
          <w:rFonts w:cs="Times New Roman"/>
          <w:lang w:val="de-DE"/>
        </w:rPr>
        <w:t xml:space="preserve"> sondern erwähnt auch die </w:t>
      </w:r>
      <w:r w:rsidR="00386299">
        <w:rPr>
          <w:rFonts w:cs="Times New Roman"/>
          <w:lang w:val="de-DE"/>
        </w:rPr>
        <w:t xml:space="preserve">Kommunikationslosigkeit zwischen </w:t>
      </w:r>
      <w:r w:rsidR="00F73DBD">
        <w:rPr>
          <w:rFonts w:cs="Times New Roman"/>
          <w:lang w:val="de-DE"/>
        </w:rPr>
        <w:t>Ildikó</w:t>
      </w:r>
      <w:r w:rsidR="00386299">
        <w:rPr>
          <w:rFonts w:cs="Times New Roman"/>
          <w:lang w:val="de-DE"/>
        </w:rPr>
        <w:t xml:space="preserve"> und ih</w:t>
      </w:r>
      <w:r w:rsidR="003515E7">
        <w:rPr>
          <w:rFonts w:cs="Times New Roman"/>
          <w:lang w:val="de-DE"/>
        </w:rPr>
        <w:t>rem Vater, die Unmöglichkeit der</w:t>
      </w:r>
      <w:r w:rsidR="00386299">
        <w:rPr>
          <w:rFonts w:cs="Times New Roman"/>
          <w:lang w:val="de-DE"/>
        </w:rPr>
        <w:t xml:space="preserve"> </w:t>
      </w:r>
      <w:r w:rsidR="00FA18E3">
        <w:rPr>
          <w:rFonts w:cs="Times New Roman"/>
          <w:lang w:val="de-DE"/>
        </w:rPr>
        <w:t>Übersetzung</w:t>
      </w:r>
      <w:r w:rsidR="00386299">
        <w:rPr>
          <w:rFonts w:cs="Times New Roman"/>
          <w:lang w:val="de-DE"/>
        </w:rPr>
        <w:t xml:space="preserve"> von Gefühlen </w:t>
      </w:r>
      <w:r w:rsidR="005B5D38">
        <w:rPr>
          <w:rFonts w:cs="Times New Roman"/>
          <w:lang w:val="de-DE"/>
        </w:rPr>
        <w:t>in</w:t>
      </w:r>
      <w:r w:rsidR="00386299">
        <w:rPr>
          <w:rFonts w:cs="Times New Roman"/>
          <w:lang w:val="de-DE"/>
        </w:rPr>
        <w:t xml:space="preserve"> Sprache. Ihre Ausdrucksform ist </w:t>
      </w:r>
      <w:r w:rsidR="00F9669A">
        <w:rPr>
          <w:rFonts w:cs="Times New Roman"/>
          <w:lang w:val="de-DE"/>
        </w:rPr>
        <w:t>hingegen sehr oft das Schweigen.</w:t>
      </w:r>
      <w:r w:rsidR="00386299">
        <w:rPr>
          <w:rStyle w:val="Voetnootmarkering"/>
          <w:rFonts w:cs="Times New Roman"/>
          <w:lang w:val="de-DE"/>
        </w:rPr>
        <w:footnoteReference w:id="161"/>
      </w:r>
      <w:r w:rsidR="00386299">
        <w:rPr>
          <w:rFonts w:cs="Times New Roman"/>
          <w:lang w:val="de-DE"/>
        </w:rPr>
        <w:t xml:space="preserve"> </w:t>
      </w:r>
    </w:p>
    <w:p w14:paraId="4793289E" w14:textId="4A3F76CF" w:rsidR="004B7B7D" w:rsidRDefault="00386299" w:rsidP="00907BEC">
      <w:pPr>
        <w:rPr>
          <w:rFonts w:cs="Times New Roman"/>
          <w:lang w:val="de-DE"/>
        </w:rPr>
      </w:pPr>
      <w:r>
        <w:rPr>
          <w:rFonts w:cs="Times New Roman"/>
          <w:lang w:val="de-DE"/>
        </w:rPr>
        <w:tab/>
      </w:r>
      <w:r w:rsidR="00B260C7">
        <w:rPr>
          <w:rFonts w:cs="Times New Roman"/>
          <w:lang w:val="de-DE"/>
        </w:rPr>
        <w:t xml:space="preserve">Genauso wie der Vater die ungarische Sprache vor allem beim Fluchen benutzt, äußert sich </w:t>
      </w:r>
      <w:r w:rsidR="00F73DBD">
        <w:rPr>
          <w:rFonts w:cs="Times New Roman"/>
          <w:lang w:val="de-DE"/>
        </w:rPr>
        <w:t>Ildikó</w:t>
      </w:r>
      <w:r w:rsidR="00B260C7">
        <w:rPr>
          <w:rFonts w:cs="Times New Roman"/>
          <w:lang w:val="de-DE"/>
        </w:rPr>
        <w:t xml:space="preserve">s Beziehung zur Muttersprache vor allem bei Redewendungen. </w:t>
      </w:r>
      <w:r w:rsidR="009D3837">
        <w:rPr>
          <w:rFonts w:cs="Times New Roman"/>
          <w:lang w:val="de-DE"/>
        </w:rPr>
        <w:t xml:space="preserve">So sagt sie nach einer langen Autofahrt „ich habe kein Auge zugedrückt, oder, wie man auf Ungarisch sagt, meine Augen sind traumlos geblieben“ (TFA: 52) und ihre Liebe für </w:t>
      </w:r>
      <w:r w:rsidR="009D3837">
        <w:rPr>
          <w:rFonts w:cs="Times New Roman"/>
          <w:lang w:val="de-DE"/>
        </w:rPr>
        <w:lastRenderedPageBreak/>
        <w:t xml:space="preserve">Dalibor wird von einer Freundin mit den ungarischen Worten „szerelmet, füstöt, köhögést nem lehet eltitkolni“, was soviel wie „Liebe, Rauch und Husten könne man nicht verheimlichen“ (TFA: 203) bedeutet. </w:t>
      </w:r>
      <w:bookmarkStart w:id="43" w:name="_Hlk513480409"/>
      <w:r w:rsidR="009D3837">
        <w:rPr>
          <w:rFonts w:cs="Times New Roman"/>
          <w:lang w:val="de-DE"/>
        </w:rPr>
        <w:t xml:space="preserve">Das bestätigt noch </w:t>
      </w:r>
      <w:r w:rsidR="00DD43CD">
        <w:rPr>
          <w:rFonts w:cs="Times New Roman"/>
          <w:lang w:val="de-DE"/>
        </w:rPr>
        <w:t>ein</w:t>
      </w:r>
      <w:r w:rsidR="009D3837">
        <w:rPr>
          <w:rFonts w:cs="Times New Roman"/>
          <w:lang w:val="de-DE"/>
        </w:rPr>
        <w:t>mal die Gefühlshoheit der ungarischen Sprache, eine Eigenschaft, die dem Schweizerdeutschen nicht zu</w:t>
      </w:r>
      <w:r w:rsidR="00F9669A">
        <w:rPr>
          <w:rFonts w:cs="Times New Roman"/>
          <w:lang w:val="de-DE"/>
        </w:rPr>
        <w:t>gerechnet wird,</w:t>
      </w:r>
      <w:bookmarkEnd w:id="43"/>
      <w:r w:rsidR="00F9669A">
        <w:rPr>
          <w:rFonts w:cs="Times New Roman"/>
          <w:lang w:val="de-DE"/>
        </w:rPr>
        <w:t xml:space="preserve"> was auch Melinda Nadj Abonji gesteht.</w:t>
      </w:r>
    </w:p>
    <w:p w14:paraId="7FBDC86C" w14:textId="77777777" w:rsidR="004D6F24" w:rsidRDefault="004D6F24" w:rsidP="00907BEC">
      <w:pPr>
        <w:rPr>
          <w:rFonts w:cs="Times New Roman"/>
          <w:lang w:val="de-DE"/>
        </w:rPr>
      </w:pPr>
    </w:p>
    <w:p w14:paraId="35C3A3DC" w14:textId="6DC1D231" w:rsidR="004B7B7D" w:rsidRDefault="004B7B7D" w:rsidP="004B7B7D">
      <w:pPr>
        <w:pStyle w:val="Kop2"/>
        <w:numPr>
          <w:ilvl w:val="1"/>
          <w:numId w:val="2"/>
        </w:numPr>
        <w:rPr>
          <w:lang w:val="de-DE"/>
        </w:rPr>
      </w:pPr>
      <w:r>
        <w:rPr>
          <w:lang w:val="de-DE"/>
        </w:rPr>
        <w:t xml:space="preserve"> </w:t>
      </w:r>
      <w:bookmarkStart w:id="44" w:name="_Toc515180102"/>
      <w:r>
        <w:rPr>
          <w:lang w:val="de-DE"/>
        </w:rPr>
        <w:t>Sprache als Beziehung</w:t>
      </w:r>
      <w:bookmarkEnd w:id="44"/>
    </w:p>
    <w:p w14:paraId="2D720624" w14:textId="77777777" w:rsidR="004B7B7D" w:rsidRDefault="004B7B7D" w:rsidP="004B7B7D">
      <w:pPr>
        <w:rPr>
          <w:rFonts w:cs="Times New Roman"/>
          <w:lang w:val="de-DE"/>
        </w:rPr>
      </w:pPr>
      <w:r w:rsidRPr="0049504E">
        <w:rPr>
          <w:rFonts w:cs="Times New Roman"/>
          <w:lang w:val="de-DE"/>
        </w:rPr>
        <w:t xml:space="preserve">In Bezug auf Sprache sind außer </w:t>
      </w:r>
      <w:r>
        <w:rPr>
          <w:rFonts w:cs="Times New Roman"/>
          <w:lang w:val="de-DE"/>
        </w:rPr>
        <w:t>Ildikó</w:t>
      </w:r>
      <w:r w:rsidRPr="0049504E">
        <w:rPr>
          <w:rFonts w:cs="Times New Roman"/>
          <w:lang w:val="de-DE"/>
        </w:rPr>
        <w:t xml:space="preserve"> selbst im Text drei Figuren von Bedeutun</w:t>
      </w:r>
      <w:r>
        <w:rPr>
          <w:rFonts w:cs="Times New Roman"/>
          <w:lang w:val="de-DE"/>
        </w:rPr>
        <w:t xml:space="preserve">g, nämlich </w:t>
      </w:r>
      <w:r w:rsidRPr="0049504E">
        <w:rPr>
          <w:rFonts w:cs="Times New Roman"/>
          <w:lang w:val="de-DE"/>
        </w:rPr>
        <w:t xml:space="preserve">ihre Großmutter </w:t>
      </w:r>
      <w:r>
        <w:rPr>
          <w:rFonts w:cs="Times New Roman"/>
          <w:lang w:val="de-DE"/>
        </w:rPr>
        <w:t xml:space="preserve">– die sie </w:t>
      </w:r>
      <w:r w:rsidRPr="0049504E">
        <w:rPr>
          <w:rFonts w:cs="Times New Roman"/>
          <w:lang w:val="de-DE"/>
        </w:rPr>
        <w:t xml:space="preserve">Mamika </w:t>
      </w:r>
      <w:r>
        <w:rPr>
          <w:rFonts w:cs="Times New Roman"/>
          <w:lang w:val="de-DE"/>
        </w:rPr>
        <w:t xml:space="preserve">nennt –, ihre Schwester Nomi </w:t>
      </w:r>
      <w:r w:rsidRPr="0049504E">
        <w:rPr>
          <w:rFonts w:cs="Times New Roman"/>
          <w:lang w:val="de-DE"/>
        </w:rPr>
        <w:t xml:space="preserve">und ihr geflüchteter Freund Dalibor. Sie sind die einzigen Figuren mit denen </w:t>
      </w:r>
      <w:r>
        <w:rPr>
          <w:rFonts w:cs="Times New Roman"/>
          <w:lang w:val="de-DE"/>
        </w:rPr>
        <w:t>Ildikó</w:t>
      </w:r>
      <w:r w:rsidRPr="0049504E">
        <w:rPr>
          <w:rFonts w:cs="Times New Roman"/>
          <w:lang w:val="de-DE"/>
        </w:rPr>
        <w:t xml:space="preserve"> freilich reden kann, ohne sich </w:t>
      </w:r>
      <w:r>
        <w:rPr>
          <w:rFonts w:cs="Times New Roman"/>
          <w:lang w:val="de-DE"/>
        </w:rPr>
        <w:t xml:space="preserve">von ihnen </w:t>
      </w:r>
      <w:r w:rsidRPr="0049504E">
        <w:rPr>
          <w:rFonts w:cs="Times New Roman"/>
          <w:lang w:val="de-DE"/>
        </w:rPr>
        <w:t>beschränkt zu fühlen</w:t>
      </w:r>
      <w:r>
        <w:rPr>
          <w:rFonts w:cs="Times New Roman"/>
          <w:lang w:val="de-DE"/>
        </w:rPr>
        <w:t>, was bei ihren Eltern und den Kunden des Mondial nicht der Fall ist</w:t>
      </w:r>
      <w:r w:rsidRPr="0049504E">
        <w:rPr>
          <w:rFonts w:cs="Times New Roman"/>
          <w:lang w:val="de-DE"/>
        </w:rPr>
        <w:t xml:space="preserve">. Im Folgenden werden die Beziehungen zwischen </w:t>
      </w:r>
      <w:r>
        <w:rPr>
          <w:rFonts w:cs="Times New Roman"/>
          <w:lang w:val="de-DE"/>
        </w:rPr>
        <w:t>Ildikó</w:t>
      </w:r>
      <w:r w:rsidRPr="0049504E">
        <w:rPr>
          <w:rFonts w:cs="Times New Roman"/>
          <w:lang w:val="de-DE"/>
        </w:rPr>
        <w:t xml:space="preserve"> und den jeweiligen Figuren im sprachlichen Zusammenhang untersucht, damit ein vollständiges Verständnis von </w:t>
      </w:r>
      <w:r>
        <w:rPr>
          <w:rFonts w:cs="Times New Roman"/>
          <w:lang w:val="de-DE"/>
        </w:rPr>
        <w:t>Ildikó</w:t>
      </w:r>
      <w:r w:rsidRPr="0049504E">
        <w:rPr>
          <w:rFonts w:cs="Times New Roman"/>
          <w:lang w:val="de-DE"/>
        </w:rPr>
        <w:t xml:space="preserve">s Beziehung </w:t>
      </w:r>
      <w:r>
        <w:rPr>
          <w:rFonts w:cs="Times New Roman"/>
          <w:lang w:val="de-DE"/>
        </w:rPr>
        <w:t>zur</w:t>
      </w:r>
      <w:r w:rsidRPr="0049504E">
        <w:rPr>
          <w:rFonts w:cs="Times New Roman"/>
          <w:lang w:val="de-DE"/>
        </w:rPr>
        <w:t xml:space="preserve"> Sprache erreicht werden kann. </w:t>
      </w:r>
    </w:p>
    <w:p w14:paraId="0A62570B" w14:textId="77777777" w:rsidR="004B7B7D" w:rsidRDefault="004B7B7D" w:rsidP="004B7B7D">
      <w:pPr>
        <w:pStyle w:val="Kop3"/>
        <w:numPr>
          <w:ilvl w:val="2"/>
          <w:numId w:val="2"/>
        </w:numPr>
        <w:rPr>
          <w:lang w:val="de-DE"/>
        </w:rPr>
      </w:pPr>
      <w:bookmarkStart w:id="45" w:name="_Toc515180103"/>
      <w:r>
        <w:rPr>
          <w:lang w:val="de-DE"/>
        </w:rPr>
        <w:t>Ildikó und Mamika</w:t>
      </w:r>
      <w:bookmarkEnd w:id="45"/>
    </w:p>
    <w:p w14:paraId="79B1EACE" w14:textId="77777777" w:rsidR="004B7B7D" w:rsidRDefault="004B7B7D" w:rsidP="004B7B7D">
      <w:pPr>
        <w:rPr>
          <w:lang w:val="de-DE"/>
        </w:rPr>
      </w:pPr>
      <w:r>
        <w:rPr>
          <w:lang w:val="de-DE"/>
        </w:rPr>
        <w:t>Im Gegensatz zu vielen anderen Stimmen in der Geschichte, charakterisiert Ildikó die Stimme ihrer Gro</w:t>
      </w:r>
      <w:r>
        <w:rPr>
          <w:rFonts w:cs="Times New Roman"/>
          <w:lang w:val="de-DE"/>
        </w:rPr>
        <w:t>ß</w:t>
      </w:r>
      <w:r>
        <w:rPr>
          <w:lang w:val="de-DE"/>
        </w:rPr>
        <w:t>mutter als ruhig (vgl. TFA: 19, 28) und assoziiert mit ihr Beten und Singen:</w:t>
      </w:r>
    </w:p>
    <w:p w14:paraId="3989C850" w14:textId="77777777" w:rsidR="004B7B7D" w:rsidRDefault="004B7B7D" w:rsidP="004B7B7D">
      <w:pPr>
        <w:spacing w:after="240" w:line="240" w:lineRule="auto"/>
        <w:ind w:left="567"/>
        <w:rPr>
          <w:lang w:val="de-DE"/>
        </w:rPr>
      </w:pPr>
      <w:r>
        <w:rPr>
          <w:lang w:val="de-DE"/>
        </w:rPr>
        <w:t>Gestern, nachts, als ich schlaflos im Bett lag, habe ich mich an Mamikas Rosenkränze erinnert, Mamikas Überzeugung, dass Beten und Singen der harten Wirklichkeit wenigstens die äusserste Spitze nehmen können, und in den schlimmsten Zeiten ihres Lebens, da habe das fortwährende, lautlose Beten sie durch den Tag getragen, sie sei diesen Worten blind gefolgt, in die Zukunft, die es ohne diese Worte nicht gegeben hätte. (TFA: 153)</w:t>
      </w:r>
    </w:p>
    <w:p w14:paraId="75D6790E" w14:textId="26188D68" w:rsidR="004B7B7D" w:rsidRDefault="004B7B7D" w:rsidP="004B7B7D">
      <w:pPr>
        <w:rPr>
          <w:lang w:val="de-DE"/>
        </w:rPr>
      </w:pPr>
      <w:r>
        <w:rPr>
          <w:lang w:val="de-DE"/>
        </w:rPr>
        <w:t>Im Zitat stellt sich die Bedeutsamkeit von Sprache heraus: Beten und Singen können die Wirklichkeit etwas erträglicher machen. Ohne diese zwei Au</w:t>
      </w:r>
      <w:r w:rsidR="004D6F24">
        <w:rPr>
          <w:lang w:val="de-DE"/>
        </w:rPr>
        <w:t>s</w:t>
      </w:r>
      <w:r>
        <w:rPr>
          <w:lang w:val="de-DE"/>
        </w:rPr>
        <w:t>drucksformen hätte es sogar keine Zukunft gegeben. Es soll bemerkt werden, dass das Beten hier aber als lautlos beschrieben wird. Das bedeutet, dass nicht nur tatsächlich geäu</w:t>
      </w:r>
      <w:r>
        <w:rPr>
          <w:rFonts w:cs="Times New Roman"/>
          <w:lang w:val="de-DE"/>
        </w:rPr>
        <w:t>ß</w:t>
      </w:r>
      <w:r>
        <w:rPr>
          <w:lang w:val="de-DE"/>
        </w:rPr>
        <w:t>erte Sprache, sondern auch alternative Arten und Weisen von Sprache thematisiert werden.</w:t>
      </w:r>
    </w:p>
    <w:p w14:paraId="3FEEFFAD" w14:textId="048F059E" w:rsidR="004B7B7D" w:rsidRPr="00D236A9" w:rsidRDefault="004B7B7D" w:rsidP="004B7B7D">
      <w:pPr>
        <w:spacing w:after="240"/>
        <w:ind w:firstLine="708"/>
        <w:rPr>
          <w:lang w:val="de-DE"/>
        </w:rPr>
      </w:pPr>
      <w:bookmarkStart w:id="46" w:name="_Hlk513480532"/>
      <w:r>
        <w:rPr>
          <w:lang w:val="de-DE"/>
        </w:rPr>
        <w:t>Ildikó</w:t>
      </w:r>
      <w:r w:rsidR="0099766F">
        <w:rPr>
          <w:lang w:val="de-DE"/>
        </w:rPr>
        <w:t xml:space="preserve"> verliert</w:t>
      </w:r>
      <w:r>
        <w:rPr>
          <w:lang w:val="de-DE"/>
        </w:rPr>
        <w:t xml:space="preserve"> mit der Abreise ihrer Gro</w:t>
      </w:r>
      <w:r>
        <w:rPr>
          <w:rFonts w:cs="Times New Roman"/>
          <w:lang w:val="de-DE"/>
        </w:rPr>
        <w:t xml:space="preserve">ßmutter </w:t>
      </w:r>
      <w:r w:rsidR="00907997">
        <w:rPr>
          <w:rFonts w:cs="Times New Roman"/>
          <w:lang w:val="de-DE"/>
        </w:rPr>
        <w:t xml:space="preserve">nach ihrer Migration </w:t>
      </w:r>
      <w:r>
        <w:rPr>
          <w:rFonts w:cs="Times New Roman"/>
          <w:lang w:val="de-DE"/>
        </w:rPr>
        <w:t>auch zum Teil ihre (Mutter-)Sprache</w:t>
      </w:r>
      <w:r w:rsidR="0099766F">
        <w:rPr>
          <w:rFonts w:cs="Times New Roman"/>
          <w:lang w:val="de-DE"/>
        </w:rPr>
        <w:t>, was weiter in der Arbeit noch untersucht wird</w:t>
      </w:r>
      <w:r>
        <w:rPr>
          <w:rFonts w:cs="Times New Roman"/>
          <w:lang w:val="de-DE"/>
        </w:rPr>
        <w:t>.</w:t>
      </w:r>
      <w:bookmarkEnd w:id="46"/>
      <w:r>
        <w:rPr>
          <w:rFonts w:cs="Times New Roman"/>
          <w:lang w:val="de-DE"/>
        </w:rPr>
        <w:t xml:space="preserve"> Als Mamika stirbt, gewinnt Ildikó aber einen Teil der Beziehung zu ihrer Großmutter zurück: Sie fängt </w:t>
      </w:r>
      <w:r>
        <w:rPr>
          <w:rFonts w:cs="Times New Roman"/>
          <w:lang w:val="de-DE"/>
        </w:rPr>
        <w:lastRenderedPageBreak/>
        <w:t xml:space="preserve">nämlich an, die Erzählung an sie zu richten. Als Ildikó an ihre Migration in die Schweiz zurückdenkt, erzählt sie vor allem Mamika davon: „Wir fahren in die Schweiz, </w:t>
      </w:r>
      <w:r>
        <w:rPr>
          <w:rFonts w:cs="Times New Roman"/>
          <w:i/>
          <w:lang w:val="de-DE"/>
        </w:rPr>
        <w:t>svájcba</w:t>
      </w:r>
      <w:r>
        <w:rPr>
          <w:rFonts w:cs="Times New Roman"/>
          <w:lang w:val="de-DE"/>
        </w:rPr>
        <w:t>, haben Sie zu uns gesagt“ (TFA: 172) und später „</w:t>
      </w:r>
      <w:r>
        <w:rPr>
          <w:rFonts w:cs="Times New Roman"/>
          <w:i/>
          <w:lang w:val="de-DE"/>
        </w:rPr>
        <w:t>Svàjcba</w:t>
      </w:r>
      <w:r>
        <w:rPr>
          <w:rFonts w:cs="Times New Roman"/>
          <w:lang w:val="de-DE"/>
        </w:rPr>
        <w:t>, hatten Sie manchmal gesagt, Vater und Mutter seien in der Schweiz, in einer besseren Welt“ (TFA: 172). Auch als Ildikó das zweite Mal ihre Migration beschreibt, richtet sie ihre Worte an Mamika (vgl. TFA: 213</w:t>
      </w:r>
      <w:r w:rsidR="00907997">
        <w:rPr>
          <w:rFonts w:cs="Times New Roman"/>
          <w:lang w:val="de-DE"/>
        </w:rPr>
        <w:t>f</w:t>
      </w:r>
      <w:r>
        <w:rPr>
          <w:rFonts w:cs="Times New Roman"/>
          <w:lang w:val="de-DE"/>
        </w:rPr>
        <w:t>). Die Tatsache, dass Ildikó, vor allem wenn sie über ihre Migration spricht, zu ihrer Großmutter redet, weist darauf hin, dass ihr Trauma unauflösbar mit der Großmutter verknüpft wurde. Nicht so sehr die Migration an sich, als vielmehr die Abwesenheit von Mamika hinterlässt ei</w:t>
      </w:r>
      <w:r w:rsidR="0099766F">
        <w:rPr>
          <w:rFonts w:cs="Times New Roman"/>
          <w:lang w:val="de-DE"/>
        </w:rPr>
        <w:t xml:space="preserve">nen großen Eindruck auf Ildikó und </w:t>
      </w:r>
      <w:r w:rsidR="00907997">
        <w:rPr>
          <w:rFonts w:cs="Times New Roman"/>
          <w:lang w:val="de-DE"/>
        </w:rPr>
        <w:t xml:space="preserve">beeinflusst </w:t>
      </w:r>
      <w:r w:rsidR="0099766F">
        <w:rPr>
          <w:rFonts w:cs="Times New Roman"/>
          <w:lang w:val="de-DE"/>
        </w:rPr>
        <w:t>ihre Identitäts- und Integrationsversuche.</w:t>
      </w:r>
    </w:p>
    <w:p w14:paraId="4ED377C6" w14:textId="77777777" w:rsidR="004B7B7D" w:rsidRPr="00C473F7" w:rsidRDefault="004B7B7D" w:rsidP="004B7B7D">
      <w:pPr>
        <w:pStyle w:val="Kop3"/>
        <w:numPr>
          <w:ilvl w:val="2"/>
          <w:numId w:val="2"/>
        </w:numPr>
        <w:rPr>
          <w:lang w:val="de-DE"/>
        </w:rPr>
      </w:pPr>
      <w:bookmarkStart w:id="47" w:name="_Toc515180104"/>
      <w:r>
        <w:rPr>
          <w:lang w:val="de-DE"/>
        </w:rPr>
        <w:t>Ildikó und Nomi</w:t>
      </w:r>
      <w:bookmarkEnd w:id="47"/>
    </w:p>
    <w:p w14:paraId="21A6BE4C" w14:textId="5BF9D1A4" w:rsidR="004B7B7D" w:rsidRDefault="004B7B7D" w:rsidP="004B7B7D">
      <w:pPr>
        <w:rPr>
          <w:rFonts w:cs="Times New Roman"/>
          <w:lang w:val="de-DE"/>
        </w:rPr>
      </w:pPr>
      <w:r>
        <w:rPr>
          <w:rFonts w:cs="Times New Roman"/>
          <w:lang w:val="de-DE"/>
        </w:rPr>
        <w:t>Ildikó</w:t>
      </w:r>
      <w:r w:rsidRPr="0049504E">
        <w:rPr>
          <w:rFonts w:cs="Times New Roman"/>
          <w:lang w:val="de-DE"/>
        </w:rPr>
        <w:t xml:space="preserve"> erkennt, dass Nomi besser</w:t>
      </w:r>
      <w:r>
        <w:rPr>
          <w:rFonts w:cs="Times New Roman"/>
          <w:lang w:val="de-DE"/>
        </w:rPr>
        <w:t xml:space="preserve"> als sie mit Sprache umgehen kann. Das äußert sich z. B. im folgenden Zitat:</w:t>
      </w:r>
      <w:r w:rsidRPr="0049504E">
        <w:rPr>
          <w:rFonts w:cs="Times New Roman"/>
          <w:lang w:val="de-DE"/>
        </w:rPr>
        <w:t xml:space="preserve"> „Nomi, die seine Frage wahrscheinlich mit einem kecken Spruch beantworten würde“ (TFA: 239). </w:t>
      </w:r>
      <w:r>
        <w:rPr>
          <w:rFonts w:cs="Times New Roman"/>
          <w:lang w:val="de-DE"/>
        </w:rPr>
        <w:t xml:space="preserve">Ildikós Aussage impliziert fast ein Minderwertigkeitsgefühl: Sie wäre nie imstande, mit einem kecken Spruch zu antworten. Stattdessen beantwortet sie einfach die Frage, die ihr von einem Kunden gestellt </w:t>
      </w:r>
      <w:r w:rsidR="005A2A7E">
        <w:rPr>
          <w:rFonts w:cs="Times New Roman"/>
          <w:lang w:val="de-DE"/>
        </w:rPr>
        <w:t>wird</w:t>
      </w:r>
      <w:r>
        <w:rPr>
          <w:rFonts w:cs="Times New Roman"/>
          <w:lang w:val="de-DE"/>
        </w:rPr>
        <w:t xml:space="preserve">. Dieses Minderwertigkeitsgefühl ihrer Schwester gegenüber wird dem bereits besprochenen Überlegenheitsgefühl </w:t>
      </w:r>
      <w:r w:rsidR="00DC2BF5">
        <w:rPr>
          <w:rFonts w:cs="Times New Roman"/>
          <w:lang w:val="de-DE"/>
        </w:rPr>
        <w:t>gegenüber</w:t>
      </w:r>
      <w:r>
        <w:rPr>
          <w:rFonts w:cs="Times New Roman"/>
          <w:lang w:val="de-DE"/>
        </w:rPr>
        <w:t>gestellt. Das zeigt, dass Ildikó außer der Dichotomie Kolonisator</w:t>
      </w:r>
      <w:r w:rsidR="00716D22">
        <w:rPr>
          <w:rFonts w:cs="Times New Roman"/>
          <w:lang w:val="de-DE"/>
        </w:rPr>
        <w:t>in</w:t>
      </w:r>
      <w:r>
        <w:rPr>
          <w:rFonts w:cs="Times New Roman"/>
          <w:lang w:val="de-DE"/>
        </w:rPr>
        <w:t xml:space="preserve">/Kolonisierte auch die damit verbundene Dichotomie zwischen Über- und Unterlegenheit verkörpert. </w:t>
      </w:r>
      <w:r w:rsidRPr="0049504E">
        <w:rPr>
          <w:rFonts w:cs="Times New Roman"/>
          <w:lang w:val="de-DE"/>
        </w:rPr>
        <w:t xml:space="preserve">Auch </w:t>
      </w:r>
      <w:r>
        <w:rPr>
          <w:rFonts w:cs="Times New Roman"/>
          <w:lang w:val="de-DE"/>
        </w:rPr>
        <w:t>als</w:t>
      </w:r>
      <w:r w:rsidRPr="0049504E">
        <w:rPr>
          <w:rFonts w:cs="Times New Roman"/>
          <w:lang w:val="de-DE"/>
        </w:rPr>
        <w:t xml:space="preserve"> Anita </w:t>
      </w:r>
      <w:r>
        <w:rPr>
          <w:rFonts w:cs="Times New Roman"/>
          <w:lang w:val="de-DE"/>
        </w:rPr>
        <w:t>aufzählt</w:t>
      </w:r>
      <w:r w:rsidRPr="0049504E">
        <w:rPr>
          <w:rFonts w:cs="Times New Roman"/>
          <w:lang w:val="de-DE"/>
        </w:rPr>
        <w:t>, was den Gästen zufolge alles anders als bei den vorigen Eigentümern des Mondial war</w:t>
      </w:r>
      <w:r>
        <w:rPr>
          <w:rFonts w:cs="Times New Roman"/>
          <w:lang w:val="de-DE"/>
        </w:rPr>
        <w:t>, kann Nomi sie mit ihrer Rhetorik</w:t>
      </w:r>
      <w:r w:rsidRPr="0049504E">
        <w:rPr>
          <w:rFonts w:cs="Times New Roman"/>
          <w:lang w:val="de-DE"/>
        </w:rPr>
        <w:t xml:space="preserve"> schachmatt setzen: „Der Kaffee ist immer noch genau so star</w:t>
      </w:r>
      <w:r>
        <w:rPr>
          <w:rFonts w:cs="Times New Roman"/>
          <w:lang w:val="de-DE"/>
        </w:rPr>
        <w:t>k, sagt Nomi, das kannst du Herr</w:t>
      </w:r>
      <w:r w:rsidRPr="0049504E">
        <w:rPr>
          <w:rFonts w:cs="Times New Roman"/>
          <w:lang w:val="de-DE"/>
        </w:rPr>
        <w:t xml:space="preserve">n Leuthold gern sagen (Nomi, deren Stimme nicht einmal im Anflug zittert)“ (TFA: 62). Auch hier stellt sich </w:t>
      </w:r>
      <w:r>
        <w:rPr>
          <w:rFonts w:cs="Times New Roman"/>
          <w:lang w:val="de-DE"/>
        </w:rPr>
        <w:t>Ildikó</w:t>
      </w:r>
      <w:r w:rsidRPr="0049504E">
        <w:rPr>
          <w:rFonts w:cs="Times New Roman"/>
          <w:lang w:val="de-DE"/>
        </w:rPr>
        <w:t xml:space="preserve">s Bewunderung für Nomis sprachliche Stärke </w:t>
      </w:r>
      <w:r>
        <w:rPr>
          <w:rFonts w:cs="Times New Roman"/>
          <w:lang w:val="de-DE"/>
        </w:rPr>
        <w:t xml:space="preserve">anhand der Bemerkung zwischen Klammern </w:t>
      </w:r>
      <w:r w:rsidRPr="0049504E">
        <w:rPr>
          <w:rFonts w:cs="Times New Roman"/>
          <w:lang w:val="de-DE"/>
        </w:rPr>
        <w:t xml:space="preserve">heraus. </w:t>
      </w:r>
      <w:r>
        <w:rPr>
          <w:rFonts w:cs="Times New Roman"/>
          <w:lang w:val="de-DE"/>
        </w:rPr>
        <w:t>Überdies antwortet Nomi, als</w:t>
      </w:r>
      <w:r w:rsidRPr="0049504E">
        <w:rPr>
          <w:rFonts w:cs="Times New Roman"/>
          <w:lang w:val="de-DE"/>
        </w:rPr>
        <w:t xml:space="preserve"> ihre Mutter sagt, sie hätten keine Ahnung davon, was </w:t>
      </w:r>
      <w:r>
        <w:rPr>
          <w:rFonts w:cs="Times New Roman"/>
          <w:lang w:val="de-DE"/>
        </w:rPr>
        <w:t>es</w:t>
      </w:r>
      <w:r w:rsidRPr="0049504E">
        <w:rPr>
          <w:rFonts w:cs="Times New Roman"/>
          <w:lang w:val="de-DE"/>
        </w:rPr>
        <w:t xml:space="preserve"> bedeutet, wenn ein Vater sagt, er werde seiner Tochter den Hals umdrehen,</w:t>
      </w:r>
      <w:r>
        <w:rPr>
          <w:rStyle w:val="Voetnootmarkering"/>
          <w:rFonts w:cs="Times New Roman"/>
          <w:lang w:val="de-DE"/>
        </w:rPr>
        <w:footnoteReference w:id="162"/>
      </w:r>
      <w:r w:rsidRPr="0049504E">
        <w:rPr>
          <w:rFonts w:cs="Times New Roman"/>
          <w:lang w:val="de-DE"/>
        </w:rPr>
        <w:t xml:space="preserve"> </w:t>
      </w:r>
      <w:r>
        <w:rPr>
          <w:rFonts w:cs="Times New Roman"/>
          <w:lang w:val="de-DE"/>
        </w:rPr>
        <w:t xml:space="preserve">mit folgender Antwort </w:t>
      </w:r>
      <w:r w:rsidRPr="0049504E">
        <w:rPr>
          <w:rFonts w:cs="Times New Roman"/>
          <w:lang w:val="de-DE"/>
        </w:rPr>
        <w:t xml:space="preserve">darauf: „Wir müssen doch fragen, wenn wir keine Ahnung haben, […] oder kannst du mir sagen, was wir sonst tun können?, und ich schaue zu Nomi, ich fühlte mich stolz und war überrascht, </w:t>
      </w:r>
      <w:r w:rsidRPr="0049504E">
        <w:rPr>
          <w:rFonts w:cs="Times New Roman"/>
          <w:lang w:val="de-DE"/>
        </w:rPr>
        <w:lastRenderedPageBreak/>
        <w:t xml:space="preserve">weil sie so etwas Treffendes sagen konnte“ (TFA: 122). </w:t>
      </w:r>
      <w:r>
        <w:rPr>
          <w:rFonts w:cs="Times New Roman"/>
          <w:lang w:val="de-DE"/>
        </w:rPr>
        <w:t>Als Ildikó endlich</w:t>
      </w:r>
      <w:r w:rsidRPr="0049504E">
        <w:rPr>
          <w:rFonts w:cs="Times New Roman"/>
          <w:lang w:val="de-DE"/>
        </w:rPr>
        <w:t xml:space="preserve"> ihre Stimme benutzt, um vorzuschlagen, Tante Icu zu ihnen zu holen, spricht sie ganz leise, flüstert sogar fast. Die Mutter reagiert entsetzt, ohrfeigt </w:t>
      </w:r>
      <w:r>
        <w:rPr>
          <w:rFonts w:cs="Times New Roman"/>
          <w:lang w:val="de-DE"/>
        </w:rPr>
        <w:t>Ildikó</w:t>
      </w:r>
      <w:r w:rsidRPr="0049504E">
        <w:rPr>
          <w:rFonts w:cs="Times New Roman"/>
          <w:lang w:val="de-DE"/>
        </w:rPr>
        <w:t xml:space="preserve"> mit i</w:t>
      </w:r>
      <w:r>
        <w:rPr>
          <w:rFonts w:cs="Times New Roman"/>
          <w:lang w:val="de-DE"/>
        </w:rPr>
        <w:t xml:space="preserve">hren Augen und fragt: „Glaubst </w:t>
      </w:r>
      <w:r w:rsidRPr="0049504E">
        <w:rPr>
          <w:rFonts w:cs="Times New Roman"/>
          <w:lang w:val="de-DE"/>
        </w:rPr>
        <w:t xml:space="preserve">du, das lässt mich kalt, was unsere Familie jetzt ertragen muss?“ (TFA: 93) Nomi verteidigt ihre Schwester aber und sagt: „[N]ein, das hat sie nicht gesagt, du bist nicht fair“ (TFA: 93). Wenn </w:t>
      </w:r>
      <w:r>
        <w:rPr>
          <w:rFonts w:cs="Times New Roman"/>
          <w:lang w:val="de-DE"/>
        </w:rPr>
        <w:t>Ildikó</w:t>
      </w:r>
      <w:r w:rsidRPr="0049504E">
        <w:rPr>
          <w:rFonts w:cs="Times New Roman"/>
          <w:lang w:val="de-DE"/>
        </w:rPr>
        <w:t xml:space="preserve"> sich also endlich traut, mal etwas zu sagen, wird sie derartig entmutigt, dass sie noch mehr Angst davor bekommt, zu sprechen.</w:t>
      </w:r>
    </w:p>
    <w:p w14:paraId="52FAB228" w14:textId="38CEF3AA" w:rsidR="004B7B7D" w:rsidRDefault="004B7B7D" w:rsidP="002B58B4">
      <w:pPr>
        <w:ind w:firstLine="708"/>
        <w:rPr>
          <w:rFonts w:cs="Times New Roman"/>
          <w:lang w:val="de-DE"/>
        </w:rPr>
      </w:pPr>
      <w:r>
        <w:rPr>
          <w:rFonts w:cs="Times New Roman"/>
          <w:lang w:val="de-DE"/>
        </w:rPr>
        <w:t xml:space="preserve">Nomis Einfluss auf Ildikós Sprachlosigkeit manifestiert sich </w:t>
      </w:r>
      <w:r w:rsidR="002D6C84">
        <w:rPr>
          <w:rFonts w:cs="Times New Roman"/>
          <w:lang w:val="de-DE"/>
        </w:rPr>
        <w:t>an erster Stelle</w:t>
      </w:r>
      <w:r>
        <w:rPr>
          <w:rFonts w:cs="Times New Roman"/>
          <w:lang w:val="de-DE"/>
        </w:rPr>
        <w:t xml:space="preserve"> anhand von der Geheimsprache, die sie mit ihrer Schwester teilt. Diese benutzen die Schwestern</w:t>
      </w:r>
      <w:r w:rsidR="00716D22">
        <w:rPr>
          <w:rFonts w:cs="Times New Roman"/>
          <w:lang w:val="de-DE"/>
        </w:rPr>
        <w:t>,</w:t>
      </w:r>
      <w:r>
        <w:rPr>
          <w:rFonts w:cs="Times New Roman"/>
          <w:lang w:val="de-DE"/>
        </w:rPr>
        <w:t xml:space="preserve"> z. B. um über andere zu klatschen, wie im folgenden Zitat</w:t>
      </w:r>
      <w:r w:rsidR="00716D22">
        <w:rPr>
          <w:rFonts w:cs="Times New Roman"/>
          <w:lang w:val="de-DE"/>
        </w:rPr>
        <w:t xml:space="preserve"> beschrieben wird</w:t>
      </w:r>
      <w:r>
        <w:rPr>
          <w:rFonts w:cs="Times New Roman"/>
          <w:lang w:val="de-DE"/>
        </w:rPr>
        <w:t>: „[W]eil wir uns bereits in einer für alle anderen unhörbaren Sprache, die nur Geschwister miteinander teilen, darüber verständigt haben, wie lächerlich Juli aussieht mit ihrem schief abgeschnittenen Fransen, die trostlose rote Blume, die hinter ihrem Ohr steckt“ (TFA: 30). Später im Text verbietet ihnen die Mutter, sich in ihrer Geheimsprache zu unterhalten, „weil das die Gäste provoziert, dann glauben sie, dass wir über sie tratschen“ (TFA: 103). Die Geheimsprache ist aber manchmal einfach das Schweizerdeutsch: „[N]atürlich lästern Nomi und ich auf Schweizerdeutsch weiter über sie“ (TFA: 32). An zweiter Stelle charakterisier</w:t>
      </w:r>
      <w:r w:rsidR="00716D22">
        <w:rPr>
          <w:rFonts w:cs="Times New Roman"/>
          <w:lang w:val="de-DE"/>
        </w:rPr>
        <w:t>en</w:t>
      </w:r>
      <w:r>
        <w:rPr>
          <w:rFonts w:cs="Times New Roman"/>
          <w:lang w:val="de-DE"/>
        </w:rPr>
        <w:t xml:space="preserve"> vor allem Wortspiele die Sprache der beiden Schwestern: „Ohne uns abzusprechen, spielen Nomi und ich eines unserer Wortspiele“ (TFA: 27) und „während Nomi und ich zum Zeitvertreib Wörter destillieren“ (TFA: 66)</w:t>
      </w:r>
      <w:r w:rsidR="00716D22">
        <w:rPr>
          <w:rFonts w:cs="Times New Roman"/>
          <w:lang w:val="de-DE"/>
        </w:rPr>
        <w:t xml:space="preserve"> zeigen diese Tendenz</w:t>
      </w:r>
      <w:r>
        <w:rPr>
          <w:rFonts w:cs="Times New Roman"/>
          <w:lang w:val="de-DE"/>
        </w:rPr>
        <w:t>. Der entspannte und vor allem ungezwungene Charakter diese</w:t>
      </w:r>
      <w:r w:rsidR="00716D22">
        <w:rPr>
          <w:rFonts w:cs="Times New Roman"/>
          <w:lang w:val="de-DE"/>
        </w:rPr>
        <w:t>r Wortspiele</w:t>
      </w:r>
      <w:r>
        <w:rPr>
          <w:rFonts w:cs="Times New Roman"/>
          <w:lang w:val="de-DE"/>
        </w:rPr>
        <w:t xml:space="preserve"> bietet Ildikó eine Art und Weise, sich mit Sprache zu beschäftigen, ohne </w:t>
      </w:r>
      <w:r w:rsidR="00716D22">
        <w:rPr>
          <w:rFonts w:cs="Times New Roman"/>
          <w:lang w:val="de-DE"/>
        </w:rPr>
        <w:t>sich unsicher zu fühlen</w:t>
      </w:r>
      <w:r>
        <w:rPr>
          <w:rFonts w:cs="Times New Roman"/>
          <w:lang w:val="de-DE"/>
        </w:rPr>
        <w:t>. Das führt dazu, dass Ildikó sich leichter mit ihrer Schwester al</w:t>
      </w:r>
      <w:r w:rsidR="002B58B4">
        <w:rPr>
          <w:rFonts w:cs="Times New Roman"/>
          <w:lang w:val="de-DE"/>
        </w:rPr>
        <w:t>s mit anderen unterhalten kann.</w:t>
      </w:r>
    </w:p>
    <w:p w14:paraId="769190C1" w14:textId="77777777" w:rsidR="004B7B7D" w:rsidRDefault="004B7B7D" w:rsidP="004B7B7D">
      <w:pPr>
        <w:pStyle w:val="Kop3"/>
        <w:numPr>
          <w:ilvl w:val="2"/>
          <w:numId w:val="2"/>
        </w:numPr>
        <w:rPr>
          <w:lang w:val="de-DE"/>
        </w:rPr>
      </w:pPr>
      <w:bookmarkStart w:id="48" w:name="_Toc515180105"/>
      <w:r>
        <w:rPr>
          <w:lang w:val="de-DE"/>
        </w:rPr>
        <w:t>Ildikó und Dalibor</w:t>
      </w:r>
      <w:bookmarkEnd w:id="48"/>
    </w:p>
    <w:p w14:paraId="496B2F5A" w14:textId="4192E4B9" w:rsidR="004B7B7D" w:rsidRDefault="004B7B7D" w:rsidP="004B7B7D">
      <w:pPr>
        <w:rPr>
          <w:rFonts w:cs="Times New Roman"/>
          <w:lang w:val="de-DE"/>
        </w:rPr>
      </w:pPr>
      <w:r>
        <w:rPr>
          <w:rFonts w:cs="Times New Roman"/>
          <w:lang w:val="de-DE"/>
        </w:rPr>
        <w:t xml:space="preserve">Schließlich trägt Ildikós Beziehung zu Dalibor am stärksten zu ihrem komplexen Verhältnis zur Sprache bei. Anhand eines Close Reading einiger Szenen, die zwischen Ildikó und Dalibor stattfinden, wird zu einigen relevanten Feststellungen über die Sprache und Ildikós Verhältnis zu ihr gelangt. Es stellt sich schon bei ihrer ersten Begegnung heraus, dass Ildikó sich zu Dalibor hingezogen fühlt. Das lässt sich anhand von ihrer Körpersprache leicht feststellen: Sie erwähnt zweimal, wie sich ihr Kopf schämt (vgl. TFA: 179) und etwas später, wie sich ihr Kopf nicht beherrschen kann und unangenehm </w:t>
      </w:r>
      <w:r>
        <w:rPr>
          <w:rFonts w:cs="Times New Roman"/>
          <w:lang w:val="de-DE"/>
        </w:rPr>
        <w:lastRenderedPageBreak/>
        <w:t>heiß ist (vgl. TFA: 181). Ildikó weiß nicht, wie sie sich in einer solchen Situation benehmen muss, in der sie sich zu einem Jungen angezogen fühlt, was Auswirkungen auf ihre Sprache hat: „Dass eine junge Frau nichts anderes zu tun weiss, als unnötigen Lärm zu produzieren, das tut, was sie normalerweise vermeidet“ (TFA: 183). Ildikó bemerkt selbst schon, dass Dalibor ihr Verhalten und ihre Sprache beeinflusst, denn statt lautlos zu bleiben, produziert sie unnötigen Lärm. Außer anhand von Körpersprache äußert sie sich in dieser Szene noch mith</w:t>
      </w:r>
      <w:r w:rsidR="002D6C84">
        <w:rPr>
          <w:rFonts w:cs="Times New Roman"/>
          <w:lang w:val="de-DE"/>
        </w:rPr>
        <w:t>ilfe von Handzeichen und vo</w:t>
      </w:r>
      <w:r>
        <w:rPr>
          <w:rFonts w:cs="Times New Roman"/>
          <w:lang w:val="de-DE"/>
        </w:rPr>
        <w:t xml:space="preserve">m Englischen, weil Dalibor kein Deutsch spricht. Auch wenn Ildikó in dieser Szene weder Ungarisch noch Deutsch spricht, kann von Sprachlosigkeit also nicht die Rede sein. </w:t>
      </w:r>
    </w:p>
    <w:p w14:paraId="3004779F" w14:textId="198626DD" w:rsidR="004B7B7D" w:rsidRDefault="004B7B7D" w:rsidP="004B7B7D">
      <w:pPr>
        <w:ind w:firstLine="708"/>
        <w:rPr>
          <w:rFonts w:cs="Times New Roman"/>
          <w:lang w:val="de-DE"/>
        </w:rPr>
      </w:pPr>
      <w:r>
        <w:rPr>
          <w:rFonts w:cs="Times New Roman"/>
          <w:lang w:val="de-DE"/>
        </w:rPr>
        <w:t>Als Ildikó und Dalibor sich nach einem Telefongespräch, in dem das Schweigen Überhand hatte (vgl. TFA: 184), am See verabreden, erwähnt Ildikó, dass ein zerfleddertes Wörterbuch zwischen ihnen schwebt. Das könnte darauf hinweisen, dass ihre Sprache mangelhaft ist, weil sie wegen ihrer unterschiedlichen Sprachen nicht miteinander reden können, ohne ein Wörterbuch dafür zu benutzen. Viel</w:t>
      </w:r>
      <w:r w:rsidR="002B58B4">
        <w:rPr>
          <w:rFonts w:cs="Times New Roman"/>
          <w:lang w:val="de-DE"/>
        </w:rPr>
        <w:t>mehr aber will die vorliegende Mastera</w:t>
      </w:r>
      <w:r>
        <w:rPr>
          <w:rFonts w:cs="Times New Roman"/>
          <w:lang w:val="de-DE"/>
        </w:rPr>
        <w:t xml:space="preserve">rbeit behaupten, dass das zerfledderte Wörterbuch auf die Obsoleszenz der Sprache hinweist. Das Wörterbuch ist obsolet geworden, was von „zerfleddert“ symbolisiert wird: Ildikó und Dalibor brauchen es nicht, um miteinander kommunizieren zu können, auch wenn es sie miteinander verbindet (vgl. TFA: 184). Sie reden über Sachen, die sie mit keinen anderen Leuten besprechen. So erzählt ihm Ildikó von ihrem Fluss, auch wenn sie noch nie jemandem davon erzählt hat (vgl. TFA: 184). Nicht nur die Tatsache, dass sie überhaupt redet, sondern auch die Themen, die zur Sprache kommen, weisen darauf hin, dass Ildikós Sprache sich bei der Unterhaltung mit Dalibor ändert. Wie schon erwähnt, kommunizieren sie unter anderem anhand von Körpersprache und Handzeichen. </w:t>
      </w:r>
    </w:p>
    <w:p w14:paraId="366DE621" w14:textId="38ACA529" w:rsidR="004B7B7D" w:rsidRDefault="004B7B7D" w:rsidP="004B7B7D">
      <w:pPr>
        <w:ind w:firstLine="708"/>
        <w:rPr>
          <w:rFonts w:cs="Times New Roman"/>
          <w:lang w:val="de-DE"/>
        </w:rPr>
      </w:pPr>
      <w:r>
        <w:rPr>
          <w:rFonts w:cs="Times New Roman"/>
          <w:lang w:val="de-DE"/>
        </w:rPr>
        <w:t xml:space="preserve">Ildikó drückt sich bei Dalibor vor allem anhand von alternativen Kommunikationsmitteln statt mithilfe </w:t>
      </w:r>
      <w:r w:rsidR="00AC6CA7">
        <w:rPr>
          <w:rFonts w:cs="Times New Roman"/>
          <w:lang w:val="de-DE"/>
        </w:rPr>
        <w:t>von</w:t>
      </w:r>
      <w:r>
        <w:rPr>
          <w:rFonts w:cs="Times New Roman"/>
          <w:lang w:val="de-DE"/>
        </w:rPr>
        <w:t xml:space="preserve"> Sprache aus und auch Dalibor benutzt seinen Körper, um seinen Gedanken und Gefühlen Ausdruck zu geben. So fährt er z. B. mit seinen „ausgesprochen schönen Fingern“ (TFA: 184) über Ildikós Stirn, später mit seiner Hand </w:t>
      </w:r>
      <w:r w:rsidR="00AC6CA7">
        <w:rPr>
          <w:rFonts w:cs="Times New Roman"/>
          <w:lang w:val="de-DE"/>
        </w:rPr>
        <w:t>über ihre Wange (vgl. TFA: 187)</w:t>
      </w:r>
      <w:r>
        <w:rPr>
          <w:rFonts w:cs="Times New Roman"/>
          <w:lang w:val="de-DE"/>
        </w:rPr>
        <w:t xml:space="preserve"> und noch etwas später mit seinem Zeigefinger über das Grübchen beim Hals (vgl. TFA: 188). Das Adjektiv „ausgesprochen“ im ersten Zitat zeigt, dass auch ohne Sprache Gefühle ausgesprochen werden können, aber verknüpft beide gleichzeitig miteinander. Auch Ildikó stellt fest, dass Dalibors Körper </w:t>
      </w:r>
      <w:r>
        <w:rPr>
          <w:rFonts w:cs="Times New Roman"/>
          <w:lang w:val="de-DE"/>
        </w:rPr>
        <w:lastRenderedPageBreak/>
        <w:t xml:space="preserve">eine eigene Geschichte erzählt: „[I]ch blickte verstohlen auf seinen Körper, auf seine Hüften, die verboten schlank waren, auf Arme, die in ihrer muskulösen Ausgezehrtheit eine andere Geschichte erzählten als: Wir werden dich über die Schwelle tragen“ (TFA: 268). Die Sprache wird aber nie vollständig unterlassen, denn Ildikó beschreibt, wie sie Nomi von Dalibor erzählen wird: </w:t>
      </w:r>
    </w:p>
    <w:p w14:paraId="312251E3" w14:textId="77777777" w:rsidR="004B7B7D" w:rsidRDefault="004B7B7D" w:rsidP="004B7B7D">
      <w:pPr>
        <w:spacing w:after="240" w:line="240" w:lineRule="auto"/>
        <w:ind w:left="567"/>
        <w:rPr>
          <w:rFonts w:cs="Times New Roman"/>
          <w:lang w:val="de-DE"/>
        </w:rPr>
      </w:pPr>
      <w:r>
        <w:rPr>
          <w:rFonts w:cs="Times New Roman"/>
          <w:lang w:val="de-DE"/>
        </w:rPr>
        <w:t xml:space="preserve">[I]ch werde ihr haarklein alles beschreiben, dass er von </w:t>
      </w:r>
      <w:r>
        <w:rPr>
          <w:rFonts w:cs="Times New Roman"/>
          <w:i/>
          <w:lang w:val="de-DE"/>
        </w:rPr>
        <w:t>my fantastic body</w:t>
      </w:r>
      <w:r>
        <w:rPr>
          <w:rFonts w:cs="Times New Roman"/>
          <w:lang w:val="de-DE"/>
        </w:rPr>
        <w:t xml:space="preserve"> spricht, dabei so kindlich lächelt, dass sich seine stolze Überheblichkeit sofort an eine einnehmende Naivität verliert, Dalibor, der so dichtes Haar hat wie Onkel Piri, dessen Augen so sehend sind, dass ich sie immer anschauen möchte, ein Blick, dem ich schon lange nicht mehr begegnet bin) (TFA: 185).</w:t>
      </w:r>
    </w:p>
    <w:p w14:paraId="24AF2402" w14:textId="77777777" w:rsidR="002D6C84" w:rsidRDefault="004B7B7D" w:rsidP="004B7B7D">
      <w:pPr>
        <w:rPr>
          <w:rFonts w:cs="Times New Roman"/>
          <w:lang w:val="de-DE"/>
        </w:rPr>
      </w:pPr>
      <w:r>
        <w:rPr>
          <w:rFonts w:cs="Times New Roman"/>
          <w:lang w:val="de-DE"/>
        </w:rPr>
        <w:t xml:space="preserve">Das Zitat zeigt die Relevanz von Sprache, auch wenn die Szene sich auf andere Arten der Kommunikation fokussiert. Ein weiteres Motiv, das in diesem Zitat vorkommt, ist das der Beobachtung, denn eine Beschreibung wie im Zitat ist nichts weniger als eine Kombination von Beobachtung und Sprache, wobei Beobachtetes in Worte übersetzt wird. Bisher wurden das Motiv des Fensters und seine Bedeutung in Bezug auf Beobachtung schon ausführlich untersucht. Auch in der Begegnungsszene zwischen Ildikó und Dalibor äußert sich die Bedeutsamkeit dieses letzten Motivs. Ildikó will sich instinktiv hinter der Theke verstecken, widersteht aber dem Drang und bleibt stehen (vgl. TFA: 182). Als sie später doch wieder hinter der Theke steht, bemerkt sie, dass die Cimbali, „die doch nur meine Nasenspitze und meine Augen preisgibt, mich vor diesem Dalibor nicht ausreichend schützt“ (TFA: 182). Ildikó fühlt sich von Dalibor beobachtet und deswegen irritiert: „Dass er so dreist schaut wie es eigentlich nur Kinder tun, das beeindruckt mich und irritiert mich, und weil es mich irritiert, ärgere ich mich schon wieder“ (TFA: 182). </w:t>
      </w:r>
    </w:p>
    <w:p w14:paraId="0CAC3966" w14:textId="6833C23A" w:rsidR="004B7B7D" w:rsidRDefault="004B7B7D" w:rsidP="002D6C84">
      <w:pPr>
        <w:ind w:firstLine="708"/>
        <w:rPr>
          <w:rFonts w:cs="Times New Roman"/>
          <w:lang w:val="de-DE"/>
        </w:rPr>
      </w:pPr>
      <w:r>
        <w:rPr>
          <w:rFonts w:cs="Times New Roman"/>
          <w:lang w:val="de-DE"/>
        </w:rPr>
        <w:t xml:space="preserve">Während Ildikó sich bei ihrer ersten Begegnung von Dalibors Beobachtung irritiert fühlt, beschreibt sie seinen Blick im vorigen Blockzitat als einen, den sie sich immer anschauen möchte und dem sie schon lange nicht mehr begegnet ist. In der Szene am See beschreibt sie Dalibors Blick sogar als fähig, „die Schwäne zu beschwören, sie sollen an Ort und Stelle schwimmen, um uns beim gemeinsamen Bad zuzugucken, ich halte es auch für möglich, dass er den Himmel bittet, sich mit der Dämmerung zu beeilen, damit unsere Körper sich im schönsten Abendrot baden“ (TFA: 185). Als sie sich, ohne es zu wissen, zum letzten Mal treffen, beschreibt Ildikó, wie Dalibor sie mit verbrauchten Augen anschaute, „als hätten wir uns nichts mehr zu sagen“ (TFA: 269). Hier scheint die </w:t>
      </w:r>
      <w:r>
        <w:rPr>
          <w:rFonts w:cs="Times New Roman"/>
          <w:lang w:val="de-DE"/>
        </w:rPr>
        <w:lastRenderedPageBreak/>
        <w:t>Kommunikation wieder fehlzuschlagen. Nicht nur die Sprache, sondern auch die nichtwörtliche Kommunikation lässt nach. Die Verliebten verabschieden sich nicht voneinander, und als Ildikó ihn anruft, erzählt ihr eine Stimme, „Dalibor ist nach Dubrovnik gefahren, er lässt Sie grüßen, und er kommt zurück, ganz bestimmt“ (TFA: 269).</w:t>
      </w:r>
    </w:p>
    <w:p w14:paraId="4622BFEB" w14:textId="47B2C442" w:rsidR="004B7B7D" w:rsidRDefault="004B7B7D" w:rsidP="004B7B7D">
      <w:pPr>
        <w:ind w:firstLine="708"/>
        <w:rPr>
          <w:rFonts w:cs="Times New Roman"/>
          <w:lang w:val="de-DE"/>
        </w:rPr>
      </w:pPr>
      <w:r>
        <w:rPr>
          <w:rFonts w:cs="Times New Roman"/>
          <w:lang w:val="de-DE"/>
        </w:rPr>
        <w:t>Nicht nur Dalibors Blick und Körper, sondern auch seine Handlungen, z. B. wie er Steine über das Wasser fliegen lässt, werden von Ildikó ausführlich beschrieben. Vor allem fragt sie sich, „wie man dieses Geräusch von übers Wasser hüpfenden Steinen beschreiben könnte (man hört die Luft, die Geschwindigkeit in der Luft, das spitze, feine Geräusch des Steins, der auf Wasser trifft, ein fe</w:t>
      </w:r>
      <w:r w:rsidR="001F10B9">
        <w:rPr>
          <w:rFonts w:cs="Times New Roman"/>
          <w:lang w:val="de-DE"/>
        </w:rPr>
        <w:t>derndes Geräusch“ (TFA: 186). Diese</w:t>
      </w:r>
      <w:r>
        <w:rPr>
          <w:rFonts w:cs="Times New Roman"/>
          <w:lang w:val="de-DE"/>
        </w:rPr>
        <w:t xml:space="preserve">s Zitat zeigt noch mal, wie stark Ildikó Sprache, in diesem Fall aber eher Geräusch, auffällt. Außer einem Fokus auf Hören, Fühlen und Sehen, erwähnt Ildikó in dieser Szene auch das Riechen, denn „Dalibor setzt sich neben mich, ganz nah, ich, die riechen kann, dass er schwitzt“ (TFA: 186). Es stellt sich also heraus, dass die komplizierte Beziehung zur Sprache hier anhand von anderen Sinnen zum Teil unkompliziert wird. Überdies soll erwähnt werden, dass Ildikó in Dalibors Nähe ihre Sprachlosigkeit verliert, weil sie anhand von anderen Kommunikationsmitteln ihre Stimme wiederfindet. </w:t>
      </w:r>
    </w:p>
    <w:p w14:paraId="3E29673F" w14:textId="77777777" w:rsidR="004B7B7D" w:rsidRDefault="004B7B7D" w:rsidP="004B7B7D">
      <w:pPr>
        <w:ind w:firstLine="708"/>
        <w:rPr>
          <w:rFonts w:cs="Times New Roman"/>
          <w:lang w:val="de-DE"/>
        </w:rPr>
      </w:pPr>
      <w:r>
        <w:rPr>
          <w:rFonts w:cs="Times New Roman"/>
          <w:lang w:val="de-DE"/>
        </w:rPr>
        <w:t xml:space="preserve">Die Kommunikation anhand von Sprache selbst bleibt jedoch schwierig: „[E]s dauert eine Weile, bis ich ihn verstehe, da ich das englische Wort für „fatalistisch“ nicht kenne“ (TFA: 266-267). Später wird der Nutzen der Sprache sogar in Frage gestellt: </w:t>
      </w:r>
    </w:p>
    <w:p w14:paraId="556AC3A9" w14:textId="77777777" w:rsidR="004B7B7D" w:rsidRDefault="004B7B7D" w:rsidP="004B7B7D">
      <w:pPr>
        <w:spacing w:after="240" w:line="240" w:lineRule="auto"/>
        <w:ind w:left="567"/>
        <w:rPr>
          <w:rFonts w:cs="Times New Roman"/>
          <w:lang w:val="de-DE"/>
        </w:rPr>
      </w:pPr>
      <w:r>
        <w:rPr>
          <w:rFonts w:cs="Times New Roman"/>
          <w:lang w:val="de-DE"/>
        </w:rPr>
        <w:t xml:space="preserve">[I]ch weiss nur, dass dieser Krieg, wie jeder andere auch, so schnell wie möglich beendet werden müsste, statt dass wir dauernd darüber debattieren, was für eine Art Krieg der Krieg auf dem Balkan ist. Wenn nicht andauernd alle Politiker darüber reden würden, wie kompliziert die Situation auf dem Balkan ist, dann könnte jetzt das Schlimmste noch vermieden werden (TFA: 267). </w:t>
      </w:r>
    </w:p>
    <w:p w14:paraId="4D5A92FB" w14:textId="0A6E5253" w:rsidR="004B7B7D" w:rsidRPr="004B7B7D" w:rsidRDefault="004B7B7D" w:rsidP="00907BEC">
      <w:pPr>
        <w:rPr>
          <w:lang w:val="de-DE"/>
        </w:rPr>
      </w:pPr>
      <w:r>
        <w:rPr>
          <w:rFonts w:cs="Times New Roman"/>
          <w:lang w:val="de-DE"/>
        </w:rPr>
        <w:t xml:space="preserve">Einerseits kritisiert Dalibor im Zitat die Tatsache, dass zu viel über den Krieg geredet wird. Andererseits erfahren die Figuren in der Geschichte Schwierigkeiten, sich in Bezug auf den Krieg und die schreckliche Situation in der Heimat (die Vojvodina für die Kocsis, Kroatien für Dalibor und Glorija, und Serbien/Bosnien für Dragana) auszudrücken, oder es wird ihnen sogar von äußeren Umständen unmöglich gemacht. Der Krieg hat nämlich zur Folge, dass die Kommunikation mit der Familie in der Heimat, wenn überhaupt möglich, nur noch auf indirekte Art und Weise stattfinden kann. In die Heimat reisen, um mit der Familie reden zu können, ist jedenfalls nicht möglich, und auch die </w:t>
      </w:r>
      <w:r>
        <w:rPr>
          <w:rFonts w:cs="Times New Roman"/>
          <w:lang w:val="de-DE"/>
        </w:rPr>
        <w:lastRenderedPageBreak/>
        <w:t>Telefonleitung, die vorher zwar eine „entfernte Stimme“ (TFA: 11), aber das einzige direkte Mittel der Kommunikation war, ist jetzt tot (vgl. TFA: 155). Kontakt mit der Heimat ist demzufolge nur noch „auf indirekte (über Briefe der Familie, Fernseh- und Radionachrichten)“</w:t>
      </w:r>
      <w:r>
        <w:rPr>
          <w:rStyle w:val="Voetnootmarkering"/>
          <w:rFonts w:cs="Times New Roman"/>
          <w:lang w:val="de-DE"/>
        </w:rPr>
        <w:footnoteReference w:id="163"/>
      </w:r>
      <w:r>
        <w:rPr>
          <w:rFonts w:cs="Times New Roman"/>
          <w:lang w:val="de-DE"/>
        </w:rPr>
        <w:t xml:space="preserve"> Art und Weise möglich. So bekommt Dragana einen Brief von ihrer Schwester, in der sie die Situation in ihrer Heimat beschreibt. Ildikó will aber nichts </w:t>
      </w:r>
      <w:r w:rsidR="005E2486">
        <w:rPr>
          <w:rFonts w:cs="Times New Roman"/>
          <w:lang w:val="de-DE"/>
        </w:rPr>
        <w:t>von dem</w:t>
      </w:r>
      <w:r>
        <w:rPr>
          <w:rFonts w:cs="Times New Roman"/>
          <w:lang w:val="de-DE"/>
        </w:rPr>
        <w:t xml:space="preserve"> wissen, was Draganas Schwester geschrieben hat, sagt ihr sogar „[E]rzähl mir später davon!“ (TFA: 155)</w:t>
      </w:r>
      <w:r w:rsidR="001F10B9">
        <w:rPr>
          <w:rFonts w:cs="Times New Roman"/>
          <w:lang w:val="de-DE"/>
        </w:rPr>
        <w:t xml:space="preserve">, um </w:t>
      </w:r>
      <w:r w:rsidR="005E2486">
        <w:rPr>
          <w:rFonts w:cs="Times New Roman"/>
          <w:lang w:val="de-DE"/>
        </w:rPr>
        <w:t xml:space="preserve">eine </w:t>
      </w:r>
      <w:r w:rsidR="001F10B9">
        <w:rPr>
          <w:rFonts w:cs="Times New Roman"/>
          <w:lang w:val="de-DE"/>
        </w:rPr>
        <w:t>Konfrontation zu vermeiden</w:t>
      </w:r>
      <w:r>
        <w:rPr>
          <w:rFonts w:cs="Times New Roman"/>
          <w:lang w:val="de-DE"/>
        </w:rPr>
        <w:t>. In der einführenden Bachelorarbeit wurde dieses Benehmen von Ildikó als Flucht von der Realität interpretiert, weil sie die Nachrichten aus ihrer Heimat nicht hören will.</w:t>
      </w:r>
      <w:r>
        <w:rPr>
          <w:rStyle w:val="Voetnootmarkering"/>
          <w:rFonts w:cs="Times New Roman"/>
          <w:lang w:val="de-DE"/>
        </w:rPr>
        <w:footnoteReference w:id="164"/>
      </w:r>
      <w:r>
        <w:rPr>
          <w:rFonts w:cs="Times New Roman"/>
          <w:lang w:val="de-DE"/>
        </w:rPr>
        <w:t xml:space="preserve"> In der vorliegenden Masterarbeit aber kann ihr Verhalten auch in Bezug auf ihre Beziehung zur Sprache interpretiert werden: Außer der Realität zu entfliehen, entflieht sie auch der Kommunikation anhand von Sprache. </w:t>
      </w:r>
      <w:r>
        <w:rPr>
          <w:lang w:val="de-DE"/>
        </w:rPr>
        <w:t xml:space="preserve">So beschreibt Ildikó, wie sie nichts mehr an sich ranlässt, tagelang kein Radio hört, keine Zeitungen liest und sich in ihr Zimmer verzieht, weil sie in den Medien mit Schlagzeilen wie „Gibt es noch einen Weg aus der Balkan-Horrorshow?“ (TFA: 234) konfrontiert wird. </w:t>
      </w:r>
    </w:p>
    <w:p w14:paraId="6AA74FA1" w14:textId="77777777" w:rsidR="00907BEC" w:rsidRPr="003103F8" w:rsidRDefault="00907BEC" w:rsidP="00907BEC">
      <w:pPr>
        <w:rPr>
          <w:rFonts w:cs="Times New Roman"/>
          <w:lang w:val="de-DE"/>
        </w:rPr>
      </w:pPr>
    </w:p>
    <w:p w14:paraId="180B0FC5" w14:textId="7653ACE1" w:rsidR="00B00DEB" w:rsidRDefault="00B00DEB" w:rsidP="004B7B7D">
      <w:pPr>
        <w:pStyle w:val="Kop2"/>
        <w:numPr>
          <w:ilvl w:val="1"/>
          <w:numId w:val="2"/>
        </w:numPr>
        <w:rPr>
          <w:lang w:val="de-DE"/>
        </w:rPr>
      </w:pPr>
      <w:r>
        <w:rPr>
          <w:lang w:val="de-DE"/>
        </w:rPr>
        <w:t xml:space="preserve"> </w:t>
      </w:r>
      <w:bookmarkStart w:id="49" w:name="_Toc515180106"/>
      <w:r w:rsidR="00E72049" w:rsidRPr="003103F8">
        <w:rPr>
          <w:lang w:val="de-DE"/>
        </w:rPr>
        <w:t>Sprache als Unterdrückun</w:t>
      </w:r>
      <w:r>
        <w:rPr>
          <w:lang w:val="de-DE"/>
        </w:rPr>
        <w:t>g</w:t>
      </w:r>
      <w:bookmarkEnd w:id="49"/>
    </w:p>
    <w:p w14:paraId="5623C456" w14:textId="610B0FEF" w:rsidR="000D2464" w:rsidRPr="00DB3DB0" w:rsidRDefault="00C864DB" w:rsidP="004B7B7D">
      <w:pPr>
        <w:pStyle w:val="Kop3"/>
        <w:numPr>
          <w:ilvl w:val="2"/>
          <w:numId w:val="2"/>
        </w:numPr>
        <w:rPr>
          <w:lang w:val="de-DE"/>
        </w:rPr>
      </w:pPr>
      <w:bookmarkStart w:id="50" w:name="_Toc515180107"/>
      <w:r w:rsidRPr="00DB3DB0">
        <w:rPr>
          <w:lang w:val="de-DE"/>
        </w:rPr>
        <w:t>Sprachverlust und Sprachlosigkeit</w:t>
      </w:r>
      <w:bookmarkEnd w:id="50"/>
    </w:p>
    <w:p w14:paraId="62F703C9" w14:textId="4EEB3CD6" w:rsidR="00C30C43" w:rsidRDefault="00F73DBD" w:rsidP="005928A6">
      <w:pPr>
        <w:rPr>
          <w:rFonts w:cs="Times New Roman"/>
          <w:lang w:val="de-DE"/>
        </w:rPr>
      </w:pPr>
      <w:bookmarkStart w:id="51" w:name="_Hlk513480418"/>
      <w:r>
        <w:rPr>
          <w:rFonts w:cs="Times New Roman"/>
          <w:lang w:val="de-DE"/>
        </w:rPr>
        <w:t>Ildikó</w:t>
      </w:r>
      <w:r w:rsidR="00AF557F">
        <w:rPr>
          <w:rFonts w:cs="Times New Roman"/>
          <w:lang w:val="de-DE"/>
        </w:rPr>
        <w:t xml:space="preserve">s Beziehung </w:t>
      </w:r>
      <w:r w:rsidR="00C84FE7">
        <w:rPr>
          <w:rFonts w:cs="Times New Roman"/>
          <w:lang w:val="de-DE"/>
        </w:rPr>
        <w:t>zu ihrer</w:t>
      </w:r>
      <w:r w:rsidR="00AF557F">
        <w:rPr>
          <w:rFonts w:cs="Times New Roman"/>
          <w:lang w:val="de-DE"/>
        </w:rPr>
        <w:t xml:space="preserve"> </w:t>
      </w:r>
      <w:r w:rsidR="00C84FE7">
        <w:rPr>
          <w:rFonts w:cs="Times New Roman"/>
          <w:lang w:val="de-DE"/>
        </w:rPr>
        <w:t>Mutters</w:t>
      </w:r>
      <w:r w:rsidR="00AF557F">
        <w:rPr>
          <w:rFonts w:cs="Times New Roman"/>
          <w:lang w:val="de-DE"/>
        </w:rPr>
        <w:t xml:space="preserve">prache wird stark von </w:t>
      </w:r>
      <w:r w:rsidR="00DD43CD">
        <w:rPr>
          <w:rFonts w:cs="Times New Roman"/>
          <w:lang w:val="de-DE"/>
        </w:rPr>
        <w:t>der</w:t>
      </w:r>
      <w:r w:rsidR="00AF557F">
        <w:rPr>
          <w:rFonts w:cs="Times New Roman"/>
          <w:lang w:val="de-DE"/>
        </w:rPr>
        <w:t xml:space="preserve"> Nostalgie nach ihrer Heimat gefärbt</w:t>
      </w:r>
      <w:bookmarkEnd w:id="51"/>
      <w:r w:rsidR="00AF557F">
        <w:rPr>
          <w:rFonts w:cs="Times New Roman"/>
          <w:lang w:val="de-DE"/>
        </w:rPr>
        <w:t xml:space="preserve">. Der Gebrauch des Ungarischen </w:t>
      </w:r>
      <w:r w:rsidR="00C84FE7">
        <w:rPr>
          <w:rFonts w:cs="Times New Roman"/>
          <w:lang w:val="de-DE"/>
        </w:rPr>
        <w:t>stell</w:t>
      </w:r>
      <w:r w:rsidR="005B5D38">
        <w:rPr>
          <w:rFonts w:cs="Times New Roman"/>
          <w:lang w:val="de-DE"/>
        </w:rPr>
        <w:t>t für sie eine der einzigen übrig</w:t>
      </w:r>
      <w:r w:rsidR="00C84FE7">
        <w:rPr>
          <w:rFonts w:cs="Times New Roman"/>
          <w:lang w:val="de-DE"/>
        </w:rPr>
        <w:t xml:space="preserve">gebliebenen Verknüpfungen mit </w:t>
      </w:r>
      <w:r w:rsidR="00DD43CD">
        <w:rPr>
          <w:rFonts w:cs="Times New Roman"/>
          <w:lang w:val="de-DE"/>
        </w:rPr>
        <w:t>ihrer</w:t>
      </w:r>
      <w:r w:rsidR="00C84FE7">
        <w:rPr>
          <w:rFonts w:cs="Times New Roman"/>
          <w:lang w:val="de-DE"/>
        </w:rPr>
        <w:t xml:space="preserve"> Heimat </w:t>
      </w:r>
      <w:r w:rsidR="00D738F2">
        <w:rPr>
          <w:rFonts w:cs="Times New Roman"/>
          <w:lang w:val="de-DE"/>
        </w:rPr>
        <w:t>und ihrer Großmutter dar, weil sie während der Abwesenheit ihrer Eltern als Ersatzmutter fungierte.</w:t>
      </w:r>
      <w:r w:rsidR="00C84FE7">
        <w:rPr>
          <w:rFonts w:cs="Times New Roman"/>
          <w:lang w:val="de-DE"/>
        </w:rPr>
        <w:t xml:space="preserve"> </w:t>
      </w:r>
      <w:r w:rsidR="00360AE1">
        <w:rPr>
          <w:rFonts w:cs="Times New Roman"/>
          <w:lang w:val="de-DE"/>
        </w:rPr>
        <w:t>Als</w:t>
      </w:r>
      <w:r w:rsidR="00D738F2">
        <w:rPr>
          <w:rFonts w:cs="Times New Roman"/>
          <w:lang w:val="de-DE"/>
        </w:rPr>
        <w:t xml:space="preserve"> Mamika </w:t>
      </w:r>
      <w:r w:rsidR="00360AE1">
        <w:rPr>
          <w:rFonts w:cs="Times New Roman"/>
          <w:lang w:val="de-DE"/>
        </w:rPr>
        <w:t>wieder in die Vojvodina zurückkehrt</w:t>
      </w:r>
      <w:r w:rsidR="00D738F2">
        <w:rPr>
          <w:rFonts w:cs="Times New Roman"/>
          <w:lang w:val="de-DE"/>
        </w:rPr>
        <w:t xml:space="preserve">, </w:t>
      </w:r>
      <w:r w:rsidR="00DD43CD">
        <w:rPr>
          <w:rFonts w:cs="Times New Roman"/>
          <w:lang w:val="de-DE"/>
        </w:rPr>
        <w:t>spürt</w:t>
      </w:r>
      <w:r w:rsidR="00D738F2">
        <w:rPr>
          <w:rFonts w:cs="Times New Roman"/>
          <w:lang w:val="de-DE"/>
        </w:rPr>
        <w:t xml:space="preserve"> </w:t>
      </w:r>
      <w:r>
        <w:rPr>
          <w:rFonts w:cs="Times New Roman"/>
          <w:lang w:val="de-DE"/>
        </w:rPr>
        <w:t>Ildikó</w:t>
      </w:r>
      <w:r w:rsidR="00D738F2">
        <w:rPr>
          <w:rFonts w:cs="Times New Roman"/>
          <w:lang w:val="de-DE"/>
        </w:rPr>
        <w:t xml:space="preserve">, dass auch eine </w:t>
      </w:r>
      <w:r w:rsidR="002F6D3C">
        <w:rPr>
          <w:rFonts w:cs="Times New Roman"/>
          <w:lang w:val="de-DE"/>
        </w:rPr>
        <w:t>der</w:t>
      </w:r>
      <w:r w:rsidR="00D738F2">
        <w:rPr>
          <w:rFonts w:cs="Times New Roman"/>
          <w:lang w:val="de-DE"/>
        </w:rPr>
        <w:t xml:space="preserve"> letzten Verknüpfungen mit ihrem vorigen Leben wegfällt, was </w:t>
      </w:r>
      <w:r w:rsidR="002F6D3C">
        <w:rPr>
          <w:rFonts w:cs="Times New Roman"/>
          <w:lang w:val="de-DE"/>
        </w:rPr>
        <w:t>ihre</w:t>
      </w:r>
      <w:r w:rsidR="00D738F2">
        <w:rPr>
          <w:rFonts w:cs="Times New Roman"/>
          <w:lang w:val="de-DE"/>
        </w:rPr>
        <w:t xml:space="preserve"> Sprachlosigkeit </w:t>
      </w:r>
      <w:r w:rsidR="00062575">
        <w:rPr>
          <w:rFonts w:cs="Times New Roman"/>
          <w:lang w:val="de-DE"/>
        </w:rPr>
        <w:t>bewirkt</w:t>
      </w:r>
      <w:r w:rsidR="002F6D3C">
        <w:rPr>
          <w:rFonts w:cs="Times New Roman"/>
          <w:lang w:val="de-DE"/>
        </w:rPr>
        <w:t xml:space="preserve">: „[I]ch habe alles, was ich geliebt habe, mit Ihrer Abreise verloren, aber als Nomi mich am Abend fragte, vermisst du sie?, bist du traurig?, blieb ich stumm“ (TFA: 277). </w:t>
      </w:r>
      <w:r w:rsidR="00360AE1">
        <w:rPr>
          <w:rFonts w:cs="Times New Roman"/>
          <w:lang w:val="de-DE"/>
        </w:rPr>
        <w:t>Kegelmann argumentiert, dass dieser Sprachverlust vor allem die ungarische Muttersprache betrifft,</w:t>
      </w:r>
      <w:r w:rsidR="00D738F2">
        <w:rPr>
          <w:rStyle w:val="Voetnootmarkering"/>
          <w:rFonts w:cs="Times New Roman"/>
          <w:lang w:val="de-DE"/>
        </w:rPr>
        <w:footnoteReference w:id="165"/>
      </w:r>
      <w:r w:rsidR="00D738F2">
        <w:rPr>
          <w:rFonts w:cs="Times New Roman"/>
          <w:lang w:val="de-DE"/>
        </w:rPr>
        <w:t xml:space="preserve"> </w:t>
      </w:r>
      <w:r w:rsidR="00360AE1">
        <w:rPr>
          <w:rFonts w:cs="Times New Roman"/>
          <w:lang w:val="de-DE"/>
        </w:rPr>
        <w:t xml:space="preserve">aber auch ein </w:t>
      </w:r>
      <w:r w:rsidR="00360AE1">
        <w:rPr>
          <w:rFonts w:cs="Times New Roman"/>
          <w:lang w:val="de-DE"/>
        </w:rPr>
        <w:lastRenderedPageBreak/>
        <w:t xml:space="preserve">Sprachverlust im Allgemeinen lässt sich feststellen. </w:t>
      </w:r>
      <w:r w:rsidR="00D738F2">
        <w:rPr>
          <w:rFonts w:cs="Times New Roman"/>
          <w:lang w:val="de-DE"/>
        </w:rPr>
        <w:t>Diese</w:t>
      </w:r>
      <w:r w:rsidR="00062575">
        <w:rPr>
          <w:rFonts w:cs="Times New Roman"/>
          <w:lang w:val="de-DE"/>
        </w:rPr>
        <w:t>r</w:t>
      </w:r>
      <w:r w:rsidR="00D738F2">
        <w:rPr>
          <w:rFonts w:cs="Times New Roman"/>
          <w:lang w:val="de-DE"/>
        </w:rPr>
        <w:t xml:space="preserve"> wird aber nicht nur dadurch ausgelöst, dass ihre Großmutter </w:t>
      </w:r>
      <w:r w:rsidR="00360AE1">
        <w:rPr>
          <w:rFonts w:cs="Times New Roman"/>
          <w:lang w:val="de-DE"/>
        </w:rPr>
        <w:t>wegzieht</w:t>
      </w:r>
      <w:r w:rsidR="00E72099">
        <w:rPr>
          <w:rFonts w:cs="Times New Roman"/>
          <w:lang w:val="de-DE"/>
        </w:rPr>
        <w:t>, sondern</w:t>
      </w:r>
      <w:r w:rsidR="00D738F2">
        <w:rPr>
          <w:rFonts w:cs="Times New Roman"/>
          <w:lang w:val="de-DE"/>
        </w:rPr>
        <w:t xml:space="preserve"> wird auch von </w:t>
      </w:r>
      <w:r>
        <w:rPr>
          <w:rFonts w:cs="Times New Roman"/>
          <w:lang w:val="de-DE"/>
        </w:rPr>
        <w:t>Ildikó</w:t>
      </w:r>
      <w:r w:rsidR="00062575">
        <w:rPr>
          <w:rFonts w:cs="Times New Roman"/>
          <w:lang w:val="de-DE"/>
        </w:rPr>
        <w:t>s</w:t>
      </w:r>
      <w:r w:rsidR="00D738F2">
        <w:rPr>
          <w:rFonts w:cs="Times New Roman"/>
          <w:lang w:val="de-DE"/>
        </w:rPr>
        <w:t xml:space="preserve"> Umgebung gefordert: </w:t>
      </w:r>
      <w:bookmarkStart w:id="52" w:name="_Hlk513480429"/>
      <w:r w:rsidR="00D738F2">
        <w:rPr>
          <w:rFonts w:cs="Times New Roman"/>
          <w:lang w:val="de-DE"/>
        </w:rPr>
        <w:t xml:space="preserve">Mit der Sprachlosigkeit geht </w:t>
      </w:r>
      <w:r w:rsidR="00062575">
        <w:rPr>
          <w:rFonts w:cs="Times New Roman"/>
          <w:lang w:val="de-DE"/>
        </w:rPr>
        <w:t xml:space="preserve">nämlich </w:t>
      </w:r>
      <w:r w:rsidR="00C30C43">
        <w:rPr>
          <w:rFonts w:cs="Times New Roman"/>
          <w:lang w:val="de-DE"/>
        </w:rPr>
        <w:t>eine Unterdrückung einher, die im Folgend</w:t>
      </w:r>
      <w:r w:rsidR="00B00DEB">
        <w:rPr>
          <w:rFonts w:cs="Times New Roman"/>
          <w:lang w:val="de-DE"/>
        </w:rPr>
        <w:t>en untersucht wird.</w:t>
      </w:r>
      <w:bookmarkEnd w:id="52"/>
    </w:p>
    <w:p w14:paraId="16BFF3CC" w14:textId="07468133" w:rsidR="000D2464" w:rsidRDefault="004D4C06" w:rsidP="004B7B7D">
      <w:pPr>
        <w:pStyle w:val="Kop3"/>
        <w:numPr>
          <w:ilvl w:val="2"/>
          <w:numId w:val="2"/>
        </w:numPr>
        <w:rPr>
          <w:lang w:val="de-DE"/>
        </w:rPr>
      </w:pPr>
      <w:bookmarkStart w:id="53" w:name="_Toc515180108"/>
      <w:r>
        <w:rPr>
          <w:lang w:val="de-DE"/>
        </w:rPr>
        <w:t>Unterdrückung auf persönlicher Ebene</w:t>
      </w:r>
      <w:bookmarkEnd w:id="53"/>
    </w:p>
    <w:p w14:paraId="170714CD" w14:textId="0CB610C8" w:rsidR="004B7B7D" w:rsidRDefault="00ED35E8" w:rsidP="000D2464">
      <w:pPr>
        <w:rPr>
          <w:rFonts w:cs="Times New Roman"/>
          <w:lang w:val="de-DE"/>
        </w:rPr>
      </w:pPr>
      <w:r w:rsidRPr="00ED35E8">
        <w:rPr>
          <w:rFonts w:cs="Times New Roman"/>
          <w:lang w:val="de-DE"/>
        </w:rPr>
        <w:t xml:space="preserve">Die Sprache als Unterdrückung wurde schon kurz anhand vom Verbot </w:t>
      </w:r>
      <w:r w:rsidRPr="00462C71">
        <w:rPr>
          <w:rFonts w:cs="Times New Roman"/>
          <w:lang w:val="de-DE"/>
        </w:rPr>
        <w:t>für</w:t>
      </w:r>
      <w:r w:rsidRPr="00ED35E8">
        <w:rPr>
          <w:rFonts w:cs="Times New Roman"/>
          <w:lang w:val="de-DE"/>
        </w:rPr>
        <w:t xml:space="preserve"> Glorija und Dragana, im Mondial auf Serbokroatisch – „die verbotene Sprache“ (TFA: 219) – zu reden, </w:t>
      </w:r>
      <w:r w:rsidR="00FA24DB">
        <w:rPr>
          <w:rFonts w:cs="Times New Roman"/>
          <w:lang w:val="de-DE"/>
        </w:rPr>
        <w:t>das</w:t>
      </w:r>
      <w:r w:rsidRPr="00ED35E8">
        <w:rPr>
          <w:rFonts w:cs="Times New Roman"/>
          <w:lang w:val="de-DE"/>
        </w:rPr>
        <w:t xml:space="preserve"> ihnen von den </w:t>
      </w:r>
      <w:r w:rsidR="00C07B31">
        <w:rPr>
          <w:rFonts w:cs="Times New Roman"/>
          <w:lang w:val="de-DE"/>
        </w:rPr>
        <w:t>Kocsis</w:t>
      </w:r>
      <w:r w:rsidRPr="00ED35E8">
        <w:rPr>
          <w:rFonts w:cs="Times New Roman"/>
          <w:lang w:val="de-DE"/>
        </w:rPr>
        <w:t xml:space="preserve"> auferlegt wurde, eingeführt. Der Grund dafür wird nicht </w:t>
      </w:r>
      <w:r w:rsidR="00DD43CD">
        <w:rPr>
          <w:rFonts w:cs="Times New Roman"/>
          <w:lang w:val="de-DE"/>
        </w:rPr>
        <w:t>ausdrücklich</w:t>
      </w:r>
      <w:r w:rsidRPr="00ED35E8">
        <w:rPr>
          <w:rFonts w:cs="Times New Roman"/>
          <w:lang w:val="de-DE"/>
        </w:rPr>
        <w:t xml:space="preserve"> im Text erwähnt, lässt sich</w:t>
      </w:r>
      <w:r w:rsidR="00DD43CD">
        <w:rPr>
          <w:rFonts w:cs="Times New Roman"/>
          <w:lang w:val="de-DE"/>
        </w:rPr>
        <w:t xml:space="preserve"> aber</w:t>
      </w:r>
      <w:r w:rsidR="003D1C4A">
        <w:rPr>
          <w:rFonts w:cs="Times New Roman"/>
          <w:lang w:val="de-DE"/>
        </w:rPr>
        <w:t xml:space="preserve"> wahrscheinlich</w:t>
      </w:r>
      <w:r w:rsidRPr="00ED35E8">
        <w:rPr>
          <w:rFonts w:cs="Times New Roman"/>
          <w:lang w:val="de-DE"/>
        </w:rPr>
        <w:t xml:space="preserve"> auf den Integrationsprozess zurückführen. Die Eltern wollen nämlich so wenig wie möglich </w:t>
      </w:r>
      <w:r w:rsidR="00DD43CD">
        <w:rPr>
          <w:rFonts w:cs="Times New Roman"/>
          <w:lang w:val="de-DE"/>
        </w:rPr>
        <w:t>auffallen</w:t>
      </w:r>
      <w:r w:rsidRPr="00ED35E8">
        <w:rPr>
          <w:rFonts w:cs="Times New Roman"/>
          <w:lang w:val="de-DE"/>
        </w:rPr>
        <w:t>, damit sie von der schweizerischen Bevölkerung akzeptiert – vielleicht aber eher geduldet – werden</w:t>
      </w:r>
      <w:r w:rsidR="004B7B7D">
        <w:rPr>
          <w:rFonts w:cs="Times New Roman"/>
          <w:lang w:val="de-DE"/>
        </w:rPr>
        <w:t>.</w:t>
      </w:r>
    </w:p>
    <w:p w14:paraId="61B4B8B1" w14:textId="3A42280C" w:rsidR="00585E09" w:rsidRDefault="000D2464" w:rsidP="004B7B7D">
      <w:pPr>
        <w:ind w:firstLine="708"/>
        <w:rPr>
          <w:rFonts w:cs="Times New Roman"/>
          <w:lang w:val="de-DE"/>
        </w:rPr>
      </w:pPr>
      <w:r>
        <w:rPr>
          <w:rFonts w:cs="Times New Roman"/>
          <w:lang w:val="de-DE"/>
        </w:rPr>
        <w:t>N</w:t>
      </w:r>
      <w:r w:rsidR="006E6A7A">
        <w:rPr>
          <w:rFonts w:cs="Times New Roman"/>
          <w:lang w:val="de-DE"/>
        </w:rPr>
        <w:t xml:space="preserve">icht nur </w:t>
      </w:r>
      <w:r w:rsidR="002F6D3C">
        <w:rPr>
          <w:rFonts w:cs="Times New Roman"/>
          <w:lang w:val="de-DE"/>
        </w:rPr>
        <w:t xml:space="preserve">die </w:t>
      </w:r>
      <w:r w:rsidR="006E6A7A">
        <w:rPr>
          <w:rFonts w:cs="Times New Roman"/>
          <w:lang w:val="de-DE"/>
        </w:rPr>
        <w:t>serbokroatische Sprache</w:t>
      </w:r>
      <w:r w:rsidR="002F6D3C">
        <w:rPr>
          <w:rFonts w:cs="Times New Roman"/>
          <w:lang w:val="de-DE"/>
        </w:rPr>
        <w:t xml:space="preserve"> für Dragana und Glorija, </w:t>
      </w:r>
      <w:r w:rsidR="006E6A7A">
        <w:rPr>
          <w:rFonts w:cs="Times New Roman"/>
          <w:lang w:val="de-DE"/>
        </w:rPr>
        <w:t xml:space="preserve">sondern auch das Sprechen im Allgemeinen soll vermieden werden. So sagt die Mutter z. B. zu </w:t>
      </w:r>
      <w:r w:rsidR="00F73DBD">
        <w:rPr>
          <w:rFonts w:cs="Times New Roman"/>
          <w:lang w:val="de-DE"/>
        </w:rPr>
        <w:t>Ildikó</w:t>
      </w:r>
      <w:r w:rsidR="006E6A7A">
        <w:rPr>
          <w:rFonts w:cs="Times New Roman"/>
          <w:lang w:val="de-DE"/>
        </w:rPr>
        <w:t>:</w:t>
      </w:r>
      <w:r w:rsidR="00895409" w:rsidRPr="00895409">
        <w:rPr>
          <w:rFonts w:cs="Times New Roman"/>
          <w:lang w:val="de-DE"/>
        </w:rPr>
        <w:t xml:space="preserve"> </w:t>
      </w:r>
      <w:r w:rsidR="00895409">
        <w:rPr>
          <w:rFonts w:cs="Times New Roman"/>
          <w:lang w:val="de-DE"/>
        </w:rPr>
        <w:t>„[I]rgendwann werden sie uns nicht mehr bemerken, dann sind wir Luft für sie, das ist am besten, und w</w:t>
      </w:r>
      <w:r w:rsidR="00895409" w:rsidRPr="0049504E">
        <w:rPr>
          <w:rFonts w:cs="Times New Roman"/>
          <w:lang w:val="de-DE"/>
        </w:rPr>
        <w:t>enn euch irgendjemand nach eurer Meinung fragt, wir haben keine Meinung“ (TFA: 151)</w:t>
      </w:r>
      <w:r w:rsidR="001F615E">
        <w:rPr>
          <w:rFonts w:cs="Times New Roman"/>
          <w:lang w:val="de-DE"/>
        </w:rPr>
        <w:t>, „</w:t>
      </w:r>
      <w:r w:rsidR="00B659E2">
        <w:rPr>
          <w:rFonts w:cs="Times New Roman"/>
          <w:lang w:val="de-DE"/>
        </w:rPr>
        <w:t>[E]</w:t>
      </w:r>
      <w:r w:rsidR="001F615E">
        <w:rPr>
          <w:rFonts w:cs="Times New Roman"/>
          <w:lang w:val="de-DE"/>
        </w:rPr>
        <w:t>s gibt keine Unterhaltung über diesen Vorfall“ (TFA: 233)</w:t>
      </w:r>
      <w:r w:rsidR="0043049A">
        <w:rPr>
          <w:rFonts w:cs="Times New Roman"/>
          <w:lang w:val="de-DE"/>
        </w:rPr>
        <w:t>, „</w:t>
      </w:r>
      <w:r w:rsidR="00B659E2">
        <w:rPr>
          <w:rFonts w:cs="Times New Roman"/>
          <w:lang w:val="de-DE"/>
        </w:rPr>
        <w:t xml:space="preserve">[D]as bleibt unter uns“ (TFA: 290) und </w:t>
      </w:r>
      <w:r w:rsidR="006E6A7A">
        <w:rPr>
          <w:rFonts w:cs="Times New Roman"/>
          <w:lang w:val="de-DE"/>
        </w:rPr>
        <w:t>„Die einzige Chance ist, sich hochzuarbeiten, und das, glaub mir, gelingt dir nicht, wenn du dich nicht taub oder dumm stellst“ (TFA: 297)</w:t>
      </w:r>
      <w:r w:rsidR="00521556">
        <w:rPr>
          <w:rFonts w:cs="Times New Roman"/>
          <w:lang w:val="de-DE"/>
        </w:rPr>
        <w:t xml:space="preserve">. </w:t>
      </w:r>
      <w:r w:rsidR="00F73DBD">
        <w:rPr>
          <w:rFonts w:cs="Times New Roman"/>
          <w:lang w:val="de-DE"/>
        </w:rPr>
        <w:t>Ildikó</w:t>
      </w:r>
      <w:r w:rsidR="00EB4986" w:rsidRPr="0049504E">
        <w:rPr>
          <w:rFonts w:cs="Times New Roman"/>
          <w:lang w:val="de-DE"/>
        </w:rPr>
        <w:t xml:space="preserve">s Mutter glaubt, dass sie </w:t>
      </w:r>
      <w:r w:rsidR="00C864DB">
        <w:rPr>
          <w:rFonts w:cs="Times New Roman"/>
          <w:lang w:val="de-DE"/>
        </w:rPr>
        <w:t xml:space="preserve">es </w:t>
      </w:r>
      <w:r w:rsidR="00EB4986" w:rsidRPr="0049504E">
        <w:rPr>
          <w:rFonts w:cs="Times New Roman"/>
          <w:lang w:val="de-DE"/>
        </w:rPr>
        <w:t xml:space="preserve">sich nicht leisten können, im </w:t>
      </w:r>
      <w:r w:rsidR="00EB4986">
        <w:rPr>
          <w:rFonts w:cs="Times New Roman"/>
          <w:lang w:val="de-DE"/>
        </w:rPr>
        <w:t xml:space="preserve">Geschäft über Politik zu reden, und ihre persönlichen Meinungen zum Konflikt in Jugoslawien zu äußern. </w:t>
      </w:r>
      <w:r w:rsidR="00316F66">
        <w:rPr>
          <w:rFonts w:cs="Times New Roman"/>
          <w:lang w:val="de-DE"/>
        </w:rPr>
        <w:t xml:space="preserve">Außer expliziten Aussagen, wie </w:t>
      </w:r>
      <w:r w:rsidR="00895409">
        <w:rPr>
          <w:rFonts w:cs="Times New Roman"/>
          <w:lang w:val="de-DE"/>
        </w:rPr>
        <w:t>in den</w:t>
      </w:r>
      <w:r w:rsidR="00316F66">
        <w:rPr>
          <w:rFonts w:cs="Times New Roman"/>
          <w:lang w:val="de-DE"/>
        </w:rPr>
        <w:t xml:space="preserve"> Zitat</w:t>
      </w:r>
      <w:r w:rsidR="00895409">
        <w:rPr>
          <w:rFonts w:cs="Times New Roman"/>
          <w:lang w:val="de-DE"/>
        </w:rPr>
        <w:t>en</w:t>
      </w:r>
      <w:r w:rsidR="00316F66">
        <w:rPr>
          <w:rFonts w:cs="Times New Roman"/>
          <w:lang w:val="de-DE"/>
        </w:rPr>
        <w:t xml:space="preserve">, wird </w:t>
      </w:r>
      <w:r w:rsidR="00F73DBD">
        <w:rPr>
          <w:rFonts w:cs="Times New Roman"/>
          <w:lang w:val="de-DE"/>
        </w:rPr>
        <w:t>Ildikó</w:t>
      </w:r>
      <w:r w:rsidR="00316F66">
        <w:rPr>
          <w:rFonts w:cs="Times New Roman"/>
          <w:lang w:val="de-DE"/>
        </w:rPr>
        <w:t xml:space="preserve"> auch auf implizite Art und Weise zum Schweigen angeregt</w:t>
      </w:r>
      <w:r w:rsidR="0061404B">
        <w:rPr>
          <w:rFonts w:cs="Times New Roman"/>
          <w:lang w:val="de-DE"/>
        </w:rPr>
        <w:t xml:space="preserve">, was sie </w:t>
      </w:r>
      <w:r w:rsidR="0061404B" w:rsidRPr="00462C71">
        <w:rPr>
          <w:rFonts w:cs="Times New Roman"/>
          <w:lang w:val="de-DE"/>
        </w:rPr>
        <w:t>gegen</w:t>
      </w:r>
      <w:r w:rsidR="0061404B">
        <w:rPr>
          <w:rFonts w:cs="Times New Roman"/>
          <w:lang w:val="de-DE"/>
        </w:rPr>
        <w:t xml:space="preserve"> Ende des</w:t>
      </w:r>
      <w:r w:rsidR="00316F66">
        <w:rPr>
          <w:rFonts w:cs="Times New Roman"/>
          <w:lang w:val="de-DE"/>
        </w:rPr>
        <w:t xml:space="preserve"> </w:t>
      </w:r>
      <w:r w:rsidR="0061404B">
        <w:rPr>
          <w:rFonts w:cs="Times New Roman"/>
          <w:lang w:val="de-DE"/>
        </w:rPr>
        <w:t>Textes selbst einsieht: „[I]ch werde mundtot gemacht mit Sätzen wie: Ihr sollt es einmal besser haben als wir, wir arbeiten nur für euch“ (TFA: 294).</w:t>
      </w:r>
      <w:r w:rsidR="005E31BC">
        <w:rPr>
          <w:rFonts w:cs="Times New Roman"/>
          <w:lang w:val="de-DE"/>
        </w:rPr>
        <w:t xml:space="preserve"> Sätze wie diesen interpretiert </w:t>
      </w:r>
      <w:r w:rsidR="00F73DBD">
        <w:rPr>
          <w:rFonts w:cs="Times New Roman"/>
          <w:lang w:val="de-DE"/>
        </w:rPr>
        <w:t>Ildikó</w:t>
      </w:r>
      <w:r w:rsidR="005E31BC">
        <w:rPr>
          <w:rFonts w:cs="Times New Roman"/>
          <w:lang w:val="de-DE"/>
        </w:rPr>
        <w:t xml:space="preserve"> als Ausreden, Unterdrückung und Erniedrigung akzeptieren zu müssen.</w:t>
      </w:r>
      <w:r w:rsidR="007B3D4D">
        <w:rPr>
          <w:rFonts w:cs="Times New Roman"/>
          <w:lang w:val="de-DE"/>
        </w:rPr>
        <w:t xml:space="preserve"> </w:t>
      </w:r>
    </w:p>
    <w:p w14:paraId="6F5B2091" w14:textId="3DC9772A" w:rsidR="000D2464" w:rsidRDefault="007B3D4D" w:rsidP="00682B49">
      <w:pPr>
        <w:ind w:firstLine="708"/>
        <w:rPr>
          <w:rFonts w:cs="Times New Roman"/>
          <w:lang w:val="de-DE"/>
        </w:rPr>
      </w:pPr>
      <w:r>
        <w:rPr>
          <w:rFonts w:cs="Times New Roman"/>
          <w:lang w:val="de-DE"/>
        </w:rPr>
        <w:t xml:space="preserve">Dalibors Bewerbung um eine Arbeitsstelle im Mondial führt zu einer Diskussion zwischen </w:t>
      </w:r>
      <w:r w:rsidR="00F73DBD">
        <w:rPr>
          <w:rFonts w:cs="Times New Roman"/>
          <w:lang w:val="de-DE"/>
        </w:rPr>
        <w:t>Ildikó</w:t>
      </w:r>
      <w:r>
        <w:rPr>
          <w:rFonts w:cs="Times New Roman"/>
          <w:lang w:val="de-DE"/>
        </w:rPr>
        <w:t xml:space="preserve"> und ihrer Mutter, während der sie ihre </w:t>
      </w:r>
      <w:r w:rsidR="00DD43CD">
        <w:rPr>
          <w:rFonts w:cs="Times New Roman"/>
          <w:lang w:val="de-DE"/>
        </w:rPr>
        <w:t>Stellung</w:t>
      </w:r>
      <w:r>
        <w:rPr>
          <w:rFonts w:cs="Times New Roman"/>
          <w:lang w:val="de-DE"/>
        </w:rPr>
        <w:t xml:space="preserve"> als Migranten besprechen: „Ildi, wir können froh sein, wenn wir nicht rausgeschmissen werden, […] die vielen Flüchtlinge, die kommen und noch kommen werden, helfen uns nicht dabei, beliebter zu werden“ (TFA: 180). </w:t>
      </w:r>
      <w:r w:rsidR="00EF1C6E">
        <w:rPr>
          <w:rFonts w:cs="Times New Roman"/>
          <w:lang w:val="de-DE"/>
        </w:rPr>
        <w:t xml:space="preserve">Einerseits benutzt </w:t>
      </w:r>
      <w:r w:rsidR="00F73DBD">
        <w:rPr>
          <w:rFonts w:cs="Times New Roman"/>
          <w:lang w:val="de-DE"/>
        </w:rPr>
        <w:t>Ildikó</w:t>
      </w:r>
      <w:r>
        <w:rPr>
          <w:rFonts w:cs="Times New Roman"/>
          <w:lang w:val="de-DE"/>
        </w:rPr>
        <w:t xml:space="preserve"> ihre Stimme und versucht, ihre Mutter zu provozieren: „Du gibst es also zu, dass sie uns nicht mögen, dass sie uns weghaben wollen? (Meine Stimme, die triumphieren will.)“ (TFA: 180)</w:t>
      </w:r>
      <w:r w:rsidR="00EF1C6E">
        <w:rPr>
          <w:rFonts w:cs="Times New Roman"/>
          <w:lang w:val="de-DE"/>
        </w:rPr>
        <w:t xml:space="preserve"> Andererseits </w:t>
      </w:r>
      <w:r w:rsidR="00EF1C6E">
        <w:rPr>
          <w:rFonts w:cs="Times New Roman"/>
          <w:lang w:val="de-DE"/>
        </w:rPr>
        <w:lastRenderedPageBreak/>
        <w:t xml:space="preserve">erkennt sie, dass sie sprachlos ist, und </w:t>
      </w:r>
      <w:r w:rsidR="00C864DB">
        <w:rPr>
          <w:rFonts w:cs="Times New Roman"/>
          <w:lang w:val="de-DE"/>
        </w:rPr>
        <w:t>macht</w:t>
      </w:r>
      <w:r w:rsidR="00EF1C6E">
        <w:rPr>
          <w:rFonts w:cs="Times New Roman"/>
          <w:lang w:val="de-DE"/>
        </w:rPr>
        <w:t xml:space="preserve"> das anhand </w:t>
      </w:r>
      <w:r w:rsidR="003D1C4A">
        <w:rPr>
          <w:rFonts w:cs="Times New Roman"/>
          <w:lang w:val="de-DE"/>
        </w:rPr>
        <w:t>vom folgenden</w:t>
      </w:r>
      <w:r w:rsidR="00EF1C6E">
        <w:rPr>
          <w:rFonts w:cs="Times New Roman"/>
          <w:lang w:val="de-DE"/>
        </w:rPr>
        <w:t xml:space="preserve"> Relativsatz</w:t>
      </w:r>
      <w:r w:rsidR="00DD43CD">
        <w:rPr>
          <w:rFonts w:cs="Times New Roman"/>
          <w:lang w:val="de-DE"/>
        </w:rPr>
        <w:t xml:space="preserve"> deutlich</w:t>
      </w:r>
      <w:r w:rsidR="00EF1C6E">
        <w:rPr>
          <w:rFonts w:cs="Times New Roman"/>
          <w:lang w:val="de-DE"/>
        </w:rPr>
        <w:t xml:space="preserve">: „[I]ch, die sprachlos ist“ (TFA: 180). </w:t>
      </w:r>
      <w:r w:rsidR="00C449AE">
        <w:rPr>
          <w:rFonts w:cs="Times New Roman"/>
          <w:lang w:val="de-DE"/>
        </w:rPr>
        <w:t xml:space="preserve">Der Gebrauch von Relativsätzen wird </w:t>
      </w:r>
      <w:r w:rsidR="003D1C4A">
        <w:rPr>
          <w:rFonts w:cs="Times New Roman"/>
          <w:lang w:val="de-DE"/>
        </w:rPr>
        <w:t>weiter</w:t>
      </w:r>
      <w:r w:rsidR="00C449AE">
        <w:rPr>
          <w:rFonts w:cs="Times New Roman"/>
          <w:lang w:val="de-DE"/>
        </w:rPr>
        <w:t xml:space="preserve"> in </w:t>
      </w:r>
      <w:r w:rsidR="00DD43CD">
        <w:rPr>
          <w:rFonts w:cs="Times New Roman"/>
          <w:lang w:val="de-DE"/>
        </w:rPr>
        <w:t>dieser</w:t>
      </w:r>
      <w:r w:rsidR="00C449AE">
        <w:rPr>
          <w:rFonts w:cs="Times New Roman"/>
          <w:lang w:val="de-DE"/>
        </w:rPr>
        <w:t xml:space="preserve"> Arbeit noch ausführlich untersucht. </w:t>
      </w:r>
      <w:r w:rsidR="00DB3DB0">
        <w:rPr>
          <w:rFonts w:cs="Times New Roman"/>
          <w:lang w:val="de-DE"/>
        </w:rPr>
        <w:t>Die</w:t>
      </w:r>
      <w:r w:rsidR="00EF1C6E">
        <w:rPr>
          <w:rFonts w:cs="Times New Roman"/>
          <w:lang w:val="de-DE"/>
        </w:rPr>
        <w:t xml:space="preserve"> Mutter hält trotz </w:t>
      </w:r>
      <w:r w:rsidR="00F73DBD">
        <w:rPr>
          <w:rFonts w:cs="Times New Roman"/>
          <w:lang w:val="de-DE"/>
        </w:rPr>
        <w:t>Ildikó</w:t>
      </w:r>
      <w:r w:rsidR="00EF1C6E">
        <w:rPr>
          <w:rFonts w:cs="Times New Roman"/>
          <w:lang w:val="de-DE"/>
        </w:rPr>
        <w:t xml:space="preserve">s Fragen durch und betont noch mal die Notwendigkeit der Sprachlosigkeit: „[W]ir müssen uns unter Kontrolle haben, nichts weiter, damit müssen wir uns abfinden“ (TFA: 181). </w:t>
      </w:r>
      <w:r w:rsidR="00F73DBD">
        <w:rPr>
          <w:rFonts w:cs="Times New Roman"/>
          <w:lang w:val="de-DE"/>
        </w:rPr>
        <w:t>Ildikó</w:t>
      </w:r>
      <w:r w:rsidR="00EF1C6E">
        <w:rPr>
          <w:rFonts w:cs="Times New Roman"/>
          <w:lang w:val="de-DE"/>
        </w:rPr>
        <w:t xml:space="preserve"> fragt ihre Mutter, ob man so leben kann, und sie antwortet darauf mit den Worten „ja natürlich“ (TFA: 181). </w:t>
      </w:r>
      <w:r w:rsidR="003D1C4A">
        <w:rPr>
          <w:rFonts w:cs="Times New Roman"/>
          <w:lang w:val="de-DE"/>
        </w:rPr>
        <w:t>Sie</w:t>
      </w:r>
      <w:r w:rsidR="00EF1C6E">
        <w:rPr>
          <w:rFonts w:cs="Times New Roman"/>
          <w:lang w:val="de-DE"/>
        </w:rPr>
        <w:t xml:space="preserve"> schaut ihre</w:t>
      </w:r>
      <w:r w:rsidR="00C07B31">
        <w:rPr>
          <w:rFonts w:cs="Times New Roman"/>
          <w:lang w:val="de-DE"/>
        </w:rPr>
        <w:t>r</w:t>
      </w:r>
      <w:r w:rsidR="00EF1C6E">
        <w:rPr>
          <w:rFonts w:cs="Times New Roman"/>
          <w:lang w:val="de-DE"/>
        </w:rPr>
        <w:t xml:space="preserve"> Mutter in die Augen, während sie lei</w:t>
      </w:r>
      <w:r w:rsidR="00DB3BB4">
        <w:rPr>
          <w:rFonts w:cs="Times New Roman"/>
          <w:lang w:val="de-DE"/>
        </w:rPr>
        <w:t>se sagt „ich glaube dir nicht“, was von der Mutter nicht gehört wird</w:t>
      </w:r>
      <w:r w:rsidR="00147ED6">
        <w:rPr>
          <w:rFonts w:cs="Times New Roman"/>
          <w:lang w:val="de-DE"/>
        </w:rPr>
        <w:t xml:space="preserve">, denn </w:t>
      </w:r>
      <w:r w:rsidR="00F73DBD">
        <w:rPr>
          <w:rFonts w:cs="Times New Roman"/>
          <w:lang w:val="de-DE"/>
        </w:rPr>
        <w:t>Ildikó</w:t>
      </w:r>
      <w:r w:rsidR="00147ED6">
        <w:rPr>
          <w:rFonts w:cs="Times New Roman"/>
          <w:lang w:val="de-DE"/>
        </w:rPr>
        <w:t xml:space="preserve"> fügt die Worte „wahrscheinlich unhörbar für Mutter“ (TFA: 181)</w:t>
      </w:r>
      <w:r w:rsidR="00C449AE">
        <w:rPr>
          <w:rFonts w:cs="Times New Roman"/>
          <w:lang w:val="de-DE"/>
        </w:rPr>
        <w:t xml:space="preserve"> hinzu</w:t>
      </w:r>
      <w:r w:rsidR="00DB3BB4">
        <w:rPr>
          <w:rFonts w:cs="Times New Roman"/>
          <w:lang w:val="de-DE"/>
        </w:rPr>
        <w:t xml:space="preserve">. </w:t>
      </w:r>
      <w:r w:rsidR="00147ED6">
        <w:rPr>
          <w:rFonts w:cs="Times New Roman"/>
          <w:lang w:val="de-DE"/>
        </w:rPr>
        <w:t xml:space="preserve">Das weist nicht nur darauf hin, dass </w:t>
      </w:r>
      <w:r w:rsidR="00F73DBD">
        <w:rPr>
          <w:rFonts w:cs="Times New Roman"/>
          <w:lang w:val="de-DE"/>
        </w:rPr>
        <w:t>Ildikó</w:t>
      </w:r>
      <w:r w:rsidR="00147ED6">
        <w:rPr>
          <w:rFonts w:cs="Times New Roman"/>
          <w:lang w:val="de-DE"/>
        </w:rPr>
        <w:t xml:space="preserve"> buchstäblich nicht von ihrer Mutter gehört wird, sondern auch, dass</w:t>
      </w:r>
      <w:r w:rsidR="00230020">
        <w:rPr>
          <w:rFonts w:cs="Times New Roman"/>
          <w:lang w:val="de-DE"/>
        </w:rPr>
        <w:t xml:space="preserve"> sie kein Verständnis für </w:t>
      </w:r>
      <w:r w:rsidR="00F73DBD">
        <w:rPr>
          <w:rFonts w:cs="Times New Roman"/>
          <w:lang w:val="de-DE"/>
        </w:rPr>
        <w:t>Ildikó</w:t>
      </w:r>
      <w:r w:rsidR="00230020">
        <w:rPr>
          <w:rFonts w:cs="Times New Roman"/>
          <w:lang w:val="de-DE"/>
        </w:rPr>
        <w:t xml:space="preserve">s Meinung zeigt. Dass </w:t>
      </w:r>
      <w:r w:rsidR="00F73DBD">
        <w:rPr>
          <w:rFonts w:cs="Times New Roman"/>
          <w:lang w:val="de-DE"/>
        </w:rPr>
        <w:t>Ildikó</w:t>
      </w:r>
      <w:r w:rsidR="00230020">
        <w:rPr>
          <w:rFonts w:cs="Times New Roman"/>
          <w:lang w:val="de-DE"/>
        </w:rPr>
        <w:t xml:space="preserve">s Meinung von ihren Eltern nicht gehört wird, äußert sich auch nach </w:t>
      </w:r>
      <w:r w:rsidR="003D1C4A">
        <w:rPr>
          <w:rFonts w:cs="Times New Roman"/>
          <w:lang w:val="de-DE"/>
        </w:rPr>
        <w:t>Mamikas</w:t>
      </w:r>
      <w:r w:rsidR="00230020">
        <w:rPr>
          <w:rFonts w:cs="Times New Roman"/>
          <w:lang w:val="de-DE"/>
        </w:rPr>
        <w:t xml:space="preserve"> Tod, denn </w:t>
      </w:r>
      <w:r w:rsidR="00F73DBD">
        <w:rPr>
          <w:rFonts w:cs="Times New Roman"/>
          <w:lang w:val="de-DE"/>
        </w:rPr>
        <w:t>Ildikó</w:t>
      </w:r>
      <w:r w:rsidR="003D1C4A">
        <w:rPr>
          <w:rFonts w:cs="Times New Roman"/>
          <w:lang w:val="de-DE"/>
        </w:rPr>
        <w:t xml:space="preserve"> gelan</w:t>
      </w:r>
      <w:r w:rsidR="00230020">
        <w:rPr>
          <w:rFonts w:cs="Times New Roman"/>
          <w:lang w:val="de-DE"/>
        </w:rPr>
        <w:t>gt zur folgenden Realisierung:</w:t>
      </w:r>
      <w:r w:rsidR="00147ED6">
        <w:rPr>
          <w:rFonts w:cs="Times New Roman"/>
          <w:lang w:val="de-DE"/>
        </w:rPr>
        <w:t xml:space="preserve"> </w:t>
      </w:r>
      <w:r w:rsidR="00230020">
        <w:rPr>
          <w:rFonts w:cs="Times New Roman"/>
          <w:lang w:val="de-DE"/>
        </w:rPr>
        <w:t xml:space="preserve">„[D]ass Mutter und Vater, im Zusammenhang mit unserer Heimat, die tieferen, schmerzhafteren Gefühle für sich beanspruchen durften; das, was in Nomi und mir </w:t>
      </w:r>
      <w:r w:rsidR="00585E09">
        <w:rPr>
          <w:rFonts w:cs="Times New Roman"/>
          <w:lang w:val="de-DE"/>
        </w:rPr>
        <w:t xml:space="preserve">damals vorging, hatte wenig oder kein Gewicht“ (TFA: 277). </w:t>
      </w:r>
      <w:r w:rsidR="00F73DBD">
        <w:rPr>
          <w:rFonts w:cs="Times New Roman"/>
          <w:lang w:val="de-DE"/>
        </w:rPr>
        <w:t>Ildikó</w:t>
      </w:r>
      <w:r w:rsidR="00585E09">
        <w:rPr>
          <w:rFonts w:cs="Times New Roman"/>
          <w:lang w:val="de-DE"/>
        </w:rPr>
        <w:t xml:space="preserve"> fühlt sich nicht nur mit der Heimat, sondern auch mit ihren Eltern unverbunden, unter anderem weil sie ihren Töchtern kein Gehör schenken. </w:t>
      </w:r>
      <w:r w:rsidR="003D1C4A">
        <w:rPr>
          <w:rFonts w:cs="Times New Roman"/>
          <w:lang w:val="de-DE"/>
        </w:rPr>
        <w:t>In meiner</w:t>
      </w:r>
      <w:r w:rsidR="00585E09">
        <w:rPr>
          <w:rFonts w:cs="Times New Roman"/>
          <w:lang w:val="de-DE"/>
        </w:rPr>
        <w:t xml:space="preserve"> Bachelorarbeit wurde die fehlende </w:t>
      </w:r>
      <w:r w:rsidR="00DD43CD">
        <w:rPr>
          <w:rFonts w:cs="Times New Roman"/>
          <w:lang w:val="de-DE"/>
        </w:rPr>
        <w:t xml:space="preserve">enge </w:t>
      </w:r>
      <w:r w:rsidR="00585E09">
        <w:rPr>
          <w:rFonts w:cs="Times New Roman"/>
          <w:lang w:val="de-DE"/>
        </w:rPr>
        <w:t xml:space="preserve">Beziehung zwischen </w:t>
      </w:r>
      <w:r w:rsidR="00F73DBD">
        <w:rPr>
          <w:rFonts w:cs="Times New Roman"/>
          <w:lang w:val="de-DE"/>
        </w:rPr>
        <w:t>Ildikó</w:t>
      </w:r>
      <w:r w:rsidR="00585E09">
        <w:rPr>
          <w:rFonts w:cs="Times New Roman"/>
          <w:lang w:val="de-DE"/>
        </w:rPr>
        <w:t xml:space="preserve"> und ihren Eltern schon ausführlich untersucht.</w:t>
      </w:r>
      <w:r w:rsidR="003D1C4A">
        <w:rPr>
          <w:rStyle w:val="Voetnootmarkering"/>
          <w:rFonts w:cs="Times New Roman"/>
          <w:lang w:val="de-DE"/>
        </w:rPr>
        <w:footnoteReference w:id="166"/>
      </w:r>
      <w:r w:rsidR="00585E09">
        <w:rPr>
          <w:rFonts w:cs="Times New Roman"/>
          <w:lang w:val="de-DE"/>
        </w:rPr>
        <w:t xml:space="preserve"> In</w:t>
      </w:r>
      <w:r w:rsidR="00DB3BB4">
        <w:rPr>
          <w:rFonts w:cs="Times New Roman"/>
          <w:lang w:val="de-DE"/>
        </w:rPr>
        <w:t xml:space="preserve"> </w:t>
      </w:r>
      <w:r w:rsidR="00585E09">
        <w:rPr>
          <w:rFonts w:cs="Times New Roman"/>
          <w:lang w:val="de-DE"/>
        </w:rPr>
        <w:t>der</w:t>
      </w:r>
      <w:r w:rsidR="00DB3BB4">
        <w:rPr>
          <w:rFonts w:cs="Times New Roman"/>
          <w:lang w:val="de-DE"/>
        </w:rPr>
        <w:t xml:space="preserve"> Diskussion</w:t>
      </w:r>
      <w:r w:rsidR="00585E09">
        <w:rPr>
          <w:rFonts w:cs="Times New Roman"/>
          <w:lang w:val="de-DE"/>
        </w:rPr>
        <w:t xml:space="preserve"> in den oben erwähnten Zitaten</w:t>
      </w:r>
      <w:r w:rsidR="00DB3BB4">
        <w:rPr>
          <w:rFonts w:cs="Times New Roman"/>
          <w:lang w:val="de-DE"/>
        </w:rPr>
        <w:t xml:space="preserve"> durchbricht </w:t>
      </w:r>
      <w:r w:rsidR="00F73DBD">
        <w:rPr>
          <w:rFonts w:cs="Times New Roman"/>
          <w:lang w:val="de-DE"/>
        </w:rPr>
        <w:t>Ildikó</w:t>
      </w:r>
      <w:r w:rsidR="00DB3BB4">
        <w:rPr>
          <w:rFonts w:cs="Times New Roman"/>
          <w:lang w:val="de-DE"/>
        </w:rPr>
        <w:t xml:space="preserve"> nicht nur buchstäblich ihre Stille, sondern ist außerdem nicht einverstanden mit dem, was ihre Mutter in Bezug auf Flüchtlinge denkt. </w:t>
      </w:r>
      <w:bookmarkStart w:id="54" w:name="_Hlk513480453"/>
      <w:r w:rsidR="0049048A">
        <w:rPr>
          <w:rFonts w:cs="Times New Roman"/>
          <w:lang w:val="de-DE"/>
        </w:rPr>
        <w:t xml:space="preserve">Im Folgenden wird nach </w:t>
      </w:r>
      <w:r w:rsidR="00F73DBD">
        <w:rPr>
          <w:rFonts w:cs="Times New Roman"/>
          <w:lang w:val="de-DE"/>
        </w:rPr>
        <w:t>Ildikó</w:t>
      </w:r>
      <w:r w:rsidR="00EC7C98">
        <w:rPr>
          <w:rFonts w:cs="Times New Roman"/>
          <w:lang w:val="de-DE"/>
        </w:rPr>
        <w:t xml:space="preserve">s Sprachlosigkeit als </w:t>
      </w:r>
      <w:r w:rsidR="0049048A">
        <w:rPr>
          <w:rFonts w:cs="Times New Roman"/>
          <w:lang w:val="de-DE"/>
        </w:rPr>
        <w:t xml:space="preserve">Unterdrückung </w:t>
      </w:r>
      <w:r w:rsidR="00DD43CD">
        <w:rPr>
          <w:rFonts w:cs="Times New Roman"/>
          <w:lang w:val="de-DE"/>
        </w:rPr>
        <w:t>durch</w:t>
      </w:r>
      <w:r w:rsidR="0049048A">
        <w:rPr>
          <w:rFonts w:cs="Times New Roman"/>
          <w:lang w:val="de-DE"/>
        </w:rPr>
        <w:t xml:space="preserve"> ihre Eltern auch die Unterdrückung </w:t>
      </w:r>
      <w:r w:rsidR="00DD43CD">
        <w:rPr>
          <w:rFonts w:cs="Times New Roman"/>
          <w:lang w:val="de-DE"/>
        </w:rPr>
        <w:t>durch die</w:t>
      </w:r>
      <w:r w:rsidR="0049048A">
        <w:rPr>
          <w:rFonts w:cs="Times New Roman"/>
          <w:lang w:val="de-DE"/>
        </w:rPr>
        <w:t xml:space="preserve"> Gemeinde </w:t>
      </w:r>
      <w:r w:rsidR="00682B49">
        <w:rPr>
          <w:rFonts w:cs="Times New Roman"/>
          <w:lang w:val="de-DE"/>
        </w:rPr>
        <w:t xml:space="preserve">und </w:t>
      </w:r>
      <w:r w:rsidR="00DD43CD">
        <w:rPr>
          <w:rFonts w:cs="Times New Roman"/>
          <w:lang w:val="de-DE"/>
        </w:rPr>
        <w:t>die</w:t>
      </w:r>
      <w:r w:rsidR="0049048A">
        <w:rPr>
          <w:rFonts w:cs="Times New Roman"/>
          <w:lang w:val="de-DE"/>
        </w:rPr>
        <w:t xml:space="preserve"> Kunden des Mondial untersucht. </w:t>
      </w:r>
    </w:p>
    <w:p w14:paraId="44F853FC" w14:textId="7707EF42" w:rsidR="000D2464" w:rsidRDefault="004D4C06" w:rsidP="004B7B7D">
      <w:pPr>
        <w:pStyle w:val="Kop3"/>
        <w:numPr>
          <w:ilvl w:val="2"/>
          <w:numId w:val="2"/>
        </w:numPr>
        <w:rPr>
          <w:lang w:val="de-DE"/>
        </w:rPr>
      </w:pPr>
      <w:bookmarkStart w:id="55" w:name="_Toc515180109"/>
      <w:bookmarkEnd w:id="54"/>
      <w:r>
        <w:rPr>
          <w:lang w:val="de-DE"/>
        </w:rPr>
        <w:t>Unterdrückung auf institutioneller Ebene</w:t>
      </w:r>
      <w:bookmarkEnd w:id="55"/>
    </w:p>
    <w:p w14:paraId="50577B93" w14:textId="02A5A81D" w:rsidR="00CB17AF" w:rsidRDefault="0049048A" w:rsidP="00642DD0">
      <w:pPr>
        <w:rPr>
          <w:rFonts w:cs="Times New Roman"/>
          <w:lang w:val="de-DE"/>
        </w:rPr>
      </w:pPr>
      <w:r w:rsidRPr="0049504E">
        <w:rPr>
          <w:rFonts w:cs="Times New Roman"/>
          <w:lang w:val="de-DE"/>
        </w:rPr>
        <w:t xml:space="preserve">Die Unterdrückung in Bezug </w:t>
      </w:r>
      <w:r w:rsidR="00682B49">
        <w:rPr>
          <w:rFonts w:cs="Times New Roman"/>
          <w:lang w:val="de-DE"/>
        </w:rPr>
        <w:t>auf Sprache</w:t>
      </w:r>
      <w:r w:rsidRPr="0049504E">
        <w:rPr>
          <w:rFonts w:cs="Times New Roman"/>
          <w:lang w:val="de-DE"/>
        </w:rPr>
        <w:t xml:space="preserve"> findet nicht nur auf persönlicher,</w:t>
      </w:r>
      <w:r w:rsidR="00B214A2">
        <w:rPr>
          <w:rFonts w:cs="Times New Roman"/>
          <w:lang w:val="de-DE"/>
        </w:rPr>
        <w:t xml:space="preserve"> also von den Eltern geprägt,</w:t>
      </w:r>
      <w:r w:rsidRPr="0049504E">
        <w:rPr>
          <w:rFonts w:cs="Times New Roman"/>
          <w:lang w:val="de-DE"/>
        </w:rPr>
        <w:t xml:space="preserve"> sondern auch auf institutioneller Ebene statt. </w:t>
      </w:r>
      <w:r w:rsidR="0058696B">
        <w:rPr>
          <w:rFonts w:cs="Times New Roman"/>
          <w:lang w:val="de-DE"/>
        </w:rPr>
        <w:t>So wird der Familie Kocsis kein</w:t>
      </w:r>
      <w:r w:rsidRPr="0049504E">
        <w:rPr>
          <w:rFonts w:cs="Times New Roman"/>
          <w:lang w:val="de-DE"/>
        </w:rPr>
        <w:t xml:space="preserve"> </w:t>
      </w:r>
      <w:r w:rsidR="0058696B">
        <w:rPr>
          <w:rFonts w:cs="Times New Roman"/>
          <w:lang w:val="de-DE"/>
        </w:rPr>
        <w:t>Mitspracherecht</w:t>
      </w:r>
      <w:r w:rsidRPr="0049504E">
        <w:rPr>
          <w:rFonts w:cs="Times New Roman"/>
          <w:lang w:val="de-DE"/>
        </w:rPr>
        <w:t xml:space="preserve"> geboten, </w:t>
      </w:r>
      <w:r w:rsidR="0058696B">
        <w:rPr>
          <w:rFonts w:cs="Times New Roman"/>
          <w:lang w:val="de-DE"/>
        </w:rPr>
        <w:t>als</w:t>
      </w:r>
      <w:r w:rsidRPr="0049504E">
        <w:rPr>
          <w:rFonts w:cs="Times New Roman"/>
          <w:lang w:val="de-DE"/>
        </w:rPr>
        <w:t xml:space="preserve"> darüber abgestimmt wird, ob sie in der Schweiz bleiben dürfen. Das Leben der Kocsis wird der Gemeinde vorgestellt, die anhand von einer Handerhebung über </w:t>
      </w:r>
      <w:r w:rsidR="004D4C06">
        <w:rPr>
          <w:rFonts w:cs="Times New Roman"/>
          <w:lang w:val="de-DE"/>
        </w:rPr>
        <w:t>ihr Schicksal</w:t>
      </w:r>
      <w:r w:rsidRPr="0049504E">
        <w:rPr>
          <w:rFonts w:cs="Times New Roman"/>
          <w:lang w:val="de-DE"/>
        </w:rPr>
        <w:t xml:space="preserve"> entscheiden kann (vgl. TFA: 284-288). In diesem Zusammenhang kann auf den Artikel von </w:t>
      </w:r>
      <w:r w:rsidR="00B214A2">
        <w:rPr>
          <w:rFonts w:cs="Times New Roman"/>
          <w:lang w:val="de-DE"/>
        </w:rPr>
        <w:t>Spivak, der</w:t>
      </w:r>
      <w:r w:rsidRPr="0049504E">
        <w:rPr>
          <w:rFonts w:cs="Times New Roman"/>
          <w:lang w:val="de-DE"/>
        </w:rPr>
        <w:t xml:space="preserve"> in der </w:t>
      </w:r>
      <w:r w:rsidR="002E5650">
        <w:rPr>
          <w:rFonts w:cs="Times New Roman"/>
          <w:lang w:val="de-DE"/>
        </w:rPr>
        <w:t>theoretische</w:t>
      </w:r>
      <w:r w:rsidR="0058696B">
        <w:rPr>
          <w:rFonts w:cs="Times New Roman"/>
          <w:lang w:val="de-DE"/>
        </w:rPr>
        <w:t>n</w:t>
      </w:r>
      <w:r w:rsidR="002E5650">
        <w:rPr>
          <w:rFonts w:cs="Times New Roman"/>
          <w:lang w:val="de-DE"/>
        </w:rPr>
        <w:t xml:space="preserve"> </w:t>
      </w:r>
      <w:r w:rsidRPr="0049504E">
        <w:rPr>
          <w:rFonts w:cs="Times New Roman"/>
          <w:lang w:val="de-DE"/>
        </w:rPr>
        <w:t xml:space="preserve">Einführung </w:t>
      </w:r>
      <w:r w:rsidRPr="0049504E">
        <w:rPr>
          <w:rFonts w:cs="Times New Roman"/>
          <w:lang w:val="de-DE"/>
        </w:rPr>
        <w:lastRenderedPageBreak/>
        <w:t xml:space="preserve">angeführt wurde, verwiesen werden. </w:t>
      </w:r>
      <w:r w:rsidR="00B214A2">
        <w:rPr>
          <w:rFonts w:cs="Times New Roman"/>
          <w:lang w:val="de-DE"/>
        </w:rPr>
        <w:t>Die</w:t>
      </w:r>
      <w:r w:rsidRPr="0049504E">
        <w:rPr>
          <w:rFonts w:cs="Times New Roman"/>
          <w:lang w:val="de-DE"/>
        </w:rPr>
        <w:t xml:space="preserve"> Stimme des Subalternen wird oft nicht gehört </w:t>
      </w:r>
      <w:r w:rsidR="00B97746">
        <w:rPr>
          <w:rFonts w:cs="Times New Roman"/>
          <w:lang w:val="de-DE"/>
        </w:rPr>
        <w:t>und</w:t>
      </w:r>
      <w:r w:rsidRPr="0049504E">
        <w:rPr>
          <w:rFonts w:cs="Times New Roman"/>
          <w:lang w:val="de-DE"/>
        </w:rPr>
        <w:t xml:space="preserve"> kaum </w:t>
      </w:r>
      <w:r w:rsidR="0058696B">
        <w:rPr>
          <w:rFonts w:cs="Times New Roman"/>
          <w:lang w:val="de-DE"/>
        </w:rPr>
        <w:t>in den</w:t>
      </w:r>
      <w:r w:rsidRPr="0049504E">
        <w:rPr>
          <w:rFonts w:cs="Times New Roman"/>
          <w:lang w:val="de-DE"/>
        </w:rPr>
        <w:t xml:space="preserve"> hegemonialen Diskurs e</w:t>
      </w:r>
      <w:r w:rsidR="00B214A2">
        <w:rPr>
          <w:rFonts w:cs="Times New Roman"/>
          <w:lang w:val="de-DE"/>
        </w:rPr>
        <w:t>inbezogen.</w:t>
      </w:r>
      <w:r w:rsidR="004070AD">
        <w:rPr>
          <w:rStyle w:val="Voetnootmarkering"/>
          <w:rFonts w:cs="Times New Roman"/>
          <w:lang w:val="de-DE"/>
        </w:rPr>
        <w:footnoteReference w:id="167"/>
      </w:r>
      <w:r w:rsidR="00B214A2">
        <w:rPr>
          <w:rFonts w:cs="Times New Roman"/>
          <w:lang w:val="de-DE"/>
        </w:rPr>
        <w:t xml:space="preserve"> </w:t>
      </w:r>
      <w:r w:rsidR="0058696B">
        <w:rPr>
          <w:rFonts w:cs="Times New Roman"/>
          <w:lang w:val="de-DE"/>
        </w:rPr>
        <w:t>Dies</w:t>
      </w:r>
      <w:r w:rsidR="00B214A2">
        <w:rPr>
          <w:rFonts w:cs="Times New Roman"/>
          <w:lang w:val="de-DE"/>
        </w:rPr>
        <w:t xml:space="preserve"> ereignet</w:t>
      </w:r>
      <w:r w:rsidRPr="0049504E">
        <w:rPr>
          <w:rFonts w:cs="Times New Roman"/>
          <w:lang w:val="de-DE"/>
        </w:rPr>
        <w:t xml:space="preserve"> sich auch in der Abstimmungsszene: Die Familie Kocsis darf </w:t>
      </w:r>
      <w:r w:rsidR="00B214A2">
        <w:rPr>
          <w:rFonts w:cs="Times New Roman"/>
          <w:lang w:val="de-DE"/>
        </w:rPr>
        <w:t xml:space="preserve">sich </w:t>
      </w:r>
      <w:r w:rsidRPr="0049504E">
        <w:rPr>
          <w:rFonts w:cs="Times New Roman"/>
          <w:lang w:val="de-DE"/>
        </w:rPr>
        <w:t xml:space="preserve">sogar nicht </w:t>
      </w:r>
      <w:r w:rsidR="00B214A2">
        <w:rPr>
          <w:rFonts w:cs="Times New Roman"/>
          <w:lang w:val="de-DE"/>
        </w:rPr>
        <w:t xml:space="preserve">selbst </w:t>
      </w:r>
      <w:r w:rsidRPr="0049504E">
        <w:rPr>
          <w:rFonts w:cs="Times New Roman"/>
          <w:lang w:val="de-DE"/>
        </w:rPr>
        <w:t>vorstellen, denn das macht der Gemeindepräsident</w:t>
      </w:r>
      <w:r w:rsidR="00B214A2">
        <w:rPr>
          <w:rFonts w:cs="Times New Roman"/>
          <w:lang w:val="de-DE"/>
        </w:rPr>
        <w:t xml:space="preserve"> für sie</w:t>
      </w:r>
      <w:r w:rsidRPr="0049504E">
        <w:rPr>
          <w:rFonts w:cs="Times New Roman"/>
          <w:lang w:val="de-DE"/>
        </w:rPr>
        <w:t xml:space="preserve">. </w:t>
      </w:r>
      <w:r w:rsidR="00591BEB">
        <w:rPr>
          <w:rFonts w:cs="Times New Roman"/>
          <w:lang w:val="de-DE"/>
        </w:rPr>
        <w:t xml:space="preserve">In dieser Szene wird auf ein typisch schweizerisches Phänomen verwiesen, nämlich die Volksabstimmung oder das fakultative Referendum, </w:t>
      </w:r>
      <w:r w:rsidR="004070AD">
        <w:rPr>
          <w:rFonts w:cs="Times New Roman"/>
          <w:lang w:val="de-DE"/>
        </w:rPr>
        <w:t>das</w:t>
      </w:r>
      <w:r w:rsidR="00591BEB">
        <w:rPr>
          <w:rFonts w:cs="Times New Roman"/>
          <w:lang w:val="de-DE"/>
        </w:rPr>
        <w:t xml:space="preserve"> die direkte</w:t>
      </w:r>
      <w:r w:rsidR="005A2A7E">
        <w:rPr>
          <w:rFonts w:cs="Times New Roman"/>
          <w:lang w:val="de-DE"/>
        </w:rPr>
        <w:t xml:space="preserve"> Demokratie gewährleisten soll</w:t>
      </w:r>
      <w:r w:rsidR="0058696B">
        <w:rPr>
          <w:rFonts w:cs="Times New Roman"/>
          <w:lang w:val="de-DE"/>
        </w:rPr>
        <w:t>.</w:t>
      </w:r>
    </w:p>
    <w:p w14:paraId="39DF9674" w14:textId="0EDC92D2" w:rsidR="00CB17AF" w:rsidRDefault="00591BEB" w:rsidP="00CB17AF">
      <w:pPr>
        <w:ind w:firstLine="708"/>
        <w:rPr>
          <w:lang w:val="de-DE"/>
        </w:rPr>
      </w:pPr>
      <w:r>
        <w:rPr>
          <w:rFonts w:cs="Times New Roman"/>
          <w:lang w:val="de-DE"/>
        </w:rPr>
        <w:t xml:space="preserve">Die Idee der direkten Demokratie kennt ihren Ursprung in der </w:t>
      </w:r>
      <w:r w:rsidR="00C26216">
        <w:rPr>
          <w:rFonts w:cs="Times New Roman"/>
          <w:lang w:val="de-DE"/>
        </w:rPr>
        <w:t xml:space="preserve">frühdemokratischen politischen Bewegung der Levellers im England des 17. Jahrhunderts. Ihr Ziel war </w:t>
      </w:r>
      <w:r w:rsidR="0058696B">
        <w:rPr>
          <w:rFonts w:cs="Times New Roman"/>
          <w:lang w:val="de-DE"/>
        </w:rPr>
        <w:t>die direkte Kontrolle des Volkes</w:t>
      </w:r>
      <w:r w:rsidR="00C26216">
        <w:rPr>
          <w:rFonts w:cs="Times New Roman"/>
          <w:lang w:val="de-DE"/>
        </w:rPr>
        <w:t xml:space="preserve"> über ihre </w:t>
      </w:r>
      <w:r w:rsidR="00C26216" w:rsidRPr="00462C71">
        <w:rPr>
          <w:rFonts w:cs="Times New Roman"/>
          <w:lang w:val="de-DE"/>
        </w:rPr>
        <w:t>Führer</w:t>
      </w:r>
      <w:r w:rsidR="00C26216">
        <w:rPr>
          <w:rFonts w:cs="Times New Roman"/>
          <w:lang w:val="de-DE"/>
        </w:rPr>
        <w:t xml:space="preserve">. Ein Jahrhundert später </w:t>
      </w:r>
      <w:r w:rsidR="00100941">
        <w:rPr>
          <w:rFonts w:cs="Times New Roman"/>
          <w:lang w:val="de-DE"/>
        </w:rPr>
        <w:t>be</w:t>
      </w:r>
      <w:r w:rsidR="00C26216">
        <w:rPr>
          <w:rFonts w:cs="Times New Roman"/>
          <w:lang w:val="de-DE"/>
        </w:rPr>
        <w:t xml:space="preserve">schrieb Jean-Jacques Rousseau in seinem </w:t>
      </w:r>
      <w:r w:rsidR="00C26216">
        <w:rPr>
          <w:rFonts w:cs="Times New Roman"/>
          <w:i/>
          <w:lang w:val="de-DE"/>
        </w:rPr>
        <w:t xml:space="preserve">Du contrat social </w:t>
      </w:r>
      <w:r w:rsidR="00100941">
        <w:rPr>
          <w:rFonts w:cs="Times New Roman"/>
          <w:lang w:val="de-DE"/>
        </w:rPr>
        <w:t>(1762) eine Gemeinsc</w:t>
      </w:r>
      <w:r w:rsidR="0058696B">
        <w:rPr>
          <w:rFonts w:cs="Times New Roman"/>
          <w:lang w:val="de-DE"/>
        </w:rPr>
        <w:t>haft von freien Bürgern in einem Stadtstaat, in dem</w:t>
      </w:r>
      <w:r w:rsidR="00100941">
        <w:rPr>
          <w:rFonts w:cs="Times New Roman"/>
          <w:lang w:val="de-DE"/>
        </w:rPr>
        <w:t xml:space="preserve"> Demokratie direkt von den Bürgern </w:t>
      </w:r>
      <w:r w:rsidR="00100941" w:rsidRPr="004D4C06">
        <w:rPr>
          <w:rFonts w:cs="Times New Roman"/>
          <w:lang w:val="de-DE"/>
        </w:rPr>
        <w:t>praktiziert</w:t>
      </w:r>
      <w:r w:rsidR="00100941">
        <w:rPr>
          <w:rFonts w:cs="Times New Roman"/>
          <w:lang w:val="de-DE"/>
        </w:rPr>
        <w:t xml:space="preserve"> werden konnte. Rousseau zufolge sollten die Bürger eine Idee von Freiheit entwickeln, die über persönliche Vorteile hinausging und eine geteilte Verantwortlichkeit für die ganze Gemeinschaft förderte.</w:t>
      </w:r>
      <w:r w:rsidR="00ED1C04">
        <w:rPr>
          <w:rStyle w:val="Voetnootmarkering"/>
          <w:rFonts w:cs="Times New Roman"/>
          <w:lang w:val="de-DE"/>
        </w:rPr>
        <w:footnoteReference w:id="168"/>
      </w:r>
      <w:r w:rsidR="00B92F5D">
        <w:rPr>
          <w:rFonts w:cs="Times New Roman"/>
          <w:lang w:val="de-DE"/>
        </w:rPr>
        <w:t xml:space="preserve"> </w:t>
      </w:r>
      <w:r w:rsidR="00642DD0">
        <w:rPr>
          <w:rFonts w:cs="Times New Roman"/>
          <w:lang w:val="de-DE"/>
        </w:rPr>
        <w:t>Im schweizerischen Kontext sind vor allem das fakultative Referendum</w:t>
      </w:r>
      <w:r w:rsidR="00B97746">
        <w:rPr>
          <w:rStyle w:val="Voetnootmarkering"/>
          <w:lang w:val="de-DE"/>
        </w:rPr>
        <w:footnoteReference w:id="169"/>
      </w:r>
      <w:r w:rsidR="00642DD0">
        <w:rPr>
          <w:rFonts w:cs="Times New Roman"/>
          <w:lang w:val="de-DE"/>
        </w:rPr>
        <w:t xml:space="preserve"> und die </w:t>
      </w:r>
      <w:r w:rsidR="00B97746">
        <w:rPr>
          <w:rFonts w:cs="Times New Roman"/>
          <w:lang w:val="de-DE"/>
        </w:rPr>
        <w:t>Bürgerinitiative</w:t>
      </w:r>
      <w:r w:rsidR="00B97746">
        <w:rPr>
          <w:rStyle w:val="Voetnootmarkering"/>
          <w:lang w:val="de-DE"/>
        </w:rPr>
        <w:footnoteReference w:id="170"/>
      </w:r>
      <w:r w:rsidR="00B97746">
        <w:rPr>
          <w:lang w:val="de-DE"/>
        </w:rPr>
        <w:t xml:space="preserve"> </w:t>
      </w:r>
      <w:r w:rsidR="00642DD0">
        <w:rPr>
          <w:rFonts w:cs="Times New Roman"/>
          <w:lang w:val="de-DE"/>
        </w:rPr>
        <w:t>von Bedeutung.</w:t>
      </w:r>
      <w:r w:rsidR="00642DD0">
        <w:rPr>
          <w:lang w:val="de-DE"/>
        </w:rPr>
        <w:t xml:space="preserve"> </w:t>
      </w:r>
    </w:p>
    <w:p w14:paraId="6082A1A4" w14:textId="1EDEA875" w:rsidR="006B5280" w:rsidRDefault="00CB17AF" w:rsidP="00A44ECB">
      <w:pPr>
        <w:ind w:firstLine="708"/>
        <w:rPr>
          <w:lang w:val="de-DE"/>
        </w:rPr>
      </w:pPr>
      <w:r>
        <w:rPr>
          <w:lang w:val="de-DE"/>
        </w:rPr>
        <w:t xml:space="preserve">Auch wenn die </w:t>
      </w:r>
      <w:r w:rsidR="00620F7B">
        <w:rPr>
          <w:lang w:val="de-DE"/>
        </w:rPr>
        <w:t xml:space="preserve">Volksabstimmung über die Familie Kocsis </w:t>
      </w:r>
      <w:r w:rsidR="0058696B">
        <w:rPr>
          <w:lang w:val="de-DE"/>
        </w:rPr>
        <w:t>in</w:t>
      </w:r>
      <w:r w:rsidR="00620F7B">
        <w:rPr>
          <w:lang w:val="de-DE"/>
        </w:rPr>
        <w:t xml:space="preserve"> guter Absicht </w:t>
      </w:r>
      <w:r w:rsidR="003A69CD">
        <w:rPr>
          <w:lang w:val="de-DE"/>
        </w:rPr>
        <w:t>stattfin</w:t>
      </w:r>
      <w:r w:rsidR="0058696B">
        <w:rPr>
          <w:lang w:val="de-DE"/>
        </w:rPr>
        <w:t>d</w:t>
      </w:r>
      <w:r w:rsidR="003A69CD">
        <w:rPr>
          <w:lang w:val="de-DE"/>
        </w:rPr>
        <w:t>et</w:t>
      </w:r>
      <w:r w:rsidR="00620F7B">
        <w:rPr>
          <w:lang w:val="de-DE"/>
        </w:rPr>
        <w:t>, nämlich mit Blick auf eine Einbeziehung des Volkes in das politische Geschehen, werden die politischen Rechte der Kocsis selbst vernachlässig</w:t>
      </w:r>
      <w:r w:rsidR="00A44ECB">
        <w:rPr>
          <w:lang w:val="de-DE"/>
        </w:rPr>
        <w:t>t</w:t>
      </w:r>
      <w:r w:rsidR="00620F7B">
        <w:rPr>
          <w:lang w:val="de-DE"/>
        </w:rPr>
        <w:t xml:space="preserve">, da ihnen keine Stimme </w:t>
      </w:r>
      <w:r w:rsidR="0058696B">
        <w:rPr>
          <w:lang w:val="de-DE"/>
        </w:rPr>
        <w:t>gegeben</w:t>
      </w:r>
      <w:r w:rsidR="00620F7B">
        <w:rPr>
          <w:lang w:val="de-DE"/>
        </w:rPr>
        <w:t xml:space="preserve"> wird.</w:t>
      </w:r>
      <w:r w:rsidR="00411329">
        <w:rPr>
          <w:lang w:val="de-DE"/>
        </w:rPr>
        <w:t xml:space="preserve"> Hier tritt also ein Paradox zwischen der Idee der Schweiz als Urdemokratie und der Tatsache, dass die Kocsis </w:t>
      </w:r>
      <w:r w:rsidR="006F4CA0">
        <w:rPr>
          <w:lang w:val="de-DE"/>
        </w:rPr>
        <w:t>in Bezug auf</w:t>
      </w:r>
      <w:r w:rsidR="00411329">
        <w:rPr>
          <w:lang w:val="de-DE"/>
        </w:rPr>
        <w:t xml:space="preserve"> ihre eigene Zukunft nichts zu sagen haben</w:t>
      </w:r>
      <w:r w:rsidR="00F73364">
        <w:rPr>
          <w:lang w:val="de-DE"/>
        </w:rPr>
        <w:t xml:space="preserve">, auf. Im Text reflektiert </w:t>
      </w:r>
      <w:r w:rsidR="00F73DBD">
        <w:rPr>
          <w:lang w:val="de-DE"/>
        </w:rPr>
        <w:t>Ildikó</w:t>
      </w:r>
      <w:r w:rsidR="00F73364">
        <w:rPr>
          <w:lang w:val="de-DE"/>
        </w:rPr>
        <w:t xml:space="preserve"> über das Konzept der direkten Demokratie: </w:t>
      </w:r>
    </w:p>
    <w:p w14:paraId="58DF42D6" w14:textId="66CFF71A" w:rsidR="006B5280" w:rsidRDefault="006B5280" w:rsidP="006B5280">
      <w:pPr>
        <w:spacing w:line="240" w:lineRule="auto"/>
        <w:ind w:left="567"/>
        <w:rPr>
          <w:lang w:val="de-DE"/>
        </w:rPr>
      </w:pPr>
      <w:r>
        <w:rPr>
          <w:lang w:val="de-DE"/>
        </w:rPr>
        <w:lastRenderedPageBreak/>
        <w:t>Die direkte Demokratie, meine eigenwillig komische Vorstellung, damals, als ich in der Primarschule davon gehört habe, wir sind das Sinnbild der Urdemokratie, sagte mein Lehrer, und weil er „wir“ sagte, gehörte ich natürlich auch dazu, obwohl „wir“ damals noch einen jugoslawischen Pass hatten, ich also noch keine Papierschweizerin war, wie man später da und dort sagen würde. Mein Primarlehrer hatte nichts gegen Ausländer, wie er einmal sagte, für ihn zähle nur die Leistung, das gehöre dazu, zu einem Menschen, der urdemokratisch eingestellt sei, gleiche Chancen für alle!, mein Lehrer, der sicher damit zu tun hatte, dass ich mir die direkte Demokratie als ein Heer vorstellte, viele, wehrhafte Soldaten, die in Reih und Glied standen, mit einem unbestechlichen Gesicht, weil sie etwas verteidigen mussten, nämlich die Idee, dass alle die gleichen Chancen haben (TFA: 53).</w:t>
      </w:r>
    </w:p>
    <w:p w14:paraId="0314AFBE" w14:textId="113EEEE5" w:rsidR="00245707" w:rsidRDefault="00245707" w:rsidP="00245707">
      <w:pPr>
        <w:spacing w:line="240" w:lineRule="auto"/>
        <w:rPr>
          <w:lang w:val="de-DE"/>
        </w:rPr>
      </w:pPr>
    </w:p>
    <w:p w14:paraId="365F8C93" w14:textId="38FA6232" w:rsidR="00245707" w:rsidRDefault="003A673E" w:rsidP="003A673E">
      <w:pPr>
        <w:rPr>
          <w:lang w:val="de-DE"/>
        </w:rPr>
      </w:pPr>
      <w:r>
        <w:rPr>
          <w:lang w:val="de-DE"/>
        </w:rPr>
        <w:t>Das Zitat zeigt, dass die direkte Demokratie in der Primarschule</w:t>
      </w:r>
      <w:r w:rsidR="00D03941">
        <w:rPr>
          <w:lang w:val="de-DE"/>
        </w:rPr>
        <w:t xml:space="preserve"> schon</w:t>
      </w:r>
      <w:r>
        <w:rPr>
          <w:lang w:val="de-DE"/>
        </w:rPr>
        <w:t xml:space="preserve"> zur Sprache </w:t>
      </w:r>
      <w:r w:rsidR="00D03941">
        <w:rPr>
          <w:lang w:val="de-DE"/>
        </w:rPr>
        <w:t>kam</w:t>
      </w:r>
      <w:r>
        <w:rPr>
          <w:lang w:val="de-DE"/>
        </w:rPr>
        <w:t xml:space="preserve">: </w:t>
      </w:r>
      <w:r w:rsidR="00F73DBD">
        <w:rPr>
          <w:lang w:val="de-DE"/>
        </w:rPr>
        <w:t>Ildikó</w:t>
      </w:r>
      <w:r>
        <w:rPr>
          <w:lang w:val="de-DE"/>
        </w:rPr>
        <w:t xml:space="preserve"> </w:t>
      </w:r>
      <w:r w:rsidR="00D03941">
        <w:rPr>
          <w:lang w:val="de-DE"/>
        </w:rPr>
        <w:t>wurde</w:t>
      </w:r>
      <w:r>
        <w:rPr>
          <w:lang w:val="de-DE"/>
        </w:rPr>
        <w:t xml:space="preserve"> als junges Kind </w:t>
      </w:r>
      <w:r w:rsidR="00D03941">
        <w:rPr>
          <w:lang w:val="de-DE"/>
        </w:rPr>
        <w:t xml:space="preserve">schon </w:t>
      </w:r>
      <w:r>
        <w:rPr>
          <w:lang w:val="de-DE"/>
        </w:rPr>
        <w:t xml:space="preserve">mit den schweizerischen Idealen konfrontiert. Der Lehrer präsentiert sich selbst als </w:t>
      </w:r>
      <w:r w:rsidR="00032D83">
        <w:rPr>
          <w:lang w:val="de-DE"/>
        </w:rPr>
        <w:t xml:space="preserve">jemand, der nichts gegen Ausländer hat und urdemokratisch eingestellt ist. Das führt </w:t>
      </w:r>
      <w:r w:rsidR="00F73DBD">
        <w:rPr>
          <w:lang w:val="de-DE"/>
        </w:rPr>
        <w:t>Ildikó</w:t>
      </w:r>
      <w:r w:rsidR="00032D83">
        <w:rPr>
          <w:lang w:val="de-DE"/>
        </w:rPr>
        <w:t xml:space="preserve"> aber dazu, sich die direkte Demokratie als ein Heer vorzustellen. Sowohl das inhärente patriarchal</w:t>
      </w:r>
      <w:r w:rsidR="00462C71">
        <w:rPr>
          <w:lang w:val="de-DE"/>
        </w:rPr>
        <w:t xml:space="preserve">e Wesen dieser Vorstellung, als der </w:t>
      </w:r>
      <w:r w:rsidR="00032D83">
        <w:rPr>
          <w:lang w:val="de-DE"/>
        </w:rPr>
        <w:t>„ich bin kein Rassist, aber…“-</w:t>
      </w:r>
      <w:r w:rsidR="00462C71">
        <w:rPr>
          <w:lang w:val="de-DE"/>
        </w:rPr>
        <w:t>Spruch</w:t>
      </w:r>
      <w:r w:rsidR="00032D83">
        <w:rPr>
          <w:lang w:val="de-DE"/>
        </w:rPr>
        <w:t xml:space="preserve"> </w:t>
      </w:r>
      <w:r w:rsidR="0089260F">
        <w:rPr>
          <w:lang w:val="de-DE"/>
        </w:rPr>
        <w:t xml:space="preserve">sind </w:t>
      </w:r>
      <w:r w:rsidR="006F4CA0">
        <w:rPr>
          <w:lang w:val="de-DE"/>
        </w:rPr>
        <w:t>allerdings</w:t>
      </w:r>
      <w:r w:rsidR="0089260F">
        <w:rPr>
          <w:lang w:val="de-DE"/>
        </w:rPr>
        <w:t xml:space="preserve"> problematisch. Indem der Lehrer </w:t>
      </w:r>
      <w:r w:rsidR="00167D5F">
        <w:rPr>
          <w:lang w:val="de-DE"/>
        </w:rPr>
        <w:t>behauptet, den Unterschied zwischen Ausländern und Einheimischen nicht zu machen</w:t>
      </w:r>
      <w:r w:rsidR="0089260F">
        <w:rPr>
          <w:lang w:val="de-DE"/>
        </w:rPr>
        <w:t xml:space="preserve">, bestätigt er </w:t>
      </w:r>
      <w:r w:rsidR="00167D5F">
        <w:rPr>
          <w:lang w:val="de-DE"/>
        </w:rPr>
        <w:t>aber gerade diesen Unterschied un</w:t>
      </w:r>
      <w:r w:rsidR="004B7B7D">
        <w:rPr>
          <w:lang w:val="de-DE"/>
        </w:rPr>
        <w:t>d</w:t>
      </w:r>
      <w:r w:rsidR="00167D5F">
        <w:rPr>
          <w:lang w:val="de-DE"/>
        </w:rPr>
        <w:t xml:space="preserve"> bewirkt den Alteritätsstatus. Für </w:t>
      </w:r>
      <w:r w:rsidR="00F73DBD">
        <w:rPr>
          <w:lang w:val="de-DE"/>
        </w:rPr>
        <w:t>Ildikó</w:t>
      </w:r>
      <w:r w:rsidR="00167D5F">
        <w:rPr>
          <w:lang w:val="de-DE"/>
        </w:rPr>
        <w:t xml:space="preserve"> bedeutet die Alterität eine ihrer grö</w:t>
      </w:r>
      <w:r w:rsidR="00167D5F">
        <w:rPr>
          <w:rFonts w:cs="Times New Roman"/>
          <w:lang w:val="de-DE"/>
        </w:rPr>
        <w:t>ß</w:t>
      </w:r>
      <w:r w:rsidR="00167D5F">
        <w:rPr>
          <w:lang w:val="de-DE"/>
        </w:rPr>
        <w:t>ten Ängste</w:t>
      </w:r>
      <w:r w:rsidR="0091545C">
        <w:rPr>
          <w:lang w:val="de-DE"/>
        </w:rPr>
        <w:t xml:space="preserve">, wie in der Bachelorarbeit „die Angst, als Fremde in dieser Welt dazustehen“ </w:t>
      </w:r>
      <w:r w:rsidR="0072461E">
        <w:rPr>
          <w:lang w:val="de-DE"/>
        </w:rPr>
        <w:t>festgestellt</w:t>
      </w:r>
      <w:r w:rsidR="0091545C">
        <w:rPr>
          <w:lang w:val="de-DE"/>
        </w:rPr>
        <w:t xml:space="preserve"> w</w:t>
      </w:r>
      <w:r w:rsidR="004C5731">
        <w:rPr>
          <w:lang w:val="de-DE"/>
        </w:rPr>
        <w:t>ur</w:t>
      </w:r>
      <w:r w:rsidR="0091545C">
        <w:rPr>
          <w:lang w:val="de-DE"/>
        </w:rPr>
        <w:t>d</w:t>
      </w:r>
      <w:r w:rsidR="004C5731">
        <w:rPr>
          <w:lang w:val="de-DE"/>
        </w:rPr>
        <w:t>e</w:t>
      </w:r>
      <w:r w:rsidR="0091545C">
        <w:rPr>
          <w:lang w:val="de-DE"/>
        </w:rPr>
        <w:t xml:space="preserve">. </w:t>
      </w:r>
    </w:p>
    <w:p w14:paraId="04AB2A14" w14:textId="091F4921" w:rsidR="0049048A" w:rsidRPr="0049504E" w:rsidRDefault="00C313FE" w:rsidP="004C5731">
      <w:pPr>
        <w:ind w:firstLine="708"/>
        <w:rPr>
          <w:rFonts w:cs="Times New Roman"/>
          <w:lang w:val="de-DE"/>
        </w:rPr>
      </w:pPr>
      <w:r>
        <w:rPr>
          <w:rFonts w:cs="Times New Roman"/>
          <w:lang w:val="de-DE"/>
        </w:rPr>
        <w:t xml:space="preserve">Als würde die Verneinung des </w:t>
      </w:r>
      <w:r w:rsidR="006F4CA0">
        <w:rPr>
          <w:rFonts w:cs="Times New Roman"/>
          <w:lang w:val="de-DE"/>
        </w:rPr>
        <w:t>Mitspracherechts</w:t>
      </w:r>
      <w:r>
        <w:rPr>
          <w:rFonts w:cs="Times New Roman"/>
          <w:lang w:val="de-DE"/>
        </w:rPr>
        <w:t xml:space="preserve"> der Familie Kocsis nicht reichen, wird die Abstimmung sogar zu einem grotesken Schauspiel</w:t>
      </w:r>
      <w:r w:rsidR="0049048A" w:rsidRPr="0049504E">
        <w:rPr>
          <w:rFonts w:cs="Times New Roman"/>
          <w:lang w:val="de-DE"/>
        </w:rPr>
        <w:t xml:space="preserve">, weil neben dem Gemeindepräsidenten eine junge Frau, als Helvetia verkleidet, steht. Sie soll </w:t>
      </w:r>
      <w:r w:rsidR="006F4CA0">
        <w:rPr>
          <w:rFonts w:cs="Times New Roman"/>
          <w:lang w:val="de-DE"/>
        </w:rPr>
        <w:t>dem Präsidenten assistieren und</w:t>
      </w:r>
      <w:r w:rsidR="0049048A" w:rsidRPr="0049504E">
        <w:rPr>
          <w:rFonts w:cs="Times New Roman"/>
          <w:lang w:val="de-DE"/>
        </w:rPr>
        <w:t xml:space="preserve"> Sti</w:t>
      </w:r>
      <w:r w:rsidR="00AA0CDA">
        <w:rPr>
          <w:rFonts w:cs="Times New Roman"/>
          <w:lang w:val="de-DE"/>
        </w:rPr>
        <w:t>mmen zählen. Auf dramatische</w:t>
      </w:r>
      <w:r w:rsidR="0049048A" w:rsidRPr="0049504E">
        <w:rPr>
          <w:rFonts w:cs="Times New Roman"/>
          <w:lang w:val="de-DE"/>
        </w:rPr>
        <w:t xml:space="preserve"> Art und Weise wird zur Abstimmung übergegangen: „Wer für die Einbürgerung der Familie Kocsis ist, erhebe die Hand!“ (TFA: 286). Während der ganzen Szene </w:t>
      </w:r>
      <w:r w:rsidR="006F4CA0">
        <w:rPr>
          <w:rFonts w:cs="Times New Roman"/>
          <w:lang w:val="de-DE"/>
        </w:rPr>
        <w:t>spricht</w:t>
      </w:r>
      <w:r w:rsidR="0049048A" w:rsidRPr="0049504E">
        <w:rPr>
          <w:rFonts w:cs="Times New Roman"/>
          <w:lang w:val="de-DE"/>
        </w:rPr>
        <w:t xml:space="preserve"> </w:t>
      </w:r>
      <w:r w:rsidR="00F73DBD">
        <w:rPr>
          <w:rFonts w:cs="Times New Roman"/>
          <w:lang w:val="de-DE"/>
        </w:rPr>
        <w:t>Ildikó</w:t>
      </w:r>
      <w:r w:rsidR="0049048A" w:rsidRPr="0049504E">
        <w:rPr>
          <w:rFonts w:cs="Times New Roman"/>
          <w:lang w:val="de-DE"/>
        </w:rPr>
        <w:t xml:space="preserve"> nicht nur </w:t>
      </w:r>
      <w:r w:rsidR="006F4CA0">
        <w:rPr>
          <w:rFonts w:cs="Times New Roman"/>
          <w:lang w:val="de-DE"/>
        </w:rPr>
        <w:t>kein Wort</w:t>
      </w:r>
      <w:r w:rsidR="0049048A" w:rsidRPr="0049504E">
        <w:rPr>
          <w:rFonts w:cs="Times New Roman"/>
          <w:lang w:val="de-DE"/>
        </w:rPr>
        <w:t xml:space="preserve">, sondern auch ihre Gedanken, die </w:t>
      </w:r>
      <w:r w:rsidR="00B214A2">
        <w:rPr>
          <w:rFonts w:cs="Times New Roman"/>
          <w:lang w:val="de-DE"/>
        </w:rPr>
        <w:t xml:space="preserve">sie </w:t>
      </w:r>
      <w:r w:rsidR="0049048A" w:rsidRPr="0049504E">
        <w:rPr>
          <w:rFonts w:cs="Times New Roman"/>
          <w:lang w:val="de-DE"/>
        </w:rPr>
        <w:t xml:space="preserve">sonst für den Leser </w:t>
      </w:r>
      <w:r w:rsidR="006F4CA0">
        <w:rPr>
          <w:rFonts w:cs="Times New Roman"/>
          <w:lang w:val="de-DE"/>
        </w:rPr>
        <w:t>erkennbar</w:t>
      </w:r>
      <w:r w:rsidR="0049048A" w:rsidRPr="0049504E">
        <w:rPr>
          <w:rFonts w:cs="Times New Roman"/>
          <w:lang w:val="de-DE"/>
        </w:rPr>
        <w:t xml:space="preserve"> </w:t>
      </w:r>
      <w:r w:rsidR="00B214A2">
        <w:rPr>
          <w:rFonts w:cs="Times New Roman"/>
          <w:lang w:val="de-DE"/>
        </w:rPr>
        <w:t>macht</w:t>
      </w:r>
      <w:r w:rsidR="0049048A" w:rsidRPr="0049504E">
        <w:rPr>
          <w:rFonts w:cs="Times New Roman"/>
          <w:lang w:val="de-DE"/>
        </w:rPr>
        <w:t xml:space="preserve">, </w:t>
      </w:r>
      <w:r w:rsidR="006F4CA0">
        <w:rPr>
          <w:rFonts w:cs="Times New Roman"/>
          <w:lang w:val="de-DE"/>
        </w:rPr>
        <w:t>be</w:t>
      </w:r>
      <w:r w:rsidR="0049048A" w:rsidRPr="0049504E">
        <w:rPr>
          <w:rFonts w:cs="Times New Roman"/>
          <w:lang w:val="de-DE"/>
        </w:rPr>
        <w:t xml:space="preserve">hält sie jetzt </w:t>
      </w:r>
      <w:r w:rsidR="00662E3E">
        <w:rPr>
          <w:rFonts w:cs="Times New Roman"/>
          <w:lang w:val="de-DE"/>
        </w:rPr>
        <w:t>für sich selb</w:t>
      </w:r>
      <w:r w:rsidR="0049048A" w:rsidRPr="0049504E">
        <w:rPr>
          <w:rFonts w:cs="Times New Roman"/>
          <w:lang w:val="de-DE"/>
        </w:rPr>
        <w:t>st.</w:t>
      </w:r>
    </w:p>
    <w:p w14:paraId="1A1A0B55" w14:textId="5474EB56" w:rsidR="00505596" w:rsidRDefault="0049048A" w:rsidP="00505596">
      <w:pPr>
        <w:rPr>
          <w:rFonts w:cs="Times New Roman"/>
          <w:lang w:val="de-DE"/>
        </w:rPr>
      </w:pPr>
      <w:r w:rsidRPr="0049504E">
        <w:rPr>
          <w:rFonts w:cs="Times New Roman"/>
          <w:lang w:val="de-DE"/>
        </w:rPr>
        <w:tab/>
      </w:r>
      <w:r w:rsidR="00E26ABE">
        <w:rPr>
          <w:rFonts w:cs="Times New Roman"/>
          <w:lang w:val="de-DE"/>
        </w:rPr>
        <w:t xml:space="preserve"> Zwischen den E</w:t>
      </w:r>
      <w:r w:rsidRPr="0049504E">
        <w:rPr>
          <w:rFonts w:cs="Times New Roman"/>
          <w:lang w:val="de-DE"/>
        </w:rPr>
        <w:t xml:space="preserve">xtremen der Abstimmung </w:t>
      </w:r>
      <w:r w:rsidR="00C875B8">
        <w:rPr>
          <w:rFonts w:cs="Times New Roman"/>
          <w:lang w:val="de-DE"/>
        </w:rPr>
        <w:t>„</w:t>
      </w:r>
      <w:r w:rsidRPr="0049504E">
        <w:rPr>
          <w:rFonts w:cs="Times New Roman"/>
          <w:lang w:val="de-DE"/>
        </w:rPr>
        <w:t>ohne Stimme</w:t>
      </w:r>
      <w:r w:rsidR="00C875B8">
        <w:rPr>
          <w:rFonts w:cs="Times New Roman"/>
          <w:lang w:val="de-DE"/>
        </w:rPr>
        <w:t>“</w:t>
      </w:r>
      <w:r w:rsidRPr="0049504E">
        <w:rPr>
          <w:rFonts w:cs="Times New Roman"/>
          <w:lang w:val="de-DE"/>
        </w:rPr>
        <w:t xml:space="preserve"> und der Klodiskussion </w:t>
      </w:r>
      <w:r w:rsidR="00C875B8">
        <w:rPr>
          <w:rFonts w:cs="Times New Roman"/>
          <w:lang w:val="de-DE"/>
        </w:rPr>
        <w:t>„</w:t>
      </w:r>
      <w:r w:rsidRPr="0049504E">
        <w:rPr>
          <w:rFonts w:cs="Times New Roman"/>
          <w:lang w:val="de-DE"/>
        </w:rPr>
        <w:t>mit Stimme</w:t>
      </w:r>
      <w:r w:rsidR="00C875B8">
        <w:rPr>
          <w:rFonts w:cs="Times New Roman"/>
          <w:lang w:val="de-DE"/>
        </w:rPr>
        <w:t>“</w:t>
      </w:r>
      <w:r w:rsidR="00DC33A6">
        <w:rPr>
          <w:rFonts w:cs="Times New Roman"/>
          <w:lang w:val="de-DE"/>
        </w:rPr>
        <w:t xml:space="preserve">, die weiter </w:t>
      </w:r>
      <w:r w:rsidR="006F4CA0">
        <w:rPr>
          <w:rFonts w:cs="Times New Roman"/>
          <w:lang w:val="de-DE"/>
        </w:rPr>
        <w:t>in dieser</w:t>
      </w:r>
      <w:r w:rsidR="00DC33A6">
        <w:rPr>
          <w:rFonts w:cs="Times New Roman"/>
          <w:lang w:val="de-DE"/>
        </w:rPr>
        <w:t xml:space="preserve"> Arbeit noch </w:t>
      </w:r>
      <w:r w:rsidR="0072461E">
        <w:rPr>
          <w:rFonts w:cs="Times New Roman"/>
          <w:lang w:val="de-DE"/>
        </w:rPr>
        <w:t>analysiert</w:t>
      </w:r>
      <w:r w:rsidR="00DC33A6">
        <w:rPr>
          <w:rFonts w:cs="Times New Roman"/>
          <w:lang w:val="de-DE"/>
        </w:rPr>
        <w:t xml:space="preserve"> wird,</w:t>
      </w:r>
      <w:r w:rsidRPr="0049504E">
        <w:rPr>
          <w:rFonts w:cs="Times New Roman"/>
          <w:lang w:val="de-DE"/>
        </w:rPr>
        <w:t xml:space="preserve"> </w:t>
      </w:r>
      <w:r w:rsidR="003864C0">
        <w:rPr>
          <w:rFonts w:cs="Times New Roman"/>
          <w:lang w:val="de-DE"/>
        </w:rPr>
        <w:t>enthält</w:t>
      </w:r>
      <w:r w:rsidRPr="0049504E">
        <w:rPr>
          <w:rFonts w:cs="Times New Roman"/>
          <w:lang w:val="de-DE"/>
        </w:rPr>
        <w:t xml:space="preserve"> die Geschichte mehrere Momente, </w:t>
      </w:r>
      <w:r w:rsidR="006F4CA0">
        <w:rPr>
          <w:rFonts w:cs="Times New Roman"/>
          <w:lang w:val="de-DE"/>
        </w:rPr>
        <w:t>in denen</w:t>
      </w:r>
      <w:r w:rsidRPr="0049504E">
        <w:rPr>
          <w:rFonts w:cs="Times New Roman"/>
          <w:lang w:val="de-DE"/>
        </w:rPr>
        <w:t xml:space="preserve"> </w:t>
      </w:r>
      <w:r w:rsidR="00F73DBD">
        <w:rPr>
          <w:rFonts w:cs="Times New Roman"/>
          <w:lang w:val="de-DE"/>
        </w:rPr>
        <w:t>Ildikó</w:t>
      </w:r>
      <w:r w:rsidRPr="0049504E">
        <w:rPr>
          <w:rFonts w:cs="Times New Roman"/>
          <w:lang w:val="de-DE"/>
        </w:rPr>
        <w:t xml:space="preserve"> </w:t>
      </w:r>
      <w:r w:rsidR="006F4CA0">
        <w:rPr>
          <w:rFonts w:cs="Times New Roman"/>
          <w:lang w:val="de-DE"/>
        </w:rPr>
        <w:t>bereits</w:t>
      </w:r>
      <w:r w:rsidRPr="0049504E">
        <w:rPr>
          <w:rFonts w:cs="Times New Roman"/>
          <w:lang w:val="de-DE"/>
        </w:rPr>
        <w:t xml:space="preserve"> versucht ihre Stimme zu finden, </w:t>
      </w:r>
      <w:r w:rsidR="006F4CA0">
        <w:rPr>
          <w:rFonts w:cs="Times New Roman"/>
          <w:lang w:val="de-DE"/>
        </w:rPr>
        <w:t>es</w:t>
      </w:r>
      <w:r w:rsidRPr="0049504E">
        <w:rPr>
          <w:rFonts w:cs="Times New Roman"/>
          <w:lang w:val="de-DE"/>
        </w:rPr>
        <w:t xml:space="preserve"> ihr aber noch nicht gelingt. </w:t>
      </w:r>
      <w:r w:rsidRPr="009E2359">
        <w:rPr>
          <w:rFonts w:cs="Times New Roman"/>
          <w:lang w:val="de-DE"/>
        </w:rPr>
        <w:t>Diese Versu</w:t>
      </w:r>
      <w:r w:rsidR="003864C0" w:rsidRPr="009E2359">
        <w:rPr>
          <w:rFonts w:cs="Times New Roman"/>
          <w:lang w:val="de-DE"/>
        </w:rPr>
        <w:t>che finden</w:t>
      </w:r>
      <w:r w:rsidR="003864C0">
        <w:rPr>
          <w:rFonts w:cs="Times New Roman"/>
          <w:lang w:val="de-DE"/>
        </w:rPr>
        <w:t xml:space="preserve"> vor allem während des</w:t>
      </w:r>
      <w:r w:rsidRPr="0049504E">
        <w:rPr>
          <w:rFonts w:cs="Times New Roman"/>
          <w:lang w:val="de-DE"/>
        </w:rPr>
        <w:t xml:space="preserve"> Service</w:t>
      </w:r>
      <w:r w:rsidR="003864C0">
        <w:rPr>
          <w:rFonts w:cs="Times New Roman"/>
          <w:lang w:val="de-DE"/>
        </w:rPr>
        <w:t>s</w:t>
      </w:r>
      <w:r w:rsidRPr="0049504E">
        <w:rPr>
          <w:rFonts w:cs="Times New Roman"/>
          <w:lang w:val="de-DE"/>
        </w:rPr>
        <w:t xml:space="preserve"> im Mondial statt. </w:t>
      </w:r>
      <w:r w:rsidR="00F92BBB">
        <w:rPr>
          <w:rFonts w:cs="Times New Roman"/>
          <w:lang w:val="de-DE"/>
        </w:rPr>
        <w:t xml:space="preserve">Ildikó </w:t>
      </w:r>
      <w:r w:rsidR="00D03941">
        <w:rPr>
          <w:rFonts w:cs="Times New Roman"/>
          <w:lang w:val="de-DE"/>
        </w:rPr>
        <w:t xml:space="preserve">muss </w:t>
      </w:r>
      <w:r w:rsidR="00F92BBB">
        <w:rPr>
          <w:rFonts w:cs="Times New Roman"/>
          <w:lang w:val="de-DE"/>
        </w:rPr>
        <w:t xml:space="preserve">von ihren schweizerischen Mitarbeiterinnen rassistische </w:t>
      </w:r>
      <w:r w:rsidR="006F4CA0">
        <w:rPr>
          <w:rFonts w:cs="Times New Roman"/>
          <w:lang w:val="de-DE"/>
        </w:rPr>
        <w:t>Sprüche</w:t>
      </w:r>
      <w:r w:rsidR="00F92BBB">
        <w:rPr>
          <w:rFonts w:cs="Times New Roman"/>
          <w:lang w:val="de-DE"/>
        </w:rPr>
        <w:t xml:space="preserve"> anhören. So sagt Anita z. B.: „Ich wäre auch gern ein Asylant, fünf Franken am Tag, Ildi, </w:t>
      </w:r>
      <w:r w:rsidR="00F92BBB">
        <w:rPr>
          <w:rFonts w:cs="Times New Roman"/>
          <w:lang w:val="de-DE"/>
        </w:rPr>
        <w:lastRenderedPageBreak/>
        <w:t>damit lässt es sich doch leben, oder?“ (TFA: 63)</w:t>
      </w:r>
      <w:r w:rsidR="00D03941">
        <w:rPr>
          <w:rFonts w:cs="Times New Roman"/>
          <w:lang w:val="de-DE"/>
        </w:rPr>
        <w:t>.</w:t>
      </w:r>
      <w:r w:rsidR="00F92BBB">
        <w:rPr>
          <w:rFonts w:cs="Times New Roman"/>
          <w:lang w:val="de-DE"/>
        </w:rPr>
        <w:t xml:space="preserve"> Weiter denkt Anita darüber nach, „ob wir den Tanners Schmiergeld bezahlt hätten, ansonsten hätten sie doch nicht ausgerechnet uns das Mondial übergeben (das sage ja nicht sie, sondern die Gebrüder Schärer und ein paar andere“ (TFA: 63).</w:t>
      </w:r>
      <w:r w:rsidR="00F534E9">
        <w:rPr>
          <w:rFonts w:cs="Times New Roman"/>
          <w:lang w:val="de-DE"/>
        </w:rPr>
        <w:t xml:space="preserve"> </w:t>
      </w:r>
      <w:r w:rsidR="00320A52">
        <w:rPr>
          <w:rFonts w:cs="Times New Roman"/>
          <w:lang w:val="de-DE"/>
        </w:rPr>
        <w:t>Ildikó</w:t>
      </w:r>
      <w:r w:rsidR="00737F4E">
        <w:rPr>
          <w:rFonts w:cs="Times New Roman"/>
          <w:lang w:val="de-DE"/>
        </w:rPr>
        <w:t xml:space="preserve"> beschreibt diese Aussagen als unmissverständlich: Sie versteht Anitas inhärenten Rassismus. Auch Nomi ist sich des Rassismus bewusst, geht in ihrem Verständnis aber noch einen Schritt weiter und </w:t>
      </w:r>
      <w:r w:rsidR="00D03941">
        <w:rPr>
          <w:rFonts w:cs="Times New Roman"/>
          <w:lang w:val="de-DE"/>
        </w:rPr>
        <w:t>lässt eine klare</w:t>
      </w:r>
      <w:r w:rsidR="00737F4E">
        <w:rPr>
          <w:rFonts w:cs="Times New Roman"/>
          <w:lang w:val="de-DE"/>
        </w:rPr>
        <w:t xml:space="preserve"> Verurteilung auf Anitas Bemerkungen</w:t>
      </w:r>
      <w:r w:rsidR="00D03941">
        <w:rPr>
          <w:rFonts w:cs="Times New Roman"/>
          <w:lang w:val="de-DE"/>
        </w:rPr>
        <w:t xml:space="preserve"> merken</w:t>
      </w:r>
      <w:r w:rsidR="00737F4E">
        <w:rPr>
          <w:rFonts w:cs="Times New Roman"/>
          <w:lang w:val="de-DE"/>
        </w:rPr>
        <w:t>: „Als Nomi anfängt, ihr mit weit aufgerissenen Augen unsinnige Antworten zu geben wie: Das ist so, wir müssen die Antarktis retten, im Winter tue ich nichts lieber als Kerzenziehen“ (TFA: 64).</w:t>
      </w:r>
      <w:r w:rsidR="000629B9">
        <w:rPr>
          <w:rFonts w:cs="Times New Roman"/>
          <w:lang w:val="de-DE"/>
        </w:rPr>
        <w:t xml:space="preserve"> Die Unsinnigkeit ihrer Antworte zeigt, wie Nomi Anita und ihren Rassismus gegenüber steht: Sie sind keine vernünftige Diskussion wert.</w:t>
      </w:r>
    </w:p>
    <w:p w14:paraId="62A857B8" w14:textId="299A2E68" w:rsidR="0049048A" w:rsidRPr="0049504E" w:rsidRDefault="00320A52" w:rsidP="00AA0CDA">
      <w:pPr>
        <w:ind w:firstLine="708"/>
        <w:rPr>
          <w:rFonts w:cs="Times New Roman"/>
          <w:lang w:val="de-DE"/>
        </w:rPr>
      </w:pPr>
      <w:r>
        <w:rPr>
          <w:rFonts w:cs="Times New Roman"/>
          <w:lang w:val="de-DE"/>
        </w:rPr>
        <w:t>Ildikó</w:t>
      </w:r>
      <w:r w:rsidR="00071752">
        <w:rPr>
          <w:rFonts w:cs="Times New Roman"/>
          <w:lang w:val="de-DE"/>
        </w:rPr>
        <w:t xml:space="preserve"> zeigt</w:t>
      </w:r>
      <w:r w:rsidR="00D03941">
        <w:rPr>
          <w:rFonts w:cs="Times New Roman"/>
          <w:lang w:val="de-DE"/>
        </w:rPr>
        <w:t>, wie schon erwähnt,</w:t>
      </w:r>
      <w:r w:rsidR="00071752">
        <w:rPr>
          <w:rFonts w:cs="Times New Roman"/>
          <w:lang w:val="de-DE"/>
        </w:rPr>
        <w:t xml:space="preserve"> ein starkes Bewusstsein und eine hohe Empfindlichkeit für Sprache, Stimmen und Geräusche. So </w:t>
      </w:r>
      <w:r w:rsidR="0049048A" w:rsidRPr="0049504E">
        <w:rPr>
          <w:rFonts w:cs="Times New Roman"/>
          <w:lang w:val="de-DE"/>
        </w:rPr>
        <w:t xml:space="preserve">beschreibt </w:t>
      </w:r>
      <w:r w:rsidR="00071752">
        <w:rPr>
          <w:rFonts w:cs="Times New Roman"/>
          <w:lang w:val="de-DE"/>
        </w:rPr>
        <w:t xml:space="preserve">sie </w:t>
      </w:r>
      <w:r w:rsidR="0049048A" w:rsidRPr="0049504E">
        <w:rPr>
          <w:rFonts w:cs="Times New Roman"/>
          <w:lang w:val="de-DE"/>
        </w:rPr>
        <w:t xml:space="preserve">die Atmosphäre im Mondial anhand </w:t>
      </w:r>
      <w:r w:rsidR="006F4CA0">
        <w:rPr>
          <w:rFonts w:cs="Times New Roman"/>
          <w:lang w:val="de-DE"/>
        </w:rPr>
        <w:t>der</w:t>
      </w:r>
      <w:r w:rsidR="0049048A" w:rsidRPr="0049504E">
        <w:rPr>
          <w:rFonts w:cs="Times New Roman"/>
          <w:lang w:val="de-DE"/>
        </w:rPr>
        <w:t xml:space="preserve"> </w:t>
      </w:r>
      <w:r w:rsidR="00AA0CDA">
        <w:rPr>
          <w:rFonts w:cs="Times New Roman"/>
          <w:lang w:val="de-DE"/>
        </w:rPr>
        <w:t>Stimmen, die sie hört:</w:t>
      </w:r>
      <w:r w:rsidR="0049048A" w:rsidRPr="0049504E">
        <w:rPr>
          <w:rFonts w:cs="Times New Roman"/>
          <w:lang w:val="de-DE"/>
        </w:rPr>
        <w:t xml:space="preserve"> </w:t>
      </w:r>
    </w:p>
    <w:p w14:paraId="6F3A1EE8" w14:textId="77777777" w:rsidR="0049048A" w:rsidRPr="0049504E" w:rsidRDefault="0049048A" w:rsidP="0049048A">
      <w:pPr>
        <w:spacing w:after="240" w:line="240" w:lineRule="auto"/>
        <w:ind w:left="567"/>
        <w:rPr>
          <w:rFonts w:cs="Times New Roman"/>
          <w:lang w:val="de-DE"/>
        </w:rPr>
      </w:pPr>
      <w:r w:rsidRPr="0049504E">
        <w:rPr>
          <w:rFonts w:cs="Times New Roman"/>
          <w:lang w:val="de-DE"/>
        </w:rPr>
        <w:t>Im Stimmengewirr […], unterschiedliche Tonlagen, Dialekte, gepresste Nackenstimmen, die sich immer durchsetzen wollen, und nuschelnde, undeutliche Stimmchen, zu denen ich mich dezent hinbücke, und gerade in diesem Stimmenchaos fällt mir auf, welche Stimmen wie auf mich wirken (TFA: 104).</w:t>
      </w:r>
    </w:p>
    <w:p w14:paraId="4CBEDB26" w14:textId="1625DCB1" w:rsidR="00CD6744" w:rsidRPr="00CD6744" w:rsidRDefault="0049048A" w:rsidP="00CD6744">
      <w:pPr>
        <w:rPr>
          <w:lang w:val="de-DE"/>
        </w:rPr>
      </w:pPr>
      <w:r w:rsidRPr="00CD6744">
        <w:rPr>
          <w:rFonts w:cs="Times New Roman"/>
          <w:lang w:val="de-DE"/>
        </w:rPr>
        <w:t xml:space="preserve">Es stellt sich heraus, </w:t>
      </w:r>
      <w:r w:rsidR="006F4CA0">
        <w:rPr>
          <w:rFonts w:cs="Times New Roman"/>
          <w:lang w:val="de-DE"/>
        </w:rPr>
        <w:t>dass</w:t>
      </w:r>
      <w:r w:rsidRPr="00CD6744">
        <w:rPr>
          <w:rFonts w:cs="Times New Roman"/>
          <w:lang w:val="de-DE"/>
        </w:rPr>
        <w:t xml:space="preserve"> </w:t>
      </w:r>
      <w:r w:rsidR="00F73DBD" w:rsidRPr="00CD6744">
        <w:rPr>
          <w:rFonts w:cs="Times New Roman"/>
          <w:lang w:val="de-DE"/>
        </w:rPr>
        <w:t>Ildikó</w:t>
      </w:r>
      <w:r w:rsidR="006F4CA0">
        <w:rPr>
          <w:rFonts w:cs="Times New Roman"/>
          <w:lang w:val="de-DE"/>
        </w:rPr>
        <w:t>, auch wenn sie</w:t>
      </w:r>
      <w:r w:rsidRPr="00CD6744">
        <w:rPr>
          <w:rFonts w:cs="Times New Roman"/>
          <w:lang w:val="de-DE"/>
        </w:rPr>
        <w:t xml:space="preserve"> selbst (noch) keine Stimme hat, von den Stimmen </w:t>
      </w:r>
      <w:r w:rsidR="006F4CA0">
        <w:rPr>
          <w:rFonts w:cs="Times New Roman"/>
          <w:lang w:val="de-DE"/>
        </w:rPr>
        <w:t>anderer</w:t>
      </w:r>
      <w:r w:rsidRPr="00CD6744">
        <w:rPr>
          <w:rFonts w:cs="Times New Roman"/>
          <w:lang w:val="de-DE"/>
        </w:rPr>
        <w:t xml:space="preserve"> ständig beeinflusst wird.</w:t>
      </w:r>
      <w:r w:rsidR="00C875B8" w:rsidRPr="00CD6744">
        <w:rPr>
          <w:rFonts w:cs="Times New Roman"/>
          <w:lang w:val="de-DE"/>
        </w:rPr>
        <w:t xml:space="preserve"> </w:t>
      </w:r>
      <w:r w:rsidR="003864C0" w:rsidRPr="00CD6744">
        <w:rPr>
          <w:rFonts w:cs="Times New Roman"/>
          <w:lang w:val="de-DE"/>
        </w:rPr>
        <w:t>Sie</w:t>
      </w:r>
      <w:r w:rsidR="00C875B8" w:rsidRPr="00CD6744">
        <w:rPr>
          <w:rFonts w:cs="Times New Roman"/>
          <w:lang w:val="de-DE"/>
        </w:rPr>
        <w:t xml:space="preserve"> </w:t>
      </w:r>
      <w:r w:rsidR="003864C0" w:rsidRPr="00CD6744">
        <w:rPr>
          <w:rFonts w:cs="Times New Roman"/>
          <w:lang w:val="de-DE"/>
        </w:rPr>
        <w:t xml:space="preserve">erwähnt die verschiedenen Ebenen des Stimmengewirrs und die Stimmen, die sich, im Gegensatz zu ihrer, immer durchsetzen wollen. </w:t>
      </w:r>
      <w:r w:rsidR="00CD6744" w:rsidRPr="00CD6744">
        <w:rPr>
          <w:rFonts w:cs="Times New Roman"/>
          <w:lang w:val="de-DE"/>
        </w:rPr>
        <w:t xml:space="preserve">Nicht nur die Stimmen, sondern auch andere Geräusche im Mondial bemerkt </w:t>
      </w:r>
      <w:r w:rsidR="00320A52">
        <w:rPr>
          <w:rFonts w:cs="Times New Roman"/>
          <w:lang w:val="de-DE"/>
        </w:rPr>
        <w:t>Ildikó</w:t>
      </w:r>
      <w:r w:rsidR="00CD6744" w:rsidRPr="00CD6744">
        <w:rPr>
          <w:rFonts w:cs="Times New Roman"/>
          <w:lang w:val="de-DE"/>
        </w:rPr>
        <w:t xml:space="preserve"> mit hoher Aufmerksamkeit: „</w:t>
      </w:r>
      <w:r w:rsidR="00CD6744" w:rsidRPr="00CD6744">
        <w:rPr>
          <w:lang w:val="de-DE"/>
        </w:rPr>
        <w:t>Das rhythmische Klacken ihrer schweren, Holzschuhe, das genauso zu den Geräuschen der Küche gehört wie das Surren der Mikrowelle und das gierige Saugen des Dampfabzugs</w:t>
      </w:r>
      <w:r w:rsidR="00CD6744">
        <w:rPr>
          <w:lang w:val="de-DE"/>
        </w:rPr>
        <w:t>“</w:t>
      </w:r>
      <w:r w:rsidR="00CD6744" w:rsidRPr="00CD6744">
        <w:rPr>
          <w:lang w:val="de-DE"/>
        </w:rPr>
        <w:t xml:space="preserve"> (</w:t>
      </w:r>
      <w:r w:rsidR="00CD6744">
        <w:rPr>
          <w:lang w:val="de-DE"/>
        </w:rPr>
        <w:t xml:space="preserve">TFA: </w:t>
      </w:r>
      <w:r w:rsidR="00CD6744" w:rsidRPr="00CD6744">
        <w:rPr>
          <w:lang w:val="de-DE"/>
        </w:rPr>
        <w:t>86)</w:t>
      </w:r>
      <w:r w:rsidR="00505596">
        <w:rPr>
          <w:lang w:val="de-DE"/>
        </w:rPr>
        <w:t xml:space="preserve">. </w:t>
      </w:r>
    </w:p>
    <w:p w14:paraId="5FF638E0" w14:textId="38F876A6" w:rsidR="0049048A" w:rsidRPr="0049504E" w:rsidRDefault="006F4CA0" w:rsidP="00895409">
      <w:pPr>
        <w:ind w:firstLine="708"/>
        <w:rPr>
          <w:rFonts w:cs="Times New Roman"/>
          <w:lang w:val="de-DE"/>
        </w:rPr>
      </w:pPr>
      <w:r>
        <w:rPr>
          <w:rFonts w:cs="Times New Roman"/>
          <w:lang w:val="de-DE"/>
        </w:rPr>
        <w:t>Während dieses</w:t>
      </w:r>
      <w:r w:rsidR="0049048A" w:rsidRPr="0049504E">
        <w:rPr>
          <w:rFonts w:cs="Times New Roman"/>
          <w:lang w:val="de-DE"/>
        </w:rPr>
        <w:t xml:space="preserve"> </w:t>
      </w:r>
      <w:r>
        <w:rPr>
          <w:rFonts w:cs="Times New Roman"/>
          <w:lang w:val="de-DE"/>
        </w:rPr>
        <w:t>„</w:t>
      </w:r>
      <w:r w:rsidR="0049048A" w:rsidRPr="0049504E">
        <w:rPr>
          <w:rFonts w:cs="Times New Roman"/>
          <w:lang w:val="de-DE"/>
        </w:rPr>
        <w:t>Stimmenservice</w:t>
      </w:r>
      <w:r>
        <w:rPr>
          <w:rFonts w:cs="Times New Roman"/>
          <w:lang w:val="de-DE"/>
        </w:rPr>
        <w:t>s“</w:t>
      </w:r>
      <w:r w:rsidR="0049048A" w:rsidRPr="0049504E">
        <w:rPr>
          <w:rFonts w:cs="Times New Roman"/>
          <w:lang w:val="de-DE"/>
        </w:rPr>
        <w:t xml:space="preserve"> fragt Herr Pfister, ein Kunde des Mondial, </w:t>
      </w:r>
      <w:r w:rsidR="00F73DBD">
        <w:rPr>
          <w:rFonts w:cs="Times New Roman"/>
          <w:lang w:val="de-DE"/>
        </w:rPr>
        <w:t>Ildikó</w:t>
      </w:r>
      <w:r w:rsidR="0049048A" w:rsidRPr="0049504E">
        <w:rPr>
          <w:rFonts w:cs="Times New Roman"/>
          <w:lang w:val="de-DE"/>
        </w:rPr>
        <w:t>, warum Anita, die ehemalige schweizerische Serviertochter, nicht mehr im Mondial arbeitet. Er fügt hinzu, dass er selbst Arbeitgeber ist und ja weiß, „dass der Schweizer heute andere Ansprüche hat, und dann, wen</w:t>
      </w:r>
      <w:r w:rsidR="00DD210D">
        <w:rPr>
          <w:rFonts w:cs="Times New Roman"/>
          <w:lang w:val="de-DE"/>
        </w:rPr>
        <w:t>n</w:t>
      </w:r>
      <w:r w:rsidR="0049048A" w:rsidRPr="0049504E">
        <w:rPr>
          <w:rFonts w:cs="Times New Roman"/>
          <w:lang w:val="de-DE"/>
        </w:rPr>
        <w:t xml:space="preserve"> die Schweizer erst mal weg sind, muss man sich mit Albanern oder sonstigen Balkanesen zufrieden geben“ (TFA: 108). Herr Pfister sieht </w:t>
      </w:r>
      <w:r w:rsidR="00DD210D">
        <w:rPr>
          <w:rFonts w:cs="Times New Roman"/>
          <w:lang w:val="de-DE"/>
        </w:rPr>
        <w:t>aber erst nach dieser Aussage</w:t>
      </w:r>
      <w:r w:rsidR="0049048A" w:rsidRPr="0049504E">
        <w:rPr>
          <w:rFonts w:cs="Times New Roman"/>
          <w:lang w:val="de-DE"/>
        </w:rPr>
        <w:t xml:space="preserve"> ein, dass</w:t>
      </w:r>
      <w:r w:rsidR="00DD210D">
        <w:rPr>
          <w:rFonts w:cs="Times New Roman"/>
          <w:lang w:val="de-DE"/>
        </w:rPr>
        <w:t xml:space="preserve"> auch</w:t>
      </w:r>
      <w:r w:rsidR="0049048A" w:rsidRPr="0049504E">
        <w:rPr>
          <w:rFonts w:cs="Times New Roman"/>
          <w:lang w:val="de-DE"/>
        </w:rPr>
        <w:t xml:space="preserve"> </w:t>
      </w:r>
      <w:r w:rsidR="00F73DBD">
        <w:rPr>
          <w:rFonts w:cs="Times New Roman"/>
          <w:lang w:val="de-DE"/>
        </w:rPr>
        <w:t>Ildikó</w:t>
      </w:r>
      <w:r w:rsidR="0049048A" w:rsidRPr="0049504E">
        <w:rPr>
          <w:rFonts w:cs="Times New Roman"/>
          <w:lang w:val="de-DE"/>
        </w:rPr>
        <w:t xml:space="preserve"> vom Balkan stammt, und nuanciert </w:t>
      </w:r>
      <w:r w:rsidR="00DD210D">
        <w:rPr>
          <w:rFonts w:cs="Times New Roman"/>
          <w:lang w:val="de-DE"/>
        </w:rPr>
        <w:t xml:space="preserve">deswegen </w:t>
      </w:r>
      <w:r w:rsidR="0049048A" w:rsidRPr="0049504E">
        <w:rPr>
          <w:rFonts w:cs="Times New Roman"/>
          <w:lang w:val="de-DE"/>
        </w:rPr>
        <w:t xml:space="preserve">schnell seine Aussage: „[B]ei Ihnen, das ist ja etwas anderes, Sie sind ja schon eingebürgert und kennen die Sitten und Gepflogenheiten unseres Landes, </w:t>
      </w:r>
      <w:r w:rsidR="0049048A" w:rsidRPr="0049504E">
        <w:rPr>
          <w:rFonts w:cs="Times New Roman"/>
          <w:lang w:val="de-DE"/>
        </w:rPr>
        <w:lastRenderedPageBreak/>
        <w:t xml:space="preserve">aber die, die sein den 90ern kommen, das ist ja rohes Material“ (TFA: 108). Herr Pfister scheint damit seinen an </w:t>
      </w:r>
      <w:r w:rsidR="00F73DBD">
        <w:rPr>
          <w:rFonts w:cs="Times New Roman"/>
          <w:lang w:val="de-DE"/>
        </w:rPr>
        <w:t>Ildikó</w:t>
      </w:r>
      <w:r w:rsidR="0049048A" w:rsidRPr="0049504E">
        <w:rPr>
          <w:rFonts w:cs="Times New Roman"/>
          <w:lang w:val="de-DE"/>
        </w:rPr>
        <w:t xml:space="preserve"> gerichteten Monolog abzuschließen und wendet sich zu seinem Freund – „der sicher auch Arbeitgeber ist“ (TFA: 108), so bemerkt </w:t>
      </w:r>
      <w:r w:rsidR="00F73DBD">
        <w:rPr>
          <w:rFonts w:cs="Times New Roman"/>
          <w:lang w:val="de-DE"/>
        </w:rPr>
        <w:t>Ildikó</w:t>
      </w:r>
      <w:r w:rsidR="0049048A" w:rsidRPr="0049504E">
        <w:rPr>
          <w:rFonts w:cs="Times New Roman"/>
          <w:lang w:val="de-DE"/>
        </w:rPr>
        <w:t xml:space="preserve"> auf ironische Art und Weise – und macht weiter mit „der </w:t>
      </w:r>
      <w:r w:rsidR="0049048A" w:rsidRPr="0049504E">
        <w:rPr>
          <w:rFonts w:cs="Times New Roman"/>
          <w:i/>
          <w:lang w:val="de-DE"/>
        </w:rPr>
        <w:t>homo balcanicus</w:t>
      </w:r>
      <w:r w:rsidR="0049048A" w:rsidRPr="0049504E">
        <w:rPr>
          <w:rFonts w:cs="Times New Roman"/>
          <w:lang w:val="de-DE"/>
        </w:rPr>
        <w:t xml:space="preserve"> hat die Aufklärung einfach noch nicht durchgemacht“ (TFA: 108).</w:t>
      </w:r>
      <w:r w:rsidR="008108E4">
        <w:rPr>
          <w:rFonts w:cs="Times New Roman"/>
          <w:lang w:val="de-DE"/>
        </w:rPr>
        <w:t xml:space="preserve"> In diesem Zitat äußert sich </w:t>
      </w:r>
      <w:r w:rsidR="00662E3E">
        <w:rPr>
          <w:rFonts w:cs="Times New Roman"/>
          <w:lang w:val="de-DE"/>
        </w:rPr>
        <w:t xml:space="preserve">anhand von Sprache </w:t>
      </w:r>
      <w:r w:rsidR="008108E4">
        <w:rPr>
          <w:rFonts w:cs="Times New Roman"/>
          <w:lang w:val="de-DE"/>
        </w:rPr>
        <w:t xml:space="preserve">das starke Überlegenheitsgefühl der einheimischen schweizerischen Bevölkerung </w:t>
      </w:r>
      <w:r w:rsidR="00BC6AE8">
        <w:rPr>
          <w:rFonts w:cs="Times New Roman"/>
          <w:lang w:val="de-DE"/>
        </w:rPr>
        <w:t xml:space="preserve">Ausländern gegenüber. </w:t>
      </w:r>
      <w:r w:rsidR="0049048A" w:rsidRPr="0049504E">
        <w:rPr>
          <w:rFonts w:cs="Times New Roman"/>
          <w:lang w:val="de-DE"/>
        </w:rPr>
        <w:t xml:space="preserve">Außer der etwa ironischen Bemerkung reagiert </w:t>
      </w:r>
      <w:r w:rsidR="00F73DBD">
        <w:rPr>
          <w:rFonts w:cs="Times New Roman"/>
          <w:lang w:val="de-DE"/>
        </w:rPr>
        <w:t>Ildikó</w:t>
      </w:r>
      <w:r w:rsidR="0049048A" w:rsidRPr="0049504E">
        <w:rPr>
          <w:rFonts w:cs="Times New Roman"/>
          <w:lang w:val="de-DE"/>
        </w:rPr>
        <w:t xml:space="preserve"> nicht auf die Aussagen des Herrn Pfisters. Als er ihr beim Aufstehen sagt, dass</w:t>
      </w:r>
      <w:r w:rsidR="00662E3E">
        <w:rPr>
          <w:rFonts w:cs="Times New Roman"/>
          <w:lang w:val="de-DE"/>
        </w:rPr>
        <w:t xml:space="preserve"> sie ihre Sache sehr gut macht, </w:t>
      </w:r>
      <w:r w:rsidR="0049048A" w:rsidRPr="0049504E">
        <w:rPr>
          <w:rFonts w:cs="Times New Roman"/>
          <w:lang w:val="de-DE"/>
        </w:rPr>
        <w:t>wünscht</w:t>
      </w:r>
      <w:r w:rsidR="00662E3E">
        <w:rPr>
          <w:rFonts w:cs="Times New Roman"/>
          <w:lang w:val="de-DE"/>
        </w:rPr>
        <w:t xml:space="preserve"> sie ihm </w:t>
      </w:r>
      <w:r w:rsidR="0049048A" w:rsidRPr="0049504E">
        <w:rPr>
          <w:rFonts w:cs="Times New Roman"/>
          <w:lang w:val="de-DE"/>
        </w:rPr>
        <w:t>einen schönen Tag</w:t>
      </w:r>
      <w:r w:rsidR="00662E3E">
        <w:rPr>
          <w:rFonts w:cs="Times New Roman"/>
          <w:lang w:val="de-DE"/>
        </w:rPr>
        <w:t xml:space="preserve"> und </w:t>
      </w:r>
      <w:r w:rsidR="00662E3E" w:rsidRPr="0049504E">
        <w:rPr>
          <w:rFonts w:cs="Times New Roman"/>
          <w:lang w:val="de-DE"/>
        </w:rPr>
        <w:t xml:space="preserve">bedankt sich </w:t>
      </w:r>
      <w:r w:rsidR="00662E3E">
        <w:rPr>
          <w:rFonts w:cs="Times New Roman"/>
          <w:lang w:val="de-DE"/>
        </w:rPr>
        <w:t xml:space="preserve">sogar </w:t>
      </w:r>
      <w:r w:rsidR="00662E3E" w:rsidRPr="0049504E">
        <w:rPr>
          <w:rFonts w:cs="Times New Roman"/>
          <w:lang w:val="de-DE"/>
        </w:rPr>
        <w:t>bei ihm</w:t>
      </w:r>
      <w:r w:rsidR="0049048A" w:rsidRPr="0049504E">
        <w:rPr>
          <w:rFonts w:cs="Times New Roman"/>
          <w:lang w:val="de-DE"/>
        </w:rPr>
        <w:t>. Doch gibt sie danach zu, dass sie sich, obwohl sie sich trotz allem geschmeichelt fühlt, ärgert über sie, die sie ist (</w:t>
      </w:r>
      <w:r w:rsidR="005B2738">
        <w:rPr>
          <w:rFonts w:cs="Times New Roman"/>
          <w:lang w:val="de-DE"/>
        </w:rPr>
        <w:t xml:space="preserve">vgl. </w:t>
      </w:r>
      <w:r w:rsidR="0049048A" w:rsidRPr="0049504E">
        <w:rPr>
          <w:rFonts w:cs="Times New Roman"/>
          <w:lang w:val="de-DE"/>
        </w:rPr>
        <w:t>TFA: 109</w:t>
      </w:r>
      <w:r w:rsidR="00071752">
        <w:rPr>
          <w:rFonts w:cs="Times New Roman"/>
          <w:lang w:val="de-DE"/>
        </w:rPr>
        <w:t>): Sie will sich von den Worten</w:t>
      </w:r>
      <w:r>
        <w:rPr>
          <w:rFonts w:cs="Times New Roman"/>
          <w:lang w:val="de-DE"/>
        </w:rPr>
        <w:t xml:space="preserve"> der Kunden</w:t>
      </w:r>
      <w:r w:rsidR="00071752">
        <w:rPr>
          <w:rFonts w:cs="Times New Roman"/>
          <w:lang w:val="de-DE"/>
        </w:rPr>
        <w:t xml:space="preserve"> – weder negativen noch positiven –</w:t>
      </w:r>
      <w:r>
        <w:rPr>
          <w:rFonts w:cs="Times New Roman"/>
          <w:lang w:val="de-DE"/>
        </w:rPr>
        <w:t xml:space="preserve"> </w:t>
      </w:r>
      <w:r w:rsidR="00071752">
        <w:rPr>
          <w:rFonts w:cs="Times New Roman"/>
          <w:lang w:val="de-DE"/>
        </w:rPr>
        <w:t xml:space="preserve">nicht beeinflussen lassen. </w:t>
      </w:r>
      <w:r w:rsidR="0049048A" w:rsidRPr="0049504E">
        <w:rPr>
          <w:rFonts w:cs="Times New Roman"/>
          <w:lang w:val="de-DE"/>
        </w:rPr>
        <w:t xml:space="preserve">Der Satz zeigt, dass </w:t>
      </w:r>
      <w:r w:rsidR="00F73DBD">
        <w:rPr>
          <w:rFonts w:cs="Times New Roman"/>
          <w:lang w:val="de-DE"/>
        </w:rPr>
        <w:t>Ildikó</w:t>
      </w:r>
      <w:r w:rsidR="0049048A" w:rsidRPr="0049504E">
        <w:rPr>
          <w:rFonts w:cs="Times New Roman"/>
          <w:lang w:val="de-DE"/>
        </w:rPr>
        <w:t xml:space="preserve"> auch vor der Explosion an Relativsätzen als Folge des Klovorfalls schon über sich </w:t>
      </w:r>
      <w:r w:rsidR="008108E4">
        <w:rPr>
          <w:rFonts w:cs="Times New Roman"/>
          <w:lang w:val="de-DE"/>
        </w:rPr>
        <w:t>selbst in Relativsätzen spricht.</w:t>
      </w:r>
      <w:r w:rsidR="00A31BE6">
        <w:rPr>
          <w:rFonts w:cs="Times New Roman"/>
          <w:lang w:val="de-DE"/>
        </w:rPr>
        <w:t xml:space="preserve"> </w:t>
      </w:r>
      <w:r w:rsidR="0049048A" w:rsidRPr="0049504E">
        <w:rPr>
          <w:rFonts w:cs="Times New Roman"/>
          <w:lang w:val="de-DE"/>
        </w:rPr>
        <w:t>Als das Mondial wieder halbleer ist und Nomi sie fragt, was los ist, strömen plötzlich alle Worte, die sie im Service nicht hat äußern können, aus ihr heraus:</w:t>
      </w:r>
    </w:p>
    <w:p w14:paraId="03F0C9F6" w14:textId="77777777" w:rsidR="0049048A" w:rsidRPr="0049504E" w:rsidRDefault="0049048A" w:rsidP="00361ACD">
      <w:pPr>
        <w:spacing w:after="240" w:line="240" w:lineRule="auto"/>
        <w:ind w:left="567"/>
        <w:rPr>
          <w:rFonts w:cs="Times New Roman"/>
          <w:lang w:val="de-DE"/>
        </w:rPr>
      </w:pPr>
      <w:r w:rsidRPr="0049504E">
        <w:rPr>
          <w:rFonts w:cs="Times New Roman"/>
          <w:lang w:val="de-DE"/>
        </w:rPr>
        <w:t>Ich habe die falsche Strumpfhose angezogen, die falsche Bluse, ich habe nicht geschlafen, ich habe noch nichts gegessen, heute ist Freitag, und Freitag ist der Tag, den ich grundsätzlich nicht mag, warum weiss ich nicht, vielleicht, weil es ein Tag ist, der sich auflädt vor dem Wochenende… (TFA: 109).</w:t>
      </w:r>
    </w:p>
    <w:p w14:paraId="7DCF50C9" w14:textId="6ACEDA0E" w:rsidR="00BC6AE8" w:rsidRDefault="0049048A" w:rsidP="004B7B7D">
      <w:pPr>
        <w:rPr>
          <w:rFonts w:cs="Times New Roman"/>
          <w:lang w:val="de-DE"/>
        </w:rPr>
      </w:pPr>
      <w:r w:rsidRPr="0049504E">
        <w:rPr>
          <w:rFonts w:cs="Times New Roman"/>
          <w:lang w:val="de-DE"/>
        </w:rPr>
        <w:t xml:space="preserve">Bevor Nomi aber antworten kann, geht die Tür wieder auf und zu, und </w:t>
      </w:r>
      <w:r w:rsidR="00F73DBD">
        <w:rPr>
          <w:rFonts w:cs="Times New Roman"/>
          <w:lang w:val="de-DE"/>
        </w:rPr>
        <w:t>Ildikó</w:t>
      </w:r>
      <w:r w:rsidRPr="0049504E">
        <w:rPr>
          <w:rFonts w:cs="Times New Roman"/>
          <w:lang w:val="de-DE"/>
        </w:rPr>
        <w:t xml:space="preserve"> </w:t>
      </w:r>
      <w:r w:rsidR="006F4CA0">
        <w:rPr>
          <w:rFonts w:cs="Times New Roman"/>
          <w:lang w:val="de-DE"/>
        </w:rPr>
        <w:t xml:space="preserve">denkt </w:t>
      </w:r>
      <w:r w:rsidRPr="0049504E">
        <w:rPr>
          <w:rFonts w:cs="Times New Roman"/>
          <w:lang w:val="de-DE"/>
        </w:rPr>
        <w:t xml:space="preserve">„wir können, wie so oft, nicht weiterreden“ (TFA: 110). Genau als </w:t>
      </w:r>
      <w:r w:rsidR="00F73DBD">
        <w:rPr>
          <w:rFonts w:cs="Times New Roman"/>
          <w:lang w:val="de-DE"/>
        </w:rPr>
        <w:t>Ildikó</w:t>
      </w:r>
      <w:r w:rsidRPr="0049504E">
        <w:rPr>
          <w:rFonts w:cs="Times New Roman"/>
          <w:lang w:val="de-DE"/>
        </w:rPr>
        <w:t xml:space="preserve"> sich endlich traut, ihre Meinung zu äußern, scheitert die Kommunikation, weil ein Kunde ins Mondial </w:t>
      </w:r>
      <w:r w:rsidR="00361ACD">
        <w:rPr>
          <w:rFonts w:cs="Times New Roman"/>
          <w:lang w:val="de-DE"/>
        </w:rPr>
        <w:t>hinein</w:t>
      </w:r>
      <w:r w:rsidRPr="0049504E">
        <w:rPr>
          <w:rFonts w:cs="Times New Roman"/>
          <w:lang w:val="de-DE"/>
        </w:rPr>
        <w:t>tritt</w:t>
      </w:r>
      <w:r w:rsidR="00895409">
        <w:rPr>
          <w:rFonts w:cs="Times New Roman"/>
          <w:lang w:val="de-DE"/>
        </w:rPr>
        <w:t>: Die Arbeit ruft und das Gespräch wird unterbrochen</w:t>
      </w:r>
      <w:r w:rsidRPr="0049504E">
        <w:rPr>
          <w:rFonts w:cs="Times New Roman"/>
          <w:lang w:val="de-DE"/>
        </w:rPr>
        <w:t xml:space="preserve">. Es stellt sich heraus, dass die fehlende Kommunikation </w:t>
      </w:r>
      <w:r w:rsidR="00895409">
        <w:rPr>
          <w:rFonts w:cs="Times New Roman"/>
          <w:lang w:val="de-DE"/>
        </w:rPr>
        <w:t xml:space="preserve">also </w:t>
      </w:r>
      <w:r w:rsidRPr="0049504E">
        <w:rPr>
          <w:rFonts w:cs="Times New Roman"/>
          <w:lang w:val="de-DE"/>
        </w:rPr>
        <w:t xml:space="preserve">nicht nur </w:t>
      </w:r>
      <w:r w:rsidR="00F73DBD">
        <w:rPr>
          <w:rFonts w:cs="Times New Roman"/>
          <w:lang w:val="de-DE"/>
        </w:rPr>
        <w:t>Ildikó</w:t>
      </w:r>
      <w:r w:rsidRPr="0049504E">
        <w:rPr>
          <w:rFonts w:cs="Times New Roman"/>
          <w:lang w:val="de-DE"/>
        </w:rPr>
        <w:t xml:space="preserve">s </w:t>
      </w:r>
      <w:r w:rsidR="009E2359">
        <w:rPr>
          <w:rFonts w:cs="Times New Roman"/>
          <w:lang w:val="de-DE"/>
        </w:rPr>
        <w:t>Sprachlosigkeit</w:t>
      </w:r>
      <w:r w:rsidR="006F4CA0">
        <w:rPr>
          <w:rFonts w:cs="Times New Roman"/>
          <w:lang w:val="de-DE"/>
        </w:rPr>
        <w:t xml:space="preserve"> zuzuschreiben</w:t>
      </w:r>
      <w:r w:rsidRPr="0049504E">
        <w:rPr>
          <w:rFonts w:cs="Times New Roman"/>
          <w:lang w:val="de-DE"/>
        </w:rPr>
        <w:t xml:space="preserve"> ist, sondern auch </w:t>
      </w:r>
      <w:r w:rsidR="006F4CA0">
        <w:rPr>
          <w:rFonts w:cs="Times New Roman"/>
          <w:lang w:val="de-DE"/>
        </w:rPr>
        <w:t xml:space="preserve">durch </w:t>
      </w:r>
      <w:r w:rsidR="00A258CD">
        <w:rPr>
          <w:rFonts w:cs="Times New Roman"/>
          <w:lang w:val="de-DE"/>
        </w:rPr>
        <w:t>äußere</w:t>
      </w:r>
      <w:r w:rsidRPr="0049504E">
        <w:rPr>
          <w:rFonts w:cs="Times New Roman"/>
          <w:lang w:val="de-DE"/>
        </w:rPr>
        <w:t xml:space="preserve"> Umstände bewirkt wird</w:t>
      </w:r>
      <w:r w:rsidR="00071752">
        <w:rPr>
          <w:rFonts w:cs="Times New Roman"/>
          <w:lang w:val="de-DE"/>
        </w:rPr>
        <w:t>. Wie in de</w:t>
      </w:r>
      <w:r w:rsidRPr="0049504E">
        <w:rPr>
          <w:rFonts w:cs="Times New Roman"/>
          <w:lang w:val="de-DE"/>
        </w:rPr>
        <w:t xml:space="preserve">r Bachelorarbeit schon untersucht wurde, </w:t>
      </w:r>
      <w:bookmarkStart w:id="56" w:name="_Hlk513480509"/>
      <w:r w:rsidRPr="0049504E">
        <w:rPr>
          <w:rFonts w:cs="Times New Roman"/>
          <w:lang w:val="de-DE"/>
        </w:rPr>
        <w:t xml:space="preserve">hat </w:t>
      </w:r>
      <w:r w:rsidR="00F73DBD">
        <w:rPr>
          <w:rFonts w:cs="Times New Roman"/>
          <w:lang w:val="de-DE"/>
        </w:rPr>
        <w:t>Ildikó</w:t>
      </w:r>
      <w:r w:rsidR="00EB4986">
        <w:rPr>
          <w:rFonts w:cs="Times New Roman"/>
          <w:lang w:val="de-DE"/>
        </w:rPr>
        <w:t>s</w:t>
      </w:r>
      <w:r w:rsidRPr="0049504E">
        <w:rPr>
          <w:rFonts w:cs="Times New Roman"/>
          <w:lang w:val="de-DE"/>
        </w:rPr>
        <w:t xml:space="preserve"> </w:t>
      </w:r>
      <w:r w:rsidR="008F20B6">
        <w:rPr>
          <w:rFonts w:cs="Times New Roman"/>
          <w:lang w:val="de-DE"/>
        </w:rPr>
        <w:t>Sprachlosigkeit</w:t>
      </w:r>
      <w:r w:rsidRPr="0049504E">
        <w:rPr>
          <w:rFonts w:cs="Times New Roman"/>
          <w:lang w:val="de-DE"/>
        </w:rPr>
        <w:t xml:space="preserve">, die </w:t>
      </w:r>
      <w:r w:rsidR="00EB4986">
        <w:rPr>
          <w:rFonts w:cs="Times New Roman"/>
          <w:lang w:val="de-DE"/>
        </w:rPr>
        <w:t>zum Teil</w:t>
      </w:r>
      <w:r w:rsidRPr="0049504E">
        <w:rPr>
          <w:rFonts w:cs="Times New Roman"/>
          <w:lang w:val="de-DE"/>
        </w:rPr>
        <w:t xml:space="preserve"> von ihr selbst </w:t>
      </w:r>
      <w:r w:rsidR="008B34C7">
        <w:rPr>
          <w:rFonts w:cs="Times New Roman"/>
          <w:lang w:val="de-DE"/>
        </w:rPr>
        <w:t>verursacht wird</w:t>
      </w:r>
      <w:r w:rsidRPr="0049504E">
        <w:rPr>
          <w:rFonts w:cs="Times New Roman"/>
          <w:lang w:val="de-DE"/>
        </w:rPr>
        <w:t>,</w:t>
      </w:r>
      <w:r w:rsidR="006F4CA0">
        <w:rPr>
          <w:rFonts w:cs="Times New Roman"/>
          <w:lang w:val="de-DE"/>
        </w:rPr>
        <w:t xml:space="preserve"> ihr aber</w:t>
      </w:r>
      <w:r w:rsidRPr="0049504E">
        <w:rPr>
          <w:rFonts w:cs="Times New Roman"/>
          <w:lang w:val="de-DE"/>
        </w:rPr>
        <w:t xml:space="preserve"> </w:t>
      </w:r>
      <w:r w:rsidR="00EB4986">
        <w:rPr>
          <w:rFonts w:cs="Times New Roman"/>
          <w:lang w:val="de-DE"/>
        </w:rPr>
        <w:t>vor allem</w:t>
      </w:r>
      <w:r w:rsidRPr="0049504E">
        <w:rPr>
          <w:rFonts w:cs="Times New Roman"/>
          <w:lang w:val="de-DE"/>
        </w:rPr>
        <w:t xml:space="preserve"> von ihrer Umgebung auferlegt wird, einen großen Einfluss auf </w:t>
      </w:r>
      <w:r w:rsidR="00662E3E">
        <w:rPr>
          <w:rFonts w:cs="Times New Roman"/>
          <w:lang w:val="de-DE"/>
        </w:rPr>
        <w:t>ihren</w:t>
      </w:r>
      <w:r w:rsidRPr="0049504E">
        <w:rPr>
          <w:rFonts w:cs="Times New Roman"/>
          <w:lang w:val="de-DE"/>
        </w:rPr>
        <w:t xml:space="preserve"> Identitätsentdeckun</w:t>
      </w:r>
      <w:r w:rsidR="00EB4986">
        <w:rPr>
          <w:rFonts w:cs="Times New Roman"/>
          <w:lang w:val="de-DE"/>
        </w:rPr>
        <w:t>gsprozess.</w:t>
      </w:r>
      <w:bookmarkEnd w:id="56"/>
      <w:r w:rsidR="000349A7">
        <w:rPr>
          <w:rFonts w:cs="Times New Roman"/>
          <w:lang w:val="de-DE"/>
        </w:rPr>
        <w:t xml:space="preserve"> </w:t>
      </w:r>
    </w:p>
    <w:p w14:paraId="1C904080" w14:textId="77777777" w:rsidR="0072461E" w:rsidRDefault="0072461E" w:rsidP="004B7B7D">
      <w:pPr>
        <w:rPr>
          <w:rFonts w:cs="Times New Roman"/>
          <w:lang w:val="de-DE"/>
        </w:rPr>
      </w:pPr>
    </w:p>
    <w:p w14:paraId="195B2C9A" w14:textId="5F4851E8" w:rsidR="00E72049" w:rsidRDefault="00E72049" w:rsidP="004B7B7D">
      <w:pPr>
        <w:pStyle w:val="Kop2"/>
        <w:numPr>
          <w:ilvl w:val="1"/>
          <w:numId w:val="2"/>
        </w:numPr>
        <w:ind w:hanging="436"/>
        <w:rPr>
          <w:lang w:val="de-DE"/>
        </w:rPr>
      </w:pPr>
      <w:bookmarkStart w:id="57" w:name="_Toc515180110"/>
      <w:r>
        <w:rPr>
          <w:lang w:val="de-DE"/>
        </w:rPr>
        <w:lastRenderedPageBreak/>
        <w:t>Sprache als Befreiung</w:t>
      </w:r>
      <w:bookmarkEnd w:id="57"/>
    </w:p>
    <w:p w14:paraId="4DEA3FB8" w14:textId="447FA2C8" w:rsidR="007306A5" w:rsidRPr="007306A5" w:rsidRDefault="003F25F4" w:rsidP="00A258CD">
      <w:pPr>
        <w:pStyle w:val="Kop3"/>
        <w:numPr>
          <w:ilvl w:val="2"/>
          <w:numId w:val="2"/>
        </w:numPr>
        <w:rPr>
          <w:lang w:val="de-DE"/>
        </w:rPr>
      </w:pPr>
      <w:bookmarkStart w:id="58" w:name="_Toc515180111"/>
      <w:r>
        <w:rPr>
          <w:lang w:val="de-DE"/>
        </w:rPr>
        <w:t>Anlauf zum Ausbruch im Mondial</w:t>
      </w:r>
      <w:bookmarkEnd w:id="58"/>
    </w:p>
    <w:p w14:paraId="18CCA9A1" w14:textId="18F4E483" w:rsidR="00D728B6" w:rsidRPr="00A92170" w:rsidRDefault="002C125D" w:rsidP="002C125D">
      <w:pPr>
        <w:rPr>
          <w:lang w:val="de-DE"/>
        </w:rPr>
      </w:pPr>
      <w:r>
        <w:rPr>
          <w:lang w:val="de-DE"/>
        </w:rPr>
        <w:t xml:space="preserve">Im starken Gegensatz zum Gespräch mit Herrn Pfister – </w:t>
      </w:r>
      <w:r w:rsidR="007471B0">
        <w:rPr>
          <w:lang w:val="de-DE"/>
        </w:rPr>
        <w:t>auch wenn</w:t>
      </w:r>
      <w:r>
        <w:rPr>
          <w:lang w:val="de-DE"/>
        </w:rPr>
        <w:t xml:space="preserve"> es </w:t>
      </w:r>
      <w:r w:rsidR="007471B0">
        <w:rPr>
          <w:lang w:val="de-DE"/>
        </w:rPr>
        <w:t xml:space="preserve">nicht </w:t>
      </w:r>
      <w:r>
        <w:rPr>
          <w:lang w:val="de-DE"/>
        </w:rPr>
        <w:t>als ein Gespräch gleichwertige</w:t>
      </w:r>
      <w:r w:rsidR="007471B0">
        <w:rPr>
          <w:lang w:val="de-DE"/>
        </w:rPr>
        <w:t>r</w:t>
      </w:r>
      <w:r>
        <w:rPr>
          <w:lang w:val="de-DE"/>
        </w:rPr>
        <w:t xml:space="preserve"> Gesprächspartner </w:t>
      </w:r>
      <w:r w:rsidR="007A28CC">
        <w:rPr>
          <w:lang w:val="de-DE"/>
        </w:rPr>
        <w:t>bezeichnet</w:t>
      </w:r>
      <w:r w:rsidR="0049365C">
        <w:rPr>
          <w:lang w:val="de-DE"/>
        </w:rPr>
        <w:t xml:space="preserve"> werden kann – steht die Unterhaltungsszene mit Herrn Berger. Die Szene fängt mit </w:t>
      </w:r>
      <w:r w:rsidR="007A28CC">
        <w:rPr>
          <w:lang w:val="de-DE"/>
        </w:rPr>
        <w:t>folgender</w:t>
      </w:r>
      <w:r w:rsidR="0049365C">
        <w:rPr>
          <w:lang w:val="de-DE"/>
        </w:rPr>
        <w:t xml:space="preserve"> Aussage von Berger an: „Tito hat Jugoslawien mit eiserner Faust zusammengehalten, […] er war doch, das muss man sagen, eine charismatische Führerpersönlichkeit“ (TFA: 236). Aus dem Zitat spricht eine gewisse Bewunderung für den Partisanenführer, die er m</w:t>
      </w:r>
      <w:r w:rsidR="00897420">
        <w:rPr>
          <w:lang w:val="de-DE"/>
        </w:rPr>
        <w:t xml:space="preserve">it einer Wiederholung bestätigt: „Tito hatte Jugoslawien im Griff, muss man sagen, […] wussten Sie, dass er mit bürgerlichem Namen Josip Broz hiess?“ (TFA: 237). </w:t>
      </w:r>
      <w:r w:rsidR="002E32B1">
        <w:rPr>
          <w:lang w:val="de-DE"/>
        </w:rPr>
        <w:t xml:space="preserve">Etwas später sagt Berger zu </w:t>
      </w:r>
      <w:r w:rsidR="00F73DBD">
        <w:rPr>
          <w:lang w:val="de-DE"/>
        </w:rPr>
        <w:t>Ildikó</w:t>
      </w:r>
      <w:r w:rsidR="002E32B1">
        <w:rPr>
          <w:lang w:val="de-DE"/>
        </w:rPr>
        <w:t xml:space="preserve">s Bluse statt zu ihrem Gesicht: „Und der Balkan ist ein Vielvölkerstaat mit einer </w:t>
      </w:r>
      <w:r w:rsidR="00C51068">
        <w:rPr>
          <w:lang w:val="de-DE"/>
        </w:rPr>
        <w:t xml:space="preserve">interessanten Geschichte, und Josip Broz war ein </w:t>
      </w:r>
      <w:r w:rsidR="002E32B1">
        <w:rPr>
          <w:lang w:val="de-DE"/>
        </w:rPr>
        <w:t>intelligenter Mann, er hat Nikita Chruschtschow brüskiert, er, Tito, hat den dritten Weg</w:t>
      </w:r>
      <w:r w:rsidR="00364594">
        <w:rPr>
          <w:lang w:val="de-DE"/>
        </w:rPr>
        <w:t xml:space="preserve"> versucht, der natürlich von vornherein zum Scheitern verurteilt war“</w:t>
      </w:r>
      <w:r w:rsidR="00DF49B0">
        <w:rPr>
          <w:lang w:val="de-DE"/>
        </w:rPr>
        <w:t xml:space="preserve"> (TFA: 238). </w:t>
      </w:r>
      <w:r w:rsidR="00897420">
        <w:rPr>
          <w:lang w:val="de-DE"/>
        </w:rPr>
        <w:t>Herr Berger prahlt mit seinen Kenntnissen</w:t>
      </w:r>
      <w:r w:rsidR="002E32B1">
        <w:rPr>
          <w:lang w:val="de-DE"/>
        </w:rPr>
        <w:t xml:space="preserve">, die er nicht nur über Tito zu </w:t>
      </w:r>
      <w:r w:rsidR="00DF49B0">
        <w:rPr>
          <w:lang w:val="de-DE"/>
        </w:rPr>
        <w:t>besitzen</w:t>
      </w:r>
      <w:r w:rsidR="002E32B1">
        <w:rPr>
          <w:lang w:val="de-DE"/>
        </w:rPr>
        <w:t xml:space="preserve"> behauptet, sondern auch über </w:t>
      </w:r>
      <w:r w:rsidR="00F73DBD">
        <w:rPr>
          <w:lang w:val="de-DE"/>
        </w:rPr>
        <w:t>Ildikó</w:t>
      </w:r>
      <w:r w:rsidR="002E32B1">
        <w:rPr>
          <w:lang w:val="de-DE"/>
        </w:rPr>
        <w:t xml:space="preserve"> wei</w:t>
      </w:r>
      <w:r w:rsidR="002E32B1">
        <w:rPr>
          <w:rFonts w:cs="Times New Roman"/>
          <w:lang w:val="de-DE"/>
        </w:rPr>
        <w:t>ß</w:t>
      </w:r>
      <w:r w:rsidR="002E32B1">
        <w:rPr>
          <w:lang w:val="de-DE"/>
        </w:rPr>
        <w:t xml:space="preserve"> er </w:t>
      </w:r>
      <w:r w:rsidR="00DF49B0">
        <w:rPr>
          <w:lang w:val="de-DE"/>
        </w:rPr>
        <w:t xml:space="preserve">angeblich </w:t>
      </w:r>
      <w:r w:rsidR="002E32B1">
        <w:rPr>
          <w:lang w:val="de-DE"/>
        </w:rPr>
        <w:t>alles</w:t>
      </w:r>
      <w:r w:rsidR="00DF49B0">
        <w:rPr>
          <w:lang w:val="de-DE"/>
        </w:rPr>
        <w:t>. So sagt er zu seinem Gesprächspartner, dem Herrn Tognoni</w:t>
      </w:r>
      <w:r w:rsidR="002E32B1">
        <w:rPr>
          <w:lang w:val="de-DE"/>
        </w:rPr>
        <w:t>:</w:t>
      </w:r>
      <w:r w:rsidR="00DF49B0">
        <w:rPr>
          <w:lang w:val="de-DE"/>
        </w:rPr>
        <w:t xml:space="preserve"> „Sie müssen wissen, dass das Fräulein aus dem ungarischen Teil des Balkans stammt, wissen Sie, da, wo es sicher auch bald </w:t>
      </w:r>
      <w:r w:rsidR="00DF49B0">
        <w:rPr>
          <w:i/>
          <w:lang w:val="de-DE"/>
        </w:rPr>
        <w:t>chlöpft</w:t>
      </w:r>
      <w:r w:rsidR="00DF49B0">
        <w:rPr>
          <w:lang w:val="de-DE"/>
        </w:rPr>
        <w:t>, knallt, Vojvodina, so heisst die Region</w:t>
      </w:r>
      <w:r w:rsidR="00CC10C2">
        <w:rPr>
          <w:lang w:val="de-DE"/>
        </w:rPr>
        <w:t>“ (TFA: 240).</w:t>
      </w:r>
      <w:r w:rsidR="00D728B6">
        <w:rPr>
          <w:lang w:val="de-DE"/>
        </w:rPr>
        <w:t xml:space="preserve"> An dieser Stelle </w:t>
      </w:r>
      <w:r w:rsidR="00C521AF">
        <w:rPr>
          <w:lang w:val="de-DE"/>
        </w:rPr>
        <w:t>wirken</w:t>
      </w:r>
      <w:r w:rsidR="00D728B6">
        <w:rPr>
          <w:lang w:val="de-DE"/>
        </w:rPr>
        <w:t xml:space="preserve"> </w:t>
      </w:r>
      <w:r w:rsidR="00F73DBD">
        <w:rPr>
          <w:lang w:val="de-DE"/>
        </w:rPr>
        <w:t>Ildikó</w:t>
      </w:r>
      <w:r w:rsidR="00C521AF">
        <w:rPr>
          <w:lang w:val="de-DE"/>
        </w:rPr>
        <w:t>s Gedanken</w:t>
      </w:r>
      <w:r w:rsidR="00D728B6">
        <w:rPr>
          <w:lang w:val="de-DE"/>
        </w:rPr>
        <w:t xml:space="preserve"> stark ironisierend. Sie erzählt dem Leser, dass Herr Tognoni, genau wie sie selbst, Einwanderer ist</w:t>
      </w:r>
      <w:r w:rsidR="00A92170">
        <w:rPr>
          <w:lang w:val="de-DE"/>
        </w:rPr>
        <w:t xml:space="preserve">, „der es nicht nur beruflich geschafft hat, sondern auch im Gemeinderat politisiert, für die Schweizerische Volkspartei, […] der bestimmt in den 70er Jahren gekommen ist, als die Schweizer über die vielen </w:t>
      </w:r>
      <w:r w:rsidR="00A92170">
        <w:rPr>
          <w:i/>
          <w:lang w:val="de-DE"/>
        </w:rPr>
        <w:t xml:space="preserve">Tschinggen </w:t>
      </w:r>
      <w:r w:rsidR="00A92170">
        <w:rPr>
          <w:lang w:val="de-DE"/>
        </w:rPr>
        <w:t>geflucht haben, die Italiener, die damals noch zum Feindbild Nummer eins gehört haben“ (TFA: 238-239).</w:t>
      </w:r>
      <w:r w:rsidR="000A2BA4">
        <w:rPr>
          <w:lang w:val="de-DE"/>
        </w:rPr>
        <w:t xml:space="preserve"> </w:t>
      </w:r>
      <w:r w:rsidR="00F73DBD">
        <w:rPr>
          <w:lang w:val="de-DE"/>
        </w:rPr>
        <w:t>Ildikó</w:t>
      </w:r>
      <w:r w:rsidR="000A2BA4">
        <w:rPr>
          <w:lang w:val="de-DE"/>
        </w:rPr>
        <w:t xml:space="preserve"> bemerkt, </w:t>
      </w:r>
      <w:r w:rsidR="0096360F">
        <w:rPr>
          <w:lang w:val="de-DE"/>
        </w:rPr>
        <w:t>dass</w:t>
      </w:r>
      <w:r w:rsidR="000A2BA4">
        <w:rPr>
          <w:lang w:val="de-DE"/>
        </w:rPr>
        <w:t xml:space="preserve"> sie und Tognoni sich eigentlich in der gleichen Situation befinden.</w:t>
      </w:r>
      <w:r w:rsidR="00496998">
        <w:rPr>
          <w:lang w:val="de-DE"/>
        </w:rPr>
        <w:t xml:space="preserve"> Genaus</w:t>
      </w:r>
      <w:r w:rsidR="000E41AB">
        <w:rPr>
          <w:lang w:val="de-DE"/>
        </w:rPr>
        <w:t>o wie die Italiener in den 70er Jahren</w:t>
      </w:r>
      <w:r w:rsidR="00496998">
        <w:rPr>
          <w:lang w:val="de-DE"/>
        </w:rPr>
        <w:t xml:space="preserve"> nicht willkommen waren, werden die Jugoslawen, </w:t>
      </w:r>
      <w:r w:rsidR="00532503">
        <w:rPr>
          <w:lang w:val="de-DE"/>
        </w:rPr>
        <w:t>die jetzt in den 90ern</w:t>
      </w:r>
      <w:r w:rsidR="00496998">
        <w:rPr>
          <w:lang w:val="de-DE"/>
        </w:rPr>
        <w:t xml:space="preserve"> ankommen, nicht mit offenen Armen empfangen. Herr Tognoni scheint sich dieser Ähnlichkeit </w:t>
      </w:r>
      <w:r w:rsidR="00640550">
        <w:rPr>
          <w:lang w:val="de-DE"/>
        </w:rPr>
        <w:t xml:space="preserve">selbst </w:t>
      </w:r>
      <w:r w:rsidR="00496998">
        <w:rPr>
          <w:lang w:val="de-DE"/>
        </w:rPr>
        <w:t>nicht bewusst zu sein. Er macht Teil der Schweizerischen Volkspartei aus und äu</w:t>
      </w:r>
      <w:r w:rsidR="00496998">
        <w:rPr>
          <w:rFonts w:cs="Times New Roman"/>
          <w:lang w:val="de-DE"/>
        </w:rPr>
        <w:t>ß</w:t>
      </w:r>
      <w:r w:rsidR="00496998">
        <w:rPr>
          <w:lang w:val="de-DE"/>
        </w:rPr>
        <w:t>ert sich auf negative Art und Weise über die neuen Migra</w:t>
      </w:r>
      <w:r w:rsidR="00532503">
        <w:rPr>
          <w:lang w:val="de-DE"/>
        </w:rPr>
        <w:t>nten: „Der Balkan macht auch vor uns nicht halt, […] bald</w:t>
      </w:r>
      <w:r w:rsidR="00496998">
        <w:rPr>
          <w:lang w:val="de-DE"/>
        </w:rPr>
        <w:t xml:space="preserve"> haben wir auch einen Kebab-Stand mitten in unserer Gemeinde!“ (TFA: 239)</w:t>
      </w:r>
      <w:r w:rsidR="00640550">
        <w:rPr>
          <w:lang w:val="de-DE"/>
        </w:rPr>
        <w:t xml:space="preserve"> </w:t>
      </w:r>
    </w:p>
    <w:p w14:paraId="4D3BA8E6" w14:textId="310086AD" w:rsidR="00661EEB" w:rsidRDefault="00F0354C" w:rsidP="00496998">
      <w:pPr>
        <w:ind w:firstLine="708"/>
        <w:rPr>
          <w:lang w:val="de-DE"/>
        </w:rPr>
      </w:pPr>
      <w:r>
        <w:rPr>
          <w:lang w:val="de-DE"/>
        </w:rPr>
        <w:lastRenderedPageBreak/>
        <w:t xml:space="preserve">Als </w:t>
      </w:r>
      <w:r w:rsidR="00F73DBD">
        <w:rPr>
          <w:lang w:val="de-DE"/>
        </w:rPr>
        <w:t>Ildikó</w:t>
      </w:r>
      <w:r>
        <w:rPr>
          <w:lang w:val="de-DE"/>
        </w:rPr>
        <w:t xml:space="preserve"> sich aktiv ins Gespräch einmischt</w:t>
      </w:r>
      <w:r w:rsidR="0096360F">
        <w:rPr>
          <w:lang w:val="de-DE"/>
        </w:rPr>
        <w:t xml:space="preserve"> und ihnen erzählt</w:t>
      </w:r>
      <w:r>
        <w:rPr>
          <w:lang w:val="de-DE"/>
        </w:rPr>
        <w:t xml:space="preserve">, dass sie </w:t>
      </w:r>
      <w:r w:rsidR="0096360F">
        <w:rPr>
          <w:lang w:val="de-DE"/>
        </w:rPr>
        <w:t xml:space="preserve">eigentlich </w:t>
      </w:r>
      <w:r>
        <w:rPr>
          <w:lang w:val="de-DE"/>
        </w:rPr>
        <w:t xml:space="preserve">nicht </w:t>
      </w:r>
      <w:r w:rsidR="0096360F">
        <w:rPr>
          <w:lang w:val="de-DE"/>
        </w:rPr>
        <w:t>aus dem</w:t>
      </w:r>
      <w:r>
        <w:rPr>
          <w:lang w:val="de-DE"/>
        </w:rPr>
        <w:t xml:space="preserve"> Balkan stammt, aber doch irgendwie – hier zeigt sich noch mal </w:t>
      </w:r>
      <w:r w:rsidR="00F73DBD">
        <w:rPr>
          <w:lang w:val="de-DE"/>
        </w:rPr>
        <w:t>Ildikó</w:t>
      </w:r>
      <w:r>
        <w:rPr>
          <w:lang w:val="de-DE"/>
        </w:rPr>
        <w:t>s Zweifel, über sie, die sie ist –, antwortet Herr Berger bestätigend: „[S]iehst du, ich hab’s doch gesagt, die vom Balkan haben andere Hinterköpfe“ (TFA: 241). Au</w:t>
      </w:r>
      <w:r>
        <w:rPr>
          <w:rFonts w:cs="Times New Roman"/>
          <w:lang w:val="de-DE"/>
        </w:rPr>
        <w:t>ß</w:t>
      </w:r>
      <w:r w:rsidR="00192A8F">
        <w:rPr>
          <w:lang w:val="de-DE"/>
        </w:rPr>
        <w:t xml:space="preserve">er den erwähnten Zitaten, gibt es noch viele Beispiele von rechthaberischen und oft rassistischen Aussagen </w:t>
      </w:r>
      <w:r w:rsidR="0096360F">
        <w:rPr>
          <w:lang w:val="de-DE"/>
        </w:rPr>
        <w:t>des</w:t>
      </w:r>
      <w:r w:rsidR="00192A8F">
        <w:rPr>
          <w:lang w:val="de-DE"/>
        </w:rPr>
        <w:t xml:space="preserve"> Herrn Berger, aber auch ein gewisses Interesse an </w:t>
      </w:r>
      <w:r w:rsidR="0096360F">
        <w:rPr>
          <w:lang w:val="de-DE"/>
        </w:rPr>
        <w:t>der</w:t>
      </w:r>
      <w:r w:rsidR="00192A8F">
        <w:rPr>
          <w:lang w:val="de-DE"/>
        </w:rPr>
        <w:t xml:space="preserve"> Situation </w:t>
      </w:r>
      <w:r w:rsidR="00F73DBD">
        <w:rPr>
          <w:lang w:val="de-DE"/>
        </w:rPr>
        <w:t>Ildikó</w:t>
      </w:r>
      <w:r w:rsidR="00192A8F">
        <w:rPr>
          <w:lang w:val="de-DE"/>
        </w:rPr>
        <w:t>s lässt sich feststellen</w:t>
      </w:r>
      <w:r w:rsidR="0003753D">
        <w:rPr>
          <w:lang w:val="de-DE"/>
        </w:rPr>
        <w:t>: eine orientalistische Perspektive par excellence</w:t>
      </w:r>
      <w:r w:rsidR="00192A8F">
        <w:rPr>
          <w:lang w:val="de-DE"/>
        </w:rPr>
        <w:t xml:space="preserve">. So bittet Berger sie, etwas über die Verhältnisse in ihrem Land zu erzählen. </w:t>
      </w:r>
      <w:r w:rsidR="00F73DBD">
        <w:rPr>
          <w:lang w:val="de-DE"/>
        </w:rPr>
        <w:t>Ildikó</w:t>
      </w:r>
      <w:r w:rsidR="00340168">
        <w:rPr>
          <w:lang w:val="de-DE"/>
        </w:rPr>
        <w:t xml:space="preserve"> </w:t>
      </w:r>
      <w:r w:rsidR="0096360F">
        <w:rPr>
          <w:lang w:val="de-DE"/>
        </w:rPr>
        <w:t>überlegt</w:t>
      </w:r>
      <w:r w:rsidR="00340168">
        <w:rPr>
          <w:lang w:val="de-DE"/>
        </w:rPr>
        <w:t xml:space="preserve"> sich aber, dass das, was sie von ihrem Land erzählen wollte, sie wahrscheinlich nicht interessieren würde und bildet sich </w:t>
      </w:r>
      <w:r w:rsidR="00661EEB">
        <w:rPr>
          <w:lang w:val="de-DE"/>
        </w:rPr>
        <w:t xml:space="preserve">ein, wie </w:t>
      </w:r>
      <w:r w:rsidR="0003753D">
        <w:rPr>
          <w:lang w:val="de-DE"/>
        </w:rPr>
        <w:t>die Kunden</w:t>
      </w:r>
      <w:r w:rsidR="00661EEB">
        <w:rPr>
          <w:lang w:val="de-DE"/>
        </w:rPr>
        <w:t xml:space="preserve"> antworten würden: </w:t>
      </w:r>
    </w:p>
    <w:p w14:paraId="1978A18D" w14:textId="2AFD29DC" w:rsidR="00661EEB" w:rsidRDefault="00340168" w:rsidP="00661EEB">
      <w:pPr>
        <w:spacing w:after="240" w:line="240" w:lineRule="auto"/>
        <w:ind w:left="567"/>
        <w:rPr>
          <w:lang w:val="de-DE"/>
        </w:rPr>
      </w:pPr>
      <w:r>
        <w:rPr>
          <w:lang w:val="de-DE"/>
        </w:rPr>
        <w:t>Fräulein, wir dachten da an etwas Anderes, wir wollten etwas über die Kultur, die Geschichte, die Sprache, die Probleme erfahren – und nicht über die Luft zwischen den majestätischen Pappeln und Akazien, die winzigen Blumen, die zwischen den Pflastersteinen wachsen, d</w:t>
      </w:r>
      <w:r w:rsidR="00661EEB">
        <w:rPr>
          <w:lang w:val="de-DE"/>
        </w:rPr>
        <w:t>en Dreck, den Staub, über Béla…</w:t>
      </w:r>
      <w:r>
        <w:rPr>
          <w:lang w:val="de-DE"/>
        </w:rPr>
        <w:t xml:space="preserve"> (TFA: 241-242).</w:t>
      </w:r>
      <w:r w:rsidR="00107993">
        <w:rPr>
          <w:lang w:val="de-DE"/>
        </w:rPr>
        <w:t xml:space="preserve"> </w:t>
      </w:r>
    </w:p>
    <w:p w14:paraId="7095DC5D" w14:textId="6C53BC38" w:rsidR="00AE1840" w:rsidRDefault="00107993" w:rsidP="00661EEB">
      <w:pPr>
        <w:rPr>
          <w:lang w:val="de-DE"/>
        </w:rPr>
      </w:pPr>
      <w:r>
        <w:rPr>
          <w:lang w:val="de-DE"/>
        </w:rPr>
        <w:t xml:space="preserve">Es stellt sich heraus, dass </w:t>
      </w:r>
      <w:r w:rsidR="00F73DBD">
        <w:rPr>
          <w:lang w:val="de-DE"/>
        </w:rPr>
        <w:t>Ildikó</w:t>
      </w:r>
      <w:r>
        <w:rPr>
          <w:lang w:val="de-DE"/>
        </w:rPr>
        <w:t xml:space="preserve"> schon darüber nachdenkt, was sie sagen will, aber noch nicht dazu kommt, ihre Gedanken tatsächlich</w:t>
      </w:r>
      <w:r w:rsidR="0096360F">
        <w:rPr>
          <w:lang w:val="de-DE"/>
        </w:rPr>
        <w:t xml:space="preserve"> zu äu</w:t>
      </w:r>
      <w:r w:rsidR="0096360F">
        <w:rPr>
          <w:rFonts w:cs="Times New Roman"/>
          <w:lang w:val="de-DE"/>
        </w:rPr>
        <w:t>ß</w:t>
      </w:r>
      <w:r w:rsidR="0096360F">
        <w:rPr>
          <w:lang w:val="de-DE"/>
        </w:rPr>
        <w:t>ern</w:t>
      </w:r>
      <w:r>
        <w:rPr>
          <w:lang w:val="de-DE"/>
        </w:rPr>
        <w:t>. Stattdessen antwortet sie folgenderma</w:t>
      </w:r>
      <w:r>
        <w:rPr>
          <w:rFonts w:cs="Times New Roman"/>
          <w:lang w:val="de-DE"/>
        </w:rPr>
        <w:t>ß</w:t>
      </w:r>
      <w:r>
        <w:rPr>
          <w:lang w:val="de-DE"/>
        </w:rPr>
        <w:t xml:space="preserve">en auf die Frage der Kunden: „Leider habe ich keine Zeit, um von meinem…“ (TFA: 242). Als </w:t>
      </w:r>
      <w:r w:rsidR="00F73DBD">
        <w:rPr>
          <w:lang w:val="de-DE"/>
        </w:rPr>
        <w:t>Ildikó</w:t>
      </w:r>
      <w:r>
        <w:rPr>
          <w:lang w:val="de-DE"/>
        </w:rPr>
        <w:t xml:space="preserve"> sich also endlich traut, zu reden, bekommt sie überhaupt nicht die Chance, ihren Satz </w:t>
      </w:r>
      <w:r w:rsidR="00C51068">
        <w:rPr>
          <w:lang w:val="de-DE"/>
        </w:rPr>
        <w:t>zu</w:t>
      </w:r>
      <w:r>
        <w:rPr>
          <w:lang w:val="de-DE"/>
        </w:rPr>
        <w:t xml:space="preserve"> beenden, weil sie unterbrochen wird: „[S]chon gut, Fräulein, wir sehen ja, dass Sie beschäftigt sind“ (TFA: 242). </w:t>
      </w:r>
      <w:r w:rsidR="00F73DBD">
        <w:rPr>
          <w:lang w:val="de-DE"/>
        </w:rPr>
        <w:t>Ildikó</w:t>
      </w:r>
      <w:r w:rsidR="00AE1840">
        <w:rPr>
          <w:lang w:val="de-DE"/>
        </w:rPr>
        <w:t xml:space="preserve"> denkt darüber nach, was sie sagen würde, wenn sie den Mut dazu hätte: </w:t>
      </w:r>
    </w:p>
    <w:p w14:paraId="61FE889D" w14:textId="0E690399" w:rsidR="002C125D" w:rsidRPr="00DF49B0" w:rsidRDefault="00AE1840" w:rsidP="00C51068">
      <w:pPr>
        <w:spacing w:after="240" w:line="240" w:lineRule="auto"/>
        <w:ind w:left="567"/>
        <w:rPr>
          <w:lang w:val="de-DE"/>
        </w:rPr>
      </w:pPr>
      <w:r>
        <w:rPr>
          <w:lang w:val="de-DE"/>
        </w:rPr>
        <w:t>[V]ielleicht stelle ich Ihnen nächstes Mal eine Frage, denke ich, über die Glaubenskriege, die Schlacht bei Sempach, die Reisläufer oder die Teufelssage würde sie, die ich bin, Tisch sec</w:t>
      </w:r>
      <w:r w:rsidR="004F677D">
        <w:rPr>
          <w:lang w:val="de-DE"/>
        </w:rPr>
        <w:t>hs und</w:t>
      </w:r>
      <w:r>
        <w:rPr>
          <w:lang w:val="de-DE"/>
        </w:rPr>
        <w:t xml:space="preserve"> sieben befragen, und Frau Berger würde vor Schreck vergessen, das Milchschäumchen unauffällig vom Mundwinkel abzulecken, da sie nicht erwartet hat, dass das Fräulein eine Frage zur Schweizer Geschichte, zur Schweizer Kultur stellen kann […]; wie billig von mir, dass ich mich beweisen will, bei Menschen, die mir gleichgültig wären (TFA: 242). </w:t>
      </w:r>
    </w:p>
    <w:p w14:paraId="62EC1C02" w14:textId="4CFCBF25" w:rsidR="004F677D" w:rsidRDefault="0096360F" w:rsidP="002C125D">
      <w:pPr>
        <w:rPr>
          <w:lang w:val="de-DE"/>
        </w:rPr>
      </w:pPr>
      <w:r>
        <w:rPr>
          <w:lang w:val="de-DE"/>
        </w:rPr>
        <w:t>Durch das</w:t>
      </w:r>
      <w:r w:rsidR="004F677D">
        <w:rPr>
          <w:lang w:val="de-DE"/>
        </w:rPr>
        <w:t xml:space="preserve"> Zitat stellt sich </w:t>
      </w:r>
      <w:r w:rsidR="00F73DBD">
        <w:rPr>
          <w:lang w:val="de-DE"/>
        </w:rPr>
        <w:t>Ildikó</w:t>
      </w:r>
      <w:r w:rsidR="004F677D">
        <w:rPr>
          <w:lang w:val="de-DE"/>
        </w:rPr>
        <w:t>s Verlangen, auf die Kommentare der Kunden einzugehen, heraus. Sie will ihnen zeigen, dass sie mehr wei</w:t>
      </w:r>
      <w:r w:rsidR="004F677D">
        <w:rPr>
          <w:rFonts w:cs="Times New Roman"/>
          <w:lang w:val="de-DE"/>
        </w:rPr>
        <w:t>ß</w:t>
      </w:r>
      <w:r w:rsidR="004F677D">
        <w:rPr>
          <w:lang w:val="de-DE"/>
        </w:rPr>
        <w:t xml:space="preserve"> über die Schweiz als die Kunden über die Vojvodina. </w:t>
      </w:r>
      <w:r w:rsidR="00F73DBD">
        <w:rPr>
          <w:lang w:val="de-DE"/>
        </w:rPr>
        <w:t>Ildikó</w:t>
      </w:r>
      <w:r w:rsidR="004F677D">
        <w:rPr>
          <w:lang w:val="de-DE"/>
        </w:rPr>
        <w:t xml:space="preserve"> bildet sich ein, wie Frau Berger vor Schreck vergessen würde, das Milchschäumchen vom Mundwinkel abzulecken, und hat Freude daran. Gleichzeitig aber findet sie ihre Reaktion </w:t>
      </w:r>
      <w:r w:rsidR="0003753D">
        <w:rPr>
          <w:lang w:val="de-DE"/>
        </w:rPr>
        <w:t>fies</w:t>
      </w:r>
      <w:r w:rsidR="004F677D">
        <w:rPr>
          <w:lang w:val="de-DE"/>
        </w:rPr>
        <w:t xml:space="preserve">, da ihr die Kunden eigentlich gleichgültig sind, sie sich aber doch </w:t>
      </w:r>
      <w:r>
        <w:rPr>
          <w:lang w:val="de-DE"/>
        </w:rPr>
        <w:t>vor</w:t>
      </w:r>
      <w:r w:rsidR="004F677D">
        <w:rPr>
          <w:lang w:val="de-DE"/>
        </w:rPr>
        <w:t xml:space="preserve"> ihnen beweisen will. </w:t>
      </w:r>
      <w:r w:rsidR="00F73DBD">
        <w:rPr>
          <w:lang w:val="de-DE"/>
        </w:rPr>
        <w:t>Ildikó</w:t>
      </w:r>
      <w:r w:rsidR="004B09CC">
        <w:rPr>
          <w:lang w:val="de-DE"/>
        </w:rPr>
        <w:t xml:space="preserve"> erzählt Nomi über ihre Gefühle den Fragen der Kunden gegenüber und ihr Verlangen, darauf ehrlich zu antworten: „[I]ch </w:t>
      </w:r>
      <w:r w:rsidR="004B09CC">
        <w:rPr>
          <w:lang w:val="de-DE"/>
        </w:rPr>
        <w:lastRenderedPageBreak/>
        <w:t xml:space="preserve">halte dieses Gerede nicht mehr aus, […] ich würde sie gern provozieren“ (TFA: 243). </w:t>
      </w:r>
      <w:r w:rsidR="00F73DBD">
        <w:rPr>
          <w:lang w:val="de-DE"/>
        </w:rPr>
        <w:t>Ildikó</w:t>
      </w:r>
      <w:r w:rsidR="004B09CC">
        <w:rPr>
          <w:lang w:val="de-DE"/>
        </w:rPr>
        <w:t xml:space="preserve"> will aus der Unterdrückung </w:t>
      </w:r>
      <w:r>
        <w:rPr>
          <w:lang w:val="de-DE"/>
        </w:rPr>
        <w:t>durch</w:t>
      </w:r>
      <w:r w:rsidR="004B09CC">
        <w:rPr>
          <w:lang w:val="de-DE"/>
        </w:rPr>
        <w:t xml:space="preserve"> Sprache ausbrechen, findet aber noch nicht den Mut dazu. Den bekommt sie erst, als die Unterdrückung </w:t>
      </w:r>
      <w:r w:rsidR="00D728B6">
        <w:rPr>
          <w:lang w:val="de-DE"/>
        </w:rPr>
        <w:t xml:space="preserve">anhand von einer Tat </w:t>
      </w:r>
      <w:r>
        <w:rPr>
          <w:lang w:val="de-DE"/>
        </w:rPr>
        <w:t>an</w:t>
      </w:r>
      <w:r w:rsidR="00D728B6">
        <w:rPr>
          <w:lang w:val="de-DE"/>
        </w:rPr>
        <w:t xml:space="preserve">statt </w:t>
      </w:r>
      <w:r>
        <w:rPr>
          <w:lang w:val="de-DE"/>
        </w:rPr>
        <w:t>von</w:t>
      </w:r>
      <w:r w:rsidR="00D728B6">
        <w:rPr>
          <w:lang w:val="de-DE"/>
        </w:rPr>
        <w:t xml:space="preserve"> Sprache sichtbar wird: In den Kundentoiletten des Mondial trifft sie eine verschissene Klobrill</w:t>
      </w:r>
      <w:r w:rsidR="00724CED">
        <w:rPr>
          <w:lang w:val="de-DE"/>
        </w:rPr>
        <w:t>e und mit Fäkalien verschmierte</w:t>
      </w:r>
      <w:r w:rsidR="00D728B6">
        <w:rPr>
          <w:lang w:val="de-DE"/>
        </w:rPr>
        <w:t xml:space="preserve"> Wände an. In dieser Szene denkt sie an die Volksabstimmung über das Schicksal ihrer Familie zurück: ein Moment, an dem ihre Stimme nicht gehört wurde. Die Assoziation kommt durch die grundsätzliche Unterdrückung in beiden Szenen zustande. </w:t>
      </w:r>
    </w:p>
    <w:p w14:paraId="68B5A9C4" w14:textId="2A664255" w:rsidR="007306A5" w:rsidRDefault="003F25F4" w:rsidP="004B7B7D">
      <w:pPr>
        <w:pStyle w:val="Kop3"/>
        <w:numPr>
          <w:ilvl w:val="2"/>
          <w:numId w:val="2"/>
        </w:numPr>
        <w:rPr>
          <w:lang w:val="de-DE"/>
        </w:rPr>
      </w:pPr>
      <w:bookmarkStart w:id="59" w:name="_Toc515180112"/>
      <w:r>
        <w:rPr>
          <w:lang w:val="de-DE"/>
        </w:rPr>
        <w:t>Kloszene als Kulminationspunkt</w:t>
      </w:r>
      <w:bookmarkEnd w:id="59"/>
    </w:p>
    <w:p w14:paraId="30D2DAD4" w14:textId="10F4E9C8" w:rsidR="005615D9" w:rsidRDefault="00C875B8" w:rsidP="007306A5">
      <w:pPr>
        <w:rPr>
          <w:rFonts w:cs="Times New Roman"/>
          <w:lang w:val="de-DE"/>
        </w:rPr>
      </w:pPr>
      <w:r w:rsidRPr="00C875B8">
        <w:rPr>
          <w:rFonts w:cs="Times New Roman"/>
          <w:lang w:val="de-DE"/>
        </w:rPr>
        <w:t xml:space="preserve">In </w:t>
      </w:r>
      <w:r w:rsidR="00D728B6">
        <w:rPr>
          <w:rFonts w:cs="Times New Roman"/>
          <w:lang w:val="de-DE"/>
        </w:rPr>
        <w:t>der Klos</w:t>
      </w:r>
      <w:r w:rsidRPr="00C875B8">
        <w:rPr>
          <w:rFonts w:cs="Times New Roman"/>
          <w:lang w:val="de-DE"/>
        </w:rPr>
        <w:t xml:space="preserve">zene beschreibt </w:t>
      </w:r>
      <w:r w:rsidR="00F73DBD">
        <w:rPr>
          <w:rFonts w:cs="Times New Roman"/>
          <w:lang w:val="de-DE"/>
        </w:rPr>
        <w:t>Ildikó</w:t>
      </w:r>
      <w:r w:rsidRPr="00C875B8">
        <w:rPr>
          <w:rFonts w:cs="Times New Roman"/>
          <w:lang w:val="de-DE"/>
        </w:rPr>
        <w:t xml:space="preserve"> ih</w:t>
      </w:r>
      <w:r w:rsidR="00661EEB">
        <w:rPr>
          <w:rFonts w:cs="Times New Roman"/>
          <w:lang w:val="de-DE"/>
        </w:rPr>
        <w:t>re Handlungen, als würde sie außerhalb ihres</w:t>
      </w:r>
      <w:r w:rsidRPr="00C875B8">
        <w:rPr>
          <w:rFonts w:cs="Times New Roman"/>
          <w:lang w:val="de-DE"/>
        </w:rPr>
        <w:t xml:space="preserve"> eigenen Körper</w:t>
      </w:r>
      <w:r w:rsidR="00661EEB">
        <w:rPr>
          <w:rFonts w:cs="Times New Roman"/>
          <w:lang w:val="de-DE"/>
        </w:rPr>
        <w:t>s</w:t>
      </w:r>
      <w:r w:rsidRPr="00C875B8">
        <w:rPr>
          <w:rFonts w:cs="Times New Roman"/>
          <w:lang w:val="de-DE"/>
        </w:rPr>
        <w:t xml:space="preserve"> schweben. Das macht sie anhand von Relativsätzen wie „ich, die den Eimer packt“ (TFA: 281) und „ich, die wieder einen langen Moment wartet“ (TFA: 280). Insgesamt benutzt </w:t>
      </w:r>
      <w:r w:rsidR="00F73DBD">
        <w:rPr>
          <w:rFonts w:cs="Times New Roman"/>
          <w:lang w:val="de-DE"/>
        </w:rPr>
        <w:t>Ildikó</w:t>
      </w:r>
      <w:r w:rsidRPr="00C875B8">
        <w:rPr>
          <w:rFonts w:cs="Times New Roman"/>
          <w:lang w:val="de-DE"/>
        </w:rPr>
        <w:t xml:space="preserve"> acht dieser Relativsätze, um die fast roboterhaften Handlungen, die sie ausführt, während sie das Klo putzt</w:t>
      </w:r>
      <w:r w:rsidR="00C51068">
        <w:rPr>
          <w:rFonts w:cs="Times New Roman"/>
          <w:lang w:val="de-DE"/>
        </w:rPr>
        <w:t>, zu beschreiben</w:t>
      </w:r>
      <w:r w:rsidRPr="00C875B8">
        <w:rPr>
          <w:rFonts w:cs="Times New Roman"/>
          <w:lang w:val="de-DE"/>
        </w:rPr>
        <w:t xml:space="preserve">. </w:t>
      </w:r>
      <w:bookmarkStart w:id="60" w:name="_Hlk513480578"/>
      <w:r w:rsidR="002F0199">
        <w:rPr>
          <w:rFonts w:cs="Times New Roman"/>
          <w:lang w:val="de-DE"/>
        </w:rPr>
        <w:t xml:space="preserve">Der Gebrauch dieser Relativsätze symbolisiert </w:t>
      </w:r>
      <w:r w:rsidR="00F73DBD">
        <w:rPr>
          <w:rFonts w:cs="Times New Roman"/>
          <w:lang w:val="de-DE"/>
        </w:rPr>
        <w:t>Ildikó</w:t>
      </w:r>
      <w:r w:rsidR="002F0199">
        <w:rPr>
          <w:rFonts w:cs="Times New Roman"/>
          <w:lang w:val="de-DE"/>
        </w:rPr>
        <w:t xml:space="preserve">s </w:t>
      </w:r>
      <w:r w:rsidR="00640550">
        <w:rPr>
          <w:rFonts w:cs="Times New Roman"/>
          <w:lang w:val="de-DE"/>
        </w:rPr>
        <w:t>Isolierung</w:t>
      </w:r>
      <w:r w:rsidR="002F0199">
        <w:rPr>
          <w:rFonts w:cs="Times New Roman"/>
          <w:lang w:val="de-DE"/>
        </w:rPr>
        <w:t xml:space="preserve">: Das Relativpronomen, das auf </w:t>
      </w:r>
      <w:r w:rsidR="000B5F60">
        <w:rPr>
          <w:rFonts w:cs="Times New Roman"/>
          <w:lang w:val="de-DE"/>
        </w:rPr>
        <w:t>sie</w:t>
      </w:r>
      <w:r w:rsidR="002F0199">
        <w:rPr>
          <w:rFonts w:cs="Times New Roman"/>
          <w:lang w:val="de-DE"/>
        </w:rPr>
        <w:t xml:space="preserve"> verweist, wird buchstäblic</w:t>
      </w:r>
      <w:r w:rsidR="00640550">
        <w:rPr>
          <w:rFonts w:cs="Times New Roman"/>
          <w:lang w:val="de-DE"/>
        </w:rPr>
        <w:t>h aus dem Hauptsatz ausgeklammert, genauso wie sie aus beiden Gesellschaften ausgegrenzt wird.</w:t>
      </w:r>
      <w:r w:rsidR="002F0199">
        <w:rPr>
          <w:rFonts w:cs="Times New Roman"/>
          <w:lang w:val="de-DE"/>
        </w:rPr>
        <w:t xml:space="preserve"> </w:t>
      </w:r>
      <w:bookmarkEnd w:id="60"/>
      <w:r w:rsidR="002F0199">
        <w:rPr>
          <w:rFonts w:cs="Times New Roman"/>
          <w:lang w:val="de-DE"/>
        </w:rPr>
        <w:t xml:space="preserve">Etwas intensiver noch </w:t>
      </w:r>
      <w:r w:rsidR="00640550">
        <w:rPr>
          <w:rFonts w:cs="Times New Roman"/>
          <w:lang w:val="de-DE"/>
        </w:rPr>
        <w:t xml:space="preserve">symbolisiert </w:t>
      </w:r>
      <w:r w:rsidR="002F0199">
        <w:rPr>
          <w:rFonts w:cs="Times New Roman"/>
          <w:lang w:val="de-DE"/>
        </w:rPr>
        <w:t>der Relativsatz „sie, die ich bin“</w:t>
      </w:r>
      <w:r w:rsidR="00640550">
        <w:rPr>
          <w:rFonts w:cs="Times New Roman"/>
          <w:lang w:val="de-DE"/>
        </w:rPr>
        <w:t xml:space="preserve"> diese Idee</w:t>
      </w:r>
      <w:r w:rsidR="002F0199">
        <w:rPr>
          <w:rFonts w:cs="Times New Roman"/>
          <w:lang w:val="de-DE"/>
        </w:rPr>
        <w:t>, da hier</w:t>
      </w:r>
      <w:r w:rsidR="000B5F60">
        <w:rPr>
          <w:rFonts w:cs="Times New Roman"/>
          <w:lang w:val="de-DE"/>
        </w:rPr>
        <w:t>,</w:t>
      </w:r>
      <w:r w:rsidR="002F0199">
        <w:rPr>
          <w:rFonts w:cs="Times New Roman"/>
          <w:lang w:val="de-DE"/>
        </w:rPr>
        <w:t xml:space="preserve"> statt einfach „ich“ zu sagen</w:t>
      </w:r>
      <w:r w:rsidR="000B5F60">
        <w:rPr>
          <w:rFonts w:cs="Times New Roman"/>
          <w:lang w:val="de-DE"/>
        </w:rPr>
        <w:t>,</w:t>
      </w:r>
      <w:r w:rsidR="002F0199">
        <w:rPr>
          <w:rFonts w:cs="Times New Roman"/>
          <w:lang w:val="de-DE"/>
        </w:rPr>
        <w:t xml:space="preserve"> </w:t>
      </w:r>
      <w:r w:rsidR="00F73DBD">
        <w:rPr>
          <w:rFonts w:cs="Times New Roman"/>
          <w:lang w:val="de-DE"/>
        </w:rPr>
        <w:t>Ildikó</w:t>
      </w:r>
      <w:r w:rsidR="002F0199">
        <w:rPr>
          <w:rFonts w:cs="Times New Roman"/>
          <w:lang w:val="de-DE"/>
        </w:rPr>
        <w:t>s Ich-Person auf einen Relativsatz erweitert wird.</w:t>
      </w:r>
      <w:r w:rsidR="005615D9">
        <w:rPr>
          <w:rFonts w:cs="Times New Roman"/>
          <w:lang w:val="de-DE"/>
        </w:rPr>
        <w:t xml:space="preserve"> Diese Aussage benutzt sie z. B. während sie im Mondial arbeitet</w:t>
      </w:r>
      <w:r w:rsidR="005E3280">
        <w:rPr>
          <w:rFonts w:cs="Times New Roman"/>
          <w:lang w:val="de-DE"/>
        </w:rPr>
        <w:t>:</w:t>
      </w:r>
      <w:r w:rsidR="005615D9">
        <w:rPr>
          <w:rFonts w:cs="Times New Roman"/>
          <w:lang w:val="de-DE"/>
        </w:rPr>
        <w:t xml:space="preserve"> </w:t>
      </w:r>
    </w:p>
    <w:p w14:paraId="29FF2E14" w14:textId="54A74A8C" w:rsidR="005615D9" w:rsidRDefault="005615D9" w:rsidP="00C51068">
      <w:pPr>
        <w:spacing w:after="240" w:line="240" w:lineRule="auto"/>
        <w:ind w:left="567"/>
        <w:rPr>
          <w:rFonts w:cs="Times New Roman"/>
          <w:lang w:val="de-DE"/>
        </w:rPr>
      </w:pPr>
      <w:r>
        <w:rPr>
          <w:rFonts w:cs="Times New Roman"/>
          <w:lang w:val="de-DE"/>
        </w:rPr>
        <w:t>[I]ch, die übrigens eine schwarz-weiss gestreifte Bluse trägt und einen Jupe, der mich zum Trippeln zwingt. Ich sehe mir zu, ich, die in einer notwendigen Verkleidung bereitsteht, zeige, dass ich eine geeignete Buffettochter bin, ich</w:t>
      </w:r>
      <w:r w:rsidR="005E3280">
        <w:rPr>
          <w:rFonts w:cs="Times New Roman"/>
          <w:lang w:val="de-DE"/>
        </w:rPr>
        <w:t>,</w:t>
      </w:r>
      <w:r>
        <w:rPr>
          <w:rFonts w:cs="Times New Roman"/>
          <w:lang w:val="de-DE"/>
        </w:rPr>
        <w:t xml:space="preserve"> der Kuckuck hinter der Theke, glücklicherweise, denn im Service fühle ich mich vogelfrei, freie Sicht auf sie, die ich bin, aber heute nicht, heute schützt die armeegrüne Theke wenigstens den unteren Teil des Körpers (TFA: 88-89).</w:t>
      </w:r>
    </w:p>
    <w:p w14:paraId="365D6C04" w14:textId="60CCA6D5" w:rsidR="00594B78" w:rsidRDefault="005615D9" w:rsidP="0003753D">
      <w:pPr>
        <w:rPr>
          <w:rFonts w:cs="Times New Roman"/>
          <w:lang w:val="de-DE"/>
        </w:rPr>
      </w:pPr>
      <w:r>
        <w:rPr>
          <w:rFonts w:cs="Times New Roman"/>
          <w:lang w:val="de-DE"/>
        </w:rPr>
        <w:t xml:space="preserve">Das </w:t>
      </w:r>
      <w:r w:rsidR="00BE79F1">
        <w:rPr>
          <w:rFonts w:cs="Times New Roman"/>
          <w:lang w:val="de-DE"/>
        </w:rPr>
        <w:t xml:space="preserve">Zitat enthält außer dem „sie, die ich bin“-Satz noch zwei sonstige Relativsätze. Die Sprache, die </w:t>
      </w:r>
      <w:r w:rsidR="00F73DBD">
        <w:rPr>
          <w:rFonts w:cs="Times New Roman"/>
          <w:lang w:val="de-DE"/>
        </w:rPr>
        <w:t>Ildikó</w:t>
      </w:r>
      <w:r w:rsidR="00BE79F1">
        <w:rPr>
          <w:rFonts w:cs="Times New Roman"/>
          <w:lang w:val="de-DE"/>
        </w:rPr>
        <w:t xml:space="preserve"> benutzt, zeigt also ihre innere </w:t>
      </w:r>
      <w:r w:rsidR="00214616">
        <w:rPr>
          <w:rFonts w:cs="Times New Roman"/>
          <w:lang w:val="de-DE"/>
        </w:rPr>
        <w:t xml:space="preserve">Gespaltenheit. </w:t>
      </w:r>
      <w:r w:rsidR="00BB0D54">
        <w:rPr>
          <w:rFonts w:cs="Times New Roman"/>
          <w:lang w:val="de-DE"/>
        </w:rPr>
        <w:t>I</w:t>
      </w:r>
      <w:r w:rsidR="00214616">
        <w:rPr>
          <w:rFonts w:cs="Times New Roman"/>
          <w:lang w:val="de-DE"/>
        </w:rPr>
        <w:t>n der einführenden Bachelorarbei</w:t>
      </w:r>
      <w:r w:rsidR="0096360F">
        <w:rPr>
          <w:rFonts w:cs="Times New Roman"/>
          <w:lang w:val="de-DE"/>
        </w:rPr>
        <w:t xml:space="preserve">t </w:t>
      </w:r>
      <w:r w:rsidR="00BB0D54">
        <w:rPr>
          <w:rFonts w:cs="Times New Roman"/>
          <w:lang w:val="de-DE"/>
        </w:rPr>
        <w:t xml:space="preserve">wurde diese </w:t>
      </w:r>
      <w:r w:rsidR="0096360F">
        <w:rPr>
          <w:rFonts w:cs="Times New Roman"/>
          <w:lang w:val="de-DE"/>
        </w:rPr>
        <w:t>schon ausführlich untersucht und die These aufgestellt</w:t>
      </w:r>
      <w:r w:rsidR="00214616">
        <w:rPr>
          <w:rFonts w:cs="Times New Roman"/>
          <w:lang w:val="de-DE"/>
        </w:rPr>
        <w:t xml:space="preserve">, dass </w:t>
      </w:r>
      <w:r w:rsidR="00F73DBD">
        <w:rPr>
          <w:rFonts w:cs="Times New Roman"/>
          <w:lang w:val="de-DE"/>
        </w:rPr>
        <w:t>Ildikó</w:t>
      </w:r>
      <w:r w:rsidR="00214616">
        <w:rPr>
          <w:rFonts w:cs="Times New Roman"/>
          <w:lang w:val="de-DE"/>
        </w:rPr>
        <w:t xml:space="preserve"> zwischen der Herkunfts- und Ankunftsgesellschaft </w:t>
      </w:r>
      <w:r w:rsidR="00214616" w:rsidRPr="00640550">
        <w:rPr>
          <w:rFonts w:cs="Times New Roman"/>
          <w:lang w:val="de-DE"/>
        </w:rPr>
        <w:t>schwebt</w:t>
      </w:r>
      <w:r w:rsidR="00214616">
        <w:rPr>
          <w:rFonts w:cs="Times New Roman"/>
          <w:lang w:val="de-DE"/>
        </w:rPr>
        <w:t>, und da</w:t>
      </w:r>
      <w:r w:rsidR="0003753D">
        <w:rPr>
          <w:rFonts w:cs="Times New Roman"/>
          <w:lang w:val="de-DE"/>
        </w:rPr>
        <w:t>s</w:t>
      </w:r>
      <w:r w:rsidR="00214616">
        <w:rPr>
          <w:rFonts w:cs="Times New Roman"/>
          <w:lang w:val="de-DE"/>
        </w:rPr>
        <w:t xml:space="preserve">s dieses Problem erst mit dem Auszug aus dem Elternhaus gelöst werden </w:t>
      </w:r>
      <w:r w:rsidR="00640550">
        <w:rPr>
          <w:rFonts w:cs="Times New Roman"/>
          <w:lang w:val="de-DE"/>
        </w:rPr>
        <w:t>kan</w:t>
      </w:r>
      <w:r w:rsidR="000B5F60">
        <w:rPr>
          <w:rFonts w:cs="Times New Roman"/>
          <w:lang w:val="de-DE"/>
        </w:rPr>
        <w:t>n</w:t>
      </w:r>
      <w:r w:rsidR="00214616">
        <w:rPr>
          <w:rFonts w:cs="Times New Roman"/>
          <w:lang w:val="de-DE"/>
        </w:rPr>
        <w:t xml:space="preserve">. Hier stellt sich also heraus, dass </w:t>
      </w:r>
      <w:r w:rsidR="0096360F">
        <w:rPr>
          <w:rFonts w:cs="Times New Roman"/>
          <w:lang w:val="de-DE"/>
        </w:rPr>
        <w:t>ihre</w:t>
      </w:r>
      <w:r w:rsidR="00214616">
        <w:rPr>
          <w:rFonts w:cs="Times New Roman"/>
          <w:lang w:val="de-DE"/>
        </w:rPr>
        <w:t xml:space="preserve"> gespaltene Identität, die, wie schon erwähnt, auch von der Zwischenposition der Heimat bewirkt wird, auch in der Sprache zur </w:t>
      </w:r>
      <w:r w:rsidR="0096360F">
        <w:rPr>
          <w:rFonts w:cs="Times New Roman"/>
          <w:lang w:val="de-DE"/>
        </w:rPr>
        <w:t>Geltung</w:t>
      </w:r>
      <w:r w:rsidR="00214616">
        <w:rPr>
          <w:rFonts w:cs="Times New Roman"/>
          <w:lang w:val="de-DE"/>
        </w:rPr>
        <w:t xml:space="preserve"> kommt. </w:t>
      </w:r>
      <w:r w:rsidR="005B2738">
        <w:rPr>
          <w:lang w:val="de-DE"/>
        </w:rPr>
        <w:t xml:space="preserve">Sie </w:t>
      </w:r>
      <w:r w:rsidR="005B2738">
        <w:rPr>
          <w:lang w:val="de-DE"/>
        </w:rPr>
        <w:lastRenderedPageBreak/>
        <w:t>spricht in Relativsätzen über sich selbst, was die grundsätzliche Unverbundenheit mit ihrem Inneren und der, die sie tatsächlich ist, beweist.</w:t>
      </w:r>
      <w:r w:rsidR="00136098">
        <w:rPr>
          <w:lang w:val="de-DE"/>
        </w:rPr>
        <w:t xml:space="preserve"> Ein zweites Beispiel zeigt sich im Satz „[I]ch, die sich trotz allem geschmeichelt fühlt, ärgere mich, über sie, die ich bin“ (TFA: 109). Auch hier werden Relativsatz und „sie, die ich bin“-Satz miteinander kombiniert. Der Gebrauch eines solchen Satzes mit dem Inhalt impliziert eine </w:t>
      </w:r>
      <w:r w:rsidR="0096360F">
        <w:rPr>
          <w:lang w:val="de-DE"/>
        </w:rPr>
        <w:t>Distanzierung</w:t>
      </w:r>
      <w:r w:rsidR="00136098">
        <w:rPr>
          <w:lang w:val="de-DE"/>
        </w:rPr>
        <w:t xml:space="preserve"> von ihr selbst: Sie ärgert sich über „sie“ statt „mich“, was noch mal die </w:t>
      </w:r>
      <w:r w:rsidR="0096360F">
        <w:rPr>
          <w:lang w:val="de-DE"/>
        </w:rPr>
        <w:t>Zwiespältigkeit</w:t>
      </w:r>
      <w:r w:rsidR="00136098">
        <w:rPr>
          <w:lang w:val="de-DE"/>
        </w:rPr>
        <w:t xml:space="preserve"> ihrer Identität aufzeigt. </w:t>
      </w:r>
      <w:r w:rsidR="00594B78">
        <w:rPr>
          <w:rFonts w:cs="Times New Roman"/>
          <w:lang w:val="de-DE"/>
        </w:rPr>
        <w:t>Die Relativsätze zeugen von einem selbstdistanzierenden Erzählgestus.</w:t>
      </w:r>
      <w:r w:rsidR="00594B78">
        <w:rPr>
          <w:rStyle w:val="Voetnootmarkering"/>
          <w:rFonts w:cs="Times New Roman"/>
          <w:lang w:val="de-DE"/>
        </w:rPr>
        <w:footnoteReference w:id="171"/>
      </w:r>
      <w:r w:rsidR="00594B78">
        <w:rPr>
          <w:rFonts w:cs="Times New Roman"/>
          <w:lang w:val="de-DE"/>
        </w:rPr>
        <w:t xml:space="preserve"> Sofie Decock beschreibt, wie sich Ildikós Erzählen als „musikalisch anmutender ‚Schreib-Fluss‘ mit den Zielen der Wiederbelebung des Verlorenen sowie der reflexiven und heilenden Verarbeitung der eigenen Geschichte“</w:t>
      </w:r>
      <w:r w:rsidR="00594B78">
        <w:rPr>
          <w:rStyle w:val="Voetnootmarkering"/>
          <w:rFonts w:cs="Times New Roman"/>
          <w:lang w:val="de-DE"/>
        </w:rPr>
        <w:footnoteReference w:id="172"/>
      </w:r>
      <w:r w:rsidR="00594B78">
        <w:rPr>
          <w:rFonts w:cs="Times New Roman"/>
          <w:lang w:val="de-DE"/>
        </w:rPr>
        <w:t xml:space="preserve"> erweist.</w:t>
      </w:r>
    </w:p>
    <w:p w14:paraId="111B3D3C" w14:textId="104F6027" w:rsidR="005615D9" w:rsidRDefault="00136098" w:rsidP="00594B78">
      <w:pPr>
        <w:ind w:firstLine="708"/>
        <w:rPr>
          <w:rFonts w:cs="Times New Roman"/>
          <w:lang w:val="de-DE"/>
        </w:rPr>
      </w:pPr>
      <w:r>
        <w:rPr>
          <w:lang w:val="de-DE"/>
        </w:rPr>
        <w:t xml:space="preserve">Weiter beschreibt </w:t>
      </w:r>
      <w:r w:rsidR="00F73DBD">
        <w:rPr>
          <w:rFonts w:cs="Times New Roman"/>
          <w:lang w:val="de-DE"/>
        </w:rPr>
        <w:t>Ildikó</w:t>
      </w:r>
      <w:r w:rsidR="005E3280">
        <w:rPr>
          <w:rFonts w:cs="Times New Roman"/>
          <w:lang w:val="de-DE"/>
        </w:rPr>
        <w:t xml:space="preserve"> </w:t>
      </w:r>
      <w:r w:rsidR="0003753D">
        <w:rPr>
          <w:rFonts w:cs="Times New Roman"/>
          <w:lang w:val="de-DE"/>
        </w:rPr>
        <w:t xml:space="preserve">im Zitat </w:t>
      </w:r>
      <w:r w:rsidR="0096360F">
        <w:rPr>
          <w:rFonts w:cs="Times New Roman"/>
          <w:lang w:val="de-DE"/>
        </w:rPr>
        <w:t>die</w:t>
      </w:r>
      <w:r w:rsidR="005E3280">
        <w:rPr>
          <w:rFonts w:cs="Times New Roman"/>
          <w:lang w:val="de-DE"/>
        </w:rPr>
        <w:t xml:space="preserve"> Uniform, </w:t>
      </w:r>
      <w:r w:rsidR="00BB0D54">
        <w:rPr>
          <w:rFonts w:cs="Times New Roman"/>
          <w:lang w:val="de-DE"/>
        </w:rPr>
        <w:t>die</w:t>
      </w:r>
      <w:r w:rsidR="005E3280">
        <w:rPr>
          <w:rFonts w:cs="Times New Roman"/>
          <w:lang w:val="de-DE"/>
        </w:rPr>
        <w:t xml:space="preserve"> sie während der Arbeit tragen muss, und wie sie </w:t>
      </w:r>
      <w:r w:rsidR="007D524E">
        <w:rPr>
          <w:rFonts w:cs="Times New Roman"/>
          <w:lang w:val="de-DE"/>
        </w:rPr>
        <w:t xml:space="preserve">sie </w:t>
      </w:r>
      <w:r w:rsidR="005E3280">
        <w:rPr>
          <w:rFonts w:cs="Times New Roman"/>
          <w:lang w:val="de-DE"/>
        </w:rPr>
        <w:t xml:space="preserve">zum Trippeln bringt. Sie </w:t>
      </w:r>
      <w:r w:rsidR="00BB0D54">
        <w:rPr>
          <w:rFonts w:cs="Times New Roman"/>
          <w:lang w:val="de-DE"/>
        </w:rPr>
        <w:t>bezeichnet</w:t>
      </w:r>
      <w:r w:rsidR="005E3280">
        <w:rPr>
          <w:rFonts w:cs="Times New Roman"/>
          <w:lang w:val="de-DE"/>
        </w:rPr>
        <w:t xml:space="preserve"> </w:t>
      </w:r>
      <w:r w:rsidR="00BB0D54">
        <w:rPr>
          <w:rFonts w:cs="Times New Roman"/>
          <w:lang w:val="de-DE"/>
        </w:rPr>
        <w:t>sie</w:t>
      </w:r>
      <w:r w:rsidR="005E3280">
        <w:rPr>
          <w:rFonts w:cs="Times New Roman"/>
          <w:lang w:val="de-DE"/>
        </w:rPr>
        <w:t xml:space="preserve"> als eine notwendige Verkleidung. Das Wort „Verkleidung“ weist darauf hin, dass </w:t>
      </w:r>
      <w:r w:rsidR="00F73DBD">
        <w:rPr>
          <w:rFonts w:cs="Times New Roman"/>
          <w:lang w:val="de-DE"/>
        </w:rPr>
        <w:t>Ildikó</w:t>
      </w:r>
      <w:r w:rsidR="005E3280">
        <w:rPr>
          <w:rFonts w:cs="Times New Roman"/>
          <w:lang w:val="de-DE"/>
        </w:rPr>
        <w:t xml:space="preserve"> die </w:t>
      </w:r>
      <w:r w:rsidR="007D524E">
        <w:rPr>
          <w:rFonts w:cs="Times New Roman"/>
          <w:lang w:val="de-DE"/>
        </w:rPr>
        <w:t xml:space="preserve">Identität als </w:t>
      </w:r>
      <w:r w:rsidR="005E3280">
        <w:rPr>
          <w:rFonts w:cs="Times New Roman"/>
          <w:lang w:val="de-DE"/>
        </w:rPr>
        <w:t>Buffettochter – oft mit Fräulein bezeichnet – nicht als einen wesentlichen Teil von ihr selbst, sondern als eine Maskierung betrachtet. Nicht nur ihr Uniform, sondern auch die Theke versteck</w:t>
      </w:r>
      <w:r w:rsidR="007D524E">
        <w:rPr>
          <w:rFonts w:cs="Times New Roman"/>
          <w:lang w:val="de-DE"/>
        </w:rPr>
        <w:t>t</w:t>
      </w:r>
      <w:r w:rsidR="005E3280">
        <w:rPr>
          <w:rFonts w:cs="Times New Roman"/>
          <w:lang w:val="de-DE"/>
        </w:rPr>
        <w:t xml:space="preserve"> </w:t>
      </w:r>
      <w:r w:rsidR="00F73DBD">
        <w:rPr>
          <w:rFonts w:cs="Times New Roman"/>
          <w:lang w:val="de-DE"/>
        </w:rPr>
        <w:t>Ildikó</w:t>
      </w:r>
      <w:r w:rsidR="007D524E">
        <w:rPr>
          <w:rFonts w:cs="Times New Roman"/>
          <w:lang w:val="de-DE"/>
        </w:rPr>
        <w:t xml:space="preserve"> und hält</w:t>
      </w:r>
      <w:r w:rsidR="005E3280">
        <w:rPr>
          <w:rFonts w:cs="Times New Roman"/>
          <w:lang w:val="de-DE"/>
        </w:rPr>
        <w:t xml:space="preserve"> </w:t>
      </w:r>
      <w:r w:rsidR="007D524E">
        <w:rPr>
          <w:rFonts w:cs="Times New Roman"/>
          <w:lang w:val="de-DE"/>
        </w:rPr>
        <w:t xml:space="preserve">das Beobachten </w:t>
      </w:r>
      <w:r w:rsidR="005E3280">
        <w:rPr>
          <w:rFonts w:cs="Times New Roman"/>
          <w:lang w:val="de-DE"/>
        </w:rPr>
        <w:t xml:space="preserve">der Kunden ab. In diesem Zitat tritt also auch das Motiv der Beobachtung hervor. </w:t>
      </w:r>
    </w:p>
    <w:p w14:paraId="2E011643" w14:textId="03CA2D12" w:rsidR="00386901" w:rsidRPr="006005BC" w:rsidRDefault="00386901" w:rsidP="003F25F4">
      <w:pPr>
        <w:ind w:firstLine="708"/>
        <w:rPr>
          <w:rFonts w:cs="Times New Roman"/>
          <w:lang w:val="de-DE"/>
        </w:rPr>
      </w:pPr>
      <w:r>
        <w:rPr>
          <w:rFonts w:cs="Times New Roman"/>
          <w:lang w:val="de-DE"/>
        </w:rPr>
        <w:t>Schließlich verknüpft Ildikó den Klovorfall mit ihrer Aufmerksamkeit der Sprache gegenüber: „</w:t>
      </w:r>
      <w:r w:rsidR="006005BC">
        <w:rPr>
          <w:rFonts w:cs="Times New Roman"/>
          <w:lang w:val="de-DE"/>
        </w:rPr>
        <w:t xml:space="preserve">[W]ir, die nie tätlich angegriffen worden sind, verbal beleidigt, das schon, </w:t>
      </w:r>
      <w:r w:rsidR="006005BC">
        <w:rPr>
          <w:rFonts w:cs="Times New Roman"/>
          <w:i/>
          <w:lang w:val="de-DE"/>
        </w:rPr>
        <w:t>Schissusländer!</w:t>
      </w:r>
      <w:r w:rsidR="006005BC">
        <w:rPr>
          <w:rFonts w:cs="Times New Roman"/>
          <w:lang w:val="de-DE"/>
        </w:rPr>
        <w:t>, Scheissausländer!, die am häufigsten gehörte verbale Attacke“ (TFA: 283).</w:t>
      </w:r>
      <w:r w:rsidR="003F25F4">
        <w:rPr>
          <w:rFonts w:cs="Times New Roman"/>
          <w:lang w:val="de-DE"/>
        </w:rPr>
        <w:t xml:space="preserve"> Später fügt sie Folgendes noch hinzu: „Jugo und Scheisse, das passt zusammen“ (TFA: 283).</w:t>
      </w:r>
      <w:r w:rsidR="006005BC">
        <w:rPr>
          <w:rFonts w:cs="Times New Roman"/>
          <w:lang w:val="de-DE"/>
        </w:rPr>
        <w:t xml:space="preserve"> Hier steht das Wort „Scheiße“ zentral, mit dem Ildikó nicht nur auf </w:t>
      </w:r>
      <w:r w:rsidR="007D524E">
        <w:rPr>
          <w:rFonts w:cs="Times New Roman"/>
          <w:lang w:val="de-DE"/>
        </w:rPr>
        <w:t>die beschmierten Wände</w:t>
      </w:r>
      <w:r w:rsidR="006005BC">
        <w:rPr>
          <w:rFonts w:cs="Times New Roman"/>
          <w:lang w:val="de-DE"/>
        </w:rPr>
        <w:t>, sondern auch auf die verbalen Beleidigungen, die sie als Migrantin ertragen muss, verweist. Die Kloszene ist der Kulminationspunkt</w:t>
      </w:r>
      <w:r w:rsidR="003F25F4">
        <w:rPr>
          <w:rFonts w:cs="Times New Roman"/>
          <w:lang w:val="de-DE"/>
        </w:rPr>
        <w:t xml:space="preserve"> der Geschichte, in dem </w:t>
      </w:r>
      <w:r w:rsidR="00320A52">
        <w:rPr>
          <w:rFonts w:cs="Times New Roman"/>
          <w:lang w:val="de-DE"/>
        </w:rPr>
        <w:t>Ildikó</w:t>
      </w:r>
      <w:r w:rsidR="003F25F4">
        <w:rPr>
          <w:rFonts w:cs="Times New Roman"/>
          <w:lang w:val="de-DE"/>
        </w:rPr>
        <w:t xml:space="preserve"> endgültig einsieht, dass sie aus ihrem Leben als sprachloses Fräulein verschwinden will. </w:t>
      </w:r>
    </w:p>
    <w:p w14:paraId="6A11CE53" w14:textId="77F2EA2E" w:rsidR="007306A5" w:rsidRDefault="007306A5" w:rsidP="004B7B7D">
      <w:pPr>
        <w:pStyle w:val="Kop3"/>
        <w:numPr>
          <w:ilvl w:val="2"/>
          <w:numId w:val="2"/>
        </w:numPr>
        <w:rPr>
          <w:lang w:val="de-DE"/>
        </w:rPr>
      </w:pPr>
      <w:bookmarkStart w:id="61" w:name="_Toc515180113"/>
      <w:r>
        <w:rPr>
          <w:lang w:val="de-DE"/>
        </w:rPr>
        <w:t>Ausbruch</w:t>
      </w:r>
      <w:r w:rsidR="000C6E31">
        <w:rPr>
          <w:lang w:val="de-DE"/>
        </w:rPr>
        <w:t xml:space="preserve"> aus der Unterdrückung</w:t>
      </w:r>
      <w:bookmarkEnd w:id="61"/>
    </w:p>
    <w:p w14:paraId="06E57B51" w14:textId="7AFC5BF5" w:rsidR="000A40A5" w:rsidRDefault="00136098" w:rsidP="007306A5">
      <w:pPr>
        <w:rPr>
          <w:rFonts w:cs="Times New Roman"/>
          <w:lang w:val="de-DE"/>
        </w:rPr>
      </w:pPr>
      <w:r>
        <w:rPr>
          <w:rFonts w:cs="Times New Roman"/>
          <w:lang w:val="de-DE"/>
        </w:rPr>
        <w:t xml:space="preserve">Beide oben erwähnte Zitate beweisen, dass </w:t>
      </w:r>
      <w:r w:rsidR="00F73DBD">
        <w:rPr>
          <w:rFonts w:cs="Times New Roman"/>
          <w:lang w:val="de-DE"/>
        </w:rPr>
        <w:t>Ildikó</w:t>
      </w:r>
      <w:r>
        <w:rPr>
          <w:rFonts w:cs="Times New Roman"/>
          <w:lang w:val="de-DE"/>
        </w:rPr>
        <w:t xml:space="preserve"> schon vor der Kloszene über sich selbst in Relativsätzen spricht. Auch n</w:t>
      </w:r>
      <w:r w:rsidR="002C125D">
        <w:rPr>
          <w:rFonts w:cs="Times New Roman"/>
          <w:lang w:val="de-DE"/>
        </w:rPr>
        <w:t>ach der</w:t>
      </w:r>
      <w:r w:rsidR="00C875B8" w:rsidRPr="00C875B8">
        <w:rPr>
          <w:rFonts w:cs="Times New Roman"/>
          <w:lang w:val="de-DE"/>
        </w:rPr>
        <w:t xml:space="preserve"> </w:t>
      </w:r>
      <w:r>
        <w:rPr>
          <w:rFonts w:cs="Times New Roman"/>
          <w:lang w:val="de-DE"/>
        </w:rPr>
        <w:t>Relativs</w:t>
      </w:r>
      <w:r w:rsidR="002C125D">
        <w:rPr>
          <w:rFonts w:cs="Times New Roman"/>
          <w:lang w:val="de-DE"/>
        </w:rPr>
        <w:t xml:space="preserve">ätzeklimax während des </w:t>
      </w:r>
      <w:r w:rsidR="00C875B8" w:rsidRPr="00C875B8">
        <w:rPr>
          <w:rFonts w:cs="Times New Roman"/>
          <w:lang w:val="de-DE"/>
        </w:rPr>
        <w:t>Saubermachen</w:t>
      </w:r>
      <w:r w:rsidR="002C125D">
        <w:rPr>
          <w:rFonts w:cs="Times New Roman"/>
          <w:lang w:val="de-DE"/>
        </w:rPr>
        <w:t>s</w:t>
      </w:r>
      <w:r w:rsidR="00C875B8" w:rsidRPr="00C875B8">
        <w:rPr>
          <w:rFonts w:cs="Times New Roman"/>
          <w:lang w:val="de-DE"/>
        </w:rPr>
        <w:t xml:space="preserve"> </w:t>
      </w:r>
      <w:r w:rsidR="00C875B8" w:rsidRPr="00C875B8">
        <w:rPr>
          <w:rFonts w:cs="Times New Roman"/>
          <w:lang w:val="de-DE"/>
        </w:rPr>
        <w:lastRenderedPageBreak/>
        <w:t xml:space="preserve">des Klos und dem Rückblick auf die Abstimmung geht der Gebrauch von Relativsätzen weiter. </w:t>
      </w:r>
      <w:r w:rsidR="004F677D">
        <w:rPr>
          <w:rFonts w:cs="Times New Roman"/>
          <w:lang w:val="de-DE"/>
        </w:rPr>
        <w:t xml:space="preserve">Nach der Kloszene erzählt </w:t>
      </w:r>
      <w:r w:rsidR="00F73DBD">
        <w:rPr>
          <w:rFonts w:cs="Times New Roman"/>
          <w:lang w:val="de-DE"/>
        </w:rPr>
        <w:t>Ildikó</w:t>
      </w:r>
      <w:r w:rsidR="00C875B8" w:rsidRPr="00C875B8">
        <w:rPr>
          <w:rFonts w:cs="Times New Roman"/>
          <w:lang w:val="de-DE"/>
        </w:rPr>
        <w:t xml:space="preserve"> ihrem </w:t>
      </w:r>
      <w:r w:rsidR="00C875B8" w:rsidRPr="00EE431A">
        <w:rPr>
          <w:rFonts w:cs="Times New Roman"/>
          <w:lang w:val="de-DE"/>
        </w:rPr>
        <w:t>Vater gegen</w:t>
      </w:r>
      <w:r w:rsidR="00EE431A" w:rsidRPr="00EE431A">
        <w:rPr>
          <w:rFonts w:cs="Times New Roman"/>
          <w:lang w:val="de-DE"/>
        </w:rPr>
        <w:t xml:space="preserve"> den Willen</w:t>
      </w:r>
      <w:r w:rsidR="00C875B8" w:rsidRPr="00EE431A">
        <w:rPr>
          <w:rFonts w:cs="Times New Roman"/>
          <w:lang w:val="de-DE"/>
        </w:rPr>
        <w:t xml:space="preserve"> ihrer Mutter </w:t>
      </w:r>
      <w:r w:rsidR="0086088A">
        <w:rPr>
          <w:rFonts w:cs="Times New Roman"/>
          <w:lang w:val="de-DE"/>
        </w:rPr>
        <w:t>vom Klov</w:t>
      </w:r>
      <w:r w:rsidR="00C875B8" w:rsidRPr="00EE431A">
        <w:rPr>
          <w:rFonts w:cs="Times New Roman"/>
          <w:lang w:val="de-DE"/>
        </w:rPr>
        <w:t>orfall</w:t>
      </w:r>
      <w:r w:rsidR="00C875B8" w:rsidRPr="00C875B8">
        <w:rPr>
          <w:rFonts w:cs="Times New Roman"/>
          <w:lang w:val="de-DE"/>
        </w:rPr>
        <w:t xml:space="preserve"> und äußert ihre Ideen, wie man damit am besten umgehen soll. Ihr zufolge sollten sie darüber </w:t>
      </w:r>
      <w:r w:rsidR="007D524E">
        <w:rPr>
          <w:rFonts w:cs="Times New Roman"/>
          <w:lang w:val="de-DE"/>
        </w:rPr>
        <w:t>sprechen</w:t>
      </w:r>
      <w:r w:rsidR="00C875B8" w:rsidRPr="00C875B8">
        <w:rPr>
          <w:rFonts w:cs="Times New Roman"/>
          <w:lang w:val="de-DE"/>
        </w:rPr>
        <w:t>, vielleicht sogar eine Anzeige erstatten (vgl. TFA: 289). Sie will über diesen Einzelfall reden, der ihrer Meinung nach zu ihrem Schicksal gehört, und benutzt</w:t>
      </w:r>
      <w:r w:rsidR="0086088A">
        <w:rPr>
          <w:rFonts w:cs="Times New Roman"/>
          <w:lang w:val="de-DE"/>
        </w:rPr>
        <w:t xml:space="preserve"> bewusst</w:t>
      </w:r>
      <w:r w:rsidR="00C875B8" w:rsidRPr="00C875B8">
        <w:rPr>
          <w:rFonts w:cs="Times New Roman"/>
          <w:lang w:val="de-DE"/>
        </w:rPr>
        <w:t xml:space="preserve"> das Verb „willen“ statt „mögen“ oder andere weniger unumwundene Redensarten wie </w:t>
      </w:r>
      <w:r w:rsidR="00C51068">
        <w:rPr>
          <w:rFonts w:cs="Times New Roman"/>
          <w:lang w:val="de-DE"/>
        </w:rPr>
        <w:t xml:space="preserve">z. B. </w:t>
      </w:r>
      <w:r w:rsidR="00C875B8" w:rsidRPr="00C875B8">
        <w:rPr>
          <w:rFonts w:cs="Times New Roman"/>
          <w:lang w:val="de-DE"/>
        </w:rPr>
        <w:t xml:space="preserve">„ich hätte gerne mal darüber geredet“. Auffällig in dieser Szene ist </w:t>
      </w:r>
      <w:r w:rsidR="00F73DBD">
        <w:rPr>
          <w:rFonts w:cs="Times New Roman"/>
          <w:lang w:val="de-DE"/>
        </w:rPr>
        <w:t>Ildikó</w:t>
      </w:r>
      <w:r w:rsidR="00C875B8" w:rsidRPr="00C875B8">
        <w:rPr>
          <w:rFonts w:cs="Times New Roman"/>
          <w:lang w:val="de-DE"/>
        </w:rPr>
        <w:t xml:space="preserve">s </w:t>
      </w:r>
      <w:r w:rsidR="007D524E">
        <w:rPr>
          <w:rFonts w:cs="Times New Roman"/>
          <w:lang w:val="de-DE"/>
        </w:rPr>
        <w:t>Entschlossenheit</w:t>
      </w:r>
      <w:r w:rsidR="00C875B8" w:rsidRPr="00C875B8">
        <w:rPr>
          <w:rFonts w:cs="Times New Roman"/>
          <w:lang w:val="de-DE"/>
        </w:rPr>
        <w:t xml:space="preserve"> darüber, was sie will, die sowohl im Inhalt als auch in der F</w:t>
      </w:r>
      <w:r w:rsidR="007D524E">
        <w:rPr>
          <w:rFonts w:cs="Times New Roman"/>
          <w:lang w:val="de-DE"/>
        </w:rPr>
        <w:t>orm zur Äußerung kommt. Dies stellt einen</w:t>
      </w:r>
      <w:r w:rsidR="00C875B8" w:rsidRPr="00C875B8">
        <w:rPr>
          <w:rFonts w:cs="Times New Roman"/>
          <w:lang w:val="de-DE"/>
        </w:rPr>
        <w:t xml:space="preserve"> Gegensatz zum Rest der Geschichte</w:t>
      </w:r>
      <w:r w:rsidR="007D524E">
        <w:rPr>
          <w:rFonts w:cs="Times New Roman"/>
          <w:lang w:val="de-DE"/>
        </w:rPr>
        <w:t xml:space="preserve"> da</w:t>
      </w:r>
      <w:r w:rsidR="00C875B8" w:rsidRPr="00C875B8">
        <w:rPr>
          <w:rFonts w:cs="Times New Roman"/>
          <w:lang w:val="de-DE"/>
        </w:rPr>
        <w:t xml:space="preserve">, in </w:t>
      </w:r>
      <w:r w:rsidR="007D524E">
        <w:rPr>
          <w:rFonts w:cs="Times New Roman"/>
          <w:lang w:val="de-DE"/>
        </w:rPr>
        <w:t>dem</w:t>
      </w:r>
      <w:r w:rsidR="00C875B8" w:rsidRPr="00C875B8">
        <w:rPr>
          <w:rFonts w:cs="Times New Roman"/>
          <w:lang w:val="de-DE"/>
        </w:rPr>
        <w:t xml:space="preserve"> sie immer </w:t>
      </w:r>
      <w:r w:rsidR="007D524E">
        <w:rPr>
          <w:rFonts w:cs="Times New Roman"/>
          <w:lang w:val="de-DE"/>
        </w:rPr>
        <w:t>an allem</w:t>
      </w:r>
      <w:r w:rsidR="00C875B8" w:rsidRPr="00C875B8">
        <w:rPr>
          <w:rFonts w:cs="Times New Roman"/>
          <w:lang w:val="de-DE"/>
        </w:rPr>
        <w:t xml:space="preserve"> zweifelt, so</w:t>
      </w:r>
      <w:r w:rsidR="00C51068">
        <w:rPr>
          <w:rFonts w:cs="Times New Roman"/>
          <w:lang w:val="de-DE"/>
        </w:rPr>
        <w:t xml:space="preserve">gar </w:t>
      </w:r>
      <w:r w:rsidR="007D524E">
        <w:rPr>
          <w:rFonts w:cs="Times New Roman"/>
          <w:lang w:val="de-DE"/>
        </w:rPr>
        <w:t>daran</w:t>
      </w:r>
      <w:r w:rsidR="00C51068">
        <w:rPr>
          <w:rFonts w:cs="Times New Roman"/>
          <w:lang w:val="de-DE"/>
        </w:rPr>
        <w:t>, wer sie ist, indem sie mehrmals Relativsätze benutzt, um sich selbst zu beschreiben.</w:t>
      </w:r>
      <w:r w:rsidR="00C875B8" w:rsidRPr="00C875B8">
        <w:rPr>
          <w:rFonts w:cs="Times New Roman"/>
          <w:lang w:val="de-DE"/>
        </w:rPr>
        <w:t xml:space="preserve"> Sie interpretiert den Klovorfall als eine Kriegserklärung </w:t>
      </w:r>
      <w:r w:rsidR="003B01A4">
        <w:rPr>
          <w:rFonts w:cs="Times New Roman"/>
          <w:lang w:val="de-DE"/>
        </w:rPr>
        <w:t>aus „fremdenfeindlichen Beweggründen“</w:t>
      </w:r>
      <w:r w:rsidR="003B01A4">
        <w:rPr>
          <w:rStyle w:val="Voetnootmarkering"/>
          <w:rFonts w:cs="Times New Roman"/>
          <w:lang w:val="de-DE"/>
        </w:rPr>
        <w:footnoteReference w:id="173"/>
      </w:r>
      <w:r w:rsidR="003B01A4">
        <w:rPr>
          <w:rFonts w:cs="Times New Roman"/>
          <w:lang w:val="de-DE"/>
        </w:rPr>
        <w:t xml:space="preserve"> </w:t>
      </w:r>
      <w:r w:rsidR="00C875B8" w:rsidRPr="00C875B8">
        <w:rPr>
          <w:rFonts w:cs="Times New Roman"/>
          <w:lang w:val="de-DE"/>
        </w:rPr>
        <w:t>und will einen eindeutigen Hass gegen jemanden, „der uns gestern so unmissverständlich seinen Hass gezeigt hat“ (TFA: 289), empfinden.</w:t>
      </w:r>
      <w:r w:rsidR="003B4930">
        <w:rPr>
          <w:rFonts w:cs="Times New Roman"/>
          <w:lang w:val="de-DE"/>
        </w:rPr>
        <w:t xml:space="preserve"> Sie fühlt sich vom Täter entmenschlicht, was an die postkolonialistische Idee der Entmenschlichung durch Überlegenheit von Césaire erinnert. Auch der psychologische Kolonialismus, </w:t>
      </w:r>
      <w:r w:rsidR="007D524E">
        <w:rPr>
          <w:rFonts w:cs="Times New Roman"/>
          <w:lang w:val="de-DE"/>
        </w:rPr>
        <w:t xml:space="preserve">theoretisiert </w:t>
      </w:r>
      <w:r w:rsidR="003B4930">
        <w:rPr>
          <w:rFonts w:cs="Times New Roman"/>
          <w:lang w:val="de-DE"/>
        </w:rPr>
        <w:t>von Fanon und Nandy, lässt sich mit Ildikós Lage verknüpfen.</w:t>
      </w:r>
      <w:r w:rsidR="00A07DC7">
        <w:rPr>
          <w:rFonts w:cs="Times New Roman"/>
          <w:lang w:val="de-DE"/>
        </w:rPr>
        <w:t xml:space="preserve"> Die Effekte des Überlegenheitsgefühls ihrer Umgebung sorgen für einen dauerhaften Einfluss auf Ildikós Selbstbild und ihre Lebensqualität während </w:t>
      </w:r>
      <w:r w:rsidR="00826583">
        <w:rPr>
          <w:rFonts w:cs="Times New Roman"/>
          <w:lang w:val="de-DE"/>
        </w:rPr>
        <w:t>ihrer Arbeit im Mondial</w:t>
      </w:r>
      <w:r w:rsidR="0086088A">
        <w:rPr>
          <w:rFonts w:cs="Times New Roman"/>
          <w:lang w:val="de-DE"/>
        </w:rPr>
        <w:t xml:space="preserve"> und auch daneben</w:t>
      </w:r>
      <w:r w:rsidR="00826583">
        <w:rPr>
          <w:rFonts w:cs="Times New Roman"/>
          <w:lang w:val="de-DE"/>
        </w:rPr>
        <w:t>.</w:t>
      </w:r>
    </w:p>
    <w:p w14:paraId="7CE6C6CE" w14:textId="244B4BB9" w:rsidR="00C875B8" w:rsidRPr="00C875B8" w:rsidRDefault="00826583" w:rsidP="00826583">
      <w:pPr>
        <w:ind w:firstLine="708"/>
        <w:rPr>
          <w:rFonts w:cs="Times New Roman"/>
          <w:lang w:val="de-DE"/>
        </w:rPr>
      </w:pPr>
      <w:r>
        <w:rPr>
          <w:rFonts w:cs="Times New Roman"/>
          <w:lang w:val="de-DE"/>
        </w:rPr>
        <w:t>Während der Diskussion mit ihren Eltern</w:t>
      </w:r>
      <w:r w:rsidR="00C875B8" w:rsidRPr="00C875B8">
        <w:rPr>
          <w:rFonts w:cs="Times New Roman"/>
          <w:lang w:val="de-DE"/>
        </w:rPr>
        <w:t xml:space="preserve"> äußert </w:t>
      </w:r>
      <w:r w:rsidR="00F73DBD">
        <w:rPr>
          <w:rFonts w:cs="Times New Roman"/>
          <w:lang w:val="de-DE"/>
        </w:rPr>
        <w:t>Ildikó</w:t>
      </w:r>
      <w:r w:rsidR="00C875B8" w:rsidRPr="00C875B8">
        <w:rPr>
          <w:rFonts w:cs="Times New Roman"/>
          <w:lang w:val="de-DE"/>
        </w:rPr>
        <w:t xml:space="preserve">, im Gegensatz zum Rest </w:t>
      </w:r>
      <w:r w:rsidR="007D524E">
        <w:rPr>
          <w:rFonts w:cs="Times New Roman"/>
          <w:lang w:val="de-DE"/>
        </w:rPr>
        <w:t>der Geschichte</w:t>
      </w:r>
      <w:r w:rsidR="00C875B8" w:rsidRPr="00C875B8">
        <w:rPr>
          <w:rFonts w:cs="Times New Roman"/>
          <w:lang w:val="de-DE"/>
        </w:rPr>
        <w:t xml:space="preserve">, mehrmals ihre Gedanken, und sind zahlreiche Verweise auf Sprache anwesend. </w:t>
      </w:r>
      <w:r w:rsidR="00F73DBD">
        <w:rPr>
          <w:rFonts w:cs="Times New Roman"/>
          <w:lang w:val="de-DE"/>
        </w:rPr>
        <w:t>Ildikó</w:t>
      </w:r>
      <w:r w:rsidR="00C875B8" w:rsidRPr="00C875B8">
        <w:rPr>
          <w:rFonts w:cs="Times New Roman"/>
          <w:lang w:val="de-DE"/>
        </w:rPr>
        <w:t xml:space="preserve"> will ihre</w:t>
      </w:r>
      <w:r w:rsidR="00FA24DB">
        <w:rPr>
          <w:rFonts w:cs="Times New Roman"/>
          <w:lang w:val="de-DE"/>
        </w:rPr>
        <w:t>r</w:t>
      </w:r>
      <w:r w:rsidR="00C875B8" w:rsidRPr="00C875B8">
        <w:rPr>
          <w:rFonts w:cs="Times New Roman"/>
          <w:lang w:val="de-DE"/>
        </w:rPr>
        <w:t xml:space="preserve"> Mutter ins Wort fallen, diskutieren, darüber reden, platziert ein Wort neben das andere, antwortet gereizt, will sich wehren und bittet um eine Antwort (vgl. TFA: 289-295). Der Vorfall mit dem Klo hat deutlich etwas in ihr ausgelöst. Die Klimax äußert sich im folgenden Zitat: </w:t>
      </w:r>
    </w:p>
    <w:p w14:paraId="3C65D0B6" w14:textId="02C65612" w:rsidR="00C875B8" w:rsidRPr="00C875B8" w:rsidRDefault="00C875B8" w:rsidP="00C875B8">
      <w:pPr>
        <w:spacing w:after="240" w:line="240" w:lineRule="auto"/>
        <w:ind w:left="567"/>
        <w:rPr>
          <w:rFonts w:cs="Times New Roman"/>
          <w:lang w:val="de-DE"/>
        </w:rPr>
      </w:pPr>
      <w:r w:rsidRPr="00C875B8">
        <w:rPr>
          <w:rFonts w:cs="Times New Roman"/>
          <w:lang w:val="de-DE"/>
        </w:rPr>
        <w:t>[Ich will] mit allem aufhören, mit dem Studium, meinem Russischkurs, den Samstagabenden im Wohlgroth, vor allem aber aufhören mit der Arbeit hier, im Mondial, verschwinden aus dieser Gemeinde, das nette Fräulein endlich abschütteln (vielen Dank und auf Wiedersehen!), […] will verschwinden aus diesem halbierten Leben, diesem Alltag, in dem der Dienstleistungsbetrieb zum Schicksal wird, „mundtot“ geht mir durch den Kopf, ich werde mundtot gemacht mit Sätzen wie: Ihr sollt es e</w:t>
      </w:r>
      <w:r w:rsidR="00E00F67">
        <w:rPr>
          <w:rFonts w:cs="Times New Roman"/>
          <w:lang w:val="de-DE"/>
        </w:rPr>
        <w:t>inmal besser haben als wir, wir</w:t>
      </w:r>
      <w:r w:rsidRPr="00C875B8">
        <w:rPr>
          <w:rFonts w:cs="Times New Roman"/>
          <w:lang w:val="de-DE"/>
        </w:rPr>
        <w:t xml:space="preserve"> arbeiten nur für euch“ (TFA: 293-294).</w:t>
      </w:r>
    </w:p>
    <w:p w14:paraId="2904A3F8" w14:textId="789A0A66" w:rsidR="00C875B8" w:rsidRDefault="00C875B8" w:rsidP="007306A5">
      <w:pPr>
        <w:rPr>
          <w:rFonts w:cs="Times New Roman"/>
          <w:lang w:val="de-DE"/>
        </w:rPr>
      </w:pPr>
      <w:r w:rsidRPr="00C875B8">
        <w:rPr>
          <w:rFonts w:cs="Times New Roman"/>
          <w:lang w:val="de-DE"/>
        </w:rPr>
        <w:lastRenderedPageBreak/>
        <w:t xml:space="preserve">In diesem Zitat findet </w:t>
      </w:r>
      <w:r w:rsidR="00F73DBD">
        <w:rPr>
          <w:rFonts w:cs="Times New Roman"/>
          <w:lang w:val="de-DE"/>
        </w:rPr>
        <w:t>Ildikó</w:t>
      </w:r>
      <w:r w:rsidRPr="00C875B8">
        <w:rPr>
          <w:rFonts w:cs="Times New Roman"/>
          <w:lang w:val="de-DE"/>
        </w:rPr>
        <w:t xml:space="preserve"> die Stimme, die sie bisher nicht hatte. Ihre Frustrationen in Bezug auf alles, was ihr bisheriges Leben kontrolliert hat, mit </w:t>
      </w:r>
      <w:r w:rsidR="007D524E">
        <w:rPr>
          <w:rFonts w:cs="Times New Roman"/>
          <w:lang w:val="de-DE"/>
        </w:rPr>
        <w:t>dem</w:t>
      </w:r>
      <w:r w:rsidRPr="00C875B8">
        <w:rPr>
          <w:rFonts w:cs="Times New Roman"/>
          <w:lang w:val="de-DE"/>
        </w:rPr>
        <w:t xml:space="preserve"> Höhepunkt </w:t>
      </w:r>
      <w:r w:rsidR="007D524E">
        <w:rPr>
          <w:rFonts w:cs="Times New Roman"/>
          <w:lang w:val="de-DE"/>
        </w:rPr>
        <w:t>der</w:t>
      </w:r>
      <w:r w:rsidRPr="00C875B8">
        <w:rPr>
          <w:rFonts w:cs="Times New Roman"/>
          <w:lang w:val="de-DE"/>
        </w:rPr>
        <w:t xml:space="preserve"> Arbeit als Serviertochter, werden geäußert. Ein Dienstleistungsbetrieb, in dem sie sich nicht nur von den Kunden, sondern auch von ihren Eltern unterdrückt fühlt – so soll sie z. B. die Erniedrigung, die der Klovorfall mit sich bringt, akzeptieren, statt sich dagegen zu wehren –, und in dem sie mundtot gemacht wird, sorgt dafür, dass </w:t>
      </w:r>
      <w:r w:rsidR="00F73DBD">
        <w:rPr>
          <w:rFonts w:cs="Times New Roman"/>
          <w:lang w:val="de-DE"/>
        </w:rPr>
        <w:t>Ildikó</w:t>
      </w:r>
      <w:r w:rsidRPr="00C875B8">
        <w:rPr>
          <w:rFonts w:cs="Times New Roman"/>
          <w:lang w:val="de-DE"/>
        </w:rPr>
        <w:t xml:space="preserve"> aus dem halbierten Leben verschwinden will. Ihre Eltern legen ihr mit Ausreden wie </w:t>
      </w:r>
      <w:r w:rsidR="00320A52">
        <w:rPr>
          <w:rFonts w:cs="Times New Roman"/>
          <w:lang w:val="de-DE"/>
        </w:rPr>
        <w:t xml:space="preserve">„[i]hr sollt es einmal besser haben als wir“ und </w:t>
      </w:r>
      <w:r w:rsidRPr="00C875B8">
        <w:rPr>
          <w:rFonts w:cs="Times New Roman"/>
          <w:lang w:val="de-DE"/>
        </w:rPr>
        <w:t xml:space="preserve">„wir </w:t>
      </w:r>
      <w:r w:rsidR="00320A52">
        <w:rPr>
          <w:rFonts w:cs="Times New Roman"/>
          <w:lang w:val="de-DE"/>
        </w:rPr>
        <w:t>arbeiten</w:t>
      </w:r>
      <w:r w:rsidRPr="00C875B8">
        <w:rPr>
          <w:rFonts w:cs="Times New Roman"/>
          <w:lang w:val="de-DE"/>
        </w:rPr>
        <w:t xml:space="preserve"> nur für euch“ Stillschweigen auf. Auch wenn das von den Eltern positiv gemeint </w:t>
      </w:r>
      <w:r w:rsidR="007D524E">
        <w:rPr>
          <w:rFonts w:cs="Times New Roman"/>
          <w:lang w:val="de-DE"/>
        </w:rPr>
        <w:t>ist</w:t>
      </w:r>
      <w:r w:rsidRPr="00C875B8">
        <w:rPr>
          <w:rFonts w:cs="Times New Roman"/>
          <w:lang w:val="de-DE"/>
        </w:rPr>
        <w:t xml:space="preserve">, fühlt </w:t>
      </w:r>
      <w:r w:rsidR="00F73DBD">
        <w:rPr>
          <w:rFonts w:cs="Times New Roman"/>
          <w:lang w:val="de-DE"/>
        </w:rPr>
        <w:t>Ildikó</w:t>
      </w:r>
      <w:r w:rsidRPr="00C875B8">
        <w:rPr>
          <w:rFonts w:cs="Times New Roman"/>
          <w:lang w:val="de-DE"/>
        </w:rPr>
        <w:t xml:space="preserve"> sich von ihnen eher eingeschränkt als ermöglicht. </w:t>
      </w:r>
      <w:r w:rsidR="00E00F67">
        <w:rPr>
          <w:rFonts w:cs="Times New Roman"/>
          <w:lang w:val="de-DE"/>
        </w:rPr>
        <w:t>Ihr</w:t>
      </w:r>
      <w:r w:rsidRPr="00C875B8">
        <w:rPr>
          <w:rFonts w:cs="Times New Roman"/>
          <w:lang w:val="de-DE"/>
        </w:rPr>
        <w:t xml:space="preserve"> Leben</w:t>
      </w:r>
      <w:r w:rsidR="00E00F67">
        <w:rPr>
          <w:rFonts w:cs="Times New Roman"/>
          <w:lang w:val="de-DE"/>
        </w:rPr>
        <w:t xml:space="preserve"> wird</w:t>
      </w:r>
      <w:r w:rsidRPr="00C875B8">
        <w:rPr>
          <w:rFonts w:cs="Times New Roman"/>
          <w:lang w:val="de-DE"/>
        </w:rPr>
        <w:t xml:space="preserve"> von der Arbeit stark halbiert, indem es ihr ganzes Leben bestimmt, denn sie hört z. B. mit dem Geschichtsstudium auf, um ihren Eltern im Geschäft zur Seite zu stehen.</w:t>
      </w:r>
      <w:bookmarkStart w:id="62" w:name="_Hlk513480615"/>
      <w:r w:rsidRPr="00C875B8">
        <w:rPr>
          <w:rFonts w:cs="Times New Roman"/>
          <w:lang w:val="de-DE"/>
        </w:rPr>
        <w:t xml:space="preserve"> </w:t>
      </w:r>
      <w:r w:rsidR="00594B78">
        <w:rPr>
          <w:rFonts w:cs="Times New Roman"/>
          <w:lang w:val="de-DE"/>
        </w:rPr>
        <w:t xml:space="preserve">Trotz der Auferlegung des Schweigens findet Ildikó ihre Stimme und </w:t>
      </w:r>
      <w:r w:rsidR="007D524E">
        <w:rPr>
          <w:rFonts w:cs="Times New Roman"/>
          <w:lang w:val="de-DE"/>
        </w:rPr>
        <w:t>durchbricht</w:t>
      </w:r>
      <w:r w:rsidR="00594B78">
        <w:rPr>
          <w:rFonts w:cs="Times New Roman"/>
          <w:lang w:val="de-DE"/>
        </w:rPr>
        <w:t xml:space="preserve"> ihre Sprachlosigkeit. </w:t>
      </w:r>
    </w:p>
    <w:p w14:paraId="1ECE4354" w14:textId="43D60A3D" w:rsidR="004B7B7D" w:rsidRDefault="004B7B7D">
      <w:pPr>
        <w:spacing w:after="160" w:line="259" w:lineRule="auto"/>
        <w:jc w:val="left"/>
        <w:rPr>
          <w:rFonts w:cs="Times New Roman"/>
          <w:lang w:val="de-DE"/>
        </w:rPr>
      </w:pPr>
      <w:r>
        <w:rPr>
          <w:rFonts w:cs="Times New Roman"/>
          <w:lang w:val="de-DE"/>
        </w:rPr>
        <w:br w:type="page"/>
      </w:r>
    </w:p>
    <w:p w14:paraId="164C9AED" w14:textId="194570F4" w:rsidR="00733448" w:rsidRDefault="00525977" w:rsidP="004B7B7D">
      <w:pPr>
        <w:pStyle w:val="Kop1"/>
        <w:numPr>
          <w:ilvl w:val="0"/>
          <w:numId w:val="2"/>
        </w:numPr>
        <w:rPr>
          <w:lang w:val="de-DE"/>
        </w:rPr>
      </w:pPr>
      <w:bookmarkStart w:id="63" w:name="_Toc515180114"/>
      <w:bookmarkEnd w:id="62"/>
      <w:r>
        <w:rPr>
          <w:lang w:val="de-DE"/>
        </w:rPr>
        <w:lastRenderedPageBreak/>
        <w:t>Schlus</w:t>
      </w:r>
      <w:r w:rsidR="00DC6394">
        <w:rPr>
          <w:lang w:val="de-DE"/>
        </w:rPr>
        <w:t>sfolgerung</w:t>
      </w:r>
      <w:bookmarkEnd w:id="63"/>
    </w:p>
    <w:p w14:paraId="396C83BC" w14:textId="30B52D8D" w:rsidR="00F149BE" w:rsidRDefault="00390CE4" w:rsidP="00390CE4">
      <w:pPr>
        <w:rPr>
          <w:rFonts w:cs="Times New Roman"/>
          <w:lang w:val="de-DE"/>
        </w:rPr>
      </w:pPr>
      <w:r>
        <w:rPr>
          <w:rFonts w:cs="Times New Roman"/>
          <w:lang w:val="de-DE"/>
        </w:rPr>
        <w:t xml:space="preserve">In der vorliegenden Masterarbeit wurde </w:t>
      </w:r>
      <w:r w:rsidR="00E473FB">
        <w:rPr>
          <w:rFonts w:cs="Times New Roman"/>
          <w:lang w:val="de-DE"/>
        </w:rPr>
        <w:t xml:space="preserve">eine Untersuchung der sozialen Ungleichheit </w:t>
      </w:r>
      <w:r w:rsidR="009A2E2B">
        <w:rPr>
          <w:rFonts w:cs="Times New Roman"/>
          <w:lang w:val="de-DE"/>
        </w:rPr>
        <w:t xml:space="preserve">in </w:t>
      </w:r>
      <w:r w:rsidR="00E473FB">
        <w:rPr>
          <w:rFonts w:cs="Times New Roman"/>
          <w:i/>
          <w:lang w:val="de-DE"/>
        </w:rPr>
        <w:t xml:space="preserve">Tauben fliegen auf </w:t>
      </w:r>
      <w:r w:rsidR="00E473FB" w:rsidRPr="00E473FB">
        <w:rPr>
          <w:lang w:val="de-DE"/>
        </w:rPr>
        <w:t>v</w:t>
      </w:r>
      <w:r w:rsidR="00E473FB">
        <w:rPr>
          <w:lang w:val="de-DE"/>
        </w:rPr>
        <w:t xml:space="preserve">on Melinda Nadj Abonji durchgeführt. Diese geschah anhand vom Thema Sprache, in Bezug worauf folgende Forschungsfragen beantwortet wurden: </w:t>
      </w:r>
      <w:r w:rsidR="00E473FB" w:rsidRPr="009F058C">
        <w:rPr>
          <w:rFonts w:cs="Times New Roman"/>
          <w:i/>
          <w:lang w:val="de-DE"/>
        </w:rPr>
        <w:t xml:space="preserve">Wie trägt die Sprache zur sozialen Ungleichheit bei? Welche Verhältnisse werden mithilfe </w:t>
      </w:r>
      <w:r w:rsidR="007F5DB1">
        <w:rPr>
          <w:rFonts w:cs="Times New Roman"/>
          <w:i/>
          <w:lang w:val="de-DE"/>
        </w:rPr>
        <w:t>von</w:t>
      </w:r>
      <w:r w:rsidR="00E473FB" w:rsidRPr="009F058C">
        <w:rPr>
          <w:rFonts w:cs="Times New Roman"/>
          <w:i/>
          <w:lang w:val="de-DE"/>
        </w:rPr>
        <w:t xml:space="preserve"> Sprache konstruiert oder beendet? Wie funktioniert Sprache in den Prozessen von sowohl Unterdrückung als auch Befreiung im </w:t>
      </w:r>
      <w:r w:rsidR="007760AD">
        <w:rPr>
          <w:rFonts w:cs="Times New Roman"/>
          <w:i/>
          <w:lang w:val="de-DE"/>
        </w:rPr>
        <w:t>Werk Abonjis</w:t>
      </w:r>
      <w:r w:rsidR="00E473FB" w:rsidRPr="009F058C">
        <w:rPr>
          <w:rFonts w:cs="Times New Roman"/>
          <w:i/>
          <w:lang w:val="de-DE"/>
        </w:rPr>
        <w:t>?</w:t>
      </w:r>
      <w:r w:rsidR="00E473FB">
        <w:rPr>
          <w:rFonts w:cs="Times New Roman"/>
          <w:lang w:val="de-DE"/>
        </w:rPr>
        <w:t xml:space="preserve"> Die soziale Ungleichheit wurde im Kontext des</w:t>
      </w:r>
      <w:r w:rsidR="005A2A7E">
        <w:rPr>
          <w:rFonts w:cs="Times New Roman"/>
          <w:lang w:val="de-DE"/>
        </w:rPr>
        <w:t xml:space="preserve"> (Post-)</w:t>
      </w:r>
      <w:r w:rsidR="009A2E2B">
        <w:rPr>
          <w:rFonts w:cs="Times New Roman"/>
          <w:lang w:val="de-DE"/>
        </w:rPr>
        <w:t>K</w:t>
      </w:r>
      <w:r w:rsidR="00E473FB">
        <w:rPr>
          <w:rFonts w:cs="Times New Roman"/>
          <w:lang w:val="de-DE"/>
        </w:rPr>
        <w:t>olonialismus analysiert, wobei festgestellt wurde, dass die Familie Kocsis sowohl</w:t>
      </w:r>
      <w:r w:rsidR="00F8055D">
        <w:rPr>
          <w:rFonts w:cs="Times New Roman"/>
          <w:lang w:val="de-DE"/>
        </w:rPr>
        <w:t xml:space="preserve"> die Position von </w:t>
      </w:r>
      <w:r w:rsidR="00E473FB">
        <w:rPr>
          <w:rFonts w:cs="Times New Roman"/>
          <w:lang w:val="de-DE"/>
        </w:rPr>
        <w:t>Kolonisierte</w:t>
      </w:r>
      <w:r w:rsidR="00F8055D">
        <w:rPr>
          <w:rFonts w:cs="Times New Roman"/>
          <w:lang w:val="de-DE"/>
        </w:rPr>
        <w:t>n</w:t>
      </w:r>
      <w:r w:rsidR="00E473FB">
        <w:rPr>
          <w:rFonts w:cs="Times New Roman"/>
          <w:lang w:val="de-DE"/>
        </w:rPr>
        <w:t xml:space="preserve">, als auch </w:t>
      </w:r>
      <w:r w:rsidR="00F8055D">
        <w:rPr>
          <w:rFonts w:cs="Times New Roman"/>
          <w:lang w:val="de-DE"/>
        </w:rPr>
        <w:t>von</w:t>
      </w:r>
      <w:r w:rsidR="00E473FB">
        <w:rPr>
          <w:rFonts w:cs="Times New Roman"/>
          <w:lang w:val="de-DE"/>
        </w:rPr>
        <w:t xml:space="preserve"> Kolonisatoren </w:t>
      </w:r>
      <w:r w:rsidR="00F8055D">
        <w:rPr>
          <w:rFonts w:cs="Times New Roman"/>
          <w:lang w:val="de-DE"/>
        </w:rPr>
        <w:t>beleg</w:t>
      </w:r>
      <w:r w:rsidR="00174428">
        <w:rPr>
          <w:rFonts w:cs="Times New Roman"/>
          <w:lang w:val="de-DE"/>
        </w:rPr>
        <w:t>t</w:t>
      </w:r>
      <w:r w:rsidR="00E473FB">
        <w:rPr>
          <w:rFonts w:cs="Times New Roman"/>
          <w:lang w:val="de-DE"/>
        </w:rPr>
        <w:t xml:space="preserve">: eine Dichotomie, die von ihrer Migration </w:t>
      </w:r>
      <w:r w:rsidR="007769ED">
        <w:rPr>
          <w:rFonts w:cs="Times New Roman"/>
          <w:lang w:val="de-DE"/>
        </w:rPr>
        <w:t xml:space="preserve">in den Westen </w:t>
      </w:r>
      <w:r w:rsidR="00E473FB">
        <w:rPr>
          <w:rFonts w:cs="Times New Roman"/>
          <w:lang w:val="de-DE"/>
        </w:rPr>
        <w:t>ausgelöst wurde.</w:t>
      </w:r>
      <w:r w:rsidR="00BA3C13">
        <w:rPr>
          <w:rFonts w:cs="Times New Roman"/>
          <w:lang w:val="de-DE"/>
        </w:rPr>
        <w:t xml:space="preserve"> Das führte zu einer </w:t>
      </w:r>
      <w:r w:rsidR="007769ED">
        <w:rPr>
          <w:rFonts w:cs="Times New Roman"/>
          <w:lang w:val="de-DE"/>
        </w:rPr>
        <w:t>Untersuchung</w:t>
      </w:r>
      <w:r w:rsidR="00BA3C13">
        <w:rPr>
          <w:rFonts w:cs="Times New Roman"/>
          <w:lang w:val="de-DE"/>
        </w:rPr>
        <w:t xml:space="preserve"> der </w:t>
      </w:r>
      <w:r w:rsidR="000C0DA9">
        <w:rPr>
          <w:rFonts w:cs="Times New Roman"/>
          <w:lang w:val="de-DE"/>
        </w:rPr>
        <w:t xml:space="preserve">sozialen </w:t>
      </w:r>
      <w:r w:rsidR="00BA3C13">
        <w:rPr>
          <w:rFonts w:cs="Times New Roman"/>
          <w:lang w:val="de-DE"/>
        </w:rPr>
        <w:t xml:space="preserve">Unter- und Überlegenheit der Familie Kocsis. Hauptteil der Analyse war aber die Untersuchung der </w:t>
      </w:r>
      <w:r w:rsidR="00F57A8F">
        <w:rPr>
          <w:rFonts w:cs="Times New Roman"/>
          <w:lang w:val="de-DE"/>
        </w:rPr>
        <w:t>Funktionen von Sprache im Text</w:t>
      </w:r>
      <w:r w:rsidR="002146BB">
        <w:rPr>
          <w:rFonts w:cs="Times New Roman"/>
          <w:lang w:val="de-DE"/>
        </w:rPr>
        <w:t xml:space="preserve">, </w:t>
      </w:r>
      <w:r w:rsidR="00F57A8F">
        <w:rPr>
          <w:rFonts w:cs="Times New Roman"/>
          <w:lang w:val="de-DE"/>
        </w:rPr>
        <w:t xml:space="preserve">ihre Bewertung </w:t>
      </w:r>
      <w:r w:rsidR="002146BB">
        <w:rPr>
          <w:rFonts w:cs="Times New Roman"/>
          <w:lang w:val="de-DE"/>
        </w:rPr>
        <w:t xml:space="preserve">in Bezug auf die verschiedenen Figuren, und die Art und Weise, wie Ildikó mit ihnen kommuniziert. </w:t>
      </w:r>
    </w:p>
    <w:p w14:paraId="2D25BF96" w14:textId="6E52BB80" w:rsidR="009F058C" w:rsidRDefault="00F149BE" w:rsidP="0014288A">
      <w:pPr>
        <w:ind w:firstLine="708"/>
        <w:rPr>
          <w:rFonts w:cs="Times New Roman"/>
          <w:lang w:val="de-DE"/>
        </w:rPr>
      </w:pPr>
      <w:r>
        <w:rPr>
          <w:rFonts w:cs="Times New Roman"/>
          <w:lang w:val="de-DE"/>
        </w:rPr>
        <w:t xml:space="preserve">An erster Stelle stellt die Sprache ein Unterdrückungsmittel da, anhand </w:t>
      </w:r>
      <w:r w:rsidR="00174428">
        <w:rPr>
          <w:rFonts w:cs="Times New Roman"/>
          <w:lang w:val="de-DE"/>
        </w:rPr>
        <w:t>dessen</w:t>
      </w:r>
      <w:r>
        <w:rPr>
          <w:rFonts w:cs="Times New Roman"/>
          <w:lang w:val="de-DE"/>
        </w:rPr>
        <w:t xml:space="preserve"> die soziale Ungleichheit aufrechterhalten wird. Sprache verursacht also nicht unbedingt diese ungerechte Lage, sorgt aber</w:t>
      </w:r>
      <w:r w:rsidR="007769ED">
        <w:rPr>
          <w:rFonts w:cs="Times New Roman"/>
          <w:lang w:val="de-DE"/>
        </w:rPr>
        <w:t xml:space="preserve"> auf jeden Fall</w:t>
      </w:r>
      <w:r>
        <w:rPr>
          <w:rFonts w:cs="Times New Roman"/>
          <w:lang w:val="de-DE"/>
        </w:rPr>
        <w:t xml:space="preserve"> dafür, dass die Unterdrückung weiterbestehen kann. Welche Ursachen die Unterdrückung an erster Stelle direkt auslösen, war für die Untersuchung weniger relevant, da der Fokus bewusst auf das Thema Sprache beschränkt wurde. </w:t>
      </w:r>
      <w:r w:rsidR="00DD75E2">
        <w:rPr>
          <w:rFonts w:cs="Times New Roman"/>
          <w:lang w:val="de-DE"/>
        </w:rPr>
        <w:t>Es wurde untersucht, wie die Unterdrückung auf persönlicher und inst</w:t>
      </w:r>
      <w:r w:rsidR="002E719B">
        <w:rPr>
          <w:rFonts w:cs="Times New Roman"/>
          <w:lang w:val="de-DE"/>
        </w:rPr>
        <w:t>itutioneller Ebene funktioniert, denn</w:t>
      </w:r>
      <w:r w:rsidR="00DD75E2">
        <w:rPr>
          <w:rFonts w:cs="Times New Roman"/>
          <w:lang w:val="de-DE"/>
        </w:rPr>
        <w:t xml:space="preserve"> Ildikó wird von ihrer ganzen Umgebung auf beiden Ebenen in ihrem Sprachgebrauch entmutigt.</w:t>
      </w:r>
    </w:p>
    <w:p w14:paraId="75C113EE" w14:textId="76A99492" w:rsidR="002146BB" w:rsidRDefault="00F149BE" w:rsidP="0074602C">
      <w:pPr>
        <w:ind w:firstLine="708"/>
        <w:rPr>
          <w:rFonts w:cs="Times New Roman"/>
          <w:lang w:val="de-DE"/>
        </w:rPr>
      </w:pPr>
      <w:r>
        <w:rPr>
          <w:rFonts w:cs="Times New Roman"/>
          <w:lang w:val="de-DE"/>
        </w:rPr>
        <w:t>An zweiter Stelle</w:t>
      </w:r>
      <w:r w:rsidR="00D42D81">
        <w:rPr>
          <w:rFonts w:cs="Times New Roman"/>
          <w:lang w:val="de-DE"/>
        </w:rPr>
        <w:t xml:space="preserve"> gilt die</w:t>
      </w:r>
      <w:r w:rsidR="002146BB">
        <w:rPr>
          <w:rFonts w:cs="Times New Roman"/>
          <w:lang w:val="de-DE"/>
        </w:rPr>
        <w:t xml:space="preserve"> Sprache als Befreiung</w:t>
      </w:r>
      <w:r w:rsidR="00D42D81">
        <w:rPr>
          <w:rFonts w:cs="Times New Roman"/>
          <w:lang w:val="de-DE"/>
        </w:rPr>
        <w:t xml:space="preserve">smittel, das </w:t>
      </w:r>
      <w:r w:rsidR="007A3F5F">
        <w:rPr>
          <w:rFonts w:cs="Times New Roman"/>
          <w:lang w:val="de-DE"/>
        </w:rPr>
        <w:t>Ildikó</w:t>
      </w:r>
      <w:r w:rsidR="00D42D81">
        <w:rPr>
          <w:rFonts w:cs="Times New Roman"/>
          <w:lang w:val="de-DE"/>
        </w:rPr>
        <w:t xml:space="preserve"> erlaubt, aus ihrer Unterdrückung auszubrechen und </w:t>
      </w:r>
      <w:r w:rsidR="0074602C">
        <w:rPr>
          <w:rFonts w:cs="Times New Roman"/>
          <w:lang w:val="de-DE"/>
        </w:rPr>
        <w:t>folglich</w:t>
      </w:r>
      <w:r w:rsidR="00D42D81">
        <w:rPr>
          <w:rFonts w:cs="Times New Roman"/>
          <w:lang w:val="de-DE"/>
        </w:rPr>
        <w:t xml:space="preserve"> ihre Identität zu finden.</w:t>
      </w:r>
      <w:r w:rsidR="0074602C">
        <w:rPr>
          <w:rFonts w:cs="Times New Roman"/>
          <w:lang w:val="de-DE"/>
        </w:rPr>
        <w:t xml:space="preserve"> </w:t>
      </w:r>
      <w:r w:rsidR="00707709">
        <w:rPr>
          <w:rFonts w:cs="Times New Roman"/>
          <w:lang w:val="de-DE"/>
        </w:rPr>
        <w:t xml:space="preserve">Die Kloszene ist der Kulminationspunkt, an dem </w:t>
      </w:r>
      <w:r w:rsidR="007A3F5F">
        <w:rPr>
          <w:rFonts w:cs="Times New Roman"/>
          <w:lang w:val="de-DE"/>
        </w:rPr>
        <w:t>Ildikó</w:t>
      </w:r>
      <w:r w:rsidR="00174428">
        <w:rPr>
          <w:rFonts w:cs="Times New Roman"/>
          <w:lang w:val="de-DE"/>
        </w:rPr>
        <w:t xml:space="preserve"> sich </w:t>
      </w:r>
      <w:r w:rsidR="00707709">
        <w:rPr>
          <w:rFonts w:cs="Times New Roman"/>
          <w:lang w:val="de-DE"/>
        </w:rPr>
        <w:t xml:space="preserve">weigert, die Unterdrückung noch länger auszuhalten. Mithilfe </w:t>
      </w:r>
      <w:r w:rsidR="007F5DB1">
        <w:rPr>
          <w:rFonts w:cs="Times New Roman"/>
          <w:lang w:val="de-DE"/>
        </w:rPr>
        <w:t>von</w:t>
      </w:r>
      <w:r w:rsidR="00707709">
        <w:rPr>
          <w:rFonts w:cs="Times New Roman"/>
          <w:lang w:val="de-DE"/>
        </w:rPr>
        <w:t xml:space="preserve"> Sprache durchbricht sie ihr Schweigen und mit </w:t>
      </w:r>
      <w:r w:rsidR="00174428">
        <w:rPr>
          <w:rFonts w:cs="Times New Roman"/>
          <w:lang w:val="de-DE"/>
        </w:rPr>
        <w:t>diesem</w:t>
      </w:r>
      <w:r w:rsidR="00707709">
        <w:rPr>
          <w:rFonts w:cs="Times New Roman"/>
          <w:lang w:val="de-DE"/>
        </w:rPr>
        <w:t xml:space="preserve"> ihre Unterdrückung. </w:t>
      </w:r>
      <w:r w:rsidR="0074602C">
        <w:rPr>
          <w:rFonts w:cs="Times New Roman"/>
          <w:lang w:val="de-DE"/>
        </w:rPr>
        <w:t xml:space="preserve">Ohne Unterdrückung kann aber keine Befreiung stattfinden: </w:t>
      </w:r>
      <w:r w:rsidR="002146BB">
        <w:rPr>
          <w:rFonts w:cs="Times New Roman"/>
          <w:lang w:val="de-DE"/>
        </w:rPr>
        <w:t xml:space="preserve">Erst durch die Unterdrückung anhand von Sprache kann Ildikó, die Butlers Performativitätstheorie gemäß noch </w:t>
      </w:r>
      <w:r w:rsidR="00174428">
        <w:rPr>
          <w:rFonts w:cs="Times New Roman"/>
          <w:lang w:val="de-DE"/>
        </w:rPr>
        <w:t>nicht</w:t>
      </w:r>
      <w:r w:rsidR="002146BB">
        <w:rPr>
          <w:rFonts w:cs="Times New Roman"/>
          <w:lang w:val="de-DE"/>
        </w:rPr>
        <w:t xml:space="preserve"> Subjekt genannt werden kann, sich a</w:t>
      </w:r>
      <w:r w:rsidR="007769ED">
        <w:rPr>
          <w:rFonts w:cs="Times New Roman"/>
          <w:lang w:val="de-DE"/>
        </w:rPr>
        <w:t>us ihrer Unterdrückung befreien.</w:t>
      </w:r>
      <w:r w:rsidR="007F7D3B">
        <w:rPr>
          <w:rFonts w:cs="Times New Roman"/>
          <w:lang w:val="de-DE"/>
        </w:rPr>
        <w:t xml:space="preserve"> Sprache ist </w:t>
      </w:r>
      <w:r w:rsidR="002E719B">
        <w:rPr>
          <w:rFonts w:cs="Times New Roman"/>
          <w:lang w:val="de-DE"/>
        </w:rPr>
        <w:t xml:space="preserve">also </w:t>
      </w:r>
      <w:r w:rsidR="002146BB">
        <w:rPr>
          <w:rFonts w:cs="Times New Roman"/>
          <w:lang w:val="de-DE"/>
        </w:rPr>
        <w:t xml:space="preserve">die Möglichkeitsbedingung der Subjektwerdung. </w:t>
      </w:r>
    </w:p>
    <w:p w14:paraId="53CAE7DB" w14:textId="57D2F7AA" w:rsidR="007F7D3B" w:rsidRDefault="007F7D3B" w:rsidP="009A2E2B">
      <w:pPr>
        <w:rPr>
          <w:rFonts w:cs="Times New Roman"/>
          <w:lang w:val="de-DE"/>
        </w:rPr>
      </w:pPr>
      <w:r>
        <w:rPr>
          <w:rFonts w:cs="Times New Roman"/>
          <w:lang w:val="de-DE"/>
        </w:rPr>
        <w:t xml:space="preserve">Ziel der vorliegenden Arbeit war </w:t>
      </w:r>
      <w:r w:rsidR="00281928">
        <w:rPr>
          <w:rFonts w:cs="Times New Roman"/>
          <w:lang w:val="de-DE"/>
        </w:rPr>
        <w:t>es,</w:t>
      </w:r>
      <w:r w:rsidR="00C051E0">
        <w:rPr>
          <w:rFonts w:cs="Times New Roman"/>
          <w:lang w:val="de-DE"/>
        </w:rPr>
        <w:t xml:space="preserve"> anhand einer Untersuchung des Themas Sprache</w:t>
      </w:r>
      <w:r w:rsidR="00281928">
        <w:rPr>
          <w:rFonts w:cs="Times New Roman"/>
          <w:lang w:val="de-DE"/>
        </w:rPr>
        <w:t xml:space="preserve"> eine Lücke in der Forschung zu Nadj Abonjis </w:t>
      </w:r>
      <w:r w:rsidR="00C051E0">
        <w:rPr>
          <w:rFonts w:cs="Times New Roman"/>
          <w:lang w:val="de-DE"/>
        </w:rPr>
        <w:t xml:space="preserve">Roman </w:t>
      </w:r>
      <w:r w:rsidR="00281928">
        <w:rPr>
          <w:rFonts w:cs="Times New Roman"/>
          <w:i/>
          <w:lang w:val="de-DE"/>
        </w:rPr>
        <w:t>Tauben fliegen auf</w:t>
      </w:r>
      <w:r w:rsidR="00C051E0">
        <w:rPr>
          <w:rFonts w:cs="Times New Roman"/>
          <w:i/>
          <w:lang w:val="de-DE"/>
        </w:rPr>
        <w:t xml:space="preserve"> </w:t>
      </w:r>
      <w:r w:rsidR="00C051E0">
        <w:rPr>
          <w:rFonts w:cs="Times New Roman"/>
          <w:lang w:val="de-DE"/>
        </w:rPr>
        <w:t xml:space="preserve">zu schließen. </w:t>
      </w:r>
      <w:r w:rsidR="00C051E0">
        <w:rPr>
          <w:rFonts w:cs="Times New Roman"/>
          <w:lang w:val="de-DE"/>
        </w:rPr>
        <w:lastRenderedPageBreak/>
        <w:t xml:space="preserve">Das Ziel wurde erreicht, aber weitere Lücken </w:t>
      </w:r>
      <w:r w:rsidR="00865145">
        <w:rPr>
          <w:rFonts w:cs="Times New Roman"/>
          <w:lang w:val="de-DE"/>
        </w:rPr>
        <w:t>in Bezug auf den Roman und die Mehrsprachigkeitsforschung bleiben immer noch vorhanden. Es soll zukünftiger Forschung vorbehalten bleiben, zu untersuchen, wie sich das Verhältnis von Sprache und Identität für neue Deutsche verändert hat. Während Themen wie Integration und Assimilation im Nachfeld der Fluchtbewegung, die die Jugoslawienkriege ausgelöst haben, von einem noch eher latenten Rassismus und von unsichtbaren Ausschlus</w:t>
      </w:r>
      <w:r w:rsidR="005F2FFF">
        <w:rPr>
          <w:rFonts w:cs="Times New Roman"/>
          <w:lang w:val="de-DE"/>
        </w:rPr>
        <w:t xml:space="preserve">smechanismen begleitet wurden, </w:t>
      </w:r>
      <w:r w:rsidR="00865145">
        <w:rPr>
          <w:rFonts w:cs="Times New Roman"/>
          <w:lang w:val="de-DE"/>
        </w:rPr>
        <w:t xml:space="preserve">werden ähnliche Debatten heutzutage im Rahmen einer allgemeinen politischen Polarisierung auf offen rassistische </w:t>
      </w:r>
      <w:r w:rsidR="00157AED">
        <w:rPr>
          <w:rFonts w:cs="Times New Roman"/>
          <w:lang w:val="de-DE"/>
        </w:rPr>
        <w:t xml:space="preserve">Art und Weise </w:t>
      </w:r>
      <w:r w:rsidR="00865145">
        <w:rPr>
          <w:rFonts w:cs="Times New Roman"/>
          <w:lang w:val="de-DE"/>
        </w:rPr>
        <w:t xml:space="preserve">zugespitzt und polemisch ausgetragen. </w:t>
      </w:r>
      <w:r w:rsidR="00157AED">
        <w:rPr>
          <w:rFonts w:cs="Times New Roman"/>
          <w:lang w:val="de-DE"/>
        </w:rPr>
        <w:t xml:space="preserve">In diesem Zusammenhang wäre es interessant, zu untersuchen, wie Melinda Nadj Abonji diese Themen in ihren neuen Werken verarbeitet und welche Entwicklung </w:t>
      </w:r>
      <w:r w:rsidR="009A2E2B">
        <w:rPr>
          <w:rFonts w:cs="Times New Roman"/>
          <w:lang w:val="de-DE"/>
        </w:rPr>
        <w:t xml:space="preserve">im Vergleich zu </w:t>
      </w:r>
      <w:r w:rsidR="009A2E2B">
        <w:rPr>
          <w:rFonts w:cs="Times New Roman"/>
          <w:i/>
          <w:lang w:val="de-DE"/>
        </w:rPr>
        <w:t xml:space="preserve">Tauben fliegen auf </w:t>
      </w:r>
      <w:r w:rsidR="00157AED" w:rsidRPr="009A2E2B">
        <w:rPr>
          <w:rFonts w:cs="Times New Roman"/>
          <w:lang w:val="de-DE"/>
        </w:rPr>
        <w:t>sich</w:t>
      </w:r>
      <w:r w:rsidR="00157AED">
        <w:rPr>
          <w:rFonts w:cs="Times New Roman"/>
          <w:lang w:val="de-DE"/>
        </w:rPr>
        <w:t xml:space="preserve"> gegebenenfalls feststellen lässt.</w:t>
      </w:r>
      <w:r w:rsidR="002B75A6">
        <w:rPr>
          <w:rFonts w:cs="Times New Roman"/>
          <w:lang w:val="de-DE"/>
        </w:rPr>
        <w:t xml:space="preserve"> So thematisiert sie Identität und Alterität auch in ihrem neuesten Roman </w:t>
      </w:r>
      <w:r w:rsidR="002B75A6">
        <w:rPr>
          <w:rFonts w:cs="Times New Roman"/>
          <w:i/>
          <w:lang w:val="de-DE"/>
        </w:rPr>
        <w:t xml:space="preserve">Schildkrötensoldat </w:t>
      </w:r>
      <w:r w:rsidR="002B75A6">
        <w:rPr>
          <w:rFonts w:cs="Times New Roman"/>
          <w:lang w:val="de-DE"/>
        </w:rPr>
        <w:t>(2017)</w:t>
      </w:r>
      <w:r w:rsidR="00D17228">
        <w:rPr>
          <w:rFonts w:cs="Times New Roman"/>
          <w:lang w:val="de-DE"/>
        </w:rPr>
        <w:t xml:space="preserve">, der die Perspektive eines jungen Mannes belichtet: Ein genderbezogener Vergleich zwischen ähnlichen Erfahrungen könnte relevante Forschungsergebnisse liefern. </w:t>
      </w:r>
    </w:p>
    <w:p w14:paraId="4B0D7890" w14:textId="29EB76F0" w:rsidR="00D17228" w:rsidRDefault="00B64F22" w:rsidP="00F84A33">
      <w:pPr>
        <w:ind w:firstLine="708"/>
        <w:rPr>
          <w:rFonts w:cs="Times New Roman"/>
          <w:lang w:val="de-DE"/>
        </w:rPr>
      </w:pPr>
      <w:r>
        <w:rPr>
          <w:rFonts w:cs="Times New Roman"/>
          <w:lang w:val="de-DE"/>
        </w:rPr>
        <w:t>Überdies könnte ein</w:t>
      </w:r>
      <w:r w:rsidR="00D17228">
        <w:rPr>
          <w:rFonts w:cs="Times New Roman"/>
          <w:lang w:val="de-DE"/>
        </w:rPr>
        <w:t xml:space="preserve"> Vergleich zu anderen Autoren und wie sie diesen Themen gegenüberstehen</w:t>
      </w:r>
      <w:r w:rsidR="002E719B">
        <w:rPr>
          <w:rFonts w:cs="Times New Roman"/>
          <w:lang w:val="de-DE"/>
        </w:rPr>
        <w:t>,</w:t>
      </w:r>
      <w:r w:rsidR="00D17228">
        <w:rPr>
          <w:rFonts w:cs="Times New Roman"/>
          <w:lang w:val="de-DE"/>
        </w:rPr>
        <w:t xml:space="preserve"> gemacht werden.</w:t>
      </w:r>
      <w:r w:rsidR="001946CD">
        <w:rPr>
          <w:rFonts w:cs="Times New Roman"/>
          <w:lang w:val="de-DE"/>
        </w:rPr>
        <w:t xml:space="preserve"> Als Beispiele gelten hier Jenny Erpenbecks </w:t>
      </w:r>
      <w:r w:rsidR="001946CD">
        <w:rPr>
          <w:rFonts w:cs="Times New Roman"/>
          <w:i/>
          <w:lang w:val="de-DE"/>
        </w:rPr>
        <w:t xml:space="preserve">Gehen, ging, gegangen </w:t>
      </w:r>
      <w:r w:rsidR="001946CD">
        <w:rPr>
          <w:rFonts w:cs="Times New Roman"/>
          <w:lang w:val="de-DE"/>
        </w:rPr>
        <w:t>(2015) und No</w:t>
      </w:r>
      <w:r w:rsidR="002E719B">
        <w:rPr>
          <w:rFonts w:cs="Times New Roman"/>
          <w:lang w:val="de-DE"/>
        </w:rPr>
        <w:t>r</w:t>
      </w:r>
      <w:r w:rsidR="001946CD">
        <w:rPr>
          <w:rFonts w:cs="Times New Roman"/>
          <w:lang w:val="de-DE"/>
        </w:rPr>
        <w:t xml:space="preserve">bert Gstreins </w:t>
      </w:r>
      <w:r w:rsidR="001946CD">
        <w:rPr>
          <w:rFonts w:cs="Times New Roman"/>
          <w:i/>
          <w:lang w:val="de-DE"/>
        </w:rPr>
        <w:t xml:space="preserve">Die kommenden Jahre </w:t>
      </w:r>
      <w:r w:rsidR="001946CD">
        <w:rPr>
          <w:rFonts w:cs="Times New Roman"/>
          <w:lang w:val="de-DE"/>
        </w:rPr>
        <w:t>(2018).</w:t>
      </w:r>
      <w:r w:rsidR="00DD6EC7">
        <w:rPr>
          <w:rFonts w:cs="Times New Roman"/>
          <w:lang w:val="de-DE"/>
        </w:rPr>
        <w:t xml:space="preserve"> Beide thematisieren die Flüchtlingskrise letzter Jahre</w:t>
      </w:r>
      <w:r w:rsidR="00CC2382">
        <w:rPr>
          <w:rFonts w:cs="Times New Roman"/>
          <w:lang w:val="de-DE"/>
        </w:rPr>
        <w:t xml:space="preserve">, die zur Erregung von Identitätsfragen im europäischen Kontext beigetragen haben. </w:t>
      </w:r>
      <w:r w:rsidR="009E3A59">
        <w:rPr>
          <w:rFonts w:cs="Times New Roman"/>
          <w:lang w:val="de-DE"/>
        </w:rPr>
        <w:t xml:space="preserve">Besonders interessant ist hier die Frage, wie Autoren </w:t>
      </w:r>
      <w:r>
        <w:rPr>
          <w:rFonts w:cs="Times New Roman"/>
          <w:lang w:val="de-DE"/>
        </w:rPr>
        <w:t xml:space="preserve">mit Migrationshintergrund </w:t>
      </w:r>
      <w:r w:rsidR="009E3A59">
        <w:rPr>
          <w:rFonts w:cs="Times New Roman"/>
          <w:lang w:val="de-DE"/>
        </w:rPr>
        <w:t>auf Neuankömmlinge gemeinsamen Hintergrundes reagieren, wenn erstere fürchten, mit letzteren assoziiert und deswegen sozial geächtet zu werden.</w:t>
      </w:r>
      <w:r w:rsidR="000D0CCC">
        <w:rPr>
          <w:rFonts w:cs="Times New Roman"/>
          <w:lang w:val="de-DE"/>
        </w:rPr>
        <w:t xml:space="preserve"> </w:t>
      </w:r>
      <w:r w:rsidR="00F86653">
        <w:rPr>
          <w:rFonts w:cs="Times New Roman"/>
          <w:lang w:val="de-DE"/>
        </w:rPr>
        <w:t>Außer der</w:t>
      </w:r>
      <w:r w:rsidR="00744810">
        <w:rPr>
          <w:rFonts w:cs="Times New Roman"/>
          <w:lang w:val="de-DE"/>
        </w:rPr>
        <w:t xml:space="preserve"> Polarisierung zwischen Leitkultur und Multikulturalismus </w:t>
      </w:r>
      <w:r w:rsidR="00F86653">
        <w:rPr>
          <w:rFonts w:cs="Times New Roman"/>
          <w:lang w:val="de-DE"/>
        </w:rPr>
        <w:t>soll also auch eine Binnend</w:t>
      </w:r>
      <w:r w:rsidR="00F84A33">
        <w:rPr>
          <w:rFonts w:cs="Times New Roman"/>
          <w:lang w:val="de-DE"/>
        </w:rPr>
        <w:t>ifferenzierung beachtet werden.</w:t>
      </w:r>
    </w:p>
    <w:p w14:paraId="3C436EA6" w14:textId="4B5CF4B2" w:rsidR="00F84A33" w:rsidRDefault="00B955F0" w:rsidP="009A2E2B">
      <w:pPr>
        <w:ind w:firstLine="708"/>
        <w:rPr>
          <w:rFonts w:cs="Times New Roman"/>
          <w:lang w:val="de-DE"/>
        </w:rPr>
      </w:pPr>
      <w:r>
        <w:rPr>
          <w:rFonts w:cs="Times New Roman"/>
          <w:lang w:val="de-DE"/>
        </w:rPr>
        <w:t xml:space="preserve">Zum Schluss lässt sich die Frage stellen, wie Sprache in der Realität im Gegensatz zur Fiktion funktioniert, wenn sich die Debatten um Themen wie Migration und Integration handeln. Heutzutage erregt nicht nur der Inhalt, sondern auch die Art und Weise, wie die Diskussion selbst geführt werden soll, heftige Debatten. Das Konzept der Political Correctness fliegt uns um die Ohren, sei es in politischen Debatten oder Diskussionen im Internet. </w:t>
      </w:r>
      <w:r w:rsidR="0008566C">
        <w:rPr>
          <w:rFonts w:cs="Times New Roman"/>
          <w:lang w:val="de-DE"/>
        </w:rPr>
        <w:t xml:space="preserve">Anatol Stefanowitsch </w:t>
      </w:r>
      <w:r w:rsidR="006843D4">
        <w:rPr>
          <w:rFonts w:cs="Times New Roman"/>
          <w:lang w:val="de-DE"/>
        </w:rPr>
        <w:t xml:space="preserve">plädiert in seinem Buch </w:t>
      </w:r>
      <w:r w:rsidR="006843D4">
        <w:rPr>
          <w:rFonts w:cs="Times New Roman"/>
          <w:i/>
          <w:lang w:val="de-DE"/>
        </w:rPr>
        <w:t xml:space="preserve">Eine Frage der Moral – Warum wir politisch korrekte Sprache brauchen </w:t>
      </w:r>
      <w:r w:rsidR="006843D4">
        <w:rPr>
          <w:rFonts w:cs="Times New Roman"/>
          <w:lang w:val="de-DE"/>
        </w:rPr>
        <w:t xml:space="preserve">(2018) für den Gebrauch politisch korrekter Sprache und betrachtet genauso wie Judith Butler das Sprechen als </w:t>
      </w:r>
      <w:r w:rsidR="006843D4">
        <w:rPr>
          <w:rFonts w:cs="Times New Roman"/>
          <w:lang w:val="de-DE"/>
        </w:rPr>
        <w:lastRenderedPageBreak/>
        <w:t xml:space="preserve">eine Handlung, fokussiert sich dabei aber auf den moralischen statt den performativen Aspekt </w:t>
      </w:r>
      <w:r w:rsidR="00F84A33">
        <w:rPr>
          <w:rFonts w:cs="Times New Roman"/>
          <w:lang w:val="de-DE"/>
        </w:rPr>
        <w:t>von</w:t>
      </w:r>
      <w:r w:rsidR="006843D4">
        <w:rPr>
          <w:rFonts w:cs="Times New Roman"/>
          <w:lang w:val="de-DE"/>
        </w:rPr>
        <w:t xml:space="preserve"> Sprache. </w:t>
      </w:r>
      <w:r w:rsidR="0048054F">
        <w:rPr>
          <w:rFonts w:cs="Times New Roman"/>
          <w:lang w:val="de-DE"/>
        </w:rPr>
        <w:t>Außer Befürworter des neuen Bewusstseins über die Art und Weise, wie wir sprechen, lassen auch Gegner ihre Stimme</w:t>
      </w:r>
      <w:r w:rsidR="002E719B">
        <w:rPr>
          <w:rFonts w:cs="Times New Roman"/>
          <w:lang w:val="de-DE"/>
        </w:rPr>
        <w:t>n</w:t>
      </w:r>
      <w:r w:rsidR="0048054F">
        <w:rPr>
          <w:rFonts w:cs="Times New Roman"/>
          <w:lang w:val="de-DE"/>
        </w:rPr>
        <w:t xml:space="preserve"> hören. Verhindert die Berücksichtigung der Political Correctness eine gezielte Diskussion oder führt sie zu einem notwendigen Bewusstsein der sozialen </w:t>
      </w:r>
      <w:r w:rsidR="00AF45FB">
        <w:rPr>
          <w:rFonts w:cs="Times New Roman"/>
          <w:lang w:val="de-DE"/>
        </w:rPr>
        <w:t>Ordnung? Diese Frage soll im Kontext der heutigen sozialen Herausforderungen vor einem sich ständig ändernden Hintergrund berücksichtigt werden.</w:t>
      </w:r>
    </w:p>
    <w:p w14:paraId="794179D7" w14:textId="77777777" w:rsidR="00F84A33" w:rsidRDefault="00F84A33">
      <w:pPr>
        <w:spacing w:after="160" w:line="259" w:lineRule="auto"/>
        <w:jc w:val="left"/>
        <w:rPr>
          <w:rFonts w:cs="Times New Roman"/>
          <w:lang w:val="de-DE"/>
        </w:rPr>
      </w:pPr>
      <w:r>
        <w:rPr>
          <w:rFonts w:cs="Times New Roman"/>
          <w:lang w:val="de-DE"/>
        </w:rPr>
        <w:br w:type="page"/>
      </w:r>
    </w:p>
    <w:p w14:paraId="00569A5E" w14:textId="020CED60" w:rsidR="0064788B" w:rsidRDefault="002E07BB" w:rsidP="004B7B7D">
      <w:pPr>
        <w:pStyle w:val="Kop1"/>
        <w:numPr>
          <w:ilvl w:val="0"/>
          <w:numId w:val="2"/>
        </w:numPr>
        <w:rPr>
          <w:lang w:val="de-DE"/>
        </w:rPr>
      </w:pPr>
      <w:bookmarkStart w:id="64" w:name="_Toc515180115"/>
      <w:r>
        <w:rPr>
          <w:lang w:val="de-DE"/>
        </w:rPr>
        <w:lastRenderedPageBreak/>
        <w:t>Bibliografie</w:t>
      </w:r>
      <w:bookmarkEnd w:id="64"/>
    </w:p>
    <w:p w14:paraId="4F89BD60" w14:textId="45BD50B7" w:rsidR="003C5DFD" w:rsidRDefault="003C5DFD" w:rsidP="004B7B7D">
      <w:pPr>
        <w:pStyle w:val="Kop2"/>
        <w:numPr>
          <w:ilvl w:val="1"/>
          <w:numId w:val="2"/>
        </w:numPr>
        <w:rPr>
          <w:lang w:val="de-DE"/>
        </w:rPr>
      </w:pPr>
      <w:r>
        <w:rPr>
          <w:lang w:val="de-DE"/>
        </w:rPr>
        <w:t xml:space="preserve"> </w:t>
      </w:r>
      <w:bookmarkStart w:id="65" w:name="_Toc515180116"/>
      <w:r>
        <w:rPr>
          <w:lang w:val="de-DE"/>
        </w:rPr>
        <w:t>Primärliteratur</w:t>
      </w:r>
      <w:bookmarkEnd w:id="65"/>
    </w:p>
    <w:p w14:paraId="3ECB90C3" w14:textId="1651029C" w:rsidR="00FF598A" w:rsidRDefault="00FF598A" w:rsidP="005A2A7E">
      <w:pPr>
        <w:ind w:left="567" w:hanging="567"/>
        <w:rPr>
          <w:lang w:val="de-DE"/>
        </w:rPr>
      </w:pPr>
      <w:r w:rsidRPr="00FF598A">
        <w:rPr>
          <w:lang w:val="de-DE"/>
        </w:rPr>
        <w:t xml:space="preserve">Nadj Abonji, Melinda: </w:t>
      </w:r>
      <w:r w:rsidRPr="00FF598A">
        <w:rPr>
          <w:i/>
          <w:lang w:val="de-DE"/>
        </w:rPr>
        <w:t xml:space="preserve">Tauben fliegen auf. </w:t>
      </w:r>
      <w:r w:rsidRPr="00FF598A">
        <w:rPr>
          <w:lang w:val="de-DE"/>
        </w:rPr>
        <w:t>München: Deutscher Taschenbuch Verlag 2012.</w:t>
      </w:r>
    </w:p>
    <w:p w14:paraId="3CDDE3BA" w14:textId="77777777" w:rsidR="00F21D11" w:rsidRDefault="00F21D11" w:rsidP="00FF598A">
      <w:pPr>
        <w:rPr>
          <w:lang w:val="de-DE"/>
        </w:rPr>
      </w:pPr>
    </w:p>
    <w:p w14:paraId="13652066" w14:textId="5CDFC14C" w:rsidR="00F21D11" w:rsidRPr="00FF598A" w:rsidRDefault="00F21D11" w:rsidP="00D33A4E">
      <w:pPr>
        <w:ind w:left="567" w:hanging="567"/>
        <w:rPr>
          <w:lang w:val="de-DE"/>
        </w:rPr>
      </w:pPr>
      <w:r w:rsidRPr="00F21D11">
        <w:rPr>
          <w:lang w:val="de-DE"/>
        </w:rPr>
        <w:t>Nadj Abonji</w:t>
      </w:r>
      <w:r>
        <w:rPr>
          <w:lang w:val="de-DE"/>
        </w:rPr>
        <w:t xml:space="preserve">, </w:t>
      </w:r>
      <w:r w:rsidRPr="00F21D11">
        <w:rPr>
          <w:lang w:val="de-DE"/>
        </w:rPr>
        <w:t>Melinda</w:t>
      </w:r>
      <w:r>
        <w:rPr>
          <w:lang w:val="de-DE"/>
        </w:rPr>
        <w:t xml:space="preserve">: </w:t>
      </w:r>
      <w:r>
        <w:rPr>
          <w:i/>
          <w:lang w:val="de-DE"/>
        </w:rPr>
        <w:t xml:space="preserve">Zu Hause in der Fremde. Versuche zur Integration. </w:t>
      </w:r>
      <w:r>
        <w:rPr>
          <w:lang w:val="de-DE"/>
        </w:rPr>
        <w:t xml:space="preserve">Das Leben ist Ausland. </w:t>
      </w:r>
      <w:hyperlink r:id="rId9" w:history="1">
        <w:r w:rsidRPr="00E603AF">
          <w:rPr>
            <w:rStyle w:val="Hyperlink"/>
            <w:lang w:val="de-DE"/>
          </w:rPr>
          <w:t>http://daslebenistausland.net/category/nadj-abonji/</w:t>
        </w:r>
      </w:hyperlink>
      <w:r>
        <w:rPr>
          <w:lang w:val="de-DE"/>
        </w:rPr>
        <w:t xml:space="preserve"> (abgerufen am 18.03.2018).</w:t>
      </w:r>
    </w:p>
    <w:p w14:paraId="0ACE470A" w14:textId="2687F3D8" w:rsidR="003C5DFD" w:rsidRDefault="003C5DFD" w:rsidP="003C5DFD">
      <w:pPr>
        <w:rPr>
          <w:lang w:val="de-DE"/>
        </w:rPr>
      </w:pPr>
    </w:p>
    <w:p w14:paraId="10B90B2E" w14:textId="102435C8" w:rsidR="00E36C4A" w:rsidRDefault="003C5DFD" w:rsidP="004B7B7D">
      <w:pPr>
        <w:pStyle w:val="Kop2"/>
        <w:numPr>
          <w:ilvl w:val="1"/>
          <w:numId w:val="2"/>
        </w:numPr>
        <w:rPr>
          <w:lang w:val="de-DE"/>
        </w:rPr>
      </w:pPr>
      <w:r>
        <w:rPr>
          <w:lang w:val="de-DE"/>
        </w:rPr>
        <w:t xml:space="preserve"> </w:t>
      </w:r>
      <w:bookmarkStart w:id="66" w:name="_Toc515180117"/>
      <w:r>
        <w:rPr>
          <w:lang w:val="de-DE"/>
        </w:rPr>
        <w:t>Sekundärliteratur</w:t>
      </w:r>
      <w:bookmarkEnd w:id="66"/>
    </w:p>
    <w:p w14:paraId="4BB4B064" w14:textId="0FEADCAE" w:rsidR="004070AD" w:rsidRPr="004070AD" w:rsidRDefault="004070AD" w:rsidP="004070AD">
      <w:pPr>
        <w:pStyle w:val="Voetnoottekst"/>
        <w:spacing w:line="360" w:lineRule="auto"/>
        <w:ind w:left="567" w:hanging="567"/>
        <w:rPr>
          <w:sz w:val="24"/>
          <w:lang w:val="de-DE"/>
        </w:rPr>
      </w:pPr>
      <w:r w:rsidRPr="004070AD">
        <w:rPr>
          <w:sz w:val="24"/>
          <w:lang w:val="de-DE"/>
        </w:rPr>
        <w:t>Babka</w:t>
      </w:r>
      <w:r>
        <w:rPr>
          <w:sz w:val="24"/>
          <w:lang w:val="de-DE"/>
        </w:rPr>
        <w:t>, Anna</w:t>
      </w:r>
      <w:r w:rsidRPr="004070AD">
        <w:rPr>
          <w:sz w:val="24"/>
          <w:lang w:val="de-DE"/>
        </w:rPr>
        <w:t xml:space="preserve">: „Gayatri C. Spivak“. In: </w:t>
      </w:r>
      <w:r w:rsidRPr="004070AD">
        <w:rPr>
          <w:i/>
          <w:sz w:val="24"/>
          <w:lang w:val="de-DE"/>
        </w:rPr>
        <w:t xml:space="preserve">Handbuch Postkolonialismus und Literatur. </w:t>
      </w:r>
      <w:r w:rsidRPr="004070AD">
        <w:rPr>
          <w:sz w:val="24"/>
          <w:lang w:val="de-DE"/>
        </w:rPr>
        <w:t>Hg. von Dirk Göttsche, Axel Dunker und Gabriele Dürbeck. Stuttgart: J.B. Metzler 2017, S. 2</w:t>
      </w:r>
      <w:r>
        <w:rPr>
          <w:sz w:val="24"/>
          <w:lang w:val="de-DE"/>
        </w:rPr>
        <w:t>1-25</w:t>
      </w:r>
      <w:r w:rsidRPr="004070AD">
        <w:rPr>
          <w:sz w:val="24"/>
          <w:lang w:val="de-DE"/>
        </w:rPr>
        <w:t>.</w:t>
      </w:r>
    </w:p>
    <w:p w14:paraId="582FE830" w14:textId="77777777" w:rsidR="004070AD" w:rsidRPr="004070AD" w:rsidRDefault="004070AD" w:rsidP="004070AD">
      <w:pPr>
        <w:rPr>
          <w:lang w:val="de-DE"/>
        </w:rPr>
      </w:pPr>
    </w:p>
    <w:p w14:paraId="156CADC4" w14:textId="4959A933" w:rsidR="002E07BB" w:rsidRDefault="002E07BB" w:rsidP="002E07BB">
      <w:pPr>
        <w:ind w:left="567" w:hanging="567"/>
        <w:rPr>
          <w:lang w:val="en-GB"/>
        </w:rPr>
      </w:pPr>
      <w:r w:rsidRPr="00EC291A">
        <w:rPr>
          <w:lang w:val="en-GB"/>
        </w:rPr>
        <w:t>Bailey, Rachel</w:t>
      </w:r>
      <w:r w:rsidR="009C5E1E" w:rsidRPr="00EC291A">
        <w:rPr>
          <w:lang w:val="en-GB"/>
        </w:rPr>
        <w:t xml:space="preserve"> Jones</w:t>
      </w:r>
      <w:r w:rsidRPr="00EC291A">
        <w:rPr>
          <w:lang w:val="en-GB"/>
        </w:rPr>
        <w:t xml:space="preserve">: </w:t>
      </w:r>
      <w:r w:rsidRPr="00EC291A">
        <w:rPr>
          <w:i/>
          <w:lang w:val="en-GB"/>
        </w:rPr>
        <w:t xml:space="preserve">Postcolonial Representations of Women. </w:t>
      </w:r>
      <w:r w:rsidRPr="007021FB">
        <w:rPr>
          <w:i/>
          <w:lang w:val="en-GB"/>
        </w:rPr>
        <w:t xml:space="preserve">Critical Issues for Education. </w:t>
      </w:r>
      <w:r w:rsidRPr="007021FB">
        <w:rPr>
          <w:lang w:val="en-GB"/>
        </w:rPr>
        <w:t>Heidelberg: Sp</w:t>
      </w:r>
      <w:r>
        <w:rPr>
          <w:lang w:val="en-GB"/>
        </w:rPr>
        <w:t>ringer 2011.</w:t>
      </w:r>
    </w:p>
    <w:p w14:paraId="0FBCE013" w14:textId="77777777" w:rsidR="005A3215" w:rsidRDefault="005A3215" w:rsidP="002E07BB">
      <w:pPr>
        <w:ind w:left="567" w:hanging="567"/>
        <w:rPr>
          <w:lang w:val="en-GB"/>
        </w:rPr>
      </w:pPr>
    </w:p>
    <w:p w14:paraId="5962B74B" w14:textId="52180756" w:rsidR="005A3215" w:rsidRDefault="005A3215" w:rsidP="002E07BB">
      <w:pPr>
        <w:ind w:left="567" w:hanging="567"/>
        <w:rPr>
          <w:lang w:val="en-GB"/>
        </w:rPr>
      </w:pPr>
      <w:r w:rsidRPr="005A3215">
        <w:rPr>
          <w:lang w:val="en-GB"/>
        </w:rPr>
        <w:t>Boehmer</w:t>
      </w:r>
      <w:r>
        <w:rPr>
          <w:lang w:val="en-GB"/>
        </w:rPr>
        <w:t xml:space="preserve">, </w:t>
      </w:r>
      <w:r w:rsidRPr="005A3215">
        <w:rPr>
          <w:lang w:val="en-GB"/>
        </w:rPr>
        <w:t xml:space="preserve">Elleke: </w:t>
      </w:r>
      <w:r w:rsidRPr="005A3215">
        <w:rPr>
          <w:i/>
          <w:lang w:val="en-GB"/>
        </w:rPr>
        <w:t>Colonial and Postcolonial L</w:t>
      </w:r>
      <w:r>
        <w:rPr>
          <w:i/>
          <w:lang w:val="en-GB"/>
        </w:rPr>
        <w:t xml:space="preserve">iterature: Migrant Metaphors. </w:t>
      </w:r>
      <w:r>
        <w:rPr>
          <w:lang w:val="en-GB"/>
        </w:rPr>
        <w:t>2. Auflage. Oxford: Oxford University Press 2005</w:t>
      </w:r>
      <w:r w:rsidR="00F516AC">
        <w:rPr>
          <w:lang w:val="en-GB"/>
        </w:rPr>
        <w:t>.</w:t>
      </w:r>
    </w:p>
    <w:p w14:paraId="28183CA8" w14:textId="77777777" w:rsidR="00A42945" w:rsidRDefault="00A42945" w:rsidP="002E07BB">
      <w:pPr>
        <w:ind w:left="567" w:hanging="567"/>
        <w:rPr>
          <w:lang w:val="en-GB"/>
        </w:rPr>
      </w:pPr>
    </w:p>
    <w:p w14:paraId="237DDE24" w14:textId="792196B1" w:rsidR="00A42945" w:rsidRDefault="00A42945" w:rsidP="002E07BB">
      <w:pPr>
        <w:ind w:left="567" w:hanging="567"/>
        <w:rPr>
          <w:lang w:val="en-US"/>
        </w:rPr>
      </w:pPr>
      <w:r w:rsidRPr="00A42945">
        <w:rPr>
          <w:lang w:val="en-GB"/>
        </w:rPr>
        <w:t>Butler</w:t>
      </w:r>
      <w:r>
        <w:rPr>
          <w:lang w:val="en-GB"/>
        </w:rPr>
        <w:t xml:space="preserve">, </w:t>
      </w:r>
      <w:r w:rsidRPr="00A42945">
        <w:rPr>
          <w:lang w:val="en-GB"/>
        </w:rPr>
        <w:t xml:space="preserve">Judith: </w:t>
      </w:r>
      <w:r w:rsidRPr="00A42945">
        <w:rPr>
          <w:i/>
          <w:lang w:val="en-GB"/>
        </w:rPr>
        <w:t>Bodies That Matt</w:t>
      </w:r>
      <w:r>
        <w:rPr>
          <w:i/>
          <w:lang w:val="en-GB"/>
        </w:rPr>
        <w:t>er. On</w:t>
      </w:r>
      <w:r w:rsidR="0049007C">
        <w:rPr>
          <w:i/>
          <w:lang w:val="en-GB"/>
        </w:rPr>
        <w:t xml:space="preserve"> the Discursive Limits of “Sex”</w:t>
      </w:r>
      <w:r w:rsidR="0049007C">
        <w:rPr>
          <w:lang w:val="en-GB"/>
        </w:rPr>
        <w:t>.</w:t>
      </w:r>
      <w:r>
        <w:rPr>
          <w:i/>
          <w:lang w:val="en-GB"/>
        </w:rPr>
        <w:t xml:space="preserve"> </w:t>
      </w:r>
      <w:r w:rsidRPr="00111EEE">
        <w:rPr>
          <w:lang w:val="en-US"/>
        </w:rPr>
        <w:t>New York: Routledge 1993.</w:t>
      </w:r>
    </w:p>
    <w:p w14:paraId="769C7CCB" w14:textId="77777777" w:rsidR="006657B4" w:rsidRPr="00111EEE" w:rsidRDefault="006657B4" w:rsidP="002E07BB">
      <w:pPr>
        <w:ind w:left="567" w:hanging="567"/>
        <w:rPr>
          <w:lang w:val="en-US"/>
        </w:rPr>
      </w:pPr>
    </w:p>
    <w:p w14:paraId="43310901" w14:textId="050A0E43" w:rsidR="00FB429C" w:rsidRDefault="006657B4" w:rsidP="002E07BB">
      <w:pPr>
        <w:ind w:left="567" w:hanging="567"/>
        <w:rPr>
          <w:lang w:val="en-US"/>
        </w:rPr>
      </w:pPr>
      <w:r>
        <w:rPr>
          <w:lang w:val="en-US"/>
        </w:rPr>
        <w:t xml:space="preserve">Butler, Judith: </w:t>
      </w:r>
      <w:r>
        <w:rPr>
          <w:i/>
          <w:lang w:val="en-US"/>
        </w:rPr>
        <w:t xml:space="preserve">Excitable Speech. </w:t>
      </w:r>
      <w:r>
        <w:rPr>
          <w:lang w:val="en-US"/>
        </w:rPr>
        <w:t>New York: Routledge 1997.</w:t>
      </w:r>
    </w:p>
    <w:p w14:paraId="6DD1D157" w14:textId="77777777" w:rsidR="006657B4" w:rsidRPr="006657B4" w:rsidRDefault="006657B4" w:rsidP="002E07BB">
      <w:pPr>
        <w:ind w:left="567" w:hanging="567"/>
        <w:rPr>
          <w:lang w:val="en-US"/>
        </w:rPr>
      </w:pPr>
    </w:p>
    <w:p w14:paraId="781507F2" w14:textId="02BD0637" w:rsidR="00FB429C" w:rsidRPr="00111EEE" w:rsidRDefault="00FB429C" w:rsidP="002E07BB">
      <w:pPr>
        <w:ind w:left="567" w:hanging="567"/>
        <w:rPr>
          <w:lang w:val="en-US"/>
        </w:rPr>
      </w:pPr>
      <w:r w:rsidRPr="00FB429C">
        <w:rPr>
          <w:lang w:val="en-US"/>
        </w:rPr>
        <w:t>Butler</w:t>
      </w:r>
      <w:r>
        <w:rPr>
          <w:lang w:val="en-US"/>
        </w:rPr>
        <w:t xml:space="preserve">, </w:t>
      </w:r>
      <w:r w:rsidRPr="00FB429C">
        <w:rPr>
          <w:lang w:val="en-US"/>
        </w:rPr>
        <w:t xml:space="preserve">Judith: </w:t>
      </w:r>
      <w:r w:rsidRPr="00FB429C">
        <w:rPr>
          <w:i/>
          <w:lang w:val="en-US"/>
        </w:rPr>
        <w:t xml:space="preserve">Gender Trouble. Feminism and the Subversion of Identity. </w:t>
      </w:r>
      <w:r>
        <w:rPr>
          <w:lang w:val="en-US"/>
        </w:rPr>
        <w:t>New York: Routledge 1999.</w:t>
      </w:r>
    </w:p>
    <w:p w14:paraId="69A77A7A" w14:textId="77777777" w:rsidR="00F516AC" w:rsidRPr="00111EEE" w:rsidRDefault="00F516AC" w:rsidP="002E07BB">
      <w:pPr>
        <w:ind w:left="567" w:hanging="567"/>
        <w:rPr>
          <w:lang w:val="en-US"/>
        </w:rPr>
      </w:pPr>
    </w:p>
    <w:p w14:paraId="7904D244" w14:textId="1B2FC8C4" w:rsidR="00F516AC" w:rsidRPr="00B44350" w:rsidRDefault="00F516AC" w:rsidP="00F516AC">
      <w:pPr>
        <w:pStyle w:val="Voetnoottekst"/>
        <w:spacing w:line="360" w:lineRule="auto"/>
        <w:ind w:left="567" w:hanging="567"/>
        <w:rPr>
          <w:sz w:val="24"/>
          <w:szCs w:val="24"/>
          <w:lang w:val="en-US"/>
        </w:rPr>
      </w:pPr>
      <w:r w:rsidRPr="00F516AC">
        <w:rPr>
          <w:sz w:val="24"/>
          <w:szCs w:val="24"/>
          <w:lang w:val="en-US"/>
        </w:rPr>
        <w:t>Butler</w:t>
      </w:r>
      <w:r w:rsidR="00A96684">
        <w:rPr>
          <w:sz w:val="24"/>
          <w:szCs w:val="24"/>
          <w:lang w:val="en-US"/>
        </w:rPr>
        <w:t xml:space="preserve">, </w:t>
      </w:r>
      <w:r w:rsidR="00A96684" w:rsidRPr="00F516AC">
        <w:rPr>
          <w:sz w:val="24"/>
          <w:szCs w:val="24"/>
          <w:lang w:val="en-US"/>
        </w:rPr>
        <w:t>Judith</w:t>
      </w:r>
      <w:r w:rsidRPr="00F516AC">
        <w:rPr>
          <w:sz w:val="24"/>
          <w:szCs w:val="24"/>
          <w:lang w:val="en-US"/>
        </w:rPr>
        <w:t>: „Performative Acts and Gender Constitution: An Essay in Phenomenology and Feminist Theory</w:t>
      </w:r>
      <w:r w:rsidR="008D1401" w:rsidRPr="008D1401">
        <w:rPr>
          <w:sz w:val="24"/>
          <w:szCs w:val="24"/>
          <w:lang w:val="en-US"/>
        </w:rPr>
        <w:t>“</w:t>
      </w:r>
      <w:r w:rsidRPr="00F516AC">
        <w:rPr>
          <w:sz w:val="24"/>
          <w:szCs w:val="24"/>
          <w:lang w:val="en-US"/>
        </w:rPr>
        <w:t xml:space="preserve">. </w:t>
      </w:r>
      <w:r w:rsidRPr="00B44350">
        <w:rPr>
          <w:sz w:val="24"/>
          <w:szCs w:val="24"/>
          <w:lang w:val="en-US"/>
        </w:rPr>
        <w:t xml:space="preserve">In: </w:t>
      </w:r>
      <w:r w:rsidRPr="00B44350">
        <w:rPr>
          <w:i/>
          <w:sz w:val="24"/>
          <w:szCs w:val="24"/>
          <w:lang w:val="en-US"/>
        </w:rPr>
        <w:t>Theatre Journal</w:t>
      </w:r>
      <w:r w:rsidRPr="00B44350">
        <w:rPr>
          <w:sz w:val="24"/>
          <w:szCs w:val="24"/>
          <w:lang w:val="en-US"/>
        </w:rPr>
        <w:t xml:space="preserve"> 40 (1988), S. 519-531.</w:t>
      </w:r>
    </w:p>
    <w:p w14:paraId="1335CA1E" w14:textId="77777777" w:rsidR="005118B9" w:rsidRPr="00B44350" w:rsidRDefault="005118B9" w:rsidP="00F516AC">
      <w:pPr>
        <w:pStyle w:val="Voetnoottekst"/>
        <w:spacing w:line="360" w:lineRule="auto"/>
        <w:ind w:left="567" w:hanging="567"/>
        <w:rPr>
          <w:sz w:val="32"/>
          <w:szCs w:val="24"/>
          <w:lang w:val="en-US"/>
        </w:rPr>
      </w:pPr>
    </w:p>
    <w:p w14:paraId="177DFF8E" w14:textId="787B0977" w:rsidR="005118B9" w:rsidRPr="005118B9" w:rsidRDefault="005118B9" w:rsidP="00F516AC">
      <w:pPr>
        <w:pStyle w:val="Voetnoottekst"/>
        <w:spacing w:line="360" w:lineRule="auto"/>
        <w:ind w:left="567" w:hanging="567"/>
        <w:rPr>
          <w:sz w:val="24"/>
          <w:lang w:val="en-US"/>
        </w:rPr>
      </w:pPr>
      <w:r w:rsidRPr="005118B9">
        <w:rPr>
          <w:sz w:val="24"/>
          <w:lang w:val="en-US"/>
        </w:rPr>
        <w:lastRenderedPageBreak/>
        <w:t>Butler</w:t>
      </w:r>
      <w:r>
        <w:rPr>
          <w:sz w:val="24"/>
          <w:lang w:val="en-US"/>
        </w:rPr>
        <w:t xml:space="preserve">, </w:t>
      </w:r>
      <w:r w:rsidRPr="005118B9">
        <w:rPr>
          <w:sz w:val="24"/>
          <w:lang w:val="en-US"/>
        </w:rPr>
        <w:t xml:space="preserve">Judith: </w:t>
      </w:r>
      <w:r w:rsidRPr="005118B9">
        <w:rPr>
          <w:i/>
          <w:sz w:val="24"/>
          <w:lang w:val="en-US"/>
        </w:rPr>
        <w:t xml:space="preserve">The Psychic Life of Power. Theories in Subjection. </w:t>
      </w:r>
      <w:r w:rsidRPr="005118B9">
        <w:rPr>
          <w:sz w:val="24"/>
          <w:lang w:val="en-US"/>
        </w:rPr>
        <w:t>Stanford: Stanford University Press 1997</w:t>
      </w:r>
      <w:r>
        <w:rPr>
          <w:sz w:val="24"/>
          <w:lang w:val="en-US"/>
        </w:rPr>
        <w:t>.</w:t>
      </w:r>
    </w:p>
    <w:p w14:paraId="0288C2AB" w14:textId="77777777" w:rsidR="0043447A" w:rsidRPr="005118B9" w:rsidRDefault="0043447A" w:rsidP="002E07BB">
      <w:pPr>
        <w:ind w:left="567" w:hanging="567"/>
        <w:rPr>
          <w:lang w:val="en-US"/>
        </w:rPr>
      </w:pPr>
    </w:p>
    <w:p w14:paraId="4922E3DE" w14:textId="77777777" w:rsidR="0043447A" w:rsidRDefault="0043447A" w:rsidP="0043447A">
      <w:pPr>
        <w:pStyle w:val="Voetnoottekst"/>
        <w:spacing w:line="360" w:lineRule="auto"/>
        <w:ind w:left="567" w:hanging="567"/>
        <w:rPr>
          <w:sz w:val="24"/>
          <w:szCs w:val="24"/>
          <w:lang w:val="de-DE"/>
        </w:rPr>
      </w:pPr>
      <w:r w:rsidRPr="000843E6">
        <w:rPr>
          <w:sz w:val="24"/>
          <w:szCs w:val="24"/>
          <w:lang w:val="de-DE"/>
        </w:rPr>
        <w:t>Calic</w:t>
      </w:r>
      <w:r>
        <w:rPr>
          <w:sz w:val="24"/>
          <w:szCs w:val="24"/>
          <w:lang w:val="de-DE"/>
        </w:rPr>
        <w:t xml:space="preserve">, </w:t>
      </w:r>
      <w:r w:rsidRPr="000843E6">
        <w:rPr>
          <w:sz w:val="24"/>
          <w:szCs w:val="24"/>
          <w:lang w:val="de-DE"/>
        </w:rPr>
        <w:t xml:space="preserve">Marie-Janine: </w:t>
      </w:r>
      <w:r w:rsidRPr="000843E6">
        <w:rPr>
          <w:i/>
          <w:sz w:val="24"/>
          <w:szCs w:val="24"/>
          <w:lang w:val="de-DE"/>
        </w:rPr>
        <w:t xml:space="preserve">Kleine Geschichte Jugoslawiens. </w:t>
      </w:r>
      <w:r w:rsidRPr="000843E6">
        <w:rPr>
          <w:sz w:val="24"/>
          <w:szCs w:val="24"/>
          <w:lang w:val="de-DE"/>
        </w:rPr>
        <w:t xml:space="preserve">Aus Politik und Zeitgeschichte: Bundeszentrale für politische Bildung. 29.09.2017. </w:t>
      </w:r>
    </w:p>
    <w:p w14:paraId="115213F8" w14:textId="77777777" w:rsidR="009E245D" w:rsidRDefault="00B24BFD" w:rsidP="000C2DFD">
      <w:pPr>
        <w:pStyle w:val="Voetnoottekst"/>
        <w:spacing w:line="360" w:lineRule="auto"/>
        <w:ind w:left="567"/>
        <w:rPr>
          <w:sz w:val="24"/>
          <w:szCs w:val="24"/>
          <w:lang w:val="de-DE"/>
        </w:rPr>
      </w:pPr>
      <w:hyperlink r:id="rId10" w:history="1">
        <w:r w:rsidR="0043447A" w:rsidRPr="000843E6">
          <w:rPr>
            <w:rStyle w:val="Hyperlink"/>
            <w:sz w:val="24"/>
            <w:szCs w:val="24"/>
            <w:lang w:val="de-DE"/>
          </w:rPr>
          <w:t>http://www.bpb.de/apuz/256921/kleine-geschichte-jugoslawiens</w:t>
        </w:r>
      </w:hyperlink>
      <w:r w:rsidR="0043447A" w:rsidRPr="000843E6">
        <w:rPr>
          <w:sz w:val="24"/>
          <w:szCs w:val="24"/>
          <w:lang w:val="de-DE"/>
        </w:rPr>
        <w:t xml:space="preserve"> </w:t>
      </w:r>
    </w:p>
    <w:p w14:paraId="14AA1C14" w14:textId="01EAD6DB" w:rsidR="00907F66" w:rsidRDefault="0043447A" w:rsidP="000C2DFD">
      <w:pPr>
        <w:pStyle w:val="Voetnoottekst"/>
        <w:spacing w:line="360" w:lineRule="auto"/>
        <w:ind w:left="567"/>
        <w:rPr>
          <w:sz w:val="24"/>
          <w:szCs w:val="24"/>
          <w:lang w:val="de-DE"/>
        </w:rPr>
      </w:pPr>
      <w:r w:rsidRPr="000843E6">
        <w:rPr>
          <w:sz w:val="24"/>
          <w:szCs w:val="24"/>
          <w:lang w:val="de-DE"/>
        </w:rPr>
        <w:t>(abgerufen am 25.12.2017).</w:t>
      </w:r>
    </w:p>
    <w:p w14:paraId="29414249" w14:textId="77777777" w:rsidR="00445821" w:rsidRPr="0043447A" w:rsidRDefault="00445821" w:rsidP="000C2DFD">
      <w:pPr>
        <w:pStyle w:val="Voetnoottekst"/>
        <w:spacing w:line="360" w:lineRule="auto"/>
        <w:ind w:left="567"/>
        <w:rPr>
          <w:lang w:val="de-DE"/>
        </w:rPr>
      </w:pPr>
    </w:p>
    <w:p w14:paraId="410F9BB0" w14:textId="7816D75D" w:rsidR="00907F66" w:rsidRDefault="00907F66" w:rsidP="002E07BB">
      <w:pPr>
        <w:ind w:left="567" w:hanging="567"/>
        <w:rPr>
          <w:lang w:val="en-GB"/>
        </w:rPr>
      </w:pPr>
      <w:r w:rsidRPr="00395685">
        <w:rPr>
          <w:lang w:val="fr-FR"/>
        </w:rPr>
        <w:t>Césaire</w:t>
      </w:r>
      <w:r w:rsidR="00B87CFE" w:rsidRPr="00395685">
        <w:rPr>
          <w:lang w:val="fr-FR"/>
        </w:rPr>
        <w:t>, Aimé</w:t>
      </w:r>
      <w:r w:rsidRPr="00395685">
        <w:rPr>
          <w:lang w:val="fr-FR"/>
        </w:rPr>
        <w:t xml:space="preserve">: </w:t>
      </w:r>
      <w:r w:rsidRPr="00395685">
        <w:rPr>
          <w:i/>
          <w:lang w:val="fr-FR"/>
        </w:rPr>
        <w:t xml:space="preserve">Discourse on Colonialism. </w:t>
      </w:r>
      <w:r>
        <w:rPr>
          <w:lang w:val="en-GB"/>
        </w:rPr>
        <w:t>New York: Monthly Review Press 1972.</w:t>
      </w:r>
    </w:p>
    <w:p w14:paraId="0552F2BA" w14:textId="77777777" w:rsidR="009C5E1E" w:rsidRDefault="009C5E1E" w:rsidP="002E07BB">
      <w:pPr>
        <w:ind w:left="567" w:hanging="567"/>
        <w:rPr>
          <w:lang w:val="en-GB"/>
        </w:rPr>
      </w:pPr>
    </w:p>
    <w:p w14:paraId="5A368618" w14:textId="34519D98" w:rsidR="009C5E1E" w:rsidRPr="00642DD0" w:rsidRDefault="009C5E1E" w:rsidP="009C5E1E">
      <w:pPr>
        <w:rPr>
          <w:lang w:val="en-US"/>
        </w:rPr>
      </w:pPr>
      <w:r w:rsidRPr="008F253F">
        <w:rPr>
          <w:lang w:val="en-GB"/>
        </w:rPr>
        <w:t>Collins</w:t>
      </w:r>
      <w:r>
        <w:rPr>
          <w:lang w:val="en-GB"/>
        </w:rPr>
        <w:t xml:space="preserve">, </w:t>
      </w:r>
      <w:r w:rsidRPr="008F253F">
        <w:rPr>
          <w:lang w:val="en-GB"/>
        </w:rPr>
        <w:t>Patricia Hill und Sirma Bilge:</w:t>
      </w:r>
      <w:r>
        <w:rPr>
          <w:lang w:val="en-GB"/>
        </w:rPr>
        <w:t xml:space="preserve"> </w:t>
      </w:r>
      <w:r>
        <w:rPr>
          <w:i/>
          <w:lang w:val="en-GB"/>
        </w:rPr>
        <w:t>Intersectionality.</w:t>
      </w:r>
      <w:r>
        <w:rPr>
          <w:lang w:val="en-GB"/>
        </w:rPr>
        <w:t xml:space="preserve"> </w:t>
      </w:r>
      <w:r w:rsidRPr="00642DD0">
        <w:rPr>
          <w:lang w:val="en-US"/>
        </w:rPr>
        <w:t xml:space="preserve">Cambridge: Polity </w:t>
      </w:r>
      <w:r w:rsidR="00674CFA" w:rsidRPr="00642DD0">
        <w:rPr>
          <w:lang w:val="en-US"/>
        </w:rPr>
        <w:t xml:space="preserve">Press </w:t>
      </w:r>
      <w:r w:rsidRPr="00642DD0">
        <w:rPr>
          <w:lang w:val="en-US"/>
        </w:rPr>
        <w:t xml:space="preserve">2016. </w:t>
      </w:r>
    </w:p>
    <w:p w14:paraId="3A179A2C" w14:textId="6096D26D" w:rsidR="00A841C1" w:rsidRPr="00642DD0" w:rsidRDefault="00A841C1" w:rsidP="009C5E1E">
      <w:pPr>
        <w:rPr>
          <w:lang w:val="en-US"/>
        </w:rPr>
      </w:pPr>
    </w:p>
    <w:p w14:paraId="4880A64C" w14:textId="45750116" w:rsidR="002B51F3" w:rsidRPr="00642DD0" w:rsidRDefault="00A841C1" w:rsidP="00A841C1">
      <w:pPr>
        <w:ind w:left="567" w:hanging="567"/>
        <w:rPr>
          <w:lang w:val="fr-FR"/>
        </w:rPr>
      </w:pPr>
      <w:r w:rsidRPr="00ED1C04">
        <w:rPr>
          <w:lang w:val="en-US"/>
        </w:rPr>
        <w:t>Cronin</w:t>
      </w:r>
      <w:r w:rsidR="00A96684">
        <w:rPr>
          <w:lang w:val="en-US"/>
        </w:rPr>
        <w:t>, Thomas E.</w:t>
      </w:r>
      <w:r w:rsidRPr="00ED1C04">
        <w:rPr>
          <w:lang w:val="en-US"/>
        </w:rPr>
        <w:t xml:space="preserve">: </w:t>
      </w:r>
      <w:r w:rsidRPr="00ED1C04">
        <w:rPr>
          <w:i/>
          <w:lang w:val="en-US"/>
        </w:rPr>
        <w:t>Direct Democracy.</w:t>
      </w:r>
      <w:r>
        <w:rPr>
          <w:i/>
          <w:lang w:val="en-US"/>
        </w:rPr>
        <w:t xml:space="preserve"> The Politics of Initiative, Referendum, and Recall. </w:t>
      </w:r>
      <w:r w:rsidRPr="00642DD0">
        <w:rPr>
          <w:lang w:val="fr-FR"/>
        </w:rPr>
        <w:t>Cambridge: Harvard University Press 1989.</w:t>
      </w:r>
    </w:p>
    <w:p w14:paraId="22D503B9" w14:textId="77777777" w:rsidR="00A841C1" w:rsidRPr="00924C22" w:rsidRDefault="00A841C1" w:rsidP="009C5E1E">
      <w:pPr>
        <w:rPr>
          <w:lang w:val="fr-FR"/>
        </w:rPr>
      </w:pPr>
    </w:p>
    <w:p w14:paraId="50211D6B" w14:textId="25B1C45E" w:rsidR="00AB62D0" w:rsidRPr="00111EEE" w:rsidRDefault="002B51F3" w:rsidP="009C5E1E">
      <w:pPr>
        <w:rPr>
          <w:lang w:val="fr-FR"/>
        </w:rPr>
      </w:pPr>
      <w:r w:rsidRPr="00924C22">
        <w:rPr>
          <w:lang w:val="fr-FR"/>
        </w:rPr>
        <w:t xml:space="preserve">De Beauvoir, Simone: </w:t>
      </w:r>
      <w:r w:rsidRPr="00924C22">
        <w:rPr>
          <w:i/>
          <w:lang w:val="fr-FR"/>
        </w:rPr>
        <w:t>Le deuxième sexe, I</w:t>
      </w:r>
      <w:r w:rsidRPr="00924C22">
        <w:rPr>
          <w:lang w:val="fr-FR"/>
        </w:rPr>
        <w:t xml:space="preserve">. </w:t>
      </w:r>
      <w:r w:rsidRPr="00924C22">
        <w:rPr>
          <w:i/>
          <w:lang w:val="fr-FR"/>
        </w:rPr>
        <w:t xml:space="preserve">Les faits et les mythes. </w:t>
      </w:r>
      <w:r w:rsidRPr="00111EEE">
        <w:rPr>
          <w:lang w:val="fr-FR"/>
        </w:rPr>
        <w:t>Paris: Gallimard 1976</w:t>
      </w:r>
      <w:r w:rsidR="00B47B18" w:rsidRPr="00111EEE">
        <w:rPr>
          <w:lang w:val="fr-FR"/>
        </w:rPr>
        <w:t>.</w:t>
      </w:r>
    </w:p>
    <w:p w14:paraId="2FC71B86" w14:textId="77777777" w:rsidR="000D2464" w:rsidRPr="00111EEE" w:rsidRDefault="000D2464" w:rsidP="009C5E1E">
      <w:pPr>
        <w:rPr>
          <w:lang w:val="fr-FR"/>
        </w:rPr>
      </w:pPr>
    </w:p>
    <w:p w14:paraId="5D59305F" w14:textId="582DC672" w:rsidR="000D2464" w:rsidRPr="00111EEE" w:rsidRDefault="00A96684" w:rsidP="009C5E1E">
      <w:pPr>
        <w:rPr>
          <w:lang w:val="de-DE"/>
        </w:rPr>
      </w:pPr>
      <w:r>
        <w:rPr>
          <w:lang w:val="fr-FR"/>
        </w:rPr>
        <w:t xml:space="preserve">De </w:t>
      </w:r>
      <w:r w:rsidR="000D2464" w:rsidRPr="008D1401">
        <w:rPr>
          <w:lang w:val="fr-FR"/>
        </w:rPr>
        <w:t>Beauvoir</w:t>
      </w:r>
      <w:r>
        <w:rPr>
          <w:lang w:val="fr-FR"/>
        </w:rPr>
        <w:t>, Simone</w:t>
      </w:r>
      <w:r w:rsidR="000D2464" w:rsidRPr="008D1401">
        <w:rPr>
          <w:lang w:val="fr-FR"/>
        </w:rPr>
        <w:t xml:space="preserve">: </w:t>
      </w:r>
      <w:r w:rsidR="000D2464" w:rsidRPr="008D1401">
        <w:rPr>
          <w:i/>
          <w:lang w:val="fr-FR"/>
        </w:rPr>
        <w:t>Le deu</w:t>
      </w:r>
      <w:r w:rsidR="000D2464">
        <w:rPr>
          <w:i/>
          <w:lang w:val="fr-FR"/>
        </w:rPr>
        <w:t xml:space="preserve">xième sexe, II. L’expérience vécue. </w:t>
      </w:r>
      <w:r w:rsidR="000D2464" w:rsidRPr="00111EEE">
        <w:rPr>
          <w:lang w:val="de-DE"/>
        </w:rPr>
        <w:t>Paris: Gallimard 1949.</w:t>
      </w:r>
    </w:p>
    <w:p w14:paraId="70BE5FBA" w14:textId="77777777" w:rsidR="00AB62D0" w:rsidRPr="00111EEE" w:rsidRDefault="00AB62D0" w:rsidP="009C5E1E">
      <w:pPr>
        <w:rPr>
          <w:lang w:val="de-DE"/>
        </w:rPr>
      </w:pPr>
    </w:p>
    <w:p w14:paraId="1E10F1BB" w14:textId="0B9D7441" w:rsidR="00AB62D0" w:rsidRPr="002810D7" w:rsidRDefault="009E245D" w:rsidP="00AB62D0">
      <w:pPr>
        <w:ind w:left="567" w:hanging="567"/>
        <w:rPr>
          <w:lang w:val="de-DE"/>
        </w:rPr>
      </w:pPr>
      <w:r>
        <w:rPr>
          <w:lang w:val="de-DE"/>
        </w:rPr>
        <w:t>Decock, Sofie: „</w:t>
      </w:r>
      <w:r w:rsidR="00AB62D0" w:rsidRPr="00D645B2">
        <w:rPr>
          <w:lang w:val="de-DE"/>
        </w:rPr>
        <w:t xml:space="preserve">Sich Wohn- und Erzählraum schaffen. Zur Bewältigung von Alterität in Melinda Nadj Abonjis Roman </w:t>
      </w:r>
      <w:r w:rsidR="00AB62D0" w:rsidRPr="00D645B2">
        <w:rPr>
          <w:i/>
          <w:lang w:val="de-DE"/>
        </w:rPr>
        <w:t>Tauben fliegen auf</w:t>
      </w:r>
      <w:r>
        <w:rPr>
          <w:lang w:val="de-DE"/>
        </w:rPr>
        <w:t>“</w:t>
      </w:r>
      <w:r w:rsidR="00AB62D0" w:rsidRPr="00D645B2">
        <w:rPr>
          <w:lang w:val="de-DE"/>
        </w:rPr>
        <w:t xml:space="preserve">. In: </w:t>
      </w:r>
      <w:r w:rsidR="00AB62D0" w:rsidRPr="00D645B2">
        <w:rPr>
          <w:i/>
          <w:lang w:val="de-DE"/>
        </w:rPr>
        <w:t xml:space="preserve">Alterität: Festschrift für Heidy Margrit Müller. </w:t>
      </w:r>
      <w:r w:rsidR="00AB62D0" w:rsidRPr="00D645B2">
        <w:rPr>
          <w:lang w:val="de-DE"/>
        </w:rPr>
        <w:t xml:space="preserve">Hg. von Inge Arteel und Katja Lochtman. </w:t>
      </w:r>
      <w:r w:rsidR="00AB62D0" w:rsidRPr="002810D7">
        <w:rPr>
          <w:lang w:val="de-DE"/>
        </w:rPr>
        <w:t>Tübingen: Stauffenburg 2013, S. 113-126.</w:t>
      </w:r>
    </w:p>
    <w:p w14:paraId="62087779" w14:textId="0BB7C459" w:rsidR="00D622A6" w:rsidRPr="002810D7" w:rsidRDefault="00D622A6" w:rsidP="00AB62D0">
      <w:pPr>
        <w:ind w:left="567" w:hanging="567"/>
        <w:rPr>
          <w:lang w:val="de-DE"/>
        </w:rPr>
      </w:pPr>
    </w:p>
    <w:p w14:paraId="67FA9CF6" w14:textId="64B2278E" w:rsidR="005A1C22" w:rsidRPr="0037789F" w:rsidRDefault="00D622A6" w:rsidP="00E22DCA">
      <w:pPr>
        <w:ind w:left="567" w:hanging="567"/>
        <w:rPr>
          <w:lang w:val="en-US"/>
        </w:rPr>
      </w:pPr>
      <w:r w:rsidRPr="0038144D">
        <w:rPr>
          <w:lang w:val="de-DE"/>
        </w:rPr>
        <w:t>Degele</w:t>
      </w:r>
      <w:r w:rsidR="000C2DFD">
        <w:rPr>
          <w:lang w:val="de-DE"/>
        </w:rPr>
        <w:t>, Nina</w:t>
      </w:r>
      <w:r w:rsidRPr="000C2DFD">
        <w:rPr>
          <w:lang w:val="de-DE"/>
        </w:rPr>
        <w:t xml:space="preserve"> </w:t>
      </w:r>
      <w:r w:rsidRPr="0038144D">
        <w:rPr>
          <w:lang w:val="de-DE"/>
        </w:rPr>
        <w:t>und Gabriele Winker:</w:t>
      </w:r>
      <w:r>
        <w:rPr>
          <w:lang w:val="de-DE"/>
        </w:rPr>
        <w:t xml:space="preserve"> </w:t>
      </w:r>
      <w:r w:rsidR="00E22DCA">
        <w:rPr>
          <w:i/>
          <w:lang w:val="de-DE"/>
        </w:rPr>
        <w:t xml:space="preserve">Intersektionalität als Mehrebenenanalyse. </w:t>
      </w:r>
      <w:r w:rsidR="00E22DCA" w:rsidRPr="0037789F">
        <w:rPr>
          <w:lang w:val="en-US"/>
        </w:rPr>
        <w:t>2007,</w:t>
      </w:r>
      <w:r w:rsidR="00E22DCA" w:rsidRPr="0037789F">
        <w:rPr>
          <w:i/>
          <w:lang w:val="en-US"/>
        </w:rPr>
        <w:t xml:space="preserve"> </w:t>
      </w:r>
      <w:hyperlink r:id="rId11" w:history="1">
        <w:r w:rsidR="00E22DCA" w:rsidRPr="0037789F">
          <w:rPr>
            <w:rStyle w:val="Hyperlink"/>
            <w:lang w:val="en-US"/>
          </w:rPr>
          <w:t>https://tubdok.tub.tuhh.de/bitstream/11420/384/1/Intersektionalitaet_Mehrebenen.pdf</w:t>
        </w:r>
      </w:hyperlink>
      <w:r w:rsidR="00E22DCA" w:rsidRPr="0037789F">
        <w:rPr>
          <w:lang w:val="en-US"/>
        </w:rPr>
        <w:t>.</w:t>
      </w:r>
    </w:p>
    <w:p w14:paraId="7AE67B4C" w14:textId="77777777" w:rsidR="00E22DCA" w:rsidRPr="0037789F" w:rsidRDefault="00E22DCA" w:rsidP="00E22DCA">
      <w:pPr>
        <w:ind w:left="567" w:hanging="567"/>
        <w:rPr>
          <w:lang w:val="en-US"/>
        </w:rPr>
      </w:pPr>
    </w:p>
    <w:p w14:paraId="589A4866" w14:textId="44BA1FDF" w:rsidR="00022153" w:rsidRPr="00363740" w:rsidRDefault="005A1C22" w:rsidP="00AE6EEC">
      <w:pPr>
        <w:ind w:left="567" w:hanging="567"/>
        <w:rPr>
          <w:lang w:val="de-DE"/>
        </w:rPr>
      </w:pPr>
      <w:r w:rsidRPr="0037789F">
        <w:rPr>
          <w:lang w:val="en-US"/>
        </w:rPr>
        <w:t>Fanon</w:t>
      </w:r>
      <w:r w:rsidR="00B87CFE" w:rsidRPr="0037789F">
        <w:rPr>
          <w:lang w:val="en-US"/>
        </w:rPr>
        <w:t>, Frantz</w:t>
      </w:r>
      <w:r w:rsidRPr="0037789F">
        <w:rPr>
          <w:lang w:val="en-US"/>
        </w:rPr>
        <w:t xml:space="preserve">: </w:t>
      </w:r>
      <w:r w:rsidRPr="0037789F">
        <w:rPr>
          <w:i/>
          <w:lang w:val="en-US"/>
        </w:rPr>
        <w:t xml:space="preserve">Black Skin, White Masks. </w:t>
      </w:r>
      <w:r w:rsidRPr="00363740">
        <w:rPr>
          <w:lang w:val="de-DE"/>
        </w:rPr>
        <w:t>London: Pluto Press 2008</w:t>
      </w:r>
      <w:r w:rsidR="00B87CFE" w:rsidRPr="00363740">
        <w:rPr>
          <w:lang w:val="de-DE"/>
        </w:rPr>
        <w:t>.</w:t>
      </w:r>
    </w:p>
    <w:p w14:paraId="33659484" w14:textId="00AB83B7" w:rsidR="00D51755" w:rsidRPr="00363740" w:rsidRDefault="00D51755" w:rsidP="00AE6EEC">
      <w:pPr>
        <w:ind w:left="567" w:hanging="567"/>
        <w:rPr>
          <w:lang w:val="de-DE"/>
        </w:rPr>
      </w:pPr>
    </w:p>
    <w:p w14:paraId="4EE8A6C5" w14:textId="6041121C" w:rsidR="00D51755" w:rsidRPr="0037789F" w:rsidRDefault="00D51755" w:rsidP="00AE6EEC">
      <w:pPr>
        <w:ind w:left="567" w:hanging="567"/>
        <w:rPr>
          <w:lang w:val="en-US"/>
        </w:rPr>
      </w:pPr>
      <w:r>
        <w:rPr>
          <w:lang w:val="de-DE"/>
        </w:rPr>
        <w:t>Flaig</w:t>
      </w:r>
      <w:r w:rsidR="000C2DFD">
        <w:rPr>
          <w:lang w:val="de-DE"/>
        </w:rPr>
        <w:t>, Egon</w:t>
      </w:r>
      <w:r>
        <w:rPr>
          <w:lang w:val="de-DE"/>
        </w:rPr>
        <w:t xml:space="preserve">: </w:t>
      </w:r>
      <w:r w:rsidRPr="00D51755">
        <w:rPr>
          <w:i/>
          <w:lang w:val="de-DE"/>
        </w:rPr>
        <w:t>Weltgeschichte der Sklaverei</w:t>
      </w:r>
      <w:r>
        <w:rPr>
          <w:lang w:val="de-DE"/>
        </w:rPr>
        <w:t xml:space="preserve">. </w:t>
      </w:r>
      <w:r w:rsidRPr="0037789F">
        <w:rPr>
          <w:lang w:val="en-US"/>
        </w:rPr>
        <w:t>München: C. H. Beck 2009.</w:t>
      </w:r>
    </w:p>
    <w:p w14:paraId="4E8E497D" w14:textId="77777777" w:rsidR="007B304E" w:rsidRPr="0037789F" w:rsidRDefault="007B304E" w:rsidP="00AE6EEC">
      <w:pPr>
        <w:ind w:left="567" w:hanging="567"/>
        <w:rPr>
          <w:lang w:val="en-US"/>
        </w:rPr>
      </w:pPr>
    </w:p>
    <w:p w14:paraId="288709A7" w14:textId="4082A8A3" w:rsidR="00022153" w:rsidRDefault="00022153" w:rsidP="00AE6EEC">
      <w:pPr>
        <w:ind w:left="567" w:hanging="567"/>
        <w:rPr>
          <w:lang w:val="en-GB"/>
        </w:rPr>
      </w:pPr>
      <w:r w:rsidRPr="0037789F">
        <w:rPr>
          <w:lang w:val="en-US"/>
        </w:rPr>
        <w:lastRenderedPageBreak/>
        <w:t>Foucault, Michel und Gilles Deleuze: „Intellectuals and Power“</w:t>
      </w:r>
      <w:r w:rsidR="009E245D" w:rsidRPr="0037789F">
        <w:rPr>
          <w:lang w:val="en-US"/>
        </w:rPr>
        <w:t>.</w:t>
      </w:r>
      <w:r w:rsidRPr="0037789F">
        <w:rPr>
          <w:lang w:val="en-US"/>
        </w:rPr>
        <w:t xml:space="preserve"> </w:t>
      </w:r>
      <w:r w:rsidRPr="00022153">
        <w:rPr>
          <w:lang w:val="en-GB"/>
        </w:rPr>
        <w:t xml:space="preserve">In: </w:t>
      </w:r>
      <w:r w:rsidRPr="00022153">
        <w:rPr>
          <w:i/>
          <w:lang w:val="en-GB"/>
        </w:rPr>
        <w:t>Language, Cou</w:t>
      </w:r>
      <w:r>
        <w:rPr>
          <w:i/>
          <w:lang w:val="en-GB"/>
        </w:rPr>
        <w:t xml:space="preserve">nter-Memory, Practice: Selected essays and interviews. </w:t>
      </w:r>
      <w:r>
        <w:rPr>
          <w:lang w:val="en-GB"/>
        </w:rPr>
        <w:t>Hg. von Donald F. Bouchard und Sherry Simon. Ithaca: Cornell University Press 1977, S. 205-217.</w:t>
      </w:r>
    </w:p>
    <w:p w14:paraId="04070258" w14:textId="77777777" w:rsidR="00E71275" w:rsidRDefault="00E71275" w:rsidP="00AE6EEC">
      <w:pPr>
        <w:ind w:left="567" w:hanging="567"/>
        <w:rPr>
          <w:lang w:val="en-GB"/>
        </w:rPr>
      </w:pPr>
    </w:p>
    <w:p w14:paraId="65618E20" w14:textId="08FD4B56" w:rsidR="00E71275" w:rsidRPr="00E71275" w:rsidRDefault="00E71275" w:rsidP="00AE6EEC">
      <w:pPr>
        <w:ind w:left="567" w:hanging="567"/>
        <w:rPr>
          <w:lang w:val="de-DE"/>
        </w:rPr>
      </w:pPr>
      <w:r>
        <w:rPr>
          <w:lang w:val="de-DE"/>
        </w:rPr>
        <w:t xml:space="preserve">Glaser, </w:t>
      </w:r>
      <w:r w:rsidRPr="00E71275">
        <w:rPr>
          <w:lang w:val="de-DE"/>
        </w:rPr>
        <w:t>E</w:t>
      </w:r>
      <w:r>
        <w:rPr>
          <w:lang w:val="de-DE"/>
        </w:rPr>
        <w:t xml:space="preserve">lvira: </w:t>
      </w:r>
      <w:r w:rsidRPr="00E71275">
        <w:rPr>
          <w:i/>
          <w:lang w:val="de-DE"/>
        </w:rPr>
        <w:t>Ist das Schweizerdeutsche eine eigene Sprache?</w:t>
      </w:r>
      <w:r>
        <w:rPr>
          <w:lang w:val="de-DE"/>
        </w:rPr>
        <w:t xml:space="preserve"> Universität Zürich. </w:t>
      </w:r>
      <w:hyperlink r:id="rId12" w:history="1">
        <w:r w:rsidRPr="007A006B">
          <w:rPr>
            <w:rStyle w:val="Hyperlink"/>
            <w:lang w:val="de-DE"/>
          </w:rPr>
          <w:t>http://www.linguistik.uzh.ch/de/easyling/faq/kolmer-schweizerdeutsch.html</w:t>
        </w:r>
      </w:hyperlink>
      <w:r>
        <w:rPr>
          <w:lang w:val="de-DE"/>
        </w:rPr>
        <w:t xml:space="preserve"> (abgerufen am 17.03.2018).</w:t>
      </w:r>
    </w:p>
    <w:p w14:paraId="656C1D4F" w14:textId="48EAE80D" w:rsidR="0071400F" w:rsidRPr="00E71275" w:rsidRDefault="0071400F" w:rsidP="00AE6EEC">
      <w:pPr>
        <w:ind w:left="567" w:hanging="567"/>
        <w:rPr>
          <w:lang w:val="de-DE"/>
        </w:rPr>
      </w:pPr>
    </w:p>
    <w:p w14:paraId="31EB55CB" w14:textId="1A43226F" w:rsidR="00D90F92" w:rsidRPr="002810D7" w:rsidRDefault="0071400F" w:rsidP="000C2DFD">
      <w:pPr>
        <w:ind w:left="567" w:hanging="567"/>
        <w:rPr>
          <w:lang w:val="de-DE"/>
        </w:rPr>
      </w:pPr>
      <w:r w:rsidRPr="0071400F">
        <w:rPr>
          <w:lang w:val="en-GB"/>
        </w:rPr>
        <w:t>Green</w:t>
      </w:r>
      <w:r w:rsidR="0054249D">
        <w:rPr>
          <w:lang w:val="en-GB"/>
        </w:rPr>
        <w:t xml:space="preserve">, </w:t>
      </w:r>
      <w:r w:rsidR="0054249D" w:rsidRPr="0071400F">
        <w:rPr>
          <w:lang w:val="en-GB"/>
        </w:rPr>
        <w:t>Marcus E.</w:t>
      </w:r>
      <w:r w:rsidRPr="0071400F">
        <w:rPr>
          <w:lang w:val="en-GB"/>
        </w:rPr>
        <w:t xml:space="preserve">: „Rethinking the subaltern and the question of censorship in Gramsci’s </w:t>
      </w:r>
      <w:r w:rsidRPr="0071400F">
        <w:rPr>
          <w:i/>
          <w:lang w:val="en-GB"/>
        </w:rPr>
        <w:t>Prison Notebooks</w:t>
      </w:r>
      <w:r w:rsidRPr="0071400F">
        <w:rPr>
          <w:lang w:val="en-GB"/>
        </w:rPr>
        <w:t>“</w:t>
      </w:r>
      <w:r w:rsidR="009E245D">
        <w:rPr>
          <w:lang w:val="en-GB"/>
        </w:rPr>
        <w:t>.</w:t>
      </w:r>
      <w:r>
        <w:rPr>
          <w:lang w:val="en-GB"/>
        </w:rPr>
        <w:t xml:space="preserve"> </w:t>
      </w:r>
      <w:r w:rsidRPr="002810D7">
        <w:rPr>
          <w:lang w:val="de-DE"/>
        </w:rPr>
        <w:t xml:space="preserve">In: </w:t>
      </w:r>
      <w:r w:rsidRPr="002810D7">
        <w:rPr>
          <w:i/>
          <w:lang w:val="de-DE"/>
        </w:rPr>
        <w:t xml:space="preserve">Postcolonial Studies </w:t>
      </w:r>
      <w:r w:rsidRPr="002810D7">
        <w:rPr>
          <w:lang w:val="de-DE"/>
        </w:rPr>
        <w:t>14</w:t>
      </w:r>
      <w:r w:rsidR="00B47B18" w:rsidRPr="002810D7">
        <w:rPr>
          <w:lang w:val="de-DE"/>
        </w:rPr>
        <w:t xml:space="preserve"> (2011)</w:t>
      </w:r>
      <w:r w:rsidRPr="002810D7">
        <w:rPr>
          <w:lang w:val="de-DE"/>
        </w:rPr>
        <w:t>, S. 387-404.</w:t>
      </w:r>
    </w:p>
    <w:p w14:paraId="11C13B78" w14:textId="77777777" w:rsidR="000C2DFD" w:rsidRPr="002810D7" w:rsidRDefault="000C2DFD" w:rsidP="000C2DFD">
      <w:pPr>
        <w:ind w:left="567" w:hanging="567"/>
        <w:rPr>
          <w:lang w:val="de-DE"/>
        </w:rPr>
      </w:pPr>
    </w:p>
    <w:p w14:paraId="0B70AB57" w14:textId="18F7504C" w:rsidR="00D90F92" w:rsidRPr="00D90F92" w:rsidRDefault="00D90F92" w:rsidP="00AE6EEC">
      <w:pPr>
        <w:ind w:left="567" w:hanging="567"/>
        <w:rPr>
          <w:lang w:val="de-DE"/>
        </w:rPr>
      </w:pPr>
      <w:r>
        <w:rPr>
          <w:lang w:val="de-DE"/>
        </w:rPr>
        <w:t xml:space="preserve">Hochschild, Arlie R.: </w:t>
      </w:r>
      <w:r>
        <w:rPr>
          <w:i/>
          <w:lang w:val="de-DE"/>
        </w:rPr>
        <w:t xml:space="preserve">Das gekaufte Herz. Zur Kommerzialisierung der Gefühle. </w:t>
      </w:r>
      <w:r>
        <w:rPr>
          <w:lang w:val="de-DE"/>
        </w:rPr>
        <w:t>Frankfurt am Main: Campus 2006.</w:t>
      </w:r>
    </w:p>
    <w:p w14:paraId="79E016D5" w14:textId="79B0C50E" w:rsidR="00A96684" w:rsidRPr="00D90F92" w:rsidRDefault="00A96684" w:rsidP="00AE6EEC">
      <w:pPr>
        <w:ind w:left="567" w:hanging="567"/>
        <w:rPr>
          <w:lang w:val="de-DE"/>
        </w:rPr>
      </w:pPr>
    </w:p>
    <w:p w14:paraId="0D8490D1" w14:textId="1AF15D9C" w:rsidR="00A96684" w:rsidRPr="00A6734E" w:rsidRDefault="00A96684" w:rsidP="00D76DD5">
      <w:pPr>
        <w:ind w:left="567" w:hanging="567"/>
        <w:rPr>
          <w:lang w:val="en-US"/>
        </w:rPr>
      </w:pPr>
      <w:r w:rsidRPr="00A96684">
        <w:rPr>
          <w:lang w:val="en-US"/>
        </w:rPr>
        <w:t>Jagger</w:t>
      </w:r>
      <w:r>
        <w:rPr>
          <w:lang w:val="en-US"/>
        </w:rPr>
        <w:t xml:space="preserve">, </w:t>
      </w:r>
      <w:r w:rsidRPr="00A96684">
        <w:rPr>
          <w:lang w:val="en-US"/>
        </w:rPr>
        <w:t xml:space="preserve">Gill: </w:t>
      </w:r>
      <w:r w:rsidRPr="00A96684">
        <w:rPr>
          <w:i/>
          <w:lang w:val="en-US"/>
        </w:rPr>
        <w:t>Judith Butler. S</w:t>
      </w:r>
      <w:r>
        <w:rPr>
          <w:i/>
          <w:lang w:val="en-US"/>
        </w:rPr>
        <w:t>exual politics, social change and the power of the performative.</w:t>
      </w:r>
      <w:r>
        <w:rPr>
          <w:lang w:val="en-US"/>
        </w:rPr>
        <w:t xml:space="preserve"> </w:t>
      </w:r>
      <w:r w:rsidRPr="00A6734E">
        <w:rPr>
          <w:lang w:val="en-US"/>
        </w:rPr>
        <w:t>New York: Routledge 2008.</w:t>
      </w:r>
    </w:p>
    <w:p w14:paraId="38A0E1F2" w14:textId="77777777" w:rsidR="00D76DD5" w:rsidRPr="00A6734E" w:rsidRDefault="00D76DD5" w:rsidP="00D76DD5">
      <w:pPr>
        <w:ind w:left="567" w:hanging="567"/>
        <w:rPr>
          <w:lang w:val="en-US"/>
        </w:rPr>
      </w:pPr>
    </w:p>
    <w:p w14:paraId="301191AB" w14:textId="383B5B2A" w:rsidR="00D76DD5" w:rsidRPr="00A6734E" w:rsidRDefault="00D76DD5" w:rsidP="005A2A7E">
      <w:pPr>
        <w:pStyle w:val="Voetnoottekst"/>
        <w:spacing w:line="360" w:lineRule="auto"/>
        <w:ind w:left="567" w:hanging="567"/>
        <w:rPr>
          <w:sz w:val="24"/>
          <w:szCs w:val="24"/>
          <w:lang w:val="de-DE"/>
        </w:rPr>
      </w:pPr>
      <w:r w:rsidRPr="00D76DD5">
        <w:rPr>
          <w:sz w:val="24"/>
          <w:szCs w:val="24"/>
          <w:lang w:val="en-US"/>
        </w:rPr>
        <w:t xml:space="preserve">Jensen, Sune Qvotrup: „Othering, identity formation and agency“. </w:t>
      </w:r>
      <w:r w:rsidRPr="00A6734E">
        <w:rPr>
          <w:sz w:val="24"/>
          <w:szCs w:val="24"/>
          <w:lang w:val="de-DE"/>
        </w:rPr>
        <w:t xml:space="preserve">In: </w:t>
      </w:r>
      <w:r w:rsidRPr="00A6734E">
        <w:rPr>
          <w:i/>
          <w:sz w:val="24"/>
          <w:szCs w:val="24"/>
          <w:lang w:val="de-DE"/>
        </w:rPr>
        <w:t>Qualitative Studies</w:t>
      </w:r>
      <w:r w:rsidRPr="00A6734E">
        <w:rPr>
          <w:sz w:val="24"/>
          <w:szCs w:val="24"/>
          <w:lang w:val="de-DE"/>
        </w:rPr>
        <w:t xml:space="preserve"> 2 (2011), S. 63-78.</w:t>
      </w:r>
    </w:p>
    <w:p w14:paraId="19F7EDFA" w14:textId="4E6D92F9" w:rsidR="007A1F48" w:rsidRPr="00A6734E" w:rsidRDefault="007A1F48" w:rsidP="00AE6EEC">
      <w:pPr>
        <w:ind w:left="567" w:hanging="567"/>
        <w:rPr>
          <w:lang w:val="de-DE"/>
        </w:rPr>
      </w:pPr>
    </w:p>
    <w:p w14:paraId="52CADCEF" w14:textId="0E4817D9" w:rsidR="007A1F48" w:rsidRDefault="007A1F48" w:rsidP="00AE6EEC">
      <w:pPr>
        <w:ind w:left="567" w:hanging="567"/>
        <w:rPr>
          <w:lang w:val="de-DE"/>
        </w:rPr>
      </w:pPr>
      <w:r w:rsidRPr="007A1F48">
        <w:rPr>
          <w:lang w:val="de-DE"/>
        </w:rPr>
        <w:t>Kaser</w:t>
      </w:r>
      <w:r w:rsidR="00D76DD5">
        <w:rPr>
          <w:lang w:val="de-DE"/>
        </w:rPr>
        <w:t>, Karl</w:t>
      </w:r>
      <w:r w:rsidRPr="007A1F48">
        <w:rPr>
          <w:lang w:val="de-DE"/>
        </w:rPr>
        <w:t xml:space="preserve">: </w:t>
      </w:r>
      <w:r w:rsidRPr="007A1F48">
        <w:rPr>
          <w:i/>
          <w:lang w:val="de-DE"/>
        </w:rPr>
        <w:t>Balkan und Naher Osten.</w:t>
      </w:r>
      <w:r>
        <w:rPr>
          <w:i/>
          <w:lang w:val="de-DE"/>
        </w:rPr>
        <w:t xml:space="preserve"> Einführung in eine gemeinsame Geschichte. </w:t>
      </w:r>
      <w:r>
        <w:rPr>
          <w:lang w:val="de-DE"/>
        </w:rPr>
        <w:t>Wien: Böhlau 2011.</w:t>
      </w:r>
    </w:p>
    <w:p w14:paraId="0AE1D45D" w14:textId="77777777" w:rsidR="00E71275" w:rsidRDefault="00E71275" w:rsidP="00AE6EEC">
      <w:pPr>
        <w:ind w:left="567" w:hanging="567"/>
        <w:rPr>
          <w:lang w:val="de-DE"/>
        </w:rPr>
      </w:pPr>
    </w:p>
    <w:p w14:paraId="04A6D5A1" w14:textId="12154A31" w:rsidR="00302D1D" w:rsidRDefault="00302D1D" w:rsidP="00AE6EEC">
      <w:pPr>
        <w:ind w:left="567" w:hanging="567"/>
        <w:rPr>
          <w:lang w:val="de-DE"/>
        </w:rPr>
      </w:pPr>
      <w:r>
        <w:rPr>
          <w:lang w:val="de-DE"/>
        </w:rPr>
        <w:t>Kausen,</w:t>
      </w:r>
      <w:r w:rsidRPr="00302D1D">
        <w:rPr>
          <w:lang w:val="de-DE"/>
        </w:rPr>
        <w:t xml:space="preserve"> </w:t>
      </w:r>
      <w:r>
        <w:rPr>
          <w:lang w:val="de-DE"/>
        </w:rPr>
        <w:t xml:space="preserve">Ernst: </w:t>
      </w:r>
      <w:r>
        <w:rPr>
          <w:i/>
          <w:lang w:val="de-DE"/>
        </w:rPr>
        <w:t xml:space="preserve">Die indogermanischen Sprachen von der Vorgeschichte bis zur Gegenwart. </w:t>
      </w:r>
      <w:r>
        <w:rPr>
          <w:lang w:val="de-DE"/>
        </w:rPr>
        <w:t>Hamburg: Helmut Buske 2012.</w:t>
      </w:r>
    </w:p>
    <w:p w14:paraId="55CBFF68" w14:textId="77777777" w:rsidR="00D069E2" w:rsidRDefault="00D069E2" w:rsidP="00AE6EEC">
      <w:pPr>
        <w:ind w:left="567" w:hanging="567"/>
        <w:rPr>
          <w:lang w:val="de-DE"/>
        </w:rPr>
      </w:pPr>
    </w:p>
    <w:p w14:paraId="5B75A388" w14:textId="6E2C4ECB" w:rsidR="00D069E2" w:rsidRPr="00D069E2" w:rsidRDefault="00D069E2" w:rsidP="00AE6EEC">
      <w:pPr>
        <w:ind w:left="567" w:hanging="567"/>
        <w:rPr>
          <w:lang w:val="fr-FR"/>
        </w:rPr>
      </w:pPr>
      <w:r>
        <w:rPr>
          <w:lang w:val="de-DE"/>
        </w:rPr>
        <w:t>Kegelmann</w:t>
      </w:r>
      <w:r w:rsidR="0084054B">
        <w:rPr>
          <w:lang w:val="de-DE"/>
        </w:rPr>
        <w:t>, René</w:t>
      </w:r>
      <w:r>
        <w:rPr>
          <w:lang w:val="de-DE"/>
        </w:rPr>
        <w:t>: „</w:t>
      </w:r>
      <w:r>
        <w:rPr>
          <w:rFonts w:cs="Times New Roman"/>
          <w:lang w:val="de-DE"/>
        </w:rPr>
        <w:t>»We</w:t>
      </w:r>
      <w:r w:rsidR="00717A87">
        <w:rPr>
          <w:rFonts w:cs="Times New Roman"/>
          <w:lang w:val="de-DE"/>
        </w:rPr>
        <w:t>n</w:t>
      </w:r>
      <w:r>
        <w:rPr>
          <w:rFonts w:cs="Times New Roman"/>
          <w:lang w:val="de-DE"/>
        </w:rPr>
        <w:t xml:space="preserve">n nämlich bereits ein Wort keine Entsprechung findet, wie soll dann ein </w:t>
      </w:r>
      <w:r w:rsidR="00717A87">
        <w:rPr>
          <w:rFonts w:cs="Times New Roman"/>
          <w:lang w:val="de-DE"/>
        </w:rPr>
        <w:t xml:space="preserve">halbes Leben in der neuen Sprache </w:t>
      </w:r>
      <w:r>
        <w:rPr>
          <w:rFonts w:cs="Times New Roman"/>
          <w:lang w:val="de-DE"/>
        </w:rPr>
        <w:t xml:space="preserve">erzählt werden?« </w:t>
      </w:r>
      <w:r w:rsidRPr="00D069E2">
        <w:rPr>
          <w:rFonts w:cs="Times New Roman"/>
          <w:lang w:val="fr-FR"/>
        </w:rPr>
        <w:t>Zur Prosa Melinda Nadj Abo</w:t>
      </w:r>
      <w:r w:rsidR="00717A87">
        <w:rPr>
          <w:rFonts w:cs="Times New Roman"/>
          <w:lang w:val="fr-FR"/>
        </w:rPr>
        <w:t>n</w:t>
      </w:r>
      <w:r w:rsidRPr="00D069E2">
        <w:rPr>
          <w:rFonts w:cs="Times New Roman"/>
          <w:lang w:val="fr-FR"/>
        </w:rPr>
        <w:t xml:space="preserve">jis“. In: </w:t>
      </w:r>
      <w:r w:rsidRPr="00D069E2">
        <w:rPr>
          <w:rFonts w:cs="Times New Roman"/>
          <w:i/>
          <w:lang w:val="fr-FR"/>
        </w:rPr>
        <w:t>Germanica. La litté</w:t>
      </w:r>
      <w:r w:rsidR="00717A87">
        <w:rPr>
          <w:rFonts w:cs="Times New Roman"/>
          <w:i/>
          <w:lang w:val="fr-FR"/>
        </w:rPr>
        <w:t>rature interculturelle de langue</w:t>
      </w:r>
      <w:r w:rsidRPr="00D069E2">
        <w:rPr>
          <w:rFonts w:cs="Times New Roman"/>
          <w:i/>
          <w:lang w:val="fr-FR"/>
        </w:rPr>
        <w:t xml:space="preserve"> allemande </w:t>
      </w:r>
      <w:r>
        <w:rPr>
          <w:rFonts w:cs="Times New Roman"/>
          <w:lang w:val="fr-FR"/>
        </w:rPr>
        <w:t>51 (2012), S. 9-20.</w:t>
      </w:r>
    </w:p>
    <w:p w14:paraId="78C31F69" w14:textId="53FF3E78" w:rsidR="009C5E1E" w:rsidRPr="002810D7" w:rsidRDefault="009C5E1E" w:rsidP="009C5E1E">
      <w:pPr>
        <w:rPr>
          <w:lang w:val="fr-FR"/>
        </w:rPr>
      </w:pPr>
    </w:p>
    <w:p w14:paraId="7099099C" w14:textId="1ACB88E3" w:rsidR="00C77ED9" w:rsidRDefault="002D07E6" w:rsidP="00C77ED9">
      <w:pPr>
        <w:ind w:left="567" w:hanging="567"/>
        <w:rPr>
          <w:lang w:val="en-GB"/>
        </w:rPr>
      </w:pPr>
      <w:r w:rsidRPr="002D07E6">
        <w:rPr>
          <w:lang w:val="en-GB"/>
        </w:rPr>
        <w:lastRenderedPageBreak/>
        <w:t>López</w:t>
      </w:r>
      <w:r>
        <w:rPr>
          <w:lang w:val="en-GB"/>
        </w:rPr>
        <w:t xml:space="preserve">, </w:t>
      </w:r>
      <w:r w:rsidRPr="002D07E6">
        <w:rPr>
          <w:lang w:val="en-GB"/>
        </w:rPr>
        <w:t xml:space="preserve">Alfred J.: </w:t>
      </w:r>
      <w:r w:rsidRPr="002D07E6">
        <w:rPr>
          <w:i/>
          <w:lang w:val="en-GB"/>
        </w:rPr>
        <w:t xml:space="preserve">Posts and Pasts: A Theory of Postcolonialism. </w:t>
      </w:r>
      <w:r>
        <w:rPr>
          <w:lang w:val="en-GB"/>
        </w:rPr>
        <w:t>Albany: State University of New York Press 2001.</w:t>
      </w:r>
    </w:p>
    <w:p w14:paraId="0D4F3154" w14:textId="77777777" w:rsidR="009D45AA" w:rsidRDefault="009D45AA" w:rsidP="00C77ED9">
      <w:pPr>
        <w:ind w:left="567" w:hanging="567"/>
        <w:rPr>
          <w:lang w:val="en-GB"/>
        </w:rPr>
      </w:pPr>
    </w:p>
    <w:p w14:paraId="1ACC054A" w14:textId="622EB9EE" w:rsidR="009D45AA" w:rsidRPr="002810D7" w:rsidRDefault="009D45AA" w:rsidP="00FF0269">
      <w:pPr>
        <w:pStyle w:val="Voetnoottekst"/>
        <w:spacing w:line="360" w:lineRule="auto"/>
        <w:ind w:left="567" w:hanging="567"/>
        <w:rPr>
          <w:sz w:val="24"/>
          <w:szCs w:val="24"/>
          <w:lang w:val="de-DE"/>
        </w:rPr>
      </w:pPr>
      <w:r w:rsidRPr="009D45AA">
        <w:rPr>
          <w:sz w:val="24"/>
          <w:szCs w:val="24"/>
          <w:lang w:val="en-GB"/>
        </w:rPr>
        <w:t>Louai</w:t>
      </w:r>
      <w:r>
        <w:rPr>
          <w:sz w:val="24"/>
          <w:szCs w:val="24"/>
          <w:lang w:val="en-GB"/>
        </w:rPr>
        <w:t>, El Habib</w:t>
      </w:r>
      <w:r w:rsidRPr="009D45AA">
        <w:rPr>
          <w:sz w:val="24"/>
          <w:szCs w:val="24"/>
          <w:lang w:val="en-GB"/>
        </w:rPr>
        <w:t>: „Retracing the concept of the subaltern from Gramsci to Spivak: Historical de</w:t>
      </w:r>
      <w:r w:rsidR="003F40B1">
        <w:rPr>
          <w:sz w:val="24"/>
          <w:szCs w:val="24"/>
          <w:lang w:val="en-GB"/>
        </w:rPr>
        <w:t>velopments and new applications</w:t>
      </w:r>
      <w:r w:rsidRPr="009D45AA">
        <w:rPr>
          <w:sz w:val="24"/>
          <w:szCs w:val="24"/>
          <w:lang w:val="en-GB"/>
        </w:rPr>
        <w:t>“</w:t>
      </w:r>
      <w:r w:rsidR="003F40B1">
        <w:rPr>
          <w:sz w:val="24"/>
          <w:szCs w:val="24"/>
          <w:lang w:val="en-GB"/>
        </w:rPr>
        <w:t>.</w:t>
      </w:r>
      <w:r w:rsidRPr="009D45AA">
        <w:rPr>
          <w:sz w:val="24"/>
          <w:szCs w:val="24"/>
          <w:lang w:val="en-GB"/>
        </w:rPr>
        <w:t xml:space="preserve"> </w:t>
      </w:r>
      <w:r w:rsidRPr="002810D7">
        <w:rPr>
          <w:sz w:val="24"/>
          <w:szCs w:val="24"/>
          <w:lang w:val="de-DE"/>
        </w:rPr>
        <w:t xml:space="preserve">In: </w:t>
      </w:r>
      <w:r w:rsidRPr="002810D7">
        <w:rPr>
          <w:i/>
          <w:sz w:val="24"/>
          <w:szCs w:val="24"/>
          <w:lang w:val="de-DE"/>
        </w:rPr>
        <w:t xml:space="preserve">African Journal of History and Culture </w:t>
      </w:r>
      <w:r w:rsidRPr="002810D7">
        <w:rPr>
          <w:sz w:val="24"/>
          <w:szCs w:val="24"/>
          <w:lang w:val="de-DE"/>
        </w:rPr>
        <w:t xml:space="preserve">4 (2012), S. </w:t>
      </w:r>
      <w:r w:rsidR="000643FA" w:rsidRPr="002810D7">
        <w:rPr>
          <w:sz w:val="24"/>
          <w:szCs w:val="24"/>
          <w:lang w:val="de-DE"/>
        </w:rPr>
        <w:t>4-8</w:t>
      </w:r>
      <w:r w:rsidR="00FF0269" w:rsidRPr="002810D7">
        <w:rPr>
          <w:sz w:val="24"/>
          <w:szCs w:val="24"/>
          <w:lang w:val="de-DE"/>
        </w:rPr>
        <w:t>.</w:t>
      </w:r>
    </w:p>
    <w:p w14:paraId="3A129949" w14:textId="77F437FA" w:rsidR="00C77ED9" w:rsidRPr="00395685" w:rsidRDefault="00C77ED9" w:rsidP="00C77ED9">
      <w:pPr>
        <w:ind w:left="567" w:hanging="567"/>
        <w:rPr>
          <w:lang w:val="de-DE"/>
        </w:rPr>
      </w:pPr>
    </w:p>
    <w:p w14:paraId="6F14576C" w14:textId="04986D86" w:rsidR="0054249D" w:rsidRDefault="0054249D" w:rsidP="00C77ED9">
      <w:pPr>
        <w:ind w:left="567" w:hanging="567"/>
        <w:rPr>
          <w:lang w:val="en-GB"/>
        </w:rPr>
      </w:pPr>
      <w:r>
        <w:rPr>
          <w:lang w:val="de-DE"/>
        </w:rPr>
        <w:t>Milinkovi</w:t>
      </w:r>
      <w:r w:rsidRPr="008F2F54">
        <w:rPr>
          <w:lang w:val="de-DE"/>
        </w:rPr>
        <w:t>ć</w:t>
      </w:r>
      <w:r>
        <w:rPr>
          <w:lang w:val="de-DE"/>
        </w:rPr>
        <w:t xml:space="preserve">, Mihailo: „Stadt oder „Stadt“: Frühbyzantinische Siedlungsstrukturen im nördlichen </w:t>
      </w:r>
      <w:r>
        <w:rPr>
          <w:i/>
          <w:lang w:val="de-DE"/>
        </w:rPr>
        <w:t>Illyricum</w:t>
      </w:r>
      <w:r>
        <w:rPr>
          <w:lang w:val="de-DE"/>
        </w:rPr>
        <w:t xml:space="preserve">“. </w:t>
      </w:r>
      <w:r w:rsidRPr="00D22C80">
        <w:rPr>
          <w:lang w:val="en-GB"/>
        </w:rPr>
        <w:t xml:space="preserve">In: </w:t>
      </w:r>
      <w:r w:rsidRPr="00D22C80">
        <w:rPr>
          <w:i/>
          <w:lang w:val="en-GB"/>
        </w:rPr>
        <w:t>Post-Roman Towns, Trade and Settlement in Europe and B</w:t>
      </w:r>
      <w:r>
        <w:rPr>
          <w:i/>
          <w:lang w:val="en-GB"/>
        </w:rPr>
        <w:t xml:space="preserve">yzantium. </w:t>
      </w:r>
      <w:r w:rsidRPr="0054249D">
        <w:rPr>
          <w:i/>
          <w:lang w:val="en-GB"/>
        </w:rPr>
        <w:t xml:space="preserve">Vol. 2 Byzantium, Pliska, and the Balkans. </w:t>
      </w:r>
      <w:r w:rsidRPr="0054249D">
        <w:rPr>
          <w:lang w:val="en-GB"/>
        </w:rPr>
        <w:t xml:space="preserve">Hg. von Joachim Henning. </w:t>
      </w:r>
      <w:r w:rsidRPr="00395685">
        <w:rPr>
          <w:lang w:val="en-US"/>
        </w:rPr>
        <w:t>Berlin: Walter de Gruyter 2007, S. 159-191.</w:t>
      </w:r>
    </w:p>
    <w:p w14:paraId="3310E2F3" w14:textId="50356EF2" w:rsidR="00655372" w:rsidRPr="00655372" w:rsidRDefault="00655372" w:rsidP="000C2DFD">
      <w:pPr>
        <w:rPr>
          <w:szCs w:val="24"/>
          <w:lang w:val="en-GB"/>
        </w:rPr>
      </w:pPr>
    </w:p>
    <w:p w14:paraId="6B8972FC" w14:textId="1ED2F055" w:rsidR="00047DEE" w:rsidRDefault="00655372" w:rsidP="00655372">
      <w:pPr>
        <w:pStyle w:val="Voetnoottekst"/>
        <w:spacing w:line="360" w:lineRule="auto"/>
        <w:ind w:left="567" w:hanging="567"/>
        <w:rPr>
          <w:sz w:val="24"/>
          <w:szCs w:val="24"/>
          <w:lang w:val="en-GB"/>
        </w:rPr>
      </w:pPr>
      <w:r w:rsidRPr="00655372">
        <w:rPr>
          <w:sz w:val="24"/>
          <w:szCs w:val="24"/>
          <w:lang w:val="en-GB"/>
        </w:rPr>
        <w:t>Mohanty</w:t>
      </w:r>
      <w:r>
        <w:rPr>
          <w:sz w:val="24"/>
          <w:szCs w:val="24"/>
          <w:lang w:val="en-GB"/>
        </w:rPr>
        <w:t xml:space="preserve">, </w:t>
      </w:r>
      <w:r w:rsidRPr="00655372">
        <w:rPr>
          <w:sz w:val="24"/>
          <w:szCs w:val="24"/>
          <w:lang w:val="en-GB"/>
        </w:rPr>
        <w:t xml:space="preserve">Chandra Talpade: </w:t>
      </w:r>
      <w:r w:rsidR="003F40B1" w:rsidRPr="003F40B1">
        <w:rPr>
          <w:sz w:val="24"/>
          <w:szCs w:val="24"/>
          <w:lang w:val="en-US"/>
        </w:rPr>
        <w:t>„</w:t>
      </w:r>
      <w:r w:rsidRPr="00655372">
        <w:rPr>
          <w:sz w:val="24"/>
          <w:szCs w:val="24"/>
          <w:lang w:val="en-GB"/>
        </w:rPr>
        <w:t>Under Western Eyes. Feminist Scholarship</w:t>
      </w:r>
      <w:r w:rsidR="006C3B10">
        <w:rPr>
          <w:sz w:val="24"/>
          <w:szCs w:val="24"/>
          <w:lang w:val="en-GB"/>
        </w:rPr>
        <w:t xml:space="preserve"> and Colonial Discourses</w:t>
      </w:r>
      <w:r w:rsidR="003F40B1" w:rsidRPr="003F40B1">
        <w:rPr>
          <w:sz w:val="24"/>
          <w:szCs w:val="24"/>
          <w:lang w:val="en-US"/>
        </w:rPr>
        <w:t>“</w:t>
      </w:r>
      <w:r w:rsidR="006C3B10">
        <w:rPr>
          <w:sz w:val="24"/>
          <w:szCs w:val="24"/>
          <w:lang w:val="en-GB"/>
        </w:rPr>
        <w:t xml:space="preserve">. In: </w:t>
      </w:r>
      <w:r w:rsidRPr="00655372">
        <w:rPr>
          <w:i/>
          <w:sz w:val="24"/>
          <w:szCs w:val="24"/>
          <w:lang w:val="en-GB"/>
        </w:rPr>
        <w:t xml:space="preserve">Boundary 2 </w:t>
      </w:r>
      <w:r w:rsidRPr="00655372">
        <w:rPr>
          <w:sz w:val="24"/>
          <w:szCs w:val="24"/>
          <w:lang w:val="en-GB"/>
        </w:rPr>
        <w:t xml:space="preserve">12 (1984), S. </w:t>
      </w:r>
      <w:r>
        <w:rPr>
          <w:sz w:val="24"/>
          <w:szCs w:val="24"/>
          <w:lang w:val="en-GB"/>
        </w:rPr>
        <w:t>333-358.</w:t>
      </w:r>
    </w:p>
    <w:p w14:paraId="6BC1241E" w14:textId="77777777" w:rsidR="00047DEE" w:rsidRDefault="00047DEE" w:rsidP="00655372">
      <w:pPr>
        <w:pStyle w:val="Voetnoottekst"/>
        <w:spacing w:line="360" w:lineRule="auto"/>
        <w:ind w:left="567" w:hanging="567"/>
        <w:rPr>
          <w:sz w:val="24"/>
          <w:szCs w:val="24"/>
          <w:lang w:val="en-GB"/>
        </w:rPr>
      </w:pPr>
    </w:p>
    <w:p w14:paraId="2CFA3734" w14:textId="75E47BE6" w:rsidR="00047DEE" w:rsidRPr="004E1B2A" w:rsidRDefault="00047DEE" w:rsidP="00655372">
      <w:pPr>
        <w:pStyle w:val="Voetnoottekst"/>
        <w:spacing w:line="360" w:lineRule="auto"/>
        <w:ind w:left="567" w:hanging="567"/>
        <w:rPr>
          <w:sz w:val="24"/>
          <w:lang w:val="de-DE"/>
        </w:rPr>
      </w:pPr>
      <w:r w:rsidRPr="00047DEE">
        <w:rPr>
          <w:sz w:val="24"/>
          <w:lang w:val="en-GB"/>
        </w:rPr>
        <w:t>Morris</w:t>
      </w:r>
      <w:r>
        <w:rPr>
          <w:sz w:val="24"/>
          <w:lang w:val="en-GB"/>
        </w:rPr>
        <w:t xml:space="preserve">, </w:t>
      </w:r>
      <w:r w:rsidRPr="00047DEE">
        <w:rPr>
          <w:sz w:val="24"/>
          <w:lang w:val="en-GB"/>
        </w:rPr>
        <w:t xml:space="preserve">Rosalind C.: </w:t>
      </w:r>
      <w:r w:rsidRPr="00047DEE">
        <w:rPr>
          <w:i/>
          <w:sz w:val="24"/>
          <w:lang w:val="en-GB"/>
        </w:rPr>
        <w:t xml:space="preserve">Can the Subaltern Speak? Reflections on the History of an Idea. </w:t>
      </w:r>
      <w:r w:rsidRPr="004E1B2A">
        <w:rPr>
          <w:sz w:val="24"/>
          <w:lang w:val="de-DE"/>
        </w:rPr>
        <w:t>New York: Columbia University Press 2010.</w:t>
      </w:r>
    </w:p>
    <w:p w14:paraId="59721705" w14:textId="77777777" w:rsidR="00A85022" w:rsidRPr="004E1B2A" w:rsidRDefault="00A85022" w:rsidP="00655372">
      <w:pPr>
        <w:pStyle w:val="Voetnoottekst"/>
        <w:spacing w:line="360" w:lineRule="auto"/>
        <w:ind w:left="567" w:hanging="567"/>
        <w:rPr>
          <w:sz w:val="24"/>
          <w:lang w:val="de-DE"/>
        </w:rPr>
      </w:pPr>
    </w:p>
    <w:p w14:paraId="4CF3BF42" w14:textId="77777777" w:rsidR="00445821" w:rsidRDefault="00A85022" w:rsidP="00A85022">
      <w:pPr>
        <w:pStyle w:val="Voetnoottekst"/>
        <w:spacing w:line="360" w:lineRule="auto"/>
        <w:ind w:left="567" w:hanging="567"/>
        <w:rPr>
          <w:sz w:val="24"/>
          <w:lang w:val="de-DE"/>
        </w:rPr>
      </w:pPr>
      <w:r w:rsidRPr="00A85022">
        <w:rPr>
          <w:sz w:val="24"/>
          <w:lang w:val="de-DE"/>
        </w:rPr>
        <w:t>Müller</w:t>
      </w:r>
      <w:r>
        <w:rPr>
          <w:sz w:val="24"/>
          <w:lang w:val="de-DE"/>
        </w:rPr>
        <w:t xml:space="preserve">, </w:t>
      </w:r>
      <w:r w:rsidRPr="00A85022">
        <w:rPr>
          <w:sz w:val="24"/>
          <w:lang w:val="de-DE"/>
        </w:rPr>
        <w:t xml:space="preserve">Anna-Lisa: „Worte schaffen Soziales: Wie Sprache Gesellschaft verändert“. In: </w:t>
      </w:r>
      <w:r w:rsidRPr="00A85022">
        <w:rPr>
          <w:i/>
          <w:sz w:val="24"/>
          <w:lang w:val="de-DE"/>
        </w:rPr>
        <w:t>Journal für Psychologie</w:t>
      </w:r>
      <w:r w:rsidRPr="00A85022">
        <w:rPr>
          <w:sz w:val="24"/>
          <w:lang w:val="de-DE"/>
        </w:rPr>
        <w:t xml:space="preserve"> 19 (2011), S. 1-25</w:t>
      </w:r>
      <w:r>
        <w:rPr>
          <w:sz w:val="24"/>
          <w:lang w:val="de-DE"/>
        </w:rPr>
        <w:t xml:space="preserve"> </w:t>
      </w:r>
    </w:p>
    <w:p w14:paraId="4C8BB93F" w14:textId="6621303F" w:rsidR="00A85022" w:rsidRPr="00A85022" w:rsidRDefault="00445821" w:rsidP="00445821">
      <w:pPr>
        <w:pStyle w:val="Voetnoottekst"/>
        <w:spacing w:line="360" w:lineRule="auto"/>
        <w:ind w:left="567"/>
        <w:rPr>
          <w:sz w:val="24"/>
          <w:lang w:val="de-DE"/>
        </w:rPr>
      </w:pPr>
      <w:r w:rsidRPr="00445821">
        <w:rPr>
          <w:sz w:val="24"/>
          <w:lang w:val="de-DE"/>
        </w:rPr>
        <w:t>(</w:t>
      </w:r>
      <w:hyperlink r:id="rId13" w:history="1">
        <w:r w:rsidRPr="00445821">
          <w:rPr>
            <w:rStyle w:val="Hyperlink"/>
            <w:sz w:val="24"/>
            <w:lang w:val="de-DE"/>
          </w:rPr>
          <w:t>https://www.journal-fuer-psychologie.de/index.php/jfp/article/view/14/87</w:t>
        </w:r>
      </w:hyperlink>
      <w:r w:rsidRPr="00445821">
        <w:rPr>
          <w:rStyle w:val="Hyperlink"/>
          <w:color w:val="auto"/>
          <w:sz w:val="24"/>
          <w:u w:val="none"/>
          <w:lang w:val="de-DE"/>
        </w:rPr>
        <w:t>).</w:t>
      </w:r>
    </w:p>
    <w:p w14:paraId="37393E65" w14:textId="77777777" w:rsidR="001107AD" w:rsidRPr="00A85022" w:rsidRDefault="001107AD" w:rsidP="00655372">
      <w:pPr>
        <w:pStyle w:val="Voetnoottekst"/>
        <w:spacing w:line="360" w:lineRule="auto"/>
        <w:ind w:left="567" w:hanging="567"/>
        <w:rPr>
          <w:sz w:val="24"/>
          <w:szCs w:val="24"/>
          <w:lang w:val="de-DE"/>
        </w:rPr>
      </w:pPr>
    </w:p>
    <w:p w14:paraId="687E5D35" w14:textId="4DEA3086" w:rsidR="0080064F" w:rsidRPr="002810D7" w:rsidRDefault="0080064F" w:rsidP="00655372">
      <w:pPr>
        <w:pStyle w:val="Voetnoottekst"/>
        <w:spacing w:line="360" w:lineRule="auto"/>
        <w:ind w:left="567" w:hanging="567"/>
        <w:rPr>
          <w:sz w:val="32"/>
          <w:szCs w:val="24"/>
          <w:lang w:val="en-US"/>
        </w:rPr>
      </w:pPr>
      <w:r w:rsidRPr="004A37E9">
        <w:rPr>
          <w:sz w:val="24"/>
          <w:lang w:val="en-US"/>
        </w:rPr>
        <w:t>Nandy</w:t>
      </w:r>
      <w:r w:rsidR="00B87CFE" w:rsidRPr="004A37E9">
        <w:rPr>
          <w:sz w:val="24"/>
          <w:lang w:val="en-US"/>
        </w:rPr>
        <w:t>, Ashis</w:t>
      </w:r>
      <w:r w:rsidRPr="004A37E9">
        <w:rPr>
          <w:sz w:val="24"/>
          <w:lang w:val="en-US"/>
        </w:rPr>
        <w:t xml:space="preserve">: </w:t>
      </w:r>
      <w:r w:rsidRPr="004A37E9">
        <w:rPr>
          <w:i/>
          <w:sz w:val="24"/>
          <w:lang w:val="en-US"/>
        </w:rPr>
        <w:t xml:space="preserve">The Intimate Enemy. </w:t>
      </w:r>
      <w:r w:rsidRPr="0080064F">
        <w:rPr>
          <w:i/>
          <w:sz w:val="24"/>
          <w:lang w:val="en-GB"/>
        </w:rPr>
        <w:t xml:space="preserve">Loss and Recovery of Self under Colonialism. </w:t>
      </w:r>
      <w:r w:rsidRPr="002810D7">
        <w:rPr>
          <w:sz w:val="24"/>
          <w:lang w:val="en-US"/>
        </w:rPr>
        <w:t>Delhi: Oxford University Press 1983.</w:t>
      </w:r>
    </w:p>
    <w:p w14:paraId="5C0FAA34" w14:textId="3D6199D7" w:rsidR="00924C22" w:rsidRPr="002810D7" w:rsidRDefault="00924C22" w:rsidP="00924C22">
      <w:pPr>
        <w:pStyle w:val="Voetnoottekst"/>
        <w:spacing w:line="360" w:lineRule="auto"/>
        <w:rPr>
          <w:sz w:val="24"/>
          <w:szCs w:val="24"/>
          <w:lang w:val="en-US"/>
        </w:rPr>
      </w:pPr>
    </w:p>
    <w:p w14:paraId="303050E4" w14:textId="554F7BFA" w:rsidR="00876FA6" w:rsidRPr="00395685" w:rsidRDefault="00876FA6" w:rsidP="00924C22">
      <w:pPr>
        <w:pStyle w:val="Voetnoottekst"/>
        <w:spacing w:line="360" w:lineRule="auto"/>
        <w:ind w:left="567" w:hanging="567"/>
        <w:rPr>
          <w:sz w:val="24"/>
          <w:szCs w:val="24"/>
          <w:lang w:val="de-DE"/>
        </w:rPr>
      </w:pPr>
      <w:r w:rsidRPr="00876FA6">
        <w:rPr>
          <w:sz w:val="24"/>
          <w:szCs w:val="24"/>
          <w:lang w:val="en-GB"/>
        </w:rPr>
        <w:t>Peperzak</w:t>
      </w:r>
      <w:r w:rsidR="00924C22">
        <w:rPr>
          <w:sz w:val="24"/>
          <w:szCs w:val="24"/>
          <w:lang w:val="en-GB"/>
        </w:rPr>
        <w:t>, Adriaan</w:t>
      </w:r>
      <w:r w:rsidRPr="00876FA6">
        <w:rPr>
          <w:sz w:val="24"/>
          <w:szCs w:val="24"/>
          <w:lang w:val="en-GB"/>
        </w:rPr>
        <w:t xml:space="preserve">: </w:t>
      </w:r>
      <w:r w:rsidRPr="00876FA6">
        <w:rPr>
          <w:i/>
          <w:sz w:val="24"/>
          <w:szCs w:val="24"/>
          <w:lang w:val="en-GB"/>
        </w:rPr>
        <w:t xml:space="preserve">To the Other: An Introduction to the Philosophy of Emmanuel Levinas. </w:t>
      </w:r>
      <w:r w:rsidRPr="00395685">
        <w:rPr>
          <w:sz w:val="24"/>
          <w:szCs w:val="24"/>
          <w:lang w:val="de-DE"/>
        </w:rPr>
        <w:t>West Lafayette: Purdue Research Foundation 1993.</w:t>
      </w:r>
    </w:p>
    <w:p w14:paraId="655400B5" w14:textId="78A6B5DF" w:rsidR="0043447A" w:rsidRPr="00395685" w:rsidRDefault="0043447A" w:rsidP="00924C22">
      <w:pPr>
        <w:pStyle w:val="Voetnoottekst"/>
        <w:spacing w:line="360" w:lineRule="auto"/>
        <w:ind w:left="567" w:hanging="567"/>
        <w:rPr>
          <w:sz w:val="24"/>
          <w:szCs w:val="24"/>
          <w:lang w:val="de-DE"/>
        </w:rPr>
      </w:pPr>
    </w:p>
    <w:p w14:paraId="6AB666C9" w14:textId="6C96EDCC" w:rsidR="0043447A" w:rsidRDefault="0043447A" w:rsidP="0043447A">
      <w:pPr>
        <w:pStyle w:val="Voetnoottekst"/>
        <w:spacing w:line="360" w:lineRule="auto"/>
        <w:ind w:left="567" w:hanging="567"/>
        <w:rPr>
          <w:sz w:val="24"/>
          <w:szCs w:val="24"/>
          <w:lang w:val="de-DE"/>
        </w:rPr>
      </w:pPr>
      <w:r w:rsidRPr="000843E6">
        <w:rPr>
          <w:sz w:val="24"/>
          <w:szCs w:val="24"/>
          <w:lang w:val="de-DE"/>
        </w:rPr>
        <w:t>Popovic</w:t>
      </w:r>
      <w:r>
        <w:rPr>
          <w:sz w:val="24"/>
          <w:szCs w:val="24"/>
          <w:lang w:val="de-DE"/>
        </w:rPr>
        <w:t xml:space="preserve">, </w:t>
      </w:r>
      <w:r w:rsidRPr="000843E6">
        <w:rPr>
          <w:sz w:val="24"/>
          <w:szCs w:val="24"/>
          <w:lang w:val="de-DE"/>
        </w:rPr>
        <w:t xml:space="preserve">Tihomir: „Serbien zwischen Ost und West – Kulturgeschichtliche Spannungsursachen“. </w:t>
      </w:r>
      <w:r w:rsidRPr="00395685">
        <w:rPr>
          <w:sz w:val="24"/>
          <w:szCs w:val="24"/>
          <w:lang w:val="de-DE"/>
        </w:rPr>
        <w:t xml:space="preserve">In: </w:t>
      </w:r>
      <w:r w:rsidRPr="00395685">
        <w:rPr>
          <w:i/>
          <w:sz w:val="24"/>
          <w:szCs w:val="24"/>
          <w:lang w:val="de-DE"/>
        </w:rPr>
        <w:t>Auslandsinformation</w:t>
      </w:r>
      <w:r w:rsidR="003F40B1">
        <w:rPr>
          <w:i/>
          <w:sz w:val="24"/>
          <w:szCs w:val="24"/>
          <w:lang w:val="de-DE"/>
        </w:rPr>
        <w:t xml:space="preserve">en der Konrad-Adenauer-Stiftung </w:t>
      </w:r>
      <w:r w:rsidRPr="00395685">
        <w:rPr>
          <w:sz w:val="24"/>
          <w:szCs w:val="24"/>
          <w:lang w:val="de-DE"/>
        </w:rPr>
        <w:t>5 (2005), S. 4-22.</w:t>
      </w:r>
    </w:p>
    <w:p w14:paraId="6BB07C48" w14:textId="77777777" w:rsidR="00F443FD" w:rsidRDefault="00F443FD" w:rsidP="0043447A">
      <w:pPr>
        <w:pStyle w:val="Voetnoottekst"/>
        <w:spacing w:line="360" w:lineRule="auto"/>
        <w:ind w:left="567" w:hanging="567"/>
        <w:rPr>
          <w:sz w:val="24"/>
          <w:szCs w:val="24"/>
          <w:lang w:val="de-DE"/>
        </w:rPr>
      </w:pPr>
    </w:p>
    <w:p w14:paraId="00A4C57A" w14:textId="77777777" w:rsidR="00445821" w:rsidRDefault="00097108" w:rsidP="0043447A">
      <w:pPr>
        <w:pStyle w:val="Voetnoottekst"/>
        <w:spacing w:line="360" w:lineRule="auto"/>
        <w:ind w:left="567" w:hanging="567"/>
        <w:rPr>
          <w:sz w:val="24"/>
          <w:lang w:val="de-DE"/>
        </w:rPr>
      </w:pPr>
      <w:r w:rsidRPr="00097108">
        <w:rPr>
          <w:sz w:val="24"/>
          <w:lang w:val="de-DE"/>
        </w:rPr>
        <w:lastRenderedPageBreak/>
        <w:t>Rathgeber</w:t>
      </w:r>
      <w:r w:rsidR="00C37D09">
        <w:rPr>
          <w:sz w:val="24"/>
          <w:lang w:val="de-DE"/>
        </w:rPr>
        <w:t xml:space="preserve">, </w:t>
      </w:r>
      <w:r w:rsidR="00C37D09" w:rsidRPr="00097108">
        <w:rPr>
          <w:sz w:val="24"/>
          <w:lang w:val="de-DE"/>
        </w:rPr>
        <w:t>Andreas</w:t>
      </w:r>
      <w:r w:rsidRPr="00097108">
        <w:rPr>
          <w:sz w:val="24"/>
          <w:lang w:val="de-DE"/>
        </w:rPr>
        <w:t xml:space="preserve">: </w:t>
      </w:r>
      <w:r w:rsidRPr="00097108">
        <w:rPr>
          <w:i/>
          <w:sz w:val="24"/>
          <w:lang w:val="de-DE"/>
        </w:rPr>
        <w:t>Balkanbilder. Vorstellungen und Klischees über den Balkan in der Habsburgermonarchie im 19. und frühen 20. Jahrhundert.</w:t>
      </w:r>
      <w:r w:rsidRPr="00097108">
        <w:rPr>
          <w:sz w:val="24"/>
          <w:lang w:val="de-DE"/>
        </w:rPr>
        <w:t xml:space="preserve"> </w:t>
      </w:r>
      <w:r w:rsidR="00445821">
        <w:rPr>
          <w:sz w:val="24"/>
          <w:lang w:val="de-DE"/>
        </w:rPr>
        <w:t>Kakanien Revisited. 06.04.2006.</w:t>
      </w:r>
    </w:p>
    <w:p w14:paraId="452572EF" w14:textId="0FBDD518" w:rsidR="00097108" w:rsidRDefault="00B24BFD" w:rsidP="00445821">
      <w:pPr>
        <w:pStyle w:val="Voetnoottekst"/>
        <w:spacing w:line="360" w:lineRule="auto"/>
        <w:ind w:left="567"/>
        <w:rPr>
          <w:sz w:val="24"/>
          <w:lang w:val="de-DE"/>
        </w:rPr>
      </w:pPr>
      <w:hyperlink r:id="rId14" w:history="1">
        <w:r w:rsidR="00097108" w:rsidRPr="00097108">
          <w:rPr>
            <w:rStyle w:val="Hyperlink"/>
            <w:sz w:val="24"/>
            <w:lang w:val="de-DE"/>
          </w:rPr>
          <w:t>http://www.kakanien-revisited.at/beitr/fallstudie/ARathberger1/?page=14</w:t>
        </w:r>
      </w:hyperlink>
      <w:r w:rsidR="00097108" w:rsidRPr="00097108">
        <w:rPr>
          <w:sz w:val="24"/>
          <w:lang w:val="de-DE"/>
        </w:rPr>
        <w:t xml:space="preserve"> (abgerufen am 26.04.2018).</w:t>
      </w:r>
    </w:p>
    <w:p w14:paraId="333CC4E2" w14:textId="68DE2621" w:rsidR="00A32BFA" w:rsidRPr="00A32BFA" w:rsidRDefault="00A32BFA" w:rsidP="0043447A">
      <w:pPr>
        <w:pStyle w:val="Voetnoottekst"/>
        <w:spacing w:line="360" w:lineRule="auto"/>
        <w:ind w:left="567" w:hanging="567"/>
        <w:rPr>
          <w:sz w:val="32"/>
          <w:lang w:val="de-DE"/>
        </w:rPr>
      </w:pPr>
    </w:p>
    <w:p w14:paraId="2D69B674" w14:textId="65A8B4BF" w:rsidR="00A32BFA" w:rsidRPr="002810D7" w:rsidRDefault="00A32BFA" w:rsidP="0043447A">
      <w:pPr>
        <w:pStyle w:val="Voetnoottekst"/>
        <w:spacing w:line="360" w:lineRule="auto"/>
        <w:ind w:left="567" w:hanging="567"/>
        <w:rPr>
          <w:sz w:val="32"/>
          <w:lang w:val="en-US"/>
        </w:rPr>
      </w:pPr>
      <w:r w:rsidRPr="00A32BFA">
        <w:rPr>
          <w:sz w:val="24"/>
          <w:lang w:val="en-US"/>
        </w:rPr>
        <w:t>Renfrew</w:t>
      </w:r>
      <w:r>
        <w:rPr>
          <w:sz w:val="24"/>
          <w:lang w:val="en-US"/>
        </w:rPr>
        <w:t xml:space="preserve">, </w:t>
      </w:r>
      <w:r w:rsidRPr="00A32BFA">
        <w:rPr>
          <w:sz w:val="24"/>
          <w:lang w:val="en-US"/>
        </w:rPr>
        <w:t xml:space="preserve">Colin: </w:t>
      </w:r>
      <w:r w:rsidRPr="00A32BFA">
        <w:rPr>
          <w:i/>
          <w:sz w:val="24"/>
          <w:lang w:val="en-US"/>
        </w:rPr>
        <w:t>Archaeology and Language</w:t>
      </w:r>
      <w:r w:rsidRPr="00A32BFA">
        <w:rPr>
          <w:sz w:val="24"/>
          <w:lang w:val="en-US"/>
        </w:rPr>
        <w:t xml:space="preserve">. </w:t>
      </w:r>
      <w:r w:rsidRPr="00A32BFA">
        <w:rPr>
          <w:i/>
          <w:sz w:val="24"/>
          <w:lang w:val="en-US"/>
        </w:rPr>
        <w:t xml:space="preserve">The Puzzle of Indo-European Origins. </w:t>
      </w:r>
      <w:r w:rsidRPr="00A32BFA">
        <w:rPr>
          <w:sz w:val="24"/>
          <w:lang w:val="en-US"/>
        </w:rPr>
        <w:t>Cambridge: Cambridge University Press 1987</w:t>
      </w:r>
      <w:r>
        <w:rPr>
          <w:sz w:val="24"/>
          <w:lang w:val="en-US"/>
        </w:rPr>
        <w:t>.</w:t>
      </w:r>
    </w:p>
    <w:p w14:paraId="0F2BC1CD" w14:textId="5BF3613F" w:rsidR="00D622A6" w:rsidRPr="002810D7" w:rsidRDefault="003F40B1" w:rsidP="003F40B1">
      <w:pPr>
        <w:pStyle w:val="Voetnoottekst"/>
        <w:tabs>
          <w:tab w:val="left" w:pos="5190"/>
        </w:tabs>
        <w:spacing w:line="360" w:lineRule="auto"/>
        <w:ind w:left="567" w:hanging="567"/>
        <w:rPr>
          <w:sz w:val="24"/>
          <w:lang w:val="en-US"/>
        </w:rPr>
      </w:pPr>
      <w:r w:rsidRPr="002810D7">
        <w:rPr>
          <w:sz w:val="24"/>
          <w:lang w:val="en-US"/>
        </w:rPr>
        <w:tab/>
      </w:r>
      <w:r w:rsidRPr="002810D7">
        <w:rPr>
          <w:sz w:val="24"/>
          <w:lang w:val="en-US"/>
        </w:rPr>
        <w:tab/>
      </w:r>
    </w:p>
    <w:p w14:paraId="0E4A8609" w14:textId="77777777" w:rsidR="00445821" w:rsidRDefault="00D622A6" w:rsidP="00D622A6">
      <w:pPr>
        <w:pStyle w:val="Voetnoottekst"/>
        <w:spacing w:line="360" w:lineRule="auto"/>
        <w:ind w:left="567" w:hanging="567"/>
        <w:rPr>
          <w:sz w:val="24"/>
          <w:lang w:val="de-DE"/>
        </w:rPr>
      </w:pPr>
      <w:r w:rsidRPr="00D622A6">
        <w:rPr>
          <w:sz w:val="24"/>
          <w:lang w:val="en-US"/>
        </w:rPr>
        <w:t>Ruthner</w:t>
      </w:r>
      <w:r>
        <w:rPr>
          <w:sz w:val="24"/>
          <w:lang w:val="en-US"/>
        </w:rPr>
        <w:t xml:space="preserve">, </w:t>
      </w:r>
      <w:r w:rsidRPr="00D622A6">
        <w:rPr>
          <w:sz w:val="24"/>
          <w:lang w:val="en-US"/>
        </w:rPr>
        <w:t xml:space="preserve">Clemens: </w:t>
      </w:r>
      <w:r w:rsidRPr="00D622A6">
        <w:rPr>
          <w:i/>
          <w:sz w:val="24"/>
          <w:lang w:val="en-US"/>
        </w:rPr>
        <w:t>Habsburg’s Little Orient. A Post/Colonial Reading of Austrian and German Cultural Narratives on Bosnia-Herzegovina, 1878-1918.</w:t>
      </w:r>
      <w:r w:rsidRPr="00D622A6">
        <w:rPr>
          <w:sz w:val="24"/>
          <w:lang w:val="en-US"/>
        </w:rPr>
        <w:t xml:space="preserve"> </w:t>
      </w:r>
      <w:r w:rsidRPr="00D622A6">
        <w:rPr>
          <w:sz w:val="24"/>
          <w:lang w:val="de-DE"/>
        </w:rPr>
        <w:t xml:space="preserve">Kakanien Revisited. 22.05.2008. </w:t>
      </w:r>
    </w:p>
    <w:p w14:paraId="398DA31E" w14:textId="384A1D15" w:rsidR="00D622A6" w:rsidRPr="00D622A6" w:rsidRDefault="00B24BFD" w:rsidP="00445821">
      <w:pPr>
        <w:pStyle w:val="Voetnoottekst"/>
        <w:spacing w:line="360" w:lineRule="auto"/>
        <w:ind w:left="567"/>
        <w:rPr>
          <w:sz w:val="24"/>
          <w:lang w:val="de-DE"/>
        </w:rPr>
      </w:pPr>
      <w:hyperlink r:id="rId15" w:history="1">
        <w:r w:rsidR="00D622A6" w:rsidRPr="00D622A6">
          <w:rPr>
            <w:rStyle w:val="Hyperlink"/>
            <w:sz w:val="24"/>
            <w:lang w:val="de-DE"/>
          </w:rPr>
          <w:t>http://www.kakanien-revisited.at/beitr/fallstudie/CRuthner5.pdf</w:t>
        </w:r>
      </w:hyperlink>
      <w:r w:rsidR="00D622A6" w:rsidRPr="00D622A6">
        <w:rPr>
          <w:sz w:val="24"/>
          <w:lang w:val="de-DE"/>
        </w:rPr>
        <w:t xml:space="preserve"> (abgerufen am 29.04.2018).</w:t>
      </w:r>
    </w:p>
    <w:p w14:paraId="2AE7BAE1" w14:textId="5F7C5839" w:rsidR="0048604F" w:rsidRPr="00395685" w:rsidRDefault="0048604F" w:rsidP="000C2DFD">
      <w:pPr>
        <w:rPr>
          <w:lang w:val="de-DE"/>
        </w:rPr>
      </w:pPr>
    </w:p>
    <w:p w14:paraId="68C3954B" w14:textId="3118F782" w:rsidR="00D622A6" w:rsidRDefault="00D33A4E" w:rsidP="000C2DFD">
      <w:pPr>
        <w:ind w:left="567" w:hanging="567"/>
        <w:rPr>
          <w:lang w:val="en-US"/>
        </w:rPr>
      </w:pPr>
      <w:r>
        <w:rPr>
          <w:lang w:val="en-US"/>
        </w:rPr>
        <w:t>Saï</w:t>
      </w:r>
      <w:r w:rsidR="0048604F" w:rsidRPr="00742002">
        <w:rPr>
          <w:lang w:val="en-US"/>
        </w:rPr>
        <w:t>d</w:t>
      </w:r>
      <w:r w:rsidR="003E78E5" w:rsidRPr="00742002">
        <w:rPr>
          <w:lang w:val="en-US"/>
        </w:rPr>
        <w:t>, Edward</w:t>
      </w:r>
      <w:r w:rsidR="0048604F" w:rsidRPr="00742002">
        <w:rPr>
          <w:lang w:val="en-US"/>
        </w:rPr>
        <w:t xml:space="preserve">: </w:t>
      </w:r>
      <w:r w:rsidR="0048604F" w:rsidRPr="00742002">
        <w:rPr>
          <w:i/>
          <w:lang w:val="en-US"/>
        </w:rPr>
        <w:t>Orientalism.</w:t>
      </w:r>
      <w:r w:rsidR="0048604F" w:rsidRPr="00742002">
        <w:rPr>
          <w:lang w:val="en-US"/>
        </w:rPr>
        <w:t xml:space="preserve"> New York: Random House 1979.</w:t>
      </w:r>
    </w:p>
    <w:p w14:paraId="25DBF611" w14:textId="77777777" w:rsidR="000C2DFD" w:rsidRPr="000C2DFD" w:rsidRDefault="000C2DFD" w:rsidP="000C2DFD">
      <w:pPr>
        <w:ind w:left="567" w:hanging="567"/>
        <w:rPr>
          <w:lang w:val="en-US"/>
        </w:rPr>
      </w:pPr>
    </w:p>
    <w:p w14:paraId="7F3B9263" w14:textId="13909742" w:rsidR="00D622A6" w:rsidRPr="00D622A6" w:rsidRDefault="00D622A6" w:rsidP="00D622A6">
      <w:pPr>
        <w:pStyle w:val="Voetnoottekst"/>
        <w:spacing w:line="360" w:lineRule="auto"/>
        <w:ind w:left="567" w:hanging="567"/>
        <w:rPr>
          <w:sz w:val="24"/>
          <w:lang w:val="de-DE"/>
        </w:rPr>
      </w:pPr>
      <w:r w:rsidRPr="00D622A6">
        <w:rPr>
          <w:sz w:val="24"/>
          <w:lang w:val="de-DE"/>
        </w:rPr>
        <w:t>Sarasin</w:t>
      </w:r>
      <w:r w:rsidR="000C2DFD">
        <w:rPr>
          <w:sz w:val="24"/>
          <w:lang w:val="de-DE"/>
        </w:rPr>
        <w:t xml:space="preserve">, </w:t>
      </w:r>
      <w:r w:rsidR="000C2DFD" w:rsidRPr="00D622A6">
        <w:rPr>
          <w:sz w:val="24"/>
          <w:lang w:val="de-DE"/>
        </w:rPr>
        <w:t>Philipp</w:t>
      </w:r>
      <w:r w:rsidRPr="00D622A6">
        <w:rPr>
          <w:sz w:val="24"/>
          <w:lang w:val="de-DE"/>
        </w:rPr>
        <w:t xml:space="preserve">: </w:t>
      </w:r>
      <w:r w:rsidRPr="00D622A6">
        <w:rPr>
          <w:i/>
          <w:sz w:val="24"/>
          <w:lang w:val="de-DE"/>
        </w:rPr>
        <w:t xml:space="preserve">Das Kreuz mit dem #Kulturkreis. </w:t>
      </w:r>
      <w:r w:rsidRPr="00D622A6">
        <w:rPr>
          <w:sz w:val="24"/>
          <w:lang w:val="de-DE"/>
        </w:rPr>
        <w:t xml:space="preserve">Geschichte der Gegenwart. 11.02.2016. </w:t>
      </w:r>
      <w:hyperlink r:id="rId16" w:history="1">
        <w:r w:rsidRPr="00D622A6">
          <w:rPr>
            <w:rStyle w:val="Hyperlink"/>
            <w:sz w:val="24"/>
            <w:lang w:val="de-DE"/>
          </w:rPr>
          <w:t>http://geschichtedergegenwart.ch/das-kreuz-mit-dem-kulturkreis/</w:t>
        </w:r>
      </w:hyperlink>
      <w:r w:rsidRPr="00D622A6">
        <w:rPr>
          <w:rStyle w:val="Hyperlink"/>
          <w:sz w:val="24"/>
          <w:u w:val="none"/>
          <w:lang w:val="de-DE"/>
        </w:rPr>
        <w:t xml:space="preserve"> </w:t>
      </w:r>
      <w:r w:rsidRPr="00D622A6">
        <w:rPr>
          <w:rStyle w:val="Hyperlink"/>
          <w:color w:val="auto"/>
          <w:sz w:val="24"/>
          <w:u w:val="none"/>
          <w:lang w:val="de-DE"/>
        </w:rPr>
        <w:t>(abgerufen am 18.02.2018).</w:t>
      </w:r>
    </w:p>
    <w:p w14:paraId="7E89FC20" w14:textId="2638A348" w:rsidR="0049504E" w:rsidRPr="00D622A6" w:rsidRDefault="0049504E" w:rsidP="0049504E">
      <w:pPr>
        <w:spacing w:after="160" w:line="259" w:lineRule="auto"/>
        <w:jc w:val="left"/>
        <w:rPr>
          <w:lang w:val="de-DE"/>
        </w:rPr>
      </w:pPr>
    </w:p>
    <w:p w14:paraId="34B312A4" w14:textId="6F0EFB33" w:rsidR="00875F2B" w:rsidRPr="00DE3B5A" w:rsidRDefault="00875F2B" w:rsidP="00875F2B">
      <w:pPr>
        <w:spacing w:after="160"/>
        <w:ind w:left="567" w:hanging="567"/>
        <w:jc w:val="left"/>
        <w:rPr>
          <w:lang w:val="de-DE"/>
        </w:rPr>
      </w:pPr>
      <w:r w:rsidRPr="00DE3B5A">
        <w:rPr>
          <w:lang w:val="de-DE"/>
        </w:rPr>
        <w:t xml:space="preserve">Scherke, Katharina: </w:t>
      </w:r>
      <w:r w:rsidRPr="00DE3B5A">
        <w:rPr>
          <w:i/>
          <w:lang w:val="de-DE"/>
        </w:rPr>
        <w:t xml:space="preserve">Emotionen als Forschungsgegenstand der deutschsprachigen Soziologie. </w:t>
      </w:r>
      <w:r w:rsidRPr="00DE3B5A">
        <w:rPr>
          <w:lang w:val="de-DE"/>
        </w:rPr>
        <w:t>Wiesbaden: VS Verlag für Sozialwissenschaften 2009.</w:t>
      </w:r>
    </w:p>
    <w:p w14:paraId="1DC8127E" w14:textId="3702377A" w:rsidR="00840541" w:rsidRDefault="00840541" w:rsidP="00E22DCA">
      <w:pPr>
        <w:rPr>
          <w:lang w:val="de-DE"/>
        </w:rPr>
      </w:pPr>
    </w:p>
    <w:p w14:paraId="492FB6FC" w14:textId="0FF7A588" w:rsidR="00840541" w:rsidRPr="0049504E" w:rsidRDefault="00840541" w:rsidP="0084054B">
      <w:pPr>
        <w:ind w:left="567" w:hanging="567"/>
        <w:rPr>
          <w:lang w:val="de-DE"/>
        </w:rPr>
      </w:pPr>
      <w:r>
        <w:rPr>
          <w:lang w:val="de-DE"/>
        </w:rPr>
        <w:t xml:space="preserve">Simmel, Georg: „Brücke und Tür“. In: </w:t>
      </w:r>
      <w:r>
        <w:rPr>
          <w:i/>
          <w:lang w:val="de-DE"/>
        </w:rPr>
        <w:t xml:space="preserve">Brücke und Tür. Essays des Philosophen zur Geschichte, Religion, Kunst und Gesellschaft. </w:t>
      </w:r>
      <w:r>
        <w:rPr>
          <w:lang w:val="de-DE"/>
        </w:rPr>
        <w:t>Hg. von Michael Landmann. Stuttgart: K. F. Koehler 1957</w:t>
      </w:r>
      <w:r w:rsidR="0049007C">
        <w:rPr>
          <w:lang w:val="de-DE"/>
        </w:rPr>
        <w:t>, S. 1-7.</w:t>
      </w:r>
    </w:p>
    <w:p w14:paraId="4AF9A085" w14:textId="77777777" w:rsidR="0049504E" w:rsidRPr="00153ECD" w:rsidRDefault="0049504E" w:rsidP="0049504E">
      <w:pPr>
        <w:spacing w:after="160" w:line="259" w:lineRule="auto"/>
        <w:jc w:val="left"/>
        <w:rPr>
          <w:lang w:val="de-DE"/>
        </w:rPr>
      </w:pPr>
    </w:p>
    <w:p w14:paraId="7D0F3C55" w14:textId="4E71BBC8" w:rsidR="00CB3824" w:rsidRPr="001F0836" w:rsidRDefault="00CB3824" w:rsidP="00C77ED9">
      <w:pPr>
        <w:ind w:left="567" w:hanging="567"/>
        <w:rPr>
          <w:lang w:val="en-US"/>
        </w:rPr>
      </w:pPr>
      <w:r w:rsidRPr="00153ECD">
        <w:rPr>
          <w:lang w:val="de-DE"/>
        </w:rPr>
        <w:t>Simmel</w:t>
      </w:r>
      <w:r w:rsidR="00924C22" w:rsidRPr="00153ECD">
        <w:rPr>
          <w:lang w:val="de-DE"/>
        </w:rPr>
        <w:t>, Georg</w:t>
      </w:r>
      <w:r w:rsidRPr="00153ECD">
        <w:rPr>
          <w:lang w:val="de-DE"/>
        </w:rPr>
        <w:t xml:space="preserve">: </w:t>
      </w:r>
      <w:r w:rsidRPr="00153ECD">
        <w:rPr>
          <w:i/>
          <w:lang w:val="de-DE"/>
        </w:rPr>
        <w:t xml:space="preserve">Soziologie. </w:t>
      </w:r>
      <w:r w:rsidRPr="00617F30">
        <w:rPr>
          <w:i/>
          <w:lang w:val="de-DE"/>
        </w:rPr>
        <w:t>Untersuchungen über die Formen der Vergesellschaftung.</w:t>
      </w:r>
      <w:r w:rsidRPr="00617F30">
        <w:rPr>
          <w:lang w:val="de-DE"/>
        </w:rPr>
        <w:t xml:space="preserve"> </w:t>
      </w:r>
      <w:r w:rsidRPr="001F0836">
        <w:rPr>
          <w:lang w:val="en-US"/>
        </w:rPr>
        <w:t>Villingen-Schwenningen: Nexx 2015.</w:t>
      </w:r>
    </w:p>
    <w:p w14:paraId="4EFD6A14" w14:textId="083D75C4" w:rsidR="002A088C" w:rsidRPr="001F0836" w:rsidRDefault="002A088C" w:rsidP="00D2135C">
      <w:pPr>
        <w:rPr>
          <w:lang w:val="en-US"/>
        </w:rPr>
      </w:pPr>
    </w:p>
    <w:p w14:paraId="1C8FA2CF" w14:textId="4C1F6609" w:rsidR="00CA0BC0" w:rsidRDefault="003D088B" w:rsidP="00C77ED9">
      <w:pPr>
        <w:ind w:left="567" w:hanging="567"/>
        <w:rPr>
          <w:lang w:val="en-GB"/>
        </w:rPr>
      </w:pPr>
      <w:r w:rsidRPr="003D088B">
        <w:rPr>
          <w:lang w:val="en-GB"/>
        </w:rPr>
        <w:lastRenderedPageBreak/>
        <w:t>Spivak</w:t>
      </w:r>
      <w:r>
        <w:rPr>
          <w:lang w:val="en-GB"/>
        </w:rPr>
        <w:t xml:space="preserve">, </w:t>
      </w:r>
      <w:r w:rsidR="003F40B1">
        <w:rPr>
          <w:lang w:val="en-GB"/>
        </w:rPr>
        <w:t xml:space="preserve">Gayatri Chakravorty: </w:t>
      </w:r>
      <w:r w:rsidR="003F40B1" w:rsidRPr="003F40B1">
        <w:rPr>
          <w:lang w:val="en-US"/>
        </w:rPr>
        <w:t>„</w:t>
      </w:r>
      <w:r w:rsidRPr="003D088B">
        <w:rPr>
          <w:lang w:val="en-GB"/>
        </w:rPr>
        <w:t>Can the Subaltern Speak?</w:t>
      </w:r>
      <w:r w:rsidR="003F40B1" w:rsidRPr="003F40B1">
        <w:rPr>
          <w:lang w:val="en-US"/>
        </w:rPr>
        <w:t>“</w:t>
      </w:r>
      <w:r w:rsidRPr="003D088B">
        <w:rPr>
          <w:lang w:val="en-GB"/>
        </w:rPr>
        <w:t xml:space="preserve"> </w:t>
      </w:r>
      <w:r>
        <w:rPr>
          <w:lang w:val="en-GB"/>
        </w:rPr>
        <w:t xml:space="preserve">In: </w:t>
      </w:r>
      <w:r>
        <w:rPr>
          <w:i/>
          <w:lang w:val="en-GB"/>
        </w:rPr>
        <w:t xml:space="preserve">Colonial Discourse and Post-Colonial Theory. A Reader. </w:t>
      </w:r>
      <w:r>
        <w:rPr>
          <w:lang w:val="en-GB"/>
        </w:rPr>
        <w:t>Hg. von Patrick Williams und Laura Chrisman. New York: Columbia University Press 1994, S. 66-111.</w:t>
      </w:r>
    </w:p>
    <w:p w14:paraId="78AFF87B" w14:textId="2F9809DD" w:rsidR="00710BE9" w:rsidRDefault="00710BE9" w:rsidP="00C77ED9">
      <w:pPr>
        <w:ind w:left="567" w:hanging="567"/>
        <w:rPr>
          <w:lang w:val="en-GB"/>
        </w:rPr>
      </w:pPr>
    </w:p>
    <w:p w14:paraId="57677184" w14:textId="079B7297" w:rsidR="00710BE9" w:rsidRPr="002810D7" w:rsidRDefault="00710BE9" w:rsidP="00710BE9">
      <w:pPr>
        <w:pStyle w:val="Voetnoottekst"/>
        <w:spacing w:line="360" w:lineRule="auto"/>
        <w:ind w:left="567" w:hanging="567"/>
        <w:rPr>
          <w:sz w:val="24"/>
          <w:lang w:val="de-DE"/>
        </w:rPr>
      </w:pPr>
      <w:r w:rsidRPr="00710BE9">
        <w:rPr>
          <w:sz w:val="24"/>
          <w:lang w:val="de-DE"/>
        </w:rPr>
        <w:t>Spoerri</w:t>
      </w:r>
      <w:r>
        <w:rPr>
          <w:sz w:val="24"/>
          <w:lang w:val="de-DE"/>
        </w:rPr>
        <w:t xml:space="preserve">, </w:t>
      </w:r>
      <w:r w:rsidRPr="00710BE9">
        <w:rPr>
          <w:sz w:val="24"/>
          <w:lang w:val="de-DE"/>
        </w:rPr>
        <w:t>Bettina</w:t>
      </w:r>
      <w:r>
        <w:rPr>
          <w:sz w:val="24"/>
          <w:lang w:val="de-DE"/>
        </w:rPr>
        <w:t>:</w:t>
      </w:r>
      <w:r w:rsidRPr="00710BE9">
        <w:rPr>
          <w:sz w:val="24"/>
          <w:lang w:val="de-DE"/>
        </w:rPr>
        <w:t xml:space="preserve"> „‚stiffmutter‘ und ‚galtbir‘. Literarische Kreation auf der Schnittstelle von Sprachen“. In: </w:t>
      </w:r>
      <w:r w:rsidRPr="00710BE9">
        <w:rPr>
          <w:i/>
          <w:sz w:val="24"/>
          <w:lang w:val="de-DE"/>
        </w:rPr>
        <w:t xml:space="preserve">Diskurse in die Weite. Kosmopolitische Räume in den Literaturen der Schweiz. </w:t>
      </w:r>
      <w:r w:rsidR="003F40B1" w:rsidRPr="002810D7">
        <w:rPr>
          <w:sz w:val="24"/>
          <w:lang w:val="de-DE"/>
        </w:rPr>
        <w:t>Hg. von Martina Kamm et al</w:t>
      </w:r>
      <w:r w:rsidRPr="002810D7">
        <w:rPr>
          <w:sz w:val="24"/>
          <w:lang w:val="de-DE"/>
        </w:rPr>
        <w:t>. Zürich: Seismo 2010, S. 126-139.</w:t>
      </w:r>
    </w:p>
    <w:p w14:paraId="682E3EB4" w14:textId="4AF5A5A4" w:rsidR="0043447A" w:rsidRPr="002810D7" w:rsidRDefault="0043447A" w:rsidP="00A96684">
      <w:pPr>
        <w:rPr>
          <w:lang w:val="de-DE"/>
        </w:rPr>
      </w:pPr>
    </w:p>
    <w:p w14:paraId="3DCFDB66" w14:textId="291E8322" w:rsidR="003E78E5" w:rsidRPr="00CA0BC0" w:rsidRDefault="00CA0BC0" w:rsidP="00A96684">
      <w:pPr>
        <w:spacing w:after="240"/>
        <w:ind w:left="567" w:hanging="567"/>
        <w:rPr>
          <w:lang w:val="de-DE"/>
        </w:rPr>
      </w:pPr>
      <w:r w:rsidRPr="003D088B">
        <w:rPr>
          <w:lang w:val="de-DE"/>
        </w:rPr>
        <w:t>Tibi</w:t>
      </w:r>
      <w:r w:rsidR="00370FDB">
        <w:rPr>
          <w:lang w:val="de-DE"/>
        </w:rPr>
        <w:t xml:space="preserve">, </w:t>
      </w:r>
      <w:r w:rsidR="00370FDB" w:rsidRPr="003D088B">
        <w:rPr>
          <w:lang w:val="de-DE"/>
        </w:rPr>
        <w:t>Bassam</w:t>
      </w:r>
      <w:r w:rsidRPr="003D088B">
        <w:rPr>
          <w:lang w:val="de-DE"/>
        </w:rPr>
        <w:t xml:space="preserve">: </w:t>
      </w:r>
      <w:r w:rsidRPr="003D088B">
        <w:rPr>
          <w:i/>
          <w:lang w:val="de-DE"/>
        </w:rPr>
        <w:t xml:space="preserve">Europa ohne Identität? </w:t>
      </w:r>
      <w:r w:rsidRPr="00C55AAE">
        <w:rPr>
          <w:i/>
          <w:lang w:val="de-DE"/>
        </w:rPr>
        <w:t>Lei</w:t>
      </w:r>
      <w:r>
        <w:rPr>
          <w:i/>
          <w:lang w:val="de-DE"/>
        </w:rPr>
        <w:t xml:space="preserve">tkultur oder Wertebeliebigkeit. </w:t>
      </w:r>
      <w:r>
        <w:rPr>
          <w:lang w:val="de-DE"/>
        </w:rPr>
        <w:t>München: C. Bertelsmann 1998.</w:t>
      </w:r>
    </w:p>
    <w:p w14:paraId="488C73A4" w14:textId="29B251D2" w:rsidR="003E78E5" w:rsidRDefault="003E78E5" w:rsidP="003E78E5">
      <w:pPr>
        <w:pStyle w:val="Voetnoottekst"/>
        <w:spacing w:line="360" w:lineRule="auto"/>
        <w:ind w:left="567" w:hanging="567"/>
        <w:rPr>
          <w:sz w:val="24"/>
          <w:lang w:val="de-DE"/>
        </w:rPr>
      </w:pPr>
      <w:r w:rsidRPr="003E78E5">
        <w:rPr>
          <w:sz w:val="24"/>
          <w:lang w:val="de-DE"/>
        </w:rPr>
        <w:t>Tibi</w:t>
      </w:r>
      <w:r>
        <w:rPr>
          <w:sz w:val="24"/>
          <w:lang w:val="de-DE"/>
        </w:rPr>
        <w:t>,</w:t>
      </w:r>
      <w:r w:rsidRPr="003E78E5">
        <w:rPr>
          <w:sz w:val="24"/>
          <w:lang w:val="de-DE"/>
        </w:rPr>
        <w:t xml:space="preserve"> Bassam: „Multikultureller Werte-Relativismus und Werte-Verlust. Demokratie zwischen Werte-Beliebigkeit und pluralistisc</w:t>
      </w:r>
      <w:r>
        <w:rPr>
          <w:sz w:val="24"/>
          <w:lang w:val="de-DE"/>
        </w:rPr>
        <w:t>hem Werte-Konsens“.</w:t>
      </w:r>
      <w:r w:rsidRPr="003E78E5">
        <w:rPr>
          <w:sz w:val="24"/>
          <w:lang w:val="de-DE"/>
        </w:rPr>
        <w:t xml:space="preserve"> </w:t>
      </w:r>
      <w:r>
        <w:rPr>
          <w:sz w:val="24"/>
          <w:lang w:val="de-DE"/>
        </w:rPr>
        <w:t xml:space="preserve">In: </w:t>
      </w:r>
      <w:r>
        <w:rPr>
          <w:i/>
          <w:sz w:val="24"/>
          <w:lang w:val="de-DE"/>
        </w:rPr>
        <w:t xml:space="preserve">Aus Politik und Zeitgeschichte </w:t>
      </w:r>
      <w:r>
        <w:rPr>
          <w:sz w:val="24"/>
          <w:lang w:val="de-DE"/>
        </w:rPr>
        <w:t>52-53 (1996)</w:t>
      </w:r>
      <w:r w:rsidR="00C81F7F">
        <w:rPr>
          <w:sz w:val="24"/>
          <w:lang w:val="de-DE"/>
        </w:rPr>
        <w:t>, S. 23-26.</w:t>
      </w:r>
    </w:p>
    <w:p w14:paraId="76BD3BA9" w14:textId="77777777" w:rsidR="0054249D" w:rsidRPr="00395685" w:rsidRDefault="0054249D" w:rsidP="003E78E5">
      <w:pPr>
        <w:pStyle w:val="Voetnoottekst"/>
        <w:spacing w:line="360" w:lineRule="auto"/>
        <w:ind w:left="567" w:hanging="567"/>
        <w:rPr>
          <w:sz w:val="24"/>
          <w:lang w:val="de-DE"/>
        </w:rPr>
      </w:pPr>
    </w:p>
    <w:p w14:paraId="7739BE6D" w14:textId="7E2685A3" w:rsidR="00EC61A3" w:rsidRDefault="00924C22" w:rsidP="00A96684">
      <w:pPr>
        <w:pStyle w:val="Voetnoottekst"/>
        <w:spacing w:line="360" w:lineRule="auto"/>
        <w:ind w:left="567" w:hanging="567"/>
        <w:rPr>
          <w:sz w:val="24"/>
          <w:lang w:val="en-GB"/>
        </w:rPr>
      </w:pPr>
      <w:r w:rsidRPr="00924C22">
        <w:rPr>
          <w:sz w:val="24"/>
          <w:lang w:val="en-GB"/>
        </w:rPr>
        <w:t>Thurman</w:t>
      </w:r>
      <w:r w:rsidR="0054249D">
        <w:rPr>
          <w:sz w:val="24"/>
          <w:lang w:val="en-GB"/>
        </w:rPr>
        <w:t xml:space="preserve">, </w:t>
      </w:r>
      <w:r w:rsidR="0054249D" w:rsidRPr="00924C22">
        <w:rPr>
          <w:sz w:val="24"/>
          <w:lang w:val="en-GB"/>
        </w:rPr>
        <w:t>Judith</w:t>
      </w:r>
      <w:r w:rsidR="003F40B1">
        <w:rPr>
          <w:sz w:val="24"/>
          <w:lang w:val="en-GB"/>
        </w:rPr>
        <w:t xml:space="preserve">: </w:t>
      </w:r>
      <w:r w:rsidR="003F40B1" w:rsidRPr="002810D7">
        <w:rPr>
          <w:sz w:val="24"/>
          <w:lang w:val="en-US"/>
        </w:rPr>
        <w:t>„</w:t>
      </w:r>
      <w:r w:rsidRPr="00924C22">
        <w:rPr>
          <w:sz w:val="24"/>
          <w:lang w:val="en-GB"/>
        </w:rPr>
        <w:t>Introduction</w:t>
      </w:r>
      <w:r w:rsidR="003F40B1" w:rsidRPr="002810D7">
        <w:rPr>
          <w:sz w:val="24"/>
          <w:lang w:val="en-US"/>
        </w:rPr>
        <w:t>“</w:t>
      </w:r>
      <w:r w:rsidRPr="00924C22">
        <w:rPr>
          <w:sz w:val="24"/>
          <w:lang w:val="en-GB"/>
        </w:rPr>
        <w:t xml:space="preserve">. In: </w:t>
      </w:r>
      <w:r w:rsidRPr="00924C22">
        <w:rPr>
          <w:i/>
          <w:sz w:val="24"/>
          <w:lang w:val="en-GB"/>
        </w:rPr>
        <w:t xml:space="preserve">Simone de Beauvoir. The Second Sex. </w:t>
      </w:r>
      <w:r w:rsidRPr="00924C22">
        <w:rPr>
          <w:sz w:val="24"/>
          <w:lang w:val="en-GB"/>
        </w:rPr>
        <w:t>Übersetzt von Constance Borde und Sheila Malovany-Chevallier. New York: Random House 2011</w:t>
      </w:r>
      <w:r>
        <w:rPr>
          <w:sz w:val="24"/>
          <w:lang w:val="en-GB"/>
        </w:rPr>
        <w:t>, S. 8-15.</w:t>
      </w:r>
    </w:p>
    <w:p w14:paraId="1CEC88E4" w14:textId="6E09A9B0" w:rsidR="00D76DD5" w:rsidRDefault="00D76DD5" w:rsidP="00A96684">
      <w:pPr>
        <w:pStyle w:val="Voetnoottekst"/>
        <w:spacing w:line="360" w:lineRule="auto"/>
        <w:ind w:left="567" w:hanging="567"/>
        <w:rPr>
          <w:sz w:val="24"/>
          <w:lang w:val="en-GB"/>
        </w:rPr>
      </w:pPr>
    </w:p>
    <w:p w14:paraId="03BFB196" w14:textId="36F6E897" w:rsidR="00D76DD5" w:rsidRPr="00D76DD5" w:rsidRDefault="00D76DD5" w:rsidP="00D76DD5">
      <w:pPr>
        <w:pStyle w:val="Voetnoottekst"/>
        <w:rPr>
          <w:sz w:val="24"/>
          <w:szCs w:val="24"/>
          <w:lang w:val="en-US"/>
        </w:rPr>
      </w:pPr>
      <w:r w:rsidRPr="00D76DD5">
        <w:rPr>
          <w:sz w:val="24"/>
          <w:szCs w:val="24"/>
          <w:lang w:val="en-US"/>
        </w:rPr>
        <w:t>Todorova</w:t>
      </w:r>
      <w:r w:rsidR="00D622A6">
        <w:rPr>
          <w:sz w:val="24"/>
          <w:szCs w:val="24"/>
          <w:lang w:val="en-US"/>
        </w:rPr>
        <w:t xml:space="preserve">, </w:t>
      </w:r>
      <w:r w:rsidR="00D622A6" w:rsidRPr="00D76DD5">
        <w:rPr>
          <w:sz w:val="24"/>
          <w:szCs w:val="24"/>
          <w:lang w:val="en-US"/>
        </w:rPr>
        <w:t>Maria</w:t>
      </w:r>
      <w:r w:rsidRPr="00D76DD5">
        <w:rPr>
          <w:sz w:val="24"/>
          <w:szCs w:val="24"/>
          <w:lang w:val="en-US"/>
        </w:rPr>
        <w:t xml:space="preserve">: </w:t>
      </w:r>
      <w:r w:rsidRPr="00D76DD5">
        <w:rPr>
          <w:i/>
          <w:sz w:val="24"/>
          <w:szCs w:val="24"/>
          <w:lang w:val="en-US"/>
        </w:rPr>
        <w:t>Imagining the Balkans</w:t>
      </w:r>
      <w:r w:rsidRPr="00D76DD5">
        <w:rPr>
          <w:sz w:val="24"/>
          <w:szCs w:val="24"/>
          <w:lang w:val="en-US"/>
        </w:rPr>
        <w:t>. New York: Oxford University Press 2009</w:t>
      </w:r>
      <w:r>
        <w:rPr>
          <w:sz w:val="24"/>
          <w:szCs w:val="24"/>
          <w:lang w:val="en-US"/>
        </w:rPr>
        <w:t>.</w:t>
      </w:r>
    </w:p>
    <w:p w14:paraId="0B53FA9B" w14:textId="77777777" w:rsidR="00A96684" w:rsidRPr="00A96684" w:rsidRDefault="00A96684" w:rsidP="00A96684">
      <w:pPr>
        <w:pStyle w:val="Voetnoottekst"/>
        <w:spacing w:line="360" w:lineRule="auto"/>
        <w:ind w:left="567" w:hanging="567"/>
        <w:rPr>
          <w:sz w:val="32"/>
          <w:lang w:val="en-GB"/>
        </w:rPr>
      </w:pPr>
    </w:p>
    <w:p w14:paraId="67CC9606" w14:textId="05098412" w:rsidR="00EC61A3" w:rsidRDefault="00EC61A3" w:rsidP="00C77ED9">
      <w:pPr>
        <w:ind w:left="567" w:hanging="567"/>
        <w:rPr>
          <w:lang w:val="de-DE"/>
        </w:rPr>
      </w:pPr>
      <w:r>
        <w:rPr>
          <w:lang w:val="de-DE"/>
        </w:rPr>
        <w:t>Uerlings, Herbert</w:t>
      </w:r>
      <w:r w:rsidRPr="00946453">
        <w:rPr>
          <w:lang w:val="de-DE"/>
        </w:rPr>
        <w:t xml:space="preserve">: </w:t>
      </w:r>
      <w:r w:rsidRPr="00946453">
        <w:rPr>
          <w:i/>
          <w:lang w:val="de-DE"/>
        </w:rPr>
        <w:t xml:space="preserve">“Ich bin von niedriger Rasse”: (Post-)Kolonialismus und </w:t>
      </w:r>
      <w:r>
        <w:rPr>
          <w:i/>
          <w:lang w:val="de-DE"/>
        </w:rPr>
        <w:t xml:space="preserve">Geschlechterdifferenz in der deutschen Literatur. </w:t>
      </w:r>
      <w:r>
        <w:rPr>
          <w:lang w:val="de-DE"/>
        </w:rPr>
        <w:t>Köln/Weimar: Böhlau Verlag 2006.</w:t>
      </w:r>
    </w:p>
    <w:p w14:paraId="591C6C85" w14:textId="5DC45918" w:rsidR="00E92858" w:rsidRDefault="00E92858" w:rsidP="00C77ED9">
      <w:pPr>
        <w:ind w:left="567" w:hanging="567"/>
        <w:rPr>
          <w:lang w:val="de-DE"/>
        </w:rPr>
      </w:pPr>
    </w:p>
    <w:p w14:paraId="1C88ECE2" w14:textId="1F5B695A" w:rsidR="0043447A" w:rsidRPr="002810D7" w:rsidRDefault="00E92858" w:rsidP="00A96684">
      <w:pPr>
        <w:ind w:left="567" w:hanging="567"/>
        <w:rPr>
          <w:lang w:val="en-US"/>
        </w:rPr>
      </w:pPr>
      <w:r w:rsidRPr="001B693F">
        <w:rPr>
          <w:lang w:val="de-DE"/>
        </w:rPr>
        <w:t>Van der Gucht</w:t>
      </w:r>
      <w:r>
        <w:rPr>
          <w:lang w:val="de-DE"/>
        </w:rPr>
        <w:t xml:space="preserve">, </w:t>
      </w:r>
      <w:r w:rsidR="00706AF8">
        <w:rPr>
          <w:lang w:val="de-DE"/>
        </w:rPr>
        <w:t xml:space="preserve">Liselotte: </w:t>
      </w:r>
      <w:r w:rsidRPr="00706AF8">
        <w:rPr>
          <w:i/>
          <w:lang w:val="de-DE"/>
        </w:rPr>
        <w:t xml:space="preserve">Die Angst, als Fremde in der Welt dazustehen. Die Suche nach Identität in Melinda Nadj Abonjis </w:t>
      </w:r>
      <w:r w:rsidR="00706AF8">
        <w:rPr>
          <w:i/>
          <w:lang w:val="de-DE"/>
        </w:rPr>
        <w:t>‚</w:t>
      </w:r>
      <w:r w:rsidRPr="00706AF8">
        <w:rPr>
          <w:i/>
          <w:lang w:val="de-DE"/>
        </w:rPr>
        <w:t>Tauben fliegen auf</w:t>
      </w:r>
      <w:r w:rsidR="00706AF8">
        <w:rPr>
          <w:i/>
          <w:lang w:val="de-DE"/>
        </w:rPr>
        <w:t xml:space="preserve">‘ </w:t>
      </w:r>
      <w:r w:rsidR="00706AF8">
        <w:rPr>
          <w:lang w:val="de-DE"/>
        </w:rPr>
        <w:t>[</w:t>
      </w:r>
      <w:r>
        <w:rPr>
          <w:lang w:val="de-DE"/>
        </w:rPr>
        <w:t>Bachelorarbeit</w:t>
      </w:r>
      <w:r w:rsidR="00706AF8">
        <w:rPr>
          <w:lang w:val="de-DE"/>
        </w:rPr>
        <w:t xml:space="preserve">]. </w:t>
      </w:r>
      <w:r w:rsidR="00706AF8" w:rsidRPr="002810D7">
        <w:rPr>
          <w:lang w:val="en-US"/>
        </w:rPr>
        <w:t>Gent: Universiteit Gent</w:t>
      </w:r>
      <w:r w:rsidRPr="002810D7">
        <w:rPr>
          <w:lang w:val="en-US"/>
        </w:rPr>
        <w:t xml:space="preserve"> 2017.</w:t>
      </w:r>
    </w:p>
    <w:p w14:paraId="13A51E3E" w14:textId="7220FEF2" w:rsidR="00BF72EC" w:rsidRPr="002810D7" w:rsidRDefault="00BF72EC" w:rsidP="000C2DFD">
      <w:pPr>
        <w:pStyle w:val="Voetnoottekst"/>
        <w:spacing w:line="360" w:lineRule="auto"/>
        <w:rPr>
          <w:sz w:val="24"/>
          <w:szCs w:val="24"/>
          <w:lang w:val="en-US"/>
        </w:rPr>
      </w:pPr>
    </w:p>
    <w:p w14:paraId="34EF96DE" w14:textId="07C33ADD" w:rsidR="00BF72EC" w:rsidRDefault="00BF72EC" w:rsidP="0043447A">
      <w:pPr>
        <w:pStyle w:val="Voetnoottekst"/>
        <w:spacing w:line="360" w:lineRule="auto"/>
        <w:ind w:left="567" w:hanging="567"/>
        <w:rPr>
          <w:sz w:val="24"/>
          <w:lang w:val="de-DE"/>
        </w:rPr>
      </w:pPr>
      <w:r w:rsidRPr="00BF72EC">
        <w:rPr>
          <w:sz w:val="24"/>
          <w:lang w:val="en-US"/>
        </w:rPr>
        <w:t>Weinreich</w:t>
      </w:r>
      <w:r>
        <w:rPr>
          <w:sz w:val="24"/>
          <w:lang w:val="en-US"/>
        </w:rPr>
        <w:t xml:space="preserve">, </w:t>
      </w:r>
      <w:r w:rsidRPr="00BF72EC">
        <w:rPr>
          <w:sz w:val="24"/>
          <w:lang w:val="en-US"/>
        </w:rPr>
        <w:t xml:space="preserve">Max: „The YIVO Faces the Post-War World“. </w:t>
      </w:r>
      <w:r w:rsidRPr="00BF72EC">
        <w:rPr>
          <w:sz w:val="24"/>
          <w:lang w:val="de-DE"/>
        </w:rPr>
        <w:t xml:space="preserve">In: </w:t>
      </w:r>
      <w:r w:rsidRPr="00BF72EC">
        <w:rPr>
          <w:i/>
          <w:sz w:val="24"/>
          <w:lang w:val="de-DE"/>
        </w:rPr>
        <w:t>Yivo bleter</w:t>
      </w:r>
      <w:r w:rsidRPr="00BF72EC">
        <w:rPr>
          <w:sz w:val="24"/>
          <w:lang w:val="de-DE"/>
        </w:rPr>
        <w:t xml:space="preserve"> (Januar-Juli 1945</w:t>
      </w:r>
      <w:r>
        <w:rPr>
          <w:sz w:val="24"/>
          <w:lang w:val="de-DE"/>
        </w:rPr>
        <w:t>).</w:t>
      </w:r>
    </w:p>
    <w:p w14:paraId="67B5EE40" w14:textId="7BB62835" w:rsidR="00D34825" w:rsidRDefault="00D34825" w:rsidP="0043447A">
      <w:pPr>
        <w:pStyle w:val="Voetnoottekst"/>
        <w:spacing w:line="360" w:lineRule="auto"/>
        <w:ind w:left="567" w:hanging="567"/>
        <w:rPr>
          <w:sz w:val="24"/>
          <w:lang w:val="de-DE"/>
        </w:rPr>
      </w:pPr>
    </w:p>
    <w:p w14:paraId="16318539" w14:textId="7FE2CAF8" w:rsidR="00D34825" w:rsidRPr="00D34825" w:rsidRDefault="00D34825" w:rsidP="0043447A">
      <w:pPr>
        <w:pStyle w:val="Voetnoottekst"/>
        <w:spacing w:line="360" w:lineRule="auto"/>
        <w:ind w:left="567" w:hanging="567"/>
        <w:rPr>
          <w:sz w:val="40"/>
          <w:szCs w:val="24"/>
          <w:lang w:val="de-DE"/>
        </w:rPr>
      </w:pPr>
      <w:r w:rsidRPr="00D34825">
        <w:rPr>
          <w:sz w:val="24"/>
          <w:lang w:val="de-DE"/>
        </w:rPr>
        <w:lastRenderedPageBreak/>
        <w:t xml:space="preserve">Zapf, Dieter et al.: „Emotionsarbeit in Organisationen und psychische Gesundheit“. In: </w:t>
      </w:r>
      <w:r w:rsidRPr="00D34825">
        <w:rPr>
          <w:i/>
          <w:sz w:val="24"/>
          <w:lang w:val="de-DE"/>
        </w:rPr>
        <w:t xml:space="preserve">Psychologie der Arbeitssicherheit. Beiträge zur Förderung von Sicherheit und Gesundheit in Arbeitssystemen. </w:t>
      </w:r>
      <w:r w:rsidRPr="00D34825">
        <w:rPr>
          <w:sz w:val="24"/>
          <w:lang w:val="de-DE"/>
        </w:rPr>
        <w:t xml:space="preserve">Heidelberg: Asanger 2000, S. </w:t>
      </w:r>
      <w:r>
        <w:rPr>
          <w:sz w:val="24"/>
          <w:lang w:val="de-DE"/>
        </w:rPr>
        <w:t>99-106.</w:t>
      </w:r>
    </w:p>
    <w:p w14:paraId="50C4A81E" w14:textId="77777777" w:rsidR="002E4F56" w:rsidRPr="00BF72EC" w:rsidRDefault="002E4F56" w:rsidP="002E4F56">
      <w:pPr>
        <w:pStyle w:val="Lijstalinea"/>
        <w:rPr>
          <w:rFonts w:cs="Times New Roman"/>
          <w:lang w:val="de-DE"/>
        </w:rPr>
      </w:pPr>
    </w:p>
    <w:sectPr w:rsidR="002E4F56" w:rsidRPr="00BF72EC" w:rsidSect="00776205">
      <w:footerReference w:type="even" r:id="rId17"/>
      <w:footerReference w:type="default" r:id="rId18"/>
      <w:pgSz w:w="11906" w:h="16838" w:code="9"/>
      <w:pgMar w:top="1701" w:right="1418"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ECAA0" w14:textId="77777777" w:rsidR="00B24BFD" w:rsidRDefault="00B24BFD" w:rsidP="006542DD">
      <w:pPr>
        <w:spacing w:line="240" w:lineRule="auto"/>
      </w:pPr>
      <w:r>
        <w:separator/>
      </w:r>
    </w:p>
  </w:endnote>
  <w:endnote w:type="continuationSeparator" w:id="0">
    <w:p w14:paraId="2354BB4D" w14:textId="77777777" w:rsidR="00B24BFD" w:rsidRDefault="00B24BFD" w:rsidP="00654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845550"/>
      <w:docPartObj>
        <w:docPartGallery w:val="Page Numbers (Bottom of Page)"/>
        <w:docPartUnique/>
      </w:docPartObj>
    </w:sdtPr>
    <w:sdtEndPr/>
    <w:sdtContent>
      <w:p w14:paraId="64E0703F" w14:textId="22A51C10" w:rsidR="005D5A35" w:rsidRDefault="005D5A35">
        <w:pPr>
          <w:pStyle w:val="Voettekst"/>
        </w:pPr>
        <w:r>
          <w:fldChar w:fldCharType="begin"/>
        </w:r>
        <w:r>
          <w:instrText>PAGE   \* MERGEFORMAT</w:instrText>
        </w:r>
        <w:r>
          <w:fldChar w:fldCharType="separate"/>
        </w:r>
        <w:r w:rsidRPr="004A37E9">
          <w:rPr>
            <w:noProof/>
            <w:lang w:val="nl-NL"/>
          </w:rPr>
          <w:t>20</w:t>
        </w:r>
        <w:r>
          <w:fldChar w:fldCharType="end"/>
        </w:r>
      </w:p>
    </w:sdtContent>
  </w:sdt>
  <w:p w14:paraId="73125966" w14:textId="77777777" w:rsidR="005D5A35" w:rsidRDefault="005D5A3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6615"/>
      <w:docPartObj>
        <w:docPartGallery w:val="Page Numbers (Bottom of Page)"/>
        <w:docPartUnique/>
      </w:docPartObj>
    </w:sdtPr>
    <w:sdtEndPr/>
    <w:sdtContent>
      <w:p w14:paraId="3E6B8356" w14:textId="2C9E6247" w:rsidR="005D5A35" w:rsidRDefault="005D5A35">
        <w:pPr>
          <w:pStyle w:val="Voettekst"/>
          <w:jc w:val="right"/>
        </w:pPr>
        <w:r>
          <w:fldChar w:fldCharType="begin"/>
        </w:r>
        <w:r>
          <w:instrText>PAGE   \* MERGEFORMAT</w:instrText>
        </w:r>
        <w:r>
          <w:fldChar w:fldCharType="separate"/>
        </w:r>
        <w:r w:rsidRPr="004A37E9">
          <w:rPr>
            <w:noProof/>
            <w:lang w:val="nl-NL"/>
          </w:rPr>
          <w:t>21</w:t>
        </w:r>
        <w:r>
          <w:fldChar w:fldCharType="end"/>
        </w:r>
      </w:p>
    </w:sdtContent>
  </w:sdt>
  <w:p w14:paraId="210F7F47" w14:textId="77777777" w:rsidR="005D5A35" w:rsidRDefault="005D5A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3DE2A" w14:textId="77777777" w:rsidR="00B24BFD" w:rsidRDefault="00B24BFD" w:rsidP="006542DD">
      <w:pPr>
        <w:spacing w:line="240" w:lineRule="auto"/>
      </w:pPr>
      <w:r>
        <w:separator/>
      </w:r>
    </w:p>
  </w:footnote>
  <w:footnote w:type="continuationSeparator" w:id="0">
    <w:p w14:paraId="07825E69" w14:textId="77777777" w:rsidR="00B24BFD" w:rsidRDefault="00B24BFD" w:rsidP="006542DD">
      <w:pPr>
        <w:spacing w:line="240" w:lineRule="auto"/>
      </w:pPr>
      <w:r>
        <w:continuationSeparator/>
      </w:r>
    </w:p>
  </w:footnote>
  <w:footnote w:id="1">
    <w:p w14:paraId="379C8DEC" w14:textId="468C95C9" w:rsidR="005D5A35" w:rsidRPr="00B44F7B" w:rsidRDefault="005D5A35">
      <w:pPr>
        <w:pStyle w:val="Voetnoottekst"/>
        <w:rPr>
          <w:lang w:val="de-DE"/>
        </w:rPr>
      </w:pPr>
      <w:r>
        <w:rPr>
          <w:rStyle w:val="Voetnootmarkering"/>
        </w:rPr>
        <w:footnoteRef/>
      </w:r>
      <w:r w:rsidRPr="00B44F7B">
        <w:rPr>
          <w:lang w:val="de-DE"/>
        </w:rPr>
        <w:t xml:space="preserve"> </w:t>
      </w:r>
      <w:r w:rsidRPr="00A639BD">
        <w:rPr>
          <w:rFonts w:cs="Times New Roman"/>
          <w:color w:val="000000"/>
          <w:lang w:val="de-DE"/>
        </w:rPr>
        <w:t xml:space="preserve">Um den Lesefluss nicht zu </w:t>
      </w:r>
      <w:r>
        <w:rPr>
          <w:rFonts w:cs="Times New Roman"/>
          <w:color w:val="000000"/>
          <w:lang w:val="de-DE"/>
        </w:rPr>
        <w:t>beeinträchtigen, wird hier und in der</w:t>
      </w:r>
      <w:r w:rsidRPr="00A639BD">
        <w:rPr>
          <w:rFonts w:cs="Times New Roman"/>
          <w:color w:val="000000"/>
          <w:lang w:val="de-DE"/>
        </w:rPr>
        <w:t xml:space="preserve"> </w:t>
      </w:r>
      <w:r>
        <w:rPr>
          <w:rFonts w:cs="Times New Roman"/>
          <w:color w:val="000000"/>
          <w:lang w:val="de-DE"/>
        </w:rPr>
        <w:t>ganzen Arbeit</w:t>
      </w:r>
      <w:r w:rsidRPr="00A639BD">
        <w:rPr>
          <w:rFonts w:cs="Times New Roman"/>
          <w:color w:val="000000"/>
          <w:lang w:val="de-DE"/>
        </w:rPr>
        <w:t xml:space="preserve"> zwar nur die mä</w:t>
      </w:r>
      <w:r>
        <w:rPr>
          <w:rFonts w:cs="Times New Roman"/>
          <w:color w:val="000000"/>
          <w:lang w:val="de-DE"/>
        </w:rPr>
        <w:t>nnliche Form genannt, aber werden stets</w:t>
      </w:r>
      <w:r w:rsidRPr="00A639BD">
        <w:rPr>
          <w:rFonts w:cs="Times New Roman"/>
          <w:color w:val="000000"/>
          <w:lang w:val="de-DE"/>
        </w:rPr>
        <w:t xml:space="preserve"> die weibliche Form</w:t>
      </w:r>
      <w:r>
        <w:rPr>
          <w:rFonts w:cs="Times New Roman"/>
          <w:color w:val="000000"/>
          <w:lang w:val="de-DE"/>
        </w:rPr>
        <w:t xml:space="preserve"> und auch Menschen, die sich weder mit der männlichen noch mit der weiblichen Genderidentität identifizieren,</w:t>
      </w:r>
      <w:r w:rsidRPr="00A639BD">
        <w:rPr>
          <w:rFonts w:cs="Times New Roman"/>
          <w:color w:val="000000"/>
          <w:lang w:val="de-DE"/>
        </w:rPr>
        <w:t xml:space="preserve"> gleichermaßen mitgemeint.</w:t>
      </w:r>
    </w:p>
  </w:footnote>
  <w:footnote w:id="2">
    <w:p w14:paraId="24A996F2" w14:textId="4410CB57" w:rsidR="005D5A35" w:rsidRPr="00536647" w:rsidRDefault="005D5A35">
      <w:pPr>
        <w:pStyle w:val="Voetnoottekst"/>
        <w:rPr>
          <w:lang w:val="de-DE"/>
        </w:rPr>
      </w:pPr>
      <w:r>
        <w:rPr>
          <w:rStyle w:val="Voetnootmarkering"/>
        </w:rPr>
        <w:footnoteRef/>
      </w:r>
      <w:r w:rsidRPr="00536647">
        <w:t xml:space="preserve"> </w:t>
      </w:r>
      <w:r>
        <w:t xml:space="preserve">Vgl. </w:t>
      </w:r>
      <w:r w:rsidRPr="00536647">
        <w:rPr>
          <w:i/>
        </w:rPr>
        <w:t>Meertalenbeleid op school: 10 veelgestelde vrag</w:t>
      </w:r>
      <w:r>
        <w:rPr>
          <w:i/>
        </w:rPr>
        <w:t>en.</w:t>
      </w:r>
      <w:r>
        <w:t xml:space="preserve"> </w:t>
      </w:r>
      <w:r w:rsidRPr="00536647">
        <w:t>GO! Onderwijs van de V</w:t>
      </w:r>
      <w:r>
        <w:t xml:space="preserve">laamse Gemeenschap. </w:t>
      </w:r>
      <w:r w:rsidRPr="001F0836">
        <w:rPr>
          <w:lang w:val="de-DE"/>
        </w:rPr>
        <w:t xml:space="preserve">17.11.2017. </w:t>
      </w:r>
      <w:hyperlink r:id="rId1" w:history="1">
        <w:r w:rsidRPr="00536647">
          <w:rPr>
            <w:rStyle w:val="Hyperlink"/>
            <w:lang w:val="de-DE"/>
          </w:rPr>
          <w:t>http://www.g-o.be/meertalenbeleid-op-school-10-veelgestelde-vragen/</w:t>
        </w:r>
      </w:hyperlink>
      <w:r w:rsidRPr="00536647">
        <w:rPr>
          <w:lang w:val="de-DE"/>
        </w:rPr>
        <w:t xml:space="preserve"> (ab</w:t>
      </w:r>
      <w:r>
        <w:rPr>
          <w:lang w:val="de-DE"/>
        </w:rPr>
        <w:t xml:space="preserve">gerufen am 20.05.2018). </w:t>
      </w:r>
    </w:p>
  </w:footnote>
  <w:footnote w:id="3">
    <w:p w14:paraId="5CEDB232" w14:textId="3EA67B3C" w:rsidR="005D5A35" w:rsidRPr="00FE0289" w:rsidRDefault="005D5A35">
      <w:pPr>
        <w:pStyle w:val="Voetnoottekst"/>
        <w:rPr>
          <w:lang w:val="en-US"/>
        </w:rPr>
      </w:pPr>
      <w:r>
        <w:rPr>
          <w:rStyle w:val="Voetnootmarkering"/>
        </w:rPr>
        <w:footnoteRef/>
      </w:r>
      <w:r w:rsidRPr="00FE0289">
        <w:rPr>
          <w:lang w:val="en-US"/>
        </w:rPr>
        <w:t xml:space="preserve"> </w:t>
      </w:r>
      <w:r>
        <w:rPr>
          <w:lang w:val="en-US"/>
        </w:rPr>
        <w:t>Ebd.</w:t>
      </w:r>
    </w:p>
  </w:footnote>
  <w:footnote w:id="4">
    <w:p w14:paraId="669A8950" w14:textId="534D5697" w:rsidR="005D5A35" w:rsidRPr="00661720" w:rsidRDefault="005D5A35">
      <w:pPr>
        <w:pStyle w:val="Voetnoottekst"/>
        <w:rPr>
          <w:lang w:val="en-GB"/>
        </w:rPr>
      </w:pPr>
      <w:r>
        <w:rPr>
          <w:rStyle w:val="Voetnootmarkering"/>
        </w:rPr>
        <w:footnoteRef/>
      </w:r>
      <w:r w:rsidRPr="00661720">
        <w:rPr>
          <w:lang w:val="en-US"/>
        </w:rPr>
        <w:t xml:space="preserve"> </w:t>
      </w:r>
      <w:r w:rsidRPr="00536647">
        <w:rPr>
          <w:lang w:val="en-US"/>
        </w:rPr>
        <w:t xml:space="preserve">Vgl. Rachel Bailey Jones: </w:t>
      </w:r>
      <w:r w:rsidRPr="00536647">
        <w:rPr>
          <w:i/>
          <w:lang w:val="en-US"/>
        </w:rPr>
        <w:t xml:space="preserve">Postcolonial Representations of Women. </w:t>
      </w:r>
      <w:r>
        <w:rPr>
          <w:i/>
          <w:lang w:val="en-GB"/>
        </w:rPr>
        <w:t xml:space="preserve">Critical Issues for Education. </w:t>
      </w:r>
      <w:r>
        <w:rPr>
          <w:lang w:val="en-GB"/>
        </w:rPr>
        <w:t>Heidelberg: Springer 2011, S. 23.</w:t>
      </w:r>
    </w:p>
  </w:footnote>
  <w:footnote w:id="5">
    <w:p w14:paraId="034A5316" w14:textId="3C1215AD" w:rsidR="005D5A35" w:rsidRPr="00056169" w:rsidRDefault="005D5A35">
      <w:pPr>
        <w:pStyle w:val="Voetnoottekst"/>
        <w:rPr>
          <w:lang w:val="en-GB"/>
        </w:rPr>
      </w:pPr>
      <w:r>
        <w:rPr>
          <w:rStyle w:val="Voetnootmarkering"/>
        </w:rPr>
        <w:footnoteRef/>
      </w:r>
      <w:r>
        <w:rPr>
          <w:lang w:val="en-GB"/>
        </w:rPr>
        <w:t xml:space="preserve"> Vgl. ebd.</w:t>
      </w:r>
    </w:p>
  </w:footnote>
  <w:footnote w:id="6">
    <w:p w14:paraId="72EA9DFF" w14:textId="5A7275D1" w:rsidR="005D5A35" w:rsidRPr="0072154D" w:rsidRDefault="005D5A35" w:rsidP="00866DD6">
      <w:pPr>
        <w:pStyle w:val="Voetnoottekst"/>
        <w:rPr>
          <w:lang w:val="en-GB"/>
        </w:rPr>
      </w:pPr>
      <w:r>
        <w:rPr>
          <w:rStyle w:val="Voetnootmarkering"/>
        </w:rPr>
        <w:footnoteRef/>
      </w:r>
      <w:r w:rsidRPr="0072154D">
        <w:rPr>
          <w:lang w:val="en-GB"/>
        </w:rPr>
        <w:t xml:space="preserve"> Jones, S. 24. </w:t>
      </w:r>
    </w:p>
  </w:footnote>
  <w:footnote w:id="7">
    <w:p w14:paraId="4E5254C2" w14:textId="36172756" w:rsidR="005D5A35" w:rsidRPr="005D1448" w:rsidRDefault="005D5A35">
      <w:pPr>
        <w:pStyle w:val="Voetnoottekst"/>
        <w:rPr>
          <w:lang w:val="en-GB"/>
        </w:rPr>
      </w:pPr>
      <w:r>
        <w:rPr>
          <w:rStyle w:val="Voetnootmarkering"/>
        </w:rPr>
        <w:footnoteRef/>
      </w:r>
      <w:r w:rsidRPr="005D1448">
        <w:rPr>
          <w:lang w:val="en-GB"/>
        </w:rPr>
        <w:t xml:space="preserve"> </w:t>
      </w:r>
      <w:r>
        <w:rPr>
          <w:lang w:val="en-GB"/>
        </w:rPr>
        <w:t xml:space="preserve">Vgl. ebd. </w:t>
      </w:r>
    </w:p>
  </w:footnote>
  <w:footnote w:id="8">
    <w:p w14:paraId="2B07D8C2" w14:textId="77777777" w:rsidR="005D5A35" w:rsidRPr="002D07E6" w:rsidRDefault="005D5A35" w:rsidP="00384B7C">
      <w:pPr>
        <w:pStyle w:val="Voetnoottekst"/>
        <w:rPr>
          <w:lang w:val="en-GB"/>
        </w:rPr>
      </w:pPr>
      <w:r>
        <w:rPr>
          <w:rStyle w:val="Voetnootmarkering"/>
        </w:rPr>
        <w:footnoteRef/>
      </w:r>
      <w:r w:rsidRPr="002D07E6">
        <w:rPr>
          <w:lang w:val="en-GB"/>
        </w:rPr>
        <w:t xml:space="preserve"> Alfred J. López: </w:t>
      </w:r>
      <w:r w:rsidRPr="002D07E6">
        <w:rPr>
          <w:i/>
          <w:lang w:val="en-GB"/>
        </w:rPr>
        <w:t xml:space="preserve">Posts and Pasts: A Theory of Postcolonialism. </w:t>
      </w:r>
      <w:r>
        <w:rPr>
          <w:lang w:val="en-GB"/>
        </w:rPr>
        <w:t>Albany: State University of New York Press 2001, S. 7.</w:t>
      </w:r>
    </w:p>
  </w:footnote>
  <w:footnote w:id="9">
    <w:p w14:paraId="1F90AD9A" w14:textId="5906B10F" w:rsidR="005D5A35" w:rsidRPr="00907F66" w:rsidRDefault="005D5A35">
      <w:pPr>
        <w:pStyle w:val="Voetnoottekst"/>
        <w:rPr>
          <w:lang w:val="en-GB"/>
        </w:rPr>
      </w:pPr>
      <w:r>
        <w:rPr>
          <w:rStyle w:val="Voetnootmarkering"/>
        </w:rPr>
        <w:footnoteRef/>
      </w:r>
      <w:r w:rsidRPr="002810D7">
        <w:rPr>
          <w:lang w:val="en-US"/>
        </w:rPr>
        <w:t xml:space="preserve"> Vgl. Aimé Césaire: </w:t>
      </w:r>
      <w:r w:rsidRPr="002810D7">
        <w:rPr>
          <w:i/>
          <w:lang w:val="en-US"/>
        </w:rPr>
        <w:t xml:space="preserve">Discourse on Colonialism. </w:t>
      </w:r>
      <w:r>
        <w:rPr>
          <w:lang w:val="en-GB"/>
        </w:rPr>
        <w:t>New York: Monthly Review Press 1972, S. 41.</w:t>
      </w:r>
    </w:p>
  </w:footnote>
  <w:footnote w:id="10">
    <w:p w14:paraId="49460C95" w14:textId="14603A46" w:rsidR="005D5A35" w:rsidRPr="005A1C22" w:rsidRDefault="005D5A35">
      <w:pPr>
        <w:pStyle w:val="Voetnoottekst"/>
        <w:rPr>
          <w:lang w:val="en-GB"/>
        </w:rPr>
      </w:pPr>
      <w:r>
        <w:rPr>
          <w:rStyle w:val="Voetnootmarkering"/>
        </w:rPr>
        <w:footnoteRef/>
      </w:r>
      <w:r>
        <w:rPr>
          <w:lang w:val="en-GB"/>
        </w:rPr>
        <w:t xml:space="preserve"> Vgl.</w:t>
      </w:r>
      <w:r w:rsidRPr="005A1C22">
        <w:rPr>
          <w:lang w:val="en-GB"/>
        </w:rPr>
        <w:t xml:space="preserve"> Frantz F</w:t>
      </w:r>
      <w:r>
        <w:rPr>
          <w:lang w:val="en-GB"/>
        </w:rPr>
        <w:t xml:space="preserve">anon: </w:t>
      </w:r>
      <w:r>
        <w:rPr>
          <w:i/>
          <w:lang w:val="en-GB"/>
        </w:rPr>
        <w:t xml:space="preserve">Black Skin, White Masks. </w:t>
      </w:r>
      <w:r>
        <w:rPr>
          <w:lang w:val="en-GB"/>
        </w:rPr>
        <w:t>London: Pluto Press 2008, S. 9.</w:t>
      </w:r>
    </w:p>
  </w:footnote>
  <w:footnote w:id="11">
    <w:p w14:paraId="073051FD" w14:textId="7E0CE3D0" w:rsidR="005D5A35" w:rsidRPr="005A1C22" w:rsidRDefault="005D5A35">
      <w:pPr>
        <w:pStyle w:val="Voetnoottekst"/>
        <w:rPr>
          <w:lang w:val="en-GB"/>
        </w:rPr>
      </w:pPr>
      <w:r>
        <w:rPr>
          <w:rStyle w:val="Voetnootmarkering"/>
        </w:rPr>
        <w:footnoteRef/>
      </w:r>
      <w:r w:rsidRPr="005A1C22">
        <w:rPr>
          <w:lang w:val="en-GB"/>
        </w:rPr>
        <w:t xml:space="preserve"> </w:t>
      </w:r>
      <w:r>
        <w:rPr>
          <w:lang w:val="en-GB"/>
        </w:rPr>
        <w:t xml:space="preserve">Vgl. Fanon, S. 3. </w:t>
      </w:r>
    </w:p>
  </w:footnote>
  <w:footnote w:id="12">
    <w:p w14:paraId="49F32D87" w14:textId="4F0B6E40" w:rsidR="005D5A35" w:rsidRPr="00905DCC" w:rsidRDefault="005D5A35">
      <w:pPr>
        <w:pStyle w:val="Voetnoottekst"/>
        <w:rPr>
          <w:lang w:val="en-GB"/>
        </w:rPr>
      </w:pPr>
      <w:r>
        <w:rPr>
          <w:rStyle w:val="Voetnootmarkering"/>
        </w:rPr>
        <w:footnoteRef/>
      </w:r>
      <w:r>
        <w:rPr>
          <w:lang w:val="en-GB"/>
        </w:rPr>
        <w:t xml:space="preserve"> Vgl.</w:t>
      </w:r>
      <w:r w:rsidRPr="00905DCC">
        <w:rPr>
          <w:lang w:val="en-GB"/>
        </w:rPr>
        <w:t xml:space="preserve"> Ashis N</w:t>
      </w:r>
      <w:r>
        <w:rPr>
          <w:lang w:val="en-GB"/>
        </w:rPr>
        <w:t xml:space="preserve">andy: </w:t>
      </w:r>
      <w:r>
        <w:rPr>
          <w:i/>
          <w:lang w:val="en-GB"/>
        </w:rPr>
        <w:t xml:space="preserve">The Intimate Enemy. Loss and Recovery of Self under Colonialism. </w:t>
      </w:r>
      <w:r>
        <w:rPr>
          <w:lang w:val="en-GB"/>
        </w:rPr>
        <w:t>Delhi: Oxford University Press 1983, S. 16.</w:t>
      </w:r>
    </w:p>
  </w:footnote>
  <w:footnote w:id="13">
    <w:p w14:paraId="618256A6" w14:textId="7369CC93" w:rsidR="005D5A35" w:rsidRPr="00C60E2B" w:rsidRDefault="005D5A35">
      <w:pPr>
        <w:pStyle w:val="Voetnoottekst"/>
        <w:rPr>
          <w:lang w:val="en-GB"/>
        </w:rPr>
      </w:pPr>
      <w:r>
        <w:rPr>
          <w:rStyle w:val="Voetnootmarkering"/>
        </w:rPr>
        <w:footnoteRef/>
      </w:r>
      <w:r w:rsidRPr="00C60E2B">
        <w:rPr>
          <w:lang w:val="en-GB"/>
        </w:rPr>
        <w:t xml:space="preserve"> </w:t>
      </w:r>
      <w:r>
        <w:rPr>
          <w:lang w:val="en-GB"/>
        </w:rPr>
        <w:t xml:space="preserve">Nandy, S. 23 (S. 3 im Kapitel </w:t>
      </w:r>
      <w:r w:rsidRPr="00ED1A4B">
        <w:rPr>
          <w:lang w:val="en-GB"/>
        </w:rPr>
        <w:t>„</w:t>
      </w:r>
      <w:r w:rsidRPr="00C60E2B">
        <w:rPr>
          <w:lang w:val="en-GB"/>
        </w:rPr>
        <w:t>The Psychology of Colonialism: Sex, Age and Ideology in British India</w:t>
      </w:r>
      <w:r w:rsidRPr="0080064F">
        <w:rPr>
          <w:lang w:val="en-GB"/>
        </w:rPr>
        <w:t>“</w:t>
      </w:r>
      <w:r>
        <w:rPr>
          <w:lang w:val="en-GB"/>
        </w:rPr>
        <w:t>).</w:t>
      </w:r>
    </w:p>
  </w:footnote>
  <w:footnote w:id="14">
    <w:p w14:paraId="19CE429A" w14:textId="68CEB7E9" w:rsidR="005D5A35" w:rsidRPr="003931DE" w:rsidRDefault="005D5A35" w:rsidP="00F4026F">
      <w:pPr>
        <w:pStyle w:val="Voetnoottekst"/>
        <w:rPr>
          <w:lang w:val="en-GB"/>
        </w:rPr>
      </w:pPr>
      <w:r>
        <w:rPr>
          <w:rStyle w:val="Voetnootmarkering"/>
        </w:rPr>
        <w:footnoteRef/>
      </w:r>
      <w:r>
        <w:rPr>
          <w:lang w:val="en-GB"/>
        </w:rPr>
        <w:t xml:space="preserve"> Edward Saïd</w:t>
      </w:r>
      <w:r w:rsidRPr="003931DE">
        <w:rPr>
          <w:lang w:val="en-GB"/>
        </w:rPr>
        <w:t xml:space="preserve">: </w:t>
      </w:r>
      <w:r w:rsidRPr="003931DE">
        <w:rPr>
          <w:i/>
          <w:lang w:val="en-GB"/>
        </w:rPr>
        <w:t>Orientalism.</w:t>
      </w:r>
      <w:r w:rsidRPr="003931DE">
        <w:rPr>
          <w:lang w:val="en-GB"/>
        </w:rPr>
        <w:t xml:space="preserve"> </w:t>
      </w:r>
      <w:r>
        <w:rPr>
          <w:lang w:val="en-GB"/>
        </w:rPr>
        <w:t>New York: Random House 1979, S. 3.</w:t>
      </w:r>
    </w:p>
  </w:footnote>
  <w:footnote w:id="15">
    <w:p w14:paraId="18DDDFFF" w14:textId="4161B2BA" w:rsidR="005D5A35" w:rsidRPr="004508A0" w:rsidRDefault="005D5A35" w:rsidP="00F4026F">
      <w:pPr>
        <w:pStyle w:val="Voetnoottekst"/>
        <w:rPr>
          <w:lang w:val="en-GB"/>
        </w:rPr>
      </w:pPr>
      <w:r>
        <w:rPr>
          <w:rStyle w:val="Voetnootmarkering"/>
        </w:rPr>
        <w:footnoteRef/>
      </w:r>
      <w:r w:rsidRPr="004508A0">
        <w:rPr>
          <w:lang w:val="en-GB"/>
        </w:rPr>
        <w:t xml:space="preserve"> Saïd, S. 1-2.</w:t>
      </w:r>
    </w:p>
  </w:footnote>
  <w:footnote w:id="16">
    <w:p w14:paraId="148ABDC1" w14:textId="12A04E71" w:rsidR="005D5A35" w:rsidRPr="004A37E9" w:rsidRDefault="005D5A35">
      <w:pPr>
        <w:pStyle w:val="Voetnoottekst"/>
        <w:rPr>
          <w:lang w:val="en-GB"/>
        </w:rPr>
      </w:pPr>
      <w:r>
        <w:rPr>
          <w:rStyle w:val="Voetnootmarkering"/>
        </w:rPr>
        <w:footnoteRef/>
      </w:r>
      <w:r w:rsidRPr="004A37E9">
        <w:rPr>
          <w:lang w:val="en-GB"/>
        </w:rPr>
        <w:t xml:space="preserve"> Vgl. Saïd, S. 40.</w:t>
      </w:r>
    </w:p>
  </w:footnote>
  <w:footnote w:id="17">
    <w:p w14:paraId="17738AB6" w14:textId="57D05E32" w:rsidR="005D5A35" w:rsidRPr="004A37E9" w:rsidRDefault="005D5A35">
      <w:pPr>
        <w:pStyle w:val="Voetnoottekst"/>
        <w:rPr>
          <w:lang w:val="en-GB"/>
        </w:rPr>
      </w:pPr>
      <w:r>
        <w:rPr>
          <w:rStyle w:val="Voetnootmarkering"/>
        </w:rPr>
        <w:footnoteRef/>
      </w:r>
      <w:r w:rsidRPr="004A37E9">
        <w:rPr>
          <w:lang w:val="en-GB"/>
        </w:rPr>
        <w:t xml:space="preserve"> Vgl. Saïd, S. 216.</w:t>
      </w:r>
    </w:p>
  </w:footnote>
  <w:footnote w:id="18">
    <w:p w14:paraId="38A2C8C1" w14:textId="0155F2A5" w:rsidR="005D5A35" w:rsidRPr="004A37E9" w:rsidRDefault="005D5A35">
      <w:pPr>
        <w:pStyle w:val="Voetnoottekst"/>
        <w:rPr>
          <w:lang w:val="en-GB"/>
        </w:rPr>
      </w:pPr>
      <w:r>
        <w:rPr>
          <w:rStyle w:val="Voetnootmarkering"/>
        </w:rPr>
        <w:footnoteRef/>
      </w:r>
      <w:r w:rsidRPr="004A37E9">
        <w:rPr>
          <w:lang w:val="en-GB"/>
        </w:rPr>
        <w:t xml:space="preserve"> Vgl. Saïd, S. 41.</w:t>
      </w:r>
    </w:p>
  </w:footnote>
  <w:footnote w:id="19">
    <w:p w14:paraId="5F724157" w14:textId="3DF54DC4" w:rsidR="005D5A35" w:rsidRPr="00EC61A3" w:rsidRDefault="005D5A35">
      <w:pPr>
        <w:pStyle w:val="Voetnoottekst"/>
        <w:rPr>
          <w:lang w:val="de-DE"/>
        </w:rPr>
      </w:pPr>
      <w:r>
        <w:rPr>
          <w:rStyle w:val="Voetnootmarkering"/>
        </w:rPr>
        <w:footnoteRef/>
      </w:r>
      <w:r w:rsidRPr="00EC61A3">
        <w:rPr>
          <w:lang w:val="de-DE"/>
        </w:rPr>
        <w:t xml:space="preserve"> </w:t>
      </w:r>
      <w:r>
        <w:rPr>
          <w:lang w:val="de-DE"/>
        </w:rPr>
        <w:t>Vgl. Herbert Uerlings</w:t>
      </w:r>
      <w:r w:rsidRPr="00946453">
        <w:rPr>
          <w:lang w:val="de-DE"/>
        </w:rPr>
        <w:t xml:space="preserve">: </w:t>
      </w:r>
      <w:r>
        <w:rPr>
          <w:i/>
          <w:lang w:val="de-DE"/>
        </w:rPr>
        <w:t>„</w:t>
      </w:r>
      <w:r w:rsidRPr="00946453">
        <w:rPr>
          <w:i/>
          <w:lang w:val="de-DE"/>
        </w:rPr>
        <w:t>Ich bin von niedriger Rasse</w:t>
      </w:r>
      <w:r>
        <w:rPr>
          <w:i/>
          <w:lang w:val="de-DE"/>
        </w:rPr>
        <w:t>“</w:t>
      </w:r>
      <w:r w:rsidRPr="00946453">
        <w:rPr>
          <w:i/>
          <w:lang w:val="de-DE"/>
        </w:rPr>
        <w:t xml:space="preserve">: (Post-)Kolonialismus und </w:t>
      </w:r>
      <w:r>
        <w:rPr>
          <w:i/>
          <w:lang w:val="de-DE"/>
        </w:rPr>
        <w:t xml:space="preserve">Geschlechterdifferenz in der deutschen Literatur. </w:t>
      </w:r>
      <w:r>
        <w:rPr>
          <w:lang w:val="de-DE"/>
        </w:rPr>
        <w:t>Köln/Weimar: Böhlau Verlag 2006, S. 8.</w:t>
      </w:r>
    </w:p>
  </w:footnote>
  <w:footnote w:id="20">
    <w:p w14:paraId="63718E4C" w14:textId="76C8E8FE" w:rsidR="005D5A35" w:rsidRPr="006F555F" w:rsidRDefault="005D5A35">
      <w:pPr>
        <w:pStyle w:val="Voetnoottekst"/>
        <w:rPr>
          <w:lang w:val="de-DE"/>
        </w:rPr>
      </w:pPr>
      <w:r>
        <w:rPr>
          <w:rStyle w:val="Voetnootmarkering"/>
        </w:rPr>
        <w:footnoteRef/>
      </w:r>
      <w:r w:rsidRPr="006F555F">
        <w:rPr>
          <w:lang w:val="de-DE"/>
        </w:rPr>
        <w:t xml:space="preserve"> </w:t>
      </w:r>
      <w:r>
        <w:rPr>
          <w:lang w:val="de-DE"/>
        </w:rPr>
        <w:t>Der Begriff „neue Deutsche“ verweist auf Deutsche mit einem Migrationshintergrund.</w:t>
      </w:r>
    </w:p>
  </w:footnote>
  <w:footnote w:id="21">
    <w:p w14:paraId="34C54E53" w14:textId="48E661FC" w:rsidR="005D5A35" w:rsidRPr="003F40B1" w:rsidRDefault="005D5A35">
      <w:pPr>
        <w:pStyle w:val="Voetnoottekst"/>
        <w:rPr>
          <w:sz w:val="24"/>
          <w:lang w:val="de-DE"/>
        </w:rPr>
      </w:pPr>
      <w:r>
        <w:rPr>
          <w:rStyle w:val="Voetnootmarkering"/>
        </w:rPr>
        <w:footnoteRef/>
      </w:r>
      <w:r w:rsidRPr="003E78E5">
        <w:rPr>
          <w:lang w:val="de-DE"/>
        </w:rPr>
        <w:t xml:space="preserve"> </w:t>
      </w:r>
      <w:r w:rsidRPr="003F40B1">
        <w:rPr>
          <w:lang w:val="de-DE"/>
        </w:rPr>
        <w:t>Bassam Tibi: „Multikultureller Werte-Relativismus und Werte-Verlust. Demokratie zwischen Werte-Beliebigkeit und pluralistischem Werte-Konsens“</w:t>
      </w:r>
      <w:r>
        <w:rPr>
          <w:lang w:val="de-DE"/>
        </w:rPr>
        <w:t>.</w:t>
      </w:r>
      <w:r w:rsidRPr="003F40B1">
        <w:rPr>
          <w:lang w:val="de-DE"/>
        </w:rPr>
        <w:t xml:space="preserve"> In: </w:t>
      </w:r>
      <w:r w:rsidRPr="003F40B1">
        <w:rPr>
          <w:i/>
          <w:lang w:val="de-DE"/>
        </w:rPr>
        <w:t xml:space="preserve">Aus Politik und Zeitgeschichte </w:t>
      </w:r>
      <w:r w:rsidRPr="003F40B1">
        <w:rPr>
          <w:lang w:val="de-DE"/>
        </w:rPr>
        <w:t>52-53 (1996</w:t>
      </w:r>
      <w:r>
        <w:rPr>
          <w:lang w:val="de-DE"/>
        </w:rPr>
        <w:t>), S. 9 der PDF-Datei (</w:t>
      </w:r>
      <w:hyperlink r:id="rId2" w:history="1">
        <w:r w:rsidRPr="007E2592">
          <w:rPr>
            <w:rStyle w:val="Hyperlink"/>
            <w:lang w:val="de-DE"/>
          </w:rPr>
          <w:t>http://www.nbc-pfalz.de/pdf/religionen/tibi_multikultureller-werterelativismus.pdf</w:t>
        </w:r>
      </w:hyperlink>
      <w:r>
        <w:rPr>
          <w:lang w:val="de-DE"/>
        </w:rPr>
        <w:t xml:space="preserve">). </w:t>
      </w:r>
    </w:p>
  </w:footnote>
  <w:footnote w:id="22">
    <w:p w14:paraId="5BF5F4BF" w14:textId="362CD94C" w:rsidR="005D5A35" w:rsidRPr="00CA0BC0" w:rsidRDefault="005D5A35">
      <w:pPr>
        <w:pStyle w:val="Voetnoottekst"/>
        <w:rPr>
          <w:lang w:val="de-DE"/>
        </w:rPr>
      </w:pPr>
      <w:r>
        <w:rPr>
          <w:rStyle w:val="Voetnootmarkering"/>
        </w:rPr>
        <w:footnoteRef/>
      </w:r>
      <w:r w:rsidRPr="00CA0BC0">
        <w:rPr>
          <w:lang w:val="de-DE"/>
        </w:rPr>
        <w:t xml:space="preserve"> </w:t>
      </w:r>
      <w:r>
        <w:rPr>
          <w:lang w:val="de-DE"/>
        </w:rPr>
        <w:t xml:space="preserve">Vgl. </w:t>
      </w:r>
      <w:r w:rsidRPr="00C55AAE">
        <w:rPr>
          <w:lang w:val="de-DE"/>
        </w:rPr>
        <w:t xml:space="preserve">Bassam Tibi: </w:t>
      </w:r>
      <w:r w:rsidRPr="00C55AAE">
        <w:rPr>
          <w:i/>
          <w:lang w:val="de-DE"/>
        </w:rPr>
        <w:t>Europa ohne Identität? Lei</w:t>
      </w:r>
      <w:r>
        <w:rPr>
          <w:i/>
          <w:lang w:val="de-DE"/>
        </w:rPr>
        <w:t xml:space="preserve">tkultur oder Wertebeliebigkeit. </w:t>
      </w:r>
      <w:r>
        <w:rPr>
          <w:lang w:val="de-DE"/>
        </w:rPr>
        <w:t>München: C. Bertelsmann 1998,</w:t>
      </w:r>
      <w:r w:rsidRPr="00C55AAE">
        <w:rPr>
          <w:i/>
          <w:lang w:val="de-DE"/>
        </w:rPr>
        <w:t xml:space="preserve"> </w:t>
      </w:r>
      <w:r>
        <w:rPr>
          <w:lang w:val="de-DE"/>
        </w:rPr>
        <w:t>S. 154.</w:t>
      </w:r>
    </w:p>
  </w:footnote>
  <w:footnote w:id="23">
    <w:p w14:paraId="5A9C4C07" w14:textId="260398C4" w:rsidR="005D5A35" w:rsidRPr="00D50E6B" w:rsidRDefault="005D5A35">
      <w:pPr>
        <w:pStyle w:val="Voetnoottekst"/>
        <w:rPr>
          <w:lang w:val="de-DE"/>
        </w:rPr>
      </w:pPr>
      <w:r>
        <w:rPr>
          <w:rStyle w:val="Voetnootmarkering"/>
        </w:rPr>
        <w:footnoteRef/>
      </w:r>
      <w:r w:rsidRPr="00D50E6B">
        <w:rPr>
          <w:lang w:val="de-DE"/>
        </w:rPr>
        <w:t xml:space="preserve"> </w:t>
      </w:r>
      <w:r w:rsidRPr="00870C9D">
        <w:rPr>
          <w:lang w:val="de-DE"/>
        </w:rPr>
        <w:t xml:space="preserve">Philipp Sarasin: </w:t>
      </w:r>
      <w:r w:rsidRPr="00870C9D">
        <w:rPr>
          <w:i/>
          <w:lang w:val="de-DE"/>
        </w:rPr>
        <w:t xml:space="preserve">Das Kreuz mit dem #Kulturkreis. </w:t>
      </w:r>
      <w:r>
        <w:rPr>
          <w:lang w:val="de-DE"/>
        </w:rPr>
        <w:t xml:space="preserve">Geschichte der Gegenwart. 11.02.2016. </w:t>
      </w:r>
      <w:hyperlink r:id="rId3" w:history="1">
        <w:r w:rsidRPr="00D50E6B">
          <w:rPr>
            <w:rStyle w:val="Hyperlink"/>
            <w:lang w:val="de-DE"/>
          </w:rPr>
          <w:t>http://geschichtedergegenwart.ch/das-kreuz-mit-dem-kulturkreis/</w:t>
        </w:r>
      </w:hyperlink>
      <w:r w:rsidRPr="00D50E6B">
        <w:rPr>
          <w:rStyle w:val="Hyperlink"/>
          <w:u w:val="none"/>
          <w:lang w:val="de-DE"/>
        </w:rPr>
        <w:t xml:space="preserve"> </w:t>
      </w:r>
      <w:r w:rsidRPr="00D50E6B">
        <w:rPr>
          <w:rStyle w:val="Hyperlink"/>
          <w:color w:val="auto"/>
          <w:u w:val="none"/>
          <w:lang w:val="de-DE"/>
        </w:rPr>
        <w:t xml:space="preserve">(abgerufen am </w:t>
      </w:r>
      <w:r>
        <w:rPr>
          <w:rStyle w:val="Hyperlink"/>
          <w:color w:val="auto"/>
          <w:u w:val="none"/>
          <w:lang w:val="de-DE"/>
        </w:rPr>
        <w:t>18.02.2018).</w:t>
      </w:r>
    </w:p>
  </w:footnote>
  <w:footnote w:id="24">
    <w:p w14:paraId="76B5BFB0" w14:textId="58B22D74" w:rsidR="005D5A35" w:rsidRPr="00763D68" w:rsidRDefault="005D5A35">
      <w:pPr>
        <w:pStyle w:val="Voetnoottekst"/>
        <w:rPr>
          <w:lang w:val="de-DE"/>
        </w:rPr>
      </w:pPr>
      <w:r>
        <w:rPr>
          <w:rStyle w:val="Voetnootmarkering"/>
        </w:rPr>
        <w:footnoteRef/>
      </w:r>
      <w:r>
        <w:rPr>
          <w:lang w:val="de-DE"/>
        </w:rPr>
        <w:t xml:space="preserve"> Vgl. meine Hausarbeit „</w:t>
      </w:r>
      <w:r w:rsidRPr="00763D68">
        <w:rPr>
          <w:lang w:val="de-DE"/>
        </w:rPr>
        <w:t>Deutsche Leitkultur: E</w:t>
      </w:r>
      <w:r>
        <w:rPr>
          <w:lang w:val="de-DE"/>
        </w:rPr>
        <w:t>rstellung deutscher Identität oder Waffe gegen Multikulturalismus?“ für das Seminar Duitse Landeskunde von Prof. Gunther Martens, 04.01.2018.</w:t>
      </w:r>
    </w:p>
  </w:footnote>
  <w:footnote w:id="25">
    <w:p w14:paraId="262A6D4D" w14:textId="093C54E1" w:rsidR="005D5A35" w:rsidRPr="00DC2871" w:rsidRDefault="005D5A35">
      <w:pPr>
        <w:pStyle w:val="Voetnoottekst"/>
        <w:rPr>
          <w:lang w:val="de-DE"/>
        </w:rPr>
      </w:pPr>
      <w:r>
        <w:rPr>
          <w:rStyle w:val="Voetnootmarkering"/>
        </w:rPr>
        <w:footnoteRef/>
      </w:r>
      <w:r w:rsidRPr="00806CD2">
        <w:rPr>
          <w:lang w:val="de-DE"/>
        </w:rPr>
        <w:t xml:space="preserve"> Andreas Rathgeber: </w:t>
      </w:r>
      <w:r w:rsidRPr="00097108">
        <w:rPr>
          <w:i/>
          <w:lang w:val="de-DE"/>
        </w:rPr>
        <w:t>Balkanbilder. Vorstellungen und Klischees über den Balkan in der Habsburgermonarchie im 19. und frühen 20. Jahrhundert.</w:t>
      </w:r>
      <w:r w:rsidRPr="00097108">
        <w:rPr>
          <w:lang w:val="de-DE"/>
        </w:rPr>
        <w:t xml:space="preserve"> Kakanien Revisited</w:t>
      </w:r>
      <w:r>
        <w:rPr>
          <w:lang w:val="de-DE"/>
        </w:rPr>
        <w:t xml:space="preserve">. 06.04.2006. </w:t>
      </w:r>
      <w:hyperlink r:id="rId4" w:history="1">
        <w:r w:rsidRPr="00E13E5D">
          <w:rPr>
            <w:rStyle w:val="Hyperlink"/>
            <w:lang w:val="de-DE"/>
          </w:rPr>
          <w:t>http://www.kakanien-revisited.at/beitr/fallstudie/ARathberger1.pdf</w:t>
        </w:r>
      </w:hyperlink>
      <w:r>
        <w:rPr>
          <w:lang w:val="de-DE"/>
        </w:rPr>
        <w:t xml:space="preserve"> (abgerufen am 26.04.2018).</w:t>
      </w:r>
    </w:p>
  </w:footnote>
  <w:footnote w:id="26">
    <w:p w14:paraId="20695CC6" w14:textId="701063EB" w:rsidR="005D5A35" w:rsidRPr="00A6734E" w:rsidRDefault="005D5A35">
      <w:pPr>
        <w:pStyle w:val="Voetnoottekst"/>
        <w:rPr>
          <w:lang w:val="en-US"/>
        </w:rPr>
      </w:pPr>
      <w:r>
        <w:rPr>
          <w:rStyle w:val="Voetnootmarkering"/>
        </w:rPr>
        <w:footnoteRef/>
      </w:r>
      <w:r w:rsidRPr="00A6734E">
        <w:rPr>
          <w:lang w:val="en-US"/>
        </w:rPr>
        <w:t xml:space="preserve"> Rathgeber.</w:t>
      </w:r>
    </w:p>
  </w:footnote>
  <w:footnote w:id="27">
    <w:p w14:paraId="1764A39E" w14:textId="4648FC68" w:rsidR="005D5A35" w:rsidRPr="00D76DD5" w:rsidRDefault="005D5A35">
      <w:pPr>
        <w:pStyle w:val="Voetnoottekst"/>
        <w:rPr>
          <w:lang w:val="en-US"/>
        </w:rPr>
      </w:pPr>
      <w:r>
        <w:rPr>
          <w:rStyle w:val="Voetnootmarkering"/>
        </w:rPr>
        <w:footnoteRef/>
      </w:r>
      <w:r w:rsidRPr="00DD3557">
        <w:rPr>
          <w:lang w:val="en-US"/>
        </w:rPr>
        <w:t xml:space="preserve"> </w:t>
      </w:r>
      <w:r>
        <w:rPr>
          <w:lang w:val="en-US"/>
        </w:rPr>
        <w:t xml:space="preserve">Maria Todorova: </w:t>
      </w:r>
      <w:r>
        <w:rPr>
          <w:i/>
          <w:lang w:val="en-US"/>
        </w:rPr>
        <w:t>Imagining the Balkans</w:t>
      </w:r>
      <w:r>
        <w:rPr>
          <w:lang w:val="en-US"/>
        </w:rPr>
        <w:t>. New York: Oxford University Press 2009, S. 3.</w:t>
      </w:r>
    </w:p>
  </w:footnote>
  <w:footnote w:id="28">
    <w:p w14:paraId="4FBEA175" w14:textId="21CA0A8C" w:rsidR="005D5A35" w:rsidRPr="007D4D26" w:rsidRDefault="005D5A35">
      <w:pPr>
        <w:pStyle w:val="Voetnoottekst"/>
        <w:rPr>
          <w:lang w:val="de-DE"/>
        </w:rPr>
      </w:pPr>
      <w:r>
        <w:rPr>
          <w:rStyle w:val="Voetnootmarkering"/>
        </w:rPr>
        <w:footnoteRef/>
      </w:r>
      <w:r w:rsidRPr="007D4D26">
        <w:rPr>
          <w:lang w:val="en-US"/>
        </w:rPr>
        <w:t xml:space="preserve"> Vgl. Clemens Ruthner: </w:t>
      </w:r>
      <w:r w:rsidRPr="007D4D26">
        <w:rPr>
          <w:i/>
          <w:lang w:val="en-US"/>
        </w:rPr>
        <w:t xml:space="preserve">Habsburg’s Little Orient. A Post/Colonial </w:t>
      </w:r>
      <w:r>
        <w:rPr>
          <w:i/>
          <w:lang w:val="en-US"/>
        </w:rPr>
        <w:t>Reading of Austrian and German Cultural Narratives on Bosnia-Herzegovina, 1878-1918.</w:t>
      </w:r>
      <w:r>
        <w:rPr>
          <w:lang w:val="en-US"/>
        </w:rPr>
        <w:t xml:space="preserve"> </w:t>
      </w:r>
      <w:r w:rsidRPr="00A6734E">
        <w:rPr>
          <w:lang w:val="de-DE"/>
        </w:rPr>
        <w:t xml:space="preserve">Kakanien Revisited. 22.05.2008. </w:t>
      </w:r>
      <w:hyperlink r:id="rId5" w:history="1">
        <w:r w:rsidRPr="007D4D26">
          <w:rPr>
            <w:rStyle w:val="Hyperlink"/>
            <w:lang w:val="de-DE"/>
          </w:rPr>
          <w:t>http://www.kakanien-revisited.at/beitr/fallstudie/CRuthner5.pdf</w:t>
        </w:r>
      </w:hyperlink>
      <w:r w:rsidRPr="007D4D26">
        <w:rPr>
          <w:lang w:val="de-DE"/>
        </w:rPr>
        <w:t xml:space="preserve"> </w:t>
      </w:r>
      <w:r>
        <w:rPr>
          <w:lang w:val="de-DE"/>
        </w:rPr>
        <w:t>(</w:t>
      </w:r>
      <w:r w:rsidRPr="007D4D26">
        <w:rPr>
          <w:lang w:val="de-DE"/>
        </w:rPr>
        <w:t xml:space="preserve">abgerufen </w:t>
      </w:r>
      <w:r>
        <w:rPr>
          <w:lang w:val="de-DE"/>
        </w:rPr>
        <w:t>am 29.04.2018).</w:t>
      </w:r>
    </w:p>
  </w:footnote>
  <w:footnote w:id="29">
    <w:p w14:paraId="69CEF969" w14:textId="5AFF109A" w:rsidR="005D5A35" w:rsidRPr="006520AD" w:rsidRDefault="005D5A35">
      <w:pPr>
        <w:pStyle w:val="Voetnoottekst"/>
        <w:rPr>
          <w:lang w:val="de-DE"/>
        </w:rPr>
      </w:pPr>
      <w:r>
        <w:rPr>
          <w:rStyle w:val="Voetnootmarkering"/>
        </w:rPr>
        <w:footnoteRef/>
      </w:r>
      <w:r w:rsidRPr="001465A7">
        <w:rPr>
          <w:lang w:val="en-US"/>
        </w:rPr>
        <w:t xml:space="preserve"> Sune Qvotrup Jensen: „Othering, id</w:t>
      </w:r>
      <w:r>
        <w:rPr>
          <w:lang w:val="en-US"/>
        </w:rPr>
        <w:t>entity formation and agency</w:t>
      </w:r>
      <w:r w:rsidRPr="006520AD">
        <w:rPr>
          <w:lang w:val="en-US"/>
        </w:rPr>
        <w:t>“</w:t>
      </w:r>
      <w:r>
        <w:rPr>
          <w:lang w:val="en-US"/>
        </w:rPr>
        <w:t xml:space="preserve">. </w:t>
      </w:r>
      <w:r w:rsidRPr="006520AD">
        <w:rPr>
          <w:lang w:val="de-DE"/>
        </w:rPr>
        <w:t xml:space="preserve">In: </w:t>
      </w:r>
      <w:r w:rsidRPr="006520AD">
        <w:rPr>
          <w:i/>
          <w:lang w:val="de-DE"/>
        </w:rPr>
        <w:t>Qualitative Studies</w:t>
      </w:r>
      <w:r w:rsidRPr="006520AD">
        <w:rPr>
          <w:lang w:val="de-DE"/>
        </w:rPr>
        <w:t xml:space="preserve"> 2 (2011), S. 64.</w:t>
      </w:r>
    </w:p>
  </w:footnote>
  <w:footnote w:id="30">
    <w:p w14:paraId="05F5DDF5" w14:textId="0A066C8E" w:rsidR="005D5A35" w:rsidRPr="006520AD" w:rsidRDefault="005D5A35">
      <w:pPr>
        <w:pStyle w:val="Voetnoottekst"/>
        <w:rPr>
          <w:lang w:val="de-DE"/>
        </w:rPr>
      </w:pPr>
      <w:r>
        <w:rPr>
          <w:rStyle w:val="Voetnootmarkering"/>
        </w:rPr>
        <w:footnoteRef/>
      </w:r>
      <w:r w:rsidRPr="006520AD">
        <w:rPr>
          <w:lang w:val="de-DE"/>
        </w:rPr>
        <w:t xml:space="preserve"> Jensen, S. 65.</w:t>
      </w:r>
    </w:p>
  </w:footnote>
  <w:footnote w:id="31">
    <w:p w14:paraId="67621C63" w14:textId="4B69A12B" w:rsidR="005D5A35" w:rsidRPr="00A6734E" w:rsidRDefault="005D5A35">
      <w:pPr>
        <w:pStyle w:val="Voetnoottekst"/>
        <w:rPr>
          <w:lang w:val="de-DE"/>
        </w:rPr>
      </w:pPr>
      <w:r>
        <w:rPr>
          <w:rStyle w:val="Voetnootmarkering"/>
        </w:rPr>
        <w:footnoteRef/>
      </w:r>
      <w:r w:rsidRPr="00A6734E">
        <w:rPr>
          <w:lang w:val="de-DE"/>
        </w:rPr>
        <w:t xml:space="preserve"> </w:t>
      </w:r>
      <w:r>
        <w:rPr>
          <w:lang w:val="de-DE"/>
        </w:rPr>
        <w:t>Ebd.</w:t>
      </w:r>
    </w:p>
  </w:footnote>
  <w:footnote w:id="32">
    <w:p w14:paraId="33395592" w14:textId="51AF3D13" w:rsidR="005D5A35" w:rsidRPr="00A6734E" w:rsidRDefault="005D5A35">
      <w:pPr>
        <w:pStyle w:val="Voetnoottekst"/>
        <w:rPr>
          <w:lang w:val="de-DE"/>
        </w:rPr>
      </w:pPr>
      <w:r>
        <w:rPr>
          <w:rStyle w:val="Voetnootmarkering"/>
        </w:rPr>
        <w:footnoteRef/>
      </w:r>
      <w:r w:rsidRPr="00A6734E">
        <w:rPr>
          <w:lang w:val="de-DE"/>
        </w:rPr>
        <w:t xml:space="preserve"> Jensen, S. 65.</w:t>
      </w:r>
    </w:p>
  </w:footnote>
  <w:footnote w:id="33">
    <w:p w14:paraId="171F9406" w14:textId="3B606EDA" w:rsidR="005D5A35" w:rsidRPr="001F0836" w:rsidRDefault="005D5A35" w:rsidP="00C73C89">
      <w:pPr>
        <w:pStyle w:val="Voetnoottekst"/>
        <w:rPr>
          <w:lang w:val="de-DE"/>
        </w:rPr>
      </w:pPr>
      <w:r>
        <w:rPr>
          <w:rStyle w:val="Voetnootmarkering"/>
        </w:rPr>
        <w:footnoteRef/>
      </w:r>
      <w:r w:rsidRPr="001F0836">
        <w:rPr>
          <w:lang w:val="de-DE"/>
        </w:rPr>
        <w:t xml:space="preserve"> Vgl. Jones, S. 24.</w:t>
      </w:r>
    </w:p>
  </w:footnote>
  <w:footnote w:id="34">
    <w:p w14:paraId="48368D2E" w14:textId="6EEADAAD" w:rsidR="005D5A35" w:rsidRPr="00494501" w:rsidRDefault="005D5A35" w:rsidP="007B433E">
      <w:pPr>
        <w:pStyle w:val="Voetnoottekst"/>
        <w:rPr>
          <w:lang w:val="es-ES"/>
        </w:rPr>
      </w:pPr>
      <w:r>
        <w:rPr>
          <w:rStyle w:val="Voetnootmarkering"/>
        </w:rPr>
        <w:footnoteRef/>
      </w:r>
      <w:r w:rsidRPr="00494501">
        <w:rPr>
          <w:lang w:val="es-ES"/>
        </w:rPr>
        <w:t xml:space="preserve"> </w:t>
      </w:r>
      <w:r>
        <w:rPr>
          <w:lang w:val="es-ES"/>
        </w:rPr>
        <w:t xml:space="preserve">Vgl. </w:t>
      </w:r>
      <w:r w:rsidRPr="00494501">
        <w:rPr>
          <w:lang w:val="es-ES"/>
        </w:rPr>
        <w:t>Jones, S. 32.</w:t>
      </w:r>
    </w:p>
  </w:footnote>
  <w:footnote w:id="35">
    <w:p w14:paraId="6FD2EDBB" w14:textId="2CC60E85" w:rsidR="005D5A35" w:rsidRPr="001F0836" w:rsidRDefault="005D5A35" w:rsidP="007B433E">
      <w:pPr>
        <w:pStyle w:val="Voetnoottekst"/>
        <w:rPr>
          <w:lang w:val="es-ES"/>
        </w:rPr>
      </w:pPr>
      <w:r>
        <w:rPr>
          <w:rStyle w:val="Voetnootmarkering"/>
        </w:rPr>
        <w:footnoteRef/>
      </w:r>
      <w:r w:rsidRPr="001F0836">
        <w:rPr>
          <w:lang w:val="es-ES"/>
        </w:rPr>
        <w:t xml:space="preserve"> Jones, S. 32-33.</w:t>
      </w:r>
    </w:p>
  </w:footnote>
  <w:footnote w:id="36">
    <w:p w14:paraId="56F3486F" w14:textId="4DC8B74F" w:rsidR="005D5A35" w:rsidRPr="00B826E9" w:rsidRDefault="005D5A35">
      <w:pPr>
        <w:pStyle w:val="Voetnoottekst"/>
        <w:rPr>
          <w:lang w:val="en-GB"/>
        </w:rPr>
      </w:pPr>
      <w:r>
        <w:rPr>
          <w:rStyle w:val="Voetnootmarkering"/>
        </w:rPr>
        <w:footnoteRef/>
      </w:r>
      <w:r w:rsidRPr="00B826E9">
        <w:rPr>
          <w:lang w:val="en-GB"/>
        </w:rPr>
        <w:t xml:space="preserve"> </w:t>
      </w:r>
      <w:r>
        <w:rPr>
          <w:lang w:val="en-GB"/>
        </w:rPr>
        <w:t xml:space="preserve">Chandra Talpade Mohanty: </w:t>
      </w:r>
      <w:r w:rsidRPr="0043388D">
        <w:rPr>
          <w:lang w:val="en-US"/>
        </w:rPr>
        <w:t>„</w:t>
      </w:r>
      <w:r>
        <w:rPr>
          <w:lang w:val="en-GB"/>
        </w:rPr>
        <w:t>Under Western Eyes. Feminist Scholarship and Colonial Discourses</w:t>
      </w:r>
      <w:r w:rsidRPr="0043388D">
        <w:rPr>
          <w:lang w:val="en-US"/>
        </w:rPr>
        <w:t>“</w:t>
      </w:r>
      <w:r>
        <w:rPr>
          <w:lang w:val="en-GB"/>
        </w:rPr>
        <w:t xml:space="preserve">. In: </w:t>
      </w:r>
      <w:r>
        <w:rPr>
          <w:i/>
          <w:lang w:val="en-GB"/>
        </w:rPr>
        <w:t xml:space="preserve">Boundary 2 </w:t>
      </w:r>
      <w:r>
        <w:rPr>
          <w:lang w:val="en-GB"/>
        </w:rPr>
        <w:t>12 (1984), S. 336-337.</w:t>
      </w:r>
    </w:p>
  </w:footnote>
  <w:footnote w:id="37">
    <w:p w14:paraId="795BFC07" w14:textId="5E6835CA" w:rsidR="005D5A35" w:rsidRPr="00F07BC8" w:rsidRDefault="005D5A35">
      <w:pPr>
        <w:pStyle w:val="Voetnoottekst"/>
        <w:rPr>
          <w:lang w:val="en-GB"/>
        </w:rPr>
      </w:pPr>
      <w:r>
        <w:rPr>
          <w:rStyle w:val="Voetnootmarkering"/>
        </w:rPr>
        <w:footnoteRef/>
      </w:r>
      <w:r w:rsidRPr="00F07BC8">
        <w:rPr>
          <w:lang w:val="en-GB"/>
        </w:rPr>
        <w:t xml:space="preserve"> </w:t>
      </w:r>
      <w:r>
        <w:rPr>
          <w:lang w:val="en-GB"/>
        </w:rPr>
        <w:t>Vgl. Mohanty, S. 337.</w:t>
      </w:r>
    </w:p>
  </w:footnote>
  <w:footnote w:id="38">
    <w:p w14:paraId="43D35F17" w14:textId="4F26C4C9" w:rsidR="005D5A35" w:rsidRPr="00911194" w:rsidRDefault="005D5A35">
      <w:pPr>
        <w:pStyle w:val="Voetnoottekst"/>
        <w:rPr>
          <w:lang w:val="en-GB"/>
        </w:rPr>
      </w:pPr>
      <w:r>
        <w:rPr>
          <w:rStyle w:val="Voetnootmarkering"/>
        </w:rPr>
        <w:footnoteRef/>
      </w:r>
      <w:r w:rsidRPr="00911194">
        <w:rPr>
          <w:lang w:val="en-GB"/>
        </w:rPr>
        <w:t xml:space="preserve"> Mohanty </w:t>
      </w:r>
      <w:r w:rsidRPr="00561043">
        <w:rPr>
          <w:lang w:val="en-GB"/>
        </w:rPr>
        <w:t>benutzt hier die Begriffe</w:t>
      </w:r>
      <w:r w:rsidRPr="00911194">
        <w:rPr>
          <w:lang w:val="en-GB"/>
        </w:rPr>
        <w:t xml:space="preserve"> „powerless“, „exploited“, „sexually </w:t>
      </w:r>
      <w:r>
        <w:rPr>
          <w:lang w:val="en-GB"/>
        </w:rPr>
        <w:t xml:space="preserve">harassed” </w:t>
      </w:r>
      <w:r w:rsidRPr="00561043">
        <w:rPr>
          <w:lang w:val="en-GB"/>
        </w:rPr>
        <w:t>usw</w:t>
      </w:r>
      <w:r>
        <w:rPr>
          <w:lang w:val="en-GB"/>
        </w:rPr>
        <w:t>., S. 338.</w:t>
      </w:r>
    </w:p>
  </w:footnote>
  <w:footnote w:id="39">
    <w:p w14:paraId="5F1C2A26" w14:textId="19A5F06B" w:rsidR="005D5A35" w:rsidRPr="005667F1" w:rsidRDefault="005D5A35">
      <w:pPr>
        <w:pStyle w:val="Voetnoottekst"/>
        <w:rPr>
          <w:lang w:val="en-GB"/>
        </w:rPr>
      </w:pPr>
      <w:r>
        <w:rPr>
          <w:rStyle w:val="Voetnootmarkering"/>
        </w:rPr>
        <w:footnoteRef/>
      </w:r>
      <w:r w:rsidRPr="005667F1">
        <w:rPr>
          <w:lang w:val="en-GB"/>
        </w:rPr>
        <w:t xml:space="preserve"> </w:t>
      </w:r>
      <w:r>
        <w:rPr>
          <w:lang w:val="en-GB"/>
        </w:rPr>
        <w:t>Vgl. Mohanty, S. 344.</w:t>
      </w:r>
    </w:p>
  </w:footnote>
  <w:footnote w:id="40">
    <w:p w14:paraId="1A292C6F" w14:textId="312EF0E0" w:rsidR="005D5A35" w:rsidRPr="00561043" w:rsidRDefault="005D5A35">
      <w:pPr>
        <w:pStyle w:val="Voetnoottekst"/>
        <w:rPr>
          <w:lang w:val="en-GB"/>
        </w:rPr>
      </w:pPr>
      <w:r>
        <w:rPr>
          <w:rStyle w:val="Voetnootmarkering"/>
        </w:rPr>
        <w:footnoteRef/>
      </w:r>
      <w:r w:rsidRPr="00561043">
        <w:rPr>
          <w:lang w:val="en-GB"/>
        </w:rPr>
        <w:t xml:space="preserve"> Mohanty, S. 351.</w:t>
      </w:r>
    </w:p>
  </w:footnote>
  <w:footnote w:id="41">
    <w:p w14:paraId="765662D4" w14:textId="0EF01C77" w:rsidR="005D5A35" w:rsidRPr="005667F1" w:rsidRDefault="005D5A35">
      <w:pPr>
        <w:pStyle w:val="Voetnoottekst"/>
        <w:rPr>
          <w:lang w:val="en-GB"/>
        </w:rPr>
      </w:pPr>
      <w:r>
        <w:rPr>
          <w:rStyle w:val="Voetnootmarkering"/>
        </w:rPr>
        <w:footnoteRef/>
      </w:r>
      <w:r w:rsidRPr="005667F1">
        <w:rPr>
          <w:lang w:val="en-GB"/>
        </w:rPr>
        <w:t xml:space="preserve"> </w:t>
      </w:r>
      <w:r>
        <w:rPr>
          <w:lang w:val="en-GB"/>
        </w:rPr>
        <w:t xml:space="preserve">Vgl. Mohanty, S. 344. </w:t>
      </w:r>
    </w:p>
  </w:footnote>
  <w:footnote w:id="42">
    <w:p w14:paraId="4C7AD361" w14:textId="501DDD03" w:rsidR="005D5A35" w:rsidRPr="001F0836" w:rsidRDefault="005D5A35">
      <w:pPr>
        <w:pStyle w:val="Voetnoottekst"/>
        <w:rPr>
          <w:lang w:val="de-DE"/>
        </w:rPr>
      </w:pPr>
      <w:r>
        <w:rPr>
          <w:rStyle w:val="Voetnootmarkering"/>
        </w:rPr>
        <w:footnoteRef/>
      </w:r>
      <w:r w:rsidRPr="00494501">
        <w:rPr>
          <w:lang w:val="en-GB"/>
        </w:rPr>
        <w:t xml:space="preserve"> </w:t>
      </w:r>
      <w:r>
        <w:rPr>
          <w:lang w:val="en-GB"/>
        </w:rPr>
        <w:t xml:space="preserve">Vgl. </w:t>
      </w:r>
      <w:r w:rsidRPr="00494501">
        <w:rPr>
          <w:lang w:val="en-GB"/>
        </w:rPr>
        <w:t>Patricia Hill Collins und Sir</w:t>
      </w:r>
      <w:r>
        <w:rPr>
          <w:lang w:val="en-GB"/>
        </w:rPr>
        <w:t xml:space="preserve">ma Bilge: </w:t>
      </w:r>
      <w:r>
        <w:rPr>
          <w:i/>
          <w:lang w:val="en-GB"/>
        </w:rPr>
        <w:t xml:space="preserve">Intersectionality. </w:t>
      </w:r>
      <w:r w:rsidRPr="001F0836">
        <w:rPr>
          <w:lang w:val="de-DE"/>
        </w:rPr>
        <w:t>Cambridge: Polity Press 2016, S. 27.</w:t>
      </w:r>
    </w:p>
  </w:footnote>
  <w:footnote w:id="43">
    <w:p w14:paraId="7E141D25" w14:textId="2719ED94" w:rsidR="005D5A35" w:rsidRPr="001F0836" w:rsidRDefault="005D5A35">
      <w:pPr>
        <w:pStyle w:val="Voetnoottekst"/>
        <w:rPr>
          <w:lang w:val="de-DE"/>
        </w:rPr>
      </w:pPr>
      <w:r>
        <w:rPr>
          <w:rStyle w:val="Voetnootmarkering"/>
        </w:rPr>
        <w:footnoteRef/>
      </w:r>
      <w:r w:rsidRPr="001F0836">
        <w:rPr>
          <w:lang w:val="de-DE"/>
        </w:rPr>
        <w:t xml:space="preserve"> Collins und Bilge, S. 27.</w:t>
      </w:r>
    </w:p>
  </w:footnote>
  <w:footnote w:id="44">
    <w:p w14:paraId="683860FD" w14:textId="555DBCF5" w:rsidR="005D5A35" w:rsidRPr="00444C89" w:rsidRDefault="005D5A35">
      <w:pPr>
        <w:pStyle w:val="Voetnoottekst"/>
        <w:rPr>
          <w:lang w:val="de-DE"/>
        </w:rPr>
      </w:pPr>
      <w:r>
        <w:rPr>
          <w:rStyle w:val="Voetnootmarkering"/>
        </w:rPr>
        <w:footnoteRef/>
      </w:r>
      <w:r w:rsidRPr="00444C89">
        <w:rPr>
          <w:lang w:val="de-DE"/>
        </w:rPr>
        <w:t xml:space="preserve"> </w:t>
      </w:r>
      <w:r>
        <w:rPr>
          <w:lang w:val="de-DE"/>
        </w:rPr>
        <w:t xml:space="preserve">Für eine genauere Analyse und ein ausgearbeitetes Beispiel dieser vier Machtbereiche verweise ich auf die Einführung von Collins und Bilge in ihrem Werk </w:t>
      </w:r>
      <w:r>
        <w:rPr>
          <w:i/>
          <w:lang w:val="de-DE"/>
        </w:rPr>
        <w:t>Intersectionality</w:t>
      </w:r>
      <w:r>
        <w:rPr>
          <w:lang w:val="de-DE"/>
        </w:rPr>
        <w:t>, S. 7-13.</w:t>
      </w:r>
    </w:p>
  </w:footnote>
  <w:footnote w:id="45">
    <w:p w14:paraId="27F062F9" w14:textId="50300D8E" w:rsidR="005D5A35" w:rsidRPr="00E0779B" w:rsidRDefault="005D5A35">
      <w:pPr>
        <w:pStyle w:val="Voetnoottekst"/>
        <w:rPr>
          <w:lang w:val="de-DE"/>
        </w:rPr>
      </w:pPr>
      <w:r>
        <w:rPr>
          <w:rStyle w:val="Voetnootmarkering"/>
        </w:rPr>
        <w:footnoteRef/>
      </w:r>
      <w:r>
        <w:rPr>
          <w:lang w:val="de-DE"/>
        </w:rPr>
        <w:t xml:space="preserve"> Vgl.</w:t>
      </w:r>
      <w:r w:rsidRPr="000C2702">
        <w:rPr>
          <w:lang w:val="de-DE"/>
        </w:rPr>
        <w:t xml:space="preserve"> </w:t>
      </w:r>
      <w:r w:rsidRPr="0038144D">
        <w:rPr>
          <w:lang w:val="de-DE"/>
        </w:rPr>
        <w:t>Nina Degele und Gabriele Winker:</w:t>
      </w:r>
      <w:r>
        <w:rPr>
          <w:lang w:val="de-DE"/>
        </w:rPr>
        <w:t xml:space="preserve"> </w:t>
      </w:r>
      <w:r>
        <w:rPr>
          <w:i/>
          <w:lang w:val="de-DE"/>
        </w:rPr>
        <w:t xml:space="preserve">Intersektionalität als Mehrebenenanalyse. </w:t>
      </w:r>
      <w:r>
        <w:rPr>
          <w:lang w:val="de-DE"/>
        </w:rPr>
        <w:t>2007, S. 1 der PDF-Datei (</w:t>
      </w:r>
      <w:hyperlink r:id="rId6" w:history="1">
        <w:r w:rsidRPr="009C4740">
          <w:rPr>
            <w:rStyle w:val="Hyperlink"/>
            <w:lang w:val="de-DE"/>
          </w:rPr>
          <w:t>https://tubdok.tub.tuhh.de/bitstream/11420/384/1/Intersektionalitaet_Mehrebenen.pdf</w:t>
        </w:r>
      </w:hyperlink>
      <w:r w:rsidRPr="00E0779B">
        <w:rPr>
          <w:rStyle w:val="Hyperlink"/>
          <w:color w:val="auto"/>
          <w:u w:val="none"/>
          <w:lang w:val="de-DE"/>
        </w:rPr>
        <w:t>)</w:t>
      </w:r>
      <w:r w:rsidRPr="00E0779B">
        <w:rPr>
          <w:lang w:val="de-DE"/>
        </w:rPr>
        <w:t>.</w:t>
      </w:r>
    </w:p>
  </w:footnote>
  <w:footnote w:id="46">
    <w:p w14:paraId="0F91ED71" w14:textId="77777777" w:rsidR="005D5A35" w:rsidRPr="002810D7" w:rsidRDefault="005D5A35" w:rsidP="000C2702">
      <w:pPr>
        <w:pStyle w:val="Voetnoottekst"/>
        <w:rPr>
          <w:lang w:val="de-DE"/>
        </w:rPr>
      </w:pPr>
      <w:r w:rsidRPr="00E0779B">
        <w:rPr>
          <w:rStyle w:val="Voetnootmarkering"/>
        </w:rPr>
        <w:footnoteRef/>
      </w:r>
      <w:r w:rsidRPr="00E0779B">
        <w:rPr>
          <w:lang w:val="de-DE"/>
        </w:rPr>
        <w:t xml:space="preserve"> Degele und Winker, S. 2.</w:t>
      </w:r>
    </w:p>
  </w:footnote>
  <w:footnote w:id="47">
    <w:p w14:paraId="6C4EC9B0" w14:textId="14A1D9F8" w:rsidR="005D5A35" w:rsidRPr="002810D7" w:rsidRDefault="005D5A35" w:rsidP="000C2702">
      <w:pPr>
        <w:pStyle w:val="Voetnoottekst"/>
        <w:rPr>
          <w:lang w:val="de-DE"/>
        </w:rPr>
      </w:pPr>
      <w:r>
        <w:rPr>
          <w:rStyle w:val="Voetnootmarkering"/>
        </w:rPr>
        <w:footnoteRef/>
      </w:r>
      <w:r>
        <w:rPr>
          <w:lang w:val="de-DE"/>
        </w:rPr>
        <w:t xml:space="preserve"> Degele und Winker, S. 4</w:t>
      </w:r>
      <w:r w:rsidRPr="002810D7">
        <w:rPr>
          <w:lang w:val="de-DE"/>
        </w:rPr>
        <w:t>.</w:t>
      </w:r>
    </w:p>
  </w:footnote>
  <w:footnote w:id="48">
    <w:p w14:paraId="2EF52945" w14:textId="7CF074AE" w:rsidR="005D5A35" w:rsidRPr="009D45AA" w:rsidRDefault="005D5A35" w:rsidP="003E6E64">
      <w:pPr>
        <w:pStyle w:val="Voetnoottekst"/>
        <w:rPr>
          <w:lang w:val="en-GB"/>
        </w:rPr>
      </w:pPr>
      <w:r>
        <w:rPr>
          <w:rStyle w:val="Voetnootmarkering"/>
        </w:rPr>
        <w:footnoteRef/>
      </w:r>
      <w:r w:rsidRPr="009D45AA">
        <w:rPr>
          <w:lang w:val="en-GB"/>
        </w:rPr>
        <w:t xml:space="preserve"> </w:t>
      </w:r>
      <w:r>
        <w:rPr>
          <w:lang w:val="en-GB"/>
        </w:rPr>
        <w:t xml:space="preserve">Vgl. El Habib Louai: </w:t>
      </w:r>
      <w:r w:rsidRPr="009D45AA">
        <w:rPr>
          <w:lang w:val="en-GB"/>
        </w:rPr>
        <w:t>„Retracing the concept of the subaltern from Gra</w:t>
      </w:r>
      <w:r>
        <w:rPr>
          <w:lang w:val="en-GB"/>
        </w:rPr>
        <w:t>msci to Spivak: Historical developments and new applications</w:t>
      </w:r>
      <w:r w:rsidRPr="009D45AA">
        <w:rPr>
          <w:lang w:val="en-GB"/>
        </w:rPr>
        <w:t>“</w:t>
      </w:r>
      <w:r>
        <w:rPr>
          <w:lang w:val="en-GB"/>
        </w:rPr>
        <w:t xml:space="preserve">. In: </w:t>
      </w:r>
      <w:r>
        <w:rPr>
          <w:i/>
          <w:lang w:val="en-GB"/>
        </w:rPr>
        <w:t xml:space="preserve">African Journal of History and Culture </w:t>
      </w:r>
      <w:r>
        <w:rPr>
          <w:lang w:val="en-GB"/>
        </w:rPr>
        <w:t>4 (2012), S. 5.</w:t>
      </w:r>
    </w:p>
  </w:footnote>
  <w:footnote w:id="49">
    <w:p w14:paraId="648FC9E0" w14:textId="42930C8C" w:rsidR="005D5A35" w:rsidRPr="00681BF9" w:rsidRDefault="005D5A35">
      <w:pPr>
        <w:pStyle w:val="Voetnoottekst"/>
        <w:rPr>
          <w:i/>
          <w:lang w:val="en-GB"/>
        </w:rPr>
      </w:pPr>
      <w:r>
        <w:rPr>
          <w:rStyle w:val="Voetnootmarkering"/>
        </w:rPr>
        <w:footnoteRef/>
      </w:r>
      <w:r w:rsidRPr="0071400F">
        <w:rPr>
          <w:lang w:val="en-GB"/>
        </w:rPr>
        <w:t xml:space="preserve"> </w:t>
      </w:r>
      <w:r>
        <w:rPr>
          <w:lang w:val="en-GB"/>
        </w:rPr>
        <w:t xml:space="preserve">Vgl. </w:t>
      </w:r>
      <w:r w:rsidRPr="0071400F">
        <w:rPr>
          <w:lang w:val="en-GB"/>
        </w:rPr>
        <w:t xml:space="preserve">Marcus E. Green: „Rethinking the subaltern and the question of censorship in Gramsci’s </w:t>
      </w:r>
      <w:r w:rsidRPr="0071400F">
        <w:rPr>
          <w:i/>
          <w:lang w:val="en-GB"/>
        </w:rPr>
        <w:t>Prison Notebooks</w:t>
      </w:r>
      <w:r w:rsidRPr="0071400F">
        <w:rPr>
          <w:lang w:val="en-GB"/>
        </w:rPr>
        <w:t>“</w:t>
      </w:r>
      <w:r>
        <w:rPr>
          <w:lang w:val="en-GB"/>
        </w:rPr>
        <w:t xml:space="preserve">. </w:t>
      </w:r>
      <w:r w:rsidRPr="00681BF9">
        <w:rPr>
          <w:lang w:val="en-GB"/>
        </w:rPr>
        <w:t xml:space="preserve">In: </w:t>
      </w:r>
      <w:r w:rsidRPr="00681BF9">
        <w:rPr>
          <w:i/>
          <w:lang w:val="en-GB"/>
        </w:rPr>
        <w:t xml:space="preserve">Postcolonial Studies </w:t>
      </w:r>
      <w:r w:rsidRPr="00681BF9">
        <w:rPr>
          <w:lang w:val="en-GB"/>
        </w:rPr>
        <w:t>14, S. 387.</w:t>
      </w:r>
    </w:p>
  </w:footnote>
  <w:footnote w:id="50">
    <w:p w14:paraId="5E4BF223" w14:textId="5D20531E" w:rsidR="005D5A35" w:rsidRPr="00194460" w:rsidRDefault="005D5A35">
      <w:pPr>
        <w:pStyle w:val="Voetnoottekst"/>
        <w:rPr>
          <w:lang w:val="en-GB"/>
        </w:rPr>
      </w:pPr>
      <w:r>
        <w:rPr>
          <w:rStyle w:val="Voetnootmarkering"/>
        </w:rPr>
        <w:footnoteRef/>
      </w:r>
      <w:r w:rsidRPr="00047DEE">
        <w:rPr>
          <w:lang w:val="en-GB"/>
        </w:rPr>
        <w:t xml:space="preserve"> </w:t>
      </w:r>
      <w:r>
        <w:rPr>
          <w:lang w:val="en-GB"/>
        </w:rPr>
        <w:t xml:space="preserve">Rosalind C. Morris: </w:t>
      </w:r>
      <w:r>
        <w:rPr>
          <w:i/>
          <w:lang w:val="en-GB"/>
        </w:rPr>
        <w:t xml:space="preserve">Can the Subaltern Speak? Reflections on the History of an Idea. </w:t>
      </w:r>
      <w:r w:rsidRPr="00194460">
        <w:rPr>
          <w:lang w:val="en-GB"/>
        </w:rPr>
        <w:t>New York: Columbia University Press 2010, S. 65.</w:t>
      </w:r>
    </w:p>
  </w:footnote>
  <w:footnote w:id="51">
    <w:p w14:paraId="3B112AA0" w14:textId="784C6983" w:rsidR="005D5A35" w:rsidRPr="003A73C6" w:rsidRDefault="005D5A35">
      <w:pPr>
        <w:pStyle w:val="Voetnoottekst"/>
        <w:rPr>
          <w:lang w:val="en-GB"/>
        </w:rPr>
      </w:pPr>
      <w:r>
        <w:rPr>
          <w:rStyle w:val="Voetnootmarkering"/>
        </w:rPr>
        <w:footnoteRef/>
      </w:r>
      <w:r w:rsidRPr="00022153">
        <w:rPr>
          <w:lang w:val="en-GB"/>
        </w:rPr>
        <w:t xml:space="preserve"> </w:t>
      </w:r>
      <w:r>
        <w:rPr>
          <w:lang w:val="en-GB"/>
        </w:rPr>
        <w:t xml:space="preserve">Vgl. </w:t>
      </w:r>
      <w:r w:rsidRPr="00022153">
        <w:rPr>
          <w:lang w:val="en-GB"/>
        </w:rPr>
        <w:t>Michel Foucault und Gilles Deleuze: „Intellectuals and Power“</w:t>
      </w:r>
      <w:r>
        <w:rPr>
          <w:lang w:val="en-GB"/>
        </w:rPr>
        <w:t>.</w:t>
      </w:r>
      <w:r w:rsidRPr="00022153">
        <w:rPr>
          <w:lang w:val="en-GB"/>
        </w:rPr>
        <w:t xml:space="preserve"> In: </w:t>
      </w:r>
      <w:r w:rsidRPr="00022153">
        <w:rPr>
          <w:i/>
          <w:lang w:val="en-GB"/>
        </w:rPr>
        <w:t>Language, Cou</w:t>
      </w:r>
      <w:r>
        <w:rPr>
          <w:i/>
          <w:lang w:val="en-GB"/>
        </w:rPr>
        <w:t xml:space="preserve">nter-Memory, Practice: Selected essays and interviews. </w:t>
      </w:r>
      <w:r>
        <w:rPr>
          <w:lang w:val="en-GB"/>
        </w:rPr>
        <w:t xml:space="preserve">Hg. von Donald F. Bouchard und Sherry Simon. </w:t>
      </w:r>
      <w:r w:rsidRPr="003A73C6">
        <w:rPr>
          <w:lang w:val="en-GB"/>
        </w:rPr>
        <w:t>Ithaca: Cornell University Press 1977, S. 205-217.</w:t>
      </w:r>
    </w:p>
  </w:footnote>
  <w:footnote w:id="52">
    <w:p w14:paraId="05FF029B" w14:textId="047C7511" w:rsidR="005D5A35" w:rsidRPr="003A73C6" w:rsidRDefault="005D5A35">
      <w:pPr>
        <w:pStyle w:val="Voetnoottekst"/>
        <w:rPr>
          <w:lang w:val="en-GB"/>
        </w:rPr>
      </w:pPr>
      <w:r>
        <w:rPr>
          <w:rStyle w:val="Voetnootmarkering"/>
        </w:rPr>
        <w:footnoteRef/>
      </w:r>
      <w:r w:rsidRPr="003A73C6">
        <w:rPr>
          <w:lang w:val="en-GB"/>
        </w:rPr>
        <w:t xml:space="preserve"> </w:t>
      </w:r>
      <w:r w:rsidRPr="00677AAA">
        <w:rPr>
          <w:lang w:val="en-GB"/>
        </w:rPr>
        <w:t>Gayatri Chakravorty</w:t>
      </w:r>
      <w:r>
        <w:rPr>
          <w:lang w:val="en-GB"/>
        </w:rPr>
        <w:t xml:space="preserve"> Spivak: </w:t>
      </w:r>
      <w:r w:rsidRPr="00717A87">
        <w:rPr>
          <w:lang w:val="en-US"/>
        </w:rPr>
        <w:t>„</w:t>
      </w:r>
      <w:r w:rsidRPr="00677AAA">
        <w:rPr>
          <w:lang w:val="en-GB"/>
        </w:rPr>
        <w:t>Can the Subaltern Speak?</w:t>
      </w:r>
      <w:r w:rsidRPr="00717A87">
        <w:rPr>
          <w:lang w:val="en-US"/>
        </w:rPr>
        <w:t>“</w:t>
      </w:r>
      <w:r w:rsidRPr="00677AAA">
        <w:rPr>
          <w:lang w:val="en-GB"/>
        </w:rPr>
        <w:t xml:space="preserve"> In: </w:t>
      </w:r>
      <w:r w:rsidRPr="00677AAA">
        <w:rPr>
          <w:i/>
          <w:lang w:val="en-GB"/>
        </w:rPr>
        <w:t>Colonial Discourse and Post-Colonial Theory. A Reader</w:t>
      </w:r>
      <w:r w:rsidRPr="00677AAA">
        <w:rPr>
          <w:lang w:val="en-GB"/>
        </w:rPr>
        <w:t xml:space="preserve">. Hg. von Patrick Williams und Laura Chrisman. New York: Columbia University Press 1994, </w:t>
      </w:r>
      <w:r w:rsidRPr="003A73C6">
        <w:rPr>
          <w:lang w:val="en-GB"/>
        </w:rPr>
        <w:t>S. 70.</w:t>
      </w:r>
    </w:p>
  </w:footnote>
  <w:footnote w:id="53">
    <w:p w14:paraId="355D929A" w14:textId="6EDED888" w:rsidR="005D5A35" w:rsidRPr="002810D7" w:rsidRDefault="005D5A35">
      <w:pPr>
        <w:pStyle w:val="Voetnoottekst"/>
      </w:pPr>
      <w:r>
        <w:rPr>
          <w:rStyle w:val="Voetnootmarkering"/>
        </w:rPr>
        <w:footnoteRef/>
      </w:r>
      <w:r w:rsidRPr="002810D7">
        <w:t xml:space="preserve"> Spivak, S. 70.</w:t>
      </w:r>
    </w:p>
  </w:footnote>
  <w:footnote w:id="54">
    <w:p w14:paraId="1B184038" w14:textId="02745593" w:rsidR="005D5A35" w:rsidRPr="00AC233D" w:rsidRDefault="005D5A35">
      <w:pPr>
        <w:pStyle w:val="Voetnoottekst"/>
      </w:pPr>
      <w:r>
        <w:rPr>
          <w:rStyle w:val="Voetnootmarkering"/>
        </w:rPr>
        <w:footnoteRef/>
      </w:r>
      <w:r w:rsidRPr="00AC233D">
        <w:t xml:space="preserve"> Vgl. Spivak, S. 84.</w:t>
      </w:r>
    </w:p>
  </w:footnote>
  <w:footnote w:id="55">
    <w:p w14:paraId="000C4BDF" w14:textId="26F018C2" w:rsidR="005D5A35" w:rsidRDefault="005D5A35">
      <w:pPr>
        <w:pStyle w:val="Voetnoottekst"/>
      </w:pPr>
      <w:r>
        <w:rPr>
          <w:rStyle w:val="Voetnootmarkering"/>
        </w:rPr>
        <w:footnoteRef/>
      </w:r>
      <w:r>
        <w:t xml:space="preserve"> Vgl. Spivak, S. 88.</w:t>
      </w:r>
    </w:p>
  </w:footnote>
  <w:footnote w:id="56">
    <w:p w14:paraId="1F437E76" w14:textId="6143FB7D" w:rsidR="005D5A35" w:rsidRDefault="005D5A35">
      <w:pPr>
        <w:pStyle w:val="Voetnoottekst"/>
      </w:pPr>
      <w:r>
        <w:rPr>
          <w:rStyle w:val="Voetnootmarkering"/>
        </w:rPr>
        <w:footnoteRef/>
      </w:r>
      <w:r>
        <w:t xml:space="preserve"> Vgl. Spivak, S. 87.</w:t>
      </w:r>
    </w:p>
  </w:footnote>
  <w:footnote w:id="57">
    <w:p w14:paraId="6DB68831" w14:textId="3E90B84E" w:rsidR="005D5A35" w:rsidRDefault="005D5A35">
      <w:pPr>
        <w:pStyle w:val="Voetnoottekst"/>
      </w:pPr>
      <w:r>
        <w:rPr>
          <w:rStyle w:val="Voetnootmarkering"/>
        </w:rPr>
        <w:footnoteRef/>
      </w:r>
      <w:r>
        <w:t xml:space="preserve"> Spivak, S. 103.</w:t>
      </w:r>
    </w:p>
  </w:footnote>
  <w:footnote w:id="58">
    <w:p w14:paraId="659176CE" w14:textId="617AEF2E" w:rsidR="005D5A35" w:rsidRPr="002810D7" w:rsidRDefault="005D5A35">
      <w:pPr>
        <w:pStyle w:val="Voetnoottekst"/>
      </w:pPr>
      <w:r>
        <w:rPr>
          <w:rStyle w:val="Voetnootmarkering"/>
        </w:rPr>
        <w:footnoteRef/>
      </w:r>
      <w:r w:rsidRPr="002810D7">
        <w:t xml:space="preserve"> Vgl. Spivak, S. 104.</w:t>
      </w:r>
    </w:p>
  </w:footnote>
  <w:footnote w:id="59">
    <w:p w14:paraId="51F7BDE3" w14:textId="114EE0BF" w:rsidR="005D5A35" w:rsidRPr="004E1B2A" w:rsidRDefault="005D5A35">
      <w:pPr>
        <w:pStyle w:val="Voetnoottekst"/>
        <w:rPr>
          <w:lang w:val="de-DE"/>
        </w:rPr>
      </w:pPr>
      <w:r>
        <w:rPr>
          <w:rStyle w:val="Voetnootmarkering"/>
        </w:rPr>
        <w:footnoteRef/>
      </w:r>
      <w:r w:rsidRPr="004E1B2A">
        <w:rPr>
          <w:lang w:val="de-DE"/>
        </w:rPr>
        <w:t xml:space="preserve"> Spivak, S. 82-83.</w:t>
      </w:r>
    </w:p>
  </w:footnote>
  <w:footnote w:id="60">
    <w:p w14:paraId="41D0C97E" w14:textId="14682B05" w:rsidR="005D5A35" w:rsidRPr="003A73C6" w:rsidRDefault="005D5A35">
      <w:pPr>
        <w:pStyle w:val="Voetnoottekst"/>
        <w:rPr>
          <w:lang w:val="de-DE"/>
        </w:rPr>
      </w:pPr>
      <w:r>
        <w:rPr>
          <w:rStyle w:val="Voetnootmarkering"/>
        </w:rPr>
        <w:footnoteRef/>
      </w:r>
      <w:r>
        <w:rPr>
          <w:lang w:val="de-DE"/>
        </w:rPr>
        <w:t xml:space="preserve"> Vgl. </w:t>
      </w:r>
      <w:r w:rsidRPr="00617F30">
        <w:rPr>
          <w:lang w:val="de-DE"/>
        </w:rPr>
        <w:t xml:space="preserve">Georg Simmel: </w:t>
      </w:r>
      <w:r w:rsidRPr="00617F30">
        <w:rPr>
          <w:i/>
          <w:lang w:val="de-DE"/>
        </w:rPr>
        <w:t>Soziologie. Untersuchungen über die Formen der Vergesellschaftung.</w:t>
      </w:r>
      <w:r w:rsidRPr="00617F30">
        <w:rPr>
          <w:lang w:val="de-DE"/>
        </w:rPr>
        <w:t xml:space="preserve"> Villingen-Schwenningen: Nexx 2015, S. 685.</w:t>
      </w:r>
      <w:r>
        <w:rPr>
          <w:lang w:val="de-DE"/>
        </w:rPr>
        <w:t xml:space="preserve"> </w:t>
      </w:r>
    </w:p>
  </w:footnote>
  <w:footnote w:id="61">
    <w:p w14:paraId="2642529A" w14:textId="08E39DA8" w:rsidR="005D5A35" w:rsidRPr="00924C22" w:rsidRDefault="005D5A35">
      <w:pPr>
        <w:pStyle w:val="Voetnoottekst"/>
        <w:rPr>
          <w:lang w:val="en-GB"/>
        </w:rPr>
      </w:pPr>
      <w:r>
        <w:rPr>
          <w:rStyle w:val="Voetnootmarkering"/>
        </w:rPr>
        <w:footnoteRef/>
      </w:r>
      <w:r w:rsidRPr="001B693F">
        <w:rPr>
          <w:lang w:val="de-DE"/>
        </w:rPr>
        <w:t xml:space="preserve"> </w:t>
      </w:r>
      <w:r>
        <w:rPr>
          <w:lang w:val="de-DE"/>
        </w:rPr>
        <w:t xml:space="preserve">Vgl. </w:t>
      </w:r>
      <w:r w:rsidRPr="00706AF8">
        <w:rPr>
          <w:lang w:val="de-DE"/>
        </w:rPr>
        <w:t xml:space="preserve">Van der Gucht, Liselotte: </w:t>
      </w:r>
      <w:r w:rsidRPr="00706AF8">
        <w:rPr>
          <w:i/>
          <w:lang w:val="de-DE"/>
        </w:rPr>
        <w:t xml:space="preserve">Die Angst, als Fremde in der Welt dazustehen. Die Suche nach Identität in Melinda Nadj Abonjis </w:t>
      </w:r>
      <w:r>
        <w:rPr>
          <w:i/>
          <w:lang w:val="de-DE"/>
        </w:rPr>
        <w:t>‚</w:t>
      </w:r>
      <w:r w:rsidRPr="00706AF8">
        <w:rPr>
          <w:i/>
          <w:lang w:val="de-DE"/>
        </w:rPr>
        <w:t>Tauben fliegen auf</w:t>
      </w:r>
      <w:r>
        <w:rPr>
          <w:i/>
          <w:lang w:val="de-DE"/>
        </w:rPr>
        <w:t>‘</w:t>
      </w:r>
      <w:r w:rsidRPr="00706AF8">
        <w:rPr>
          <w:lang w:val="de-DE"/>
        </w:rPr>
        <w:t xml:space="preserve"> [Bachelorarbeit</w:t>
      </w:r>
      <w:r>
        <w:rPr>
          <w:lang w:val="de-DE"/>
        </w:rPr>
        <w:t xml:space="preserve">]. </w:t>
      </w:r>
      <w:r w:rsidRPr="00924C22">
        <w:rPr>
          <w:lang w:val="en-GB"/>
        </w:rPr>
        <w:t>Gent: Universiteit Gent 2017, S. 20.</w:t>
      </w:r>
    </w:p>
  </w:footnote>
  <w:footnote w:id="62">
    <w:p w14:paraId="30D6C851" w14:textId="2C9D1205" w:rsidR="005D5A35" w:rsidRPr="00876FA6" w:rsidRDefault="005D5A35">
      <w:pPr>
        <w:pStyle w:val="Voetnoottekst"/>
        <w:rPr>
          <w:lang w:val="en-GB"/>
        </w:rPr>
      </w:pPr>
      <w:r>
        <w:rPr>
          <w:rStyle w:val="Voetnootmarkering"/>
        </w:rPr>
        <w:footnoteRef/>
      </w:r>
      <w:r w:rsidRPr="00876FA6">
        <w:rPr>
          <w:lang w:val="en-GB"/>
        </w:rPr>
        <w:t xml:space="preserve"> Adriaan Peperzak: </w:t>
      </w:r>
      <w:r w:rsidRPr="00876FA6">
        <w:rPr>
          <w:i/>
          <w:lang w:val="en-GB"/>
        </w:rPr>
        <w:t>To the Other: A</w:t>
      </w:r>
      <w:r>
        <w:rPr>
          <w:i/>
          <w:lang w:val="en-GB"/>
        </w:rPr>
        <w:t xml:space="preserve">n Introduction to the Philosophy of Emmanuel Levinas. </w:t>
      </w:r>
      <w:r>
        <w:rPr>
          <w:lang w:val="en-GB"/>
        </w:rPr>
        <w:t>West Lafayette: Purdue Research Foundation 1993, S. 24.</w:t>
      </w:r>
    </w:p>
  </w:footnote>
  <w:footnote w:id="63">
    <w:p w14:paraId="33DE5507" w14:textId="2B12A943" w:rsidR="005D5A35" w:rsidRPr="00924C22" w:rsidRDefault="005D5A35">
      <w:pPr>
        <w:pStyle w:val="Voetnoottekst"/>
        <w:rPr>
          <w:lang w:val="en-GB"/>
        </w:rPr>
      </w:pPr>
      <w:r>
        <w:rPr>
          <w:rStyle w:val="Voetnootmarkering"/>
        </w:rPr>
        <w:footnoteRef/>
      </w:r>
      <w:r w:rsidRPr="00924C22">
        <w:rPr>
          <w:lang w:val="en-GB"/>
        </w:rPr>
        <w:t xml:space="preserve"> Peperzak, S. 24.</w:t>
      </w:r>
    </w:p>
  </w:footnote>
  <w:footnote w:id="64">
    <w:p w14:paraId="5D7203EE" w14:textId="61EBA226" w:rsidR="005D5A35" w:rsidRPr="00924C22" w:rsidRDefault="005D5A35">
      <w:pPr>
        <w:pStyle w:val="Voetnoottekst"/>
        <w:rPr>
          <w:lang w:val="en-GB"/>
        </w:rPr>
      </w:pPr>
      <w:r>
        <w:rPr>
          <w:rStyle w:val="Voetnootmarkering"/>
        </w:rPr>
        <w:footnoteRef/>
      </w:r>
      <w:r w:rsidRPr="00924C22">
        <w:rPr>
          <w:lang w:val="en-GB"/>
        </w:rPr>
        <w:t xml:space="preserve"> Peperzak, S. 19.</w:t>
      </w:r>
    </w:p>
  </w:footnote>
  <w:footnote w:id="65">
    <w:p w14:paraId="34CE56BB" w14:textId="2CD7F56E" w:rsidR="005D5A35" w:rsidRPr="00924C22" w:rsidRDefault="005D5A35">
      <w:pPr>
        <w:pStyle w:val="Voetnoottekst"/>
        <w:rPr>
          <w:lang w:val="fr-FR"/>
        </w:rPr>
      </w:pPr>
      <w:r>
        <w:rPr>
          <w:rStyle w:val="Voetnootmarkering"/>
        </w:rPr>
        <w:footnoteRef/>
      </w:r>
      <w:r w:rsidRPr="00924C22">
        <w:rPr>
          <w:lang w:val="fr-FR"/>
        </w:rPr>
        <w:t xml:space="preserve"> </w:t>
      </w:r>
      <w:r>
        <w:rPr>
          <w:lang w:val="fr-FR"/>
        </w:rPr>
        <w:t xml:space="preserve">Vgl. </w:t>
      </w:r>
      <w:r w:rsidRPr="00924C22">
        <w:rPr>
          <w:lang w:val="fr-FR"/>
        </w:rPr>
        <w:t>Peperzak, S. 20.</w:t>
      </w:r>
    </w:p>
  </w:footnote>
  <w:footnote w:id="66">
    <w:p w14:paraId="1F2F874F" w14:textId="40E5768E" w:rsidR="005D5A35" w:rsidRPr="00395685" w:rsidRDefault="005D5A35">
      <w:pPr>
        <w:pStyle w:val="Voetnoottekst"/>
        <w:rPr>
          <w:lang w:val="en-US"/>
        </w:rPr>
      </w:pPr>
      <w:r>
        <w:rPr>
          <w:rStyle w:val="Voetnootmarkering"/>
        </w:rPr>
        <w:footnoteRef/>
      </w:r>
      <w:r w:rsidRPr="00924C22">
        <w:rPr>
          <w:lang w:val="fr-FR"/>
        </w:rPr>
        <w:t xml:space="preserve"> Simone de Beauvoir: </w:t>
      </w:r>
      <w:r w:rsidRPr="00924C22">
        <w:rPr>
          <w:i/>
          <w:lang w:val="fr-FR"/>
        </w:rPr>
        <w:t>Le deuxième sexe, I</w:t>
      </w:r>
      <w:r w:rsidRPr="00924C22">
        <w:rPr>
          <w:lang w:val="fr-FR"/>
        </w:rPr>
        <w:t xml:space="preserve">. </w:t>
      </w:r>
      <w:r w:rsidRPr="00924C22">
        <w:rPr>
          <w:i/>
          <w:lang w:val="fr-FR"/>
        </w:rPr>
        <w:t xml:space="preserve">Les faits et les mythes. </w:t>
      </w:r>
      <w:r w:rsidRPr="00395685">
        <w:rPr>
          <w:lang w:val="en-US"/>
        </w:rPr>
        <w:t>Paris: Gallimard 1976, S. 15.</w:t>
      </w:r>
    </w:p>
  </w:footnote>
  <w:footnote w:id="67">
    <w:p w14:paraId="338DA5B8" w14:textId="3C25078B" w:rsidR="005D5A35" w:rsidRPr="00395685" w:rsidRDefault="005D5A35">
      <w:pPr>
        <w:pStyle w:val="Voetnoottekst"/>
        <w:rPr>
          <w:lang w:val="en-US"/>
        </w:rPr>
      </w:pPr>
      <w:r>
        <w:rPr>
          <w:rStyle w:val="Voetnootmarkering"/>
        </w:rPr>
        <w:footnoteRef/>
      </w:r>
      <w:r>
        <w:rPr>
          <w:lang w:val="en-US"/>
        </w:rPr>
        <w:t xml:space="preserve"> Judith Thurman: </w:t>
      </w:r>
      <w:r w:rsidRPr="002810D7">
        <w:rPr>
          <w:lang w:val="en-US"/>
        </w:rPr>
        <w:t>„I</w:t>
      </w:r>
      <w:r w:rsidRPr="00395685">
        <w:rPr>
          <w:lang w:val="en-US"/>
        </w:rPr>
        <w:t>ntroduction</w:t>
      </w:r>
      <w:r w:rsidRPr="002810D7">
        <w:rPr>
          <w:lang w:val="en-US"/>
        </w:rPr>
        <w:t>“</w:t>
      </w:r>
      <w:r w:rsidRPr="00395685">
        <w:rPr>
          <w:lang w:val="en-US"/>
        </w:rPr>
        <w:t xml:space="preserve">. </w:t>
      </w:r>
      <w:r w:rsidRPr="00924C22">
        <w:rPr>
          <w:lang w:val="en-GB"/>
        </w:rPr>
        <w:t xml:space="preserve">In: </w:t>
      </w:r>
      <w:r w:rsidRPr="00924C22">
        <w:rPr>
          <w:i/>
          <w:lang w:val="en-GB"/>
        </w:rPr>
        <w:t>Simone de Beauvoir. The S</w:t>
      </w:r>
      <w:r>
        <w:rPr>
          <w:i/>
          <w:lang w:val="en-GB"/>
        </w:rPr>
        <w:t xml:space="preserve">econd Sex. </w:t>
      </w:r>
      <w:r w:rsidRPr="00395685">
        <w:rPr>
          <w:lang w:val="en-US"/>
        </w:rPr>
        <w:t>Übersetzt von Constance Borde und Sheila Malovany-Chevallier. New York: Random House 2011, S. 11.</w:t>
      </w:r>
    </w:p>
  </w:footnote>
  <w:footnote w:id="68">
    <w:p w14:paraId="2588144D" w14:textId="5F59E01F" w:rsidR="005D5A35" w:rsidRPr="00395685" w:rsidRDefault="005D5A35">
      <w:pPr>
        <w:pStyle w:val="Voetnoottekst"/>
      </w:pPr>
      <w:r>
        <w:rPr>
          <w:rStyle w:val="Voetnootmarkering"/>
        </w:rPr>
        <w:footnoteRef/>
      </w:r>
      <w:r w:rsidRPr="00395685">
        <w:t xml:space="preserve"> De Beauvoir, S. 122.</w:t>
      </w:r>
    </w:p>
  </w:footnote>
  <w:footnote w:id="69">
    <w:p w14:paraId="2D24E136" w14:textId="6A29E735" w:rsidR="005D5A35" w:rsidRDefault="005D5A35">
      <w:pPr>
        <w:pStyle w:val="Voetnoottekst"/>
      </w:pPr>
      <w:r>
        <w:rPr>
          <w:rStyle w:val="Voetnootmarkering"/>
        </w:rPr>
        <w:footnoteRef/>
      </w:r>
      <w:r>
        <w:t xml:space="preserve"> Vgl. Van der Gucht, S. 38.</w:t>
      </w:r>
    </w:p>
  </w:footnote>
  <w:footnote w:id="70">
    <w:p w14:paraId="36B25AD6" w14:textId="42F9E447" w:rsidR="005D5A35" w:rsidRPr="00B44350" w:rsidRDefault="005D5A35">
      <w:pPr>
        <w:pStyle w:val="Voetnoottekst"/>
        <w:rPr>
          <w:lang w:val="fr-FR"/>
        </w:rPr>
      </w:pPr>
      <w:r>
        <w:rPr>
          <w:rStyle w:val="Voetnootmarkering"/>
        </w:rPr>
        <w:footnoteRef/>
      </w:r>
      <w:r w:rsidRPr="00F516AC">
        <w:rPr>
          <w:lang w:val="en-US"/>
        </w:rPr>
        <w:t xml:space="preserve"> Judith Butler: „Performative Acts a</w:t>
      </w:r>
      <w:r>
        <w:rPr>
          <w:lang w:val="en-US"/>
        </w:rPr>
        <w:t>n</w:t>
      </w:r>
      <w:r w:rsidRPr="00F516AC">
        <w:rPr>
          <w:lang w:val="en-US"/>
        </w:rPr>
        <w:t xml:space="preserve">d </w:t>
      </w:r>
      <w:r>
        <w:rPr>
          <w:lang w:val="en-US"/>
        </w:rPr>
        <w:t>Gender Constitution: An Essay in Phenomenology and Feminist Theory</w:t>
      </w:r>
      <w:r w:rsidRPr="0043388D">
        <w:rPr>
          <w:lang w:val="en-US"/>
        </w:rPr>
        <w:t>“</w:t>
      </w:r>
      <w:r>
        <w:rPr>
          <w:lang w:val="en-US"/>
        </w:rPr>
        <w:t xml:space="preserve">. </w:t>
      </w:r>
      <w:r w:rsidRPr="00B44350">
        <w:rPr>
          <w:lang w:val="fr-FR"/>
        </w:rPr>
        <w:t xml:space="preserve">In: </w:t>
      </w:r>
      <w:r w:rsidRPr="00B44350">
        <w:rPr>
          <w:i/>
          <w:lang w:val="fr-FR"/>
        </w:rPr>
        <w:t>Theatre Journal</w:t>
      </w:r>
      <w:r w:rsidRPr="00B44350">
        <w:rPr>
          <w:lang w:val="fr-FR"/>
        </w:rPr>
        <w:t xml:space="preserve"> 40 (1988), S. 519.</w:t>
      </w:r>
    </w:p>
  </w:footnote>
  <w:footnote w:id="71">
    <w:p w14:paraId="557BD5E7" w14:textId="77777777" w:rsidR="005D5A35" w:rsidRPr="000D2464" w:rsidRDefault="005D5A35" w:rsidP="0098571C">
      <w:pPr>
        <w:pStyle w:val="Voetnoottekst"/>
        <w:rPr>
          <w:lang w:val="fr-FR"/>
        </w:rPr>
      </w:pPr>
      <w:r>
        <w:rPr>
          <w:rStyle w:val="Voetnootmarkering"/>
        </w:rPr>
        <w:footnoteRef/>
      </w:r>
      <w:r w:rsidRPr="008D1401">
        <w:rPr>
          <w:lang w:val="fr-FR"/>
        </w:rPr>
        <w:t xml:space="preserve"> Simone de Beauvoir: </w:t>
      </w:r>
      <w:r w:rsidRPr="008D1401">
        <w:rPr>
          <w:i/>
          <w:lang w:val="fr-FR"/>
        </w:rPr>
        <w:t>Le deu</w:t>
      </w:r>
      <w:r>
        <w:rPr>
          <w:i/>
          <w:lang w:val="fr-FR"/>
        </w:rPr>
        <w:t xml:space="preserve">xième sexe, II. L’expérience vécue. </w:t>
      </w:r>
      <w:r w:rsidRPr="000D2464">
        <w:rPr>
          <w:lang w:val="fr-FR"/>
        </w:rPr>
        <w:t>Paris: Gallimard 1949, S. 13.</w:t>
      </w:r>
    </w:p>
  </w:footnote>
  <w:footnote w:id="72">
    <w:p w14:paraId="50343991" w14:textId="452936AA" w:rsidR="005D5A35" w:rsidRPr="00A96684" w:rsidRDefault="005D5A35">
      <w:pPr>
        <w:pStyle w:val="Voetnoottekst"/>
        <w:rPr>
          <w:lang w:val="en-US"/>
        </w:rPr>
      </w:pPr>
      <w:r>
        <w:rPr>
          <w:rStyle w:val="Voetnootmarkering"/>
        </w:rPr>
        <w:footnoteRef/>
      </w:r>
      <w:r w:rsidRPr="00A96684">
        <w:rPr>
          <w:lang w:val="en-US"/>
        </w:rPr>
        <w:t xml:space="preserve"> Gill Jagger: </w:t>
      </w:r>
      <w:r w:rsidRPr="00A96684">
        <w:rPr>
          <w:i/>
          <w:lang w:val="en-US"/>
        </w:rPr>
        <w:t>Judith Butler. S</w:t>
      </w:r>
      <w:r>
        <w:rPr>
          <w:i/>
          <w:lang w:val="en-US"/>
        </w:rPr>
        <w:t>exual politics, social change and the power of the performative.</w:t>
      </w:r>
      <w:r>
        <w:rPr>
          <w:lang w:val="en-US"/>
        </w:rPr>
        <w:t xml:space="preserve"> New York: Routledge 2008, S. 8.</w:t>
      </w:r>
    </w:p>
  </w:footnote>
  <w:footnote w:id="73">
    <w:p w14:paraId="0EE78015" w14:textId="6E4CD328" w:rsidR="005D5A35" w:rsidRPr="00A96684" w:rsidRDefault="005D5A35">
      <w:pPr>
        <w:pStyle w:val="Voetnoottekst"/>
        <w:rPr>
          <w:lang w:val="en-US"/>
        </w:rPr>
      </w:pPr>
      <w:r>
        <w:rPr>
          <w:rStyle w:val="Voetnootmarkering"/>
        </w:rPr>
        <w:footnoteRef/>
      </w:r>
      <w:r w:rsidRPr="00A96684">
        <w:rPr>
          <w:lang w:val="en-US"/>
        </w:rPr>
        <w:t xml:space="preserve"> Butler</w:t>
      </w:r>
      <w:r>
        <w:rPr>
          <w:lang w:val="en-US"/>
        </w:rPr>
        <w:t xml:space="preserve"> (1988)</w:t>
      </w:r>
      <w:r w:rsidRPr="00A96684">
        <w:rPr>
          <w:lang w:val="en-US"/>
        </w:rPr>
        <w:t>, S. 522.</w:t>
      </w:r>
    </w:p>
  </w:footnote>
  <w:footnote w:id="74">
    <w:p w14:paraId="30F958D6" w14:textId="7B6D15B4" w:rsidR="005D5A35" w:rsidRPr="00B44350" w:rsidRDefault="005D5A35">
      <w:pPr>
        <w:pStyle w:val="Voetnoottekst"/>
        <w:rPr>
          <w:lang w:val="en-US"/>
        </w:rPr>
      </w:pPr>
      <w:r>
        <w:rPr>
          <w:rStyle w:val="Voetnootmarkering"/>
        </w:rPr>
        <w:footnoteRef/>
      </w:r>
      <w:r w:rsidRPr="00B44350">
        <w:rPr>
          <w:lang w:val="en-US"/>
        </w:rPr>
        <w:t xml:space="preserve"> Jagger, S. 20.</w:t>
      </w:r>
    </w:p>
  </w:footnote>
  <w:footnote w:id="75">
    <w:p w14:paraId="1A4ADB9A" w14:textId="47FF2ACA" w:rsidR="005D5A35" w:rsidRPr="00B44350" w:rsidRDefault="005D5A35">
      <w:pPr>
        <w:pStyle w:val="Voetnoottekst"/>
        <w:rPr>
          <w:lang w:val="en-US"/>
        </w:rPr>
      </w:pPr>
      <w:r>
        <w:rPr>
          <w:rStyle w:val="Voetnootmarkering"/>
        </w:rPr>
        <w:footnoteRef/>
      </w:r>
      <w:r w:rsidRPr="00B44350">
        <w:rPr>
          <w:lang w:val="en-US"/>
        </w:rPr>
        <w:t xml:space="preserve"> </w:t>
      </w:r>
      <w:r>
        <w:rPr>
          <w:lang w:val="en-US"/>
        </w:rPr>
        <w:t>Ebd.</w:t>
      </w:r>
    </w:p>
  </w:footnote>
  <w:footnote w:id="76">
    <w:p w14:paraId="0188A5CD" w14:textId="5E7F8F99" w:rsidR="005D5A35" w:rsidRPr="00B44350" w:rsidRDefault="005D5A35">
      <w:pPr>
        <w:pStyle w:val="Voetnoottekst"/>
        <w:rPr>
          <w:lang w:val="en-US"/>
        </w:rPr>
      </w:pPr>
      <w:r>
        <w:rPr>
          <w:rStyle w:val="Voetnootmarkering"/>
        </w:rPr>
        <w:footnoteRef/>
      </w:r>
      <w:r>
        <w:rPr>
          <w:lang w:val="en-US"/>
        </w:rPr>
        <w:t xml:space="preserve"> Jagger, S. 2</w:t>
      </w:r>
      <w:r w:rsidRPr="00B44350">
        <w:rPr>
          <w:lang w:val="en-US"/>
        </w:rPr>
        <w:t>1.</w:t>
      </w:r>
    </w:p>
  </w:footnote>
  <w:footnote w:id="77">
    <w:p w14:paraId="6C397A8C" w14:textId="79976ED3" w:rsidR="005D5A35" w:rsidRPr="001F0836" w:rsidRDefault="005D5A35">
      <w:pPr>
        <w:pStyle w:val="Voetnoottekst"/>
        <w:rPr>
          <w:lang w:val="en-US"/>
        </w:rPr>
      </w:pPr>
      <w:r>
        <w:rPr>
          <w:rStyle w:val="Voetnootmarkering"/>
        </w:rPr>
        <w:footnoteRef/>
      </w:r>
      <w:r w:rsidRPr="00FB429C">
        <w:rPr>
          <w:lang w:val="en-US"/>
        </w:rPr>
        <w:t xml:space="preserve"> Judith Butler: </w:t>
      </w:r>
      <w:r w:rsidRPr="00FB429C">
        <w:rPr>
          <w:i/>
          <w:lang w:val="en-US"/>
        </w:rPr>
        <w:t xml:space="preserve">Gender Trouble. Feminism and the Subversion of Identity. </w:t>
      </w:r>
      <w:r w:rsidRPr="001F0836">
        <w:rPr>
          <w:lang w:val="en-US"/>
        </w:rPr>
        <w:t>New York: Routledge 1999, S. 180.</w:t>
      </w:r>
    </w:p>
  </w:footnote>
  <w:footnote w:id="78">
    <w:p w14:paraId="029A4553" w14:textId="4FFB6763" w:rsidR="005D5A35" w:rsidRPr="001F0836" w:rsidRDefault="005D5A35">
      <w:pPr>
        <w:pStyle w:val="Voetnoottekst"/>
        <w:rPr>
          <w:lang w:val="en-US"/>
        </w:rPr>
      </w:pPr>
      <w:r>
        <w:rPr>
          <w:rStyle w:val="Voetnootmarkering"/>
        </w:rPr>
        <w:footnoteRef/>
      </w:r>
      <w:r w:rsidRPr="001F0836">
        <w:rPr>
          <w:lang w:val="en-US"/>
        </w:rPr>
        <w:t xml:space="preserve"> Jagger, S. 21.</w:t>
      </w:r>
    </w:p>
  </w:footnote>
  <w:footnote w:id="79">
    <w:p w14:paraId="7D3CB3C5" w14:textId="1845CE65" w:rsidR="005D5A35" w:rsidRPr="001F0836" w:rsidRDefault="005D5A35">
      <w:pPr>
        <w:pStyle w:val="Voetnoottekst"/>
        <w:rPr>
          <w:lang w:val="en-US"/>
        </w:rPr>
      </w:pPr>
      <w:r>
        <w:rPr>
          <w:rStyle w:val="Voetnootmarkering"/>
        </w:rPr>
        <w:footnoteRef/>
      </w:r>
      <w:r w:rsidRPr="001F0836">
        <w:rPr>
          <w:lang w:val="en-US"/>
        </w:rPr>
        <w:t xml:space="preserve"> Butler (1988), S. 520.</w:t>
      </w:r>
    </w:p>
  </w:footnote>
  <w:footnote w:id="80">
    <w:p w14:paraId="18DE4CF8" w14:textId="77777777" w:rsidR="005D5A35" w:rsidRPr="00A42945" w:rsidRDefault="005D5A35" w:rsidP="00B44350">
      <w:pPr>
        <w:pStyle w:val="Voetnoottekst"/>
        <w:rPr>
          <w:lang w:val="en-GB"/>
        </w:rPr>
      </w:pPr>
      <w:r>
        <w:rPr>
          <w:rStyle w:val="Voetnootmarkering"/>
        </w:rPr>
        <w:footnoteRef/>
      </w:r>
      <w:r w:rsidRPr="00A42945">
        <w:rPr>
          <w:lang w:val="en-GB"/>
        </w:rPr>
        <w:t xml:space="preserve"> Judith Butler: </w:t>
      </w:r>
      <w:r w:rsidRPr="00A42945">
        <w:rPr>
          <w:i/>
          <w:lang w:val="en-GB"/>
        </w:rPr>
        <w:t>Bodies That Matt</w:t>
      </w:r>
      <w:r>
        <w:rPr>
          <w:i/>
          <w:lang w:val="en-GB"/>
        </w:rPr>
        <w:t xml:space="preserve">er. On the Discursive Limits of “Sex”. </w:t>
      </w:r>
      <w:r>
        <w:rPr>
          <w:lang w:val="en-GB"/>
        </w:rPr>
        <w:t>New York: Routledge 1993, S. 15.</w:t>
      </w:r>
      <w:r w:rsidRPr="00A42945">
        <w:rPr>
          <w:i/>
          <w:lang w:val="en-GB"/>
        </w:rPr>
        <w:t xml:space="preserve"> </w:t>
      </w:r>
    </w:p>
  </w:footnote>
  <w:footnote w:id="81">
    <w:p w14:paraId="1A3732C7" w14:textId="5192483C" w:rsidR="005D5A35" w:rsidRPr="00666E04" w:rsidRDefault="005D5A35">
      <w:pPr>
        <w:pStyle w:val="Voetnoottekst"/>
        <w:rPr>
          <w:lang w:val="en-US"/>
        </w:rPr>
      </w:pPr>
      <w:r>
        <w:rPr>
          <w:rStyle w:val="Voetnootmarkering"/>
        </w:rPr>
        <w:footnoteRef/>
      </w:r>
      <w:r w:rsidRPr="00666E04">
        <w:rPr>
          <w:lang w:val="en-US"/>
        </w:rPr>
        <w:t xml:space="preserve"> Butler (1997), S</w:t>
      </w:r>
      <w:r>
        <w:rPr>
          <w:lang w:val="en-US"/>
        </w:rPr>
        <w:t>. 12.</w:t>
      </w:r>
    </w:p>
  </w:footnote>
  <w:footnote w:id="82">
    <w:p w14:paraId="69C807E7" w14:textId="0E70CC22" w:rsidR="005D5A35" w:rsidRPr="00C61774" w:rsidRDefault="005D5A35">
      <w:pPr>
        <w:pStyle w:val="Voetnoottekst"/>
        <w:rPr>
          <w:lang w:val="en-US"/>
        </w:rPr>
      </w:pPr>
      <w:r>
        <w:rPr>
          <w:rStyle w:val="Voetnootmarkering"/>
        </w:rPr>
        <w:footnoteRef/>
      </w:r>
      <w:r w:rsidRPr="00C61774">
        <w:rPr>
          <w:lang w:val="en-US"/>
        </w:rPr>
        <w:t xml:space="preserve"> </w:t>
      </w:r>
      <w:r>
        <w:rPr>
          <w:lang w:val="en-US"/>
        </w:rPr>
        <w:t>Ebd.</w:t>
      </w:r>
    </w:p>
  </w:footnote>
  <w:footnote w:id="83">
    <w:p w14:paraId="0E86B8BF" w14:textId="3B2C6DD1" w:rsidR="005D5A35" w:rsidRPr="00B63E18" w:rsidRDefault="005D5A35">
      <w:pPr>
        <w:pStyle w:val="Voetnoottekst"/>
        <w:rPr>
          <w:lang w:val="en-US"/>
        </w:rPr>
      </w:pPr>
      <w:r>
        <w:rPr>
          <w:rStyle w:val="Voetnootmarkering"/>
        </w:rPr>
        <w:footnoteRef/>
      </w:r>
      <w:r w:rsidRPr="00B63E18">
        <w:rPr>
          <w:lang w:val="en-US"/>
        </w:rPr>
        <w:t xml:space="preserve"> Butler (1997), S</w:t>
      </w:r>
      <w:r>
        <w:rPr>
          <w:lang w:val="en-US"/>
        </w:rPr>
        <w:t>. 14.</w:t>
      </w:r>
    </w:p>
  </w:footnote>
  <w:footnote w:id="84">
    <w:p w14:paraId="233B8C61" w14:textId="77777777" w:rsidR="005D5A35" w:rsidRPr="001F0836" w:rsidRDefault="005D5A35" w:rsidP="00B44350">
      <w:pPr>
        <w:pStyle w:val="Voetnoottekst"/>
        <w:rPr>
          <w:lang w:val="de-DE"/>
        </w:rPr>
      </w:pPr>
      <w:r>
        <w:rPr>
          <w:rStyle w:val="Voetnootmarkering"/>
        </w:rPr>
        <w:footnoteRef/>
      </w:r>
      <w:r w:rsidRPr="005A3215">
        <w:rPr>
          <w:lang w:val="en-GB"/>
        </w:rPr>
        <w:t xml:space="preserve"> Elleke Boehmer: </w:t>
      </w:r>
      <w:r w:rsidRPr="005A3215">
        <w:rPr>
          <w:i/>
          <w:lang w:val="en-GB"/>
        </w:rPr>
        <w:t>Colonial and Postcolonial L</w:t>
      </w:r>
      <w:r>
        <w:rPr>
          <w:i/>
          <w:lang w:val="en-GB"/>
        </w:rPr>
        <w:t xml:space="preserve">iterature: Migrant Metaphors. </w:t>
      </w:r>
      <w:r w:rsidRPr="001F0836">
        <w:rPr>
          <w:lang w:val="de-DE"/>
        </w:rPr>
        <w:t>2. Auflage. Oxford: Oxford University Press 2005, S. 101.</w:t>
      </w:r>
    </w:p>
  </w:footnote>
  <w:footnote w:id="85">
    <w:p w14:paraId="3E852740" w14:textId="3CD204F0" w:rsidR="005D5A35" w:rsidRPr="003A73C6" w:rsidRDefault="005D5A35" w:rsidP="00B44350">
      <w:pPr>
        <w:pStyle w:val="Voetnoottekst"/>
        <w:rPr>
          <w:lang w:val="de-DE"/>
        </w:rPr>
      </w:pPr>
      <w:r>
        <w:rPr>
          <w:rStyle w:val="Voetnootmarkering"/>
        </w:rPr>
        <w:footnoteRef/>
      </w:r>
      <w:r>
        <w:rPr>
          <w:lang w:val="de-DE"/>
        </w:rPr>
        <w:t xml:space="preserve"> Vgl.</w:t>
      </w:r>
      <w:r w:rsidRPr="003A73C6">
        <w:rPr>
          <w:lang w:val="de-DE"/>
        </w:rPr>
        <w:t xml:space="preserve"> </w:t>
      </w:r>
      <w:r>
        <w:rPr>
          <w:lang w:val="de-DE"/>
        </w:rPr>
        <w:t xml:space="preserve">ebd. </w:t>
      </w:r>
    </w:p>
  </w:footnote>
  <w:footnote w:id="86">
    <w:p w14:paraId="7A82893D" w14:textId="77777777" w:rsidR="005D5A35" w:rsidRDefault="005D5A35">
      <w:pPr>
        <w:pStyle w:val="Voetnoottekst"/>
        <w:rPr>
          <w:lang w:val="de-DE"/>
        </w:rPr>
      </w:pPr>
      <w:r>
        <w:rPr>
          <w:rStyle w:val="Voetnootmarkering"/>
        </w:rPr>
        <w:footnoteRef/>
      </w:r>
      <w:r>
        <w:rPr>
          <w:lang w:val="de-DE"/>
        </w:rPr>
        <w:t xml:space="preserve"> Anna-Lisa Müller:</w:t>
      </w:r>
      <w:r w:rsidRPr="009008D5">
        <w:rPr>
          <w:lang w:val="de-DE"/>
        </w:rPr>
        <w:t xml:space="preserve"> </w:t>
      </w:r>
      <w:r w:rsidRPr="00A32BFA">
        <w:rPr>
          <w:lang w:val="de-DE"/>
        </w:rPr>
        <w:t xml:space="preserve">„Worte schaffen Soziales: Wie Sprache Gesellschaft verändert“. In: </w:t>
      </w:r>
      <w:r w:rsidRPr="00A32BFA">
        <w:rPr>
          <w:i/>
          <w:lang w:val="de-DE"/>
        </w:rPr>
        <w:t>Journal für Psychologie</w:t>
      </w:r>
      <w:r>
        <w:rPr>
          <w:lang w:val="de-DE"/>
        </w:rPr>
        <w:t xml:space="preserve"> 19 (2011), S. 6 der PDF-Datei </w:t>
      </w:r>
    </w:p>
    <w:p w14:paraId="308BDBF7" w14:textId="1D26F49A" w:rsidR="005D5A35" w:rsidRPr="00483FA7" w:rsidRDefault="005D5A35">
      <w:pPr>
        <w:pStyle w:val="Voetnoottekst"/>
        <w:rPr>
          <w:lang w:val="de-DE"/>
        </w:rPr>
      </w:pPr>
      <w:r>
        <w:rPr>
          <w:lang w:val="de-DE"/>
        </w:rPr>
        <w:t>(</w:t>
      </w:r>
      <w:hyperlink r:id="rId7" w:history="1">
        <w:r w:rsidRPr="00B26F4B">
          <w:rPr>
            <w:rStyle w:val="Hyperlink"/>
            <w:lang w:val="de-DE"/>
          </w:rPr>
          <w:t>https://www.journal-fuer-psychologie.de/index.php/jfp/article/view/14/87</w:t>
        </w:r>
      </w:hyperlink>
      <w:r w:rsidRPr="00E0779B">
        <w:rPr>
          <w:rStyle w:val="Hyperlink"/>
          <w:color w:val="auto"/>
          <w:u w:val="none"/>
          <w:lang w:val="de-DE"/>
        </w:rPr>
        <w:t>).</w:t>
      </w:r>
    </w:p>
  </w:footnote>
  <w:footnote w:id="87">
    <w:p w14:paraId="1DE3D051" w14:textId="6E47F31B" w:rsidR="005D5A35" w:rsidRPr="001F0836" w:rsidRDefault="005D5A35">
      <w:pPr>
        <w:pStyle w:val="Voetnoottekst"/>
        <w:rPr>
          <w:lang w:val="en-US"/>
        </w:rPr>
      </w:pPr>
      <w:r w:rsidRPr="00483FA7">
        <w:rPr>
          <w:rStyle w:val="Voetnootmarkering"/>
        </w:rPr>
        <w:footnoteRef/>
      </w:r>
      <w:r w:rsidRPr="001F0836">
        <w:rPr>
          <w:lang w:val="en-US"/>
        </w:rPr>
        <w:t xml:space="preserve"> Ebd.</w:t>
      </w:r>
    </w:p>
  </w:footnote>
  <w:footnote w:id="88">
    <w:p w14:paraId="7EFC7FEF" w14:textId="77777777" w:rsidR="005D5A35" w:rsidRPr="00B44350" w:rsidRDefault="005D5A35" w:rsidP="003A2D3D">
      <w:pPr>
        <w:pStyle w:val="Voetnoottekst"/>
        <w:rPr>
          <w:lang w:val="en-US"/>
        </w:rPr>
      </w:pPr>
      <w:r>
        <w:rPr>
          <w:rStyle w:val="Voetnootmarkering"/>
        </w:rPr>
        <w:footnoteRef/>
      </w:r>
      <w:r w:rsidRPr="00B44350">
        <w:rPr>
          <w:lang w:val="en-US"/>
        </w:rPr>
        <w:t xml:space="preserve"> Jagger, S. 93.</w:t>
      </w:r>
    </w:p>
  </w:footnote>
  <w:footnote w:id="89">
    <w:p w14:paraId="37C4EDA9" w14:textId="77777777" w:rsidR="005D5A35" w:rsidRPr="00111EEE" w:rsidRDefault="005D5A35" w:rsidP="003A2D3D">
      <w:pPr>
        <w:pStyle w:val="Voetnoottekst"/>
        <w:rPr>
          <w:lang w:val="en-US"/>
        </w:rPr>
      </w:pPr>
      <w:r>
        <w:rPr>
          <w:rStyle w:val="Voetnootmarkering"/>
        </w:rPr>
        <w:footnoteRef/>
      </w:r>
      <w:r w:rsidRPr="00111EEE">
        <w:rPr>
          <w:lang w:val="en-US"/>
        </w:rPr>
        <w:t xml:space="preserve"> Judith Butler: </w:t>
      </w:r>
      <w:r w:rsidRPr="00111EEE">
        <w:rPr>
          <w:i/>
          <w:lang w:val="en-US"/>
        </w:rPr>
        <w:t xml:space="preserve">The Psychic Life of Power. Theories in Subjection. </w:t>
      </w:r>
      <w:r w:rsidRPr="00111EEE">
        <w:rPr>
          <w:lang w:val="en-US"/>
        </w:rPr>
        <w:t xml:space="preserve">Stanford: Stanford University Press 1997, S. </w:t>
      </w:r>
      <w:r>
        <w:rPr>
          <w:lang w:val="en-US"/>
        </w:rPr>
        <w:t>10-11.</w:t>
      </w:r>
    </w:p>
  </w:footnote>
  <w:footnote w:id="90">
    <w:p w14:paraId="7EC4A53D" w14:textId="0CC0BA37" w:rsidR="005D5A35" w:rsidRPr="008C36EC" w:rsidRDefault="005D5A35">
      <w:pPr>
        <w:pStyle w:val="Voetnoottekst"/>
        <w:rPr>
          <w:lang w:val="en-US"/>
        </w:rPr>
      </w:pPr>
      <w:r>
        <w:rPr>
          <w:rStyle w:val="Voetnootmarkering"/>
        </w:rPr>
        <w:footnoteRef/>
      </w:r>
      <w:r w:rsidRPr="008C36EC">
        <w:rPr>
          <w:lang w:val="en-US"/>
        </w:rPr>
        <w:t xml:space="preserve"> Müller, S. 9.</w:t>
      </w:r>
    </w:p>
  </w:footnote>
  <w:footnote w:id="91">
    <w:p w14:paraId="78B25237" w14:textId="455DDF80" w:rsidR="005D5A35" w:rsidRPr="004E1B2A" w:rsidRDefault="005D5A35" w:rsidP="006657B4">
      <w:pPr>
        <w:pStyle w:val="Voetnoottekst"/>
        <w:rPr>
          <w:lang w:val="en-US"/>
        </w:rPr>
      </w:pPr>
      <w:r>
        <w:rPr>
          <w:rStyle w:val="Voetnootmarkering"/>
        </w:rPr>
        <w:footnoteRef/>
      </w:r>
      <w:r w:rsidRPr="004E1B2A">
        <w:rPr>
          <w:lang w:val="en-US"/>
        </w:rPr>
        <w:t xml:space="preserve"> Müller, S. 13.</w:t>
      </w:r>
    </w:p>
  </w:footnote>
  <w:footnote w:id="92">
    <w:p w14:paraId="104C97C9" w14:textId="12181F6B" w:rsidR="005D5A35" w:rsidRPr="006657B4" w:rsidRDefault="005D5A35" w:rsidP="006657B4">
      <w:pPr>
        <w:spacing w:line="240" w:lineRule="auto"/>
        <w:ind w:left="567" w:hanging="567"/>
        <w:rPr>
          <w:lang w:val="en-US"/>
        </w:rPr>
      </w:pPr>
      <w:r w:rsidRPr="006657B4">
        <w:rPr>
          <w:rStyle w:val="Voetnootmarkering"/>
          <w:sz w:val="20"/>
        </w:rPr>
        <w:footnoteRef/>
      </w:r>
      <w:r w:rsidRPr="006657B4">
        <w:rPr>
          <w:sz w:val="20"/>
          <w:lang w:val="en-US"/>
        </w:rPr>
        <w:t xml:space="preserve"> Judith</w:t>
      </w:r>
      <w:r>
        <w:rPr>
          <w:sz w:val="20"/>
          <w:lang w:val="en-US"/>
        </w:rPr>
        <w:t xml:space="preserve"> Butler</w:t>
      </w:r>
      <w:r w:rsidRPr="006657B4">
        <w:rPr>
          <w:sz w:val="20"/>
          <w:lang w:val="en-US"/>
        </w:rPr>
        <w:t xml:space="preserve">: </w:t>
      </w:r>
      <w:r w:rsidRPr="006657B4">
        <w:rPr>
          <w:i/>
          <w:sz w:val="20"/>
          <w:lang w:val="en-US"/>
        </w:rPr>
        <w:t xml:space="preserve">Excitable Speech. </w:t>
      </w:r>
      <w:r w:rsidRPr="006657B4">
        <w:rPr>
          <w:sz w:val="20"/>
          <w:lang w:val="en-US"/>
        </w:rPr>
        <w:t>New York: Routledge 1997</w:t>
      </w:r>
      <w:r>
        <w:rPr>
          <w:sz w:val="20"/>
          <w:lang w:val="en-US"/>
        </w:rPr>
        <w:t>, S. 2.</w:t>
      </w:r>
    </w:p>
  </w:footnote>
  <w:footnote w:id="93">
    <w:p w14:paraId="06F9EF3C" w14:textId="26586B01" w:rsidR="005D5A35" w:rsidRPr="004E1B2A" w:rsidRDefault="005D5A35">
      <w:pPr>
        <w:pStyle w:val="Voetnoottekst"/>
        <w:rPr>
          <w:lang w:val="de-DE"/>
        </w:rPr>
      </w:pPr>
      <w:r>
        <w:rPr>
          <w:rStyle w:val="Voetnootmarkering"/>
        </w:rPr>
        <w:footnoteRef/>
      </w:r>
      <w:r w:rsidRPr="004E1B2A">
        <w:rPr>
          <w:lang w:val="de-DE"/>
        </w:rPr>
        <w:t xml:space="preserve"> </w:t>
      </w:r>
      <w:r>
        <w:rPr>
          <w:lang w:val="de-DE"/>
        </w:rPr>
        <w:t>Müller, S. 14.</w:t>
      </w:r>
    </w:p>
  </w:footnote>
  <w:footnote w:id="94">
    <w:p w14:paraId="1B8BF695" w14:textId="4D531343" w:rsidR="005D5A35" w:rsidRPr="004E1B2A" w:rsidRDefault="005D5A35">
      <w:pPr>
        <w:pStyle w:val="Voetnoottekst"/>
        <w:rPr>
          <w:lang w:val="de-DE"/>
        </w:rPr>
      </w:pPr>
      <w:r>
        <w:rPr>
          <w:rStyle w:val="Voetnootmarkering"/>
        </w:rPr>
        <w:footnoteRef/>
      </w:r>
      <w:r w:rsidRPr="004E1B2A">
        <w:rPr>
          <w:lang w:val="de-DE"/>
        </w:rPr>
        <w:t xml:space="preserve"> </w:t>
      </w:r>
      <w:r>
        <w:rPr>
          <w:lang w:val="de-DE"/>
        </w:rPr>
        <w:t>Müller, S. 14-15.</w:t>
      </w:r>
    </w:p>
  </w:footnote>
  <w:footnote w:id="95">
    <w:p w14:paraId="447917DA" w14:textId="33029EB8" w:rsidR="005D5A35" w:rsidRPr="004042E5" w:rsidRDefault="005D5A35">
      <w:pPr>
        <w:pStyle w:val="Voetnoottekst"/>
        <w:rPr>
          <w:lang w:val="de-DE"/>
        </w:rPr>
      </w:pPr>
      <w:r>
        <w:rPr>
          <w:rStyle w:val="Voetnootmarkering"/>
        </w:rPr>
        <w:footnoteRef/>
      </w:r>
      <w:r w:rsidRPr="004042E5">
        <w:rPr>
          <w:lang w:val="de-DE"/>
        </w:rPr>
        <w:t xml:space="preserve"> </w:t>
      </w:r>
      <w:r>
        <w:rPr>
          <w:lang w:val="de-DE"/>
        </w:rPr>
        <w:t>Müller, S. 16.</w:t>
      </w:r>
    </w:p>
  </w:footnote>
  <w:footnote w:id="96">
    <w:p w14:paraId="6946B413" w14:textId="77777777" w:rsidR="005D5A35" w:rsidRPr="001975A7" w:rsidRDefault="005D5A35" w:rsidP="007A074D">
      <w:pPr>
        <w:pStyle w:val="Voetnoottekst"/>
        <w:rPr>
          <w:lang w:val="de-DE"/>
        </w:rPr>
      </w:pPr>
      <w:r>
        <w:rPr>
          <w:rStyle w:val="Voetnootmarkering"/>
        </w:rPr>
        <w:footnoteRef/>
      </w:r>
      <w:r w:rsidRPr="001975A7">
        <w:rPr>
          <w:lang w:val="de-DE"/>
        </w:rPr>
        <w:t xml:space="preserve"> </w:t>
      </w:r>
      <w:r>
        <w:rPr>
          <w:lang w:val="de-DE"/>
        </w:rPr>
        <w:t>Vgl. Müller, S. 7.</w:t>
      </w:r>
    </w:p>
  </w:footnote>
  <w:footnote w:id="97">
    <w:p w14:paraId="436BE890" w14:textId="77777777" w:rsidR="005D5A35" w:rsidRPr="00783CF1" w:rsidRDefault="005D5A35" w:rsidP="006657B4">
      <w:pPr>
        <w:pStyle w:val="Voetnoottekst"/>
        <w:rPr>
          <w:lang w:val="en-GB"/>
        </w:rPr>
      </w:pPr>
      <w:r>
        <w:rPr>
          <w:rStyle w:val="Voetnootmarkering"/>
        </w:rPr>
        <w:footnoteRef/>
      </w:r>
      <w:r w:rsidRPr="004E1B2A">
        <w:rPr>
          <w:lang w:val="de-DE"/>
        </w:rPr>
        <w:t xml:space="preserve"> Laut den Zahlen der Statistical Office of the Republic of Serbia lebten 2011 253.899 Ungarn in Serbien, wovon 251.136 (98,91%) in der Vojvodina. </w:t>
      </w:r>
      <w:r>
        <w:rPr>
          <w:lang w:val="de-DE"/>
        </w:rPr>
        <w:t xml:space="preserve">Insgesamt leben in der Vojvodina bzw. Serbien </w:t>
      </w:r>
      <w:r w:rsidRPr="000B0F55">
        <w:rPr>
          <w:lang w:val="de-DE"/>
        </w:rPr>
        <w:t>1</w:t>
      </w:r>
      <w:r>
        <w:rPr>
          <w:lang w:val="de-DE"/>
        </w:rPr>
        <w:t>.</w:t>
      </w:r>
      <w:r w:rsidRPr="000B0F55">
        <w:rPr>
          <w:lang w:val="de-DE"/>
        </w:rPr>
        <w:t>931</w:t>
      </w:r>
      <w:r>
        <w:rPr>
          <w:lang w:val="de-DE"/>
        </w:rPr>
        <w:t>.</w:t>
      </w:r>
      <w:r w:rsidRPr="000B0F55">
        <w:rPr>
          <w:lang w:val="de-DE"/>
        </w:rPr>
        <w:t>809</w:t>
      </w:r>
      <w:r>
        <w:rPr>
          <w:lang w:val="de-DE"/>
        </w:rPr>
        <w:t xml:space="preserve"> bzw. </w:t>
      </w:r>
      <w:r w:rsidRPr="00783CF1">
        <w:rPr>
          <w:lang w:val="de-DE"/>
        </w:rPr>
        <w:t>7.186.862</w:t>
      </w:r>
      <w:r>
        <w:rPr>
          <w:lang w:val="de-DE"/>
        </w:rPr>
        <w:t xml:space="preserve"> Menschen</w:t>
      </w:r>
      <w:r w:rsidRPr="00783CF1">
        <w:rPr>
          <w:lang w:val="de-DE"/>
        </w:rPr>
        <w:t>, was dazu führt, dass die ungarische Bev</w:t>
      </w:r>
      <w:r>
        <w:rPr>
          <w:lang w:val="de-DE"/>
        </w:rPr>
        <w:t xml:space="preserve">ölkerung etwa 13% bzw. 3,53% der insgesamte Bevölkerung von der Vojvodina bzw. Serbien ausmacht. </w:t>
      </w:r>
      <w:r>
        <w:rPr>
          <w:lang w:val="en-GB"/>
        </w:rPr>
        <w:t>(</w:t>
      </w:r>
      <w:r w:rsidRPr="002A4E0D">
        <w:rPr>
          <w:lang w:val="en-GB"/>
        </w:rPr>
        <w:t>„</w:t>
      </w:r>
      <w:r w:rsidRPr="00783CF1">
        <w:rPr>
          <w:lang w:val="en-GB"/>
        </w:rPr>
        <w:t>2011 Census of Population, Households and Dwellings in the Republic of Ser</w:t>
      </w:r>
      <w:r>
        <w:rPr>
          <w:lang w:val="en-GB"/>
        </w:rPr>
        <w:t>bia</w:t>
      </w:r>
      <w:r w:rsidRPr="002A4E0D">
        <w:rPr>
          <w:lang w:val="en-GB"/>
        </w:rPr>
        <w:t>“,</w:t>
      </w:r>
      <w:r>
        <w:rPr>
          <w:lang w:val="en-GB"/>
        </w:rPr>
        <w:t xml:space="preserve"> S.</w:t>
      </w:r>
      <w:r w:rsidRPr="00783CF1">
        <w:rPr>
          <w:lang w:val="en-GB"/>
        </w:rPr>
        <w:t xml:space="preserve"> 20.</w:t>
      </w:r>
      <w:r>
        <w:rPr>
          <w:lang w:val="en-GB"/>
        </w:rPr>
        <w:t>)</w:t>
      </w:r>
    </w:p>
  </w:footnote>
  <w:footnote w:id="98">
    <w:p w14:paraId="1DC5B99A" w14:textId="5F6AAE16" w:rsidR="005D5A35" w:rsidRPr="00AC233D" w:rsidRDefault="005D5A35" w:rsidP="00B865BD">
      <w:pPr>
        <w:pStyle w:val="Voetnoottekst"/>
      </w:pPr>
      <w:r>
        <w:rPr>
          <w:rStyle w:val="Voetnootmarkering"/>
        </w:rPr>
        <w:footnoteRef/>
      </w:r>
      <w:r w:rsidRPr="00AC233D">
        <w:t xml:space="preserve"> Vgl. Van der Gucht, S. 18.</w:t>
      </w:r>
    </w:p>
  </w:footnote>
  <w:footnote w:id="99">
    <w:p w14:paraId="456E01E4" w14:textId="6CAF4125" w:rsidR="005D5A35" w:rsidRPr="00225896" w:rsidRDefault="005D5A35" w:rsidP="00B865BD">
      <w:pPr>
        <w:pStyle w:val="Voetnoottekst"/>
        <w:rPr>
          <w:lang w:val="de-DE"/>
        </w:rPr>
      </w:pPr>
      <w:r>
        <w:rPr>
          <w:rStyle w:val="Voetnootmarkering"/>
        </w:rPr>
        <w:footnoteRef/>
      </w:r>
      <w:r w:rsidRPr="00225896">
        <w:rPr>
          <w:lang w:val="de-DE"/>
        </w:rPr>
        <w:t xml:space="preserve"> </w:t>
      </w:r>
      <w:r>
        <w:rPr>
          <w:lang w:val="de-DE"/>
        </w:rPr>
        <w:t xml:space="preserve">Vgl. </w:t>
      </w:r>
      <w:r w:rsidRPr="00225896">
        <w:rPr>
          <w:lang w:val="de-DE"/>
        </w:rPr>
        <w:t xml:space="preserve">Marie-Janine Calic: </w:t>
      </w:r>
      <w:r w:rsidRPr="00225896">
        <w:rPr>
          <w:i/>
          <w:lang w:val="de-DE"/>
        </w:rPr>
        <w:t>Kleine Geschichte Jugoslawiens.</w:t>
      </w:r>
      <w:r>
        <w:rPr>
          <w:i/>
          <w:lang w:val="de-DE"/>
        </w:rPr>
        <w:t xml:space="preserve"> </w:t>
      </w:r>
      <w:r w:rsidRPr="00225896">
        <w:rPr>
          <w:lang w:val="de-DE"/>
        </w:rPr>
        <w:t xml:space="preserve">Aus Politik und </w:t>
      </w:r>
      <w:r>
        <w:rPr>
          <w:lang w:val="de-DE"/>
        </w:rPr>
        <w:t xml:space="preserve">Zeitgeschichte: Bundeszentrale für politische Bildung. 29.09.2017. </w:t>
      </w:r>
      <w:hyperlink r:id="rId8" w:history="1">
        <w:r w:rsidRPr="00E243DC">
          <w:rPr>
            <w:rStyle w:val="Hyperlink"/>
            <w:lang w:val="de-DE"/>
          </w:rPr>
          <w:t>http://www.bpb.de/apuz/256921/kleine-geschichte-jugoslawiens</w:t>
        </w:r>
      </w:hyperlink>
      <w:r>
        <w:rPr>
          <w:lang w:val="de-DE"/>
        </w:rPr>
        <w:t xml:space="preserve"> (abgerufen am 25.12.2017). Alle weiteren historischen Informationen stammen aus dieser Quelle.</w:t>
      </w:r>
    </w:p>
  </w:footnote>
  <w:footnote w:id="100">
    <w:p w14:paraId="4D010E64" w14:textId="71C73F64" w:rsidR="005D5A35" w:rsidRPr="002810D7" w:rsidRDefault="005D5A35">
      <w:pPr>
        <w:pStyle w:val="Voetnoottekst"/>
        <w:rPr>
          <w:lang w:val="de-DE"/>
        </w:rPr>
      </w:pPr>
      <w:r>
        <w:rPr>
          <w:rStyle w:val="Voetnootmarkering"/>
        </w:rPr>
        <w:footnoteRef/>
      </w:r>
      <w:r>
        <w:rPr>
          <w:lang w:val="de-DE"/>
        </w:rPr>
        <w:t xml:space="preserve"> Vgl.</w:t>
      </w:r>
      <w:r w:rsidRPr="007A1F48">
        <w:rPr>
          <w:lang w:val="de-DE"/>
        </w:rPr>
        <w:t xml:space="preserve"> Karl Kaser: </w:t>
      </w:r>
      <w:r w:rsidRPr="007A1F48">
        <w:rPr>
          <w:i/>
          <w:lang w:val="de-DE"/>
        </w:rPr>
        <w:t>Balkan und Naher Osten.</w:t>
      </w:r>
      <w:r>
        <w:rPr>
          <w:i/>
          <w:lang w:val="de-DE"/>
        </w:rPr>
        <w:t xml:space="preserve"> Einführung in eine gemeinsame Geschichte. </w:t>
      </w:r>
      <w:r w:rsidRPr="002810D7">
        <w:rPr>
          <w:lang w:val="de-DE"/>
        </w:rPr>
        <w:t>Wien: Böhlau 2011, S. 363.</w:t>
      </w:r>
    </w:p>
  </w:footnote>
  <w:footnote w:id="101">
    <w:p w14:paraId="284B6378" w14:textId="77777777" w:rsidR="005D5A35" w:rsidRPr="002810D7" w:rsidRDefault="005D5A35" w:rsidP="00B865BD">
      <w:pPr>
        <w:pStyle w:val="Voetnoottekst"/>
        <w:rPr>
          <w:lang w:val="de-DE"/>
        </w:rPr>
      </w:pPr>
      <w:r>
        <w:rPr>
          <w:rStyle w:val="Voetnootmarkering"/>
        </w:rPr>
        <w:footnoteRef/>
      </w:r>
      <w:r w:rsidRPr="002810D7">
        <w:rPr>
          <w:lang w:val="de-DE"/>
        </w:rPr>
        <w:t xml:space="preserve"> Calic, S. 2.</w:t>
      </w:r>
    </w:p>
  </w:footnote>
  <w:footnote w:id="102">
    <w:p w14:paraId="1CE58262" w14:textId="5B24EE58" w:rsidR="005D5A35" w:rsidRPr="002810D7" w:rsidRDefault="005D5A35">
      <w:pPr>
        <w:pStyle w:val="Voetnoottekst"/>
        <w:rPr>
          <w:lang w:val="de-DE"/>
        </w:rPr>
      </w:pPr>
      <w:r>
        <w:rPr>
          <w:rStyle w:val="Voetnootmarkering"/>
        </w:rPr>
        <w:footnoteRef/>
      </w:r>
      <w:r w:rsidRPr="002810D7">
        <w:rPr>
          <w:lang w:val="de-DE"/>
        </w:rPr>
        <w:t xml:space="preserve"> Bosniaken sind bosnische Muslime.</w:t>
      </w:r>
    </w:p>
  </w:footnote>
  <w:footnote w:id="103">
    <w:p w14:paraId="6F33ABB0" w14:textId="77777777" w:rsidR="005D5A35" w:rsidRPr="002810D7" w:rsidRDefault="005D5A35" w:rsidP="00B865BD">
      <w:pPr>
        <w:pStyle w:val="Voetnoottekst"/>
        <w:rPr>
          <w:lang w:val="de-DE"/>
        </w:rPr>
      </w:pPr>
      <w:r>
        <w:rPr>
          <w:rStyle w:val="Voetnootmarkering"/>
        </w:rPr>
        <w:footnoteRef/>
      </w:r>
      <w:r w:rsidRPr="002810D7">
        <w:rPr>
          <w:lang w:val="de-DE"/>
        </w:rPr>
        <w:t xml:space="preserve"> Calic, S. 2.</w:t>
      </w:r>
    </w:p>
  </w:footnote>
  <w:footnote w:id="104">
    <w:p w14:paraId="2C4E6883" w14:textId="79B49B59" w:rsidR="005D5A35" w:rsidRPr="00187824" w:rsidRDefault="005D5A35" w:rsidP="00B865BD">
      <w:pPr>
        <w:pStyle w:val="Voetnoottekst"/>
        <w:rPr>
          <w:lang w:val="en-GB"/>
        </w:rPr>
      </w:pPr>
      <w:r>
        <w:rPr>
          <w:rStyle w:val="Voetnootmarkering"/>
        </w:rPr>
        <w:footnoteRef/>
      </w:r>
      <w:r w:rsidRPr="00187824">
        <w:rPr>
          <w:lang w:val="en-GB"/>
        </w:rPr>
        <w:t xml:space="preserve"> </w:t>
      </w:r>
      <w:r>
        <w:rPr>
          <w:lang w:val="en-GB"/>
        </w:rPr>
        <w:t>Ebd.</w:t>
      </w:r>
      <w:r w:rsidRPr="00187824">
        <w:rPr>
          <w:lang w:val="en-GB"/>
        </w:rPr>
        <w:t xml:space="preserve"> </w:t>
      </w:r>
    </w:p>
  </w:footnote>
  <w:footnote w:id="105">
    <w:p w14:paraId="570C40E1" w14:textId="4A8FFBB5" w:rsidR="005D5A35" w:rsidRPr="00187824" w:rsidRDefault="005D5A35" w:rsidP="00B865BD">
      <w:pPr>
        <w:pStyle w:val="Voetnoottekst"/>
        <w:rPr>
          <w:lang w:val="en-GB"/>
        </w:rPr>
      </w:pPr>
      <w:r>
        <w:rPr>
          <w:rStyle w:val="Voetnootmarkering"/>
        </w:rPr>
        <w:footnoteRef/>
      </w:r>
      <w:r w:rsidRPr="00187824">
        <w:rPr>
          <w:lang w:val="en-GB"/>
        </w:rPr>
        <w:t xml:space="preserve"> </w:t>
      </w:r>
      <w:r>
        <w:rPr>
          <w:lang w:val="en-GB"/>
        </w:rPr>
        <w:t>Ebd.</w:t>
      </w:r>
    </w:p>
  </w:footnote>
  <w:footnote w:id="106">
    <w:p w14:paraId="0C21E909" w14:textId="77777777" w:rsidR="005D5A35" w:rsidRPr="00187824" w:rsidRDefault="005D5A35" w:rsidP="00B865BD">
      <w:pPr>
        <w:pStyle w:val="Voetnoottekst"/>
        <w:rPr>
          <w:lang w:val="en-GB"/>
        </w:rPr>
      </w:pPr>
      <w:r>
        <w:rPr>
          <w:rStyle w:val="Voetnootmarkering"/>
        </w:rPr>
        <w:footnoteRef/>
      </w:r>
      <w:r w:rsidRPr="00187824">
        <w:rPr>
          <w:lang w:val="en-GB"/>
        </w:rPr>
        <w:t xml:space="preserve"> Calic, S. 3.</w:t>
      </w:r>
    </w:p>
  </w:footnote>
  <w:footnote w:id="107">
    <w:p w14:paraId="0BF5A3F6" w14:textId="531D1325" w:rsidR="005D5A35" w:rsidRPr="00187824" w:rsidRDefault="005D5A35" w:rsidP="00B865BD">
      <w:pPr>
        <w:pStyle w:val="Voetnoottekst"/>
        <w:rPr>
          <w:lang w:val="en-GB"/>
        </w:rPr>
      </w:pPr>
      <w:r>
        <w:rPr>
          <w:rStyle w:val="Voetnootmarkering"/>
        </w:rPr>
        <w:footnoteRef/>
      </w:r>
      <w:r w:rsidRPr="00187824">
        <w:rPr>
          <w:lang w:val="en-GB"/>
        </w:rPr>
        <w:t xml:space="preserve"> </w:t>
      </w:r>
      <w:r>
        <w:rPr>
          <w:lang w:val="en-GB"/>
        </w:rPr>
        <w:t>Ebd.</w:t>
      </w:r>
    </w:p>
  </w:footnote>
  <w:footnote w:id="108">
    <w:p w14:paraId="699FD5DA" w14:textId="77777777" w:rsidR="005D5A35" w:rsidRPr="002810D7" w:rsidRDefault="005D5A35" w:rsidP="00B865BD">
      <w:pPr>
        <w:pStyle w:val="Voetnoottekst"/>
        <w:rPr>
          <w:lang w:val="es-ES"/>
        </w:rPr>
      </w:pPr>
      <w:r>
        <w:rPr>
          <w:rStyle w:val="Voetnootmarkering"/>
        </w:rPr>
        <w:footnoteRef/>
      </w:r>
      <w:r w:rsidRPr="002810D7">
        <w:rPr>
          <w:lang w:val="es-ES"/>
        </w:rPr>
        <w:t xml:space="preserve"> Calic, S. 4. </w:t>
      </w:r>
    </w:p>
  </w:footnote>
  <w:footnote w:id="109">
    <w:p w14:paraId="33DC02F5" w14:textId="68806AE7" w:rsidR="005D5A35" w:rsidRPr="002810D7" w:rsidRDefault="005D5A35" w:rsidP="00B865BD">
      <w:pPr>
        <w:pStyle w:val="Voetnoottekst"/>
        <w:rPr>
          <w:lang w:val="es-ES"/>
        </w:rPr>
      </w:pPr>
      <w:r>
        <w:rPr>
          <w:rStyle w:val="Voetnootmarkering"/>
        </w:rPr>
        <w:footnoteRef/>
      </w:r>
      <w:r w:rsidRPr="002810D7">
        <w:rPr>
          <w:lang w:val="es-ES"/>
        </w:rPr>
        <w:t xml:space="preserve"> Vgl. Calic, S. 5. </w:t>
      </w:r>
    </w:p>
  </w:footnote>
  <w:footnote w:id="110">
    <w:p w14:paraId="1A6A4706" w14:textId="77777777" w:rsidR="005D5A35" w:rsidRPr="002810D7" w:rsidRDefault="005D5A35" w:rsidP="00B865BD">
      <w:pPr>
        <w:pStyle w:val="Voetnoottekst"/>
        <w:rPr>
          <w:lang w:val="es-ES"/>
        </w:rPr>
      </w:pPr>
      <w:r>
        <w:rPr>
          <w:rStyle w:val="Voetnootmarkering"/>
        </w:rPr>
        <w:footnoteRef/>
      </w:r>
      <w:r w:rsidRPr="002810D7">
        <w:rPr>
          <w:lang w:val="es-ES"/>
        </w:rPr>
        <w:t xml:space="preserve"> Calic, S. 5.</w:t>
      </w:r>
    </w:p>
  </w:footnote>
  <w:footnote w:id="111">
    <w:p w14:paraId="7A3378BC" w14:textId="05B215DF" w:rsidR="005D5A35" w:rsidRPr="001F0836" w:rsidRDefault="005D5A35" w:rsidP="00B865BD">
      <w:pPr>
        <w:pStyle w:val="Voetnoottekst"/>
        <w:rPr>
          <w:lang w:val="es-ES"/>
        </w:rPr>
      </w:pPr>
      <w:r>
        <w:rPr>
          <w:rStyle w:val="Voetnootmarkering"/>
        </w:rPr>
        <w:footnoteRef/>
      </w:r>
      <w:r w:rsidRPr="001F0836">
        <w:rPr>
          <w:lang w:val="es-ES"/>
        </w:rPr>
        <w:t xml:space="preserve"> Vgl. ebd. </w:t>
      </w:r>
    </w:p>
  </w:footnote>
  <w:footnote w:id="112">
    <w:p w14:paraId="23ABB00C" w14:textId="006D6962" w:rsidR="005D5A35" w:rsidRPr="001F0836" w:rsidRDefault="005D5A35" w:rsidP="00B865BD">
      <w:pPr>
        <w:pStyle w:val="Voetnoottekst"/>
        <w:rPr>
          <w:lang w:val="es-ES"/>
        </w:rPr>
      </w:pPr>
      <w:r>
        <w:rPr>
          <w:rStyle w:val="Voetnootmarkering"/>
        </w:rPr>
        <w:footnoteRef/>
      </w:r>
      <w:r w:rsidRPr="001F0836">
        <w:rPr>
          <w:lang w:val="es-ES"/>
        </w:rPr>
        <w:t xml:space="preserve"> Vgl. ebd.</w:t>
      </w:r>
    </w:p>
  </w:footnote>
  <w:footnote w:id="113">
    <w:p w14:paraId="78D1E550" w14:textId="5A35B209" w:rsidR="005D5A35" w:rsidRPr="005943B3" w:rsidRDefault="005D5A35">
      <w:pPr>
        <w:pStyle w:val="Voetnoottekst"/>
        <w:rPr>
          <w:lang w:val="de-DE"/>
        </w:rPr>
      </w:pPr>
      <w:r>
        <w:rPr>
          <w:rStyle w:val="Voetnootmarkering"/>
        </w:rPr>
        <w:footnoteRef/>
      </w:r>
      <w:r w:rsidRPr="005943B3">
        <w:rPr>
          <w:lang w:val="de-DE"/>
        </w:rPr>
        <w:t xml:space="preserve"> </w:t>
      </w:r>
      <w:r>
        <w:rPr>
          <w:lang w:val="de-DE"/>
        </w:rPr>
        <w:t>Vgl. ebd.</w:t>
      </w:r>
    </w:p>
  </w:footnote>
  <w:footnote w:id="114">
    <w:p w14:paraId="0C8D77A2" w14:textId="2C0B08B7" w:rsidR="005D5A35" w:rsidRPr="002F7445" w:rsidRDefault="005D5A35" w:rsidP="00B865BD">
      <w:pPr>
        <w:pStyle w:val="Voetnoottekst"/>
        <w:rPr>
          <w:lang w:val="de-DE"/>
        </w:rPr>
      </w:pPr>
      <w:r>
        <w:rPr>
          <w:rStyle w:val="Voetnootmarkering"/>
        </w:rPr>
        <w:footnoteRef/>
      </w:r>
      <w:r w:rsidRPr="002F7445">
        <w:rPr>
          <w:lang w:val="de-DE"/>
        </w:rPr>
        <w:t xml:space="preserve"> </w:t>
      </w:r>
      <w:r>
        <w:rPr>
          <w:lang w:val="de-DE"/>
        </w:rPr>
        <w:t xml:space="preserve">Vgl. </w:t>
      </w:r>
      <w:r w:rsidRPr="0044667C">
        <w:rPr>
          <w:lang w:val="de-DE"/>
        </w:rPr>
        <w:t>T</w:t>
      </w:r>
      <w:r>
        <w:rPr>
          <w:lang w:val="de-DE"/>
        </w:rPr>
        <w:t xml:space="preserve">ihomir Popovic: „Serbien zwischen Ost und West – Kulturgeschichtliche Spannungsursachen“. In: </w:t>
      </w:r>
      <w:r>
        <w:rPr>
          <w:i/>
          <w:lang w:val="de-DE"/>
        </w:rPr>
        <w:t xml:space="preserve">Auslandsinformationen der Konrad-Adenauer-Stiftung </w:t>
      </w:r>
      <w:r>
        <w:rPr>
          <w:lang w:val="de-DE"/>
        </w:rPr>
        <w:t>5 (2005), S. 16.</w:t>
      </w:r>
    </w:p>
  </w:footnote>
  <w:footnote w:id="115">
    <w:p w14:paraId="07B75E88" w14:textId="0F4F7544" w:rsidR="005D5A35" w:rsidRPr="00E47993" w:rsidRDefault="005D5A35" w:rsidP="005A1B9F">
      <w:pPr>
        <w:pStyle w:val="Voetnoottekst"/>
        <w:jc w:val="left"/>
        <w:rPr>
          <w:lang w:val="de-DE"/>
        </w:rPr>
      </w:pPr>
      <w:r>
        <w:rPr>
          <w:rStyle w:val="Voetnootmarkering"/>
        </w:rPr>
        <w:footnoteRef/>
      </w:r>
      <w:r w:rsidRPr="002F7445">
        <w:rPr>
          <w:lang w:val="de-DE"/>
        </w:rPr>
        <w:t xml:space="preserve"> </w:t>
      </w:r>
      <w:r>
        <w:rPr>
          <w:lang w:val="de-DE"/>
        </w:rPr>
        <w:t xml:space="preserve">Vgl. </w:t>
      </w:r>
      <w:r w:rsidRPr="002F7445">
        <w:rPr>
          <w:i/>
          <w:lang w:val="de-DE"/>
        </w:rPr>
        <w:t xml:space="preserve">Vorderingen in EU-toetredingsgesprekken Montenegro en Servië. </w:t>
      </w:r>
      <w:r w:rsidRPr="00B865BD">
        <w:rPr>
          <w:lang w:val="de-DE"/>
        </w:rPr>
        <w:t xml:space="preserve">Parlementair Documentatie Centrum Universiteit Leiden. </w:t>
      </w:r>
      <w:r>
        <w:rPr>
          <w:lang w:val="de-DE"/>
        </w:rPr>
        <w:t xml:space="preserve">12.12.2017. </w:t>
      </w:r>
      <w:hyperlink r:id="rId9" w:history="1">
        <w:r w:rsidRPr="00E47993">
          <w:rPr>
            <w:rStyle w:val="Hyperlink"/>
            <w:lang w:val="de-DE"/>
          </w:rPr>
          <w:t>https://www.europa-nu.nl/id/vkk3e8z7soxe/nieuws/vorderingen_in_eu_toetredingsgesprekken?ctx=vh9if1ear39f&amp;tab=0</w:t>
        </w:r>
      </w:hyperlink>
      <w:r w:rsidRPr="00E47993">
        <w:rPr>
          <w:lang w:val="de-DE"/>
        </w:rPr>
        <w:t xml:space="preserve"> (abgerufen am 04.01.2018).</w:t>
      </w:r>
    </w:p>
  </w:footnote>
  <w:footnote w:id="116">
    <w:p w14:paraId="20B22FDF" w14:textId="77777777" w:rsidR="005D5A35" w:rsidRPr="009315D6" w:rsidRDefault="005D5A35" w:rsidP="00B865BD">
      <w:pPr>
        <w:pStyle w:val="Voetnoottekst"/>
        <w:rPr>
          <w:lang w:val="de-DE"/>
        </w:rPr>
      </w:pPr>
      <w:r>
        <w:rPr>
          <w:rStyle w:val="Voetnootmarkering"/>
        </w:rPr>
        <w:footnoteRef/>
      </w:r>
      <w:r w:rsidRPr="009315D6">
        <w:rPr>
          <w:lang w:val="de-DE"/>
        </w:rPr>
        <w:t xml:space="preserve"> Popovic, S. 7.</w:t>
      </w:r>
    </w:p>
  </w:footnote>
  <w:footnote w:id="117">
    <w:p w14:paraId="1D6CD465" w14:textId="77777777" w:rsidR="005D5A35" w:rsidRPr="009315D6" w:rsidRDefault="005D5A35" w:rsidP="00B865BD">
      <w:pPr>
        <w:pStyle w:val="Voetnoottekst"/>
        <w:rPr>
          <w:lang w:val="de-DE"/>
        </w:rPr>
      </w:pPr>
      <w:r>
        <w:rPr>
          <w:rStyle w:val="Voetnootmarkering"/>
        </w:rPr>
        <w:footnoteRef/>
      </w:r>
      <w:r w:rsidRPr="009315D6">
        <w:rPr>
          <w:lang w:val="de-DE"/>
        </w:rPr>
        <w:t xml:space="preserve"> Popovic, S. 8.</w:t>
      </w:r>
    </w:p>
  </w:footnote>
  <w:footnote w:id="118">
    <w:p w14:paraId="731CE45B" w14:textId="77777777" w:rsidR="005D5A35" w:rsidRPr="009315D6" w:rsidRDefault="005D5A35" w:rsidP="00B865BD">
      <w:pPr>
        <w:pStyle w:val="Voetnoottekst"/>
        <w:rPr>
          <w:lang w:val="de-DE"/>
        </w:rPr>
      </w:pPr>
      <w:r>
        <w:rPr>
          <w:rStyle w:val="Voetnootmarkering"/>
        </w:rPr>
        <w:footnoteRef/>
      </w:r>
      <w:r w:rsidRPr="009315D6">
        <w:rPr>
          <w:lang w:val="de-DE"/>
        </w:rPr>
        <w:t xml:space="preserve"> Cfr. supra. </w:t>
      </w:r>
    </w:p>
  </w:footnote>
  <w:footnote w:id="119">
    <w:p w14:paraId="367163B5" w14:textId="77777777" w:rsidR="005D5A35" w:rsidRPr="009315D6" w:rsidRDefault="005D5A35" w:rsidP="00B865BD">
      <w:pPr>
        <w:pStyle w:val="Voetnoottekst"/>
        <w:rPr>
          <w:lang w:val="de-DE"/>
        </w:rPr>
      </w:pPr>
      <w:r>
        <w:rPr>
          <w:rStyle w:val="Voetnootmarkering"/>
        </w:rPr>
        <w:footnoteRef/>
      </w:r>
      <w:r w:rsidRPr="009315D6">
        <w:rPr>
          <w:lang w:val="de-DE"/>
        </w:rPr>
        <w:t xml:space="preserve"> Popovic, S. 8.</w:t>
      </w:r>
    </w:p>
  </w:footnote>
  <w:footnote w:id="120">
    <w:p w14:paraId="370AD8EB" w14:textId="7E2CD60B" w:rsidR="005D5A35" w:rsidRPr="002810D7" w:rsidRDefault="005D5A35" w:rsidP="00B865BD">
      <w:pPr>
        <w:pStyle w:val="Voetnoottekst"/>
        <w:rPr>
          <w:lang w:val="de-DE"/>
        </w:rPr>
      </w:pPr>
      <w:r>
        <w:rPr>
          <w:rStyle w:val="Voetnootmarkering"/>
        </w:rPr>
        <w:footnoteRef/>
      </w:r>
      <w:r w:rsidRPr="002810D7">
        <w:rPr>
          <w:lang w:val="de-DE"/>
        </w:rPr>
        <w:t xml:space="preserve"> Vgl. Popovic, S. 10.</w:t>
      </w:r>
    </w:p>
  </w:footnote>
  <w:footnote w:id="121">
    <w:p w14:paraId="363071C2" w14:textId="7D8AF4B7" w:rsidR="005D5A35" w:rsidRPr="002810D7" w:rsidRDefault="005D5A35" w:rsidP="00B865BD">
      <w:pPr>
        <w:pStyle w:val="Voetnoottekst"/>
        <w:rPr>
          <w:lang w:val="de-DE"/>
        </w:rPr>
      </w:pPr>
      <w:r>
        <w:rPr>
          <w:rStyle w:val="Voetnootmarkering"/>
        </w:rPr>
        <w:footnoteRef/>
      </w:r>
      <w:r w:rsidRPr="002810D7">
        <w:rPr>
          <w:lang w:val="de-DE"/>
        </w:rPr>
        <w:t xml:space="preserve"> Vgl. </w:t>
      </w:r>
      <w:r>
        <w:rPr>
          <w:lang w:val="de-DE"/>
        </w:rPr>
        <w:t xml:space="preserve">ebd. </w:t>
      </w:r>
    </w:p>
  </w:footnote>
  <w:footnote w:id="122">
    <w:p w14:paraId="7B88F6C4" w14:textId="77777777" w:rsidR="005D5A35" w:rsidRPr="003122B1" w:rsidRDefault="005D5A35" w:rsidP="00B865BD">
      <w:pPr>
        <w:pStyle w:val="Voetnoottekst"/>
        <w:rPr>
          <w:lang w:val="de-DE"/>
        </w:rPr>
      </w:pPr>
      <w:r>
        <w:rPr>
          <w:rStyle w:val="Voetnootmarkering"/>
        </w:rPr>
        <w:footnoteRef/>
      </w:r>
      <w:r w:rsidRPr="003122B1">
        <w:rPr>
          <w:lang w:val="de-DE"/>
        </w:rPr>
        <w:t xml:space="preserve"> </w:t>
      </w:r>
      <w:r>
        <w:rPr>
          <w:lang w:val="de-DE"/>
        </w:rPr>
        <w:t>Popovic, S. 18.</w:t>
      </w:r>
    </w:p>
  </w:footnote>
  <w:footnote w:id="123">
    <w:p w14:paraId="5FDEEAC7" w14:textId="3B78D519" w:rsidR="005D5A35" w:rsidRPr="00F93699" w:rsidRDefault="005D5A35" w:rsidP="005A704F">
      <w:pPr>
        <w:pStyle w:val="Voetnoottekst"/>
        <w:rPr>
          <w:lang w:val="de-DE"/>
        </w:rPr>
      </w:pPr>
      <w:r>
        <w:rPr>
          <w:rStyle w:val="Voetnootmarkering"/>
        </w:rPr>
        <w:footnoteRef/>
      </w:r>
      <w:r w:rsidRPr="00F93699">
        <w:rPr>
          <w:lang w:val="de-DE"/>
        </w:rPr>
        <w:t xml:space="preserve"> </w:t>
      </w:r>
      <w:r>
        <w:rPr>
          <w:lang w:val="de-DE"/>
        </w:rPr>
        <w:t>Vgl</w:t>
      </w:r>
      <w:r w:rsidRPr="00AC233D">
        <w:rPr>
          <w:i/>
          <w:lang w:val="de-DE"/>
        </w:rPr>
        <w:t>. Jugoslawien 1981, Siedlungsgebiete der Volksgruppen</w:t>
      </w:r>
      <w:r w:rsidRPr="00F93699">
        <w:rPr>
          <w:lang w:val="de-DE"/>
        </w:rPr>
        <w:t>. Lizenz: cc by-nc-nd/3.0/de/ (mr-kartographie, Gotha 2017)</w:t>
      </w:r>
      <w:r>
        <w:rPr>
          <w:lang w:val="de-DE"/>
        </w:rPr>
        <w:t xml:space="preserve">. Die Karte ist bei </w:t>
      </w:r>
      <w:hyperlink r:id="rId10" w:history="1">
        <w:r w:rsidRPr="00E82656">
          <w:rPr>
            <w:rStyle w:val="Hyperlink"/>
            <w:lang w:val="de-DE"/>
          </w:rPr>
          <w:t>http://www.bpb.de/apuz/256921/kleine-geschichte-jugoslawiens?p=4</w:t>
        </w:r>
      </w:hyperlink>
      <w:r>
        <w:rPr>
          <w:lang w:val="de-DE"/>
        </w:rPr>
        <w:t xml:space="preserve"> nachzuschlagen.</w:t>
      </w:r>
    </w:p>
  </w:footnote>
  <w:footnote w:id="124">
    <w:p w14:paraId="32DD1C45" w14:textId="61C09D96" w:rsidR="005D5A35" w:rsidRPr="0084720D" w:rsidRDefault="005D5A35">
      <w:pPr>
        <w:pStyle w:val="Voetnoottekst"/>
        <w:rPr>
          <w:lang w:val="de-DE"/>
        </w:rPr>
      </w:pPr>
      <w:r>
        <w:rPr>
          <w:rStyle w:val="Voetnootmarkering"/>
        </w:rPr>
        <w:footnoteRef/>
      </w:r>
      <w:r>
        <w:rPr>
          <w:lang w:val="de-DE"/>
        </w:rPr>
        <w:t xml:space="preserve"> Vgl.</w:t>
      </w:r>
      <w:r w:rsidRPr="0084720D">
        <w:rPr>
          <w:lang w:val="de-DE"/>
        </w:rPr>
        <w:t xml:space="preserve"> </w:t>
      </w:r>
      <w:r w:rsidRPr="00617F30">
        <w:rPr>
          <w:lang w:val="de-DE"/>
        </w:rPr>
        <w:t>Melinda Nad</w:t>
      </w:r>
      <w:r>
        <w:rPr>
          <w:lang w:val="de-DE"/>
        </w:rPr>
        <w:t xml:space="preserve">j Abonji: </w:t>
      </w:r>
      <w:r w:rsidRPr="00617F30">
        <w:rPr>
          <w:i/>
          <w:lang w:val="de-DE"/>
        </w:rPr>
        <w:t>Tauben fliegen auf.</w:t>
      </w:r>
      <w:r w:rsidRPr="00617F30">
        <w:rPr>
          <w:lang w:val="de-DE"/>
        </w:rPr>
        <w:t xml:space="preserve"> München: D</w:t>
      </w:r>
      <w:r>
        <w:rPr>
          <w:lang w:val="de-DE"/>
        </w:rPr>
        <w:t>eutscher Taschenbuch Verlag 2012, S. 219.</w:t>
      </w:r>
      <w:r w:rsidRPr="00617F30">
        <w:rPr>
          <w:i/>
          <w:lang w:val="de-DE"/>
        </w:rPr>
        <w:t xml:space="preserve"> </w:t>
      </w:r>
      <w:r w:rsidRPr="00617F30">
        <w:rPr>
          <w:lang w:val="de-DE"/>
        </w:rPr>
        <w:t>Weitere Zitate aus diesem Text werden im Folgenden mit dem Sigel TFA und den Seitenzahlen zwischen Klammern im Fließtext angegeben.</w:t>
      </w:r>
    </w:p>
  </w:footnote>
  <w:footnote w:id="125">
    <w:p w14:paraId="3214FE4B" w14:textId="713D4558" w:rsidR="005D5A35" w:rsidRPr="00742002" w:rsidRDefault="005D5A35">
      <w:pPr>
        <w:pStyle w:val="Voetnoottekst"/>
        <w:rPr>
          <w:lang w:val="de-DE"/>
        </w:rPr>
      </w:pPr>
      <w:r>
        <w:rPr>
          <w:rStyle w:val="Voetnootmarkering"/>
        </w:rPr>
        <w:footnoteRef/>
      </w:r>
      <w:r w:rsidRPr="00D22C80">
        <w:rPr>
          <w:lang w:val="de-DE"/>
        </w:rPr>
        <w:t xml:space="preserve"> </w:t>
      </w:r>
      <w:r>
        <w:rPr>
          <w:lang w:val="de-DE"/>
        </w:rPr>
        <w:t>Vgl. Mihailo Milinkovi</w:t>
      </w:r>
      <w:r w:rsidRPr="008F2F54">
        <w:rPr>
          <w:lang w:val="de-DE"/>
        </w:rPr>
        <w:t>ć</w:t>
      </w:r>
      <w:r>
        <w:rPr>
          <w:lang w:val="de-DE"/>
        </w:rPr>
        <w:t xml:space="preserve">: „Stadt oder „Stadt“: Frühbyzantinische Siedlungsstrukturen im nördlichen </w:t>
      </w:r>
      <w:r>
        <w:rPr>
          <w:i/>
          <w:lang w:val="de-DE"/>
        </w:rPr>
        <w:t>Illyricum</w:t>
      </w:r>
      <w:r>
        <w:rPr>
          <w:lang w:val="de-DE"/>
        </w:rPr>
        <w:t xml:space="preserve">“. </w:t>
      </w:r>
      <w:r w:rsidRPr="00D22C80">
        <w:rPr>
          <w:lang w:val="en-GB"/>
        </w:rPr>
        <w:t xml:space="preserve">In: </w:t>
      </w:r>
      <w:r w:rsidRPr="00D22C80">
        <w:rPr>
          <w:i/>
          <w:lang w:val="en-GB"/>
        </w:rPr>
        <w:t>Post-Roman Towns, Trade and Settlement in Europe and B</w:t>
      </w:r>
      <w:r>
        <w:rPr>
          <w:i/>
          <w:lang w:val="en-GB"/>
        </w:rPr>
        <w:t xml:space="preserve">yzantium. </w:t>
      </w:r>
      <w:r w:rsidRPr="00395685">
        <w:rPr>
          <w:i/>
          <w:lang w:val="en-US"/>
        </w:rPr>
        <w:t xml:space="preserve">Vol. 2 Byzantium, Pliska, and the Balkans. </w:t>
      </w:r>
      <w:r w:rsidRPr="00395685">
        <w:rPr>
          <w:lang w:val="en-US"/>
        </w:rPr>
        <w:t xml:space="preserve">Hg. von Joachim Henning. </w:t>
      </w:r>
      <w:r w:rsidRPr="00742002">
        <w:rPr>
          <w:lang w:val="de-DE"/>
        </w:rPr>
        <w:t>Berlin: Walter de Gruyter 2007, S. 159.</w:t>
      </w:r>
    </w:p>
  </w:footnote>
  <w:footnote w:id="126">
    <w:p w14:paraId="05A3EDC2" w14:textId="3FC44579" w:rsidR="005D5A35" w:rsidRPr="00742002" w:rsidRDefault="005D5A35">
      <w:pPr>
        <w:pStyle w:val="Voetnoottekst"/>
        <w:rPr>
          <w:lang w:val="de-DE"/>
        </w:rPr>
      </w:pPr>
      <w:r>
        <w:rPr>
          <w:rStyle w:val="Voetnootmarkering"/>
        </w:rPr>
        <w:footnoteRef/>
      </w:r>
      <w:r w:rsidRPr="00742002">
        <w:rPr>
          <w:lang w:val="de-DE"/>
        </w:rPr>
        <w:t xml:space="preserve"> </w:t>
      </w:r>
      <w:r>
        <w:rPr>
          <w:lang w:val="de-DE"/>
        </w:rPr>
        <w:t xml:space="preserve">Vgl. </w:t>
      </w:r>
      <w:r w:rsidRPr="00742002">
        <w:rPr>
          <w:lang w:val="de-DE"/>
        </w:rPr>
        <w:t>Kaser, S. 382.</w:t>
      </w:r>
    </w:p>
  </w:footnote>
  <w:footnote w:id="127">
    <w:p w14:paraId="3F4A3797" w14:textId="03AA60D1" w:rsidR="005D5A35" w:rsidRPr="00CC31CB" w:rsidRDefault="005D5A35">
      <w:pPr>
        <w:pStyle w:val="Voetnoottekst"/>
        <w:rPr>
          <w:lang w:val="de-DE"/>
        </w:rPr>
      </w:pPr>
      <w:r>
        <w:rPr>
          <w:rStyle w:val="Voetnootmarkering"/>
        </w:rPr>
        <w:footnoteRef/>
      </w:r>
      <w:r w:rsidRPr="00CC31CB">
        <w:rPr>
          <w:lang w:val="de-DE"/>
        </w:rPr>
        <w:t xml:space="preserve"> Kaser, S. 366.</w:t>
      </w:r>
    </w:p>
  </w:footnote>
  <w:footnote w:id="128">
    <w:p w14:paraId="74E516FD" w14:textId="3DC3CAFF" w:rsidR="005D5A35" w:rsidRPr="00D51755" w:rsidRDefault="005D5A35">
      <w:pPr>
        <w:pStyle w:val="Voetnoottekst"/>
        <w:rPr>
          <w:lang w:val="de-DE"/>
        </w:rPr>
      </w:pPr>
      <w:r>
        <w:rPr>
          <w:rStyle w:val="Voetnootmarkering"/>
        </w:rPr>
        <w:footnoteRef/>
      </w:r>
      <w:r w:rsidRPr="00D51755">
        <w:rPr>
          <w:lang w:val="de-DE"/>
        </w:rPr>
        <w:t xml:space="preserve"> </w:t>
      </w:r>
      <w:r>
        <w:rPr>
          <w:lang w:val="de-DE"/>
        </w:rPr>
        <w:t xml:space="preserve">Egon Flaig: </w:t>
      </w:r>
      <w:r w:rsidRPr="00D51755">
        <w:rPr>
          <w:i/>
          <w:lang w:val="de-DE"/>
        </w:rPr>
        <w:t>Weltgeschichte der Sklaverei</w:t>
      </w:r>
      <w:r>
        <w:rPr>
          <w:lang w:val="de-DE"/>
        </w:rPr>
        <w:t>. München: C. H. Beck 2009, S. 14.</w:t>
      </w:r>
    </w:p>
  </w:footnote>
  <w:footnote w:id="129">
    <w:p w14:paraId="418EAE7A" w14:textId="515FA0D1" w:rsidR="005D5A35" w:rsidRPr="0078566E" w:rsidRDefault="005D5A35">
      <w:pPr>
        <w:pStyle w:val="Voetnoottekst"/>
        <w:rPr>
          <w:lang w:val="de-DE"/>
        </w:rPr>
      </w:pPr>
      <w:r>
        <w:rPr>
          <w:rStyle w:val="Voetnootmarkering"/>
        </w:rPr>
        <w:footnoteRef/>
      </w:r>
      <w:r w:rsidRPr="0078566E">
        <w:rPr>
          <w:lang w:val="de-DE"/>
        </w:rPr>
        <w:t xml:space="preserve"> </w:t>
      </w:r>
      <w:r>
        <w:rPr>
          <w:lang w:val="de-DE"/>
        </w:rPr>
        <w:t xml:space="preserve">Arlie R. Hochschild: </w:t>
      </w:r>
      <w:r>
        <w:rPr>
          <w:i/>
          <w:lang w:val="de-DE"/>
        </w:rPr>
        <w:t xml:space="preserve">Das gekaufte Herz. Zur Kommerzialisierung der Gefühle. </w:t>
      </w:r>
      <w:r>
        <w:rPr>
          <w:lang w:val="de-DE"/>
        </w:rPr>
        <w:t>Frankfurt am Main: Campus 2006</w:t>
      </w:r>
      <w:r w:rsidRPr="00AE0331">
        <w:rPr>
          <w:lang w:val="de-DE"/>
        </w:rPr>
        <w:t>, S. 30.</w:t>
      </w:r>
    </w:p>
  </w:footnote>
  <w:footnote w:id="130">
    <w:p w14:paraId="21629CF4" w14:textId="73A2A5B3" w:rsidR="005D5A35" w:rsidRPr="00D34825" w:rsidRDefault="005D5A35">
      <w:pPr>
        <w:pStyle w:val="Voetnoottekst"/>
        <w:rPr>
          <w:lang w:val="de-DE"/>
        </w:rPr>
      </w:pPr>
      <w:r>
        <w:rPr>
          <w:rStyle w:val="Voetnootmarkering"/>
        </w:rPr>
        <w:footnoteRef/>
      </w:r>
      <w:r w:rsidRPr="003538C0">
        <w:rPr>
          <w:lang w:val="de-DE"/>
        </w:rPr>
        <w:t xml:space="preserve"> </w:t>
      </w:r>
      <w:r>
        <w:rPr>
          <w:lang w:val="de-DE"/>
        </w:rPr>
        <w:t xml:space="preserve">Dieter Zapf et al.: „Emotionsarbeit in Organisationen und psychische Gesundheit“. In: </w:t>
      </w:r>
      <w:r>
        <w:rPr>
          <w:i/>
          <w:lang w:val="de-DE"/>
        </w:rPr>
        <w:t xml:space="preserve">Psychologie der Arbeitssicherheit. Beiträge zur Förderung von Sicherheit und Gesundheit in Arbeitssystemen. </w:t>
      </w:r>
      <w:r>
        <w:rPr>
          <w:lang w:val="de-DE"/>
        </w:rPr>
        <w:t xml:space="preserve">Heidelberg: Asanger 2000, S. 99. </w:t>
      </w:r>
    </w:p>
  </w:footnote>
  <w:footnote w:id="131">
    <w:p w14:paraId="154B350C" w14:textId="1F69A0C8" w:rsidR="005D5A35" w:rsidRPr="00DE3B5A" w:rsidRDefault="005D5A35">
      <w:pPr>
        <w:pStyle w:val="Voetnoottekst"/>
        <w:rPr>
          <w:lang w:val="de-DE"/>
        </w:rPr>
      </w:pPr>
      <w:r>
        <w:rPr>
          <w:rStyle w:val="Voetnootmarkering"/>
        </w:rPr>
        <w:footnoteRef/>
      </w:r>
      <w:r w:rsidRPr="00DE3B5A">
        <w:rPr>
          <w:lang w:val="de-DE"/>
        </w:rPr>
        <w:t xml:space="preserve"> Katharina Scherke: </w:t>
      </w:r>
      <w:r w:rsidRPr="00DE3B5A">
        <w:rPr>
          <w:i/>
          <w:lang w:val="de-DE"/>
        </w:rPr>
        <w:t xml:space="preserve">Emotionen als Forschungsgegenstand der deutschsprachigen Soziologie. </w:t>
      </w:r>
      <w:r w:rsidRPr="00DE3B5A">
        <w:rPr>
          <w:lang w:val="de-DE"/>
        </w:rPr>
        <w:t>Wiesbaden: VS Verlag für Sozialwissenschaften 2009, S. 93.</w:t>
      </w:r>
    </w:p>
  </w:footnote>
  <w:footnote w:id="132">
    <w:p w14:paraId="188F0A2F" w14:textId="3D7B9C8A" w:rsidR="005D5A35" w:rsidRPr="00DE3B5A" w:rsidRDefault="005D5A35">
      <w:pPr>
        <w:pStyle w:val="Voetnoottekst"/>
        <w:rPr>
          <w:lang w:val="de-DE"/>
        </w:rPr>
      </w:pPr>
      <w:r>
        <w:rPr>
          <w:rStyle w:val="Voetnootmarkering"/>
        </w:rPr>
        <w:footnoteRef/>
      </w:r>
      <w:r w:rsidRPr="00DE3B5A">
        <w:rPr>
          <w:lang w:val="de-DE"/>
        </w:rPr>
        <w:t xml:space="preserve"> </w:t>
      </w:r>
      <w:r>
        <w:rPr>
          <w:lang w:val="de-DE"/>
        </w:rPr>
        <w:t>Ebd.</w:t>
      </w:r>
    </w:p>
  </w:footnote>
  <w:footnote w:id="133">
    <w:p w14:paraId="0DF1EEEE" w14:textId="05CF9A2C" w:rsidR="005D5A35" w:rsidRPr="00DE3B5A" w:rsidRDefault="005D5A35">
      <w:pPr>
        <w:pStyle w:val="Voetnoottekst"/>
        <w:rPr>
          <w:lang w:val="de-DE"/>
        </w:rPr>
      </w:pPr>
      <w:r>
        <w:rPr>
          <w:rStyle w:val="Voetnootmarkering"/>
        </w:rPr>
        <w:footnoteRef/>
      </w:r>
      <w:r w:rsidRPr="00DE3B5A">
        <w:rPr>
          <w:lang w:val="de-DE"/>
        </w:rPr>
        <w:t xml:space="preserve"> </w:t>
      </w:r>
      <w:r>
        <w:rPr>
          <w:lang w:val="de-DE"/>
        </w:rPr>
        <w:t>Ebd.</w:t>
      </w:r>
    </w:p>
  </w:footnote>
  <w:footnote w:id="134">
    <w:p w14:paraId="3EAF4EA4" w14:textId="61D3AEFE" w:rsidR="005D5A35" w:rsidRPr="00DE3B5A" w:rsidRDefault="005D5A35">
      <w:pPr>
        <w:pStyle w:val="Voetnoottekst"/>
        <w:rPr>
          <w:lang w:val="de-DE"/>
        </w:rPr>
      </w:pPr>
      <w:r>
        <w:rPr>
          <w:rStyle w:val="Voetnootmarkering"/>
        </w:rPr>
        <w:footnoteRef/>
      </w:r>
      <w:r w:rsidRPr="00DE3B5A">
        <w:rPr>
          <w:lang w:val="de-DE"/>
        </w:rPr>
        <w:t xml:space="preserve"> </w:t>
      </w:r>
      <w:r>
        <w:rPr>
          <w:lang w:val="de-DE"/>
        </w:rPr>
        <w:t>Ebd.</w:t>
      </w:r>
    </w:p>
  </w:footnote>
  <w:footnote w:id="135">
    <w:p w14:paraId="12E72F04" w14:textId="1985BBE2" w:rsidR="005D5A35" w:rsidRPr="007D34BE" w:rsidRDefault="005D5A35" w:rsidP="00CA58B1">
      <w:pPr>
        <w:pStyle w:val="Voetnoottekst"/>
        <w:rPr>
          <w:lang w:val="de-DE"/>
        </w:rPr>
      </w:pPr>
      <w:r>
        <w:rPr>
          <w:rStyle w:val="Voetnootmarkering"/>
        </w:rPr>
        <w:footnoteRef/>
      </w:r>
      <w:r w:rsidRPr="007D34BE">
        <w:rPr>
          <w:lang w:val="de-DE"/>
        </w:rPr>
        <w:t xml:space="preserve"> </w:t>
      </w:r>
      <w:r>
        <w:rPr>
          <w:lang w:val="de-DE"/>
        </w:rPr>
        <w:t>Für eine weitere Untersuchung von Ildikós Angst vor Veränderung verweise ich auf meine Bachelorarbeit „Die A</w:t>
      </w:r>
      <w:r w:rsidRPr="007D34BE">
        <w:rPr>
          <w:lang w:val="de-DE"/>
        </w:rPr>
        <w:t xml:space="preserve">ngst, </w:t>
      </w:r>
      <w:r>
        <w:rPr>
          <w:lang w:val="de-DE"/>
        </w:rPr>
        <w:t>als Fremde in dieser W</w:t>
      </w:r>
      <w:r w:rsidRPr="007D34BE">
        <w:rPr>
          <w:lang w:val="de-DE"/>
        </w:rPr>
        <w:t>elt dazustehen</w:t>
      </w:r>
      <w:r>
        <w:rPr>
          <w:lang w:val="de-DE"/>
        </w:rPr>
        <w:t xml:space="preserve">“ (2017), Kapitel 5.3. </w:t>
      </w:r>
    </w:p>
  </w:footnote>
  <w:footnote w:id="136">
    <w:p w14:paraId="67A4070E" w14:textId="032847A1" w:rsidR="005D5A35" w:rsidRPr="00302D1D" w:rsidRDefault="005D5A35">
      <w:pPr>
        <w:pStyle w:val="Voetnoottekst"/>
        <w:rPr>
          <w:lang w:val="de-DE"/>
        </w:rPr>
      </w:pPr>
      <w:r>
        <w:rPr>
          <w:rStyle w:val="Voetnootmarkering"/>
        </w:rPr>
        <w:footnoteRef/>
      </w:r>
      <w:r w:rsidRPr="00302D1D">
        <w:rPr>
          <w:lang w:val="de-DE"/>
        </w:rPr>
        <w:t xml:space="preserve"> </w:t>
      </w:r>
      <w:r>
        <w:rPr>
          <w:lang w:val="de-DE"/>
        </w:rPr>
        <w:t xml:space="preserve">Vgl. Ernst Kausen: </w:t>
      </w:r>
      <w:r>
        <w:rPr>
          <w:i/>
          <w:lang w:val="de-DE"/>
        </w:rPr>
        <w:t xml:space="preserve">Die indogermanischen Sprachen von der Vorgeschichte bis zur Gegenwart. </w:t>
      </w:r>
      <w:r>
        <w:rPr>
          <w:lang w:val="de-DE"/>
        </w:rPr>
        <w:t>Hamburg: Helmut Buske 2012, S. 110.</w:t>
      </w:r>
    </w:p>
  </w:footnote>
  <w:footnote w:id="137">
    <w:p w14:paraId="5C453030" w14:textId="017812EB" w:rsidR="005D5A35" w:rsidRPr="00E71275" w:rsidRDefault="005D5A35">
      <w:pPr>
        <w:pStyle w:val="Voetnoottekst"/>
        <w:rPr>
          <w:lang w:val="de-DE"/>
        </w:rPr>
      </w:pPr>
      <w:r>
        <w:rPr>
          <w:rStyle w:val="Voetnootmarkering"/>
        </w:rPr>
        <w:footnoteRef/>
      </w:r>
      <w:r w:rsidRPr="00E71275">
        <w:rPr>
          <w:lang w:val="de-DE"/>
        </w:rPr>
        <w:t xml:space="preserve"> </w:t>
      </w:r>
      <w:r>
        <w:rPr>
          <w:lang w:val="de-DE"/>
        </w:rPr>
        <w:t xml:space="preserve">Vgl. </w:t>
      </w:r>
      <w:r w:rsidRPr="00E71275">
        <w:rPr>
          <w:lang w:val="de-DE"/>
        </w:rPr>
        <w:t>E</w:t>
      </w:r>
      <w:r>
        <w:rPr>
          <w:lang w:val="de-DE"/>
        </w:rPr>
        <w:t xml:space="preserve">lvira Glaser: </w:t>
      </w:r>
      <w:r w:rsidRPr="00E71275">
        <w:rPr>
          <w:i/>
          <w:lang w:val="de-DE"/>
        </w:rPr>
        <w:t>Ist das Schweizerdeutsche eine eigene Sprache?</w:t>
      </w:r>
      <w:r>
        <w:rPr>
          <w:lang w:val="de-DE"/>
        </w:rPr>
        <w:t xml:space="preserve"> Universität Zürich. </w:t>
      </w:r>
      <w:hyperlink r:id="rId11" w:history="1">
        <w:r w:rsidRPr="007A006B">
          <w:rPr>
            <w:rStyle w:val="Hyperlink"/>
            <w:lang w:val="de-DE"/>
          </w:rPr>
          <w:t>http://www.linguistik.uzh.ch/de/easyling/faq/kolmer-schweizerdeutsch.html</w:t>
        </w:r>
      </w:hyperlink>
      <w:r>
        <w:rPr>
          <w:lang w:val="de-DE"/>
        </w:rPr>
        <w:t xml:space="preserve"> (abgerufen am 17.03.2018).</w:t>
      </w:r>
    </w:p>
  </w:footnote>
  <w:footnote w:id="138">
    <w:p w14:paraId="248E524D" w14:textId="6400683E" w:rsidR="005D5A35" w:rsidRPr="00BB7F5F" w:rsidRDefault="005D5A35">
      <w:pPr>
        <w:pStyle w:val="Voetnoottekst"/>
        <w:rPr>
          <w:lang w:val="en-US"/>
        </w:rPr>
      </w:pPr>
      <w:r>
        <w:rPr>
          <w:rStyle w:val="Voetnootmarkering"/>
        </w:rPr>
        <w:footnoteRef/>
      </w:r>
      <w:r w:rsidRPr="00BB7F5F">
        <w:rPr>
          <w:lang w:val="en-US"/>
        </w:rPr>
        <w:t xml:space="preserve"> </w:t>
      </w:r>
      <w:r>
        <w:rPr>
          <w:lang w:val="en-US"/>
        </w:rPr>
        <w:t xml:space="preserve">Vgl. </w:t>
      </w:r>
      <w:r w:rsidRPr="00BB7F5F">
        <w:rPr>
          <w:lang w:val="en-US"/>
        </w:rPr>
        <w:t>Glaser.</w:t>
      </w:r>
    </w:p>
  </w:footnote>
  <w:footnote w:id="139">
    <w:p w14:paraId="7FF6E604" w14:textId="14DD0031" w:rsidR="005D5A35" w:rsidRPr="00BF72EC" w:rsidRDefault="005D5A35">
      <w:pPr>
        <w:pStyle w:val="Voetnoottekst"/>
        <w:rPr>
          <w:lang w:val="de-DE"/>
        </w:rPr>
      </w:pPr>
      <w:r>
        <w:rPr>
          <w:rStyle w:val="Voetnootmarkering"/>
        </w:rPr>
        <w:footnoteRef/>
      </w:r>
      <w:r w:rsidRPr="00BF72EC">
        <w:rPr>
          <w:lang w:val="en-US"/>
        </w:rPr>
        <w:t xml:space="preserve"> Max Weinreich: „The YIVO F</w:t>
      </w:r>
      <w:r>
        <w:rPr>
          <w:lang w:val="en-US"/>
        </w:rPr>
        <w:t>aces the Post-War World</w:t>
      </w:r>
      <w:r w:rsidRPr="00BF72EC">
        <w:rPr>
          <w:lang w:val="en-US"/>
        </w:rPr>
        <w:t>“</w:t>
      </w:r>
      <w:r>
        <w:rPr>
          <w:lang w:val="en-US"/>
        </w:rPr>
        <w:t xml:space="preserve">. </w:t>
      </w:r>
      <w:r w:rsidRPr="00BF72EC">
        <w:rPr>
          <w:lang w:val="de-DE"/>
        </w:rPr>
        <w:t xml:space="preserve">In: </w:t>
      </w:r>
      <w:r w:rsidRPr="00BF72EC">
        <w:rPr>
          <w:i/>
          <w:lang w:val="de-DE"/>
        </w:rPr>
        <w:t>Yivo bleter</w:t>
      </w:r>
      <w:r w:rsidRPr="00BF72EC">
        <w:rPr>
          <w:lang w:val="de-DE"/>
        </w:rPr>
        <w:t xml:space="preserve"> (Januar-Juli 1945</w:t>
      </w:r>
      <w:r>
        <w:rPr>
          <w:lang w:val="de-DE"/>
        </w:rPr>
        <w:t>), S. 13.</w:t>
      </w:r>
    </w:p>
  </w:footnote>
  <w:footnote w:id="140">
    <w:p w14:paraId="7A9BD326" w14:textId="163B3CCC" w:rsidR="005D5A35" w:rsidRPr="001261C3" w:rsidRDefault="005D5A35">
      <w:pPr>
        <w:pStyle w:val="Voetnoottekst"/>
        <w:rPr>
          <w:lang w:val="de-DE"/>
        </w:rPr>
      </w:pPr>
      <w:r>
        <w:rPr>
          <w:rStyle w:val="Voetnootmarkering"/>
        </w:rPr>
        <w:footnoteRef/>
      </w:r>
      <w:r w:rsidRPr="001261C3">
        <w:rPr>
          <w:lang w:val="de-DE"/>
        </w:rPr>
        <w:t xml:space="preserve"> </w:t>
      </w:r>
      <w:r>
        <w:rPr>
          <w:lang w:val="de-DE"/>
        </w:rPr>
        <w:t>Glaser.</w:t>
      </w:r>
    </w:p>
  </w:footnote>
  <w:footnote w:id="141">
    <w:p w14:paraId="1834B30D" w14:textId="67E83E15" w:rsidR="005D5A35" w:rsidRPr="003E3A6C" w:rsidRDefault="005D5A35">
      <w:pPr>
        <w:pStyle w:val="Voetnoottekst"/>
        <w:rPr>
          <w:lang w:val="de-DE"/>
        </w:rPr>
      </w:pPr>
      <w:r>
        <w:rPr>
          <w:rStyle w:val="Voetnootmarkering"/>
        </w:rPr>
        <w:footnoteRef/>
      </w:r>
      <w:r w:rsidRPr="003E3A6C">
        <w:rPr>
          <w:lang w:val="de-DE"/>
        </w:rPr>
        <w:t xml:space="preserve"> </w:t>
      </w:r>
      <w:r>
        <w:rPr>
          <w:lang w:val="de-DE"/>
        </w:rPr>
        <w:t>Ebd.</w:t>
      </w:r>
    </w:p>
  </w:footnote>
  <w:footnote w:id="142">
    <w:p w14:paraId="3FD8BAA5" w14:textId="31A930C2" w:rsidR="005D5A35" w:rsidRPr="003E3A6C" w:rsidRDefault="005D5A35">
      <w:pPr>
        <w:pStyle w:val="Voetnoottekst"/>
        <w:rPr>
          <w:lang w:val="de-DE"/>
        </w:rPr>
      </w:pPr>
      <w:r>
        <w:rPr>
          <w:rStyle w:val="Voetnootmarkering"/>
        </w:rPr>
        <w:footnoteRef/>
      </w:r>
      <w:r w:rsidRPr="003E3A6C">
        <w:rPr>
          <w:lang w:val="de-DE"/>
        </w:rPr>
        <w:t xml:space="preserve"> </w:t>
      </w:r>
      <w:r>
        <w:rPr>
          <w:lang w:val="de-DE"/>
        </w:rPr>
        <w:t>Ebd.</w:t>
      </w:r>
    </w:p>
  </w:footnote>
  <w:footnote w:id="143">
    <w:p w14:paraId="7F99B15F" w14:textId="221CA1AF" w:rsidR="005D5A35" w:rsidRPr="003E3A6C" w:rsidRDefault="005D5A35">
      <w:pPr>
        <w:pStyle w:val="Voetnoottekst"/>
        <w:rPr>
          <w:lang w:val="de-DE"/>
        </w:rPr>
      </w:pPr>
      <w:r>
        <w:rPr>
          <w:rStyle w:val="Voetnootmarkering"/>
        </w:rPr>
        <w:footnoteRef/>
      </w:r>
      <w:r w:rsidRPr="003E3A6C">
        <w:rPr>
          <w:lang w:val="de-DE"/>
        </w:rPr>
        <w:t xml:space="preserve"> </w:t>
      </w:r>
      <w:r>
        <w:rPr>
          <w:lang w:val="de-DE"/>
        </w:rPr>
        <w:t>Ebd.</w:t>
      </w:r>
    </w:p>
  </w:footnote>
  <w:footnote w:id="144">
    <w:p w14:paraId="08B14E1B" w14:textId="113BA843" w:rsidR="005D5A35" w:rsidRPr="003E3A6C" w:rsidRDefault="005D5A35">
      <w:pPr>
        <w:pStyle w:val="Voetnoottekst"/>
        <w:rPr>
          <w:lang w:val="de-DE"/>
        </w:rPr>
      </w:pPr>
      <w:r>
        <w:rPr>
          <w:rStyle w:val="Voetnootmarkering"/>
        </w:rPr>
        <w:footnoteRef/>
      </w:r>
      <w:r w:rsidRPr="003E3A6C">
        <w:rPr>
          <w:lang w:val="de-DE"/>
        </w:rPr>
        <w:t xml:space="preserve"> </w:t>
      </w:r>
      <w:r>
        <w:rPr>
          <w:lang w:val="de-DE"/>
        </w:rPr>
        <w:t>Glaser.</w:t>
      </w:r>
    </w:p>
  </w:footnote>
  <w:footnote w:id="145">
    <w:p w14:paraId="62C84718" w14:textId="5ECA2786" w:rsidR="005D5A35" w:rsidRPr="00DE3B5A" w:rsidRDefault="005D5A35">
      <w:pPr>
        <w:pStyle w:val="Voetnoottekst"/>
        <w:rPr>
          <w:lang w:val="en-US"/>
        </w:rPr>
      </w:pPr>
      <w:r>
        <w:rPr>
          <w:rStyle w:val="Voetnootmarkering"/>
        </w:rPr>
        <w:footnoteRef/>
      </w:r>
      <w:r w:rsidRPr="006A4DB2">
        <w:rPr>
          <w:lang w:val="en-US"/>
        </w:rPr>
        <w:t xml:space="preserve"> </w:t>
      </w:r>
      <w:r>
        <w:rPr>
          <w:lang w:val="en-US"/>
        </w:rPr>
        <w:t xml:space="preserve">Vgl. </w:t>
      </w:r>
      <w:r w:rsidRPr="001F57F8">
        <w:rPr>
          <w:lang w:val="en-US"/>
        </w:rPr>
        <w:t xml:space="preserve">Colin Renfrew: </w:t>
      </w:r>
      <w:r w:rsidRPr="001F57F8">
        <w:rPr>
          <w:i/>
          <w:lang w:val="en-US"/>
        </w:rPr>
        <w:t>Archaeology and Language</w:t>
      </w:r>
      <w:r>
        <w:rPr>
          <w:lang w:val="en-US"/>
        </w:rPr>
        <w:t xml:space="preserve">. </w:t>
      </w:r>
      <w:r>
        <w:rPr>
          <w:i/>
          <w:lang w:val="en-US"/>
        </w:rPr>
        <w:t xml:space="preserve">The Puzzle of Indo-European Origins. </w:t>
      </w:r>
      <w:r w:rsidRPr="00DE3B5A">
        <w:rPr>
          <w:lang w:val="en-US"/>
        </w:rPr>
        <w:t>Cambridge: Cambridge University Press 1987, S.</w:t>
      </w:r>
      <w:r>
        <w:rPr>
          <w:lang w:val="en-US"/>
        </w:rPr>
        <w:t xml:space="preserve"> </w:t>
      </w:r>
      <w:r w:rsidRPr="00DE3B5A">
        <w:rPr>
          <w:lang w:val="en-US"/>
        </w:rPr>
        <w:t>163.</w:t>
      </w:r>
    </w:p>
  </w:footnote>
  <w:footnote w:id="146">
    <w:p w14:paraId="12E88244" w14:textId="0577FEC3" w:rsidR="005D5A35" w:rsidRPr="002810D7" w:rsidRDefault="005D5A35">
      <w:pPr>
        <w:pStyle w:val="Voetnoottekst"/>
        <w:rPr>
          <w:lang w:val="en-US"/>
        </w:rPr>
      </w:pPr>
      <w:r>
        <w:rPr>
          <w:rStyle w:val="Voetnootmarkering"/>
        </w:rPr>
        <w:footnoteRef/>
      </w:r>
      <w:r w:rsidRPr="002810D7">
        <w:rPr>
          <w:lang w:val="en-US"/>
        </w:rPr>
        <w:t xml:space="preserve"> Vgl. Renfrew, S. 70.</w:t>
      </w:r>
    </w:p>
  </w:footnote>
  <w:footnote w:id="147">
    <w:p w14:paraId="7C84A06C" w14:textId="44458648" w:rsidR="005D5A35" w:rsidRPr="002810D7" w:rsidRDefault="005D5A35" w:rsidP="001F57F8">
      <w:pPr>
        <w:pStyle w:val="Voetnoottekst"/>
        <w:rPr>
          <w:lang w:val="en-US"/>
        </w:rPr>
      </w:pPr>
      <w:r>
        <w:rPr>
          <w:rStyle w:val="Voetnootmarkering"/>
        </w:rPr>
        <w:footnoteRef/>
      </w:r>
      <w:r w:rsidRPr="002810D7">
        <w:rPr>
          <w:lang w:val="en-US"/>
        </w:rPr>
        <w:t xml:space="preserve"> Vgl. Renfrew, S. 163.</w:t>
      </w:r>
    </w:p>
  </w:footnote>
  <w:footnote w:id="148">
    <w:p w14:paraId="66AB0310" w14:textId="7896F1F4" w:rsidR="005D5A35" w:rsidRPr="00DE3B5A" w:rsidRDefault="005D5A35" w:rsidP="00AC233D">
      <w:pPr>
        <w:pStyle w:val="Voetnoottekst"/>
        <w:jc w:val="left"/>
        <w:rPr>
          <w:lang w:val="de-DE"/>
        </w:rPr>
      </w:pPr>
      <w:r>
        <w:rPr>
          <w:rStyle w:val="Voetnootmarkering"/>
        </w:rPr>
        <w:footnoteRef/>
      </w:r>
      <w:r w:rsidRPr="002810D7">
        <w:rPr>
          <w:lang w:val="en-US"/>
        </w:rPr>
        <w:t xml:space="preserve"> Vgl. </w:t>
      </w:r>
      <w:r w:rsidRPr="002810D7">
        <w:rPr>
          <w:i/>
          <w:lang w:val="en-US"/>
        </w:rPr>
        <w:t>Nadj Abonji Melinda</w:t>
      </w:r>
      <w:r w:rsidRPr="002810D7">
        <w:rPr>
          <w:lang w:val="en-US"/>
        </w:rPr>
        <w:t xml:space="preserve">. </w:t>
      </w:r>
      <w:r w:rsidRPr="002810D7">
        <w:rPr>
          <w:lang w:val="de-DE"/>
        </w:rPr>
        <w:t xml:space="preserve">Bibliomedia. </w:t>
      </w:r>
      <w:hyperlink r:id="rId12" w:history="1">
        <w:r w:rsidRPr="00DE3B5A">
          <w:rPr>
            <w:rStyle w:val="Hyperlink"/>
            <w:lang w:val="de-DE"/>
          </w:rPr>
          <w:t>http://www.bibliomedia.ch/de/autoren/Nadj_Abonji_Melinda/963.html</w:t>
        </w:r>
      </w:hyperlink>
      <w:r w:rsidRPr="00DE3B5A">
        <w:rPr>
          <w:lang w:val="de-DE"/>
        </w:rPr>
        <w:t xml:space="preserve"> (abgerufen am 01.04.2018).</w:t>
      </w:r>
    </w:p>
  </w:footnote>
  <w:footnote w:id="149">
    <w:p w14:paraId="5DB339F4" w14:textId="18701B17" w:rsidR="005D5A35" w:rsidRPr="006F0754" w:rsidRDefault="005D5A35">
      <w:pPr>
        <w:pStyle w:val="Voetnoottekst"/>
        <w:rPr>
          <w:lang w:val="de-DE"/>
        </w:rPr>
      </w:pPr>
      <w:r>
        <w:rPr>
          <w:rStyle w:val="Voetnootmarkering"/>
        </w:rPr>
        <w:footnoteRef/>
      </w:r>
      <w:r w:rsidRPr="00DE3B5A">
        <w:rPr>
          <w:lang w:val="de-DE"/>
        </w:rPr>
        <w:t xml:space="preserve"> </w:t>
      </w:r>
      <w:r w:rsidRPr="00DE3B5A">
        <w:rPr>
          <w:i/>
          <w:lang w:val="de-DE"/>
        </w:rPr>
        <w:t xml:space="preserve">Melinda Nadj Abonji [Ungarn, Schweiz]. </w:t>
      </w:r>
      <w:r w:rsidRPr="003756AB">
        <w:rPr>
          <w:lang w:val="de-DE"/>
        </w:rPr>
        <w:t>Internationales Literaturfestival Berlin.</w:t>
      </w:r>
      <w:r w:rsidRPr="003756AB">
        <w:rPr>
          <w:i/>
          <w:lang w:val="de-DE"/>
        </w:rPr>
        <w:t xml:space="preserve"> </w:t>
      </w:r>
      <w:hyperlink r:id="rId13" w:history="1">
        <w:r w:rsidRPr="003756AB">
          <w:rPr>
            <w:rStyle w:val="Hyperlink"/>
            <w:lang w:val="de-DE"/>
          </w:rPr>
          <w:t>http://www.literaturfestival.com/archiv/teilnehmer/autoren/2011/melinda-nadj-abonji</w:t>
        </w:r>
      </w:hyperlink>
      <w:r>
        <w:rPr>
          <w:lang w:val="de-DE"/>
        </w:rPr>
        <w:t xml:space="preserve"> (abgerufen am 01.04.2018</w:t>
      </w:r>
      <w:r w:rsidRPr="003756AB">
        <w:rPr>
          <w:lang w:val="de-DE"/>
        </w:rPr>
        <w:t>)</w:t>
      </w:r>
      <w:r>
        <w:rPr>
          <w:lang w:val="de-DE"/>
        </w:rPr>
        <w:t>.</w:t>
      </w:r>
    </w:p>
  </w:footnote>
  <w:footnote w:id="150">
    <w:p w14:paraId="68E9116A" w14:textId="5F43B72C" w:rsidR="005D5A35" w:rsidRPr="006D6304" w:rsidRDefault="005D5A35">
      <w:pPr>
        <w:pStyle w:val="Voetnoottekst"/>
        <w:rPr>
          <w:lang w:val="de-DE"/>
        </w:rPr>
      </w:pPr>
      <w:r>
        <w:rPr>
          <w:rStyle w:val="Voetnootmarkering"/>
        </w:rPr>
        <w:footnoteRef/>
      </w:r>
      <w:r w:rsidRPr="006D6304">
        <w:rPr>
          <w:lang w:val="de-DE"/>
        </w:rPr>
        <w:t xml:space="preserve"> Bettina Spoerri: „</w:t>
      </w:r>
      <w:r>
        <w:rPr>
          <w:lang w:val="de-DE"/>
        </w:rPr>
        <w:t>‚s</w:t>
      </w:r>
      <w:r w:rsidRPr="006D6304">
        <w:rPr>
          <w:lang w:val="de-DE"/>
        </w:rPr>
        <w:t>tiffmutter</w:t>
      </w:r>
      <w:r>
        <w:rPr>
          <w:lang w:val="de-DE"/>
        </w:rPr>
        <w:t>‘</w:t>
      </w:r>
      <w:r w:rsidRPr="006D6304">
        <w:rPr>
          <w:lang w:val="de-DE"/>
        </w:rPr>
        <w:t xml:space="preserve"> und </w:t>
      </w:r>
      <w:r>
        <w:rPr>
          <w:lang w:val="de-DE"/>
        </w:rPr>
        <w:t>‚</w:t>
      </w:r>
      <w:r w:rsidRPr="006D6304">
        <w:rPr>
          <w:lang w:val="de-DE"/>
        </w:rPr>
        <w:t>g</w:t>
      </w:r>
      <w:r>
        <w:rPr>
          <w:lang w:val="de-DE"/>
        </w:rPr>
        <w:t xml:space="preserve">altbir‘. Literarische Kreation auf der Schnittstelle von Sprachen“. In: </w:t>
      </w:r>
      <w:r>
        <w:rPr>
          <w:i/>
          <w:lang w:val="de-DE"/>
        </w:rPr>
        <w:t xml:space="preserve">Diskurse in die Weite. Kosmopolitische Räume in den Literaturen der Schweiz. </w:t>
      </w:r>
      <w:r>
        <w:rPr>
          <w:lang w:val="de-DE"/>
        </w:rPr>
        <w:t>Hg. von Martina Kamm et al. Zürich: Seismo 2010, S. 126.</w:t>
      </w:r>
    </w:p>
  </w:footnote>
  <w:footnote w:id="151">
    <w:p w14:paraId="63DB02C9" w14:textId="05BB1FFA" w:rsidR="005D5A35" w:rsidRPr="006D6304" w:rsidRDefault="005D5A35">
      <w:pPr>
        <w:pStyle w:val="Voetnoottekst"/>
        <w:rPr>
          <w:lang w:val="de-DE"/>
        </w:rPr>
      </w:pPr>
      <w:r>
        <w:rPr>
          <w:rStyle w:val="Voetnootmarkering"/>
        </w:rPr>
        <w:footnoteRef/>
      </w:r>
      <w:r w:rsidRPr="006D6304">
        <w:rPr>
          <w:lang w:val="de-DE"/>
        </w:rPr>
        <w:t xml:space="preserve"> </w:t>
      </w:r>
      <w:r>
        <w:rPr>
          <w:lang w:val="de-DE"/>
        </w:rPr>
        <w:t>Spoerri, S. 127.</w:t>
      </w:r>
    </w:p>
  </w:footnote>
  <w:footnote w:id="152">
    <w:p w14:paraId="11AAC6E4" w14:textId="780E66C0" w:rsidR="005D5A35" w:rsidRPr="003D6D93" w:rsidRDefault="005D5A35">
      <w:pPr>
        <w:pStyle w:val="Voetnoottekst"/>
        <w:rPr>
          <w:lang w:val="fr-FR"/>
        </w:rPr>
      </w:pPr>
      <w:r>
        <w:rPr>
          <w:rStyle w:val="Voetnootmarkering"/>
        </w:rPr>
        <w:footnoteRef/>
      </w:r>
      <w:r w:rsidRPr="00710BE9">
        <w:rPr>
          <w:lang w:val="de-DE"/>
        </w:rPr>
        <w:t xml:space="preserve"> </w:t>
      </w:r>
      <w:r>
        <w:rPr>
          <w:lang w:val="de-DE"/>
        </w:rPr>
        <w:t>Vgl. René Kegelmann: „</w:t>
      </w:r>
      <w:r>
        <w:rPr>
          <w:rFonts w:cs="Times New Roman"/>
          <w:lang w:val="de-DE"/>
        </w:rPr>
        <w:t xml:space="preserve">»Wenn nämlich bereits ein Wort keine Entsprechung findet, wie soll dann ein halbes Leben in der neuen Sprache erzählt werden?« </w:t>
      </w:r>
      <w:r w:rsidRPr="002810D7">
        <w:rPr>
          <w:rFonts w:cs="Times New Roman"/>
          <w:lang w:val="fr-FR"/>
        </w:rPr>
        <w:t>Zur Prosa Melinda Nadj Abo</w:t>
      </w:r>
      <w:r>
        <w:rPr>
          <w:rFonts w:cs="Times New Roman"/>
          <w:lang w:val="fr-FR"/>
        </w:rPr>
        <w:t>n</w:t>
      </w:r>
      <w:r w:rsidRPr="002810D7">
        <w:rPr>
          <w:rFonts w:cs="Times New Roman"/>
          <w:lang w:val="fr-FR"/>
        </w:rPr>
        <w:t xml:space="preserve">jis“. </w:t>
      </w:r>
      <w:r w:rsidRPr="00D069E2">
        <w:rPr>
          <w:rFonts w:cs="Times New Roman"/>
          <w:lang w:val="fr-FR"/>
        </w:rPr>
        <w:t xml:space="preserve">In: </w:t>
      </w:r>
      <w:r w:rsidRPr="00D069E2">
        <w:rPr>
          <w:rFonts w:cs="Times New Roman"/>
          <w:i/>
          <w:lang w:val="fr-FR"/>
        </w:rPr>
        <w:t>Germanica. La littérature interculturelle de langu</w:t>
      </w:r>
      <w:r>
        <w:rPr>
          <w:rFonts w:cs="Times New Roman"/>
          <w:i/>
          <w:lang w:val="fr-FR"/>
        </w:rPr>
        <w:t>e</w:t>
      </w:r>
      <w:r w:rsidRPr="00D069E2">
        <w:rPr>
          <w:rFonts w:cs="Times New Roman"/>
          <w:i/>
          <w:lang w:val="fr-FR"/>
        </w:rPr>
        <w:t xml:space="preserve"> allemande </w:t>
      </w:r>
      <w:r>
        <w:rPr>
          <w:rFonts w:cs="Times New Roman"/>
          <w:lang w:val="fr-FR"/>
        </w:rPr>
        <w:t>51 (2012), S. 6 (PDF-Datei).</w:t>
      </w:r>
    </w:p>
  </w:footnote>
  <w:footnote w:id="153">
    <w:p w14:paraId="365C5661" w14:textId="06A18FAA" w:rsidR="005D5A35" w:rsidRPr="002810D7" w:rsidRDefault="005D5A35">
      <w:pPr>
        <w:pStyle w:val="Voetnoottekst"/>
        <w:rPr>
          <w:lang w:val="de-DE"/>
        </w:rPr>
      </w:pPr>
      <w:r>
        <w:rPr>
          <w:rStyle w:val="Voetnootmarkering"/>
        </w:rPr>
        <w:footnoteRef/>
      </w:r>
      <w:r w:rsidRPr="002810D7">
        <w:rPr>
          <w:lang w:val="de-DE"/>
        </w:rPr>
        <w:t xml:space="preserve"> Vgl. </w:t>
      </w:r>
      <w:r>
        <w:rPr>
          <w:lang w:val="de-DE"/>
        </w:rPr>
        <w:t>ebd</w:t>
      </w:r>
      <w:r w:rsidRPr="002810D7">
        <w:rPr>
          <w:lang w:val="de-DE"/>
        </w:rPr>
        <w:t xml:space="preserve">. </w:t>
      </w:r>
    </w:p>
  </w:footnote>
  <w:footnote w:id="154">
    <w:p w14:paraId="556D60ED" w14:textId="6E6EBFDF" w:rsidR="005D5A35" w:rsidRPr="00F21D11" w:rsidRDefault="005D5A35">
      <w:pPr>
        <w:pStyle w:val="Voetnoottekst"/>
        <w:rPr>
          <w:lang w:val="de-DE"/>
        </w:rPr>
      </w:pPr>
      <w:r>
        <w:rPr>
          <w:rStyle w:val="Voetnootmarkering"/>
        </w:rPr>
        <w:footnoteRef/>
      </w:r>
      <w:r w:rsidRPr="00F21D11">
        <w:rPr>
          <w:lang w:val="de-DE"/>
        </w:rPr>
        <w:t xml:space="preserve"> Melinda Nadj Abonji</w:t>
      </w:r>
      <w:r>
        <w:rPr>
          <w:lang w:val="de-DE"/>
        </w:rPr>
        <w:t xml:space="preserve">: </w:t>
      </w:r>
      <w:r>
        <w:rPr>
          <w:i/>
          <w:lang w:val="de-DE"/>
        </w:rPr>
        <w:t xml:space="preserve">Zu Hause in der Fremde. Versuche zur Integration. </w:t>
      </w:r>
      <w:r>
        <w:rPr>
          <w:lang w:val="de-DE"/>
        </w:rPr>
        <w:t xml:space="preserve">Das Leben ist Ausland. </w:t>
      </w:r>
      <w:hyperlink r:id="rId14" w:history="1">
        <w:r w:rsidRPr="00E603AF">
          <w:rPr>
            <w:rStyle w:val="Hyperlink"/>
            <w:lang w:val="de-DE"/>
          </w:rPr>
          <w:t>http://daslebenistausland.net/category/nadj-abonji/</w:t>
        </w:r>
      </w:hyperlink>
      <w:r>
        <w:rPr>
          <w:lang w:val="de-DE"/>
        </w:rPr>
        <w:t xml:space="preserve"> (abgerufen am 18.03.2018).</w:t>
      </w:r>
    </w:p>
  </w:footnote>
  <w:footnote w:id="155">
    <w:p w14:paraId="1C720F42" w14:textId="5FE0C905" w:rsidR="005D5A35" w:rsidRPr="007F6987" w:rsidRDefault="005D5A35">
      <w:pPr>
        <w:pStyle w:val="Voetnoottekst"/>
        <w:rPr>
          <w:lang w:val="de-DE"/>
        </w:rPr>
      </w:pPr>
      <w:r>
        <w:rPr>
          <w:rStyle w:val="Voetnootmarkering"/>
        </w:rPr>
        <w:footnoteRef/>
      </w:r>
      <w:r w:rsidRPr="007F6987">
        <w:rPr>
          <w:lang w:val="de-DE"/>
        </w:rPr>
        <w:t xml:space="preserve"> </w:t>
      </w:r>
      <w:r>
        <w:rPr>
          <w:lang w:val="de-DE"/>
        </w:rPr>
        <w:t>Nadj Abonji.</w:t>
      </w:r>
    </w:p>
  </w:footnote>
  <w:footnote w:id="156">
    <w:p w14:paraId="0EE91E3B" w14:textId="6410B5F4" w:rsidR="005D5A35" w:rsidRPr="002810D7" w:rsidRDefault="005D5A35">
      <w:pPr>
        <w:pStyle w:val="Voetnoottekst"/>
        <w:rPr>
          <w:lang w:val="de-DE"/>
        </w:rPr>
      </w:pPr>
      <w:r>
        <w:rPr>
          <w:rStyle w:val="Voetnootmarkering"/>
        </w:rPr>
        <w:footnoteRef/>
      </w:r>
      <w:r w:rsidRPr="002810D7">
        <w:rPr>
          <w:lang w:val="de-DE"/>
        </w:rPr>
        <w:t xml:space="preserve"> </w:t>
      </w:r>
      <w:r>
        <w:rPr>
          <w:lang w:val="de-DE"/>
        </w:rPr>
        <w:t>Ebd.</w:t>
      </w:r>
    </w:p>
  </w:footnote>
  <w:footnote w:id="157">
    <w:p w14:paraId="1A47BAFB" w14:textId="160045D4" w:rsidR="005D5A35" w:rsidRPr="002810D7" w:rsidRDefault="005D5A35" w:rsidP="008C36EC">
      <w:pPr>
        <w:pStyle w:val="Voetnoottekst"/>
        <w:rPr>
          <w:lang w:val="de-DE"/>
        </w:rPr>
      </w:pPr>
      <w:r>
        <w:rPr>
          <w:rStyle w:val="Voetnootmarkering"/>
        </w:rPr>
        <w:footnoteRef/>
      </w:r>
      <w:r w:rsidRPr="002810D7">
        <w:rPr>
          <w:lang w:val="de-DE"/>
        </w:rPr>
        <w:t xml:space="preserve"> Kegelmann, S. 5.</w:t>
      </w:r>
    </w:p>
  </w:footnote>
  <w:footnote w:id="158">
    <w:p w14:paraId="4CDCF2D8" w14:textId="309459F9" w:rsidR="005D5A35" w:rsidRPr="00AA6141" w:rsidRDefault="005D5A35" w:rsidP="008C36EC">
      <w:pPr>
        <w:pStyle w:val="Voetnoottekst"/>
        <w:rPr>
          <w:lang w:val="de-DE"/>
        </w:rPr>
      </w:pPr>
      <w:r>
        <w:rPr>
          <w:rStyle w:val="Voetnootmarkering"/>
        </w:rPr>
        <w:footnoteRef/>
      </w:r>
      <w:r w:rsidRPr="00AA6141">
        <w:rPr>
          <w:lang w:val="de-DE"/>
        </w:rPr>
        <w:t xml:space="preserve"> </w:t>
      </w:r>
      <w:r>
        <w:rPr>
          <w:lang w:val="de-DE"/>
        </w:rPr>
        <w:t>Ebd.</w:t>
      </w:r>
    </w:p>
  </w:footnote>
  <w:footnote w:id="159">
    <w:p w14:paraId="5B714F48" w14:textId="37E471B1" w:rsidR="005D5A35" w:rsidRPr="00840541" w:rsidRDefault="005D5A35">
      <w:pPr>
        <w:pStyle w:val="Voetnoottekst"/>
        <w:rPr>
          <w:lang w:val="de-DE"/>
        </w:rPr>
      </w:pPr>
      <w:r>
        <w:rPr>
          <w:rStyle w:val="Voetnootmarkering"/>
        </w:rPr>
        <w:footnoteRef/>
      </w:r>
      <w:r w:rsidRPr="005D5FCA">
        <w:rPr>
          <w:lang w:val="de-DE"/>
        </w:rPr>
        <w:t xml:space="preserve"> </w:t>
      </w:r>
      <w:r>
        <w:rPr>
          <w:lang w:val="de-DE"/>
        </w:rPr>
        <w:t xml:space="preserve">Georg Simmel: „Brücke und Tür“. In: </w:t>
      </w:r>
      <w:r>
        <w:rPr>
          <w:i/>
          <w:lang w:val="de-DE"/>
        </w:rPr>
        <w:t xml:space="preserve">Brücke und Tür. Essays des Philosophen zur Geschichte, Religion, Kunst und Gesellschaft. </w:t>
      </w:r>
      <w:r>
        <w:rPr>
          <w:lang w:val="de-DE"/>
        </w:rPr>
        <w:t>Hg. von Michael Landmann. Stuttgart: K. F. Koehler 1957, S. 5.</w:t>
      </w:r>
    </w:p>
  </w:footnote>
  <w:footnote w:id="160">
    <w:p w14:paraId="2F98E08E" w14:textId="5A0E91EC" w:rsidR="005D5A35" w:rsidRPr="00513AAB" w:rsidRDefault="005D5A35">
      <w:pPr>
        <w:pStyle w:val="Voetnoottekst"/>
        <w:rPr>
          <w:lang w:val="de-DE"/>
        </w:rPr>
      </w:pPr>
      <w:r>
        <w:rPr>
          <w:rStyle w:val="Voetnootmarkering"/>
        </w:rPr>
        <w:footnoteRef/>
      </w:r>
      <w:r w:rsidRPr="00513AAB">
        <w:rPr>
          <w:lang w:val="de-DE"/>
        </w:rPr>
        <w:t xml:space="preserve"> </w:t>
      </w:r>
      <w:r>
        <w:rPr>
          <w:lang w:val="de-DE"/>
        </w:rPr>
        <w:t>Kegelmann, S. 5.</w:t>
      </w:r>
    </w:p>
  </w:footnote>
  <w:footnote w:id="161">
    <w:p w14:paraId="756E2009" w14:textId="182878E9" w:rsidR="005D5A35" w:rsidRPr="00AC233D" w:rsidRDefault="005D5A35">
      <w:pPr>
        <w:pStyle w:val="Voetnoottekst"/>
        <w:rPr>
          <w:lang w:val="de-DE"/>
        </w:rPr>
      </w:pPr>
      <w:r>
        <w:rPr>
          <w:rStyle w:val="Voetnootmarkering"/>
        </w:rPr>
        <w:footnoteRef/>
      </w:r>
      <w:r w:rsidRPr="00AC233D">
        <w:rPr>
          <w:lang w:val="de-DE"/>
        </w:rPr>
        <w:t xml:space="preserve"> </w:t>
      </w:r>
      <w:r>
        <w:rPr>
          <w:lang w:val="de-DE"/>
        </w:rPr>
        <w:t>Kegelmann, S. 5.</w:t>
      </w:r>
      <w:r w:rsidRPr="00AC233D">
        <w:rPr>
          <w:lang w:val="de-DE"/>
        </w:rPr>
        <w:t xml:space="preserve"> </w:t>
      </w:r>
    </w:p>
  </w:footnote>
  <w:footnote w:id="162">
    <w:p w14:paraId="48E7D457" w14:textId="77777777" w:rsidR="005D5A35" w:rsidRPr="00DA4AC2" w:rsidRDefault="005D5A35" w:rsidP="004B7B7D">
      <w:pPr>
        <w:pStyle w:val="Voetnoottekst"/>
        <w:rPr>
          <w:lang w:val="de-DE"/>
        </w:rPr>
      </w:pPr>
      <w:r>
        <w:rPr>
          <w:rStyle w:val="Voetnootmarkering"/>
        </w:rPr>
        <w:footnoteRef/>
      </w:r>
      <w:r w:rsidRPr="00DA4AC2">
        <w:rPr>
          <w:lang w:val="de-DE"/>
        </w:rPr>
        <w:t xml:space="preserve"> Diese Aussage verweist auf Onkel Piri, der seine Tochter Csilla </w:t>
      </w:r>
      <w:r>
        <w:rPr>
          <w:lang w:val="de-DE"/>
        </w:rPr>
        <w:t>verstö</w:t>
      </w:r>
      <w:r>
        <w:rPr>
          <w:rFonts w:cs="Times New Roman"/>
          <w:lang w:val="de-DE"/>
        </w:rPr>
        <w:t>ß</w:t>
      </w:r>
      <w:r>
        <w:rPr>
          <w:lang w:val="de-DE"/>
        </w:rPr>
        <w:t>t, nachdem sie von zuhause weggelaufen ist, um bei ihrem Freund einzuziehen.</w:t>
      </w:r>
    </w:p>
  </w:footnote>
  <w:footnote w:id="163">
    <w:p w14:paraId="00C9F6BC" w14:textId="77777777" w:rsidR="005D5A35" w:rsidRPr="00AB62D0" w:rsidRDefault="005D5A35" w:rsidP="004B7B7D">
      <w:pPr>
        <w:pStyle w:val="Voetnoottekst"/>
        <w:rPr>
          <w:lang w:val="de-DE"/>
        </w:rPr>
      </w:pPr>
      <w:r>
        <w:rPr>
          <w:rStyle w:val="Voetnootmarkering"/>
        </w:rPr>
        <w:footnoteRef/>
      </w:r>
      <w:r w:rsidRPr="00AB62D0">
        <w:rPr>
          <w:lang w:val="de-DE"/>
        </w:rPr>
        <w:t xml:space="preserve"> </w:t>
      </w:r>
      <w:r>
        <w:rPr>
          <w:lang w:val="de-DE"/>
        </w:rPr>
        <w:t>Sofie Decock: „</w:t>
      </w:r>
      <w:r w:rsidRPr="00D645B2">
        <w:rPr>
          <w:lang w:val="de-DE"/>
        </w:rPr>
        <w:t xml:space="preserve">Sich Wohn- und Erzählraum schaffen. Zur Bewältigung von Alterität in Melinda Nadj Abonjis Roman </w:t>
      </w:r>
      <w:r w:rsidRPr="00D645B2">
        <w:rPr>
          <w:i/>
          <w:lang w:val="de-DE"/>
        </w:rPr>
        <w:t>Tauben fliegen auf</w:t>
      </w:r>
      <w:r>
        <w:rPr>
          <w:lang w:val="de-DE"/>
        </w:rPr>
        <w:t>“</w:t>
      </w:r>
      <w:r w:rsidRPr="00D645B2">
        <w:rPr>
          <w:lang w:val="de-DE"/>
        </w:rPr>
        <w:t xml:space="preserve">. In: </w:t>
      </w:r>
      <w:r w:rsidRPr="00D645B2">
        <w:rPr>
          <w:i/>
          <w:lang w:val="de-DE"/>
        </w:rPr>
        <w:t xml:space="preserve">Alterität: Festschrift für Heidy Margrit Müller. </w:t>
      </w:r>
      <w:r w:rsidRPr="00D645B2">
        <w:rPr>
          <w:lang w:val="de-DE"/>
        </w:rPr>
        <w:t>Hg. von Inge Arteel und Katja Lochtman. Tübingen: Stauffenburg 2013,</w:t>
      </w:r>
      <w:r>
        <w:rPr>
          <w:lang w:val="de-DE"/>
        </w:rPr>
        <w:t xml:space="preserve"> S. 117.</w:t>
      </w:r>
    </w:p>
  </w:footnote>
  <w:footnote w:id="164">
    <w:p w14:paraId="5F0B37B4" w14:textId="77777777" w:rsidR="005D5A35" w:rsidRPr="002810D7" w:rsidRDefault="005D5A35" w:rsidP="004B7B7D">
      <w:pPr>
        <w:pStyle w:val="Voetnoottekst"/>
        <w:rPr>
          <w:lang w:val="de-DE"/>
        </w:rPr>
      </w:pPr>
      <w:r>
        <w:rPr>
          <w:rStyle w:val="Voetnootmarkering"/>
        </w:rPr>
        <w:footnoteRef/>
      </w:r>
      <w:r w:rsidRPr="002810D7">
        <w:rPr>
          <w:lang w:val="de-DE"/>
        </w:rPr>
        <w:t xml:space="preserve"> Vgl. Van der Gucht, S. 29.</w:t>
      </w:r>
    </w:p>
  </w:footnote>
  <w:footnote w:id="165">
    <w:p w14:paraId="071EA603" w14:textId="40855DC7" w:rsidR="005D5A35" w:rsidRPr="00AC233D" w:rsidRDefault="005D5A35" w:rsidP="00D738F2">
      <w:pPr>
        <w:pStyle w:val="Voetnoottekst"/>
        <w:rPr>
          <w:lang w:val="de-DE"/>
        </w:rPr>
      </w:pPr>
      <w:r>
        <w:rPr>
          <w:rStyle w:val="Voetnootmarkering"/>
        </w:rPr>
        <w:footnoteRef/>
      </w:r>
      <w:r w:rsidRPr="00AC233D">
        <w:rPr>
          <w:lang w:val="de-DE"/>
        </w:rPr>
        <w:t xml:space="preserve"> Vgl. Kegelmann, S. 3.</w:t>
      </w:r>
    </w:p>
  </w:footnote>
  <w:footnote w:id="166">
    <w:p w14:paraId="5B05A080" w14:textId="13C7B25D" w:rsidR="005D5A35" w:rsidRPr="003D1C4A" w:rsidRDefault="005D5A35">
      <w:pPr>
        <w:pStyle w:val="Voetnoottekst"/>
      </w:pPr>
      <w:r>
        <w:rPr>
          <w:rStyle w:val="Voetnootmarkering"/>
        </w:rPr>
        <w:footnoteRef/>
      </w:r>
      <w:r w:rsidRPr="003D1C4A">
        <w:t xml:space="preserve"> Vgl. Van der Gucht, S. </w:t>
      </w:r>
      <w:r>
        <w:t xml:space="preserve">29f. </w:t>
      </w:r>
    </w:p>
  </w:footnote>
  <w:footnote w:id="167">
    <w:p w14:paraId="7D6E62A5" w14:textId="5200B2B8" w:rsidR="005D5A35" w:rsidRPr="004A37E9" w:rsidRDefault="005D5A35">
      <w:pPr>
        <w:pStyle w:val="Voetnoottekst"/>
        <w:rPr>
          <w:lang w:val="de-DE"/>
        </w:rPr>
      </w:pPr>
      <w:r>
        <w:rPr>
          <w:rStyle w:val="Voetnootmarkering"/>
        </w:rPr>
        <w:footnoteRef/>
      </w:r>
      <w:r w:rsidRPr="004070AD">
        <w:t xml:space="preserve"> Vgl. Anna Babka: „Gayatri C. Spi</w:t>
      </w:r>
      <w:r>
        <w:t>vak</w:t>
      </w:r>
      <w:r w:rsidRPr="004070AD">
        <w:t>“</w:t>
      </w:r>
      <w:r>
        <w:t xml:space="preserve">. </w:t>
      </w:r>
      <w:r w:rsidRPr="004070AD">
        <w:rPr>
          <w:lang w:val="de-DE"/>
        </w:rPr>
        <w:t xml:space="preserve">In: </w:t>
      </w:r>
      <w:r w:rsidRPr="004070AD">
        <w:rPr>
          <w:i/>
          <w:lang w:val="de-DE"/>
        </w:rPr>
        <w:t>Handbuch Postkolonialismus und L</w:t>
      </w:r>
      <w:r>
        <w:rPr>
          <w:i/>
          <w:lang w:val="de-DE"/>
        </w:rPr>
        <w:t xml:space="preserve">iteratur. </w:t>
      </w:r>
      <w:r>
        <w:rPr>
          <w:lang w:val="de-DE"/>
        </w:rPr>
        <w:t xml:space="preserve">Hg. von Dirk Göttsche, Axel Dunker und Gabriele Dürbeck. </w:t>
      </w:r>
      <w:r w:rsidRPr="004A37E9">
        <w:rPr>
          <w:lang w:val="de-DE"/>
        </w:rPr>
        <w:t>Stuttgart: J.B. Metzler 2017, S. 22.</w:t>
      </w:r>
    </w:p>
  </w:footnote>
  <w:footnote w:id="168">
    <w:p w14:paraId="22F11224" w14:textId="1A563874" w:rsidR="005D5A35" w:rsidRPr="00B92F5D" w:rsidRDefault="005D5A35">
      <w:pPr>
        <w:pStyle w:val="Voetnoottekst"/>
        <w:rPr>
          <w:lang w:val="de-DE"/>
        </w:rPr>
      </w:pPr>
      <w:r>
        <w:rPr>
          <w:rStyle w:val="Voetnootmarkering"/>
        </w:rPr>
        <w:footnoteRef/>
      </w:r>
      <w:r w:rsidRPr="00ED1C04">
        <w:rPr>
          <w:lang w:val="en-US"/>
        </w:rPr>
        <w:t xml:space="preserve"> </w:t>
      </w:r>
      <w:r>
        <w:rPr>
          <w:lang w:val="en-US"/>
        </w:rPr>
        <w:t xml:space="preserve">Vgl. </w:t>
      </w:r>
      <w:r w:rsidRPr="00ED1C04">
        <w:rPr>
          <w:lang w:val="en-US"/>
        </w:rPr>
        <w:t xml:space="preserve">Thomas E. Cronin: </w:t>
      </w:r>
      <w:r w:rsidRPr="00ED1C04">
        <w:rPr>
          <w:i/>
          <w:lang w:val="en-US"/>
        </w:rPr>
        <w:t>Direct Democracy.</w:t>
      </w:r>
      <w:r>
        <w:rPr>
          <w:i/>
          <w:lang w:val="en-US"/>
        </w:rPr>
        <w:t xml:space="preserve"> The Politics of Initiative, Referendum, and Recall. </w:t>
      </w:r>
      <w:r w:rsidRPr="00B92F5D">
        <w:rPr>
          <w:lang w:val="de-DE"/>
        </w:rPr>
        <w:t xml:space="preserve">Cambridge: Harvard University Press </w:t>
      </w:r>
      <w:r>
        <w:rPr>
          <w:lang w:val="de-DE"/>
        </w:rPr>
        <w:t>1989, S. 38.</w:t>
      </w:r>
    </w:p>
  </w:footnote>
  <w:footnote w:id="169">
    <w:p w14:paraId="22470A31" w14:textId="565B24A7" w:rsidR="005D5A35" w:rsidRPr="00642DD0" w:rsidRDefault="005D5A35" w:rsidP="00B97746">
      <w:pPr>
        <w:pStyle w:val="Voetnoottekst"/>
        <w:rPr>
          <w:lang w:val="de-DE"/>
        </w:rPr>
      </w:pPr>
      <w:r>
        <w:rPr>
          <w:rStyle w:val="Voetnootmarkering"/>
        </w:rPr>
        <w:footnoteRef/>
      </w:r>
      <w:r w:rsidRPr="00642DD0">
        <w:rPr>
          <w:lang w:val="de-DE"/>
        </w:rPr>
        <w:t xml:space="preserve"> </w:t>
      </w:r>
      <w:r>
        <w:rPr>
          <w:rFonts w:cs="Times New Roman"/>
          <w:lang w:val="de-DE"/>
        </w:rPr>
        <w:t>Ein fakultatives Referendum ist eine „</w:t>
      </w:r>
      <w:r w:rsidRPr="001D6F35">
        <w:rPr>
          <w:lang w:val="de-DE"/>
        </w:rPr>
        <w:t>Volksabstimmung, die auf Verlangen von 50 000 stimmberechti</w:t>
      </w:r>
      <w:r>
        <w:rPr>
          <w:lang w:val="de-DE"/>
        </w:rPr>
        <w:t>gten Schweizerbürgerinnen und -B</w:t>
      </w:r>
      <w:r w:rsidRPr="001D6F35">
        <w:rPr>
          <w:lang w:val="de-DE"/>
        </w:rPr>
        <w:t>ürgern (Volksreferendum) oder acht Kantonen (Kantonsreferendum) über ein neues oder geändertes Bundesgesetz, einen Bundesbeschluss oder bestimmte internationale Ver</w:t>
      </w:r>
      <w:r>
        <w:rPr>
          <w:lang w:val="de-DE"/>
        </w:rPr>
        <w:t>träge durchgeführt wird.“ „</w:t>
      </w:r>
      <w:r w:rsidRPr="001D6F35">
        <w:rPr>
          <w:lang w:val="de-DE"/>
        </w:rPr>
        <w:t>Fakultatives Referendum</w:t>
      </w:r>
      <w:r>
        <w:rPr>
          <w:lang w:val="de-DE"/>
        </w:rPr>
        <w:t>“</w:t>
      </w:r>
      <w:r w:rsidRPr="001D6F35">
        <w:rPr>
          <w:lang w:val="de-DE"/>
        </w:rPr>
        <w:t xml:space="preserve">. </w:t>
      </w:r>
      <w:r w:rsidRPr="001D6F35">
        <w:rPr>
          <w:i/>
          <w:lang w:val="de-DE"/>
        </w:rPr>
        <w:t>Glossar. ABC der politischen Rechte.</w:t>
      </w:r>
      <w:r w:rsidRPr="001D6F35">
        <w:rPr>
          <w:lang w:val="de-DE"/>
        </w:rPr>
        <w:t xml:space="preserve"> Schweizerische Bundeskanzlei. </w:t>
      </w:r>
      <w:hyperlink r:id="rId15" w:history="1">
        <w:r w:rsidRPr="001D6F35">
          <w:rPr>
            <w:rStyle w:val="Hyperlink"/>
            <w:lang w:val="de-DE"/>
          </w:rPr>
          <w:t>https://www.bk.admin.ch/glossar/index.html?action=id&amp;id=61&amp;lang=de</w:t>
        </w:r>
      </w:hyperlink>
      <w:r w:rsidRPr="001D6F35">
        <w:rPr>
          <w:lang w:val="de-DE"/>
        </w:rPr>
        <w:t xml:space="preserve"> (abgerufen am 06.05.2017).</w:t>
      </w:r>
    </w:p>
  </w:footnote>
  <w:footnote w:id="170">
    <w:p w14:paraId="2AFA7350" w14:textId="2964930C" w:rsidR="005D5A35" w:rsidRPr="00137FEA" w:rsidRDefault="005D5A35" w:rsidP="00B97746">
      <w:pPr>
        <w:pStyle w:val="Voetnoottekst"/>
        <w:jc w:val="left"/>
        <w:rPr>
          <w:i/>
          <w:lang w:val="de-DE"/>
        </w:rPr>
      </w:pPr>
      <w:r>
        <w:rPr>
          <w:rStyle w:val="Voetnootmarkering"/>
        </w:rPr>
        <w:footnoteRef/>
      </w:r>
      <w:r w:rsidRPr="00642DD0">
        <w:rPr>
          <w:lang w:val="de-DE"/>
        </w:rPr>
        <w:t xml:space="preserve"> </w:t>
      </w:r>
      <w:r>
        <w:rPr>
          <w:lang w:val="de-DE"/>
        </w:rPr>
        <w:t>Die Bürgerinitiative betrifft die „Eingabe</w:t>
      </w:r>
      <w:r w:rsidRPr="00642DD0">
        <w:rPr>
          <w:lang w:val="de-DE"/>
        </w:rPr>
        <w:t>, mit der 100 000 Stimmberechtigte eine Totalrevision der Bundesverfassung bzw. die Annahme, Aufhebung oder Änderung von Verfassungsbestimmungen verlangen können.“</w:t>
      </w:r>
      <w:r>
        <w:rPr>
          <w:lang w:val="de-DE"/>
        </w:rPr>
        <w:t xml:space="preserve"> </w:t>
      </w:r>
      <w:r>
        <w:rPr>
          <w:lang w:val="de-DE"/>
        </w:rPr>
        <w:br/>
        <w:t>„</w:t>
      </w:r>
      <w:r w:rsidRPr="003221F8">
        <w:rPr>
          <w:lang w:val="de-DE"/>
        </w:rPr>
        <w:t>Volksinitiative in Bundesangelegenheiten; eidgenössische Volksinitiative; Volksinitiative</w:t>
      </w:r>
      <w:r>
        <w:rPr>
          <w:lang w:val="de-DE"/>
        </w:rPr>
        <w:t xml:space="preserve">“. </w:t>
      </w:r>
      <w:r>
        <w:rPr>
          <w:i/>
          <w:lang w:val="de-DE"/>
        </w:rPr>
        <w:t xml:space="preserve">Glossar. </w:t>
      </w:r>
      <w:r w:rsidRPr="001D6F35">
        <w:rPr>
          <w:i/>
          <w:lang w:val="de-DE"/>
        </w:rPr>
        <w:t>ABC der</w:t>
      </w:r>
      <w:r>
        <w:rPr>
          <w:i/>
          <w:lang w:val="de-DE"/>
        </w:rPr>
        <w:t xml:space="preserve"> </w:t>
      </w:r>
      <w:r w:rsidRPr="001D6F35">
        <w:rPr>
          <w:i/>
          <w:lang w:val="de-DE"/>
        </w:rPr>
        <w:t>politischen Rechte.</w:t>
      </w:r>
      <w:r>
        <w:rPr>
          <w:lang w:val="de-DE"/>
        </w:rPr>
        <w:t xml:space="preserve"> </w:t>
      </w:r>
      <w:r w:rsidRPr="001D6F35">
        <w:rPr>
          <w:lang w:val="de-DE"/>
        </w:rPr>
        <w:t xml:space="preserve">Schweizerische Bundeskanzlei. </w:t>
      </w:r>
      <w:hyperlink r:id="rId16" w:history="1">
        <w:r w:rsidRPr="001D6F35">
          <w:rPr>
            <w:rStyle w:val="Hyperlink"/>
            <w:lang w:val="de-DE"/>
          </w:rPr>
          <w:t>https://www.bk.admin.ch/glossar/index.html?action=id&amp;id=61&amp;lang=de</w:t>
        </w:r>
      </w:hyperlink>
      <w:r w:rsidRPr="001D6F35">
        <w:rPr>
          <w:lang w:val="de-DE"/>
        </w:rPr>
        <w:t xml:space="preserve"> (abgerufen am 06.05.2017).</w:t>
      </w:r>
      <w:r>
        <w:rPr>
          <w:lang w:val="de-DE"/>
        </w:rPr>
        <w:t xml:space="preserve"> </w:t>
      </w:r>
    </w:p>
  </w:footnote>
  <w:footnote w:id="171">
    <w:p w14:paraId="2A2878AA" w14:textId="77777777" w:rsidR="005D5A35" w:rsidRPr="001F0836" w:rsidRDefault="005D5A35" w:rsidP="00594B78">
      <w:pPr>
        <w:pStyle w:val="Voetnoottekst"/>
        <w:rPr>
          <w:lang w:val="en-US"/>
        </w:rPr>
      </w:pPr>
      <w:r>
        <w:rPr>
          <w:rStyle w:val="Voetnootmarkering"/>
        </w:rPr>
        <w:footnoteRef/>
      </w:r>
      <w:r w:rsidRPr="001F0836">
        <w:rPr>
          <w:lang w:val="en-US"/>
        </w:rPr>
        <w:t xml:space="preserve"> Vgl. Decock, S. 116.</w:t>
      </w:r>
    </w:p>
  </w:footnote>
  <w:footnote w:id="172">
    <w:p w14:paraId="6DA9D9D6" w14:textId="77777777" w:rsidR="005D5A35" w:rsidRPr="001F0836" w:rsidRDefault="005D5A35" w:rsidP="00594B78">
      <w:pPr>
        <w:pStyle w:val="Voetnoottekst"/>
        <w:rPr>
          <w:lang w:val="en-US"/>
        </w:rPr>
      </w:pPr>
      <w:r>
        <w:rPr>
          <w:rStyle w:val="Voetnootmarkering"/>
        </w:rPr>
        <w:footnoteRef/>
      </w:r>
      <w:r w:rsidRPr="001F0836">
        <w:rPr>
          <w:lang w:val="en-US"/>
        </w:rPr>
        <w:t xml:space="preserve"> Decock, S. 123.</w:t>
      </w:r>
    </w:p>
  </w:footnote>
  <w:footnote w:id="173">
    <w:p w14:paraId="4A39F241" w14:textId="39500450" w:rsidR="005D5A35" w:rsidRPr="003B01A4" w:rsidRDefault="005D5A35">
      <w:pPr>
        <w:pStyle w:val="Voetnoottekst"/>
        <w:rPr>
          <w:lang w:val="de-DE"/>
        </w:rPr>
      </w:pPr>
      <w:r>
        <w:rPr>
          <w:rStyle w:val="Voetnootmarkering"/>
        </w:rPr>
        <w:footnoteRef/>
      </w:r>
      <w:r w:rsidRPr="003B01A4">
        <w:rPr>
          <w:lang w:val="de-DE"/>
        </w:rPr>
        <w:t xml:space="preserve"> </w:t>
      </w:r>
      <w:r>
        <w:rPr>
          <w:lang w:val="de-DE"/>
        </w:rPr>
        <w:t>Decock, S. 118.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740B"/>
    <w:multiLevelType w:val="hybridMultilevel"/>
    <w:tmpl w:val="0A048A4A"/>
    <w:lvl w:ilvl="0" w:tplc="E198150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F86752"/>
    <w:multiLevelType w:val="hybridMultilevel"/>
    <w:tmpl w:val="4AE6F054"/>
    <w:lvl w:ilvl="0" w:tplc="43A8CFCC">
      <w:start w:val="6"/>
      <w:numFmt w:val="bullet"/>
      <w:lvlText w:val="-"/>
      <w:lvlJc w:val="left"/>
      <w:pPr>
        <w:ind w:left="1080" w:hanging="360"/>
      </w:pPr>
      <w:rPr>
        <w:rFonts w:ascii="Times New Roman" w:eastAsiaTheme="minorHAnsi"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B225276"/>
    <w:multiLevelType w:val="hybridMultilevel"/>
    <w:tmpl w:val="65E20602"/>
    <w:lvl w:ilvl="0" w:tplc="C0480A7A">
      <w:start w:val="3"/>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F1412E"/>
    <w:multiLevelType w:val="hybridMultilevel"/>
    <w:tmpl w:val="EE7A7FAA"/>
    <w:lvl w:ilvl="0" w:tplc="DCB8300E">
      <w:start w:val="4"/>
      <w:numFmt w:val="bullet"/>
      <w:lvlText w:val=""/>
      <w:lvlJc w:val="left"/>
      <w:pPr>
        <w:ind w:left="1080" w:hanging="360"/>
      </w:pPr>
      <w:rPr>
        <w:rFonts w:ascii="Wingdings" w:eastAsiaTheme="minorHAnsi"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13107A0A"/>
    <w:multiLevelType w:val="hybridMultilevel"/>
    <w:tmpl w:val="421C7CD0"/>
    <w:lvl w:ilvl="0" w:tplc="25940482">
      <w:start w:val="6"/>
      <w:numFmt w:val="bullet"/>
      <w:lvlText w:val="-"/>
      <w:lvlJc w:val="left"/>
      <w:pPr>
        <w:ind w:left="1440" w:hanging="360"/>
      </w:pPr>
      <w:rPr>
        <w:rFonts w:ascii="Times New Roman" w:eastAsiaTheme="minorHAnsi"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148735C3"/>
    <w:multiLevelType w:val="multilevel"/>
    <w:tmpl w:val="0ADAA1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EC7810"/>
    <w:multiLevelType w:val="hybridMultilevel"/>
    <w:tmpl w:val="952E793C"/>
    <w:lvl w:ilvl="0" w:tplc="A30C7A34">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84959C8"/>
    <w:multiLevelType w:val="hybridMultilevel"/>
    <w:tmpl w:val="5516A702"/>
    <w:lvl w:ilvl="0" w:tplc="61B6F610">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B341DB"/>
    <w:multiLevelType w:val="hybridMultilevel"/>
    <w:tmpl w:val="40B498AE"/>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9" w15:restartNumberingAfterBreak="0">
    <w:nsid w:val="19395B83"/>
    <w:multiLevelType w:val="hybridMultilevel"/>
    <w:tmpl w:val="64AA314A"/>
    <w:lvl w:ilvl="0" w:tplc="E1C010DE">
      <w:start w:val="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C120714"/>
    <w:multiLevelType w:val="hybridMultilevel"/>
    <w:tmpl w:val="E7B2226C"/>
    <w:lvl w:ilvl="0" w:tplc="B4964CC8">
      <w:start w:val="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FBE6BFB"/>
    <w:multiLevelType w:val="hybridMultilevel"/>
    <w:tmpl w:val="2FD800E2"/>
    <w:lvl w:ilvl="0" w:tplc="44DC2404">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2" w15:restartNumberingAfterBreak="0">
    <w:nsid w:val="204F2CB0"/>
    <w:multiLevelType w:val="multilevel"/>
    <w:tmpl w:val="0ADAA1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26C394D"/>
    <w:multiLevelType w:val="multilevel"/>
    <w:tmpl w:val="0ADAA1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D66EE0"/>
    <w:multiLevelType w:val="hybridMultilevel"/>
    <w:tmpl w:val="82961E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EC872A6"/>
    <w:multiLevelType w:val="hybridMultilevel"/>
    <w:tmpl w:val="BD2CF476"/>
    <w:lvl w:ilvl="0" w:tplc="7F4C2054">
      <w:start w:val="6"/>
      <w:numFmt w:val="bullet"/>
      <w:lvlText w:val="-"/>
      <w:lvlJc w:val="left"/>
      <w:pPr>
        <w:ind w:left="1080" w:hanging="360"/>
      </w:pPr>
      <w:rPr>
        <w:rFonts w:ascii="Times New Roman" w:eastAsiaTheme="minorHAnsi"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332A7D1E"/>
    <w:multiLevelType w:val="hybridMultilevel"/>
    <w:tmpl w:val="F0B4A7F6"/>
    <w:lvl w:ilvl="0" w:tplc="8B46997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6422FB8"/>
    <w:multiLevelType w:val="hybridMultilevel"/>
    <w:tmpl w:val="1C5C4332"/>
    <w:lvl w:ilvl="0" w:tplc="7E448C34">
      <w:start w:val="5"/>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64C4F74"/>
    <w:multiLevelType w:val="hybridMultilevel"/>
    <w:tmpl w:val="A0903E9E"/>
    <w:lvl w:ilvl="0" w:tplc="61383F74">
      <w:numFmt w:val="bullet"/>
      <w:lvlText w:val=""/>
      <w:lvlJc w:val="left"/>
      <w:pPr>
        <w:ind w:left="720" w:hanging="360"/>
      </w:pPr>
      <w:rPr>
        <w:rFonts w:ascii="Wingdings" w:eastAsiaTheme="majorEastAsia" w:hAnsi="Wingdings"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5FB5FD6"/>
    <w:multiLevelType w:val="hybridMultilevel"/>
    <w:tmpl w:val="D9DC7148"/>
    <w:lvl w:ilvl="0" w:tplc="D88E6908">
      <w:start w:val="6"/>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83439F1"/>
    <w:multiLevelType w:val="hybridMultilevel"/>
    <w:tmpl w:val="5734ED9E"/>
    <w:lvl w:ilvl="0" w:tplc="0DF00FAA">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5880450"/>
    <w:multiLevelType w:val="hybridMultilevel"/>
    <w:tmpl w:val="9880F786"/>
    <w:lvl w:ilvl="0" w:tplc="7D34D4CE">
      <w:start w:val="4"/>
      <w:numFmt w:val="bullet"/>
      <w:lvlText w:val=""/>
      <w:lvlJc w:val="left"/>
      <w:pPr>
        <w:ind w:left="927" w:hanging="360"/>
      </w:pPr>
      <w:rPr>
        <w:rFonts w:ascii="Wingdings" w:eastAsiaTheme="minorHAnsi" w:hAnsi="Wingdings" w:cs="Times New Roman"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2" w15:restartNumberingAfterBreak="0">
    <w:nsid w:val="64FC6E67"/>
    <w:multiLevelType w:val="hybridMultilevel"/>
    <w:tmpl w:val="4A063D38"/>
    <w:lvl w:ilvl="0" w:tplc="E6BAF388">
      <w:start w:val="6"/>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B670A27"/>
    <w:multiLevelType w:val="hybridMultilevel"/>
    <w:tmpl w:val="D5E069C0"/>
    <w:lvl w:ilvl="0" w:tplc="58EE178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E5E55AA"/>
    <w:multiLevelType w:val="hybridMultilevel"/>
    <w:tmpl w:val="F0F47B2E"/>
    <w:lvl w:ilvl="0" w:tplc="E7BCA03E">
      <w:numFmt w:val="bullet"/>
      <w:lvlText w:val=""/>
      <w:lvlJc w:val="left"/>
      <w:pPr>
        <w:ind w:left="1069" w:hanging="360"/>
      </w:pPr>
      <w:rPr>
        <w:rFonts w:ascii="Wingdings" w:eastAsiaTheme="minorHAnsi" w:hAnsi="Wingdings"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5" w15:restartNumberingAfterBreak="0">
    <w:nsid w:val="7BED7C16"/>
    <w:multiLevelType w:val="multilevel"/>
    <w:tmpl w:val="0ADAA1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F5770F8"/>
    <w:multiLevelType w:val="hybridMultilevel"/>
    <w:tmpl w:val="EEE0AE42"/>
    <w:lvl w:ilvl="0" w:tplc="45E24184">
      <w:numFmt w:val="bullet"/>
      <w:lvlText w:val=""/>
      <w:lvlJc w:val="left"/>
      <w:pPr>
        <w:ind w:left="1069" w:hanging="360"/>
      </w:pPr>
      <w:rPr>
        <w:rFonts w:ascii="Wingdings" w:eastAsiaTheme="minorHAnsi" w:hAnsi="Wingdings"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num w:numId="1">
    <w:abstractNumId w:val="14"/>
  </w:num>
  <w:num w:numId="2">
    <w:abstractNumId w:val="5"/>
  </w:num>
  <w:num w:numId="3">
    <w:abstractNumId w:val="10"/>
  </w:num>
  <w:num w:numId="4">
    <w:abstractNumId w:val="21"/>
  </w:num>
  <w:num w:numId="5">
    <w:abstractNumId w:val="2"/>
  </w:num>
  <w:num w:numId="6">
    <w:abstractNumId w:val="8"/>
  </w:num>
  <w:num w:numId="7">
    <w:abstractNumId w:val="25"/>
  </w:num>
  <w:num w:numId="8">
    <w:abstractNumId w:val="3"/>
  </w:num>
  <w:num w:numId="9">
    <w:abstractNumId w:val="12"/>
  </w:num>
  <w:num w:numId="10">
    <w:abstractNumId w:val="16"/>
  </w:num>
  <w:num w:numId="11">
    <w:abstractNumId w:val="26"/>
  </w:num>
  <w:num w:numId="12">
    <w:abstractNumId w:val="24"/>
  </w:num>
  <w:num w:numId="13">
    <w:abstractNumId w:val="17"/>
  </w:num>
  <w:num w:numId="14">
    <w:abstractNumId w:val="0"/>
  </w:num>
  <w:num w:numId="15">
    <w:abstractNumId w:val="18"/>
  </w:num>
  <w:num w:numId="16">
    <w:abstractNumId w:val="22"/>
  </w:num>
  <w:num w:numId="17">
    <w:abstractNumId w:val="1"/>
  </w:num>
  <w:num w:numId="18">
    <w:abstractNumId w:val="4"/>
  </w:num>
  <w:num w:numId="19">
    <w:abstractNumId w:val="19"/>
  </w:num>
  <w:num w:numId="20">
    <w:abstractNumId w:val="15"/>
  </w:num>
  <w:num w:numId="21">
    <w:abstractNumId w:val="9"/>
  </w:num>
  <w:num w:numId="22">
    <w:abstractNumId w:val="6"/>
  </w:num>
  <w:num w:numId="23">
    <w:abstractNumId w:val="7"/>
  </w:num>
  <w:num w:numId="24">
    <w:abstractNumId w:val="23"/>
  </w:num>
  <w:num w:numId="25">
    <w:abstractNumId w:val="11"/>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F56"/>
    <w:rsid w:val="000006DB"/>
    <w:rsid w:val="00003D61"/>
    <w:rsid w:val="00003F97"/>
    <w:rsid w:val="000064F1"/>
    <w:rsid w:val="00007137"/>
    <w:rsid w:val="0000747E"/>
    <w:rsid w:val="00016C9E"/>
    <w:rsid w:val="00020CB0"/>
    <w:rsid w:val="000212A0"/>
    <w:rsid w:val="00022153"/>
    <w:rsid w:val="00022FCE"/>
    <w:rsid w:val="0002384D"/>
    <w:rsid w:val="0002431F"/>
    <w:rsid w:val="00027B52"/>
    <w:rsid w:val="00027BEA"/>
    <w:rsid w:val="00031100"/>
    <w:rsid w:val="00032D83"/>
    <w:rsid w:val="000349A7"/>
    <w:rsid w:val="00035285"/>
    <w:rsid w:val="00036D79"/>
    <w:rsid w:val="0003753D"/>
    <w:rsid w:val="00037F1B"/>
    <w:rsid w:val="00042498"/>
    <w:rsid w:val="00047DEE"/>
    <w:rsid w:val="00050EAC"/>
    <w:rsid w:val="00051444"/>
    <w:rsid w:val="00053770"/>
    <w:rsid w:val="00054A8C"/>
    <w:rsid w:val="00056169"/>
    <w:rsid w:val="00056598"/>
    <w:rsid w:val="00062575"/>
    <w:rsid w:val="000627DD"/>
    <w:rsid w:val="000629B9"/>
    <w:rsid w:val="000632C9"/>
    <w:rsid w:val="000643FA"/>
    <w:rsid w:val="00070A8B"/>
    <w:rsid w:val="00071752"/>
    <w:rsid w:val="000803D4"/>
    <w:rsid w:val="000806FF"/>
    <w:rsid w:val="0008391B"/>
    <w:rsid w:val="00083BE3"/>
    <w:rsid w:val="0008566C"/>
    <w:rsid w:val="00086088"/>
    <w:rsid w:val="00097108"/>
    <w:rsid w:val="0009763A"/>
    <w:rsid w:val="000A05DB"/>
    <w:rsid w:val="000A1204"/>
    <w:rsid w:val="000A2BA4"/>
    <w:rsid w:val="000A3EA3"/>
    <w:rsid w:val="000A3FC7"/>
    <w:rsid w:val="000A40A5"/>
    <w:rsid w:val="000A4DEC"/>
    <w:rsid w:val="000B1738"/>
    <w:rsid w:val="000B5B08"/>
    <w:rsid w:val="000B5F60"/>
    <w:rsid w:val="000B7935"/>
    <w:rsid w:val="000C0DA9"/>
    <w:rsid w:val="000C0FFC"/>
    <w:rsid w:val="000C2702"/>
    <w:rsid w:val="000C2DFD"/>
    <w:rsid w:val="000C3449"/>
    <w:rsid w:val="000C3515"/>
    <w:rsid w:val="000C3A58"/>
    <w:rsid w:val="000C4CA9"/>
    <w:rsid w:val="000C58E3"/>
    <w:rsid w:val="000C6DF0"/>
    <w:rsid w:val="000C6E31"/>
    <w:rsid w:val="000C746A"/>
    <w:rsid w:val="000D0987"/>
    <w:rsid w:val="000D0CCC"/>
    <w:rsid w:val="000D2464"/>
    <w:rsid w:val="000D4F0F"/>
    <w:rsid w:val="000D781D"/>
    <w:rsid w:val="000D79D7"/>
    <w:rsid w:val="000D7E19"/>
    <w:rsid w:val="000E15E1"/>
    <w:rsid w:val="000E41AB"/>
    <w:rsid w:val="000E44FC"/>
    <w:rsid w:val="000F2229"/>
    <w:rsid w:val="000F2C68"/>
    <w:rsid w:val="00100941"/>
    <w:rsid w:val="00107993"/>
    <w:rsid w:val="001107AD"/>
    <w:rsid w:val="00111978"/>
    <w:rsid w:val="00111C80"/>
    <w:rsid w:val="00111EEE"/>
    <w:rsid w:val="001124CC"/>
    <w:rsid w:val="00114193"/>
    <w:rsid w:val="0011537E"/>
    <w:rsid w:val="00115D9C"/>
    <w:rsid w:val="001203BC"/>
    <w:rsid w:val="001214C3"/>
    <w:rsid w:val="00123AC0"/>
    <w:rsid w:val="00123D9D"/>
    <w:rsid w:val="001261C3"/>
    <w:rsid w:val="00126902"/>
    <w:rsid w:val="0012795D"/>
    <w:rsid w:val="00130182"/>
    <w:rsid w:val="00130275"/>
    <w:rsid w:val="001348EA"/>
    <w:rsid w:val="00136098"/>
    <w:rsid w:val="00137FEA"/>
    <w:rsid w:val="001406E4"/>
    <w:rsid w:val="0014288A"/>
    <w:rsid w:val="00145842"/>
    <w:rsid w:val="001465A7"/>
    <w:rsid w:val="00147ED6"/>
    <w:rsid w:val="00152FF9"/>
    <w:rsid w:val="00153ECD"/>
    <w:rsid w:val="00154E4A"/>
    <w:rsid w:val="0015521C"/>
    <w:rsid w:val="00156A64"/>
    <w:rsid w:val="00157AED"/>
    <w:rsid w:val="001626F9"/>
    <w:rsid w:val="0016439E"/>
    <w:rsid w:val="001650E6"/>
    <w:rsid w:val="001655F1"/>
    <w:rsid w:val="001670FB"/>
    <w:rsid w:val="00167828"/>
    <w:rsid w:val="00167D5F"/>
    <w:rsid w:val="00172DAF"/>
    <w:rsid w:val="00172E72"/>
    <w:rsid w:val="00173B6A"/>
    <w:rsid w:val="00174428"/>
    <w:rsid w:val="00177C1B"/>
    <w:rsid w:val="00181B2A"/>
    <w:rsid w:val="00186103"/>
    <w:rsid w:val="001904CA"/>
    <w:rsid w:val="00190538"/>
    <w:rsid w:val="0019110F"/>
    <w:rsid w:val="001926F4"/>
    <w:rsid w:val="00192A8F"/>
    <w:rsid w:val="00192AAE"/>
    <w:rsid w:val="00194460"/>
    <w:rsid w:val="001946CD"/>
    <w:rsid w:val="00196793"/>
    <w:rsid w:val="00196FB4"/>
    <w:rsid w:val="001975A7"/>
    <w:rsid w:val="001975E9"/>
    <w:rsid w:val="001979DA"/>
    <w:rsid w:val="001A2BCA"/>
    <w:rsid w:val="001A33F1"/>
    <w:rsid w:val="001A36BC"/>
    <w:rsid w:val="001A4C18"/>
    <w:rsid w:val="001A512B"/>
    <w:rsid w:val="001B391E"/>
    <w:rsid w:val="001B3F12"/>
    <w:rsid w:val="001B4E54"/>
    <w:rsid w:val="001B563A"/>
    <w:rsid w:val="001B5DB8"/>
    <w:rsid w:val="001B68A4"/>
    <w:rsid w:val="001B693F"/>
    <w:rsid w:val="001B6D01"/>
    <w:rsid w:val="001B7477"/>
    <w:rsid w:val="001B7A00"/>
    <w:rsid w:val="001C2EB3"/>
    <w:rsid w:val="001C432A"/>
    <w:rsid w:val="001C77F4"/>
    <w:rsid w:val="001D6FAE"/>
    <w:rsid w:val="001E2373"/>
    <w:rsid w:val="001E315E"/>
    <w:rsid w:val="001E46DA"/>
    <w:rsid w:val="001E60E5"/>
    <w:rsid w:val="001E7560"/>
    <w:rsid w:val="001F0836"/>
    <w:rsid w:val="001F10B9"/>
    <w:rsid w:val="001F31F4"/>
    <w:rsid w:val="001F3FDB"/>
    <w:rsid w:val="001F57F8"/>
    <w:rsid w:val="001F5D2B"/>
    <w:rsid w:val="001F615E"/>
    <w:rsid w:val="001F6C41"/>
    <w:rsid w:val="00200A27"/>
    <w:rsid w:val="00204961"/>
    <w:rsid w:val="00204A7A"/>
    <w:rsid w:val="00205FAB"/>
    <w:rsid w:val="00207EE0"/>
    <w:rsid w:val="0021269A"/>
    <w:rsid w:val="00214616"/>
    <w:rsid w:val="002146BB"/>
    <w:rsid w:val="00214E84"/>
    <w:rsid w:val="00216620"/>
    <w:rsid w:val="00216ADF"/>
    <w:rsid w:val="002176AB"/>
    <w:rsid w:val="00222F76"/>
    <w:rsid w:val="00223BDF"/>
    <w:rsid w:val="002261D4"/>
    <w:rsid w:val="00230020"/>
    <w:rsid w:val="002322B9"/>
    <w:rsid w:val="00235536"/>
    <w:rsid w:val="002359C3"/>
    <w:rsid w:val="00236007"/>
    <w:rsid w:val="00240181"/>
    <w:rsid w:val="002405B2"/>
    <w:rsid w:val="00244FB2"/>
    <w:rsid w:val="002456C5"/>
    <w:rsid w:val="00245707"/>
    <w:rsid w:val="00245800"/>
    <w:rsid w:val="002458D9"/>
    <w:rsid w:val="00245E6E"/>
    <w:rsid w:val="00247E4F"/>
    <w:rsid w:val="00250388"/>
    <w:rsid w:val="002523FF"/>
    <w:rsid w:val="002535C8"/>
    <w:rsid w:val="00255675"/>
    <w:rsid w:val="002604E3"/>
    <w:rsid w:val="00260831"/>
    <w:rsid w:val="0026281C"/>
    <w:rsid w:val="0026596E"/>
    <w:rsid w:val="002673D9"/>
    <w:rsid w:val="0026763C"/>
    <w:rsid w:val="00273E92"/>
    <w:rsid w:val="00274DD0"/>
    <w:rsid w:val="002810D7"/>
    <w:rsid w:val="00281928"/>
    <w:rsid w:val="00281A76"/>
    <w:rsid w:val="00283E5A"/>
    <w:rsid w:val="00286640"/>
    <w:rsid w:val="002907CD"/>
    <w:rsid w:val="002935B4"/>
    <w:rsid w:val="00294070"/>
    <w:rsid w:val="00296AFE"/>
    <w:rsid w:val="002A088C"/>
    <w:rsid w:val="002A414A"/>
    <w:rsid w:val="002A5380"/>
    <w:rsid w:val="002B1C09"/>
    <w:rsid w:val="002B2DDD"/>
    <w:rsid w:val="002B51F3"/>
    <w:rsid w:val="002B54F6"/>
    <w:rsid w:val="002B58B4"/>
    <w:rsid w:val="002B701C"/>
    <w:rsid w:val="002B75A6"/>
    <w:rsid w:val="002B78BE"/>
    <w:rsid w:val="002C125D"/>
    <w:rsid w:val="002C2413"/>
    <w:rsid w:val="002C727F"/>
    <w:rsid w:val="002C735E"/>
    <w:rsid w:val="002D07E6"/>
    <w:rsid w:val="002D123E"/>
    <w:rsid w:val="002D58F7"/>
    <w:rsid w:val="002D620F"/>
    <w:rsid w:val="002D6C84"/>
    <w:rsid w:val="002E07BB"/>
    <w:rsid w:val="002E1A5B"/>
    <w:rsid w:val="002E32B1"/>
    <w:rsid w:val="002E3F9A"/>
    <w:rsid w:val="002E49CF"/>
    <w:rsid w:val="002E4F56"/>
    <w:rsid w:val="002E5650"/>
    <w:rsid w:val="002E68E0"/>
    <w:rsid w:val="002E719B"/>
    <w:rsid w:val="002F0199"/>
    <w:rsid w:val="002F0D44"/>
    <w:rsid w:val="002F31C7"/>
    <w:rsid w:val="002F3777"/>
    <w:rsid w:val="002F3AA0"/>
    <w:rsid w:val="002F654D"/>
    <w:rsid w:val="002F679B"/>
    <w:rsid w:val="002F6D3C"/>
    <w:rsid w:val="002F73ED"/>
    <w:rsid w:val="00300C4E"/>
    <w:rsid w:val="003013F8"/>
    <w:rsid w:val="00301F8D"/>
    <w:rsid w:val="00302D1D"/>
    <w:rsid w:val="003039CA"/>
    <w:rsid w:val="003103F8"/>
    <w:rsid w:val="003132B6"/>
    <w:rsid w:val="003133A3"/>
    <w:rsid w:val="003147E9"/>
    <w:rsid w:val="0031687E"/>
    <w:rsid w:val="00316F66"/>
    <w:rsid w:val="003202D2"/>
    <w:rsid w:val="00320A52"/>
    <w:rsid w:val="00320F09"/>
    <w:rsid w:val="0032188D"/>
    <w:rsid w:val="00323CBE"/>
    <w:rsid w:val="00323DC7"/>
    <w:rsid w:val="00325782"/>
    <w:rsid w:val="00331880"/>
    <w:rsid w:val="00332B0D"/>
    <w:rsid w:val="00332C82"/>
    <w:rsid w:val="00332FBA"/>
    <w:rsid w:val="00333A48"/>
    <w:rsid w:val="003357D2"/>
    <w:rsid w:val="00340168"/>
    <w:rsid w:val="0034098C"/>
    <w:rsid w:val="00342438"/>
    <w:rsid w:val="003430EE"/>
    <w:rsid w:val="00343378"/>
    <w:rsid w:val="00343A4D"/>
    <w:rsid w:val="003450AB"/>
    <w:rsid w:val="00345E0F"/>
    <w:rsid w:val="003460AB"/>
    <w:rsid w:val="0034723D"/>
    <w:rsid w:val="003510D8"/>
    <w:rsid w:val="003515E7"/>
    <w:rsid w:val="0035185A"/>
    <w:rsid w:val="003521A1"/>
    <w:rsid w:val="003538C0"/>
    <w:rsid w:val="00353E7A"/>
    <w:rsid w:val="00356567"/>
    <w:rsid w:val="00360AE1"/>
    <w:rsid w:val="00361ACD"/>
    <w:rsid w:val="003621A9"/>
    <w:rsid w:val="00362C17"/>
    <w:rsid w:val="0036372C"/>
    <w:rsid w:val="00363740"/>
    <w:rsid w:val="00364594"/>
    <w:rsid w:val="00365820"/>
    <w:rsid w:val="003663F9"/>
    <w:rsid w:val="00370FDB"/>
    <w:rsid w:val="00374422"/>
    <w:rsid w:val="00377391"/>
    <w:rsid w:val="0037789F"/>
    <w:rsid w:val="0038144D"/>
    <w:rsid w:val="0038231D"/>
    <w:rsid w:val="0038265D"/>
    <w:rsid w:val="0038342A"/>
    <w:rsid w:val="00384B7C"/>
    <w:rsid w:val="00386299"/>
    <w:rsid w:val="003864C0"/>
    <w:rsid w:val="00386901"/>
    <w:rsid w:val="003870D8"/>
    <w:rsid w:val="003877E1"/>
    <w:rsid w:val="00387F23"/>
    <w:rsid w:val="00390CE4"/>
    <w:rsid w:val="00390E58"/>
    <w:rsid w:val="003916B3"/>
    <w:rsid w:val="0039259C"/>
    <w:rsid w:val="003931DE"/>
    <w:rsid w:val="00393894"/>
    <w:rsid w:val="0039473E"/>
    <w:rsid w:val="00395402"/>
    <w:rsid w:val="00395685"/>
    <w:rsid w:val="00397750"/>
    <w:rsid w:val="003A21E2"/>
    <w:rsid w:val="003A2A69"/>
    <w:rsid w:val="003A2D3D"/>
    <w:rsid w:val="003A300A"/>
    <w:rsid w:val="003A673E"/>
    <w:rsid w:val="003A69CD"/>
    <w:rsid w:val="003A6A67"/>
    <w:rsid w:val="003A73C6"/>
    <w:rsid w:val="003A7A4B"/>
    <w:rsid w:val="003B01A4"/>
    <w:rsid w:val="003B408D"/>
    <w:rsid w:val="003B41A3"/>
    <w:rsid w:val="003B4930"/>
    <w:rsid w:val="003B4DCA"/>
    <w:rsid w:val="003B7274"/>
    <w:rsid w:val="003C0284"/>
    <w:rsid w:val="003C0889"/>
    <w:rsid w:val="003C236D"/>
    <w:rsid w:val="003C257B"/>
    <w:rsid w:val="003C359C"/>
    <w:rsid w:val="003C4173"/>
    <w:rsid w:val="003C5DFD"/>
    <w:rsid w:val="003D088B"/>
    <w:rsid w:val="003D1C4A"/>
    <w:rsid w:val="003D1C6B"/>
    <w:rsid w:val="003D4255"/>
    <w:rsid w:val="003D5A03"/>
    <w:rsid w:val="003D67A3"/>
    <w:rsid w:val="003D6BEC"/>
    <w:rsid w:val="003D6D93"/>
    <w:rsid w:val="003D7CBE"/>
    <w:rsid w:val="003E12B7"/>
    <w:rsid w:val="003E3A6C"/>
    <w:rsid w:val="003E465F"/>
    <w:rsid w:val="003E5210"/>
    <w:rsid w:val="003E590D"/>
    <w:rsid w:val="003E6273"/>
    <w:rsid w:val="003E6E64"/>
    <w:rsid w:val="003E78E5"/>
    <w:rsid w:val="003F0F48"/>
    <w:rsid w:val="003F25F4"/>
    <w:rsid w:val="003F31F0"/>
    <w:rsid w:val="003F40B1"/>
    <w:rsid w:val="003F445F"/>
    <w:rsid w:val="003F4896"/>
    <w:rsid w:val="003F75E5"/>
    <w:rsid w:val="00400C8F"/>
    <w:rsid w:val="004013D5"/>
    <w:rsid w:val="004042E5"/>
    <w:rsid w:val="004070AD"/>
    <w:rsid w:val="00410450"/>
    <w:rsid w:val="00411329"/>
    <w:rsid w:val="00414A04"/>
    <w:rsid w:val="004173D7"/>
    <w:rsid w:val="0042080B"/>
    <w:rsid w:val="00425F08"/>
    <w:rsid w:val="004264A9"/>
    <w:rsid w:val="00427BD9"/>
    <w:rsid w:val="004303B1"/>
    <w:rsid w:val="0043049A"/>
    <w:rsid w:val="004304C2"/>
    <w:rsid w:val="00431A62"/>
    <w:rsid w:val="0043388D"/>
    <w:rsid w:val="0043447A"/>
    <w:rsid w:val="00437A1C"/>
    <w:rsid w:val="00441C62"/>
    <w:rsid w:val="00442D42"/>
    <w:rsid w:val="00442E55"/>
    <w:rsid w:val="00443320"/>
    <w:rsid w:val="0044359B"/>
    <w:rsid w:val="00443F40"/>
    <w:rsid w:val="00444585"/>
    <w:rsid w:val="004448DB"/>
    <w:rsid w:val="00444C89"/>
    <w:rsid w:val="00445821"/>
    <w:rsid w:val="00450067"/>
    <w:rsid w:val="004508A0"/>
    <w:rsid w:val="00452CC4"/>
    <w:rsid w:val="00453F68"/>
    <w:rsid w:val="004556DF"/>
    <w:rsid w:val="004565AE"/>
    <w:rsid w:val="00456971"/>
    <w:rsid w:val="00460C1B"/>
    <w:rsid w:val="00462C71"/>
    <w:rsid w:val="00463774"/>
    <w:rsid w:val="00464894"/>
    <w:rsid w:val="00466347"/>
    <w:rsid w:val="0047053D"/>
    <w:rsid w:val="0048054F"/>
    <w:rsid w:val="004813AA"/>
    <w:rsid w:val="00483FA7"/>
    <w:rsid w:val="00484E6D"/>
    <w:rsid w:val="0048505E"/>
    <w:rsid w:val="0048604F"/>
    <w:rsid w:val="00486B0F"/>
    <w:rsid w:val="00486D3C"/>
    <w:rsid w:val="0049007C"/>
    <w:rsid w:val="0049048A"/>
    <w:rsid w:val="004928BB"/>
    <w:rsid w:val="0049365C"/>
    <w:rsid w:val="00494501"/>
    <w:rsid w:val="00494B74"/>
    <w:rsid w:val="0049504E"/>
    <w:rsid w:val="00496266"/>
    <w:rsid w:val="00496998"/>
    <w:rsid w:val="004A2668"/>
    <w:rsid w:val="004A37E9"/>
    <w:rsid w:val="004A432E"/>
    <w:rsid w:val="004A7BF1"/>
    <w:rsid w:val="004B0137"/>
    <w:rsid w:val="004B09CC"/>
    <w:rsid w:val="004B0C1F"/>
    <w:rsid w:val="004B3586"/>
    <w:rsid w:val="004B6311"/>
    <w:rsid w:val="004B6FAF"/>
    <w:rsid w:val="004B7B7D"/>
    <w:rsid w:val="004C0139"/>
    <w:rsid w:val="004C0929"/>
    <w:rsid w:val="004C1B55"/>
    <w:rsid w:val="004C1EA9"/>
    <w:rsid w:val="004C349E"/>
    <w:rsid w:val="004C3E88"/>
    <w:rsid w:val="004C5731"/>
    <w:rsid w:val="004D0255"/>
    <w:rsid w:val="004D26EB"/>
    <w:rsid w:val="004D362A"/>
    <w:rsid w:val="004D45F2"/>
    <w:rsid w:val="004D4C06"/>
    <w:rsid w:val="004D4D72"/>
    <w:rsid w:val="004D6560"/>
    <w:rsid w:val="004D6F24"/>
    <w:rsid w:val="004E17F5"/>
    <w:rsid w:val="004E1B2A"/>
    <w:rsid w:val="004E33B4"/>
    <w:rsid w:val="004E576C"/>
    <w:rsid w:val="004E640A"/>
    <w:rsid w:val="004F0492"/>
    <w:rsid w:val="004F28D7"/>
    <w:rsid w:val="004F3D70"/>
    <w:rsid w:val="004F4483"/>
    <w:rsid w:val="004F5FF8"/>
    <w:rsid w:val="004F666D"/>
    <w:rsid w:val="004F677D"/>
    <w:rsid w:val="004F678E"/>
    <w:rsid w:val="00503121"/>
    <w:rsid w:val="0050393E"/>
    <w:rsid w:val="00504867"/>
    <w:rsid w:val="00504EA2"/>
    <w:rsid w:val="00505596"/>
    <w:rsid w:val="00505C82"/>
    <w:rsid w:val="005118B9"/>
    <w:rsid w:val="005120FE"/>
    <w:rsid w:val="005124FD"/>
    <w:rsid w:val="00513AAB"/>
    <w:rsid w:val="00515EEF"/>
    <w:rsid w:val="00521556"/>
    <w:rsid w:val="0052280E"/>
    <w:rsid w:val="00522D49"/>
    <w:rsid w:val="00524A89"/>
    <w:rsid w:val="00525977"/>
    <w:rsid w:val="00527820"/>
    <w:rsid w:val="00527D52"/>
    <w:rsid w:val="00532503"/>
    <w:rsid w:val="00533244"/>
    <w:rsid w:val="005340F2"/>
    <w:rsid w:val="00536647"/>
    <w:rsid w:val="00536C37"/>
    <w:rsid w:val="00540BBC"/>
    <w:rsid w:val="00542189"/>
    <w:rsid w:val="0054249D"/>
    <w:rsid w:val="0054393F"/>
    <w:rsid w:val="00544520"/>
    <w:rsid w:val="00551024"/>
    <w:rsid w:val="00551048"/>
    <w:rsid w:val="0055210F"/>
    <w:rsid w:val="005521DF"/>
    <w:rsid w:val="00552D04"/>
    <w:rsid w:val="00556380"/>
    <w:rsid w:val="00556878"/>
    <w:rsid w:val="00556C4D"/>
    <w:rsid w:val="00561043"/>
    <w:rsid w:val="00561055"/>
    <w:rsid w:val="005615D9"/>
    <w:rsid w:val="00562ABD"/>
    <w:rsid w:val="00566415"/>
    <w:rsid w:val="005667F1"/>
    <w:rsid w:val="005707D9"/>
    <w:rsid w:val="00571574"/>
    <w:rsid w:val="00572097"/>
    <w:rsid w:val="005761B2"/>
    <w:rsid w:val="00577B41"/>
    <w:rsid w:val="00577CE7"/>
    <w:rsid w:val="00580E26"/>
    <w:rsid w:val="005815DF"/>
    <w:rsid w:val="005822A2"/>
    <w:rsid w:val="0058234A"/>
    <w:rsid w:val="00585219"/>
    <w:rsid w:val="00585E09"/>
    <w:rsid w:val="0058696B"/>
    <w:rsid w:val="0058741E"/>
    <w:rsid w:val="00590BE4"/>
    <w:rsid w:val="00591BEB"/>
    <w:rsid w:val="005928A6"/>
    <w:rsid w:val="00593E2F"/>
    <w:rsid w:val="005943B3"/>
    <w:rsid w:val="00594B78"/>
    <w:rsid w:val="005A1642"/>
    <w:rsid w:val="005A1B9F"/>
    <w:rsid w:val="005A1C22"/>
    <w:rsid w:val="005A29A0"/>
    <w:rsid w:val="005A2A7E"/>
    <w:rsid w:val="005A2F12"/>
    <w:rsid w:val="005A3215"/>
    <w:rsid w:val="005A35AD"/>
    <w:rsid w:val="005A4AF7"/>
    <w:rsid w:val="005A704F"/>
    <w:rsid w:val="005B2738"/>
    <w:rsid w:val="005B4611"/>
    <w:rsid w:val="005B5D38"/>
    <w:rsid w:val="005B62A6"/>
    <w:rsid w:val="005B7404"/>
    <w:rsid w:val="005B7DEA"/>
    <w:rsid w:val="005C289A"/>
    <w:rsid w:val="005C2F37"/>
    <w:rsid w:val="005C4BC2"/>
    <w:rsid w:val="005D0D5F"/>
    <w:rsid w:val="005D1448"/>
    <w:rsid w:val="005D37C6"/>
    <w:rsid w:val="005D5A35"/>
    <w:rsid w:val="005D5FCA"/>
    <w:rsid w:val="005D6D16"/>
    <w:rsid w:val="005E2486"/>
    <w:rsid w:val="005E31BC"/>
    <w:rsid w:val="005E3280"/>
    <w:rsid w:val="005E5DA5"/>
    <w:rsid w:val="005E6AFB"/>
    <w:rsid w:val="005F2FFF"/>
    <w:rsid w:val="005F540F"/>
    <w:rsid w:val="005F5462"/>
    <w:rsid w:val="005F579A"/>
    <w:rsid w:val="005F72D2"/>
    <w:rsid w:val="006005BC"/>
    <w:rsid w:val="00600FB8"/>
    <w:rsid w:val="006013A6"/>
    <w:rsid w:val="0060285B"/>
    <w:rsid w:val="0060325A"/>
    <w:rsid w:val="0060350D"/>
    <w:rsid w:val="0060532D"/>
    <w:rsid w:val="00610F28"/>
    <w:rsid w:val="006136A7"/>
    <w:rsid w:val="0061404B"/>
    <w:rsid w:val="00615096"/>
    <w:rsid w:val="00617A59"/>
    <w:rsid w:val="00620F7B"/>
    <w:rsid w:val="0062218B"/>
    <w:rsid w:val="006237CE"/>
    <w:rsid w:val="00626998"/>
    <w:rsid w:val="00627A6C"/>
    <w:rsid w:val="006305C7"/>
    <w:rsid w:val="0063094E"/>
    <w:rsid w:val="00634D7B"/>
    <w:rsid w:val="00640550"/>
    <w:rsid w:val="00641073"/>
    <w:rsid w:val="006414D0"/>
    <w:rsid w:val="00641904"/>
    <w:rsid w:val="00641AE6"/>
    <w:rsid w:val="00642DD0"/>
    <w:rsid w:val="006436B0"/>
    <w:rsid w:val="0064788B"/>
    <w:rsid w:val="00647FFC"/>
    <w:rsid w:val="006520AD"/>
    <w:rsid w:val="00653349"/>
    <w:rsid w:val="006542DD"/>
    <w:rsid w:val="00655372"/>
    <w:rsid w:val="0065587D"/>
    <w:rsid w:val="0065760A"/>
    <w:rsid w:val="00660693"/>
    <w:rsid w:val="006613ED"/>
    <w:rsid w:val="00661720"/>
    <w:rsid w:val="00661A20"/>
    <w:rsid w:val="00661EEB"/>
    <w:rsid w:val="00662E3E"/>
    <w:rsid w:val="0066440E"/>
    <w:rsid w:val="0066447B"/>
    <w:rsid w:val="0066448D"/>
    <w:rsid w:val="006657B4"/>
    <w:rsid w:val="00666E04"/>
    <w:rsid w:val="00667B0A"/>
    <w:rsid w:val="00667EA6"/>
    <w:rsid w:val="00673F6D"/>
    <w:rsid w:val="00674CFA"/>
    <w:rsid w:val="00676730"/>
    <w:rsid w:val="00677AAA"/>
    <w:rsid w:val="00681BF9"/>
    <w:rsid w:val="00682B49"/>
    <w:rsid w:val="006835E2"/>
    <w:rsid w:val="00684325"/>
    <w:rsid w:val="006843D4"/>
    <w:rsid w:val="00684B4A"/>
    <w:rsid w:val="0068639B"/>
    <w:rsid w:val="00692C36"/>
    <w:rsid w:val="00695566"/>
    <w:rsid w:val="006A1974"/>
    <w:rsid w:val="006A4DB2"/>
    <w:rsid w:val="006A4F04"/>
    <w:rsid w:val="006B0278"/>
    <w:rsid w:val="006B1298"/>
    <w:rsid w:val="006B1E38"/>
    <w:rsid w:val="006B4270"/>
    <w:rsid w:val="006B5280"/>
    <w:rsid w:val="006B5627"/>
    <w:rsid w:val="006B6A80"/>
    <w:rsid w:val="006C2169"/>
    <w:rsid w:val="006C29C4"/>
    <w:rsid w:val="006C2AD5"/>
    <w:rsid w:val="006C2C1B"/>
    <w:rsid w:val="006C3B10"/>
    <w:rsid w:val="006C3F70"/>
    <w:rsid w:val="006C40EA"/>
    <w:rsid w:val="006C655A"/>
    <w:rsid w:val="006C773E"/>
    <w:rsid w:val="006C7C30"/>
    <w:rsid w:val="006D083E"/>
    <w:rsid w:val="006D2571"/>
    <w:rsid w:val="006D2DBF"/>
    <w:rsid w:val="006D5C1F"/>
    <w:rsid w:val="006D6304"/>
    <w:rsid w:val="006D78C8"/>
    <w:rsid w:val="006E080C"/>
    <w:rsid w:val="006E123B"/>
    <w:rsid w:val="006E1C9E"/>
    <w:rsid w:val="006E2235"/>
    <w:rsid w:val="006E31BC"/>
    <w:rsid w:val="006E4D10"/>
    <w:rsid w:val="006E6A7A"/>
    <w:rsid w:val="006E7E62"/>
    <w:rsid w:val="006F0700"/>
    <w:rsid w:val="006F0754"/>
    <w:rsid w:val="006F1099"/>
    <w:rsid w:val="006F12CD"/>
    <w:rsid w:val="006F2EC2"/>
    <w:rsid w:val="006F4CA0"/>
    <w:rsid w:val="006F555F"/>
    <w:rsid w:val="006F6319"/>
    <w:rsid w:val="00700402"/>
    <w:rsid w:val="00701FE8"/>
    <w:rsid w:val="007021FB"/>
    <w:rsid w:val="007023BD"/>
    <w:rsid w:val="007052A2"/>
    <w:rsid w:val="00705379"/>
    <w:rsid w:val="00706AF8"/>
    <w:rsid w:val="00707709"/>
    <w:rsid w:val="00707F79"/>
    <w:rsid w:val="00710BE9"/>
    <w:rsid w:val="007125BD"/>
    <w:rsid w:val="0071400F"/>
    <w:rsid w:val="007144F4"/>
    <w:rsid w:val="007157B3"/>
    <w:rsid w:val="00716D22"/>
    <w:rsid w:val="00717A7D"/>
    <w:rsid w:val="00717A87"/>
    <w:rsid w:val="00720CAB"/>
    <w:rsid w:val="00720F46"/>
    <w:rsid w:val="0072154D"/>
    <w:rsid w:val="0072459B"/>
    <w:rsid w:val="0072461E"/>
    <w:rsid w:val="007246B2"/>
    <w:rsid w:val="00724CED"/>
    <w:rsid w:val="00725134"/>
    <w:rsid w:val="007262F6"/>
    <w:rsid w:val="00730542"/>
    <w:rsid w:val="007306A5"/>
    <w:rsid w:val="0073283F"/>
    <w:rsid w:val="007328B6"/>
    <w:rsid w:val="00733006"/>
    <w:rsid w:val="00733448"/>
    <w:rsid w:val="00734850"/>
    <w:rsid w:val="00736434"/>
    <w:rsid w:val="007371D9"/>
    <w:rsid w:val="00737F4E"/>
    <w:rsid w:val="00742002"/>
    <w:rsid w:val="00744810"/>
    <w:rsid w:val="0074602C"/>
    <w:rsid w:val="007471B0"/>
    <w:rsid w:val="007522C0"/>
    <w:rsid w:val="00752739"/>
    <w:rsid w:val="007535FB"/>
    <w:rsid w:val="00753E13"/>
    <w:rsid w:val="00753E25"/>
    <w:rsid w:val="00757968"/>
    <w:rsid w:val="00760ECD"/>
    <w:rsid w:val="00761048"/>
    <w:rsid w:val="00762C56"/>
    <w:rsid w:val="00763D68"/>
    <w:rsid w:val="00766962"/>
    <w:rsid w:val="007760AD"/>
    <w:rsid w:val="00776205"/>
    <w:rsid w:val="007769ED"/>
    <w:rsid w:val="00777197"/>
    <w:rsid w:val="007777BE"/>
    <w:rsid w:val="00781C6B"/>
    <w:rsid w:val="007821BC"/>
    <w:rsid w:val="007824DE"/>
    <w:rsid w:val="00782C5E"/>
    <w:rsid w:val="007833D9"/>
    <w:rsid w:val="007844B0"/>
    <w:rsid w:val="00784AAE"/>
    <w:rsid w:val="0078566E"/>
    <w:rsid w:val="00785FDE"/>
    <w:rsid w:val="00786380"/>
    <w:rsid w:val="007865E6"/>
    <w:rsid w:val="007879C2"/>
    <w:rsid w:val="00792E06"/>
    <w:rsid w:val="007A074D"/>
    <w:rsid w:val="007A1F48"/>
    <w:rsid w:val="007A28CC"/>
    <w:rsid w:val="007A3F5F"/>
    <w:rsid w:val="007A6CAA"/>
    <w:rsid w:val="007B16B0"/>
    <w:rsid w:val="007B1CE5"/>
    <w:rsid w:val="007B304E"/>
    <w:rsid w:val="007B3D4D"/>
    <w:rsid w:val="007B433E"/>
    <w:rsid w:val="007B520D"/>
    <w:rsid w:val="007B530A"/>
    <w:rsid w:val="007C1001"/>
    <w:rsid w:val="007C1E52"/>
    <w:rsid w:val="007C23B9"/>
    <w:rsid w:val="007C3339"/>
    <w:rsid w:val="007C46C4"/>
    <w:rsid w:val="007C5D2D"/>
    <w:rsid w:val="007D1C02"/>
    <w:rsid w:val="007D297D"/>
    <w:rsid w:val="007D3BC4"/>
    <w:rsid w:val="007D4D26"/>
    <w:rsid w:val="007D524E"/>
    <w:rsid w:val="007D5B4C"/>
    <w:rsid w:val="007E159F"/>
    <w:rsid w:val="007E1A5A"/>
    <w:rsid w:val="007E4A6C"/>
    <w:rsid w:val="007E5154"/>
    <w:rsid w:val="007E6BB0"/>
    <w:rsid w:val="007F0C38"/>
    <w:rsid w:val="007F3FF0"/>
    <w:rsid w:val="007F418E"/>
    <w:rsid w:val="007F5DB1"/>
    <w:rsid w:val="007F6987"/>
    <w:rsid w:val="007F7B3A"/>
    <w:rsid w:val="007F7D3B"/>
    <w:rsid w:val="0080064F"/>
    <w:rsid w:val="008055F3"/>
    <w:rsid w:val="0080624A"/>
    <w:rsid w:val="00806CD2"/>
    <w:rsid w:val="00810011"/>
    <w:rsid w:val="008108E4"/>
    <w:rsid w:val="00811041"/>
    <w:rsid w:val="00811C9A"/>
    <w:rsid w:val="00811D90"/>
    <w:rsid w:val="00812D82"/>
    <w:rsid w:val="00813289"/>
    <w:rsid w:val="008149EC"/>
    <w:rsid w:val="008152F5"/>
    <w:rsid w:val="008174D5"/>
    <w:rsid w:val="00821197"/>
    <w:rsid w:val="00823AE3"/>
    <w:rsid w:val="008240CB"/>
    <w:rsid w:val="00826583"/>
    <w:rsid w:val="00831FD3"/>
    <w:rsid w:val="008321AF"/>
    <w:rsid w:val="008328AC"/>
    <w:rsid w:val="0083452F"/>
    <w:rsid w:val="00834975"/>
    <w:rsid w:val="00835BDF"/>
    <w:rsid w:val="008365BD"/>
    <w:rsid w:val="00840541"/>
    <w:rsid w:val="0084054B"/>
    <w:rsid w:val="00840854"/>
    <w:rsid w:val="00842E26"/>
    <w:rsid w:val="0084395E"/>
    <w:rsid w:val="00843D3F"/>
    <w:rsid w:val="0084701D"/>
    <w:rsid w:val="00847039"/>
    <w:rsid w:val="0084720D"/>
    <w:rsid w:val="0085238F"/>
    <w:rsid w:val="00852C2F"/>
    <w:rsid w:val="0085340A"/>
    <w:rsid w:val="00855F5F"/>
    <w:rsid w:val="00857D2E"/>
    <w:rsid w:val="00857F1A"/>
    <w:rsid w:val="0086088A"/>
    <w:rsid w:val="00865145"/>
    <w:rsid w:val="008659AB"/>
    <w:rsid w:val="008661ED"/>
    <w:rsid w:val="00866DD6"/>
    <w:rsid w:val="008705BC"/>
    <w:rsid w:val="008757A2"/>
    <w:rsid w:val="00875F2B"/>
    <w:rsid w:val="00876FA6"/>
    <w:rsid w:val="008821AD"/>
    <w:rsid w:val="0088284F"/>
    <w:rsid w:val="00890862"/>
    <w:rsid w:val="0089134B"/>
    <w:rsid w:val="0089215E"/>
    <w:rsid w:val="0089260F"/>
    <w:rsid w:val="008933C9"/>
    <w:rsid w:val="00894473"/>
    <w:rsid w:val="008945DA"/>
    <w:rsid w:val="00895409"/>
    <w:rsid w:val="00895CBA"/>
    <w:rsid w:val="00896C9E"/>
    <w:rsid w:val="00897420"/>
    <w:rsid w:val="00897AF7"/>
    <w:rsid w:val="008A0333"/>
    <w:rsid w:val="008A1D5F"/>
    <w:rsid w:val="008A3B2E"/>
    <w:rsid w:val="008A4E58"/>
    <w:rsid w:val="008A5EC1"/>
    <w:rsid w:val="008B006B"/>
    <w:rsid w:val="008B0D4A"/>
    <w:rsid w:val="008B117D"/>
    <w:rsid w:val="008B1290"/>
    <w:rsid w:val="008B34C7"/>
    <w:rsid w:val="008B5868"/>
    <w:rsid w:val="008C1355"/>
    <w:rsid w:val="008C1971"/>
    <w:rsid w:val="008C2CBD"/>
    <w:rsid w:val="008C36EC"/>
    <w:rsid w:val="008C551F"/>
    <w:rsid w:val="008C6480"/>
    <w:rsid w:val="008C6768"/>
    <w:rsid w:val="008D1401"/>
    <w:rsid w:val="008D1764"/>
    <w:rsid w:val="008D18B7"/>
    <w:rsid w:val="008D199A"/>
    <w:rsid w:val="008E213E"/>
    <w:rsid w:val="008E3861"/>
    <w:rsid w:val="008E43C9"/>
    <w:rsid w:val="008E4902"/>
    <w:rsid w:val="008E4AA0"/>
    <w:rsid w:val="008E5AD5"/>
    <w:rsid w:val="008E6143"/>
    <w:rsid w:val="008E7894"/>
    <w:rsid w:val="008F13E7"/>
    <w:rsid w:val="008F1F7B"/>
    <w:rsid w:val="008F20B6"/>
    <w:rsid w:val="008F253F"/>
    <w:rsid w:val="008F7702"/>
    <w:rsid w:val="008F7740"/>
    <w:rsid w:val="009008D5"/>
    <w:rsid w:val="00902CD7"/>
    <w:rsid w:val="009041F2"/>
    <w:rsid w:val="00904CBD"/>
    <w:rsid w:val="00904E16"/>
    <w:rsid w:val="00905DCC"/>
    <w:rsid w:val="009064D9"/>
    <w:rsid w:val="00906DA8"/>
    <w:rsid w:val="00907997"/>
    <w:rsid w:val="00907BEC"/>
    <w:rsid w:val="00907F66"/>
    <w:rsid w:val="00910F82"/>
    <w:rsid w:val="00911194"/>
    <w:rsid w:val="00912D4D"/>
    <w:rsid w:val="0091323C"/>
    <w:rsid w:val="00915008"/>
    <w:rsid w:val="0091545C"/>
    <w:rsid w:val="00915564"/>
    <w:rsid w:val="0092412A"/>
    <w:rsid w:val="00924C22"/>
    <w:rsid w:val="00925953"/>
    <w:rsid w:val="0092711A"/>
    <w:rsid w:val="00927569"/>
    <w:rsid w:val="009315D6"/>
    <w:rsid w:val="00931780"/>
    <w:rsid w:val="009347EE"/>
    <w:rsid w:val="00935575"/>
    <w:rsid w:val="0093788A"/>
    <w:rsid w:val="0094317F"/>
    <w:rsid w:val="009453D6"/>
    <w:rsid w:val="0094600B"/>
    <w:rsid w:val="0094671D"/>
    <w:rsid w:val="00951615"/>
    <w:rsid w:val="009521BF"/>
    <w:rsid w:val="00952343"/>
    <w:rsid w:val="00952931"/>
    <w:rsid w:val="00952C28"/>
    <w:rsid w:val="00955BD1"/>
    <w:rsid w:val="009564A6"/>
    <w:rsid w:val="0096175B"/>
    <w:rsid w:val="00962684"/>
    <w:rsid w:val="0096360F"/>
    <w:rsid w:val="00963812"/>
    <w:rsid w:val="00964A86"/>
    <w:rsid w:val="00965903"/>
    <w:rsid w:val="00966A8A"/>
    <w:rsid w:val="00971E12"/>
    <w:rsid w:val="009748D5"/>
    <w:rsid w:val="00980FA5"/>
    <w:rsid w:val="009818AC"/>
    <w:rsid w:val="00983903"/>
    <w:rsid w:val="00983AB1"/>
    <w:rsid w:val="0098571C"/>
    <w:rsid w:val="00985962"/>
    <w:rsid w:val="009859D5"/>
    <w:rsid w:val="00992B8A"/>
    <w:rsid w:val="00993946"/>
    <w:rsid w:val="00995CCB"/>
    <w:rsid w:val="00996151"/>
    <w:rsid w:val="0099766F"/>
    <w:rsid w:val="009A0E6B"/>
    <w:rsid w:val="009A2E2B"/>
    <w:rsid w:val="009A56CA"/>
    <w:rsid w:val="009B2B33"/>
    <w:rsid w:val="009B626A"/>
    <w:rsid w:val="009C15B7"/>
    <w:rsid w:val="009C1EDF"/>
    <w:rsid w:val="009C1F8B"/>
    <w:rsid w:val="009C29F0"/>
    <w:rsid w:val="009C3314"/>
    <w:rsid w:val="009C5E1E"/>
    <w:rsid w:val="009C6AAD"/>
    <w:rsid w:val="009D1FCE"/>
    <w:rsid w:val="009D3837"/>
    <w:rsid w:val="009D4223"/>
    <w:rsid w:val="009D45AA"/>
    <w:rsid w:val="009D5064"/>
    <w:rsid w:val="009D6513"/>
    <w:rsid w:val="009D6BF6"/>
    <w:rsid w:val="009E0B71"/>
    <w:rsid w:val="009E1E0A"/>
    <w:rsid w:val="009E2359"/>
    <w:rsid w:val="009E245D"/>
    <w:rsid w:val="009E3A59"/>
    <w:rsid w:val="009E46C1"/>
    <w:rsid w:val="009E4764"/>
    <w:rsid w:val="009E49F3"/>
    <w:rsid w:val="009E4F8E"/>
    <w:rsid w:val="009E7973"/>
    <w:rsid w:val="009E7A45"/>
    <w:rsid w:val="009F058C"/>
    <w:rsid w:val="009F12D2"/>
    <w:rsid w:val="009F3DE8"/>
    <w:rsid w:val="009F56F9"/>
    <w:rsid w:val="009F59CB"/>
    <w:rsid w:val="009F66BB"/>
    <w:rsid w:val="009F6A2F"/>
    <w:rsid w:val="009F722D"/>
    <w:rsid w:val="00A018CE"/>
    <w:rsid w:val="00A036C9"/>
    <w:rsid w:val="00A03905"/>
    <w:rsid w:val="00A05CFF"/>
    <w:rsid w:val="00A061BB"/>
    <w:rsid w:val="00A07DC7"/>
    <w:rsid w:val="00A11969"/>
    <w:rsid w:val="00A12985"/>
    <w:rsid w:val="00A140FF"/>
    <w:rsid w:val="00A15BFC"/>
    <w:rsid w:val="00A20197"/>
    <w:rsid w:val="00A20A82"/>
    <w:rsid w:val="00A22C95"/>
    <w:rsid w:val="00A258CD"/>
    <w:rsid w:val="00A2712F"/>
    <w:rsid w:val="00A31BE6"/>
    <w:rsid w:val="00A32BFA"/>
    <w:rsid w:val="00A34529"/>
    <w:rsid w:val="00A35453"/>
    <w:rsid w:val="00A36D7A"/>
    <w:rsid w:val="00A375AF"/>
    <w:rsid w:val="00A40BC2"/>
    <w:rsid w:val="00A42945"/>
    <w:rsid w:val="00A431A6"/>
    <w:rsid w:val="00A43D41"/>
    <w:rsid w:val="00A44963"/>
    <w:rsid w:val="00A44ECB"/>
    <w:rsid w:val="00A45C23"/>
    <w:rsid w:val="00A45DD8"/>
    <w:rsid w:val="00A47DCD"/>
    <w:rsid w:val="00A50A2D"/>
    <w:rsid w:val="00A569E1"/>
    <w:rsid w:val="00A578EA"/>
    <w:rsid w:val="00A57BB6"/>
    <w:rsid w:val="00A61F68"/>
    <w:rsid w:val="00A62FEF"/>
    <w:rsid w:val="00A63614"/>
    <w:rsid w:val="00A639DC"/>
    <w:rsid w:val="00A667DA"/>
    <w:rsid w:val="00A6734E"/>
    <w:rsid w:val="00A71AD3"/>
    <w:rsid w:val="00A7435B"/>
    <w:rsid w:val="00A74A16"/>
    <w:rsid w:val="00A75100"/>
    <w:rsid w:val="00A752B6"/>
    <w:rsid w:val="00A75D91"/>
    <w:rsid w:val="00A75DE5"/>
    <w:rsid w:val="00A77770"/>
    <w:rsid w:val="00A7786F"/>
    <w:rsid w:val="00A822FD"/>
    <w:rsid w:val="00A8234B"/>
    <w:rsid w:val="00A825C3"/>
    <w:rsid w:val="00A841C1"/>
    <w:rsid w:val="00A85022"/>
    <w:rsid w:val="00A9069C"/>
    <w:rsid w:val="00A91463"/>
    <w:rsid w:val="00A92170"/>
    <w:rsid w:val="00A9543C"/>
    <w:rsid w:val="00A96684"/>
    <w:rsid w:val="00A975A0"/>
    <w:rsid w:val="00AA012B"/>
    <w:rsid w:val="00AA0408"/>
    <w:rsid w:val="00AA0CDA"/>
    <w:rsid w:val="00AA6141"/>
    <w:rsid w:val="00AA6647"/>
    <w:rsid w:val="00AA79C2"/>
    <w:rsid w:val="00AB01AD"/>
    <w:rsid w:val="00AB0FFB"/>
    <w:rsid w:val="00AB2BBE"/>
    <w:rsid w:val="00AB4962"/>
    <w:rsid w:val="00AB49F1"/>
    <w:rsid w:val="00AB4A88"/>
    <w:rsid w:val="00AB62D0"/>
    <w:rsid w:val="00AB6793"/>
    <w:rsid w:val="00AB68C4"/>
    <w:rsid w:val="00AC233D"/>
    <w:rsid w:val="00AC3934"/>
    <w:rsid w:val="00AC3F6C"/>
    <w:rsid w:val="00AC6CA7"/>
    <w:rsid w:val="00AD4076"/>
    <w:rsid w:val="00AD6CF0"/>
    <w:rsid w:val="00AD71D6"/>
    <w:rsid w:val="00AE0331"/>
    <w:rsid w:val="00AE0511"/>
    <w:rsid w:val="00AE0C55"/>
    <w:rsid w:val="00AE1840"/>
    <w:rsid w:val="00AE18DA"/>
    <w:rsid w:val="00AE34A9"/>
    <w:rsid w:val="00AE36DC"/>
    <w:rsid w:val="00AE3ACC"/>
    <w:rsid w:val="00AE61CA"/>
    <w:rsid w:val="00AE6EEC"/>
    <w:rsid w:val="00AF09C3"/>
    <w:rsid w:val="00AF0C71"/>
    <w:rsid w:val="00AF142A"/>
    <w:rsid w:val="00AF196F"/>
    <w:rsid w:val="00AF3449"/>
    <w:rsid w:val="00AF41D4"/>
    <w:rsid w:val="00AF45FB"/>
    <w:rsid w:val="00AF47C6"/>
    <w:rsid w:val="00AF4A95"/>
    <w:rsid w:val="00AF557F"/>
    <w:rsid w:val="00AF7FEA"/>
    <w:rsid w:val="00B00DEB"/>
    <w:rsid w:val="00B01F75"/>
    <w:rsid w:val="00B020D6"/>
    <w:rsid w:val="00B0254F"/>
    <w:rsid w:val="00B03038"/>
    <w:rsid w:val="00B030CB"/>
    <w:rsid w:val="00B07C8A"/>
    <w:rsid w:val="00B10DFA"/>
    <w:rsid w:val="00B126A2"/>
    <w:rsid w:val="00B13705"/>
    <w:rsid w:val="00B14FD3"/>
    <w:rsid w:val="00B2064B"/>
    <w:rsid w:val="00B212CC"/>
    <w:rsid w:val="00B214A2"/>
    <w:rsid w:val="00B2266D"/>
    <w:rsid w:val="00B23EBD"/>
    <w:rsid w:val="00B24041"/>
    <w:rsid w:val="00B240EB"/>
    <w:rsid w:val="00B24BFD"/>
    <w:rsid w:val="00B25543"/>
    <w:rsid w:val="00B260C7"/>
    <w:rsid w:val="00B264EA"/>
    <w:rsid w:val="00B3140E"/>
    <w:rsid w:val="00B36326"/>
    <w:rsid w:val="00B40DE1"/>
    <w:rsid w:val="00B44350"/>
    <w:rsid w:val="00B44F7B"/>
    <w:rsid w:val="00B46E7E"/>
    <w:rsid w:val="00B47B18"/>
    <w:rsid w:val="00B5198F"/>
    <w:rsid w:val="00B54330"/>
    <w:rsid w:val="00B56E40"/>
    <w:rsid w:val="00B61E3A"/>
    <w:rsid w:val="00B63E18"/>
    <w:rsid w:val="00B648A6"/>
    <w:rsid w:val="00B64F22"/>
    <w:rsid w:val="00B659E2"/>
    <w:rsid w:val="00B70FF0"/>
    <w:rsid w:val="00B725B8"/>
    <w:rsid w:val="00B73D6A"/>
    <w:rsid w:val="00B74377"/>
    <w:rsid w:val="00B760E3"/>
    <w:rsid w:val="00B76DD7"/>
    <w:rsid w:val="00B824D4"/>
    <w:rsid w:val="00B826E9"/>
    <w:rsid w:val="00B82A12"/>
    <w:rsid w:val="00B82B66"/>
    <w:rsid w:val="00B84D62"/>
    <w:rsid w:val="00B86119"/>
    <w:rsid w:val="00B865BD"/>
    <w:rsid w:val="00B86E70"/>
    <w:rsid w:val="00B86EA4"/>
    <w:rsid w:val="00B87CFE"/>
    <w:rsid w:val="00B91FF4"/>
    <w:rsid w:val="00B92C23"/>
    <w:rsid w:val="00B92F5D"/>
    <w:rsid w:val="00B94D7E"/>
    <w:rsid w:val="00B9535E"/>
    <w:rsid w:val="00B953F4"/>
    <w:rsid w:val="00B955F0"/>
    <w:rsid w:val="00B959A5"/>
    <w:rsid w:val="00B967F3"/>
    <w:rsid w:val="00B97746"/>
    <w:rsid w:val="00BA09C4"/>
    <w:rsid w:val="00BA2DFD"/>
    <w:rsid w:val="00BA3C13"/>
    <w:rsid w:val="00BA3E18"/>
    <w:rsid w:val="00BA4A20"/>
    <w:rsid w:val="00BA636A"/>
    <w:rsid w:val="00BB0D54"/>
    <w:rsid w:val="00BB36E4"/>
    <w:rsid w:val="00BB53DF"/>
    <w:rsid w:val="00BB628B"/>
    <w:rsid w:val="00BB7F5F"/>
    <w:rsid w:val="00BC5576"/>
    <w:rsid w:val="00BC6AE8"/>
    <w:rsid w:val="00BD071A"/>
    <w:rsid w:val="00BD0E0B"/>
    <w:rsid w:val="00BD29AE"/>
    <w:rsid w:val="00BD3B56"/>
    <w:rsid w:val="00BD4CED"/>
    <w:rsid w:val="00BE686E"/>
    <w:rsid w:val="00BE79F1"/>
    <w:rsid w:val="00BF1D3C"/>
    <w:rsid w:val="00BF3969"/>
    <w:rsid w:val="00BF4A59"/>
    <w:rsid w:val="00BF71AE"/>
    <w:rsid w:val="00BF72EC"/>
    <w:rsid w:val="00BF7F81"/>
    <w:rsid w:val="00C006D6"/>
    <w:rsid w:val="00C0440D"/>
    <w:rsid w:val="00C051E0"/>
    <w:rsid w:val="00C05398"/>
    <w:rsid w:val="00C070D3"/>
    <w:rsid w:val="00C07B31"/>
    <w:rsid w:val="00C1474A"/>
    <w:rsid w:val="00C16250"/>
    <w:rsid w:val="00C16E7D"/>
    <w:rsid w:val="00C20919"/>
    <w:rsid w:val="00C217E7"/>
    <w:rsid w:val="00C25BFC"/>
    <w:rsid w:val="00C26216"/>
    <w:rsid w:val="00C30360"/>
    <w:rsid w:val="00C30AFC"/>
    <w:rsid w:val="00C30C43"/>
    <w:rsid w:val="00C313FE"/>
    <w:rsid w:val="00C32EF7"/>
    <w:rsid w:val="00C33062"/>
    <w:rsid w:val="00C333F8"/>
    <w:rsid w:val="00C3360E"/>
    <w:rsid w:val="00C368E6"/>
    <w:rsid w:val="00C37D09"/>
    <w:rsid w:val="00C37F70"/>
    <w:rsid w:val="00C41117"/>
    <w:rsid w:val="00C432B2"/>
    <w:rsid w:val="00C443E4"/>
    <w:rsid w:val="00C449AE"/>
    <w:rsid w:val="00C4737C"/>
    <w:rsid w:val="00C473F7"/>
    <w:rsid w:val="00C51068"/>
    <w:rsid w:val="00C51757"/>
    <w:rsid w:val="00C521AF"/>
    <w:rsid w:val="00C52286"/>
    <w:rsid w:val="00C55E49"/>
    <w:rsid w:val="00C60299"/>
    <w:rsid w:val="00C6040B"/>
    <w:rsid w:val="00C60CD7"/>
    <w:rsid w:val="00C60E2B"/>
    <w:rsid w:val="00C61774"/>
    <w:rsid w:val="00C63223"/>
    <w:rsid w:val="00C64FAC"/>
    <w:rsid w:val="00C653B5"/>
    <w:rsid w:val="00C700DE"/>
    <w:rsid w:val="00C72B64"/>
    <w:rsid w:val="00C73C89"/>
    <w:rsid w:val="00C753BA"/>
    <w:rsid w:val="00C7707C"/>
    <w:rsid w:val="00C771B8"/>
    <w:rsid w:val="00C77634"/>
    <w:rsid w:val="00C77ED9"/>
    <w:rsid w:val="00C813C0"/>
    <w:rsid w:val="00C81F7F"/>
    <w:rsid w:val="00C8308F"/>
    <w:rsid w:val="00C83440"/>
    <w:rsid w:val="00C8409C"/>
    <w:rsid w:val="00C84FE7"/>
    <w:rsid w:val="00C85FE3"/>
    <w:rsid w:val="00C864DB"/>
    <w:rsid w:val="00C867F0"/>
    <w:rsid w:val="00C875B8"/>
    <w:rsid w:val="00C877B0"/>
    <w:rsid w:val="00C9080E"/>
    <w:rsid w:val="00C91F78"/>
    <w:rsid w:val="00C9394F"/>
    <w:rsid w:val="00C94E57"/>
    <w:rsid w:val="00C9758A"/>
    <w:rsid w:val="00C9776A"/>
    <w:rsid w:val="00CA0BC0"/>
    <w:rsid w:val="00CA19D0"/>
    <w:rsid w:val="00CA2117"/>
    <w:rsid w:val="00CA36C2"/>
    <w:rsid w:val="00CA4064"/>
    <w:rsid w:val="00CA564D"/>
    <w:rsid w:val="00CA58B1"/>
    <w:rsid w:val="00CA628C"/>
    <w:rsid w:val="00CA637A"/>
    <w:rsid w:val="00CB17AF"/>
    <w:rsid w:val="00CB31EA"/>
    <w:rsid w:val="00CB3824"/>
    <w:rsid w:val="00CB42D5"/>
    <w:rsid w:val="00CB4327"/>
    <w:rsid w:val="00CB70BA"/>
    <w:rsid w:val="00CC0D56"/>
    <w:rsid w:val="00CC10C2"/>
    <w:rsid w:val="00CC156C"/>
    <w:rsid w:val="00CC2382"/>
    <w:rsid w:val="00CC2B44"/>
    <w:rsid w:val="00CC2B9A"/>
    <w:rsid w:val="00CC31CB"/>
    <w:rsid w:val="00CC3DEB"/>
    <w:rsid w:val="00CC6789"/>
    <w:rsid w:val="00CD6744"/>
    <w:rsid w:val="00CD7839"/>
    <w:rsid w:val="00CE0C35"/>
    <w:rsid w:val="00CE5FEB"/>
    <w:rsid w:val="00CE7B20"/>
    <w:rsid w:val="00CF0408"/>
    <w:rsid w:val="00CF2C0F"/>
    <w:rsid w:val="00CF6677"/>
    <w:rsid w:val="00D03941"/>
    <w:rsid w:val="00D05A11"/>
    <w:rsid w:val="00D069E2"/>
    <w:rsid w:val="00D078E0"/>
    <w:rsid w:val="00D10226"/>
    <w:rsid w:val="00D10454"/>
    <w:rsid w:val="00D104C3"/>
    <w:rsid w:val="00D11A84"/>
    <w:rsid w:val="00D138E4"/>
    <w:rsid w:val="00D15887"/>
    <w:rsid w:val="00D15E0C"/>
    <w:rsid w:val="00D17228"/>
    <w:rsid w:val="00D17B79"/>
    <w:rsid w:val="00D20A03"/>
    <w:rsid w:val="00D2135C"/>
    <w:rsid w:val="00D22C80"/>
    <w:rsid w:val="00D236A9"/>
    <w:rsid w:val="00D31107"/>
    <w:rsid w:val="00D33A4E"/>
    <w:rsid w:val="00D34825"/>
    <w:rsid w:val="00D358FE"/>
    <w:rsid w:val="00D358FF"/>
    <w:rsid w:val="00D370B5"/>
    <w:rsid w:val="00D40C9D"/>
    <w:rsid w:val="00D41EEC"/>
    <w:rsid w:val="00D428B3"/>
    <w:rsid w:val="00D42D81"/>
    <w:rsid w:val="00D43A27"/>
    <w:rsid w:val="00D43DAB"/>
    <w:rsid w:val="00D4758C"/>
    <w:rsid w:val="00D47B1D"/>
    <w:rsid w:val="00D50E6B"/>
    <w:rsid w:val="00D51755"/>
    <w:rsid w:val="00D545C5"/>
    <w:rsid w:val="00D54C40"/>
    <w:rsid w:val="00D5792B"/>
    <w:rsid w:val="00D57D5E"/>
    <w:rsid w:val="00D61771"/>
    <w:rsid w:val="00D61D39"/>
    <w:rsid w:val="00D622A6"/>
    <w:rsid w:val="00D635BC"/>
    <w:rsid w:val="00D65011"/>
    <w:rsid w:val="00D70A98"/>
    <w:rsid w:val="00D71F0F"/>
    <w:rsid w:val="00D72801"/>
    <w:rsid w:val="00D728B6"/>
    <w:rsid w:val="00D738F2"/>
    <w:rsid w:val="00D764AB"/>
    <w:rsid w:val="00D76C14"/>
    <w:rsid w:val="00D76DD5"/>
    <w:rsid w:val="00D77F8D"/>
    <w:rsid w:val="00D829C7"/>
    <w:rsid w:val="00D82D52"/>
    <w:rsid w:val="00D84B98"/>
    <w:rsid w:val="00D8601A"/>
    <w:rsid w:val="00D87198"/>
    <w:rsid w:val="00D9068E"/>
    <w:rsid w:val="00D90F92"/>
    <w:rsid w:val="00D920D4"/>
    <w:rsid w:val="00D92100"/>
    <w:rsid w:val="00D94979"/>
    <w:rsid w:val="00D956B7"/>
    <w:rsid w:val="00D96B07"/>
    <w:rsid w:val="00D97C82"/>
    <w:rsid w:val="00DA06DA"/>
    <w:rsid w:val="00DA07FC"/>
    <w:rsid w:val="00DA3377"/>
    <w:rsid w:val="00DA341E"/>
    <w:rsid w:val="00DA3824"/>
    <w:rsid w:val="00DA543F"/>
    <w:rsid w:val="00DA66E1"/>
    <w:rsid w:val="00DA768F"/>
    <w:rsid w:val="00DB0C8F"/>
    <w:rsid w:val="00DB209B"/>
    <w:rsid w:val="00DB3BB4"/>
    <w:rsid w:val="00DB3DB0"/>
    <w:rsid w:val="00DB65B2"/>
    <w:rsid w:val="00DB673F"/>
    <w:rsid w:val="00DC2871"/>
    <w:rsid w:val="00DC2BF5"/>
    <w:rsid w:val="00DC3030"/>
    <w:rsid w:val="00DC33A6"/>
    <w:rsid w:val="00DC3D7A"/>
    <w:rsid w:val="00DC5377"/>
    <w:rsid w:val="00DC561F"/>
    <w:rsid w:val="00DC6240"/>
    <w:rsid w:val="00DC6394"/>
    <w:rsid w:val="00DC6546"/>
    <w:rsid w:val="00DD210D"/>
    <w:rsid w:val="00DD3557"/>
    <w:rsid w:val="00DD43CD"/>
    <w:rsid w:val="00DD61E1"/>
    <w:rsid w:val="00DD6EC7"/>
    <w:rsid w:val="00DD75E2"/>
    <w:rsid w:val="00DE094F"/>
    <w:rsid w:val="00DE114F"/>
    <w:rsid w:val="00DE3B5A"/>
    <w:rsid w:val="00DE53B3"/>
    <w:rsid w:val="00DF363E"/>
    <w:rsid w:val="00DF458F"/>
    <w:rsid w:val="00DF49B0"/>
    <w:rsid w:val="00DF6D81"/>
    <w:rsid w:val="00DF7829"/>
    <w:rsid w:val="00E00F67"/>
    <w:rsid w:val="00E0126C"/>
    <w:rsid w:val="00E054EF"/>
    <w:rsid w:val="00E05AF6"/>
    <w:rsid w:val="00E0605B"/>
    <w:rsid w:val="00E0779B"/>
    <w:rsid w:val="00E12A69"/>
    <w:rsid w:val="00E14479"/>
    <w:rsid w:val="00E15DC5"/>
    <w:rsid w:val="00E22608"/>
    <w:rsid w:val="00E22879"/>
    <w:rsid w:val="00E22DCA"/>
    <w:rsid w:val="00E26ABE"/>
    <w:rsid w:val="00E3010B"/>
    <w:rsid w:val="00E30DA8"/>
    <w:rsid w:val="00E34E5B"/>
    <w:rsid w:val="00E34EF1"/>
    <w:rsid w:val="00E35DBB"/>
    <w:rsid w:val="00E36C4A"/>
    <w:rsid w:val="00E37899"/>
    <w:rsid w:val="00E43B52"/>
    <w:rsid w:val="00E473FB"/>
    <w:rsid w:val="00E535F0"/>
    <w:rsid w:val="00E54E0C"/>
    <w:rsid w:val="00E625F2"/>
    <w:rsid w:val="00E6598C"/>
    <w:rsid w:val="00E664C6"/>
    <w:rsid w:val="00E66BF7"/>
    <w:rsid w:val="00E71275"/>
    <w:rsid w:val="00E72049"/>
    <w:rsid w:val="00E72099"/>
    <w:rsid w:val="00E724AB"/>
    <w:rsid w:val="00E731CA"/>
    <w:rsid w:val="00E81445"/>
    <w:rsid w:val="00E815BE"/>
    <w:rsid w:val="00E822B1"/>
    <w:rsid w:val="00E83676"/>
    <w:rsid w:val="00E83D72"/>
    <w:rsid w:val="00E84510"/>
    <w:rsid w:val="00E84820"/>
    <w:rsid w:val="00E850B9"/>
    <w:rsid w:val="00E850FE"/>
    <w:rsid w:val="00E868D5"/>
    <w:rsid w:val="00E86F8E"/>
    <w:rsid w:val="00E87C4E"/>
    <w:rsid w:val="00E90264"/>
    <w:rsid w:val="00E92858"/>
    <w:rsid w:val="00E92C85"/>
    <w:rsid w:val="00E9779A"/>
    <w:rsid w:val="00E97FD5"/>
    <w:rsid w:val="00EA068C"/>
    <w:rsid w:val="00EA08B7"/>
    <w:rsid w:val="00EA2336"/>
    <w:rsid w:val="00EA27BD"/>
    <w:rsid w:val="00EA2E33"/>
    <w:rsid w:val="00EA7078"/>
    <w:rsid w:val="00EA798A"/>
    <w:rsid w:val="00EB065B"/>
    <w:rsid w:val="00EB344A"/>
    <w:rsid w:val="00EB47E0"/>
    <w:rsid w:val="00EB4986"/>
    <w:rsid w:val="00EB540D"/>
    <w:rsid w:val="00EB7C6E"/>
    <w:rsid w:val="00EC0277"/>
    <w:rsid w:val="00EC0770"/>
    <w:rsid w:val="00EC0815"/>
    <w:rsid w:val="00EC0E16"/>
    <w:rsid w:val="00EC291A"/>
    <w:rsid w:val="00EC3BC3"/>
    <w:rsid w:val="00EC61A3"/>
    <w:rsid w:val="00EC61AF"/>
    <w:rsid w:val="00EC669C"/>
    <w:rsid w:val="00EC74E3"/>
    <w:rsid w:val="00EC7C98"/>
    <w:rsid w:val="00ED0AFE"/>
    <w:rsid w:val="00ED1A4B"/>
    <w:rsid w:val="00ED1C04"/>
    <w:rsid w:val="00ED35E8"/>
    <w:rsid w:val="00ED3817"/>
    <w:rsid w:val="00ED3F16"/>
    <w:rsid w:val="00ED4917"/>
    <w:rsid w:val="00ED4FF2"/>
    <w:rsid w:val="00EE136E"/>
    <w:rsid w:val="00EE1C57"/>
    <w:rsid w:val="00EE431A"/>
    <w:rsid w:val="00EE79FF"/>
    <w:rsid w:val="00EF0EDD"/>
    <w:rsid w:val="00EF1C6E"/>
    <w:rsid w:val="00EF2141"/>
    <w:rsid w:val="00EF3EC2"/>
    <w:rsid w:val="00EF6259"/>
    <w:rsid w:val="00EF76F5"/>
    <w:rsid w:val="00F01972"/>
    <w:rsid w:val="00F0354C"/>
    <w:rsid w:val="00F03E7E"/>
    <w:rsid w:val="00F04D71"/>
    <w:rsid w:val="00F06D33"/>
    <w:rsid w:val="00F07BC8"/>
    <w:rsid w:val="00F10F8A"/>
    <w:rsid w:val="00F11EB2"/>
    <w:rsid w:val="00F12901"/>
    <w:rsid w:val="00F13CAD"/>
    <w:rsid w:val="00F149BE"/>
    <w:rsid w:val="00F15E7F"/>
    <w:rsid w:val="00F203EE"/>
    <w:rsid w:val="00F21D11"/>
    <w:rsid w:val="00F26D7B"/>
    <w:rsid w:val="00F35A25"/>
    <w:rsid w:val="00F35DD7"/>
    <w:rsid w:val="00F4026F"/>
    <w:rsid w:val="00F42947"/>
    <w:rsid w:val="00F443FD"/>
    <w:rsid w:val="00F44407"/>
    <w:rsid w:val="00F516AC"/>
    <w:rsid w:val="00F51A65"/>
    <w:rsid w:val="00F52280"/>
    <w:rsid w:val="00F5230D"/>
    <w:rsid w:val="00F52E30"/>
    <w:rsid w:val="00F534E9"/>
    <w:rsid w:val="00F5537A"/>
    <w:rsid w:val="00F56F0A"/>
    <w:rsid w:val="00F57A8F"/>
    <w:rsid w:val="00F6018C"/>
    <w:rsid w:val="00F64B59"/>
    <w:rsid w:val="00F64E2F"/>
    <w:rsid w:val="00F6650C"/>
    <w:rsid w:val="00F67BCF"/>
    <w:rsid w:val="00F71E26"/>
    <w:rsid w:val="00F71F8A"/>
    <w:rsid w:val="00F73364"/>
    <w:rsid w:val="00F738A4"/>
    <w:rsid w:val="00F73BF8"/>
    <w:rsid w:val="00F73DBD"/>
    <w:rsid w:val="00F751EE"/>
    <w:rsid w:val="00F76045"/>
    <w:rsid w:val="00F8055D"/>
    <w:rsid w:val="00F84A33"/>
    <w:rsid w:val="00F8640B"/>
    <w:rsid w:val="00F86653"/>
    <w:rsid w:val="00F87189"/>
    <w:rsid w:val="00F87250"/>
    <w:rsid w:val="00F90533"/>
    <w:rsid w:val="00F9242F"/>
    <w:rsid w:val="00F92806"/>
    <w:rsid w:val="00F92BBB"/>
    <w:rsid w:val="00F9669A"/>
    <w:rsid w:val="00F96709"/>
    <w:rsid w:val="00FA0A6B"/>
    <w:rsid w:val="00FA184C"/>
    <w:rsid w:val="00FA18E3"/>
    <w:rsid w:val="00FA24DB"/>
    <w:rsid w:val="00FA2780"/>
    <w:rsid w:val="00FA49D1"/>
    <w:rsid w:val="00FA4FBE"/>
    <w:rsid w:val="00FA5160"/>
    <w:rsid w:val="00FA6B67"/>
    <w:rsid w:val="00FA744B"/>
    <w:rsid w:val="00FB38E3"/>
    <w:rsid w:val="00FB429C"/>
    <w:rsid w:val="00FB6783"/>
    <w:rsid w:val="00FB7716"/>
    <w:rsid w:val="00FC0D0B"/>
    <w:rsid w:val="00FC0FB7"/>
    <w:rsid w:val="00FC128F"/>
    <w:rsid w:val="00FC6945"/>
    <w:rsid w:val="00FD138C"/>
    <w:rsid w:val="00FD1C03"/>
    <w:rsid w:val="00FD3A13"/>
    <w:rsid w:val="00FD7033"/>
    <w:rsid w:val="00FD7F16"/>
    <w:rsid w:val="00FE0289"/>
    <w:rsid w:val="00FF0269"/>
    <w:rsid w:val="00FF2599"/>
    <w:rsid w:val="00FF2F3A"/>
    <w:rsid w:val="00FF2F4F"/>
    <w:rsid w:val="00FF598A"/>
    <w:rsid w:val="00FF629C"/>
    <w:rsid w:val="00FF7B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E0FE"/>
  <w15:chartTrackingRefBased/>
  <w15:docId w15:val="{FB71359B-DBFC-4425-A352-C93AAEE0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5792B"/>
    <w:pPr>
      <w:spacing w:after="0" w:line="360" w:lineRule="auto"/>
      <w:jc w:val="both"/>
    </w:pPr>
    <w:rPr>
      <w:rFonts w:ascii="Times New Roman" w:hAnsi="Times New Roman"/>
      <w:sz w:val="24"/>
    </w:rPr>
  </w:style>
  <w:style w:type="paragraph" w:styleId="Kop1">
    <w:name w:val="heading 1"/>
    <w:basedOn w:val="Standaard"/>
    <w:next w:val="Standaard"/>
    <w:link w:val="Kop1Char"/>
    <w:uiPriority w:val="9"/>
    <w:qFormat/>
    <w:rsid w:val="002E4F56"/>
    <w:pPr>
      <w:keepNext/>
      <w:keepLines/>
      <w:spacing w:before="360" w:after="120"/>
      <w:outlineLvl w:val="0"/>
    </w:pPr>
    <w:rPr>
      <w:rFonts w:eastAsiaTheme="majorEastAsia" w:cstheme="majorBidi"/>
      <w:b/>
      <w:szCs w:val="32"/>
    </w:rPr>
  </w:style>
  <w:style w:type="paragraph" w:styleId="Kop2">
    <w:name w:val="heading 2"/>
    <w:basedOn w:val="Standaard"/>
    <w:next w:val="Standaard"/>
    <w:link w:val="Kop2Char"/>
    <w:uiPriority w:val="9"/>
    <w:unhideWhenUsed/>
    <w:qFormat/>
    <w:rsid w:val="002E4F56"/>
    <w:pPr>
      <w:keepNext/>
      <w:keepLines/>
      <w:spacing w:before="160" w:after="120"/>
      <w:outlineLvl w:val="1"/>
    </w:pPr>
    <w:rPr>
      <w:rFonts w:eastAsiaTheme="majorEastAsia" w:cstheme="majorBidi"/>
      <w:szCs w:val="26"/>
    </w:rPr>
  </w:style>
  <w:style w:type="paragraph" w:styleId="Kop3">
    <w:name w:val="heading 3"/>
    <w:basedOn w:val="Standaard"/>
    <w:next w:val="Standaard"/>
    <w:link w:val="Kop3Char"/>
    <w:uiPriority w:val="9"/>
    <w:unhideWhenUsed/>
    <w:qFormat/>
    <w:rsid w:val="002E4F56"/>
    <w:pPr>
      <w:keepNext/>
      <w:keepLines/>
      <w:spacing w:before="160" w:after="120"/>
      <w:outlineLvl w:val="2"/>
    </w:pPr>
    <w:rPr>
      <w:rFonts w:eastAsiaTheme="majorEastAsia" w:cstheme="majorBidi"/>
      <w: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4F56"/>
    <w:pPr>
      <w:ind w:left="720"/>
      <w:contextualSpacing/>
    </w:pPr>
  </w:style>
  <w:style w:type="character" w:customStyle="1" w:styleId="Kop1Char">
    <w:name w:val="Kop 1 Char"/>
    <w:basedOn w:val="Standaardalinea-lettertype"/>
    <w:link w:val="Kop1"/>
    <w:uiPriority w:val="9"/>
    <w:rsid w:val="002E4F56"/>
    <w:rPr>
      <w:rFonts w:ascii="Times New Roman" w:eastAsiaTheme="majorEastAsia" w:hAnsi="Times New Roman" w:cstheme="majorBidi"/>
      <w:b/>
      <w:sz w:val="24"/>
      <w:szCs w:val="32"/>
    </w:rPr>
  </w:style>
  <w:style w:type="character" w:customStyle="1" w:styleId="Kop2Char">
    <w:name w:val="Kop 2 Char"/>
    <w:basedOn w:val="Standaardalinea-lettertype"/>
    <w:link w:val="Kop2"/>
    <w:uiPriority w:val="9"/>
    <w:rsid w:val="002E4F56"/>
    <w:rPr>
      <w:rFonts w:ascii="Times New Roman" w:eastAsiaTheme="majorEastAsia" w:hAnsi="Times New Roman" w:cstheme="majorBidi"/>
      <w:sz w:val="24"/>
      <w:szCs w:val="26"/>
    </w:rPr>
  </w:style>
  <w:style w:type="character" w:customStyle="1" w:styleId="Kop3Char">
    <w:name w:val="Kop 3 Char"/>
    <w:basedOn w:val="Standaardalinea-lettertype"/>
    <w:link w:val="Kop3"/>
    <w:uiPriority w:val="9"/>
    <w:rsid w:val="002E4F56"/>
    <w:rPr>
      <w:rFonts w:ascii="Times New Roman" w:eastAsiaTheme="majorEastAsia" w:hAnsi="Times New Roman" w:cstheme="majorBidi"/>
      <w:i/>
      <w:sz w:val="24"/>
      <w:szCs w:val="24"/>
    </w:rPr>
  </w:style>
  <w:style w:type="paragraph" w:styleId="Titel">
    <w:name w:val="Title"/>
    <w:basedOn w:val="Standaard"/>
    <w:next w:val="Standaard"/>
    <w:link w:val="TitelChar"/>
    <w:uiPriority w:val="10"/>
    <w:qFormat/>
    <w:rsid w:val="007E159F"/>
    <w:pPr>
      <w:spacing w:line="264" w:lineRule="auto"/>
    </w:pPr>
    <w:rPr>
      <w:rFonts w:ascii="Arial" w:hAnsi="Arial" w:cs="Arial"/>
      <w:b/>
      <w:caps/>
      <w:color w:val="1E64C8"/>
      <w:sz w:val="50"/>
      <w:szCs w:val="48"/>
      <w:u w:val="single"/>
    </w:rPr>
  </w:style>
  <w:style w:type="character" w:customStyle="1" w:styleId="TitelChar">
    <w:name w:val="Titel Char"/>
    <w:basedOn w:val="Standaardalinea-lettertype"/>
    <w:link w:val="Titel"/>
    <w:uiPriority w:val="10"/>
    <w:rsid w:val="007E159F"/>
    <w:rPr>
      <w:rFonts w:ascii="Arial" w:hAnsi="Arial" w:cs="Arial"/>
      <w:b/>
      <w:caps/>
      <w:color w:val="1E64C8"/>
      <w:sz w:val="50"/>
      <w:szCs w:val="48"/>
      <w:u w:val="single"/>
    </w:rPr>
  </w:style>
  <w:style w:type="paragraph" w:styleId="Ondertitel">
    <w:name w:val="Subtitle"/>
    <w:next w:val="Standaard"/>
    <w:link w:val="OndertitelChar"/>
    <w:uiPriority w:val="11"/>
    <w:qFormat/>
    <w:rsid w:val="007E159F"/>
    <w:pPr>
      <w:spacing w:after="0" w:line="276" w:lineRule="auto"/>
      <w:jc w:val="both"/>
    </w:pPr>
    <w:rPr>
      <w:rFonts w:ascii="Arial" w:hAnsi="Arial" w:cs="Arial"/>
      <w:caps/>
      <w:color w:val="44546A" w:themeColor="text2"/>
      <w:sz w:val="30"/>
      <w:szCs w:val="40"/>
      <w:lang w:val="nl-NL"/>
    </w:rPr>
  </w:style>
  <w:style w:type="character" w:customStyle="1" w:styleId="OndertitelChar">
    <w:name w:val="Ondertitel Char"/>
    <w:basedOn w:val="Standaardalinea-lettertype"/>
    <w:link w:val="Ondertitel"/>
    <w:uiPriority w:val="11"/>
    <w:rsid w:val="007E159F"/>
    <w:rPr>
      <w:rFonts w:ascii="Arial" w:hAnsi="Arial" w:cs="Arial"/>
      <w:caps/>
      <w:color w:val="44546A" w:themeColor="text2"/>
      <w:sz w:val="30"/>
      <w:szCs w:val="40"/>
      <w:lang w:val="nl-NL"/>
    </w:rPr>
  </w:style>
  <w:style w:type="paragraph" w:customStyle="1" w:styleId="Normal12pt">
    <w:name w:val="Normal 12pt"/>
    <w:qFormat/>
    <w:rsid w:val="007E159F"/>
    <w:pPr>
      <w:spacing w:after="0" w:line="264" w:lineRule="auto"/>
    </w:pPr>
    <w:rPr>
      <w:rFonts w:ascii="Arial" w:hAnsi="Arial" w:cs="Arial"/>
      <w:color w:val="000000" w:themeColor="text1"/>
      <w:sz w:val="24"/>
      <w:szCs w:val="28"/>
      <w:lang w:val="nl-NL"/>
    </w:rPr>
  </w:style>
  <w:style w:type="paragraph" w:styleId="Koptekst">
    <w:name w:val="header"/>
    <w:basedOn w:val="Standaard"/>
    <w:link w:val="KoptekstChar"/>
    <w:uiPriority w:val="99"/>
    <w:semiHidden/>
    <w:rsid w:val="007E159F"/>
    <w:pPr>
      <w:tabs>
        <w:tab w:val="center" w:pos="4536"/>
        <w:tab w:val="right" w:pos="9072"/>
      </w:tabs>
      <w:spacing w:line="240" w:lineRule="auto"/>
      <w:jc w:val="left"/>
    </w:pPr>
    <w:rPr>
      <w:rFonts w:ascii="Arial" w:hAnsi="Arial" w:cs="Arial"/>
      <w:color w:val="000000" w:themeColor="text1"/>
      <w:sz w:val="20"/>
      <w:szCs w:val="20"/>
    </w:rPr>
  </w:style>
  <w:style w:type="character" w:customStyle="1" w:styleId="KoptekstChar">
    <w:name w:val="Koptekst Char"/>
    <w:basedOn w:val="Standaardalinea-lettertype"/>
    <w:link w:val="Koptekst"/>
    <w:uiPriority w:val="99"/>
    <w:semiHidden/>
    <w:rsid w:val="007E159F"/>
    <w:rPr>
      <w:rFonts w:ascii="Arial" w:hAnsi="Arial" w:cs="Arial"/>
      <w:color w:val="000000" w:themeColor="text1"/>
      <w:sz w:val="20"/>
      <w:szCs w:val="20"/>
    </w:rPr>
  </w:style>
  <w:style w:type="paragraph" w:customStyle="1" w:styleId="NaamAuteur">
    <w:name w:val="Naam Auteur"/>
    <w:basedOn w:val="Ondertitel"/>
    <w:qFormat/>
    <w:rsid w:val="007E159F"/>
    <w:rPr>
      <w:caps w:val="0"/>
      <w:color w:val="auto"/>
      <w:szCs w:val="36"/>
    </w:rPr>
  </w:style>
  <w:style w:type="paragraph" w:styleId="Kopvaninhoudsopgave">
    <w:name w:val="TOC Heading"/>
    <w:basedOn w:val="Kop1"/>
    <w:next w:val="Standaard"/>
    <w:uiPriority w:val="39"/>
    <w:unhideWhenUsed/>
    <w:qFormat/>
    <w:rsid w:val="00B82B66"/>
    <w:pPr>
      <w:spacing w:before="240" w:after="0" w:line="259" w:lineRule="auto"/>
      <w:jc w:val="left"/>
      <w:outlineLvl w:val="9"/>
    </w:pPr>
    <w:rPr>
      <w:rFonts w:asciiTheme="majorHAnsi" w:hAnsiTheme="majorHAnsi"/>
      <w:b w:val="0"/>
      <w:color w:val="2F5496" w:themeColor="accent1" w:themeShade="BF"/>
      <w:sz w:val="32"/>
      <w:lang w:eastAsia="nl-BE"/>
    </w:rPr>
  </w:style>
  <w:style w:type="paragraph" w:styleId="Inhopg1">
    <w:name w:val="toc 1"/>
    <w:basedOn w:val="Standaard"/>
    <w:next w:val="Standaard"/>
    <w:autoRedefine/>
    <w:uiPriority w:val="39"/>
    <w:unhideWhenUsed/>
    <w:rsid w:val="004A432E"/>
    <w:pPr>
      <w:tabs>
        <w:tab w:val="left" w:pos="480"/>
        <w:tab w:val="right" w:leader="dot" w:pos="9062"/>
      </w:tabs>
      <w:spacing w:after="100"/>
    </w:pPr>
  </w:style>
  <w:style w:type="paragraph" w:styleId="Inhopg2">
    <w:name w:val="toc 2"/>
    <w:basedOn w:val="Standaard"/>
    <w:next w:val="Standaard"/>
    <w:autoRedefine/>
    <w:uiPriority w:val="39"/>
    <w:unhideWhenUsed/>
    <w:rsid w:val="00B82B66"/>
    <w:pPr>
      <w:spacing w:after="100"/>
      <w:ind w:left="240"/>
    </w:pPr>
  </w:style>
  <w:style w:type="paragraph" w:styleId="Inhopg3">
    <w:name w:val="toc 3"/>
    <w:basedOn w:val="Standaard"/>
    <w:next w:val="Standaard"/>
    <w:autoRedefine/>
    <w:uiPriority w:val="39"/>
    <w:unhideWhenUsed/>
    <w:rsid w:val="004A432E"/>
    <w:pPr>
      <w:tabs>
        <w:tab w:val="left" w:pos="1320"/>
        <w:tab w:val="right" w:leader="dot" w:pos="9062"/>
      </w:tabs>
      <w:spacing w:after="100"/>
      <w:ind w:left="480"/>
    </w:pPr>
  </w:style>
  <w:style w:type="character" w:styleId="Hyperlink">
    <w:name w:val="Hyperlink"/>
    <w:basedOn w:val="Standaardalinea-lettertype"/>
    <w:uiPriority w:val="99"/>
    <w:unhideWhenUsed/>
    <w:rsid w:val="00B82B66"/>
    <w:rPr>
      <w:color w:val="0563C1" w:themeColor="hyperlink"/>
      <w:u w:val="single"/>
    </w:rPr>
  </w:style>
  <w:style w:type="paragraph" w:styleId="Voetnoottekst">
    <w:name w:val="footnote text"/>
    <w:basedOn w:val="Standaard"/>
    <w:link w:val="VoetnoottekstChar"/>
    <w:uiPriority w:val="99"/>
    <w:unhideWhenUsed/>
    <w:rsid w:val="006542DD"/>
    <w:pPr>
      <w:spacing w:line="240" w:lineRule="auto"/>
    </w:pPr>
    <w:rPr>
      <w:sz w:val="20"/>
      <w:szCs w:val="20"/>
    </w:rPr>
  </w:style>
  <w:style w:type="character" w:customStyle="1" w:styleId="VoetnoottekstChar">
    <w:name w:val="Voetnoottekst Char"/>
    <w:basedOn w:val="Standaardalinea-lettertype"/>
    <w:link w:val="Voetnoottekst"/>
    <w:uiPriority w:val="99"/>
    <w:rsid w:val="006542DD"/>
    <w:rPr>
      <w:rFonts w:ascii="Times New Roman" w:hAnsi="Times New Roman"/>
      <w:sz w:val="20"/>
      <w:szCs w:val="20"/>
    </w:rPr>
  </w:style>
  <w:style w:type="character" w:styleId="Voetnootmarkering">
    <w:name w:val="footnote reference"/>
    <w:basedOn w:val="Standaardalinea-lettertype"/>
    <w:uiPriority w:val="99"/>
    <w:semiHidden/>
    <w:unhideWhenUsed/>
    <w:rsid w:val="006542DD"/>
    <w:rPr>
      <w:vertAlign w:val="superscript"/>
    </w:rPr>
  </w:style>
  <w:style w:type="character" w:styleId="Verwijzingopmerking">
    <w:name w:val="annotation reference"/>
    <w:basedOn w:val="Standaardalinea-lettertype"/>
    <w:uiPriority w:val="99"/>
    <w:semiHidden/>
    <w:unhideWhenUsed/>
    <w:rsid w:val="0094317F"/>
    <w:rPr>
      <w:sz w:val="16"/>
      <w:szCs w:val="16"/>
    </w:rPr>
  </w:style>
  <w:style w:type="paragraph" w:styleId="Tekstopmerking">
    <w:name w:val="annotation text"/>
    <w:basedOn w:val="Standaard"/>
    <w:link w:val="TekstopmerkingChar"/>
    <w:uiPriority w:val="99"/>
    <w:unhideWhenUsed/>
    <w:rsid w:val="0094317F"/>
    <w:pPr>
      <w:spacing w:line="240" w:lineRule="auto"/>
    </w:pPr>
    <w:rPr>
      <w:sz w:val="20"/>
      <w:szCs w:val="20"/>
    </w:rPr>
  </w:style>
  <w:style w:type="character" w:customStyle="1" w:styleId="TekstopmerkingChar">
    <w:name w:val="Tekst opmerking Char"/>
    <w:basedOn w:val="Standaardalinea-lettertype"/>
    <w:link w:val="Tekstopmerking"/>
    <w:uiPriority w:val="99"/>
    <w:rsid w:val="0094317F"/>
    <w:rPr>
      <w:rFonts w:ascii="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94317F"/>
    <w:rPr>
      <w:b/>
      <w:bCs/>
    </w:rPr>
  </w:style>
  <w:style w:type="character" w:customStyle="1" w:styleId="OnderwerpvanopmerkingChar">
    <w:name w:val="Onderwerp van opmerking Char"/>
    <w:basedOn w:val="TekstopmerkingChar"/>
    <w:link w:val="Onderwerpvanopmerking"/>
    <w:uiPriority w:val="99"/>
    <w:semiHidden/>
    <w:rsid w:val="0094317F"/>
    <w:rPr>
      <w:rFonts w:ascii="Times New Roman" w:hAnsi="Times New Roman"/>
      <w:b/>
      <w:bCs/>
      <w:sz w:val="20"/>
      <w:szCs w:val="20"/>
    </w:rPr>
  </w:style>
  <w:style w:type="paragraph" w:styleId="Ballontekst">
    <w:name w:val="Balloon Text"/>
    <w:basedOn w:val="Standaard"/>
    <w:link w:val="BallontekstChar"/>
    <w:uiPriority w:val="99"/>
    <w:semiHidden/>
    <w:unhideWhenUsed/>
    <w:rsid w:val="009431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317F"/>
    <w:rPr>
      <w:rFonts w:ascii="Segoe UI" w:hAnsi="Segoe UI" w:cs="Segoe UI"/>
      <w:sz w:val="18"/>
      <w:szCs w:val="18"/>
    </w:rPr>
  </w:style>
  <w:style w:type="character" w:styleId="Onopgelostemelding">
    <w:name w:val="Unresolved Mention"/>
    <w:basedOn w:val="Standaardalinea-lettertype"/>
    <w:uiPriority w:val="99"/>
    <w:semiHidden/>
    <w:unhideWhenUsed/>
    <w:rsid w:val="006C3F70"/>
    <w:rPr>
      <w:color w:val="808080"/>
      <w:shd w:val="clear" w:color="auto" w:fill="E6E6E6"/>
    </w:rPr>
  </w:style>
  <w:style w:type="paragraph" w:styleId="Voettekst">
    <w:name w:val="footer"/>
    <w:basedOn w:val="Standaard"/>
    <w:link w:val="VoettekstChar"/>
    <w:uiPriority w:val="99"/>
    <w:unhideWhenUsed/>
    <w:rsid w:val="00E731C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731CA"/>
    <w:rPr>
      <w:rFonts w:ascii="Times New Roman" w:hAnsi="Times New Roman"/>
      <w:sz w:val="24"/>
    </w:rPr>
  </w:style>
  <w:style w:type="character" w:styleId="Tekstvantijdelijkeaanduiding">
    <w:name w:val="Placeholder Text"/>
    <w:basedOn w:val="Standaardalinea-lettertype"/>
    <w:uiPriority w:val="99"/>
    <w:semiHidden/>
    <w:rsid w:val="0066440E"/>
    <w:rPr>
      <w:color w:val="808080"/>
    </w:rPr>
  </w:style>
  <w:style w:type="character" w:styleId="GevolgdeHyperlink">
    <w:name w:val="FollowedHyperlink"/>
    <w:basedOn w:val="Standaardalinea-lettertype"/>
    <w:uiPriority w:val="99"/>
    <w:semiHidden/>
    <w:unhideWhenUsed/>
    <w:rsid w:val="00D50E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688158">
      <w:bodyDiv w:val="1"/>
      <w:marLeft w:val="0"/>
      <w:marRight w:val="0"/>
      <w:marTop w:val="0"/>
      <w:marBottom w:val="0"/>
      <w:divBdr>
        <w:top w:val="none" w:sz="0" w:space="0" w:color="auto"/>
        <w:left w:val="none" w:sz="0" w:space="0" w:color="auto"/>
        <w:bottom w:val="none" w:sz="0" w:space="0" w:color="auto"/>
        <w:right w:val="none" w:sz="0" w:space="0" w:color="auto"/>
      </w:divBdr>
    </w:div>
    <w:div w:id="1359045127">
      <w:bodyDiv w:val="1"/>
      <w:marLeft w:val="0"/>
      <w:marRight w:val="0"/>
      <w:marTop w:val="0"/>
      <w:marBottom w:val="0"/>
      <w:divBdr>
        <w:top w:val="none" w:sz="0" w:space="0" w:color="auto"/>
        <w:left w:val="none" w:sz="0" w:space="0" w:color="auto"/>
        <w:bottom w:val="none" w:sz="0" w:space="0" w:color="auto"/>
        <w:right w:val="none" w:sz="0" w:space="0" w:color="auto"/>
      </w:divBdr>
    </w:div>
    <w:div w:id="1560898123">
      <w:bodyDiv w:val="1"/>
      <w:marLeft w:val="0"/>
      <w:marRight w:val="0"/>
      <w:marTop w:val="0"/>
      <w:marBottom w:val="0"/>
      <w:divBdr>
        <w:top w:val="none" w:sz="0" w:space="0" w:color="auto"/>
        <w:left w:val="none" w:sz="0" w:space="0" w:color="auto"/>
        <w:bottom w:val="none" w:sz="0" w:space="0" w:color="auto"/>
        <w:right w:val="none" w:sz="0" w:space="0" w:color="auto"/>
      </w:divBdr>
    </w:div>
    <w:div w:id="1875651375">
      <w:bodyDiv w:val="1"/>
      <w:marLeft w:val="0"/>
      <w:marRight w:val="0"/>
      <w:marTop w:val="0"/>
      <w:marBottom w:val="0"/>
      <w:divBdr>
        <w:top w:val="none" w:sz="0" w:space="0" w:color="auto"/>
        <w:left w:val="none" w:sz="0" w:space="0" w:color="auto"/>
        <w:bottom w:val="none" w:sz="0" w:space="0" w:color="auto"/>
        <w:right w:val="none" w:sz="0" w:space="0" w:color="auto"/>
      </w:divBdr>
      <w:divsChild>
        <w:div w:id="266160061">
          <w:marLeft w:val="0"/>
          <w:marRight w:val="0"/>
          <w:marTop w:val="0"/>
          <w:marBottom w:val="0"/>
          <w:divBdr>
            <w:top w:val="none" w:sz="0" w:space="0" w:color="auto"/>
            <w:left w:val="none" w:sz="0" w:space="0" w:color="auto"/>
            <w:bottom w:val="none" w:sz="0" w:space="0" w:color="auto"/>
            <w:right w:val="none" w:sz="0" w:space="0" w:color="auto"/>
          </w:divBdr>
        </w:div>
        <w:div w:id="869143338">
          <w:marLeft w:val="0"/>
          <w:marRight w:val="0"/>
          <w:marTop w:val="0"/>
          <w:marBottom w:val="0"/>
          <w:divBdr>
            <w:top w:val="none" w:sz="0" w:space="0" w:color="auto"/>
            <w:left w:val="none" w:sz="0" w:space="0" w:color="auto"/>
            <w:bottom w:val="none" w:sz="0" w:space="0" w:color="auto"/>
            <w:right w:val="none" w:sz="0" w:space="0" w:color="auto"/>
          </w:divBdr>
        </w:div>
        <w:div w:id="1146168755">
          <w:marLeft w:val="0"/>
          <w:marRight w:val="0"/>
          <w:marTop w:val="0"/>
          <w:marBottom w:val="0"/>
          <w:divBdr>
            <w:top w:val="none" w:sz="0" w:space="0" w:color="auto"/>
            <w:left w:val="none" w:sz="0" w:space="0" w:color="auto"/>
            <w:bottom w:val="none" w:sz="0" w:space="0" w:color="auto"/>
            <w:right w:val="none" w:sz="0" w:space="0" w:color="auto"/>
          </w:divBdr>
        </w:div>
        <w:div w:id="1224826511">
          <w:marLeft w:val="0"/>
          <w:marRight w:val="0"/>
          <w:marTop w:val="0"/>
          <w:marBottom w:val="0"/>
          <w:divBdr>
            <w:top w:val="none" w:sz="0" w:space="0" w:color="auto"/>
            <w:left w:val="none" w:sz="0" w:space="0" w:color="auto"/>
            <w:bottom w:val="none" w:sz="0" w:space="0" w:color="auto"/>
            <w:right w:val="none" w:sz="0" w:space="0" w:color="auto"/>
          </w:divBdr>
        </w:div>
        <w:div w:id="628391455">
          <w:marLeft w:val="0"/>
          <w:marRight w:val="0"/>
          <w:marTop w:val="0"/>
          <w:marBottom w:val="0"/>
          <w:divBdr>
            <w:top w:val="none" w:sz="0" w:space="0" w:color="auto"/>
            <w:left w:val="none" w:sz="0" w:space="0" w:color="auto"/>
            <w:bottom w:val="none" w:sz="0" w:space="0" w:color="auto"/>
            <w:right w:val="none" w:sz="0" w:space="0" w:color="auto"/>
          </w:divBdr>
        </w:div>
        <w:div w:id="494416223">
          <w:marLeft w:val="0"/>
          <w:marRight w:val="0"/>
          <w:marTop w:val="0"/>
          <w:marBottom w:val="0"/>
          <w:divBdr>
            <w:top w:val="none" w:sz="0" w:space="0" w:color="auto"/>
            <w:left w:val="none" w:sz="0" w:space="0" w:color="auto"/>
            <w:bottom w:val="none" w:sz="0" w:space="0" w:color="auto"/>
            <w:right w:val="none" w:sz="0" w:space="0" w:color="auto"/>
          </w:divBdr>
        </w:div>
        <w:div w:id="768309246">
          <w:marLeft w:val="0"/>
          <w:marRight w:val="0"/>
          <w:marTop w:val="0"/>
          <w:marBottom w:val="0"/>
          <w:divBdr>
            <w:top w:val="none" w:sz="0" w:space="0" w:color="auto"/>
            <w:left w:val="none" w:sz="0" w:space="0" w:color="auto"/>
            <w:bottom w:val="none" w:sz="0" w:space="0" w:color="auto"/>
            <w:right w:val="none" w:sz="0" w:space="0" w:color="auto"/>
          </w:divBdr>
        </w:div>
        <w:div w:id="2117169508">
          <w:marLeft w:val="0"/>
          <w:marRight w:val="0"/>
          <w:marTop w:val="0"/>
          <w:marBottom w:val="0"/>
          <w:divBdr>
            <w:top w:val="none" w:sz="0" w:space="0" w:color="auto"/>
            <w:left w:val="none" w:sz="0" w:space="0" w:color="auto"/>
            <w:bottom w:val="none" w:sz="0" w:space="0" w:color="auto"/>
            <w:right w:val="none" w:sz="0" w:space="0" w:color="auto"/>
          </w:divBdr>
        </w:div>
        <w:div w:id="1004628002">
          <w:marLeft w:val="0"/>
          <w:marRight w:val="0"/>
          <w:marTop w:val="0"/>
          <w:marBottom w:val="0"/>
          <w:divBdr>
            <w:top w:val="none" w:sz="0" w:space="0" w:color="auto"/>
            <w:left w:val="none" w:sz="0" w:space="0" w:color="auto"/>
            <w:bottom w:val="none" w:sz="0" w:space="0" w:color="auto"/>
            <w:right w:val="none" w:sz="0" w:space="0" w:color="auto"/>
          </w:divBdr>
        </w:div>
        <w:div w:id="116066572">
          <w:marLeft w:val="0"/>
          <w:marRight w:val="0"/>
          <w:marTop w:val="0"/>
          <w:marBottom w:val="0"/>
          <w:divBdr>
            <w:top w:val="none" w:sz="0" w:space="0" w:color="auto"/>
            <w:left w:val="none" w:sz="0" w:space="0" w:color="auto"/>
            <w:bottom w:val="none" w:sz="0" w:space="0" w:color="auto"/>
            <w:right w:val="none" w:sz="0" w:space="0" w:color="auto"/>
          </w:divBdr>
        </w:div>
        <w:div w:id="175966074">
          <w:marLeft w:val="0"/>
          <w:marRight w:val="0"/>
          <w:marTop w:val="0"/>
          <w:marBottom w:val="0"/>
          <w:divBdr>
            <w:top w:val="none" w:sz="0" w:space="0" w:color="auto"/>
            <w:left w:val="none" w:sz="0" w:space="0" w:color="auto"/>
            <w:bottom w:val="none" w:sz="0" w:space="0" w:color="auto"/>
            <w:right w:val="none" w:sz="0" w:space="0" w:color="auto"/>
          </w:divBdr>
        </w:div>
        <w:div w:id="1437018378">
          <w:marLeft w:val="0"/>
          <w:marRight w:val="0"/>
          <w:marTop w:val="0"/>
          <w:marBottom w:val="0"/>
          <w:divBdr>
            <w:top w:val="none" w:sz="0" w:space="0" w:color="auto"/>
            <w:left w:val="none" w:sz="0" w:space="0" w:color="auto"/>
            <w:bottom w:val="none" w:sz="0" w:space="0" w:color="auto"/>
            <w:right w:val="none" w:sz="0" w:space="0" w:color="auto"/>
          </w:divBdr>
        </w:div>
        <w:div w:id="1892569329">
          <w:marLeft w:val="0"/>
          <w:marRight w:val="0"/>
          <w:marTop w:val="0"/>
          <w:marBottom w:val="0"/>
          <w:divBdr>
            <w:top w:val="none" w:sz="0" w:space="0" w:color="auto"/>
            <w:left w:val="none" w:sz="0" w:space="0" w:color="auto"/>
            <w:bottom w:val="none" w:sz="0" w:space="0" w:color="auto"/>
            <w:right w:val="none" w:sz="0" w:space="0" w:color="auto"/>
          </w:divBdr>
        </w:div>
        <w:div w:id="1569926003">
          <w:marLeft w:val="0"/>
          <w:marRight w:val="0"/>
          <w:marTop w:val="0"/>
          <w:marBottom w:val="0"/>
          <w:divBdr>
            <w:top w:val="none" w:sz="0" w:space="0" w:color="auto"/>
            <w:left w:val="none" w:sz="0" w:space="0" w:color="auto"/>
            <w:bottom w:val="none" w:sz="0" w:space="0" w:color="auto"/>
            <w:right w:val="none" w:sz="0" w:space="0" w:color="auto"/>
          </w:divBdr>
        </w:div>
        <w:div w:id="1889759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ournal-fuer-psychologie.de/index.php/jfp/article/view/14/8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nguistik.uzh.ch/de/easyling/faq/kolmer-schweizerdeutsch.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eschichtedergegenwart.ch/das-kreuz-mit-dem-kulturkrei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bdok.tub.tuhh.de/bitstream/11420/384/1/Intersektionalitaet_Mehrebenen.pdf" TargetMode="External"/><Relationship Id="rId5" Type="http://schemas.openxmlformats.org/officeDocument/2006/relationships/webSettings" Target="webSettings.xml"/><Relationship Id="rId15" Type="http://schemas.openxmlformats.org/officeDocument/2006/relationships/hyperlink" Target="http://www.kakanien-revisited.at/beitr/fallstudie/CRuthner5.pdf" TargetMode="External"/><Relationship Id="rId10" Type="http://schemas.openxmlformats.org/officeDocument/2006/relationships/hyperlink" Target="http://www.bpb.de/apuz/256921/kleine-geschichte-jugoslawie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slebenistausland.net/category/nadj-abonji/" TargetMode="External"/><Relationship Id="rId14" Type="http://schemas.openxmlformats.org/officeDocument/2006/relationships/hyperlink" Target="http://www.kakanien-revisited.at/beitr/fallstudie/ARathberger1/?page=1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pb.de/apuz/256921/kleine-geschichte-jugoslawiens" TargetMode="External"/><Relationship Id="rId13" Type="http://schemas.openxmlformats.org/officeDocument/2006/relationships/hyperlink" Target="http://www.literaturfestival.com/archiv/teilnehmer/autoren/2011/melinda-nadj-abonji" TargetMode="External"/><Relationship Id="rId3" Type="http://schemas.openxmlformats.org/officeDocument/2006/relationships/hyperlink" Target="http://geschichtedergegenwart.ch/das-kreuz-mit-dem-kulturkreis/" TargetMode="External"/><Relationship Id="rId7" Type="http://schemas.openxmlformats.org/officeDocument/2006/relationships/hyperlink" Target="https://www.journal-fuer-psychologie.de/index.php/jfp/article/view/14/87" TargetMode="External"/><Relationship Id="rId12" Type="http://schemas.openxmlformats.org/officeDocument/2006/relationships/hyperlink" Target="http://www.bibliomedia.ch/de/autoren/Nadj_Abonji_Melinda/963.html" TargetMode="External"/><Relationship Id="rId2" Type="http://schemas.openxmlformats.org/officeDocument/2006/relationships/hyperlink" Target="http://www.nbc-pfalz.de/pdf/religionen/tibi_multikultureller-werterelativismus.pdf" TargetMode="External"/><Relationship Id="rId16" Type="http://schemas.openxmlformats.org/officeDocument/2006/relationships/hyperlink" Target="https://www.bk.admin.ch/glossar/index.html?action=id&amp;id=61&amp;lang=de" TargetMode="External"/><Relationship Id="rId1" Type="http://schemas.openxmlformats.org/officeDocument/2006/relationships/hyperlink" Target="http://www.g-o.be/meertalenbeleid-op-school-10-veelgestelde-vragen/" TargetMode="External"/><Relationship Id="rId6" Type="http://schemas.openxmlformats.org/officeDocument/2006/relationships/hyperlink" Target="https://tubdok.tub.tuhh.de/bitstream/11420/384/1/Intersektionalitaet_Mehrebenen.pdf" TargetMode="External"/><Relationship Id="rId11" Type="http://schemas.openxmlformats.org/officeDocument/2006/relationships/hyperlink" Target="http://www.linguistik.uzh.ch/de/easyling/faq/kolmer-schweizerdeutsch.html" TargetMode="External"/><Relationship Id="rId5" Type="http://schemas.openxmlformats.org/officeDocument/2006/relationships/hyperlink" Target="http://www.kakanien-revisited.at/beitr/fallstudie/CRuthner5.pdf" TargetMode="External"/><Relationship Id="rId15" Type="http://schemas.openxmlformats.org/officeDocument/2006/relationships/hyperlink" Target="https://www.bk.admin.ch/glossar/index.html?action=id&amp;id=61&amp;lang=de" TargetMode="External"/><Relationship Id="rId10" Type="http://schemas.openxmlformats.org/officeDocument/2006/relationships/hyperlink" Target="http://www.bpb.de/apuz/256921/kleine-geschichte-jugoslawiens?p=4" TargetMode="External"/><Relationship Id="rId4" Type="http://schemas.openxmlformats.org/officeDocument/2006/relationships/hyperlink" Target="http://www.kakanien-revisited.at/beitr/fallstudie/ARathberger1.pdf" TargetMode="External"/><Relationship Id="rId9" Type="http://schemas.openxmlformats.org/officeDocument/2006/relationships/hyperlink" Target="https://www.europa-nu.nl/id/vkk3e8z7soxe/nieuws/vorderingen_in_eu_toetredingsgesprekken?ctx=vh9if1ear39f&amp;tab=0" TargetMode="External"/><Relationship Id="rId14" Type="http://schemas.openxmlformats.org/officeDocument/2006/relationships/hyperlink" Target="http://daslebenistausland.net/category/nadj-abonj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F89686EE67488AA1EDEE70C9AF4921"/>
        <w:category>
          <w:name w:val="Algemeen"/>
          <w:gallery w:val="placeholder"/>
        </w:category>
        <w:types>
          <w:type w:val="bbPlcHdr"/>
        </w:types>
        <w:behaviors>
          <w:behavior w:val="content"/>
        </w:behaviors>
        <w:guid w:val="{A2D1A435-6B62-46A6-BA20-D7AE12FFCA90}"/>
      </w:docPartPr>
      <w:docPartBody>
        <w:p w:rsidR="00C76E5F" w:rsidRDefault="00D66C23" w:rsidP="00D66C23">
          <w:pPr>
            <w:pStyle w:val="10F89686EE67488AA1EDEE70C9AF4921"/>
          </w:pPr>
          <w:r w:rsidRPr="002251D0">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C23"/>
    <w:rsid w:val="00092A6B"/>
    <w:rsid w:val="000C7E38"/>
    <w:rsid w:val="000D4BAC"/>
    <w:rsid w:val="000D58E1"/>
    <w:rsid w:val="000F3018"/>
    <w:rsid w:val="00151523"/>
    <w:rsid w:val="00155677"/>
    <w:rsid w:val="001D4EE7"/>
    <w:rsid w:val="00200748"/>
    <w:rsid w:val="00210E50"/>
    <w:rsid w:val="002933BC"/>
    <w:rsid w:val="002B1042"/>
    <w:rsid w:val="002B27AD"/>
    <w:rsid w:val="002F0E6F"/>
    <w:rsid w:val="00325A5C"/>
    <w:rsid w:val="003B0A55"/>
    <w:rsid w:val="003E4B35"/>
    <w:rsid w:val="004150C9"/>
    <w:rsid w:val="004251B4"/>
    <w:rsid w:val="00444429"/>
    <w:rsid w:val="00454205"/>
    <w:rsid w:val="00457E0A"/>
    <w:rsid w:val="004856D6"/>
    <w:rsid w:val="004B3D77"/>
    <w:rsid w:val="004F0843"/>
    <w:rsid w:val="004F6A54"/>
    <w:rsid w:val="004F7E75"/>
    <w:rsid w:val="00522C6C"/>
    <w:rsid w:val="005277DF"/>
    <w:rsid w:val="00554A89"/>
    <w:rsid w:val="00560D64"/>
    <w:rsid w:val="00571214"/>
    <w:rsid w:val="005C6FD0"/>
    <w:rsid w:val="005F4A2C"/>
    <w:rsid w:val="00643703"/>
    <w:rsid w:val="006816E6"/>
    <w:rsid w:val="006D1847"/>
    <w:rsid w:val="0071208D"/>
    <w:rsid w:val="00724A6C"/>
    <w:rsid w:val="00782A0F"/>
    <w:rsid w:val="007A5789"/>
    <w:rsid w:val="007C0F04"/>
    <w:rsid w:val="007E21B4"/>
    <w:rsid w:val="008110F4"/>
    <w:rsid w:val="008812C0"/>
    <w:rsid w:val="00884A67"/>
    <w:rsid w:val="008D3622"/>
    <w:rsid w:val="008D75C4"/>
    <w:rsid w:val="008F35B4"/>
    <w:rsid w:val="009A518F"/>
    <w:rsid w:val="009B30DA"/>
    <w:rsid w:val="009E787A"/>
    <w:rsid w:val="00A030DF"/>
    <w:rsid w:val="00A832A3"/>
    <w:rsid w:val="00A93F51"/>
    <w:rsid w:val="00AB7B83"/>
    <w:rsid w:val="00AC1C80"/>
    <w:rsid w:val="00AC29C8"/>
    <w:rsid w:val="00B12F67"/>
    <w:rsid w:val="00B40B78"/>
    <w:rsid w:val="00B65506"/>
    <w:rsid w:val="00B976F2"/>
    <w:rsid w:val="00BB24F3"/>
    <w:rsid w:val="00BD71BE"/>
    <w:rsid w:val="00C2284E"/>
    <w:rsid w:val="00C73C58"/>
    <w:rsid w:val="00C76E5F"/>
    <w:rsid w:val="00CD595A"/>
    <w:rsid w:val="00D03D0A"/>
    <w:rsid w:val="00D12A99"/>
    <w:rsid w:val="00D2365A"/>
    <w:rsid w:val="00D66C23"/>
    <w:rsid w:val="00E752C5"/>
    <w:rsid w:val="00EA7594"/>
    <w:rsid w:val="00EB171D"/>
    <w:rsid w:val="00EB4CF2"/>
    <w:rsid w:val="00EE0EBD"/>
    <w:rsid w:val="00F163B6"/>
    <w:rsid w:val="00F176FA"/>
    <w:rsid w:val="00F67C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B7B83"/>
    <w:rPr>
      <w:color w:val="808080"/>
    </w:rPr>
  </w:style>
  <w:style w:type="paragraph" w:customStyle="1" w:styleId="B0F7E7D9CD5543969FF01A812511F2B8">
    <w:name w:val="B0F7E7D9CD5543969FF01A812511F2B8"/>
    <w:rsid w:val="00D66C23"/>
  </w:style>
  <w:style w:type="paragraph" w:customStyle="1" w:styleId="10F89686EE67488AA1EDEE70C9AF4921">
    <w:name w:val="10F89686EE67488AA1EDEE70C9AF4921"/>
    <w:rsid w:val="00D66C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2C28B-3ABF-4863-82D2-E295043F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26268</Words>
  <Characters>144480</Characters>
  <Application>Microsoft Office Word</Application>
  <DocSecurity>0</DocSecurity>
  <Lines>1204</Lines>
  <Paragraphs>340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dc:creator>
  <cp:keywords/>
  <dc:description/>
  <cp:lastModifiedBy>Liselotte</cp:lastModifiedBy>
  <cp:revision>2</cp:revision>
  <cp:lastPrinted>2018-05-28T07:52:00Z</cp:lastPrinted>
  <dcterms:created xsi:type="dcterms:W3CDTF">2018-09-30T10:35:00Z</dcterms:created>
  <dcterms:modified xsi:type="dcterms:W3CDTF">2018-09-30T10:35:00Z</dcterms:modified>
</cp:coreProperties>
</file>