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DAB2C" w14:textId="59192308" w:rsidR="00DB41F9" w:rsidRDefault="00820A90" w:rsidP="002532B7">
      <w:pPr>
        <w:spacing w:line="276" w:lineRule="auto"/>
        <w:rPr>
          <w:rFonts w:ascii="Calibri" w:hAnsi="Calibri" w:cs="Arial"/>
          <w:b/>
          <w:color w:val="000000" w:themeColor="text1"/>
          <w:u w:val="single"/>
          <w:lang w:val="nl-BE"/>
        </w:rPr>
      </w:pPr>
      <w:r w:rsidRPr="00820A90">
        <w:rPr>
          <w:rFonts w:ascii="Calibri" w:hAnsi="Calibri" w:cs="Arial"/>
          <w:b/>
          <w:noProof/>
          <w:color w:val="000000" w:themeColor="text1"/>
          <w:lang w:eastAsia="nl-NL"/>
        </w:rPr>
        <w:drawing>
          <wp:inline distT="0" distB="0" distL="0" distR="0" wp14:anchorId="3461D534" wp14:editId="0D0AE459">
            <wp:extent cx="2028153" cy="1143605"/>
            <wp:effectExtent l="0" t="0" r="444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GENT_Logo_Pos_rgb.jpg"/>
                    <pic:cNvPicPr/>
                  </pic:nvPicPr>
                  <pic:blipFill>
                    <a:blip r:embed="rId8">
                      <a:extLst>
                        <a:ext uri="{28A0092B-C50C-407E-A947-70E740481C1C}">
                          <a14:useLocalDpi xmlns:a14="http://schemas.microsoft.com/office/drawing/2010/main" val="0"/>
                        </a:ext>
                      </a:extLst>
                    </a:blip>
                    <a:stretch>
                      <a:fillRect/>
                    </a:stretch>
                  </pic:blipFill>
                  <pic:spPr>
                    <a:xfrm>
                      <a:off x="0" y="0"/>
                      <a:ext cx="2120529" cy="1195693"/>
                    </a:xfrm>
                    <a:prstGeom prst="rect">
                      <a:avLst/>
                    </a:prstGeom>
                  </pic:spPr>
                </pic:pic>
              </a:graphicData>
            </a:graphic>
          </wp:inline>
        </w:drawing>
      </w:r>
    </w:p>
    <w:p w14:paraId="75E6EEE3" w14:textId="77777777" w:rsidR="00820A90" w:rsidRDefault="00820A90" w:rsidP="002532B7">
      <w:pPr>
        <w:spacing w:line="276" w:lineRule="auto"/>
        <w:rPr>
          <w:rFonts w:ascii="Calibri" w:hAnsi="Calibri" w:cs="Arial"/>
          <w:b/>
          <w:color w:val="000000" w:themeColor="text1"/>
          <w:u w:val="single"/>
          <w:lang w:val="nl-BE"/>
        </w:rPr>
      </w:pPr>
    </w:p>
    <w:p w14:paraId="7693769D" w14:textId="77777777" w:rsidR="00820A90" w:rsidRPr="00445863" w:rsidRDefault="00820A90" w:rsidP="002532B7">
      <w:pPr>
        <w:spacing w:line="276" w:lineRule="auto"/>
        <w:rPr>
          <w:rFonts w:ascii="Calibri" w:hAnsi="Calibri" w:cs="Arial"/>
          <w:b/>
          <w:i/>
          <w:color w:val="000000" w:themeColor="text1"/>
          <w:u w:val="single"/>
          <w:lang w:val="nl-BE"/>
        </w:rPr>
      </w:pPr>
    </w:p>
    <w:p w14:paraId="1FE1934A" w14:textId="2BDC328F" w:rsidR="00820A90" w:rsidRPr="00445863" w:rsidRDefault="00820A90" w:rsidP="002532B7">
      <w:pPr>
        <w:spacing w:line="276" w:lineRule="auto"/>
        <w:jc w:val="center"/>
        <w:rPr>
          <w:rFonts w:ascii="Calibri" w:hAnsi="Calibri" w:cs="Arial"/>
          <w:i/>
          <w:color w:val="000000" w:themeColor="text1"/>
          <w:sz w:val="32"/>
          <w:szCs w:val="32"/>
          <w:lang w:val="nl-BE"/>
        </w:rPr>
      </w:pPr>
      <w:r w:rsidRPr="00445863">
        <w:rPr>
          <w:rFonts w:ascii="Calibri" w:hAnsi="Calibri" w:cs="Arial"/>
          <w:i/>
          <w:color w:val="000000" w:themeColor="text1"/>
          <w:sz w:val="32"/>
          <w:szCs w:val="32"/>
          <w:lang w:val="nl-BE"/>
        </w:rPr>
        <w:t>Faculteit Bedrijf en Organisatie</w:t>
      </w:r>
    </w:p>
    <w:p w14:paraId="398C6606" w14:textId="77777777" w:rsidR="00820A90" w:rsidRDefault="00820A90" w:rsidP="002532B7">
      <w:pPr>
        <w:spacing w:line="276" w:lineRule="auto"/>
        <w:jc w:val="center"/>
        <w:rPr>
          <w:rFonts w:ascii="Calibri" w:hAnsi="Calibri" w:cs="Arial"/>
          <w:color w:val="000000" w:themeColor="text1"/>
          <w:sz w:val="36"/>
          <w:szCs w:val="36"/>
          <w:lang w:val="nl-BE"/>
        </w:rPr>
      </w:pPr>
    </w:p>
    <w:p w14:paraId="6BA315A4" w14:textId="6A8214B5" w:rsidR="00820A90" w:rsidRPr="00445863" w:rsidRDefault="00820A90" w:rsidP="002532B7">
      <w:pPr>
        <w:spacing w:line="276" w:lineRule="auto"/>
        <w:jc w:val="center"/>
        <w:rPr>
          <w:rFonts w:ascii="Calibri" w:hAnsi="Calibri" w:cs="Arial"/>
          <w:i/>
          <w:color w:val="000000" w:themeColor="text1"/>
          <w:sz w:val="32"/>
          <w:szCs w:val="32"/>
          <w:lang w:val="nl-BE"/>
        </w:rPr>
      </w:pPr>
      <w:r w:rsidRPr="00445863">
        <w:rPr>
          <w:rFonts w:ascii="Calibri" w:hAnsi="Calibri" w:cs="Arial"/>
          <w:i/>
          <w:color w:val="000000" w:themeColor="text1"/>
          <w:sz w:val="32"/>
          <w:szCs w:val="32"/>
          <w:lang w:val="nl-BE"/>
        </w:rPr>
        <w:t>Academiejaar 2019-2020</w:t>
      </w:r>
    </w:p>
    <w:p w14:paraId="1B6165C2" w14:textId="77777777" w:rsidR="00820A90" w:rsidRDefault="00820A90" w:rsidP="002532B7">
      <w:pPr>
        <w:spacing w:line="276" w:lineRule="auto"/>
        <w:jc w:val="center"/>
        <w:rPr>
          <w:rFonts w:ascii="Calibri" w:hAnsi="Calibri" w:cs="Arial"/>
          <w:color w:val="000000" w:themeColor="text1"/>
          <w:sz w:val="36"/>
          <w:szCs w:val="36"/>
          <w:lang w:val="nl-BE"/>
        </w:rPr>
      </w:pPr>
    </w:p>
    <w:p w14:paraId="5D957FA4" w14:textId="77777777" w:rsidR="009725D7" w:rsidRDefault="009725D7" w:rsidP="002532B7">
      <w:pPr>
        <w:spacing w:line="276" w:lineRule="auto"/>
        <w:jc w:val="center"/>
        <w:rPr>
          <w:rFonts w:ascii="Calibri" w:hAnsi="Calibri" w:cs="Arial"/>
          <w:color w:val="000000" w:themeColor="text1"/>
          <w:sz w:val="36"/>
          <w:szCs w:val="36"/>
          <w:lang w:val="nl-BE"/>
        </w:rPr>
      </w:pPr>
    </w:p>
    <w:p w14:paraId="6F7CD69C" w14:textId="2E7F08BF" w:rsidR="00820A90" w:rsidRPr="009725D7" w:rsidRDefault="00820A90" w:rsidP="002532B7">
      <w:pPr>
        <w:spacing w:line="276" w:lineRule="auto"/>
        <w:jc w:val="center"/>
        <w:rPr>
          <w:rFonts w:ascii="Calibri" w:hAnsi="Calibri" w:cs="Arial"/>
          <w:b/>
          <w:color w:val="000000" w:themeColor="text1"/>
          <w:sz w:val="40"/>
          <w:szCs w:val="40"/>
          <w:lang w:val="nl-BE"/>
        </w:rPr>
      </w:pPr>
      <w:r w:rsidRPr="009725D7">
        <w:rPr>
          <w:rFonts w:ascii="Calibri" w:hAnsi="Calibri" w:cs="Arial"/>
          <w:b/>
          <w:color w:val="000000" w:themeColor="text1"/>
          <w:sz w:val="40"/>
          <w:szCs w:val="40"/>
          <w:lang w:val="nl-BE"/>
        </w:rPr>
        <w:t>DE HERVORMING VAN HET GERECHTSDEURWAARDERSSTATUUT: WAT IS ER VERANDERD EN WAT ZIJN DE BEVINDINGEN OP HET TERREIN?</w:t>
      </w:r>
    </w:p>
    <w:p w14:paraId="5A7F4534" w14:textId="77777777" w:rsidR="00820A90" w:rsidRDefault="00820A90" w:rsidP="002532B7">
      <w:pPr>
        <w:spacing w:line="276" w:lineRule="auto"/>
        <w:jc w:val="center"/>
        <w:rPr>
          <w:rFonts w:ascii="Calibri" w:hAnsi="Calibri" w:cs="Arial"/>
          <w:b/>
          <w:color w:val="000000" w:themeColor="text1"/>
          <w:sz w:val="36"/>
          <w:szCs w:val="36"/>
          <w:lang w:val="nl-BE"/>
        </w:rPr>
      </w:pPr>
    </w:p>
    <w:p w14:paraId="5F8EB01C" w14:textId="27F045E6" w:rsidR="00820A90" w:rsidRDefault="00820A90" w:rsidP="002532B7">
      <w:pPr>
        <w:spacing w:line="276" w:lineRule="auto"/>
        <w:jc w:val="center"/>
        <w:rPr>
          <w:rFonts w:ascii="Calibri" w:hAnsi="Calibri" w:cs="Arial"/>
          <w:color w:val="000000" w:themeColor="text1"/>
          <w:sz w:val="32"/>
          <w:szCs w:val="32"/>
          <w:lang w:val="nl-BE"/>
        </w:rPr>
      </w:pPr>
      <w:r>
        <w:rPr>
          <w:rFonts w:ascii="Calibri" w:hAnsi="Calibri" w:cs="Arial"/>
          <w:color w:val="000000" w:themeColor="text1"/>
          <w:sz w:val="32"/>
          <w:szCs w:val="32"/>
          <w:lang w:val="nl-BE"/>
        </w:rPr>
        <w:t>Bachelorproef van de opleiding:</w:t>
      </w:r>
    </w:p>
    <w:p w14:paraId="7DC08404" w14:textId="77777777" w:rsidR="009725D7" w:rsidRDefault="009725D7" w:rsidP="002532B7">
      <w:pPr>
        <w:spacing w:line="276" w:lineRule="auto"/>
        <w:jc w:val="center"/>
        <w:rPr>
          <w:rFonts w:ascii="Calibri" w:hAnsi="Calibri" w:cs="Arial"/>
          <w:color w:val="000000" w:themeColor="text1"/>
          <w:sz w:val="32"/>
          <w:szCs w:val="32"/>
          <w:lang w:val="nl-BE"/>
        </w:rPr>
      </w:pPr>
    </w:p>
    <w:p w14:paraId="0007024F" w14:textId="497C0A91" w:rsidR="00820A90" w:rsidRDefault="00820A90" w:rsidP="002532B7">
      <w:pPr>
        <w:spacing w:line="276" w:lineRule="auto"/>
        <w:jc w:val="center"/>
        <w:rPr>
          <w:rFonts w:ascii="Calibri" w:hAnsi="Calibri" w:cs="Arial"/>
          <w:color w:val="000000" w:themeColor="text1"/>
          <w:sz w:val="32"/>
          <w:szCs w:val="32"/>
          <w:lang w:val="nl-BE"/>
        </w:rPr>
      </w:pPr>
      <w:r>
        <w:rPr>
          <w:rFonts w:ascii="Calibri" w:hAnsi="Calibri" w:cs="Arial"/>
          <w:color w:val="000000" w:themeColor="text1"/>
          <w:sz w:val="32"/>
          <w:szCs w:val="32"/>
          <w:lang w:val="nl-BE"/>
        </w:rPr>
        <w:t xml:space="preserve">Bachelor in </w:t>
      </w:r>
      <w:r w:rsidR="009725D7">
        <w:rPr>
          <w:rFonts w:ascii="Calibri" w:hAnsi="Calibri" w:cs="Arial"/>
          <w:color w:val="000000" w:themeColor="text1"/>
          <w:sz w:val="32"/>
          <w:szCs w:val="32"/>
          <w:lang w:val="nl-BE"/>
        </w:rPr>
        <w:t>het Bedrijfsmanagement</w:t>
      </w:r>
    </w:p>
    <w:p w14:paraId="71364182" w14:textId="36AE3DB5" w:rsidR="009725D7" w:rsidRDefault="009725D7" w:rsidP="002532B7">
      <w:pPr>
        <w:spacing w:line="276" w:lineRule="auto"/>
        <w:jc w:val="center"/>
        <w:rPr>
          <w:rFonts w:ascii="Calibri" w:hAnsi="Calibri" w:cs="Arial"/>
          <w:color w:val="000000" w:themeColor="text1"/>
          <w:sz w:val="32"/>
          <w:szCs w:val="32"/>
          <w:lang w:val="nl-BE"/>
        </w:rPr>
      </w:pPr>
      <w:r>
        <w:rPr>
          <w:rFonts w:ascii="Calibri" w:hAnsi="Calibri" w:cs="Arial"/>
          <w:color w:val="000000" w:themeColor="text1"/>
          <w:sz w:val="32"/>
          <w:szCs w:val="32"/>
          <w:lang w:val="nl-BE"/>
        </w:rPr>
        <w:t>Afstudeerrichting Rechtspraktijk</w:t>
      </w:r>
    </w:p>
    <w:p w14:paraId="39A13586" w14:textId="77777777" w:rsidR="00105059" w:rsidRDefault="00105059" w:rsidP="002532B7">
      <w:pPr>
        <w:spacing w:line="276" w:lineRule="auto"/>
        <w:jc w:val="center"/>
        <w:rPr>
          <w:rFonts w:ascii="Calibri" w:hAnsi="Calibri" w:cs="Arial"/>
          <w:color w:val="000000" w:themeColor="text1"/>
          <w:sz w:val="32"/>
          <w:szCs w:val="32"/>
          <w:lang w:val="nl-BE"/>
        </w:rPr>
      </w:pPr>
    </w:p>
    <w:p w14:paraId="788F2540" w14:textId="21CD84CB" w:rsidR="00105059" w:rsidRDefault="00105059" w:rsidP="002532B7">
      <w:pPr>
        <w:spacing w:line="276" w:lineRule="auto"/>
        <w:jc w:val="center"/>
        <w:rPr>
          <w:rFonts w:ascii="Calibri" w:hAnsi="Calibri" w:cs="Arial"/>
          <w:i/>
          <w:color w:val="000000" w:themeColor="text1"/>
          <w:sz w:val="28"/>
          <w:szCs w:val="28"/>
          <w:lang w:val="nl-BE"/>
        </w:rPr>
      </w:pPr>
      <w:r>
        <w:rPr>
          <w:rFonts w:ascii="Calibri" w:hAnsi="Calibri" w:cs="Arial"/>
          <w:i/>
          <w:color w:val="000000" w:themeColor="text1"/>
          <w:sz w:val="28"/>
          <w:szCs w:val="28"/>
          <w:lang w:val="nl-BE"/>
        </w:rPr>
        <w:t>Ingediend door:</w:t>
      </w:r>
    </w:p>
    <w:p w14:paraId="1D09BE72" w14:textId="77777777" w:rsidR="00105059" w:rsidRDefault="00105059" w:rsidP="002532B7">
      <w:pPr>
        <w:spacing w:line="276" w:lineRule="auto"/>
        <w:jc w:val="center"/>
        <w:rPr>
          <w:rFonts w:ascii="Calibri" w:hAnsi="Calibri" w:cs="Arial"/>
          <w:color w:val="000000" w:themeColor="text1"/>
          <w:sz w:val="28"/>
          <w:szCs w:val="28"/>
          <w:lang w:val="nl-BE"/>
        </w:rPr>
      </w:pPr>
    </w:p>
    <w:p w14:paraId="30E4054A" w14:textId="76C92127" w:rsidR="00105059" w:rsidRPr="00105059" w:rsidRDefault="00105059" w:rsidP="002532B7">
      <w:pPr>
        <w:spacing w:line="276" w:lineRule="auto"/>
        <w:jc w:val="center"/>
        <w:rPr>
          <w:rFonts w:ascii="Calibri" w:hAnsi="Calibri" w:cs="Arial"/>
          <w:b/>
          <w:color w:val="000000" w:themeColor="text1"/>
          <w:sz w:val="32"/>
          <w:szCs w:val="32"/>
          <w:lang w:val="nl-BE"/>
        </w:rPr>
      </w:pPr>
      <w:r w:rsidRPr="00105059">
        <w:rPr>
          <w:rFonts w:ascii="Calibri" w:hAnsi="Calibri" w:cs="Arial"/>
          <w:b/>
          <w:color w:val="000000" w:themeColor="text1"/>
          <w:sz w:val="32"/>
          <w:szCs w:val="32"/>
          <w:lang w:val="nl-BE"/>
        </w:rPr>
        <w:t>De Moor Lukas</w:t>
      </w:r>
    </w:p>
    <w:p w14:paraId="36ABC59E" w14:textId="249F9B8C" w:rsidR="00105059" w:rsidRDefault="00105059" w:rsidP="002532B7">
      <w:pPr>
        <w:spacing w:line="276" w:lineRule="auto"/>
        <w:jc w:val="center"/>
        <w:rPr>
          <w:rFonts w:ascii="Calibri" w:hAnsi="Calibri" w:cs="Arial"/>
          <w:color w:val="000000" w:themeColor="text1"/>
          <w:sz w:val="28"/>
          <w:szCs w:val="28"/>
          <w:lang w:val="nl-BE"/>
        </w:rPr>
      </w:pPr>
      <w:r>
        <w:rPr>
          <w:rFonts w:ascii="Calibri" w:hAnsi="Calibri" w:cs="Arial"/>
          <w:color w:val="000000" w:themeColor="text1"/>
          <w:sz w:val="28"/>
          <w:szCs w:val="28"/>
          <w:lang w:val="nl-BE"/>
        </w:rPr>
        <w:t>(studentennummer: 201643456)</w:t>
      </w:r>
    </w:p>
    <w:p w14:paraId="646C2A4C" w14:textId="77777777" w:rsidR="00105059" w:rsidRDefault="00105059" w:rsidP="002532B7">
      <w:pPr>
        <w:spacing w:line="276" w:lineRule="auto"/>
        <w:jc w:val="center"/>
        <w:rPr>
          <w:rFonts w:ascii="Calibri" w:hAnsi="Calibri" w:cs="Arial"/>
          <w:color w:val="000000" w:themeColor="text1"/>
          <w:sz w:val="28"/>
          <w:szCs w:val="28"/>
          <w:lang w:val="nl-BE"/>
        </w:rPr>
      </w:pPr>
    </w:p>
    <w:p w14:paraId="06FF3806" w14:textId="77777777" w:rsidR="0077344E" w:rsidRDefault="0077344E" w:rsidP="002532B7">
      <w:pPr>
        <w:spacing w:line="276" w:lineRule="auto"/>
        <w:rPr>
          <w:rFonts w:ascii="Calibri" w:hAnsi="Calibri" w:cs="Arial"/>
          <w:color w:val="000000" w:themeColor="text1"/>
          <w:sz w:val="28"/>
          <w:szCs w:val="28"/>
          <w:lang w:val="nl-BE"/>
        </w:rPr>
      </w:pPr>
    </w:p>
    <w:p w14:paraId="1A1F1FF4" w14:textId="6D6F0CE2" w:rsidR="00105059" w:rsidRDefault="00105059" w:rsidP="002532B7">
      <w:pPr>
        <w:spacing w:line="276" w:lineRule="auto"/>
        <w:rPr>
          <w:rFonts w:ascii="Calibri" w:hAnsi="Calibri" w:cs="Arial"/>
          <w:color w:val="000000" w:themeColor="text1"/>
          <w:sz w:val="28"/>
          <w:szCs w:val="28"/>
          <w:lang w:val="nl-BE"/>
        </w:rPr>
      </w:pPr>
      <w:r w:rsidRPr="00105059">
        <w:rPr>
          <w:rFonts w:ascii="Calibri" w:hAnsi="Calibri" w:cs="Arial"/>
          <w:color w:val="000000" w:themeColor="text1"/>
          <w:sz w:val="28"/>
          <w:szCs w:val="28"/>
          <w:lang w:val="nl-BE"/>
        </w:rPr>
        <w:t>Promotor</w:t>
      </w:r>
      <w:r>
        <w:rPr>
          <w:rFonts w:ascii="Calibri" w:hAnsi="Calibri" w:cs="Arial"/>
          <w:color w:val="000000" w:themeColor="text1"/>
          <w:sz w:val="28"/>
          <w:szCs w:val="28"/>
          <w:lang w:val="nl-BE"/>
        </w:rPr>
        <w:t>: Frederick Ongena</w:t>
      </w:r>
    </w:p>
    <w:p w14:paraId="3719A22B" w14:textId="47936889" w:rsidR="00105059" w:rsidRDefault="00105059" w:rsidP="002532B7">
      <w:pPr>
        <w:spacing w:line="276" w:lineRule="auto"/>
        <w:rPr>
          <w:rFonts w:ascii="Calibri" w:hAnsi="Calibri" w:cs="Arial"/>
          <w:color w:val="000000" w:themeColor="text1"/>
          <w:sz w:val="28"/>
          <w:szCs w:val="28"/>
          <w:lang w:val="nl-BE"/>
        </w:rPr>
      </w:pPr>
      <w:r w:rsidRPr="00105059">
        <w:rPr>
          <w:rFonts w:ascii="Calibri" w:hAnsi="Calibri" w:cs="Arial"/>
          <w:color w:val="000000" w:themeColor="text1"/>
          <w:sz w:val="28"/>
          <w:szCs w:val="28"/>
          <w:lang w:val="nl-BE"/>
        </w:rPr>
        <w:t>Stagebedrijf</w:t>
      </w:r>
      <w:r>
        <w:rPr>
          <w:rFonts w:ascii="Calibri" w:hAnsi="Calibri" w:cs="Arial"/>
          <w:color w:val="000000" w:themeColor="text1"/>
          <w:sz w:val="28"/>
          <w:szCs w:val="28"/>
          <w:lang w:val="nl-BE"/>
        </w:rPr>
        <w:t>: Gerechtsdeurwaarderskantoor A. Vandemeulebroecke</w:t>
      </w:r>
    </w:p>
    <w:p w14:paraId="584E1BF5" w14:textId="085D40CA" w:rsidR="00105059" w:rsidRDefault="00105059" w:rsidP="002532B7">
      <w:pPr>
        <w:spacing w:line="276" w:lineRule="auto"/>
        <w:rPr>
          <w:rFonts w:ascii="Calibri" w:hAnsi="Calibri" w:cs="Arial"/>
          <w:color w:val="000000" w:themeColor="text1"/>
          <w:sz w:val="28"/>
          <w:szCs w:val="28"/>
          <w:lang w:val="nl-BE"/>
        </w:rPr>
      </w:pPr>
      <w:r w:rsidRPr="00105059">
        <w:rPr>
          <w:rFonts w:ascii="Calibri" w:hAnsi="Calibri" w:cs="Arial"/>
          <w:color w:val="000000" w:themeColor="text1"/>
          <w:sz w:val="28"/>
          <w:szCs w:val="28"/>
          <w:lang w:val="nl-BE"/>
        </w:rPr>
        <w:t>Stagementor:</w:t>
      </w:r>
      <w:r>
        <w:rPr>
          <w:rFonts w:ascii="Calibri" w:hAnsi="Calibri" w:cs="Arial"/>
          <w:color w:val="000000" w:themeColor="text1"/>
          <w:sz w:val="28"/>
          <w:szCs w:val="28"/>
          <w:lang w:val="nl-BE"/>
        </w:rPr>
        <w:t xml:space="preserve"> Frederik Vandemeulebroecke</w:t>
      </w:r>
    </w:p>
    <w:p w14:paraId="7D1E2423" w14:textId="40047B69" w:rsidR="00105059" w:rsidRPr="00105059" w:rsidRDefault="0077344E" w:rsidP="002532B7">
      <w:pPr>
        <w:spacing w:line="276" w:lineRule="auto"/>
        <w:rPr>
          <w:rFonts w:ascii="Calibri" w:hAnsi="Calibri" w:cs="Arial"/>
          <w:color w:val="000000" w:themeColor="text1"/>
          <w:sz w:val="28"/>
          <w:szCs w:val="28"/>
          <w:lang w:val="nl-BE"/>
        </w:rPr>
      </w:pPr>
      <w:r>
        <w:rPr>
          <w:rFonts w:ascii="Calibri" w:hAnsi="Calibri" w:cs="Arial"/>
          <w:color w:val="000000" w:themeColor="text1"/>
          <w:sz w:val="28"/>
          <w:szCs w:val="28"/>
          <w:lang w:val="nl-BE"/>
        </w:rPr>
        <w:t>Stagebegeleider: Anne Remerie</w:t>
      </w:r>
    </w:p>
    <w:p w14:paraId="11CC5F2D" w14:textId="77777777" w:rsidR="005B51B7" w:rsidRDefault="005B51B7" w:rsidP="002532B7">
      <w:pPr>
        <w:spacing w:line="276" w:lineRule="auto"/>
        <w:jc w:val="center"/>
        <w:rPr>
          <w:rFonts w:ascii="Calibri" w:hAnsi="Calibri" w:cs="Arial"/>
          <w:b/>
          <w:color w:val="000000" w:themeColor="text1"/>
          <w:u w:val="single"/>
          <w:lang w:val="nl-BE"/>
        </w:rPr>
      </w:pPr>
    </w:p>
    <w:p w14:paraId="114B6C70" w14:textId="391B040A" w:rsidR="00203982" w:rsidRDefault="005B51B7" w:rsidP="002532B7">
      <w:pPr>
        <w:spacing w:line="276" w:lineRule="auto"/>
        <w:rPr>
          <w:rFonts w:ascii="Calibri" w:hAnsi="Calibri" w:cs="Arial"/>
          <w:b/>
          <w:color w:val="000000" w:themeColor="text1"/>
          <w:u w:val="single"/>
          <w:lang w:val="nl-BE"/>
        </w:rPr>
      </w:pPr>
      <w:r>
        <w:rPr>
          <w:rFonts w:ascii="Calibri" w:hAnsi="Calibri" w:cs="Arial"/>
          <w:b/>
          <w:color w:val="000000" w:themeColor="text1"/>
          <w:u w:val="single"/>
          <w:lang w:val="nl-BE"/>
        </w:rPr>
        <w:br w:type="page"/>
      </w:r>
    </w:p>
    <w:p w14:paraId="35BC361B" w14:textId="6AECAA48" w:rsidR="00203982" w:rsidRDefault="00203982" w:rsidP="002532B7">
      <w:pPr>
        <w:pStyle w:val="Kop1"/>
        <w:spacing w:line="276" w:lineRule="auto"/>
        <w:rPr>
          <w:lang w:val="nl-BE"/>
        </w:rPr>
      </w:pPr>
      <w:bookmarkStart w:id="0" w:name="_Toc38980520"/>
      <w:bookmarkStart w:id="1" w:name="_Toc40689940"/>
      <w:r>
        <w:rPr>
          <w:lang w:val="nl-BE"/>
        </w:rPr>
        <w:lastRenderedPageBreak/>
        <w:t>VOORWOORD</w:t>
      </w:r>
      <w:bookmarkEnd w:id="0"/>
      <w:bookmarkEnd w:id="1"/>
    </w:p>
    <w:p w14:paraId="391B6A0F" w14:textId="77777777" w:rsidR="001D1DF0" w:rsidRDefault="001D1DF0" w:rsidP="002532B7">
      <w:pPr>
        <w:spacing w:line="276" w:lineRule="auto"/>
        <w:rPr>
          <w:rFonts w:ascii="Calibri" w:hAnsi="Calibri"/>
          <w:color w:val="000000" w:themeColor="text1"/>
          <w:lang w:val="nl-BE"/>
        </w:rPr>
      </w:pPr>
    </w:p>
    <w:p w14:paraId="5872F0CB" w14:textId="31C340C2" w:rsidR="00506456" w:rsidRDefault="000A1246" w:rsidP="00F7500C">
      <w:pPr>
        <w:spacing w:line="276" w:lineRule="auto"/>
        <w:jc w:val="both"/>
        <w:rPr>
          <w:rFonts w:ascii="Calibri" w:hAnsi="Calibri"/>
          <w:color w:val="000000" w:themeColor="text1"/>
          <w:lang w:val="nl-BE"/>
        </w:rPr>
      </w:pPr>
      <w:r>
        <w:rPr>
          <w:rFonts w:ascii="Calibri" w:hAnsi="Calibri"/>
          <w:color w:val="000000" w:themeColor="text1"/>
          <w:lang w:val="nl-BE"/>
        </w:rPr>
        <w:t xml:space="preserve">Voorjaar 2020. </w:t>
      </w:r>
      <w:r w:rsidR="00D14F05">
        <w:rPr>
          <w:rFonts w:ascii="Calibri" w:hAnsi="Calibri"/>
          <w:color w:val="000000" w:themeColor="text1"/>
          <w:lang w:val="nl-BE"/>
        </w:rPr>
        <w:t>Wat voor mijn medestudenten en mezelf een bijzonder druk semester beloofde te worden</w:t>
      </w:r>
      <w:r w:rsidR="00F15FDB">
        <w:rPr>
          <w:rFonts w:ascii="Calibri" w:hAnsi="Calibri"/>
          <w:color w:val="000000" w:themeColor="text1"/>
          <w:lang w:val="nl-BE"/>
        </w:rPr>
        <w:t xml:space="preserve"> met de combinatie van een fulltime stage en het schrijven van een bachelorproef</w:t>
      </w:r>
      <w:r w:rsidR="00D14F05">
        <w:rPr>
          <w:rFonts w:ascii="Calibri" w:hAnsi="Calibri"/>
          <w:color w:val="000000" w:themeColor="text1"/>
          <w:lang w:val="nl-BE"/>
        </w:rPr>
        <w:t>, wordt op slag dooreen geschud</w:t>
      </w:r>
      <w:r w:rsidR="001D1DF0">
        <w:rPr>
          <w:rFonts w:ascii="Calibri" w:hAnsi="Calibri"/>
          <w:color w:val="000000" w:themeColor="text1"/>
          <w:lang w:val="nl-BE"/>
        </w:rPr>
        <w:t xml:space="preserve"> door een </w:t>
      </w:r>
      <w:r w:rsidR="00F15FDB">
        <w:rPr>
          <w:rFonts w:ascii="Calibri" w:hAnsi="Calibri"/>
          <w:color w:val="000000" w:themeColor="text1"/>
          <w:lang w:val="nl-BE"/>
        </w:rPr>
        <w:t>nooit eerder vertoonde surrealiteit</w:t>
      </w:r>
      <w:r w:rsidR="007336FF">
        <w:rPr>
          <w:rFonts w:ascii="Calibri" w:hAnsi="Calibri"/>
          <w:color w:val="000000" w:themeColor="text1"/>
          <w:lang w:val="nl-BE"/>
        </w:rPr>
        <w:t xml:space="preserve"> die in ieders geheugen gegrift zal staan</w:t>
      </w:r>
      <w:r w:rsidR="00E84B55">
        <w:rPr>
          <w:rFonts w:ascii="Calibri" w:hAnsi="Calibri"/>
          <w:color w:val="000000" w:themeColor="text1"/>
          <w:lang w:val="nl-BE"/>
        </w:rPr>
        <w:t>.</w:t>
      </w:r>
      <w:r w:rsidR="007336FF">
        <w:rPr>
          <w:rFonts w:ascii="Calibri" w:hAnsi="Calibri"/>
          <w:color w:val="000000" w:themeColor="text1"/>
          <w:lang w:val="nl-BE"/>
        </w:rPr>
        <w:t xml:space="preserve"> </w:t>
      </w:r>
      <w:r w:rsidR="00E84B55">
        <w:rPr>
          <w:lang w:val="nl-BE"/>
        </w:rPr>
        <w:t xml:space="preserve">Het staat buiten kijf dat het coronavirus SARS-CoV-2 voor iedereen ingrijpende en soms schrijnende gevolgen teweegbrengt. Ook voor ons studenten zijn de gevolgen niet te overzien: </w:t>
      </w:r>
      <w:r w:rsidR="00F97B41">
        <w:rPr>
          <w:rFonts w:ascii="Calibri" w:hAnsi="Calibri"/>
          <w:color w:val="000000" w:themeColor="text1"/>
          <w:lang w:val="nl-BE"/>
        </w:rPr>
        <w:t>alle stages worden</w:t>
      </w:r>
      <w:r w:rsidR="00BB3F04">
        <w:rPr>
          <w:rFonts w:ascii="Calibri" w:hAnsi="Calibri"/>
          <w:color w:val="000000" w:themeColor="text1"/>
          <w:lang w:val="nl-BE"/>
        </w:rPr>
        <w:t xml:space="preserve"> na twee luttele weken</w:t>
      </w:r>
      <w:r w:rsidR="00F97B41">
        <w:rPr>
          <w:rFonts w:ascii="Calibri" w:hAnsi="Calibri"/>
          <w:color w:val="000000" w:themeColor="text1"/>
          <w:lang w:val="nl-BE"/>
        </w:rPr>
        <w:t xml:space="preserve"> opgeschort en tot nader order uitgesteld</w:t>
      </w:r>
      <w:r w:rsidR="00E84B55">
        <w:rPr>
          <w:rFonts w:ascii="Calibri" w:hAnsi="Calibri"/>
          <w:color w:val="000000" w:themeColor="text1"/>
          <w:lang w:val="nl-BE"/>
        </w:rPr>
        <w:t xml:space="preserve"> naar de zomer</w:t>
      </w:r>
      <w:r w:rsidR="000512F9">
        <w:rPr>
          <w:rFonts w:ascii="Calibri" w:hAnsi="Calibri"/>
          <w:color w:val="000000" w:themeColor="text1"/>
          <w:lang w:val="nl-BE"/>
        </w:rPr>
        <w:t xml:space="preserve">, mogelijks </w:t>
      </w:r>
      <w:r w:rsidR="00506456">
        <w:rPr>
          <w:rFonts w:ascii="Calibri" w:hAnsi="Calibri"/>
          <w:color w:val="000000" w:themeColor="text1"/>
          <w:lang w:val="nl-BE"/>
        </w:rPr>
        <w:t xml:space="preserve">zelfs </w:t>
      </w:r>
      <w:r w:rsidR="000512F9">
        <w:rPr>
          <w:rFonts w:ascii="Calibri" w:hAnsi="Calibri"/>
          <w:color w:val="000000" w:themeColor="text1"/>
          <w:lang w:val="nl-BE"/>
        </w:rPr>
        <w:t>in een ander stagebedrijf</w:t>
      </w:r>
      <w:r w:rsidR="00F97B41">
        <w:rPr>
          <w:rFonts w:ascii="Calibri" w:hAnsi="Calibri"/>
          <w:color w:val="000000" w:themeColor="text1"/>
          <w:lang w:val="nl-BE"/>
        </w:rPr>
        <w:t xml:space="preserve">. </w:t>
      </w:r>
      <w:r w:rsidR="005E2051">
        <w:rPr>
          <w:rFonts w:ascii="Calibri" w:hAnsi="Calibri"/>
          <w:color w:val="000000" w:themeColor="text1"/>
          <w:lang w:val="nl-BE"/>
        </w:rPr>
        <w:t xml:space="preserve">De deadline voor dit eindwerk wordt vervroegd </w:t>
      </w:r>
      <w:r w:rsidR="00BB1518">
        <w:rPr>
          <w:rFonts w:ascii="Calibri" w:hAnsi="Calibri"/>
          <w:color w:val="000000" w:themeColor="text1"/>
          <w:lang w:val="nl-BE"/>
        </w:rPr>
        <w:t>opdat de stages</w:t>
      </w:r>
      <w:r w:rsidR="005E2051">
        <w:rPr>
          <w:rFonts w:ascii="Calibri" w:hAnsi="Calibri"/>
          <w:color w:val="000000" w:themeColor="text1"/>
          <w:lang w:val="nl-BE"/>
        </w:rPr>
        <w:t xml:space="preserve"> zo snel mogelijk kunnen hervatten. Bibliotheken zijn gesloten en laatstejaarsstudenten schrijven hun eindscriptie vanuit hun kot. </w:t>
      </w:r>
      <w:r w:rsidR="00F15FDB">
        <w:rPr>
          <w:rFonts w:ascii="Calibri" w:hAnsi="Calibri"/>
          <w:color w:val="000000" w:themeColor="text1"/>
          <w:lang w:val="nl-BE"/>
        </w:rPr>
        <w:t>Bij deze wens ik dan ook mijn medeleven te betuigen aan iedereen die naasten verloren heeft aan COVID-19.</w:t>
      </w:r>
    </w:p>
    <w:p w14:paraId="46A12978" w14:textId="77777777" w:rsidR="00506456" w:rsidRDefault="00506456" w:rsidP="002532B7">
      <w:pPr>
        <w:spacing w:line="276" w:lineRule="auto"/>
        <w:rPr>
          <w:rFonts w:ascii="Calibri" w:hAnsi="Calibri"/>
          <w:color w:val="000000" w:themeColor="text1"/>
          <w:lang w:val="nl-BE"/>
        </w:rPr>
      </w:pPr>
    </w:p>
    <w:p w14:paraId="2FC0C779" w14:textId="3C3D88C5" w:rsidR="00506456" w:rsidRPr="00506456" w:rsidRDefault="00506456" w:rsidP="00F7500C">
      <w:pPr>
        <w:spacing w:line="276" w:lineRule="auto"/>
        <w:jc w:val="both"/>
        <w:rPr>
          <w:rFonts w:ascii="Calibri" w:hAnsi="Calibri"/>
          <w:color w:val="000000" w:themeColor="text1"/>
          <w:lang w:val="nl-BE"/>
        </w:rPr>
      </w:pPr>
      <w:r>
        <w:rPr>
          <w:rFonts w:ascii="Calibri" w:hAnsi="Calibri"/>
          <w:color w:val="000000" w:themeColor="text1"/>
          <w:lang w:val="nl-BE"/>
        </w:rPr>
        <w:t>Niet evident</w:t>
      </w:r>
      <w:r w:rsidR="00801826">
        <w:rPr>
          <w:rFonts w:ascii="Calibri" w:hAnsi="Calibri"/>
          <w:color w:val="000000" w:themeColor="text1"/>
          <w:lang w:val="nl-BE"/>
        </w:rPr>
        <w:t xml:space="preserve"> en zeer ongebruikelijk</w:t>
      </w:r>
      <w:r>
        <w:rPr>
          <w:rFonts w:ascii="Calibri" w:hAnsi="Calibri"/>
          <w:color w:val="000000" w:themeColor="text1"/>
          <w:lang w:val="nl-BE"/>
        </w:rPr>
        <w:t xml:space="preserve">, een bachelorproef </w:t>
      </w:r>
      <w:r w:rsidR="009A13F6">
        <w:rPr>
          <w:rFonts w:ascii="Calibri" w:hAnsi="Calibri"/>
          <w:color w:val="000000" w:themeColor="text1"/>
          <w:lang w:val="nl-BE"/>
        </w:rPr>
        <w:t>neerpennen</w:t>
      </w:r>
      <w:r>
        <w:rPr>
          <w:rFonts w:ascii="Calibri" w:hAnsi="Calibri"/>
          <w:color w:val="000000" w:themeColor="text1"/>
          <w:lang w:val="nl-BE"/>
        </w:rPr>
        <w:t xml:space="preserve"> zonder de mogelijkheid om</w:t>
      </w:r>
      <w:r w:rsidR="008E6C4B">
        <w:rPr>
          <w:rFonts w:ascii="Calibri" w:hAnsi="Calibri"/>
          <w:color w:val="000000" w:themeColor="text1"/>
          <w:lang w:val="nl-BE"/>
        </w:rPr>
        <w:t xml:space="preserve"> boeken of tijdschriften uit de bibliotheek te raadplegen. </w:t>
      </w:r>
      <w:r w:rsidR="00766D27">
        <w:rPr>
          <w:rFonts w:ascii="Calibri" w:hAnsi="Calibri"/>
          <w:color w:val="000000" w:themeColor="text1"/>
          <w:lang w:val="nl-BE"/>
        </w:rPr>
        <w:t xml:space="preserve">Een </w:t>
      </w:r>
      <w:r w:rsidR="00E87868">
        <w:rPr>
          <w:rFonts w:ascii="Calibri" w:hAnsi="Calibri"/>
          <w:color w:val="000000" w:themeColor="text1"/>
          <w:lang w:val="nl-BE"/>
        </w:rPr>
        <w:t>pluim en dankwoord</w:t>
      </w:r>
      <w:r w:rsidR="001A1D7C">
        <w:rPr>
          <w:rFonts w:ascii="Calibri" w:hAnsi="Calibri"/>
          <w:color w:val="000000" w:themeColor="text1"/>
          <w:lang w:val="nl-BE"/>
        </w:rPr>
        <w:t xml:space="preserve"> </w:t>
      </w:r>
      <w:r w:rsidR="00766D27">
        <w:rPr>
          <w:rFonts w:ascii="Calibri" w:hAnsi="Calibri"/>
          <w:color w:val="000000" w:themeColor="text1"/>
          <w:lang w:val="nl-BE"/>
        </w:rPr>
        <w:t>aan de HoGent voor de dienstverlening</w:t>
      </w:r>
      <w:r w:rsidR="001A1D7C">
        <w:rPr>
          <w:rFonts w:ascii="Calibri" w:hAnsi="Calibri"/>
          <w:color w:val="000000" w:themeColor="text1"/>
          <w:lang w:val="nl-BE"/>
        </w:rPr>
        <w:t xml:space="preserve"> is dan ook zeker op zijn plaats. Zonder de toegang tot een uitgebreide waaier aan online databanken </w:t>
      </w:r>
      <w:r w:rsidR="00BB1518">
        <w:rPr>
          <w:rFonts w:ascii="Calibri" w:hAnsi="Calibri"/>
          <w:color w:val="000000" w:themeColor="text1"/>
          <w:lang w:val="nl-BE"/>
        </w:rPr>
        <w:t xml:space="preserve">en de digitale bib </w:t>
      </w:r>
      <w:r w:rsidR="001A1D7C">
        <w:rPr>
          <w:rFonts w:ascii="Calibri" w:hAnsi="Calibri"/>
          <w:color w:val="000000" w:themeColor="text1"/>
          <w:lang w:val="nl-BE"/>
        </w:rPr>
        <w:t>was het schrijven van dit stuk onbegonnen werk</w:t>
      </w:r>
      <w:r w:rsidR="006B0C77">
        <w:rPr>
          <w:rFonts w:ascii="Calibri" w:hAnsi="Calibri"/>
          <w:color w:val="000000" w:themeColor="text1"/>
          <w:lang w:val="nl-BE"/>
        </w:rPr>
        <w:t xml:space="preserve"> geweest</w:t>
      </w:r>
      <w:r w:rsidR="001A1D7C">
        <w:rPr>
          <w:rFonts w:ascii="Calibri" w:hAnsi="Calibri"/>
          <w:color w:val="000000" w:themeColor="text1"/>
          <w:lang w:val="nl-BE"/>
        </w:rPr>
        <w:t>.</w:t>
      </w:r>
      <w:r w:rsidR="0025153B">
        <w:rPr>
          <w:rFonts w:ascii="Calibri" w:hAnsi="Calibri"/>
          <w:color w:val="000000" w:themeColor="text1"/>
          <w:lang w:val="nl-BE"/>
        </w:rPr>
        <w:t xml:space="preserve"> </w:t>
      </w:r>
    </w:p>
    <w:p w14:paraId="0EB05B42" w14:textId="77777777" w:rsidR="00221C1D" w:rsidRDefault="00221C1D" w:rsidP="00F7500C">
      <w:pPr>
        <w:spacing w:line="276" w:lineRule="auto"/>
        <w:jc w:val="both"/>
        <w:rPr>
          <w:lang w:val="nl-BE"/>
        </w:rPr>
      </w:pPr>
    </w:p>
    <w:p w14:paraId="30E05DF3" w14:textId="6A638072" w:rsidR="001214C0" w:rsidRDefault="003A7A90" w:rsidP="00324D7E">
      <w:pPr>
        <w:spacing w:line="276" w:lineRule="auto"/>
        <w:jc w:val="both"/>
        <w:rPr>
          <w:lang w:val="nl-BE"/>
        </w:rPr>
      </w:pPr>
      <w:r>
        <w:rPr>
          <w:lang w:val="nl-BE"/>
        </w:rPr>
        <w:t xml:space="preserve">Verder wens ik ook mijn dank te betuigen aan mijn stagementor, Frederik Vandemeulebroecke. </w:t>
      </w:r>
      <w:r w:rsidR="002C5360">
        <w:rPr>
          <w:lang w:val="nl-BE"/>
        </w:rPr>
        <w:t>Zijn</w:t>
      </w:r>
      <w:r w:rsidR="00BB1518">
        <w:rPr>
          <w:lang w:val="nl-BE"/>
        </w:rPr>
        <w:t xml:space="preserve"> deskundige visie</w:t>
      </w:r>
      <w:r>
        <w:rPr>
          <w:lang w:val="nl-BE"/>
        </w:rPr>
        <w:t xml:space="preserve"> </w:t>
      </w:r>
      <w:r w:rsidR="002C5360">
        <w:rPr>
          <w:lang w:val="nl-BE"/>
        </w:rPr>
        <w:t>heeft mij geholpen de resultate</w:t>
      </w:r>
      <w:r w:rsidR="003C438D">
        <w:rPr>
          <w:lang w:val="nl-BE"/>
        </w:rPr>
        <w:t xml:space="preserve">n van de opiniepeiling </w:t>
      </w:r>
      <w:r w:rsidR="00FC121A">
        <w:rPr>
          <w:lang w:val="nl-BE"/>
        </w:rPr>
        <w:t xml:space="preserve">uit deze scriptie </w:t>
      </w:r>
      <w:r w:rsidR="003C438D">
        <w:rPr>
          <w:lang w:val="nl-BE"/>
        </w:rPr>
        <w:t xml:space="preserve">beter </w:t>
      </w:r>
      <w:r w:rsidR="002C5360">
        <w:rPr>
          <w:lang w:val="nl-BE"/>
        </w:rPr>
        <w:t xml:space="preserve">te begrijpen en heeft mij inzichten verschaft waar ik zelf niet zou zijn opgekomen. </w:t>
      </w:r>
    </w:p>
    <w:p w14:paraId="11237976" w14:textId="77777777" w:rsidR="00324D7E" w:rsidRPr="00324D7E" w:rsidRDefault="00324D7E" w:rsidP="00324D7E">
      <w:pPr>
        <w:spacing w:line="276" w:lineRule="auto"/>
        <w:jc w:val="both"/>
        <w:rPr>
          <w:lang w:val="nl-BE"/>
        </w:rPr>
      </w:pPr>
    </w:p>
    <w:p w14:paraId="36E76424" w14:textId="1EF86004" w:rsidR="00ED5D34" w:rsidRPr="00324D7E" w:rsidRDefault="00ED5D34" w:rsidP="00324D7E">
      <w:pPr>
        <w:jc w:val="both"/>
        <w:rPr>
          <w:rFonts w:ascii="Calibri" w:hAnsi="Calibri"/>
          <w:color w:val="000000" w:themeColor="text1"/>
          <w:lang w:val="nl-BE"/>
        </w:rPr>
      </w:pPr>
      <w:r>
        <w:rPr>
          <w:rFonts w:ascii="Calibri" w:hAnsi="Calibri"/>
          <w:color w:val="000000" w:themeColor="text1"/>
          <w:lang w:val="nl-BE"/>
        </w:rPr>
        <w:t xml:space="preserve">Ook </w:t>
      </w:r>
      <w:r w:rsidR="001214C0">
        <w:rPr>
          <w:rFonts w:ascii="Calibri" w:hAnsi="Calibri"/>
          <w:color w:val="000000" w:themeColor="text1"/>
          <w:lang w:val="nl-BE"/>
        </w:rPr>
        <w:t xml:space="preserve">mijn ouders </w:t>
      </w:r>
      <w:r>
        <w:rPr>
          <w:rFonts w:ascii="Calibri" w:hAnsi="Calibri"/>
          <w:color w:val="000000" w:themeColor="text1"/>
          <w:lang w:val="nl-BE"/>
        </w:rPr>
        <w:t xml:space="preserve">verdienen </w:t>
      </w:r>
      <w:r w:rsidR="001214C0">
        <w:rPr>
          <w:rFonts w:ascii="Calibri" w:hAnsi="Calibri"/>
          <w:color w:val="000000" w:themeColor="text1"/>
          <w:lang w:val="nl-BE"/>
        </w:rPr>
        <w:t xml:space="preserve">een </w:t>
      </w:r>
      <w:r w:rsidR="00A859CA">
        <w:rPr>
          <w:rFonts w:ascii="Calibri" w:hAnsi="Calibri"/>
          <w:color w:val="000000" w:themeColor="text1"/>
          <w:lang w:val="nl-BE"/>
        </w:rPr>
        <w:t xml:space="preserve">dankwoord voor de kansen die ik gekregen heb gedurende mijn studieloopbaan. Het parcours </w:t>
      </w:r>
      <w:r w:rsidR="00F7500C">
        <w:rPr>
          <w:rFonts w:ascii="Calibri" w:hAnsi="Calibri"/>
          <w:color w:val="000000" w:themeColor="text1"/>
          <w:lang w:val="nl-BE"/>
        </w:rPr>
        <w:t>is</w:t>
      </w:r>
      <w:r w:rsidR="00A859CA">
        <w:rPr>
          <w:rFonts w:ascii="Calibri" w:hAnsi="Calibri"/>
          <w:color w:val="000000" w:themeColor="text1"/>
          <w:lang w:val="nl-BE"/>
        </w:rPr>
        <w:t xml:space="preserve"> </w:t>
      </w:r>
      <w:r w:rsidR="00F7500C">
        <w:rPr>
          <w:rFonts w:ascii="Calibri" w:hAnsi="Calibri"/>
          <w:color w:val="000000" w:themeColor="text1"/>
          <w:lang w:val="nl-BE"/>
        </w:rPr>
        <w:t>verre van</w:t>
      </w:r>
      <w:r w:rsidR="00A859CA">
        <w:rPr>
          <w:rFonts w:ascii="Calibri" w:hAnsi="Calibri"/>
          <w:color w:val="000000" w:themeColor="text1"/>
          <w:lang w:val="nl-BE"/>
        </w:rPr>
        <w:t xml:space="preserve"> vlekkeloos</w:t>
      </w:r>
      <w:r w:rsidR="00F7500C">
        <w:rPr>
          <w:rFonts w:ascii="Calibri" w:hAnsi="Calibri"/>
          <w:color w:val="000000" w:themeColor="text1"/>
          <w:lang w:val="nl-BE"/>
        </w:rPr>
        <w:t xml:space="preserve"> geweest</w:t>
      </w:r>
      <w:r w:rsidR="00A859CA">
        <w:rPr>
          <w:rFonts w:ascii="Calibri" w:hAnsi="Calibri"/>
          <w:color w:val="000000" w:themeColor="text1"/>
          <w:lang w:val="nl-BE"/>
        </w:rPr>
        <w:t xml:space="preserve">, en zonder hun geduld </w:t>
      </w:r>
      <w:r w:rsidR="00B461A5">
        <w:rPr>
          <w:rFonts w:ascii="Calibri" w:hAnsi="Calibri"/>
          <w:color w:val="000000" w:themeColor="text1"/>
          <w:lang w:val="nl-BE"/>
        </w:rPr>
        <w:t xml:space="preserve">en steun </w:t>
      </w:r>
      <w:r w:rsidR="00A859CA">
        <w:rPr>
          <w:rFonts w:ascii="Calibri" w:hAnsi="Calibri"/>
          <w:color w:val="000000" w:themeColor="text1"/>
          <w:lang w:val="nl-BE"/>
        </w:rPr>
        <w:t xml:space="preserve">was ik niet geraakt waar ik nu sta. </w:t>
      </w:r>
    </w:p>
    <w:p w14:paraId="2EFC9BC8" w14:textId="3D3A2D90" w:rsidR="00ED5D34" w:rsidRPr="00ED5D34" w:rsidRDefault="00ED5D34" w:rsidP="00324D7E">
      <w:pPr>
        <w:jc w:val="both"/>
        <w:rPr>
          <w:rFonts w:ascii="Calibri" w:eastAsiaTheme="majorEastAsia" w:hAnsi="Calibri" w:cstheme="majorBidi"/>
          <w:color w:val="000000" w:themeColor="text1"/>
          <w:lang w:val="nl-BE"/>
        </w:rPr>
      </w:pPr>
      <w:r w:rsidRPr="00ED5D34">
        <w:rPr>
          <w:rFonts w:ascii="Calibri" w:eastAsiaTheme="majorEastAsia" w:hAnsi="Calibri" w:cstheme="majorBidi"/>
          <w:color w:val="000000" w:themeColor="text1"/>
          <w:lang w:val="nl-BE"/>
        </w:rPr>
        <w:t>Last but not least wil ik mijn vriendin bedanken die met een kritische blik dit werk heeft nagelezen</w:t>
      </w:r>
      <w:r w:rsidR="00324D7E">
        <w:rPr>
          <w:rFonts w:ascii="Calibri" w:eastAsiaTheme="majorEastAsia" w:hAnsi="Calibri" w:cstheme="majorBidi"/>
          <w:color w:val="000000" w:themeColor="text1"/>
          <w:lang w:val="nl-BE"/>
        </w:rPr>
        <w:t xml:space="preserve"> en er ook steeds geweest is voor mij gedurende de laatste drie ja</w:t>
      </w:r>
      <w:r w:rsidR="009E55AB">
        <w:rPr>
          <w:rFonts w:ascii="Calibri" w:eastAsiaTheme="majorEastAsia" w:hAnsi="Calibri" w:cstheme="majorBidi"/>
          <w:color w:val="000000" w:themeColor="text1"/>
          <w:lang w:val="nl-BE"/>
        </w:rPr>
        <w:t>ren</w:t>
      </w:r>
      <w:r w:rsidR="00324D7E">
        <w:rPr>
          <w:rFonts w:ascii="Calibri" w:eastAsiaTheme="majorEastAsia" w:hAnsi="Calibri" w:cstheme="majorBidi"/>
          <w:color w:val="000000" w:themeColor="text1"/>
          <w:lang w:val="nl-BE"/>
        </w:rPr>
        <w:t xml:space="preserve">. </w:t>
      </w:r>
    </w:p>
    <w:p w14:paraId="17D47361" w14:textId="77777777" w:rsidR="00E21349" w:rsidRPr="00ED5D34" w:rsidRDefault="00E21349" w:rsidP="00324D7E">
      <w:pPr>
        <w:jc w:val="both"/>
        <w:rPr>
          <w:rFonts w:asciiTheme="majorHAnsi" w:eastAsiaTheme="majorEastAsia" w:hAnsiTheme="majorHAnsi" w:cstheme="majorBidi"/>
          <w:b/>
          <w:bCs/>
          <w:color w:val="2F5496" w:themeColor="accent1" w:themeShade="BF"/>
          <w:sz w:val="28"/>
          <w:szCs w:val="28"/>
          <w:lang w:val="nl-BE" w:eastAsia="nl-NL"/>
        </w:rPr>
      </w:pPr>
      <w:r w:rsidRPr="00ED5D34">
        <w:rPr>
          <w:rFonts w:asciiTheme="majorHAnsi" w:eastAsiaTheme="majorEastAsia" w:hAnsiTheme="majorHAnsi" w:cstheme="majorBidi"/>
          <w:b/>
          <w:bCs/>
          <w:color w:val="2F5496" w:themeColor="accent1" w:themeShade="BF"/>
          <w:sz w:val="28"/>
          <w:szCs w:val="28"/>
          <w:lang w:val="nl-BE" w:eastAsia="nl-NL"/>
        </w:rPr>
        <w:br w:type="page"/>
      </w:r>
    </w:p>
    <w:sdt>
      <w:sdtPr>
        <w:rPr>
          <w:rFonts w:asciiTheme="minorHAnsi" w:eastAsiaTheme="minorHAnsi" w:hAnsiTheme="minorHAnsi" w:cstheme="minorBidi"/>
          <w:b w:val="0"/>
          <w:bCs w:val="0"/>
          <w:color w:val="auto"/>
          <w:sz w:val="24"/>
          <w:szCs w:val="24"/>
          <w:lang w:eastAsia="en-US"/>
        </w:rPr>
        <w:id w:val="399019927"/>
        <w:docPartObj>
          <w:docPartGallery w:val="Table of Contents"/>
          <w:docPartUnique/>
        </w:docPartObj>
      </w:sdtPr>
      <w:sdtEndPr>
        <w:rPr>
          <w:noProof/>
        </w:rPr>
      </w:sdtEndPr>
      <w:sdtContent>
        <w:p w14:paraId="624F0510" w14:textId="27D75BA8" w:rsidR="002127B8" w:rsidRDefault="002127B8">
          <w:pPr>
            <w:pStyle w:val="Kopvaninhoudsopgave"/>
          </w:pPr>
          <w:r>
            <w:t>Inhoudsopgave</w:t>
          </w:r>
        </w:p>
        <w:p w14:paraId="35475FE6" w14:textId="627D8E4E" w:rsidR="002127B8" w:rsidRPr="002127B8" w:rsidRDefault="002127B8">
          <w:pPr>
            <w:pStyle w:val="Inhopg1"/>
            <w:tabs>
              <w:tab w:val="right" w:leader="dot" w:pos="9056"/>
            </w:tabs>
            <w:rPr>
              <w:rFonts w:eastAsiaTheme="minorEastAsia" w:cstheme="minorBidi"/>
              <w:b w:val="0"/>
              <w:bCs w:val="0"/>
              <w:noProof/>
              <w:sz w:val="22"/>
              <w:szCs w:val="22"/>
              <w:lang w:val="nl-BE" w:eastAsia="nl-NL"/>
            </w:rPr>
          </w:pPr>
          <w:r>
            <w:rPr>
              <w:b w:val="0"/>
              <w:bCs w:val="0"/>
            </w:rPr>
            <w:fldChar w:fldCharType="begin"/>
          </w:r>
          <w:r>
            <w:instrText>TOC \o "1-3" \h \z \u</w:instrText>
          </w:r>
          <w:r>
            <w:rPr>
              <w:b w:val="0"/>
              <w:bCs w:val="0"/>
            </w:rPr>
            <w:fldChar w:fldCharType="separate"/>
          </w:r>
          <w:hyperlink w:anchor="_Toc40689940" w:history="1">
            <w:r w:rsidRPr="002127B8">
              <w:rPr>
                <w:rStyle w:val="Hyperlink"/>
                <w:noProof/>
                <w:sz w:val="22"/>
                <w:szCs w:val="22"/>
                <w:lang w:val="nl-BE"/>
              </w:rPr>
              <w:t>VOORWOORD</w:t>
            </w:r>
            <w:r w:rsidRPr="002127B8">
              <w:rPr>
                <w:noProof/>
                <w:webHidden/>
                <w:sz w:val="22"/>
                <w:szCs w:val="22"/>
              </w:rPr>
              <w:tab/>
            </w:r>
            <w:r w:rsidRPr="002127B8">
              <w:rPr>
                <w:noProof/>
                <w:webHidden/>
                <w:sz w:val="22"/>
                <w:szCs w:val="22"/>
              </w:rPr>
              <w:fldChar w:fldCharType="begin"/>
            </w:r>
            <w:r w:rsidRPr="002127B8">
              <w:rPr>
                <w:noProof/>
                <w:webHidden/>
                <w:sz w:val="22"/>
                <w:szCs w:val="22"/>
              </w:rPr>
              <w:instrText xml:space="preserve"> PAGEREF _Toc40689940 \h </w:instrText>
            </w:r>
            <w:r w:rsidRPr="002127B8">
              <w:rPr>
                <w:noProof/>
                <w:webHidden/>
                <w:sz w:val="22"/>
                <w:szCs w:val="22"/>
              </w:rPr>
            </w:r>
            <w:r w:rsidRPr="002127B8">
              <w:rPr>
                <w:noProof/>
                <w:webHidden/>
                <w:sz w:val="22"/>
                <w:szCs w:val="22"/>
              </w:rPr>
              <w:fldChar w:fldCharType="separate"/>
            </w:r>
            <w:r w:rsidRPr="002127B8">
              <w:rPr>
                <w:noProof/>
                <w:webHidden/>
                <w:sz w:val="22"/>
                <w:szCs w:val="22"/>
              </w:rPr>
              <w:t>2</w:t>
            </w:r>
            <w:r w:rsidRPr="002127B8">
              <w:rPr>
                <w:noProof/>
                <w:webHidden/>
                <w:sz w:val="22"/>
                <w:szCs w:val="22"/>
              </w:rPr>
              <w:fldChar w:fldCharType="end"/>
            </w:r>
          </w:hyperlink>
        </w:p>
        <w:p w14:paraId="0E36D8D1" w14:textId="24EF4E35" w:rsidR="002127B8" w:rsidRPr="002127B8" w:rsidRDefault="00A0614B">
          <w:pPr>
            <w:pStyle w:val="Inhopg1"/>
            <w:tabs>
              <w:tab w:val="right" w:leader="dot" w:pos="9056"/>
            </w:tabs>
            <w:rPr>
              <w:rFonts w:eastAsiaTheme="minorEastAsia" w:cstheme="minorBidi"/>
              <w:b w:val="0"/>
              <w:bCs w:val="0"/>
              <w:noProof/>
              <w:sz w:val="22"/>
              <w:szCs w:val="22"/>
              <w:lang w:val="nl-BE" w:eastAsia="nl-NL"/>
            </w:rPr>
          </w:pPr>
          <w:hyperlink w:anchor="_Toc40689941" w:history="1">
            <w:r w:rsidR="002127B8" w:rsidRPr="002127B8">
              <w:rPr>
                <w:rStyle w:val="Hyperlink"/>
                <w:noProof/>
                <w:sz w:val="22"/>
                <w:szCs w:val="22"/>
                <w:lang w:val="nl-BE"/>
              </w:rPr>
              <w:t>INLEIDING</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_Toc40689941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4</w:t>
            </w:r>
            <w:r w:rsidR="002127B8" w:rsidRPr="002127B8">
              <w:rPr>
                <w:noProof/>
                <w:webHidden/>
                <w:sz w:val="22"/>
                <w:szCs w:val="22"/>
              </w:rPr>
              <w:fldChar w:fldCharType="end"/>
            </w:r>
          </w:hyperlink>
        </w:p>
        <w:p w14:paraId="692890BB" w14:textId="35132EE7" w:rsidR="002127B8" w:rsidRPr="002127B8" w:rsidRDefault="00A0614B">
          <w:pPr>
            <w:pStyle w:val="Inhopg1"/>
            <w:tabs>
              <w:tab w:val="right" w:leader="dot" w:pos="9056"/>
            </w:tabs>
            <w:rPr>
              <w:rFonts w:eastAsiaTheme="minorEastAsia" w:cstheme="minorBidi"/>
              <w:b w:val="0"/>
              <w:bCs w:val="0"/>
              <w:noProof/>
              <w:sz w:val="22"/>
              <w:szCs w:val="22"/>
              <w:lang w:val="nl-BE" w:eastAsia="nl-NL"/>
            </w:rPr>
          </w:pPr>
          <w:hyperlink w:anchor="_Toc40689942" w:history="1">
            <w:r w:rsidR="002127B8" w:rsidRPr="002127B8">
              <w:rPr>
                <w:rStyle w:val="Hyperlink"/>
                <w:noProof/>
                <w:sz w:val="22"/>
                <w:szCs w:val="22"/>
                <w:lang w:val="nl-BE"/>
              </w:rPr>
              <w:t>DEEL 1: HET GERECHTSDEURWAARDERSSTATUUT</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_Toc40689942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6</w:t>
            </w:r>
            <w:r w:rsidR="002127B8" w:rsidRPr="002127B8">
              <w:rPr>
                <w:noProof/>
                <w:webHidden/>
                <w:sz w:val="22"/>
                <w:szCs w:val="22"/>
              </w:rPr>
              <w:fldChar w:fldCharType="end"/>
            </w:r>
          </w:hyperlink>
        </w:p>
        <w:p w14:paraId="544548B9" w14:textId="54EB2204"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43" w:history="1">
            <w:r w:rsidR="002127B8" w:rsidRPr="002127B8">
              <w:rPr>
                <w:rStyle w:val="Hyperlink"/>
                <w:noProof/>
                <w:sz w:val="22"/>
                <w:szCs w:val="22"/>
                <w:lang w:val="nl-BE"/>
              </w:rPr>
              <w:t>Hoofdstuk 1: Algemene beginselen</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_Toc40689943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6</w:t>
            </w:r>
            <w:r w:rsidR="002127B8" w:rsidRPr="002127B8">
              <w:rPr>
                <w:noProof/>
                <w:webHidden/>
                <w:sz w:val="22"/>
                <w:szCs w:val="22"/>
              </w:rPr>
              <w:fldChar w:fldCharType="end"/>
            </w:r>
          </w:hyperlink>
        </w:p>
        <w:p w14:paraId="0103C58A" w14:textId="4F722B1B"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44" w:history="1">
            <w:r w:rsidR="002127B8" w:rsidRPr="002127B8">
              <w:rPr>
                <w:rStyle w:val="Hyperlink"/>
                <w:noProof/>
                <w:sz w:val="22"/>
                <w:szCs w:val="22"/>
                <w:lang w:val="nl-BE"/>
              </w:rPr>
              <w:t>Afdeling I: Ministerieel ambtenaar</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_Toc40689944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6</w:t>
            </w:r>
            <w:r w:rsidR="002127B8" w:rsidRPr="002127B8">
              <w:rPr>
                <w:noProof/>
                <w:webHidden/>
                <w:sz w:val="22"/>
                <w:szCs w:val="22"/>
              </w:rPr>
              <w:fldChar w:fldCharType="end"/>
            </w:r>
          </w:hyperlink>
        </w:p>
        <w:p w14:paraId="08BDFAEE" w14:textId="0CD8AA42"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45" w:history="1">
            <w:r w:rsidR="002127B8" w:rsidRPr="002127B8">
              <w:rPr>
                <w:rStyle w:val="Hyperlink"/>
                <w:noProof/>
                <w:sz w:val="22"/>
                <w:szCs w:val="22"/>
                <w:lang w:val="nl-BE"/>
              </w:rPr>
              <w:t>Afdeling II: Vrij beroep</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_Toc40689945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7</w:t>
            </w:r>
            <w:r w:rsidR="002127B8" w:rsidRPr="002127B8">
              <w:rPr>
                <w:noProof/>
                <w:webHidden/>
                <w:sz w:val="22"/>
                <w:szCs w:val="22"/>
              </w:rPr>
              <w:fldChar w:fldCharType="end"/>
            </w:r>
          </w:hyperlink>
        </w:p>
        <w:p w14:paraId="7B502DFD" w14:textId="0BAC38E2"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46" w:history="1">
            <w:r w:rsidR="002127B8" w:rsidRPr="002127B8">
              <w:rPr>
                <w:rStyle w:val="Hyperlink"/>
                <w:noProof/>
                <w:sz w:val="22"/>
                <w:szCs w:val="22"/>
                <w:lang w:val="nl-BE"/>
              </w:rPr>
              <w:t>Afdeling III: Benoemingsprocedure</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_Toc40689946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7</w:t>
            </w:r>
            <w:r w:rsidR="002127B8" w:rsidRPr="002127B8">
              <w:rPr>
                <w:noProof/>
                <w:webHidden/>
                <w:sz w:val="22"/>
                <w:szCs w:val="22"/>
              </w:rPr>
              <w:fldChar w:fldCharType="end"/>
            </w:r>
          </w:hyperlink>
        </w:p>
        <w:p w14:paraId="4E012AB9" w14:textId="39039A87"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47" w:history="1">
            <w:r w:rsidR="002127B8" w:rsidRPr="002127B8">
              <w:rPr>
                <w:rStyle w:val="Hyperlink"/>
                <w:noProof/>
                <w:sz w:val="22"/>
                <w:szCs w:val="22"/>
                <w:lang w:val="nl-BE"/>
              </w:rPr>
              <w:t>Hoofdstuk 2: Overkoepelende instanties</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_Toc40689947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11</w:t>
            </w:r>
            <w:r w:rsidR="002127B8" w:rsidRPr="002127B8">
              <w:rPr>
                <w:noProof/>
                <w:webHidden/>
                <w:sz w:val="22"/>
                <w:szCs w:val="22"/>
              </w:rPr>
              <w:fldChar w:fldCharType="end"/>
            </w:r>
          </w:hyperlink>
        </w:p>
        <w:p w14:paraId="1DD0DB58" w14:textId="32D34CE0"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48" w:history="1">
            <w:r w:rsidR="002127B8" w:rsidRPr="002127B8">
              <w:rPr>
                <w:rStyle w:val="Hyperlink"/>
                <w:noProof/>
                <w:sz w:val="22"/>
                <w:szCs w:val="22"/>
                <w:lang w:val="nl-BE"/>
              </w:rPr>
              <w:t>Afdeling I: Arrondissementskamers van gerechtsdeurwaarders</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_Toc40689948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11</w:t>
            </w:r>
            <w:r w:rsidR="002127B8" w:rsidRPr="002127B8">
              <w:rPr>
                <w:noProof/>
                <w:webHidden/>
                <w:sz w:val="22"/>
                <w:szCs w:val="22"/>
              </w:rPr>
              <w:fldChar w:fldCharType="end"/>
            </w:r>
          </w:hyperlink>
        </w:p>
        <w:p w14:paraId="707B742A" w14:textId="32C8CD7A"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49" w:history="1">
            <w:r w:rsidR="002127B8" w:rsidRPr="002127B8">
              <w:rPr>
                <w:rStyle w:val="Hyperlink"/>
                <w:noProof/>
                <w:sz w:val="22"/>
                <w:szCs w:val="22"/>
                <w:lang w:val="nl-BE"/>
              </w:rPr>
              <w:t>Afdeling II: Nationale Kamer van Gerechtsdeurwaarders (NKGB)</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_Toc40689949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12</w:t>
            </w:r>
            <w:r w:rsidR="002127B8" w:rsidRPr="002127B8">
              <w:rPr>
                <w:noProof/>
                <w:webHidden/>
                <w:sz w:val="22"/>
                <w:szCs w:val="22"/>
              </w:rPr>
              <w:fldChar w:fldCharType="end"/>
            </w:r>
          </w:hyperlink>
        </w:p>
        <w:p w14:paraId="4B246E1C" w14:textId="7A56252A" w:rsidR="002127B8" w:rsidRPr="002127B8" w:rsidRDefault="00A0614B">
          <w:pPr>
            <w:pStyle w:val="Inhopg1"/>
            <w:tabs>
              <w:tab w:val="right" w:leader="dot" w:pos="9056"/>
            </w:tabs>
            <w:rPr>
              <w:rFonts w:eastAsiaTheme="minorEastAsia" w:cstheme="minorBidi"/>
              <w:b w:val="0"/>
              <w:bCs w:val="0"/>
              <w:noProof/>
              <w:sz w:val="22"/>
              <w:szCs w:val="22"/>
              <w:lang w:val="nl-BE" w:eastAsia="nl-NL"/>
            </w:rPr>
          </w:pPr>
          <w:hyperlink w:anchor="_Toc40689950" w:history="1">
            <w:r w:rsidR="002127B8" w:rsidRPr="002127B8">
              <w:rPr>
                <w:rStyle w:val="Hyperlink"/>
                <w:noProof/>
                <w:sz w:val="22"/>
                <w:szCs w:val="22"/>
                <w:lang w:val="nl-BE"/>
              </w:rPr>
              <w:t>DEEL 2: THEORETISCHE BENADERING VAN DE HERVORMING</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_Toc40689950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13</w:t>
            </w:r>
            <w:r w:rsidR="002127B8" w:rsidRPr="002127B8">
              <w:rPr>
                <w:noProof/>
                <w:webHidden/>
                <w:sz w:val="22"/>
                <w:szCs w:val="22"/>
              </w:rPr>
              <w:fldChar w:fldCharType="end"/>
            </w:r>
          </w:hyperlink>
        </w:p>
        <w:p w14:paraId="4FA115F1" w14:textId="11C8280A"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51" w:history="1">
            <w:r w:rsidR="002127B8" w:rsidRPr="002127B8">
              <w:rPr>
                <w:rStyle w:val="Hyperlink"/>
                <w:noProof/>
                <w:sz w:val="22"/>
                <w:szCs w:val="22"/>
                <w:lang w:val="nl-BE"/>
              </w:rPr>
              <w:t>Hoofdstuk 1: Modernisering en objectivering van de benoemingsprocedure</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_Toc40689951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13</w:t>
            </w:r>
            <w:r w:rsidR="002127B8" w:rsidRPr="002127B8">
              <w:rPr>
                <w:noProof/>
                <w:webHidden/>
                <w:sz w:val="22"/>
                <w:szCs w:val="22"/>
              </w:rPr>
              <w:fldChar w:fldCharType="end"/>
            </w:r>
          </w:hyperlink>
        </w:p>
        <w:p w14:paraId="71D39C5C" w14:textId="41BD856A"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52" w:history="1">
            <w:r w:rsidR="002127B8" w:rsidRPr="002127B8">
              <w:rPr>
                <w:rStyle w:val="Hyperlink"/>
                <w:noProof/>
                <w:sz w:val="22"/>
                <w:szCs w:val="22"/>
              </w:rPr>
              <w:t>Afdeling I: Omzendbrief nr. 116</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_Toc40689952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13</w:t>
            </w:r>
            <w:r w:rsidR="002127B8" w:rsidRPr="002127B8">
              <w:rPr>
                <w:noProof/>
                <w:webHidden/>
                <w:sz w:val="22"/>
                <w:szCs w:val="22"/>
              </w:rPr>
              <w:fldChar w:fldCharType="end"/>
            </w:r>
          </w:hyperlink>
        </w:p>
        <w:p w14:paraId="5E225F25" w14:textId="7B457CD4"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53" w:history="1">
            <w:r w:rsidR="002127B8" w:rsidRPr="002127B8">
              <w:rPr>
                <w:rStyle w:val="Hyperlink"/>
                <w:noProof/>
                <w:sz w:val="22"/>
                <w:szCs w:val="22"/>
                <w:lang w:val="nl-BE"/>
              </w:rPr>
              <w:t>Afdeling II: Omzendbrief nr. 196</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_Toc40689953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16</w:t>
            </w:r>
            <w:r w:rsidR="002127B8" w:rsidRPr="002127B8">
              <w:rPr>
                <w:noProof/>
                <w:webHidden/>
                <w:sz w:val="22"/>
                <w:szCs w:val="22"/>
              </w:rPr>
              <w:fldChar w:fldCharType="end"/>
            </w:r>
          </w:hyperlink>
        </w:p>
        <w:p w14:paraId="67A8F3AB" w14:textId="37C58B1E"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54" w:history="1">
            <w:r w:rsidR="002127B8" w:rsidRPr="002127B8">
              <w:rPr>
                <w:rStyle w:val="Hyperlink"/>
                <w:noProof/>
                <w:sz w:val="22"/>
                <w:szCs w:val="22"/>
                <w:lang w:val="nl-BE"/>
              </w:rPr>
              <w:t>Afdeling III: Huidige situatie</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_Toc40689954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17</w:t>
            </w:r>
            <w:r w:rsidR="002127B8" w:rsidRPr="002127B8">
              <w:rPr>
                <w:noProof/>
                <w:webHidden/>
                <w:sz w:val="22"/>
                <w:szCs w:val="22"/>
              </w:rPr>
              <w:fldChar w:fldCharType="end"/>
            </w:r>
          </w:hyperlink>
        </w:p>
        <w:p w14:paraId="5798D02B" w14:textId="6CA276C3"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55" w:history="1">
            <w:r w:rsidR="002127B8" w:rsidRPr="002127B8">
              <w:rPr>
                <w:rStyle w:val="Hyperlink"/>
                <w:noProof/>
                <w:sz w:val="22"/>
                <w:szCs w:val="22"/>
              </w:rPr>
              <w:t>Afdeling IV: Overgangsregelingen</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_Toc40689955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19</w:t>
            </w:r>
            <w:r w:rsidR="002127B8" w:rsidRPr="002127B8">
              <w:rPr>
                <w:noProof/>
                <w:webHidden/>
                <w:sz w:val="22"/>
                <w:szCs w:val="22"/>
              </w:rPr>
              <w:fldChar w:fldCharType="end"/>
            </w:r>
          </w:hyperlink>
        </w:p>
        <w:p w14:paraId="1C76F4CA" w14:textId="6CEE6DD5"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56" w:history="1">
            <w:r w:rsidR="002127B8" w:rsidRPr="002127B8">
              <w:rPr>
                <w:rStyle w:val="Hyperlink"/>
                <w:noProof/>
                <w:sz w:val="22"/>
                <w:szCs w:val="22"/>
              </w:rPr>
              <w:t>Afdeling V: Praktische problemen</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_Toc40689956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19</w:t>
            </w:r>
            <w:r w:rsidR="002127B8" w:rsidRPr="002127B8">
              <w:rPr>
                <w:noProof/>
                <w:webHidden/>
                <w:sz w:val="22"/>
                <w:szCs w:val="22"/>
              </w:rPr>
              <w:fldChar w:fldCharType="end"/>
            </w:r>
          </w:hyperlink>
        </w:p>
        <w:p w14:paraId="1A99A3D4" w14:textId="486F798E"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57" w:history="1">
            <w:r w:rsidR="002127B8" w:rsidRPr="002127B8">
              <w:rPr>
                <w:rStyle w:val="Hyperlink"/>
                <w:noProof/>
                <w:sz w:val="22"/>
                <w:szCs w:val="22"/>
                <w:lang w:val="nl-BE"/>
              </w:rPr>
              <w:t>Hoofdstuk 2: Opwaarde</w:t>
            </w:r>
            <w:r w:rsidR="002127B8" w:rsidRPr="002127B8">
              <w:rPr>
                <w:rStyle w:val="Hyperlink"/>
                <w:noProof/>
                <w:sz w:val="22"/>
                <w:szCs w:val="22"/>
                <w:lang w:val="nl-BE"/>
              </w:rPr>
              <w:t>r</w:t>
            </w:r>
            <w:r w:rsidR="002127B8" w:rsidRPr="002127B8">
              <w:rPr>
                <w:rStyle w:val="Hyperlink"/>
                <w:noProof/>
                <w:sz w:val="22"/>
                <w:szCs w:val="22"/>
                <w:lang w:val="nl-BE"/>
              </w:rPr>
              <w:t>ing van het kandidaat-gerechtsdeurwaardersstatuut</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_Toc40689957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21</w:t>
            </w:r>
            <w:r w:rsidR="002127B8" w:rsidRPr="002127B8">
              <w:rPr>
                <w:noProof/>
                <w:webHidden/>
                <w:sz w:val="22"/>
                <w:szCs w:val="22"/>
              </w:rPr>
              <w:fldChar w:fldCharType="end"/>
            </w:r>
          </w:hyperlink>
        </w:p>
        <w:p w14:paraId="132EC992" w14:textId="3F04F303"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58" w:history="1">
            <w:r w:rsidR="002127B8" w:rsidRPr="002127B8">
              <w:rPr>
                <w:rStyle w:val="Hyperlink"/>
                <w:noProof/>
                <w:sz w:val="22"/>
                <w:szCs w:val="22"/>
              </w:rPr>
              <w:t>Afdeling I: Stagehomologatie vs. vergelijkend examen</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_Toc40689958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21</w:t>
            </w:r>
            <w:r w:rsidR="002127B8" w:rsidRPr="002127B8">
              <w:rPr>
                <w:noProof/>
                <w:webHidden/>
                <w:sz w:val="22"/>
                <w:szCs w:val="22"/>
              </w:rPr>
              <w:fldChar w:fldCharType="end"/>
            </w:r>
          </w:hyperlink>
        </w:p>
        <w:p w14:paraId="04F79972" w14:textId="36AEA4A7"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59" w:history="1">
            <w:r w:rsidR="002127B8" w:rsidRPr="002127B8">
              <w:rPr>
                <w:rStyle w:val="Hyperlink"/>
                <w:noProof/>
                <w:sz w:val="22"/>
                <w:szCs w:val="22"/>
              </w:rPr>
              <w:t>Hoofdstuk 3:</w:t>
            </w:r>
            <w:r w:rsidR="002127B8" w:rsidRPr="002127B8">
              <w:rPr>
                <w:rStyle w:val="Hyperlink"/>
                <w:noProof/>
                <w:sz w:val="22"/>
                <w:szCs w:val="22"/>
                <w:lang w:val="nl-BE"/>
              </w:rPr>
              <w:t xml:space="preserve"> Continuïteitsgarantie voor niet-geassocieerde kantoren</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_Toc40689959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23</w:t>
            </w:r>
            <w:r w:rsidR="002127B8" w:rsidRPr="002127B8">
              <w:rPr>
                <w:noProof/>
                <w:webHidden/>
                <w:sz w:val="22"/>
                <w:szCs w:val="22"/>
              </w:rPr>
              <w:fldChar w:fldCharType="end"/>
            </w:r>
          </w:hyperlink>
        </w:p>
        <w:p w14:paraId="29C64EC2" w14:textId="18EB1094"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60" w:history="1">
            <w:r w:rsidR="002127B8" w:rsidRPr="002127B8">
              <w:rPr>
                <w:rStyle w:val="Hyperlink"/>
                <w:noProof/>
                <w:sz w:val="22"/>
                <w:szCs w:val="22"/>
              </w:rPr>
              <w:t>Afdeling I: Probleemstelling</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_Toc40689960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23</w:t>
            </w:r>
            <w:r w:rsidR="002127B8" w:rsidRPr="002127B8">
              <w:rPr>
                <w:noProof/>
                <w:webHidden/>
                <w:sz w:val="22"/>
                <w:szCs w:val="22"/>
              </w:rPr>
              <w:fldChar w:fldCharType="end"/>
            </w:r>
          </w:hyperlink>
        </w:p>
        <w:p w14:paraId="37C81FA0" w14:textId="2E744612"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61" w:history="1">
            <w:r w:rsidR="002127B8" w:rsidRPr="002127B8">
              <w:rPr>
                <w:rStyle w:val="Hyperlink"/>
                <w:noProof/>
                <w:sz w:val="22"/>
                <w:szCs w:val="22"/>
              </w:rPr>
              <w:t>Afdeling II: Waarnemend gerechtsdeurwaarder</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_Toc40689961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24</w:t>
            </w:r>
            <w:r w:rsidR="002127B8" w:rsidRPr="002127B8">
              <w:rPr>
                <w:noProof/>
                <w:webHidden/>
                <w:sz w:val="22"/>
                <w:szCs w:val="22"/>
              </w:rPr>
              <w:fldChar w:fldCharType="end"/>
            </w:r>
          </w:hyperlink>
        </w:p>
        <w:p w14:paraId="13720AFB" w14:textId="451DBAE6"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62" w:history="1">
            <w:r w:rsidR="002127B8" w:rsidRPr="002127B8">
              <w:rPr>
                <w:rStyle w:val="Hyperlink"/>
                <w:noProof/>
                <w:sz w:val="22"/>
                <w:szCs w:val="22"/>
              </w:rPr>
              <w:t>Afdeling III: Daadwerkelijke vervanging</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_Toc40689962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25</w:t>
            </w:r>
            <w:r w:rsidR="002127B8" w:rsidRPr="002127B8">
              <w:rPr>
                <w:noProof/>
                <w:webHidden/>
                <w:sz w:val="22"/>
                <w:szCs w:val="22"/>
              </w:rPr>
              <w:fldChar w:fldCharType="end"/>
            </w:r>
          </w:hyperlink>
        </w:p>
        <w:p w14:paraId="191BE819" w14:textId="3CAF1550"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63" w:history="1">
            <w:r w:rsidR="002127B8" w:rsidRPr="002127B8">
              <w:rPr>
                <w:rStyle w:val="Hyperlink"/>
                <w:noProof/>
                <w:sz w:val="22"/>
                <w:szCs w:val="22"/>
              </w:rPr>
              <w:t>Hoofdstuk 4: Tucht en deontologie</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_Toc40689963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26</w:t>
            </w:r>
            <w:r w:rsidR="002127B8" w:rsidRPr="002127B8">
              <w:rPr>
                <w:noProof/>
                <w:webHidden/>
                <w:sz w:val="22"/>
                <w:szCs w:val="22"/>
              </w:rPr>
              <w:fldChar w:fldCharType="end"/>
            </w:r>
          </w:hyperlink>
        </w:p>
        <w:p w14:paraId="5EA3C14D" w14:textId="1D613586"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64" w:history="1">
            <w:r w:rsidR="002127B8" w:rsidRPr="002127B8">
              <w:rPr>
                <w:rStyle w:val="Hyperlink"/>
                <w:noProof/>
                <w:sz w:val="22"/>
                <w:szCs w:val="22"/>
              </w:rPr>
              <w:t>Afdeling I: Tuchtrecht voor de hervorming</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_Toc40689964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26</w:t>
            </w:r>
            <w:r w:rsidR="002127B8" w:rsidRPr="002127B8">
              <w:rPr>
                <w:noProof/>
                <w:webHidden/>
                <w:sz w:val="22"/>
                <w:szCs w:val="22"/>
              </w:rPr>
              <w:fldChar w:fldCharType="end"/>
            </w:r>
          </w:hyperlink>
        </w:p>
        <w:p w14:paraId="4B3B85FB" w14:textId="575A83DD" w:rsidR="002127B8" w:rsidRPr="002127B8" w:rsidRDefault="00A0614B">
          <w:pPr>
            <w:pStyle w:val="Inhopg3"/>
            <w:tabs>
              <w:tab w:val="right" w:leader="dot" w:pos="9056"/>
            </w:tabs>
            <w:rPr>
              <w:rFonts w:eastAsiaTheme="minorEastAsia" w:cstheme="minorBidi"/>
              <w:noProof/>
              <w:sz w:val="22"/>
              <w:szCs w:val="22"/>
              <w:lang w:val="nl-BE" w:eastAsia="nl-NL"/>
            </w:rPr>
          </w:pPr>
          <w:hyperlink w:anchor="_Toc40689965" w:history="1">
            <w:r w:rsidR="002127B8" w:rsidRPr="002127B8">
              <w:rPr>
                <w:rStyle w:val="Hyperlink"/>
                <w:noProof/>
                <w:sz w:val="22"/>
                <w:szCs w:val="22"/>
              </w:rPr>
              <w:t>Afdeling II: Nieuwe tuchtprocedure, -commissie en -sancties</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_Toc40689965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28</w:t>
            </w:r>
            <w:r w:rsidR="002127B8" w:rsidRPr="002127B8">
              <w:rPr>
                <w:noProof/>
                <w:webHidden/>
                <w:sz w:val="22"/>
                <w:szCs w:val="22"/>
              </w:rPr>
              <w:fldChar w:fldCharType="end"/>
            </w:r>
          </w:hyperlink>
        </w:p>
        <w:p w14:paraId="458FD450" w14:textId="0ACBA31D" w:rsidR="002127B8" w:rsidRPr="002127B8" w:rsidRDefault="00A0614B">
          <w:pPr>
            <w:pStyle w:val="Inhopg1"/>
            <w:tabs>
              <w:tab w:val="right" w:leader="dot" w:pos="9056"/>
            </w:tabs>
            <w:rPr>
              <w:rFonts w:eastAsiaTheme="minorEastAsia" w:cstheme="minorBidi"/>
              <w:b w:val="0"/>
              <w:bCs w:val="0"/>
              <w:noProof/>
              <w:sz w:val="22"/>
              <w:szCs w:val="22"/>
              <w:lang w:val="nl-BE" w:eastAsia="nl-NL"/>
            </w:rPr>
          </w:pPr>
          <w:hyperlink w:anchor="_Toc40689966" w:history="1">
            <w:r w:rsidR="002127B8" w:rsidRPr="002127B8">
              <w:rPr>
                <w:rStyle w:val="Hyperlink"/>
                <w:noProof/>
                <w:sz w:val="22"/>
                <w:szCs w:val="22"/>
                <w:lang w:eastAsia="nl-NL"/>
              </w:rPr>
              <w:t>DEEL 3: EVALUATIE VANOP HET TERREIN</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_Toc40689966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31</w:t>
            </w:r>
            <w:r w:rsidR="002127B8" w:rsidRPr="002127B8">
              <w:rPr>
                <w:noProof/>
                <w:webHidden/>
                <w:sz w:val="22"/>
                <w:szCs w:val="22"/>
              </w:rPr>
              <w:fldChar w:fldCharType="end"/>
            </w:r>
          </w:hyperlink>
        </w:p>
        <w:p w14:paraId="39D0CAA5" w14:textId="63335551"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67" w:history="1">
            <w:r w:rsidR="002127B8" w:rsidRPr="002127B8">
              <w:rPr>
                <w:rStyle w:val="Hyperlink"/>
                <w:noProof/>
                <w:sz w:val="22"/>
                <w:szCs w:val="22"/>
                <w:lang w:eastAsia="nl-NL"/>
              </w:rPr>
              <w:t>Hoofdstuk 1: Inleidende gegevens</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_Toc40689967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31</w:t>
            </w:r>
            <w:r w:rsidR="002127B8" w:rsidRPr="002127B8">
              <w:rPr>
                <w:noProof/>
                <w:webHidden/>
                <w:sz w:val="22"/>
                <w:szCs w:val="22"/>
              </w:rPr>
              <w:fldChar w:fldCharType="end"/>
            </w:r>
          </w:hyperlink>
        </w:p>
        <w:p w14:paraId="19FADDA8" w14:textId="6FB9C33B"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68" w:history="1">
            <w:r w:rsidR="002127B8" w:rsidRPr="002127B8">
              <w:rPr>
                <w:rStyle w:val="Hyperlink"/>
                <w:noProof/>
                <w:sz w:val="22"/>
                <w:szCs w:val="22"/>
                <w:lang w:eastAsia="nl-NL"/>
              </w:rPr>
              <w:t>Hoofdstuk 2: Algemene bevraging</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_Toc40689968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32</w:t>
            </w:r>
            <w:r w:rsidR="002127B8" w:rsidRPr="002127B8">
              <w:rPr>
                <w:noProof/>
                <w:webHidden/>
                <w:sz w:val="22"/>
                <w:szCs w:val="22"/>
              </w:rPr>
              <w:fldChar w:fldCharType="end"/>
            </w:r>
          </w:hyperlink>
        </w:p>
        <w:p w14:paraId="481634F9" w14:textId="29BC34BA"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69" w:history="1">
            <w:r w:rsidR="002127B8" w:rsidRPr="002127B8">
              <w:rPr>
                <w:rStyle w:val="Hyperlink"/>
                <w:noProof/>
                <w:sz w:val="22"/>
                <w:szCs w:val="22"/>
                <w:lang w:val="nl-BE"/>
              </w:rPr>
              <w:t>Hoofdstuk 3: Modernisering en objectivering van de benoemingsprocedure</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_Toc40689969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33</w:t>
            </w:r>
            <w:r w:rsidR="002127B8" w:rsidRPr="002127B8">
              <w:rPr>
                <w:noProof/>
                <w:webHidden/>
                <w:sz w:val="22"/>
                <w:szCs w:val="22"/>
              </w:rPr>
              <w:fldChar w:fldCharType="end"/>
            </w:r>
          </w:hyperlink>
        </w:p>
        <w:p w14:paraId="16FAFE1D" w14:textId="418D513C"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70" w:history="1">
            <w:r w:rsidR="002127B8" w:rsidRPr="002127B8">
              <w:rPr>
                <w:rStyle w:val="Hyperlink"/>
                <w:noProof/>
                <w:sz w:val="22"/>
                <w:szCs w:val="22"/>
                <w:lang w:val="nl-BE"/>
              </w:rPr>
              <w:t>Hoofdstuk 4: Opwaardering van het kandidaat-gerechtsdeurwaardersstatuut</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_Toc40689970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35</w:t>
            </w:r>
            <w:r w:rsidR="002127B8" w:rsidRPr="002127B8">
              <w:rPr>
                <w:noProof/>
                <w:webHidden/>
                <w:sz w:val="22"/>
                <w:szCs w:val="22"/>
              </w:rPr>
              <w:fldChar w:fldCharType="end"/>
            </w:r>
          </w:hyperlink>
        </w:p>
        <w:p w14:paraId="35F36737" w14:textId="61420039"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71" w:history="1">
            <w:r w:rsidR="002127B8" w:rsidRPr="002127B8">
              <w:rPr>
                <w:rStyle w:val="Hyperlink"/>
                <w:noProof/>
                <w:sz w:val="22"/>
                <w:szCs w:val="22"/>
                <w:lang w:val="nl-BE"/>
              </w:rPr>
              <w:t>Hoofdstuk 5: Continuïteitsgarantie voor niet-geassocieerde kantoren</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_Toc40689971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38</w:t>
            </w:r>
            <w:r w:rsidR="002127B8" w:rsidRPr="002127B8">
              <w:rPr>
                <w:noProof/>
                <w:webHidden/>
                <w:sz w:val="22"/>
                <w:szCs w:val="22"/>
              </w:rPr>
              <w:fldChar w:fldCharType="end"/>
            </w:r>
          </w:hyperlink>
        </w:p>
        <w:p w14:paraId="55CB8A29" w14:textId="606DC9F0"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72" w:history="1">
            <w:r w:rsidR="002127B8" w:rsidRPr="002127B8">
              <w:rPr>
                <w:rStyle w:val="Hyperlink"/>
                <w:noProof/>
                <w:sz w:val="22"/>
                <w:szCs w:val="22"/>
                <w:lang w:val="nl-BE"/>
              </w:rPr>
              <w:t>Hoofdstuk 6: Tucht en deontologie</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_Toc40689972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40</w:t>
            </w:r>
            <w:r w:rsidR="002127B8" w:rsidRPr="002127B8">
              <w:rPr>
                <w:noProof/>
                <w:webHidden/>
                <w:sz w:val="22"/>
                <w:szCs w:val="22"/>
              </w:rPr>
              <w:fldChar w:fldCharType="end"/>
            </w:r>
          </w:hyperlink>
        </w:p>
        <w:p w14:paraId="7C803749" w14:textId="21BF6A79" w:rsidR="002127B8" w:rsidRPr="002127B8" w:rsidRDefault="00A0614B">
          <w:pPr>
            <w:pStyle w:val="Inhopg1"/>
            <w:tabs>
              <w:tab w:val="right" w:leader="dot" w:pos="9056"/>
            </w:tabs>
            <w:rPr>
              <w:rFonts w:eastAsiaTheme="minorEastAsia" w:cstheme="minorBidi"/>
              <w:b w:val="0"/>
              <w:bCs w:val="0"/>
              <w:noProof/>
              <w:sz w:val="22"/>
              <w:szCs w:val="22"/>
              <w:lang w:val="nl-BE" w:eastAsia="nl-NL"/>
            </w:rPr>
          </w:pPr>
          <w:hyperlink w:anchor="_Toc40689973" w:history="1">
            <w:r w:rsidR="002127B8" w:rsidRPr="002127B8">
              <w:rPr>
                <w:rStyle w:val="Hyperlink"/>
                <w:noProof/>
                <w:sz w:val="22"/>
                <w:szCs w:val="22"/>
                <w:lang w:val="nl-BE"/>
              </w:rPr>
              <w:t>EINDCONCLUSIE</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_Toc40689973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42</w:t>
            </w:r>
            <w:r w:rsidR="002127B8" w:rsidRPr="002127B8">
              <w:rPr>
                <w:noProof/>
                <w:webHidden/>
                <w:sz w:val="22"/>
                <w:szCs w:val="22"/>
              </w:rPr>
              <w:fldChar w:fldCharType="end"/>
            </w:r>
          </w:hyperlink>
        </w:p>
        <w:p w14:paraId="5DD5D70A" w14:textId="55D03930" w:rsidR="002127B8" w:rsidRPr="002127B8" w:rsidRDefault="00A0614B">
          <w:pPr>
            <w:pStyle w:val="Inhopg1"/>
            <w:tabs>
              <w:tab w:val="right" w:leader="dot" w:pos="9056"/>
            </w:tabs>
            <w:rPr>
              <w:rFonts w:eastAsiaTheme="minorEastAsia" w:cstheme="minorBidi"/>
              <w:b w:val="0"/>
              <w:bCs w:val="0"/>
              <w:noProof/>
              <w:sz w:val="22"/>
              <w:szCs w:val="22"/>
              <w:lang w:val="nl-BE" w:eastAsia="nl-NL"/>
            </w:rPr>
          </w:pPr>
          <w:hyperlink w:anchor="_Toc40689974" w:history="1">
            <w:r w:rsidR="002127B8" w:rsidRPr="002127B8">
              <w:rPr>
                <w:rStyle w:val="Hyperlink"/>
                <w:noProof/>
                <w:sz w:val="22"/>
                <w:szCs w:val="22"/>
                <w:lang w:val="nl-BE"/>
              </w:rPr>
              <w:t>BIBLIOGRAFIE</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_Toc40689974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43</w:t>
            </w:r>
            <w:r w:rsidR="002127B8" w:rsidRPr="002127B8">
              <w:rPr>
                <w:noProof/>
                <w:webHidden/>
                <w:sz w:val="22"/>
                <w:szCs w:val="22"/>
              </w:rPr>
              <w:fldChar w:fldCharType="end"/>
            </w:r>
          </w:hyperlink>
        </w:p>
        <w:p w14:paraId="6FA78DA5" w14:textId="2520AE08" w:rsidR="002127B8" w:rsidRPr="002127B8" w:rsidRDefault="00A0614B">
          <w:pPr>
            <w:pStyle w:val="Inhopg1"/>
            <w:tabs>
              <w:tab w:val="right" w:leader="dot" w:pos="9056"/>
            </w:tabs>
            <w:rPr>
              <w:rFonts w:eastAsiaTheme="minorEastAsia" w:cstheme="minorBidi"/>
              <w:b w:val="0"/>
              <w:bCs w:val="0"/>
              <w:noProof/>
              <w:sz w:val="22"/>
              <w:szCs w:val="22"/>
              <w:lang w:val="nl-BE" w:eastAsia="nl-NL"/>
            </w:rPr>
          </w:pPr>
          <w:hyperlink w:anchor="_Toc40689975" w:history="1">
            <w:r w:rsidR="002127B8" w:rsidRPr="002127B8">
              <w:rPr>
                <w:rStyle w:val="Hyperlink"/>
                <w:noProof/>
                <w:sz w:val="22"/>
                <w:szCs w:val="22"/>
                <w:lang w:val="nl-BE"/>
              </w:rPr>
              <w:t>BIJLAGEN</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_Toc40689975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47</w:t>
            </w:r>
            <w:r w:rsidR="002127B8" w:rsidRPr="002127B8">
              <w:rPr>
                <w:noProof/>
                <w:webHidden/>
                <w:sz w:val="22"/>
                <w:szCs w:val="22"/>
              </w:rPr>
              <w:fldChar w:fldCharType="end"/>
            </w:r>
          </w:hyperlink>
        </w:p>
        <w:p w14:paraId="09F1EC2E" w14:textId="46390A8C" w:rsidR="002127B8" w:rsidRPr="002127B8" w:rsidRDefault="00A0614B">
          <w:pPr>
            <w:pStyle w:val="Inhopg2"/>
            <w:tabs>
              <w:tab w:val="right" w:leader="dot" w:pos="9056"/>
            </w:tabs>
            <w:rPr>
              <w:rFonts w:eastAsiaTheme="minorEastAsia" w:cstheme="minorBidi"/>
              <w:i w:val="0"/>
              <w:iCs w:val="0"/>
              <w:noProof/>
              <w:sz w:val="22"/>
              <w:szCs w:val="22"/>
              <w:lang w:val="nl-BE" w:eastAsia="nl-NL"/>
            </w:rPr>
          </w:pPr>
          <w:hyperlink w:anchor="_Toc40689976" w:history="1">
            <w:r w:rsidR="002127B8" w:rsidRPr="002127B8">
              <w:rPr>
                <w:rStyle w:val="Hyperlink"/>
                <w:noProof/>
                <w:sz w:val="22"/>
                <w:szCs w:val="22"/>
                <w:lang w:val="nl-BE"/>
              </w:rPr>
              <w:t>Bijlage 1: Omzendbrief nr. 196</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_Toc40689976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47</w:t>
            </w:r>
            <w:r w:rsidR="002127B8" w:rsidRPr="002127B8">
              <w:rPr>
                <w:noProof/>
                <w:webHidden/>
                <w:sz w:val="22"/>
                <w:szCs w:val="22"/>
              </w:rPr>
              <w:fldChar w:fldCharType="end"/>
            </w:r>
          </w:hyperlink>
        </w:p>
        <w:p w14:paraId="20FE504B" w14:textId="0A191458" w:rsidR="002127B8" w:rsidRDefault="00A0614B">
          <w:pPr>
            <w:pStyle w:val="Inhopg2"/>
            <w:tabs>
              <w:tab w:val="right" w:leader="dot" w:pos="9056"/>
            </w:tabs>
            <w:rPr>
              <w:rFonts w:eastAsiaTheme="minorEastAsia" w:cstheme="minorBidi"/>
              <w:i w:val="0"/>
              <w:iCs w:val="0"/>
              <w:noProof/>
              <w:sz w:val="24"/>
              <w:szCs w:val="24"/>
              <w:lang w:val="nl-BE" w:eastAsia="nl-NL"/>
            </w:rPr>
          </w:pPr>
          <w:hyperlink w:anchor="_Toc40689977" w:history="1">
            <w:r w:rsidR="002127B8" w:rsidRPr="002127B8">
              <w:rPr>
                <w:rStyle w:val="Hyperlink"/>
                <w:noProof/>
                <w:sz w:val="22"/>
                <w:szCs w:val="22"/>
              </w:rPr>
              <w:t>Bijlage 2: Resultaten opiniepeiling</w:t>
            </w:r>
            <w:r w:rsidR="002127B8" w:rsidRPr="002127B8">
              <w:rPr>
                <w:noProof/>
                <w:webHidden/>
                <w:sz w:val="22"/>
                <w:szCs w:val="22"/>
              </w:rPr>
              <w:tab/>
            </w:r>
            <w:r w:rsidR="002127B8" w:rsidRPr="002127B8">
              <w:rPr>
                <w:noProof/>
                <w:webHidden/>
                <w:sz w:val="22"/>
                <w:szCs w:val="22"/>
              </w:rPr>
              <w:fldChar w:fldCharType="begin"/>
            </w:r>
            <w:r w:rsidR="002127B8" w:rsidRPr="002127B8">
              <w:rPr>
                <w:noProof/>
                <w:webHidden/>
                <w:sz w:val="22"/>
                <w:szCs w:val="22"/>
              </w:rPr>
              <w:instrText xml:space="preserve"> PAGEREF _Toc40689977 \h </w:instrText>
            </w:r>
            <w:r w:rsidR="002127B8" w:rsidRPr="002127B8">
              <w:rPr>
                <w:noProof/>
                <w:webHidden/>
                <w:sz w:val="22"/>
                <w:szCs w:val="22"/>
              </w:rPr>
            </w:r>
            <w:r w:rsidR="002127B8" w:rsidRPr="002127B8">
              <w:rPr>
                <w:noProof/>
                <w:webHidden/>
                <w:sz w:val="22"/>
                <w:szCs w:val="22"/>
              </w:rPr>
              <w:fldChar w:fldCharType="separate"/>
            </w:r>
            <w:r w:rsidR="002127B8" w:rsidRPr="002127B8">
              <w:rPr>
                <w:noProof/>
                <w:webHidden/>
                <w:sz w:val="22"/>
                <w:szCs w:val="22"/>
              </w:rPr>
              <w:t>52</w:t>
            </w:r>
            <w:r w:rsidR="002127B8" w:rsidRPr="002127B8">
              <w:rPr>
                <w:noProof/>
                <w:webHidden/>
                <w:sz w:val="22"/>
                <w:szCs w:val="22"/>
              </w:rPr>
              <w:fldChar w:fldCharType="end"/>
            </w:r>
          </w:hyperlink>
        </w:p>
        <w:p w14:paraId="0C8231EC" w14:textId="7F2E21E5" w:rsidR="002127B8" w:rsidRDefault="002127B8">
          <w:r>
            <w:rPr>
              <w:b/>
              <w:bCs/>
              <w:noProof/>
            </w:rPr>
            <w:fldChar w:fldCharType="end"/>
          </w:r>
        </w:p>
      </w:sdtContent>
    </w:sdt>
    <w:p w14:paraId="5379353C" w14:textId="72468E78" w:rsidR="00965774" w:rsidRDefault="00965774" w:rsidP="00F7500C">
      <w:pPr>
        <w:rPr>
          <w:rFonts w:ascii="Calibri" w:eastAsiaTheme="majorEastAsia" w:hAnsi="Calibri" w:cstheme="majorBidi"/>
          <w:color w:val="000000" w:themeColor="text1"/>
          <w:lang w:val="nl-BE"/>
        </w:rPr>
      </w:pPr>
      <w:r>
        <w:rPr>
          <w:rFonts w:ascii="Calibri" w:hAnsi="Calibri"/>
          <w:color w:val="000000" w:themeColor="text1"/>
          <w:lang w:val="nl-BE"/>
        </w:rPr>
        <w:br w:type="page"/>
      </w:r>
    </w:p>
    <w:p w14:paraId="023C3639" w14:textId="77777777" w:rsidR="00944514" w:rsidRDefault="00944514" w:rsidP="002532B7">
      <w:pPr>
        <w:pStyle w:val="Kop1"/>
        <w:spacing w:line="276" w:lineRule="auto"/>
        <w:rPr>
          <w:lang w:val="nl-BE"/>
        </w:rPr>
      </w:pPr>
    </w:p>
    <w:p w14:paraId="2B3C62DB" w14:textId="78522401" w:rsidR="005B51B7" w:rsidRDefault="005B51B7" w:rsidP="002532B7">
      <w:pPr>
        <w:pStyle w:val="Kop1"/>
        <w:spacing w:line="276" w:lineRule="auto"/>
        <w:rPr>
          <w:lang w:val="nl-BE"/>
        </w:rPr>
      </w:pPr>
      <w:bookmarkStart w:id="2" w:name="_Toc40689941"/>
      <w:r>
        <w:rPr>
          <w:lang w:val="nl-BE"/>
        </w:rPr>
        <w:t>INLEIDING</w:t>
      </w:r>
      <w:bookmarkEnd w:id="2"/>
    </w:p>
    <w:p w14:paraId="60B18C5E" w14:textId="77777777" w:rsidR="00500081" w:rsidRDefault="00500081" w:rsidP="002532B7">
      <w:pPr>
        <w:spacing w:line="276" w:lineRule="auto"/>
        <w:rPr>
          <w:rFonts w:ascii="Calibri" w:hAnsi="Calibri" w:cs="Arial"/>
          <w:color w:val="000000" w:themeColor="text1"/>
          <w:lang w:val="nl-BE"/>
        </w:rPr>
      </w:pPr>
    </w:p>
    <w:p w14:paraId="38CA02E6" w14:textId="6184F909" w:rsidR="00272C20" w:rsidRDefault="00B92CA3" w:rsidP="00944514">
      <w:pPr>
        <w:spacing w:line="276" w:lineRule="auto"/>
        <w:jc w:val="both"/>
        <w:rPr>
          <w:rFonts w:ascii="Calibri" w:hAnsi="Calibri" w:cs="Arial"/>
          <w:color w:val="000000" w:themeColor="text1"/>
          <w:lang w:val="nl-BE"/>
        </w:rPr>
      </w:pPr>
      <w:r>
        <w:rPr>
          <w:rFonts w:ascii="Calibri" w:hAnsi="Calibri" w:cs="Arial"/>
          <w:color w:val="000000" w:themeColor="text1"/>
          <w:lang w:val="nl-BE"/>
        </w:rPr>
        <w:t xml:space="preserve">Wanneer men aan </w:t>
      </w:r>
      <w:r w:rsidR="00637866">
        <w:rPr>
          <w:rFonts w:ascii="Calibri" w:hAnsi="Calibri" w:cs="Arial"/>
          <w:color w:val="000000" w:themeColor="text1"/>
          <w:lang w:val="nl-BE"/>
        </w:rPr>
        <w:t xml:space="preserve">jan met de pet </w:t>
      </w:r>
      <w:r>
        <w:rPr>
          <w:rFonts w:ascii="Calibri" w:hAnsi="Calibri" w:cs="Arial"/>
          <w:color w:val="000000" w:themeColor="text1"/>
          <w:lang w:val="nl-BE"/>
        </w:rPr>
        <w:t xml:space="preserve">zou vragen </w:t>
      </w:r>
      <w:r w:rsidR="00551840">
        <w:rPr>
          <w:rFonts w:ascii="Calibri" w:hAnsi="Calibri" w:cs="Arial"/>
          <w:color w:val="000000" w:themeColor="text1"/>
          <w:lang w:val="nl-BE"/>
        </w:rPr>
        <w:t xml:space="preserve">wie of </w:t>
      </w:r>
      <w:r>
        <w:rPr>
          <w:rFonts w:ascii="Calibri" w:hAnsi="Calibri" w:cs="Arial"/>
          <w:color w:val="000000" w:themeColor="text1"/>
          <w:lang w:val="nl-BE"/>
        </w:rPr>
        <w:t xml:space="preserve">wat een gerechtsdeurwaarder is, krijgt men waarschijnlijk </w:t>
      </w:r>
      <w:r w:rsidR="002B23D0">
        <w:rPr>
          <w:rFonts w:ascii="Calibri" w:hAnsi="Calibri" w:cs="Arial"/>
          <w:color w:val="000000" w:themeColor="text1"/>
          <w:lang w:val="nl-BE"/>
        </w:rPr>
        <w:t xml:space="preserve">nog steeds </w:t>
      </w:r>
      <w:r>
        <w:rPr>
          <w:rFonts w:ascii="Calibri" w:hAnsi="Calibri" w:cs="Arial"/>
          <w:color w:val="000000" w:themeColor="text1"/>
          <w:lang w:val="nl-BE"/>
        </w:rPr>
        <w:t xml:space="preserve">het stigma voorgeschoteld van </w:t>
      </w:r>
      <w:r w:rsidR="002B23D0">
        <w:rPr>
          <w:rFonts w:ascii="Calibri" w:hAnsi="Calibri" w:cs="Arial"/>
          <w:color w:val="000000" w:themeColor="text1"/>
          <w:lang w:val="nl-BE"/>
        </w:rPr>
        <w:t>de</w:t>
      </w:r>
      <w:r>
        <w:rPr>
          <w:rFonts w:ascii="Calibri" w:hAnsi="Calibri" w:cs="Arial"/>
          <w:color w:val="000000" w:themeColor="text1"/>
          <w:lang w:val="nl-BE"/>
        </w:rPr>
        <w:t xml:space="preserve"> strenge man die aan de voordeur </w:t>
      </w:r>
      <w:r w:rsidR="002B23D0">
        <w:rPr>
          <w:rFonts w:ascii="Calibri" w:hAnsi="Calibri" w:cs="Arial"/>
          <w:color w:val="000000" w:themeColor="text1"/>
          <w:lang w:val="nl-BE"/>
        </w:rPr>
        <w:t xml:space="preserve">van zijn slachtoffer </w:t>
      </w:r>
      <w:r>
        <w:rPr>
          <w:rFonts w:ascii="Calibri" w:hAnsi="Calibri" w:cs="Arial"/>
          <w:color w:val="000000" w:themeColor="text1"/>
          <w:lang w:val="nl-BE"/>
        </w:rPr>
        <w:t xml:space="preserve">klaarstaat met klembord en balpen in de aanslag </w:t>
      </w:r>
      <w:r w:rsidR="002B23D0">
        <w:rPr>
          <w:rFonts w:ascii="Calibri" w:hAnsi="Calibri" w:cs="Arial"/>
          <w:color w:val="000000" w:themeColor="text1"/>
          <w:lang w:val="nl-BE"/>
        </w:rPr>
        <w:t>om alle waardevolle zaken van die arme stakker te inventariseren en desgevallend mee te nemen. Nochtans</w:t>
      </w:r>
      <w:r w:rsidR="00272C20">
        <w:rPr>
          <w:rFonts w:ascii="Calibri" w:hAnsi="Calibri" w:cs="Arial"/>
          <w:color w:val="000000" w:themeColor="text1"/>
          <w:lang w:val="nl-BE"/>
        </w:rPr>
        <w:t xml:space="preserve"> is</w:t>
      </w:r>
      <w:r w:rsidR="002B23D0">
        <w:rPr>
          <w:rFonts w:ascii="Calibri" w:hAnsi="Calibri" w:cs="Arial"/>
          <w:color w:val="000000" w:themeColor="text1"/>
          <w:lang w:val="nl-BE"/>
        </w:rPr>
        <w:t xml:space="preserve"> </w:t>
      </w:r>
      <w:r w:rsidR="00272C20">
        <w:rPr>
          <w:rFonts w:ascii="Calibri" w:hAnsi="Calibri" w:cs="Arial"/>
          <w:color w:val="000000" w:themeColor="text1"/>
          <w:lang w:val="nl-BE"/>
        </w:rPr>
        <w:t>de</w:t>
      </w:r>
      <w:r w:rsidR="002B23D0">
        <w:rPr>
          <w:rFonts w:ascii="Calibri" w:hAnsi="Calibri" w:cs="Arial"/>
          <w:color w:val="000000" w:themeColor="text1"/>
          <w:lang w:val="nl-BE"/>
        </w:rPr>
        <w:t xml:space="preserve"> gerechtsdeurwaarder</w:t>
      </w:r>
      <w:r w:rsidR="00272C20">
        <w:rPr>
          <w:rFonts w:ascii="Calibri" w:hAnsi="Calibri" w:cs="Arial"/>
          <w:color w:val="000000" w:themeColor="text1"/>
          <w:lang w:val="nl-BE"/>
        </w:rPr>
        <w:t xml:space="preserve"> een onmisbare actor binnen de rechtsstaat en doet hij</w:t>
      </w:r>
      <w:r w:rsidR="002B23D0">
        <w:rPr>
          <w:rFonts w:ascii="Calibri" w:hAnsi="Calibri" w:cs="Arial"/>
          <w:color w:val="000000" w:themeColor="text1"/>
          <w:lang w:val="nl-BE"/>
        </w:rPr>
        <w:t xml:space="preserve"> veel meer dan louter beslaglegginge</w:t>
      </w:r>
      <w:r w:rsidR="00272C20">
        <w:rPr>
          <w:rFonts w:ascii="Calibri" w:hAnsi="Calibri" w:cs="Arial"/>
          <w:color w:val="000000" w:themeColor="text1"/>
          <w:lang w:val="nl-BE"/>
        </w:rPr>
        <w:t xml:space="preserve">n: </w:t>
      </w:r>
      <w:r w:rsidR="002B23D0">
        <w:rPr>
          <w:rFonts w:ascii="Calibri" w:hAnsi="Calibri" w:cs="Arial"/>
          <w:color w:val="000000" w:themeColor="text1"/>
          <w:lang w:val="nl-BE"/>
        </w:rPr>
        <w:t xml:space="preserve">dit </w:t>
      </w:r>
      <w:r w:rsidR="00272C20">
        <w:rPr>
          <w:rFonts w:ascii="Calibri" w:hAnsi="Calibri" w:cs="Arial"/>
          <w:color w:val="000000" w:themeColor="text1"/>
          <w:lang w:val="nl-BE"/>
        </w:rPr>
        <w:t>is slechts de</w:t>
      </w:r>
      <w:r w:rsidR="002B23D0">
        <w:rPr>
          <w:rFonts w:ascii="Calibri" w:hAnsi="Calibri" w:cs="Arial"/>
          <w:color w:val="000000" w:themeColor="text1"/>
          <w:lang w:val="nl-BE"/>
        </w:rPr>
        <w:t xml:space="preserve"> </w:t>
      </w:r>
      <w:r w:rsidR="00272C20">
        <w:rPr>
          <w:rFonts w:ascii="Calibri" w:hAnsi="Calibri" w:cs="Arial"/>
          <w:color w:val="000000" w:themeColor="text1"/>
          <w:lang w:val="nl-BE"/>
        </w:rPr>
        <w:t>finale fase</w:t>
      </w:r>
      <w:r w:rsidR="002B23D0">
        <w:rPr>
          <w:rFonts w:ascii="Calibri" w:hAnsi="Calibri" w:cs="Arial"/>
          <w:color w:val="000000" w:themeColor="text1"/>
          <w:lang w:val="nl-BE"/>
        </w:rPr>
        <w:t xml:space="preserve"> na een ellenlange procedure van aanmaningen en waarschuwingen. </w:t>
      </w:r>
      <w:r w:rsidR="00272C20">
        <w:rPr>
          <w:rFonts w:ascii="Calibri" w:hAnsi="Calibri" w:cs="Arial"/>
          <w:color w:val="000000" w:themeColor="text1"/>
          <w:lang w:val="nl-BE"/>
        </w:rPr>
        <w:t>Zijn wettelijke statuut verleent hem een aantal bijzondere bevoegdheden,</w:t>
      </w:r>
      <w:r w:rsidR="00297DD5">
        <w:rPr>
          <w:rFonts w:ascii="Calibri" w:hAnsi="Calibri" w:cs="Arial"/>
          <w:color w:val="000000" w:themeColor="text1"/>
          <w:lang w:val="nl-BE"/>
        </w:rPr>
        <w:t xml:space="preserve"> waaronder inderdaad het beslagleggen op de goederen van schuldenaren</w:t>
      </w:r>
      <w:r w:rsidR="00660146">
        <w:rPr>
          <w:rFonts w:ascii="Calibri" w:hAnsi="Calibri" w:cs="Arial"/>
          <w:color w:val="000000" w:themeColor="text1"/>
          <w:lang w:val="nl-BE"/>
        </w:rPr>
        <w:t xml:space="preserve"> die in gebreke blijven</w:t>
      </w:r>
      <w:r w:rsidR="00272C20">
        <w:rPr>
          <w:rFonts w:ascii="Calibri" w:hAnsi="Calibri" w:cs="Arial"/>
          <w:color w:val="000000" w:themeColor="text1"/>
          <w:lang w:val="nl-BE"/>
        </w:rPr>
        <w:t xml:space="preserve">. Dit statuut is vanzelfsprekend niet meer hetzelfde als pakweg 50 jaar geleden en heeft – onder invloed van </w:t>
      </w:r>
      <w:r w:rsidR="00E10E65">
        <w:rPr>
          <w:rFonts w:ascii="Calibri" w:hAnsi="Calibri" w:cs="Arial"/>
          <w:color w:val="000000" w:themeColor="text1"/>
          <w:lang w:val="nl-BE"/>
        </w:rPr>
        <w:t xml:space="preserve">allerlei </w:t>
      </w:r>
      <w:r w:rsidR="00272C20">
        <w:rPr>
          <w:rFonts w:ascii="Calibri" w:hAnsi="Calibri" w:cs="Arial"/>
          <w:color w:val="000000" w:themeColor="text1"/>
          <w:lang w:val="nl-BE"/>
        </w:rPr>
        <w:t xml:space="preserve">gewijzigde maatschappelijke omstandigheden – een lange weg afgelegd. </w:t>
      </w:r>
    </w:p>
    <w:p w14:paraId="37206D9E" w14:textId="77777777" w:rsidR="00272C20" w:rsidRDefault="00272C20" w:rsidP="00944514">
      <w:pPr>
        <w:spacing w:line="276" w:lineRule="auto"/>
        <w:jc w:val="both"/>
        <w:rPr>
          <w:rFonts w:ascii="Calibri" w:hAnsi="Calibri" w:cs="Arial"/>
          <w:color w:val="000000" w:themeColor="text1"/>
          <w:lang w:val="nl-BE"/>
        </w:rPr>
      </w:pPr>
    </w:p>
    <w:p w14:paraId="1588D669" w14:textId="17E56CED" w:rsidR="001D6D93" w:rsidRDefault="004778EF" w:rsidP="00944514">
      <w:pPr>
        <w:spacing w:line="276" w:lineRule="auto"/>
        <w:jc w:val="both"/>
        <w:rPr>
          <w:rFonts w:ascii="Calibri" w:hAnsi="Calibri" w:cs="Arial"/>
          <w:color w:val="000000" w:themeColor="text1"/>
          <w:lang w:val="nl-BE"/>
        </w:rPr>
      </w:pPr>
      <w:r>
        <w:rPr>
          <w:rFonts w:ascii="Calibri" w:hAnsi="Calibri" w:cs="Arial"/>
          <w:color w:val="000000" w:themeColor="text1"/>
          <w:lang w:val="nl-BE"/>
        </w:rPr>
        <w:t>De Nationale Kamer van Gerechtsde</w:t>
      </w:r>
      <w:r w:rsidR="00036670">
        <w:rPr>
          <w:rFonts w:ascii="Calibri" w:hAnsi="Calibri" w:cs="Arial"/>
          <w:color w:val="000000" w:themeColor="text1"/>
          <w:lang w:val="nl-BE"/>
        </w:rPr>
        <w:t xml:space="preserve">urwaarders </w:t>
      </w:r>
      <w:r w:rsidR="00F202D7">
        <w:rPr>
          <w:rFonts w:ascii="Calibri" w:hAnsi="Calibri" w:cs="Arial"/>
          <w:color w:val="000000" w:themeColor="text1"/>
          <w:lang w:val="nl-BE"/>
        </w:rPr>
        <w:t xml:space="preserve">ziet vier kantelpunten </w:t>
      </w:r>
      <w:r w:rsidR="006D358F">
        <w:rPr>
          <w:rFonts w:ascii="Calibri" w:hAnsi="Calibri" w:cs="Arial"/>
          <w:color w:val="000000" w:themeColor="text1"/>
          <w:lang w:val="nl-BE"/>
        </w:rPr>
        <w:t xml:space="preserve">van het statuut </w:t>
      </w:r>
      <w:r w:rsidR="00F202D7">
        <w:rPr>
          <w:rFonts w:ascii="Calibri" w:hAnsi="Calibri" w:cs="Arial"/>
          <w:color w:val="000000" w:themeColor="text1"/>
          <w:lang w:val="nl-BE"/>
        </w:rPr>
        <w:t xml:space="preserve">in de naoorlogse </w:t>
      </w:r>
      <w:r w:rsidR="006D358F">
        <w:rPr>
          <w:rFonts w:ascii="Calibri" w:hAnsi="Calibri" w:cs="Arial"/>
          <w:color w:val="000000" w:themeColor="text1"/>
          <w:lang w:val="nl-BE"/>
        </w:rPr>
        <w:t>geschiedenis: d</w:t>
      </w:r>
      <w:r w:rsidR="00F202D7">
        <w:rPr>
          <w:rFonts w:ascii="Calibri" w:hAnsi="Calibri" w:cs="Arial"/>
          <w:color w:val="000000" w:themeColor="text1"/>
          <w:lang w:val="nl-BE"/>
        </w:rPr>
        <w:t>e oprichting van dat orgaan zelf, in 1954, de eerste Belgische wet tot regeling van h</w:t>
      </w:r>
      <w:r w:rsidR="00755C80">
        <w:rPr>
          <w:rFonts w:ascii="Calibri" w:hAnsi="Calibri" w:cs="Arial"/>
          <w:color w:val="000000" w:themeColor="text1"/>
          <w:lang w:val="nl-BE"/>
        </w:rPr>
        <w:t>et statuut uit 1963 en de twee grote</w:t>
      </w:r>
      <w:r w:rsidR="00F202D7">
        <w:rPr>
          <w:rFonts w:ascii="Calibri" w:hAnsi="Calibri" w:cs="Arial"/>
          <w:color w:val="000000" w:themeColor="text1"/>
          <w:lang w:val="nl-BE"/>
        </w:rPr>
        <w:t xml:space="preserve"> hervormingen uit 1992 en 2014</w:t>
      </w:r>
      <w:r w:rsidR="00F202D7">
        <w:rPr>
          <w:rStyle w:val="Voetnootmarkering"/>
          <w:rFonts w:ascii="Calibri" w:hAnsi="Calibri" w:cs="Arial"/>
          <w:color w:val="000000" w:themeColor="text1"/>
          <w:lang w:val="nl-BE"/>
        </w:rPr>
        <w:footnoteReference w:id="1"/>
      </w:r>
      <w:r w:rsidR="00F202D7">
        <w:rPr>
          <w:rFonts w:ascii="Calibri" w:hAnsi="Calibri" w:cs="Arial"/>
          <w:color w:val="000000" w:themeColor="text1"/>
          <w:lang w:val="nl-BE"/>
        </w:rPr>
        <w:t>.</w:t>
      </w:r>
      <w:r>
        <w:rPr>
          <w:rFonts w:ascii="Calibri" w:hAnsi="Calibri" w:cs="Arial"/>
          <w:color w:val="000000" w:themeColor="text1"/>
          <w:lang w:val="nl-BE"/>
        </w:rPr>
        <w:t xml:space="preserve"> </w:t>
      </w:r>
    </w:p>
    <w:p w14:paraId="3764154E" w14:textId="77777777" w:rsidR="004778EF" w:rsidRDefault="004778EF" w:rsidP="002532B7">
      <w:pPr>
        <w:spacing w:line="276" w:lineRule="auto"/>
        <w:rPr>
          <w:rFonts w:ascii="Calibri" w:hAnsi="Calibri" w:cs="Arial"/>
          <w:color w:val="000000" w:themeColor="text1"/>
          <w:lang w:val="nl-BE"/>
        </w:rPr>
      </w:pPr>
    </w:p>
    <w:p w14:paraId="7FAC91E8" w14:textId="5EDF1259" w:rsidR="0050442A" w:rsidRDefault="00A2586E" w:rsidP="00944514">
      <w:pPr>
        <w:spacing w:line="276" w:lineRule="auto"/>
        <w:jc w:val="both"/>
        <w:rPr>
          <w:rFonts w:ascii="Calibri" w:hAnsi="Calibri" w:cs="Arial"/>
          <w:color w:val="000000" w:themeColor="text1"/>
          <w:lang w:val="nl-BE"/>
        </w:rPr>
      </w:pPr>
      <w:r>
        <w:rPr>
          <w:rFonts w:ascii="Calibri" w:hAnsi="Calibri" w:cs="Arial"/>
          <w:color w:val="000000" w:themeColor="text1"/>
          <w:lang w:val="nl-BE"/>
        </w:rPr>
        <w:t>Met dit werk wil ik de lezer de nodige inlichtingen</w:t>
      </w:r>
      <w:r w:rsidR="00914643">
        <w:rPr>
          <w:rFonts w:ascii="Calibri" w:hAnsi="Calibri" w:cs="Arial"/>
          <w:color w:val="000000" w:themeColor="text1"/>
          <w:lang w:val="nl-BE"/>
        </w:rPr>
        <w:t xml:space="preserve"> verschaffen omtrent </w:t>
      </w:r>
      <w:r w:rsidR="006D358F">
        <w:rPr>
          <w:rFonts w:ascii="Calibri" w:hAnsi="Calibri" w:cs="Arial"/>
          <w:color w:val="000000" w:themeColor="text1"/>
          <w:lang w:val="nl-BE"/>
        </w:rPr>
        <w:t>de meest recente hervorming, namelijk die uit 2014</w:t>
      </w:r>
      <w:r>
        <w:rPr>
          <w:rFonts w:ascii="Calibri" w:hAnsi="Calibri" w:cs="Arial"/>
          <w:color w:val="000000" w:themeColor="text1"/>
          <w:lang w:val="nl-BE"/>
        </w:rPr>
        <w:t>.</w:t>
      </w:r>
      <w:r w:rsidR="00B118D2">
        <w:rPr>
          <w:rFonts w:ascii="Calibri" w:hAnsi="Calibri" w:cs="Arial"/>
          <w:color w:val="000000" w:themeColor="text1"/>
          <w:lang w:val="nl-BE"/>
        </w:rPr>
        <w:t xml:space="preserve"> Om dit zo accuraat als mogelijk te verwezenlijken, </w:t>
      </w:r>
      <w:r w:rsidR="00D44BC5">
        <w:rPr>
          <w:rFonts w:ascii="Calibri" w:hAnsi="Calibri" w:cs="Arial"/>
          <w:color w:val="000000" w:themeColor="text1"/>
          <w:lang w:val="nl-BE"/>
        </w:rPr>
        <w:t xml:space="preserve">bestaat deze bachelorproef </w:t>
      </w:r>
      <w:r w:rsidR="00851327">
        <w:rPr>
          <w:rFonts w:ascii="Calibri" w:hAnsi="Calibri" w:cs="Arial"/>
          <w:color w:val="000000" w:themeColor="text1"/>
          <w:lang w:val="nl-BE"/>
        </w:rPr>
        <w:t>uit twee gr</w:t>
      </w:r>
      <w:r w:rsidR="0050442A">
        <w:rPr>
          <w:rFonts w:ascii="Calibri" w:hAnsi="Calibri" w:cs="Arial"/>
          <w:color w:val="000000" w:themeColor="text1"/>
          <w:lang w:val="nl-BE"/>
        </w:rPr>
        <w:t>ote delen. Het</w:t>
      </w:r>
      <w:r w:rsidR="00851327">
        <w:rPr>
          <w:rFonts w:ascii="Calibri" w:hAnsi="Calibri" w:cs="Arial"/>
          <w:color w:val="000000" w:themeColor="text1"/>
          <w:lang w:val="nl-BE"/>
        </w:rPr>
        <w:t xml:space="preserve"> eerste </w:t>
      </w:r>
      <w:r w:rsidR="0050442A">
        <w:rPr>
          <w:rFonts w:ascii="Calibri" w:hAnsi="Calibri" w:cs="Arial"/>
          <w:color w:val="000000" w:themeColor="text1"/>
          <w:lang w:val="nl-BE"/>
        </w:rPr>
        <w:t>lu</w:t>
      </w:r>
      <w:r w:rsidR="00A20B92">
        <w:rPr>
          <w:rFonts w:ascii="Calibri" w:hAnsi="Calibri" w:cs="Arial"/>
          <w:color w:val="000000" w:themeColor="text1"/>
          <w:lang w:val="nl-BE"/>
        </w:rPr>
        <w:t xml:space="preserve">ik </w:t>
      </w:r>
      <w:r w:rsidR="00B118D2">
        <w:rPr>
          <w:rFonts w:ascii="Calibri" w:hAnsi="Calibri" w:cs="Arial"/>
          <w:color w:val="000000" w:themeColor="text1"/>
          <w:lang w:val="nl-BE"/>
        </w:rPr>
        <w:t>omvat</w:t>
      </w:r>
      <w:r w:rsidR="00A20B92">
        <w:rPr>
          <w:rFonts w:ascii="Calibri" w:hAnsi="Calibri" w:cs="Arial"/>
          <w:color w:val="000000" w:themeColor="text1"/>
          <w:lang w:val="nl-BE"/>
        </w:rPr>
        <w:t xml:space="preserve"> een vergelijkend onderzoek</w:t>
      </w:r>
      <w:r w:rsidR="0050442A">
        <w:rPr>
          <w:rFonts w:ascii="Calibri" w:hAnsi="Calibri" w:cs="Arial"/>
          <w:color w:val="000000" w:themeColor="text1"/>
          <w:lang w:val="nl-BE"/>
        </w:rPr>
        <w:t>, waarbij</w:t>
      </w:r>
      <w:r w:rsidR="00851327">
        <w:rPr>
          <w:rFonts w:ascii="Calibri" w:hAnsi="Calibri" w:cs="Arial"/>
          <w:color w:val="000000" w:themeColor="text1"/>
          <w:lang w:val="nl-BE"/>
        </w:rPr>
        <w:t xml:space="preserve"> ik, op basis van </w:t>
      </w:r>
      <w:r w:rsidR="001A337E">
        <w:rPr>
          <w:rFonts w:ascii="Calibri" w:hAnsi="Calibri" w:cs="Arial"/>
          <w:color w:val="000000" w:themeColor="text1"/>
          <w:lang w:val="nl-BE"/>
        </w:rPr>
        <w:t xml:space="preserve">een </w:t>
      </w:r>
      <w:r w:rsidR="00851327">
        <w:rPr>
          <w:rFonts w:ascii="Calibri" w:hAnsi="Calibri" w:cs="Arial"/>
          <w:color w:val="000000" w:themeColor="text1"/>
          <w:lang w:val="nl-BE"/>
        </w:rPr>
        <w:t xml:space="preserve">literatuurstudie, </w:t>
      </w:r>
      <w:r w:rsidR="0050442A">
        <w:rPr>
          <w:rFonts w:ascii="Calibri" w:hAnsi="Calibri" w:cs="Arial"/>
          <w:color w:val="000000" w:themeColor="text1"/>
          <w:lang w:val="nl-BE"/>
        </w:rPr>
        <w:t xml:space="preserve">zal trachten </w:t>
      </w:r>
      <w:r w:rsidR="00851327">
        <w:rPr>
          <w:rFonts w:ascii="Calibri" w:hAnsi="Calibri" w:cs="Arial"/>
          <w:color w:val="000000" w:themeColor="text1"/>
          <w:lang w:val="nl-BE"/>
        </w:rPr>
        <w:t xml:space="preserve">om de </w:t>
      </w:r>
      <w:r w:rsidR="00250290">
        <w:rPr>
          <w:rFonts w:ascii="Calibri" w:hAnsi="Calibri" w:cs="Arial"/>
          <w:color w:val="000000" w:themeColor="text1"/>
          <w:lang w:val="nl-BE"/>
        </w:rPr>
        <w:t xml:space="preserve">onhoudbare situatie zoals die tot 2014 was, aan te kaarten en de </w:t>
      </w:r>
      <w:r w:rsidR="00851327">
        <w:rPr>
          <w:rFonts w:ascii="Calibri" w:hAnsi="Calibri" w:cs="Arial"/>
          <w:color w:val="000000" w:themeColor="text1"/>
          <w:lang w:val="nl-BE"/>
        </w:rPr>
        <w:t>concrete wijzigingen waartoe de hervorming heeft geleid, bloot te leggen.</w:t>
      </w:r>
    </w:p>
    <w:p w14:paraId="3B0FB0AB" w14:textId="77777777" w:rsidR="006F5161" w:rsidRDefault="006F5161" w:rsidP="002532B7">
      <w:pPr>
        <w:spacing w:line="276" w:lineRule="auto"/>
        <w:rPr>
          <w:rFonts w:ascii="Calibri" w:hAnsi="Calibri" w:cs="Arial"/>
          <w:color w:val="000000" w:themeColor="text1"/>
          <w:lang w:val="nl-BE"/>
        </w:rPr>
      </w:pPr>
    </w:p>
    <w:p w14:paraId="4A30A5AD" w14:textId="3882A583" w:rsidR="00AC1229" w:rsidRDefault="003D4C52" w:rsidP="00944514">
      <w:pPr>
        <w:spacing w:line="276" w:lineRule="auto"/>
        <w:jc w:val="both"/>
        <w:rPr>
          <w:rFonts w:ascii="Calibri" w:hAnsi="Calibri" w:cs="Arial"/>
          <w:color w:val="000000" w:themeColor="text1"/>
          <w:lang w:val="nl-BE"/>
        </w:rPr>
      </w:pPr>
      <w:r>
        <w:rPr>
          <w:rFonts w:ascii="Calibri" w:hAnsi="Calibri" w:cs="Arial"/>
          <w:color w:val="000000" w:themeColor="text1"/>
          <w:lang w:val="nl-BE"/>
        </w:rPr>
        <w:t>Het werd mij al</w:t>
      </w:r>
      <w:r w:rsidR="00B118D2">
        <w:rPr>
          <w:rFonts w:ascii="Calibri" w:hAnsi="Calibri" w:cs="Arial"/>
          <w:color w:val="000000" w:themeColor="text1"/>
          <w:lang w:val="nl-BE"/>
        </w:rPr>
        <w:t xml:space="preserve"> </w:t>
      </w:r>
      <w:r w:rsidR="00367639">
        <w:rPr>
          <w:rFonts w:ascii="Calibri" w:hAnsi="Calibri" w:cs="Arial"/>
          <w:color w:val="000000" w:themeColor="text1"/>
          <w:lang w:val="nl-BE"/>
        </w:rPr>
        <w:t>snel duidelijk dat</w:t>
      </w:r>
      <w:r w:rsidR="0050442A">
        <w:rPr>
          <w:rFonts w:ascii="Calibri" w:hAnsi="Calibri" w:cs="Arial"/>
          <w:color w:val="000000" w:themeColor="text1"/>
          <w:lang w:val="nl-BE"/>
        </w:rPr>
        <w:t xml:space="preserve"> de rechtsleer enkel de loutere wetswijziging</w:t>
      </w:r>
      <w:r w:rsidR="00367639">
        <w:rPr>
          <w:rFonts w:ascii="Calibri" w:hAnsi="Calibri" w:cs="Arial"/>
          <w:color w:val="000000" w:themeColor="text1"/>
          <w:lang w:val="nl-BE"/>
        </w:rPr>
        <w:t xml:space="preserve"> bespreekt en dat</w:t>
      </w:r>
      <w:r w:rsidR="0050442A">
        <w:rPr>
          <w:rFonts w:ascii="Calibri" w:hAnsi="Calibri" w:cs="Arial"/>
          <w:color w:val="000000" w:themeColor="text1"/>
          <w:lang w:val="nl-BE"/>
        </w:rPr>
        <w:t xml:space="preserve"> er weinig of geen aandacht</w:t>
      </w:r>
      <w:r w:rsidR="00367639">
        <w:rPr>
          <w:rFonts w:ascii="Calibri" w:hAnsi="Calibri" w:cs="Arial"/>
          <w:color w:val="000000" w:themeColor="text1"/>
          <w:lang w:val="nl-BE"/>
        </w:rPr>
        <w:t xml:space="preserve"> wordt</w:t>
      </w:r>
      <w:r w:rsidR="0050442A">
        <w:rPr>
          <w:rFonts w:ascii="Calibri" w:hAnsi="Calibri" w:cs="Arial"/>
          <w:color w:val="000000" w:themeColor="text1"/>
          <w:lang w:val="nl-BE"/>
        </w:rPr>
        <w:t xml:space="preserve"> besteed aan de vraag of de hervorming al dan niet geslaagd is. </w:t>
      </w:r>
      <w:r w:rsidR="006D358F">
        <w:rPr>
          <w:rFonts w:ascii="Calibri" w:hAnsi="Calibri" w:cs="Arial"/>
          <w:color w:val="000000" w:themeColor="text1"/>
          <w:lang w:val="nl-BE"/>
        </w:rPr>
        <w:t>Derhalve</w:t>
      </w:r>
      <w:r w:rsidR="00367639">
        <w:rPr>
          <w:rFonts w:ascii="Calibri" w:hAnsi="Calibri" w:cs="Arial"/>
          <w:color w:val="000000" w:themeColor="text1"/>
          <w:lang w:val="nl-BE"/>
        </w:rPr>
        <w:t xml:space="preserve"> </w:t>
      </w:r>
      <w:r w:rsidR="0050442A">
        <w:rPr>
          <w:rFonts w:ascii="Calibri" w:hAnsi="Calibri" w:cs="Arial"/>
          <w:color w:val="000000" w:themeColor="text1"/>
          <w:lang w:val="nl-BE"/>
        </w:rPr>
        <w:t xml:space="preserve">krijgt de lezer </w:t>
      </w:r>
      <w:r w:rsidR="00B118D2">
        <w:rPr>
          <w:rFonts w:ascii="Calibri" w:hAnsi="Calibri" w:cs="Arial"/>
          <w:color w:val="000000" w:themeColor="text1"/>
          <w:lang w:val="nl-BE"/>
        </w:rPr>
        <w:t>een</w:t>
      </w:r>
      <w:r w:rsidR="0050442A">
        <w:rPr>
          <w:rFonts w:ascii="Calibri" w:hAnsi="Calibri" w:cs="Arial"/>
          <w:color w:val="000000" w:themeColor="text1"/>
          <w:lang w:val="nl-BE"/>
        </w:rPr>
        <w:t xml:space="preserve"> beoordeling</w:t>
      </w:r>
      <w:r w:rsidR="00851327">
        <w:rPr>
          <w:rFonts w:ascii="Calibri" w:hAnsi="Calibri" w:cs="Arial"/>
          <w:color w:val="000000" w:themeColor="text1"/>
          <w:lang w:val="nl-BE"/>
        </w:rPr>
        <w:t xml:space="preserve"> </w:t>
      </w:r>
      <w:r w:rsidR="0050442A">
        <w:rPr>
          <w:rFonts w:ascii="Calibri" w:hAnsi="Calibri" w:cs="Arial"/>
          <w:color w:val="000000" w:themeColor="text1"/>
          <w:lang w:val="nl-BE"/>
        </w:rPr>
        <w:t xml:space="preserve">van de hervorming </w:t>
      </w:r>
      <w:r>
        <w:rPr>
          <w:rFonts w:ascii="Calibri" w:hAnsi="Calibri" w:cs="Arial"/>
          <w:color w:val="000000" w:themeColor="text1"/>
          <w:lang w:val="nl-BE"/>
        </w:rPr>
        <w:t xml:space="preserve">vanuit het beroepsveld </w:t>
      </w:r>
      <w:r w:rsidR="0050442A">
        <w:rPr>
          <w:rFonts w:ascii="Calibri" w:hAnsi="Calibri" w:cs="Arial"/>
          <w:color w:val="000000" w:themeColor="text1"/>
          <w:lang w:val="nl-BE"/>
        </w:rPr>
        <w:t>voorgeschoteld</w:t>
      </w:r>
      <w:r w:rsidR="00851327">
        <w:rPr>
          <w:rFonts w:ascii="Calibri" w:hAnsi="Calibri" w:cs="Arial"/>
          <w:color w:val="000000" w:themeColor="text1"/>
          <w:lang w:val="nl-BE"/>
        </w:rPr>
        <w:t xml:space="preserve">. </w:t>
      </w:r>
      <w:r w:rsidR="00367639">
        <w:rPr>
          <w:rFonts w:ascii="Calibri" w:hAnsi="Calibri" w:cs="Arial"/>
          <w:color w:val="000000" w:themeColor="text1"/>
          <w:lang w:val="nl-BE"/>
        </w:rPr>
        <w:t xml:space="preserve">Naar mijn mening de beste – en wegens de </w:t>
      </w:r>
      <w:r w:rsidR="00E1269F">
        <w:rPr>
          <w:rFonts w:ascii="Calibri" w:hAnsi="Calibri" w:cs="Arial"/>
          <w:color w:val="000000" w:themeColor="text1"/>
          <w:lang w:val="nl-BE"/>
        </w:rPr>
        <w:t xml:space="preserve">buitengewone </w:t>
      </w:r>
      <w:r w:rsidR="00367639">
        <w:rPr>
          <w:rFonts w:ascii="Calibri" w:hAnsi="Calibri" w:cs="Arial"/>
          <w:color w:val="000000" w:themeColor="text1"/>
          <w:lang w:val="nl-BE"/>
        </w:rPr>
        <w:t>omstandigheden ook</w:t>
      </w:r>
      <w:r w:rsidR="00E8076F">
        <w:rPr>
          <w:rFonts w:ascii="Calibri" w:hAnsi="Calibri" w:cs="Arial"/>
          <w:color w:val="000000" w:themeColor="text1"/>
          <w:lang w:val="nl-BE"/>
        </w:rPr>
        <w:t xml:space="preserve"> de</w:t>
      </w:r>
      <w:r w:rsidR="00B118D2">
        <w:rPr>
          <w:rFonts w:ascii="Calibri" w:hAnsi="Calibri" w:cs="Arial"/>
          <w:color w:val="000000" w:themeColor="text1"/>
          <w:lang w:val="nl-BE"/>
        </w:rPr>
        <w:t xml:space="preserve"> veiligste – aanpak om hierover een</w:t>
      </w:r>
      <w:r w:rsidR="00367639">
        <w:rPr>
          <w:rFonts w:ascii="Calibri" w:hAnsi="Calibri" w:cs="Arial"/>
          <w:color w:val="000000" w:themeColor="text1"/>
          <w:lang w:val="nl-BE"/>
        </w:rPr>
        <w:t xml:space="preserve"> beeld te krijgen</w:t>
      </w:r>
      <w:r w:rsidR="00B118D2">
        <w:rPr>
          <w:rFonts w:ascii="Calibri" w:hAnsi="Calibri" w:cs="Arial"/>
          <w:color w:val="000000" w:themeColor="text1"/>
          <w:lang w:val="nl-BE"/>
        </w:rPr>
        <w:t xml:space="preserve">, is een </w:t>
      </w:r>
      <w:r w:rsidR="00A859CA">
        <w:rPr>
          <w:rFonts w:ascii="Calibri" w:hAnsi="Calibri" w:cs="Arial"/>
          <w:color w:val="000000" w:themeColor="text1"/>
          <w:lang w:val="nl-BE"/>
        </w:rPr>
        <w:t xml:space="preserve">online </w:t>
      </w:r>
      <w:r w:rsidR="00B118D2">
        <w:rPr>
          <w:rFonts w:ascii="Calibri" w:hAnsi="Calibri" w:cs="Arial"/>
          <w:color w:val="000000" w:themeColor="text1"/>
          <w:lang w:val="nl-BE"/>
        </w:rPr>
        <w:t>opiniepeiling</w:t>
      </w:r>
      <w:r w:rsidR="00D508C6">
        <w:rPr>
          <w:rFonts w:ascii="Calibri" w:hAnsi="Calibri" w:cs="Arial"/>
          <w:color w:val="000000" w:themeColor="text1"/>
          <w:lang w:val="nl-BE"/>
        </w:rPr>
        <w:t>, die ik aan alle</w:t>
      </w:r>
      <w:r w:rsidR="00B118D2">
        <w:rPr>
          <w:rFonts w:ascii="Calibri" w:hAnsi="Calibri" w:cs="Arial"/>
          <w:color w:val="000000" w:themeColor="text1"/>
          <w:lang w:val="nl-BE"/>
        </w:rPr>
        <w:t xml:space="preserve"> Vlaamse </w:t>
      </w:r>
      <w:r w:rsidR="00741A44">
        <w:rPr>
          <w:rFonts w:ascii="Calibri" w:hAnsi="Calibri" w:cs="Arial"/>
          <w:color w:val="000000" w:themeColor="text1"/>
          <w:lang w:val="nl-BE"/>
        </w:rPr>
        <w:t>gerechtsdeurwaarders</w:t>
      </w:r>
      <w:r w:rsidR="00B118D2">
        <w:rPr>
          <w:rFonts w:ascii="Calibri" w:hAnsi="Calibri" w:cs="Arial"/>
          <w:color w:val="000000" w:themeColor="text1"/>
          <w:lang w:val="nl-BE"/>
        </w:rPr>
        <w:t xml:space="preserve">kantoren </w:t>
      </w:r>
      <w:r w:rsidR="00D508C6">
        <w:rPr>
          <w:rFonts w:ascii="Calibri" w:hAnsi="Calibri" w:cs="Arial"/>
          <w:color w:val="000000" w:themeColor="text1"/>
          <w:lang w:val="nl-BE"/>
        </w:rPr>
        <w:t>heb bezorgd</w:t>
      </w:r>
      <w:r w:rsidR="00B118D2">
        <w:rPr>
          <w:rFonts w:ascii="Calibri" w:hAnsi="Calibri" w:cs="Arial"/>
          <w:color w:val="000000" w:themeColor="text1"/>
          <w:lang w:val="nl-BE"/>
        </w:rPr>
        <w:t>.</w:t>
      </w:r>
      <w:r w:rsidR="00AC1229">
        <w:rPr>
          <w:rFonts w:ascii="Calibri" w:hAnsi="Calibri" w:cs="Arial"/>
          <w:color w:val="000000" w:themeColor="text1"/>
          <w:lang w:val="nl-BE"/>
        </w:rPr>
        <w:t xml:space="preserve"> Daarin werden hen een </w:t>
      </w:r>
      <w:r w:rsidR="00492614">
        <w:rPr>
          <w:rFonts w:ascii="Calibri" w:hAnsi="Calibri" w:cs="Arial"/>
          <w:color w:val="000000" w:themeColor="text1"/>
          <w:lang w:val="nl-BE"/>
        </w:rPr>
        <w:t>veertigta</w:t>
      </w:r>
      <w:r w:rsidR="00AC1229">
        <w:rPr>
          <w:rFonts w:ascii="Calibri" w:hAnsi="Calibri" w:cs="Arial"/>
          <w:color w:val="000000" w:themeColor="text1"/>
          <w:lang w:val="nl-BE"/>
        </w:rPr>
        <w:t>l stellingen voorgelegd omtrent hun vernieuwde statuut, waar zij dienden aan te duiden in welke mate zij akkoord gaan met de bewering</w:t>
      </w:r>
      <w:r w:rsidR="0010459E">
        <w:rPr>
          <w:rFonts w:ascii="Calibri" w:hAnsi="Calibri" w:cs="Arial"/>
          <w:color w:val="000000" w:themeColor="text1"/>
          <w:lang w:val="nl-BE"/>
        </w:rPr>
        <w:t xml:space="preserve"> op een schaal van 1 tot 5</w:t>
      </w:r>
      <w:r w:rsidR="00AC1229">
        <w:rPr>
          <w:rFonts w:ascii="Calibri" w:hAnsi="Calibri" w:cs="Arial"/>
          <w:color w:val="000000" w:themeColor="text1"/>
          <w:lang w:val="nl-BE"/>
        </w:rPr>
        <w:t xml:space="preserve">. Verder konden zij per onderdeel </w:t>
      </w:r>
      <w:r w:rsidR="00555C61">
        <w:rPr>
          <w:rFonts w:ascii="Calibri" w:hAnsi="Calibri" w:cs="Arial"/>
          <w:color w:val="000000" w:themeColor="text1"/>
          <w:lang w:val="nl-BE"/>
        </w:rPr>
        <w:t xml:space="preserve">hun antwoorden duiden of </w:t>
      </w:r>
      <w:r w:rsidR="006A0DD8">
        <w:rPr>
          <w:rFonts w:ascii="Calibri" w:hAnsi="Calibri" w:cs="Arial"/>
          <w:color w:val="000000" w:themeColor="text1"/>
          <w:lang w:val="nl-BE"/>
        </w:rPr>
        <w:t>motiveren</w:t>
      </w:r>
      <w:r w:rsidR="00AC1229">
        <w:rPr>
          <w:rFonts w:ascii="Calibri" w:hAnsi="Calibri" w:cs="Arial"/>
          <w:color w:val="000000" w:themeColor="text1"/>
          <w:lang w:val="nl-BE"/>
        </w:rPr>
        <w:t>.</w:t>
      </w:r>
      <w:r w:rsidR="00AC1229">
        <w:rPr>
          <w:rFonts w:ascii="Calibri" w:hAnsi="Calibri" w:cs="Arial"/>
          <w:color w:val="000000" w:themeColor="text1"/>
          <w:lang w:val="nl-BE"/>
        </w:rPr>
        <w:br/>
      </w:r>
    </w:p>
    <w:p w14:paraId="56F7D293" w14:textId="1F042297" w:rsidR="00C37417" w:rsidRDefault="00492614" w:rsidP="009A67FD">
      <w:pPr>
        <w:spacing w:line="276" w:lineRule="auto"/>
        <w:jc w:val="both"/>
        <w:rPr>
          <w:rFonts w:ascii="Calibri" w:hAnsi="Calibri" w:cs="Arial"/>
          <w:color w:val="000000" w:themeColor="text1"/>
          <w:lang w:val="nl-BE"/>
        </w:rPr>
      </w:pPr>
      <w:r>
        <w:rPr>
          <w:rFonts w:ascii="Calibri" w:hAnsi="Calibri" w:cs="Arial"/>
          <w:color w:val="000000" w:themeColor="text1"/>
          <w:lang w:val="nl-BE"/>
        </w:rPr>
        <w:t xml:space="preserve">Aldus zal het tweede luik van dit werk </w:t>
      </w:r>
      <w:r w:rsidR="00916CF4">
        <w:rPr>
          <w:rFonts w:ascii="Calibri" w:hAnsi="Calibri" w:cs="Arial"/>
          <w:color w:val="000000" w:themeColor="text1"/>
          <w:lang w:val="nl-BE"/>
        </w:rPr>
        <w:t>bestaan uit een</w:t>
      </w:r>
      <w:r w:rsidR="00E1269F">
        <w:rPr>
          <w:rFonts w:ascii="Calibri" w:hAnsi="Calibri" w:cs="Arial"/>
          <w:color w:val="000000" w:themeColor="text1"/>
          <w:lang w:val="nl-BE"/>
        </w:rPr>
        <w:t xml:space="preserve"> </w:t>
      </w:r>
      <w:r w:rsidR="0002454E">
        <w:rPr>
          <w:rFonts w:ascii="Calibri" w:hAnsi="Calibri" w:cs="Arial"/>
          <w:color w:val="000000" w:themeColor="text1"/>
          <w:lang w:val="nl-BE"/>
        </w:rPr>
        <w:t xml:space="preserve">statistische </w:t>
      </w:r>
      <w:r w:rsidR="00E1269F">
        <w:rPr>
          <w:rFonts w:ascii="Calibri" w:hAnsi="Calibri" w:cs="Arial"/>
          <w:color w:val="000000" w:themeColor="text1"/>
          <w:lang w:val="nl-BE"/>
        </w:rPr>
        <w:t xml:space="preserve">analyse </w:t>
      </w:r>
      <w:r w:rsidR="00916CF4">
        <w:rPr>
          <w:rFonts w:ascii="Calibri" w:hAnsi="Calibri" w:cs="Arial"/>
          <w:color w:val="000000" w:themeColor="text1"/>
          <w:lang w:val="nl-BE"/>
        </w:rPr>
        <w:t>van de opiniepeiling</w:t>
      </w:r>
      <w:r w:rsidR="00B4532B">
        <w:rPr>
          <w:rFonts w:ascii="Calibri" w:hAnsi="Calibri" w:cs="Arial"/>
          <w:color w:val="000000" w:themeColor="text1"/>
          <w:lang w:val="nl-BE"/>
        </w:rPr>
        <w:t xml:space="preserve">. In die analyse zit eveneens </w:t>
      </w:r>
      <w:r w:rsidR="008E680E">
        <w:rPr>
          <w:rFonts w:ascii="Calibri" w:hAnsi="Calibri" w:cs="Arial"/>
          <w:color w:val="000000" w:themeColor="text1"/>
          <w:lang w:val="nl-BE"/>
        </w:rPr>
        <w:t xml:space="preserve">een </w:t>
      </w:r>
      <w:r w:rsidR="00F004C6">
        <w:rPr>
          <w:rFonts w:ascii="Calibri" w:hAnsi="Calibri" w:cs="Arial"/>
          <w:color w:val="000000" w:themeColor="text1"/>
          <w:lang w:val="nl-BE"/>
        </w:rPr>
        <w:t xml:space="preserve">telefonisch </w:t>
      </w:r>
      <w:r w:rsidR="008E680E">
        <w:rPr>
          <w:rFonts w:ascii="Calibri" w:hAnsi="Calibri" w:cs="Arial"/>
          <w:color w:val="000000" w:themeColor="text1"/>
          <w:lang w:val="nl-BE"/>
        </w:rPr>
        <w:t>gesprek</w:t>
      </w:r>
      <w:r w:rsidR="00B4532B">
        <w:rPr>
          <w:rFonts w:ascii="Calibri" w:hAnsi="Calibri" w:cs="Arial"/>
          <w:color w:val="000000" w:themeColor="text1"/>
          <w:lang w:val="nl-BE"/>
        </w:rPr>
        <w:t xml:space="preserve"> verwerkt</w:t>
      </w:r>
      <w:r w:rsidR="008E680E">
        <w:rPr>
          <w:rFonts w:ascii="Calibri" w:hAnsi="Calibri" w:cs="Arial"/>
          <w:color w:val="000000" w:themeColor="text1"/>
          <w:lang w:val="nl-BE"/>
        </w:rPr>
        <w:t xml:space="preserve"> met mijn stagementor, kandidaat-gerechtsdeurwaarder en tevens </w:t>
      </w:r>
      <w:r w:rsidR="006A1DE9">
        <w:rPr>
          <w:rFonts w:ascii="Calibri" w:hAnsi="Calibri" w:cs="Arial"/>
          <w:color w:val="000000" w:themeColor="text1"/>
          <w:lang w:val="nl-BE"/>
        </w:rPr>
        <w:t>lid van de algemene vergadering van de Nationale Kamer</w:t>
      </w:r>
      <w:r w:rsidR="00EC3C4E">
        <w:rPr>
          <w:rFonts w:ascii="Calibri" w:hAnsi="Calibri" w:cs="Arial"/>
          <w:color w:val="000000" w:themeColor="text1"/>
          <w:lang w:val="nl-BE"/>
        </w:rPr>
        <w:t xml:space="preserve">, waarin ik </w:t>
      </w:r>
      <w:r w:rsidR="00555C61">
        <w:rPr>
          <w:rFonts w:ascii="Calibri" w:hAnsi="Calibri" w:cs="Arial"/>
          <w:color w:val="000000" w:themeColor="text1"/>
          <w:lang w:val="nl-BE"/>
        </w:rPr>
        <w:t xml:space="preserve">met </w:t>
      </w:r>
      <w:r w:rsidR="00EC3C4E">
        <w:rPr>
          <w:rFonts w:ascii="Calibri" w:hAnsi="Calibri" w:cs="Arial"/>
          <w:color w:val="000000" w:themeColor="text1"/>
          <w:lang w:val="nl-BE"/>
        </w:rPr>
        <w:t xml:space="preserve">hem een aantal opmerkelijke </w:t>
      </w:r>
      <w:r w:rsidR="00555C61">
        <w:rPr>
          <w:rFonts w:ascii="Calibri" w:hAnsi="Calibri" w:cs="Arial"/>
          <w:color w:val="000000" w:themeColor="text1"/>
          <w:lang w:val="nl-BE"/>
        </w:rPr>
        <w:t xml:space="preserve">standpunten van zijn confraters heb </w:t>
      </w:r>
      <w:r w:rsidR="00555C61">
        <w:rPr>
          <w:rFonts w:ascii="Calibri" w:hAnsi="Calibri" w:cs="Arial"/>
          <w:color w:val="000000" w:themeColor="text1"/>
          <w:lang w:val="nl-BE"/>
        </w:rPr>
        <w:lastRenderedPageBreak/>
        <w:t xml:space="preserve">besproken. </w:t>
      </w:r>
      <w:r w:rsidR="00B37088">
        <w:rPr>
          <w:rFonts w:ascii="Calibri" w:hAnsi="Calibri" w:cs="Arial"/>
          <w:color w:val="000000" w:themeColor="text1"/>
          <w:lang w:val="nl-BE"/>
        </w:rPr>
        <w:t xml:space="preserve">Sommige </w:t>
      </w:r>
      <w:r w:rsidR="00AE0C8B">
        <w:rPr>
          <w:rFonts w:ascii="Calibri" w:hAnsi="Calibri" w:cs="Arial"/>
          <w:color w:val="000000" w:themeColor="text1"/>
          <w:lang w:val="nl-BE"/>
        </w:rPr>
        <w:t>van die standpunten</w:t>
      </w:r>
      <w:r w:rsidR="00B37088">
        <w:rPr>
          <w:rFonts w:ascii="Calibri" w:hAnsi="Calibri" w:cs="Arial"/>
          <w:color w:val="000000" w:themeColor="text1"/>
          <w:lang w:val="nl-BE"/>
        </w:rPr>
        <w:t xml:space="preserve"> waren </w:t>
      </w:r>
      <w:r w:rsidR="00AE0C8B">
        <w:rPr>
          <w:rFonts w:ascii="Calibri" w:hAnsi="Calibri" w:cs="Arial"/>
          <w:color w:val="000000" w:themeColor="text1"/>
          <w:lang w:val="nl-BE"/>
        </w:rPr>
        <w:t xml:space="preserve">vrij </w:t>
      </w:r>
      <w:r w:rsidR="00B37088">
        <w:rPr>
          <w:rFonts w:ascii="Calibri" w:hAnsi="Calibri" w:cs="Arial"/>
          <w:color w:val="000000" w:themeColor="text1"/>
          <w:lang w:val="nl-BE"/>
        </w:rPr>
        <w:t>fors en dienden dan ook door iemand met kennis van zaken gerelativeerd, dan wel bevestigd te worden.</w:t>
      </w:r>
    </w:p>
    <w:p w14:paraId="322DC9FA" w14:textId="77777777" w:rsidR="00B37088" w:rsidRDefault="00B37088" w:rsidP="002532B7">
      <w:pPr>
        <w:spacing w:line="276" w:lineRule="auto"/>
        <w:rPr>
          <w:rFonts w:ascii="Calibri" w:hAnsi="Calibri" w:cs="Arial"/>
          <w:color w:val="000000" w:themeColor="text1"/>
          <w:lang w:val="nl-BE"/>
        </w:rPr>
      </w:pPr>
    </w:p>
    <w:p w14:paraId="5F94EEE5" w14:textId="4BB0AD2D" w:rsidR="002532B7" w:rsidRDefault="00A2586E" w:rsidP="002532B7">
      <w:pPr>
        <w:spacing w:line="276" w:lineRule="auto"/>
        <w:rPr>
          <w:rFonts w:ascii="Calibri" w:hAnsi="Calibri" w:cs="Arial"/>
          <w:color w:val="000000" w:themeColor="text1"/>
          <w:lang w:val="nl-BE"/>
        </w:rPr>
      </w:pPr>
      <w:r>
        <w:rPr>
          <w:rFonts w:ascii="Calibri" w:hAnsi="Calibri" w:cs="Arial"/>
          <w:color w:val="000000" w:themeColor="text1"/>
          <w:lang w:val="nl-BE"/>
        </w:rPr>
        <w:t>Beide onderzoeksvelden zullen</w:t>
      </w:r>
      <w:r w:rsidR="00D508C6">
        <w:rPr>
          <w:rFonts w:ascii="Calibri" w:hAnsi="Calibri" w:cs="Arial"/>
          <w:color w:val="000000" w:themeColor="text1"/>
          <w:lang w:val="nl-BE"/>
        </w:rPr>
        <w:t xml:space="preserve"> – net zoals de hervorming zelf – </w:t>
      </w:r>
      <w:r>
        <w:rPr>
          <w:rFonts w:ascii="Calibri" w:hAnsi="Calibri" w:cs="Arial"/>
          <w:color w:val="000000" w:themeColor="text1"/>
          <w:lang w:val="nl-BE"/>
        </w:rPr>
        <w:t xml:space="preserve">vertrekken vanuit vier </w:t>
      </w:r>
      <w:r w:rsidR="00F004C6">
        <w:rPr>
          <w:rFonts w:ascii="Calibri" w:hAnsi="Calibri" w:cs="Arial"/>
          <w:color w:val="000000" w:themeColor="text1"/>
          <w:lang w:val="nl-BE"/>
        </w:rPr>
        <w:t xml:space="preserve">fundamentele </w:t>
      </w:r>
      <w:r>
        <w:rPr>
          <w:rFonts w:ascii="Calibri" w:hAnsi="Calibri" w:cs="Arial"/>
          <w:color w:val="000000" w:themeColor="text1"/>
          <w:lang w:val="nl-BE"/>
        </w:rPr>
        <w:t>pi</w:t>
      </w:r>
      <w:r w:rsidR="0050442A">
        <w:rPr>
          <w:rFonts w:ascii="Calibri" w:hAnsi="Calibri" w:cs="Arial"/>
          <w:color w:val="000000" w:themeColor="text1"/>
          <w:lang w:val="nl-BE"/>
        </w:rPr>
        <w:t>jlers, vermits deze</w:t>
      </w:r>
      <w:r>
        <w:rPr>
          <w:rFonts w:ascii="Calibri" w:hAnsi="Calibri" w:cs="Arial"/>
          <w:color w:val="000000" w:themeColor="text1"/>
          <w:lang w:val="nl-BE"/>
        </w:rPr>
        <w:t xml:space="preserve"> telkens opnieuw opduiken in de rechtsleer en de parlementaire historiek</w:t>
      </w:r>
      <w:r w:rsidR="004B5713">
        <w:rPr>
          <w:rFonts w:ascii="Calibri" w:hAnsi="Calibri" w:cs="Arial"/>
          <w:color w:val="000000" w:themeColor="text1"/>
          <w:lang w:val="nl-BE"/>
        </w:rPr>
        <w:t xml:space="preserve"> van de wetswijziging</w:t>
      </w:r>
      <w:r w:rsidR="007374D4">
        <w:rPr>
          <w:rStyle w:val="Voetnootmarkering"/>
          <w:rFonts w:ascii="Calibri" w:hAnsi="Calibri" w:cs="Arial"/>
          <w:color w:val="000000" w:themeColor="text1"/>
          <w:lang w:val="nl-BE"/>
        </w:rPr>
        <w:footnoteReference w:id="2"/>
      </w:r>
      <w:r w:rsidR="007374D4">
        <w:rPr>
          <w:rFonts w:ascii="Calibri" w:hAnsi="Calibri" w:cs="Arial"/>
          <w:color w:val="000000" w:themeColor="text1"/>
          <w:lang w:val="nl-BE"/>
        </w:rPr>
        <w:t>.</w:t>
      </w:r>
      <w:r w:rsidR="002532B7">
        <w:rPr>
          <w:rFonts w:ascii="Calibri" w:hAnsi="Calibri" w:cs="Arial"/>
          <w:color w:val="000000" w:themeColor="text1"/>
          <w:lang w:val="nl-BE"/>
        </w:rPr>
        <w:t xml:space="preserve"> </w:t>
      </w:r>
    </w:p>
    <w:p w14:paraId="53F07143" w14:textId="77777777" w:rsidR="002532B7" w:rsidRDefault="002532B7">
      <w:pPr>
        <w:rPr>
          <w:rFonts w:ascii="Calibri" w:hAnsi="Calibri" w:cs="Arial"/>
          <w:color w:val="000000" w:themeColor="text1"/>
          <w:lang w:val="nl-BE"/>
        </w:rPr>
      </w:pPr>
      <w:r>
        <w:rPr>
          <w:rFonts w:ascii="Calibri" w:hAnsi="Calibri" w:cs="Arial"/>
          <w:color w:val="000000" w:themeColor="text1"/>
          <w:lang w:val="nl-BE"/>
        </w:rPr>
        <w:br w:type="page"/>
      </w:r>
    </w:p>
    <w:p w14:paraId="58C0B611" w14:textId="3C3D0546" w:rsidR="00A6153C" w:rsidRPr="0024253B" w:rsidRDefault="007E5558" w:rsidP="002532B7">
      <w:pPr>
        <w:pStyle w:val="Kop1"/>
        <w:spacing w:line="276" w:lineRule="auto"/>
        <w:rPr>
          <w:lang w:val="nl-BE"/>
        </w:rPr>
      </w:pPr>
      <w:bookmarkStart w:id="3" w:name="_Toc40689942"/>
      <w:r w:rsidRPr="0024253B">
        <w:rPr>
          <w:lang w:val="nl-BE"/>
        </w:rPr>
        <w:lastRenderedPageBreak/>
        <w:t xml:space="preserve">DEEL 1: </w:t>
      </w:r>
      <w:r w:rsidR="002C7661">
        <w:rPr>
          <w:lang w:val="nl-BE"/>
        </w:rPr>
        <w:t>HET GERECHTSDEURWAARDERSSTATUUT</w:t>
      </w:r>
      <w:bookmarkEnd w:id="3"/>
    </w:p>
    <w:p w14:paraId="7415800A" w14:textId="77777777" w:rsidR="00A6153C" w:rsidRPr="00D9172E" w:rsidRDefault="00A6153C" w:rsidP="002532B7">
      <w:pPr>
        <w:spacing w:line="276" w:lineRule="auto"/>
        <w:rPr>
          <w:rFonts w:ascii="Calibri" w:hAnsi="Calibri" w:cs="Arial"/>
          <w:b/>
          <w:lang w:val="nl-BE"/>
        </w:rPr>
      </w:pPr>
    </w:p>
    <w:p w14:paraId="67CFEC26" w14:textId="4B524DDE" w:rsidR="004C03B9" w:rsidRPr="00D9172E" w:rsidRDefault="002E5943" w:rsidP="002532B7">
      <w:pPr>
        <w:pStyle w:val="Kop2"/>
        <w:spacing w:line="276" w:lineRule="auto"/>
        <w:rPr>
          <w:lang w:val="nl-BE"/>
        </w:rPr>
      </w:pPr>
      <w:bookmarkStart w:id="4" w:name="_Toc40689943"/>
      <w:r>
        <w:rPr>
          <w:lang w:val="nl-BE"/>
        </w:rPr>
        <w:t>Hoofdstuk 1:</w:t>
      </w:r>
      <w:r w:rsidR="00657AA8" w:rsidRPr="00D9172E">
        <w:rPr>
          <w:lang w:val="nl-BE"/>
        </w:rPr>
        <w:t xml:space="preserve"> </w:t>
      </w:r>
      <w:r w:rsidR="002C37B4">
        <w:rPr>
          <w:lang w:val="nl-BE"/>
        </w:rPr>
        <w:t>A</w:t>
      </w:r>
      <w:r w:rsidR="002532B7">
        <w:rPr>
          <w:lang w:val="nl-BE"/>
        </w:rPr>
        <w:t>lgemene beginselen</w:t>
      </w:r>
      <w:bookmarkEnd w:id="4"/>
      <w:r w:rsidR="002532B7">
        <w:rPr>
          <w:lang w:val="nl-BE"/>
        </w:rPr>
        <w:t xml:space="preserve"> </w:t>
      </w:r>
    </w:p>
    <w:p w14:paraId="146A3BDC" w14:textId="77777777" w:rsidR="006E452B" w:rsidRPr="00D9172E" w:rsidRDefault="006E452B" w:rsidP="002532B7">
      <w:pPr>
        <w:spacing w:line="276" w:lineRule="auto"/>
        <w:rPr>
          <w:rFonts w:ascii="Calibri" w:hAnsi="Calibri" w:cs="Arial"/>
          <w:lang w:val="nl-BE"/>
        </w:rPr>
      </w:pPr>
    </w:p>
    <w:p w14:paraId="15A3E80E" w14:textId="20CF0492" w:rsidR="004948A2" w:rsidRPr="00D9172E" w:rsidRDefault="005D3C3E" w:rsidP="009A67FD">
      <w:pPr>
        <w:spacing w:line="276" w:lineRule="auto"/>
        <w:rPr>
          <w:rFonts w:ascii="Calibri" w:hAnsi="Calibri" w:cs="Arial"/>
          <w:lang w:val="nl-BE"/>
        </w:rPr>
      </w:pPr>
      <w:r w:rsidRPr="005D3C3E">
        <w:rPr>
          <w:rFonts w:ascii="Calibri" w:hAnsi="Calibri" w:cs="Arial"/>
          <w:b/>
          <w:lang w:val="nl-BE"/>
        </w:rPr>
        <w:t>1</w:t>
      </w:r>
      <w:r>
        <w:rPr>
          <w:rFonts w:ascii="Calibri" w:hAnsi="Calibri" w:cs="Arial"/>
          <w:lang w:val="nl-BE"/>
        </w:rPr>
        <w:t>.</w:t>
      </w:r>
      <w:r w:rsidR="006E452B" w:rsidRPr="00D9172E">
        <w:rPr>
          <w:rFonts w:ascii="Calibri" w:hAnsi="Calibri" w:cs="Arial"/>
          <w:lang w:val="nl-BE"/>
        </w:rPr>
        <w:t>Om de</w:t>
      </w:r>
      <w:r w:rsidR="00CB5A2C" w:rsidRPr="00D9172E">
        <w:rPr>
          <w:rFonts w:ascii="Calibri" w:hAnsi="Calibri" w:cs="Arial"/>
          <w:lang w:val="nl-BE"/>
        </w:rPr>
        <w:t xml:space="preserve"> impact van de hervorming uit 2014 </w:t>
      </w:r>
      <w:r w:rsidR="00DA2F8B" w:rsidRPr="00D9172E">
        <w:rPr>
          <w:rFonts w:ascii="Calibri" w:hAnsi="Calibri" w:cs="Arial"/>
          <w:lang w:val="nl-BE"/>
        </w:rPr>
        <w:t xml:space="preserve">voldoende </w:t>
      </w:r>
      <w:r w:rsidR="00CB5A2C" w:rsidRPr="00D9172E">
        <w:rPr>
          <w:rFonts w:ascii="Calibri" w:hAnsi="Calibri" w:cs="Arial"/>
          <w:lang w:val="nl-BE"/>
        </w:rPr>
        <w:t>te kunnen</w:t>
      </w:r>
      <w:r w:rsidR="00DA2F8B" w:rsidRPr="00D9172E">
        <w:rPr>
          <w:rFonts w:ascii="Calibri" w:hAnsi="Calibri" w:cs="Arial"/>
          <w:lang w:val="nl-BE"/>
        </w:rPr>
        <w:t xml:space="preserve"> inschatten,</w:t>
      </w:r>
      <w:r w:rsidR="00CB5A2C" w:rsidRPr="00D9172E">
        <w:rPr>
          <w:rFonts w:ascii="Calibri" w:hAnsi="Calibri" w:cs="Arial"/>
          <w:lang w:val="nl-BE"/>
        </w:rPr>
        <w:t xml:space="preserve"> is het niet on</w:t>
      </w:r>
      <w:r w:rsidR="00F35D1C" w:rsidRPr="00D9172E">
        <w:rPr>
          <w:rFonts w:ascii="Calibri" w:hAnsi="Calibri" w:cs="Arial"/>
          <w:lang w:val="nl-BE"/>
        </w:rPr>
        <w:t xml:space="preserve">zinnig om </w:t>
      </w:r>
      <w:r w:rsidR="00305C73">
        <w:rPr>
          <w:rFonts w:ascii="Calibri" w:hAnsi="Calibri" w:cs="Arial"/>
          <w:lang w:val="nl-BE"/>
        </w:rPr>
        <w:t>te beginnen met</w:t>
      </w:r>
      <w:r w:rsidR="00C37417">
        <w:rPr>
          <w:rFonts w:ascii="Calibri" w:hAnsi="Calibri" w:cs="Arial"/>
          <w:lang w:val="nl-BE"/>
        </w:rPr>
        <w:t xml:space="preserve"> </w:t>
      </w:r>
      <w:r w:rsidR="00F35D1C" w:rsidRPr="00D9172E">
        <w:rPr>
          <w:rFonts w:ascii="Calibri" w:hAnsi="Calibri" w:cs="Arial"/>
          <w:lang w:val="nl-BE"/>
        </w:rPr>
        <w:t xml:space="preserve">de algemene beginselen van </w:t>
      </w:r>
      <w:r w:rsidR="00A80A62" w:rsidRPr="00D9172E">
        <w:rPr>
          <w:rFonts w:ascii="Calibri" w:hAnsi="Calibri" w:cs="Arial"/>
          <w:lang w:val="nl-BE"/>
        </w:rPr>
        <w:t>het gerechtsdeurwaardersambt</w:t>
      </w:r>
      <w:r w:rsidR="004948A2" w:rsidRPr="00D9172E">
        <w:rPr>
          <w:rFonts w:ascii="Calibri" w:hAnsi="Calibri" w:cs="Arial"/>
          <w:lang w:val="nl-BE"/>
        </w:rPr>
        <w:t xml:space="preserve"> kort te schetsen.</w:t>
      </w:r>
      <w:r w:rsidR="00B62AE8" w:rsidRPr="00D9172E">
        <w:rPr>
          <w:rFonts w:ascii="Calibri" w:hAnsi="Calibri" w:cs="Arial"/>
          <w:lang w:val="nl-BE"/>
        </w:rPr>
        <w:br/>
      </w:r>
    </w:p>
    <w:p w14:paraId="3CCE6988" w14:textId="0ED34610" w:rsidR="00783F65" w:rsidRPr="00D9172E" w:rsidRDefault="001B44A2" w:rsidP="002532B7">
      <w:pPr>
        <w:pStyle w:val="Kop3"/>
        <w:spacing w:line="276" w:lineRule="auto"/>
        <w:rPr>
          <w:lang w:val="nl-BE"/>
        </w:rPr>
      </w:pPr>
      <w:bookmarkStart w:id="5" w:name="_Toc40689944"/>
      <w:r>
        <w:rPr>
          <w:lang w:val="nl-BE"/>
        </w:rPr>
        <w:t>Afdeling I</w:t>
      </w:r>
      <w:r w:rsidR="0010459E">
        <w:rPr>
          <w:lang w:val="nl-BE"/>
        </w:rPr>
        <w:t xml:space="preserve">: </w:t>
      </w:r>
      <w:r w:rsidR="00783F65" w:rsidRPr="00D9172E">
        <w:rPr>
          <w:lang w:val="nl-BE"/>
        </w:rPr>
        <w:t>Ministerieel ambtenaar</w:t>
      </w:r>
      <w:bookmarkEnd w:id="5"/>
      <w:r w:rsidR="00783F65" w:rsidRPr="00D9172E">
        <w:rPr>
          <w:lang w:val="nl-BE"/>
        </w:rPr>
        <w:t xml:space="preserve"> </w:t>
      </w:r>
    </w:p>
    <w:p w14:paraId="5CD9C492" w14:textId="77777777" w:rsidR="00783F65" w:rsidRPr="00D9172E" w:rsidRDefault="00783F65" w:rsidP="002532B7">
      <w:pPr>
        <w:spacing w:line="276" w:lineRule="auto"/>
        <w:rPr>
          <w:rFonts w:ascii="Calibri" w:hAnsi="Calibri" w:cs="Arial"/>
          <w:lang w:val="nl-BE"/>
        </w:rPr>
      </w:pPr>
    </w:p>
    <w:p w14:paraId="7C8A45C7" w14:textId="178F6196" w:rsidR="002943EC" w:rsidRDefault="005D3C3E" w:rsidP="009A67FD">
      <w:pPr>
        <w:spacing w:line="276" w:lineRule="auto"/>
        <w:jc w:val="both"/>
        <w:rPr>
          <w:rFonts w:ascii="Calibri" w:hAnsi="Calibri" w:cs="Arial"/>
          <w:lang w:val="nl-BE"/>
        </w:rPr>
      </w:pPr>
      <w:r w:rsidRPr="005D3C3E">
        <w:rPr>
          <w:rFonts w:ascii="Calibri" w:hAnsi="Calibri" w:cs="Arial"/>
          <w:b/>
          <w:lang w:val="nl-BE"/>
        </w:rPr>
        <w:t>2</w:t>
      </w:r>
      <w:r w:rsidR="00A709A1" w:rsidRPr="00D9172E">
        <w:rPr>
          <w:rFonts w:ascii="Calibri" w:hAnsi="Calibri" w:cs="Arial"/>
          <w:lang w:val="nl-BE"/>
        </w:rPr>
        <w:t>.</w:t>
      </w:r>
      <w:r w:rsidR="00C3326B" w:rsidRPr="00D9172E">
        <w:rPr>
          <w:rFonts w:ascii="Calibri" w:hAnsi="Calibri" w:cs="Arial"/>
          <w:lang w:val="nl-BE"/>
        </w:rPr>
        <w:t>De gerechtsdeurwaarder is een hulporgaan voor zowel de rechterlijke als de uitvoerende macht, respectievelijk voor, bijvoorbeeld, het betekenen van dagvaardingen en het tenuitvoerleggen van rechterlijke beslissingen</w:t>
      </w:r>
      <w:r w:rsidR="00C3326B" w:rsidRPr="00D9172E">
        <w:rPr>
          <w:rStyle w:val="Voetnootmarkering"/>
          <w:rFonts w:ascii="Calibri" w:hAnsi="Calibri" w:cs="Arial"/>
          <w:lang w:val="nl-BE"/>
        </w:rPr>
        <w:footnoteReference w:id="3"/>
      </w:r>
      <w:r w:rsidR="00C3326B" w:rsidRPr="00D9172E">
        <w:rPr>
          <w:rFonts w:ascii="Calibri" w:hAnsi="Calibri" w:cs="Arial"/>
          <w:lang w:val="nl-BE"/>
        </w:rPr>
        <w:t xml:space="preserve">. </w:t>
      </w:r>
      <w:r w:rsidR="004948A2" w:rsidRPr="00D9172E">
        <w:rPr>
          <w:rFonts w:ascii="Calibri" w:hAnsi="Calibri" w:cs="Arial"/>
          <w:lang w:val="nl-BE"/>
        </w:rPr>
        <w:t>Een gerechtsdeurwaarder heeft een dubbelzinnig statuut.</w:t>
      </w:r>
      <w:r w:rsidR="00A80A62" w:rsidRPr="00D9172E">
        <w:rPr>
          <w:rFonts w:ascii="Calibri" w:hAnsi="Calibri" w:cs="Arial"/>
          <w:lang w:val="nl-BE"/>
        </w:rPr>
        <w:t xml:space="preserve"> </w:t>
      </w:r>
      <w:r w:rsidR="0026360D" w:rsidRPr="00D9172E">
        <w:rPr>
          <w:rFonts w:ascii="Calibri" w:hAnsi="Calibri" w:cs="Arial"/>
          <w:lang w:val="nl-BE"/>
        </w:rPr>
        <w:t xml:space="preserve">Zo is hij </w:t>
      </w:r>
      <w:r w:rsidR="004C12BA" w:rsidRPr="00D9172E">
        <w:rPr>
          <w:rFonts w:ascii="Calibri" w:hAnsi="Calibri" w:cs="Arial"/>
          <w:lang w:val="nl-BE"/>
        </w:rPr>
        <w:t xml:space="preserve">ten eerste </w:t>
      </w:r>
      <w:r w:rsidR="00523B92" w:rsidRPr="00D9172E">
        <w:rPr>
          <w:rFonts w:ascii="Calibri" w:hAnsi="Calibri" w:cs="Arial"/>
          <w:lang w:val="nl-BE"/>
        </w:rPr>
        <w:t xml:space="preserve">een </w:t>
      </w:r>
      <w:r w:rsidR="004C12BA" w:rsidRPr="00D9172E">
        <w:rPr>
          <w:rFonts w:ascii="Calibri" w:hAnsi="Calibri" w:cs="Arial"/>
          <w:lang w:val="nl-BE"/>
        </w:rPr>
        <w:t>openbare</w:t>
      </w:r>
      <w:r w:rsidR="0026360D" w:rsidRPr="00D9172E">
        <w:rPr>
          <w:rFonts w:ascii="Calibri" w:hAnsi="Calibri" w:cs="Arial"/>
          <w:lang w:val="nl-BE"/>
        </w:rPr>
        <w:t xml:space="preserve"> ambtenaar</w:t>
      </w:r>
      <w:r w:rsidR="004C12BA" w:rsidRPr="00D9172E">
        <w:rPr>
          <w:rStyle w:val="Voetnootmarkering"/>
          <w:rFonts w:ascii="Calibri" w:hAnsi="Calibri" w:cs="Arial"/>
          <w:lang w:val="nl-BE"/>
        </w:rPr>
        <w:footnoteReference w:id="4"/>
      </w:r>
      <w:r w:rsidR="004F327A" w:rsidRPr="00D9172E">
        <w:rPr>
          <w:rFonts w:ascii="Calibri" w:hAnsi="Calibri" w:cs="Arial"/>
          <w:lang w:val="nl-BE"/>
        </w:rPr>
        <w:t>. I</w:t>
      </w:r>
      <w:r w:rsidR="00414553" w:rsidRPr="00D9172E">
        <w:rPr>
          <w:rFonts w:ascii="Calibri" w:hAnsi="Calibri" w:cs="Arial"/>
          <w:lang w:val="nl-BE"/>
        </w:rPr>
        <w:t>n die hoedanigheid is</w:t>
      </w:r>
      <w:r w:rsidR="00932BB6" w:rsidRPr="00D9172E">
        <w:rPr>
          <w:rFonts w:ascii="Calibri" w:hAnsi="Calibri" w:cs="Arial"/>
          <w:lang w:val="nl-BE"/>
        </w:rPr>
        <w:t xml:space="preserve"> hij </w:t>
      </w:r>
      <w:r w:rsidR="00414553" w:rsidRPr="00D9172E">
        <w:rPr>
          <w:rFonts w:ascii="Calibri" w:hAnsi="Calibri" w:cs="Arial"/>
          <w:lang w:val="nl-BE"/>
        </w:rPr>
        <w:t xml:space="preserve">voor bepaalde taken exclusief </w:t>
      </w:r>
      <w:r w:rsidR="004F327A" w:rsidRPr="00D9172E">
        <w:rPr>
          <w:rFonts w:ascii="Calibri" w:hAnsi="Calibri" w:cs="Arial"/>
          <w:lang w:val="nl-BE"/>
        </w:rPr>
        <w:t>bevoegd</w:t>
      </w:r>
      <w:r w:rsidR="004C12BA" w:rsidRPr="00D9172E">
        <w:rPr>
          <w:rStyle w:val="Voetnootmarkering"/>
          <w:rFonts w:ascii="Calibri" w:hAnsi="Calibri" w:cs="Arial"/>
          <w:lang w:val="nl-BE"/>
        </w:rPr>
        <w:footnoteReference w:id="5"/>
      </w:r>
      <w:r w:rsidR="004F327A" w:rsidRPr="00D9172E">
        <w:rPr>
          <w:rFonts w:ascii="Calibri" w:hAnsi="Calibri" w:cs="Arial"/>
          <w:lang w:val="nl-BE"/>
        </w:rPr>
        <w:t xml:space="preserve">, </w:t>
      </w:r>
      <w:r w:rsidR="00B51C69" w:rsidRPr="00D9172E">
        <w:rPr>
          <w:rFonts w:ascii="Calibri" w:hAnsi="Calibri" w:cs="Arial"/>
          <w:lang w:val="nl-BE"/>
        </w:rPr>
        <w:t>en b</w:t>
      </w:r>
      <w:r w:rsidR="004F327A" w:rsidRPr="00D9172E">
        <w:rPr>
          <w:rFonts w:ascii="Calibri" w:hAnsi="Calibri" w:cs="Arial"/>
          <w:lang w:val="nl-BE"/>
        </w:rPr>
        <w:t>ehoudens</w:t>
      </w:r>
      <w:r w:rsidR="00CB1EE4" w:rsidRPr="00D9172E">
        <w:rPr>
          <w:rFonts w:ascii="Calibri" w:hAnsi="Calibri" w:cs="Arial"/>
          <w:lang w:val="nl-BE"/>
        </w:rPr>
        <w:t xml:space="preserve"> de</w:t>
      </w:r>
      <w:r w:rsidR="00A0226C" w:rsidRPr="00D9172E">
        <w:rPr>
          <w:rFonts w:ascii="Calibri" w:hAnsi="Calibri" w:cs="Arial"/>
          <w:lang w:val="nl-BE"/>
        </w:rPr>
        <w:t xml:space="preserve"> wettelijke</w:t>
      </w:r>
      <w:r w:rsidR="004F327A" w:rsidRPr="00D9172E">
        <w:rPr>
          <w:rFonts w:ascii="Calibri" w:hAnsi="Calibri" w:cs="Arial"/>
          <w:lang w:val="nl-BE"/>
        </w:rPr>
        <w:t xml:space="preserve"> </w:t>
      </w:r>
      <w:r w:rsidR="00CB1EE4" w:rsidRPr="00D9172E">
        <w:rPr>
          <w:rFonts w:ascii="Calibri" w:hAnsi="Calibri" w:cs="Arial"/>
          <w:lang w:val="nl-BE"/>
        </w:rPr>
        <w:t>uitzonderingen</w:t>
      </w:r>
      <w:r w:rsidR="00414553" w:rsidRPr="00D9172E">
        <w:rPr>
          <w:rStyle w:val="Voetnootmarkering"/>
          <w:rFonts w:ascii="Calibri" w:hAnsi="Calibri" w:cs="Arial"/>
          <w:lang w:val="nl-BE"/>
        </w:rPr>
        <w:footnoteReference w:id="6"/>
      </w:r>
      <w:r w:rsidR="001B48EF" w:rsidRPr="00D9172E">
        <w:rPr>
          <w:rFonts w:ascii="Calibri" w:hAnsi="Calibri" w:cs="Arial"/>
          <w:lang w:val="nl-BE"/>
        </w:rPr>
        <w:t xml:space="preserve"> </w:t>
      </w:r>
      <w:r w:rsidR="004F327A" w:rsidRPr="00D9172E">
        <w:rPr>
          <w:rFonts w:ascii="Calibri" w:hAnsi="Calibri" w:cs="Arial"/>
          <w:lang w:val="nl-BE"/>
        </w:rPr>
        <w:t xml:space="preserve">heeft hij hiervoor </w:t>
      </w:r>
      <w:r w:rsidR="00B51C69" w:rsidRPr="00D9172E">
        <w:rPr>
          <w:rFonts w:ascii="Calibri" w:hAnsi="Calibri" w:cs="Arial"/>
          <w:lang w:val="nl-BE"/>
        </w:rPr>
        <w:t xml:space="preserve">ook </w:t>
      </w:r>
      <w:r w:rsidR="004F327A" w:rsidRPr="00D9172E">
        <w:rPr>
          <w:rFonts w:ascii="Calibri" w:hAnsi="Calibri" w:cs="Arial"/>
          <w:lang w:val="nl-BE"/>
        </w:rPr>
        <w:t xml:space="preserve">ministerieplicht. </w:t>
      </w:r>
      <w:r w:rsidR="002943EC">
        <w:rPr>
          <w:rFonts w:ascii="Calibri" w:hAnsi="Calibri" w:cs="Arial"/>
          <w:lang w:val="nl-BE"/>
        </w:rPr>
        <w:t xml:space="preserve">Merk op dat voorgaande definiëring van het statuut  uit artikel 509 </w:t>
      </w:r>
      <w:r w:rsidR="005557F5">
        <w:rPr>
          <w:rFonts w:ascii="Calibri" w:hAnsi="Calibri" w:cs="Arial"/>
          <w:lang w:val="nl-BE"/>
        </w:rPr>
        <w:t xml:space="preserve">Ger.W. </w:t>
      </w:r>
      <w:r w:rsidR="002943EC">
        <w:rPr>
          <w:rFonts w:ascii="Calibri" w:hAnsi="Calibri" w:cs="Arial"/>
          <w:lang w:val="nl-BE"/>
        </w:rPr>
        <w:t>gloednieuw is en dat hier tot 2014 geen wettelijke definitie van voorhanden was.</w:t>
      </w:r>
    </w:p>
    <w:p w14:paraId="4665928F" w14:textId="5685D145" w:rsidR="006E452B" w:rsidRPr="00D9172E" w:rsidRDefault="002943EC" w:rsidP="009A67FD">
      <w:pPr>
        <w:spacing w:line="276" w:lineRule="auto"/>
        <w:jc w:val="both"/>
        <w:rPr>
          <w:rFonts w:ascii="Calibri" w:hAnsi="Calibri" w:cs="Arial"/>
          <w:lang w:val="nl-BE"/>
        </w:rPr>
      </w:pPr>
      <w:r>
        <w:rPr>
          <w:rFonts w:ascii="Calibri" w:hAnsi="Calibri" w:cs="Arial"/>
          <w:lang w:val="nl-BE"/>
        </w:rPr>
        <w:t>De ministerie</w:t>
      </w:r>
      <w:r w:rsidR="00057F63" w:rsidRPr="00D9172E">
        <w:rPr>
          <w:rFonts w:ascii="Calibri" w:hAnsi="Calibri" w:cs="Arial"/>
          <w:lang w:val="nl-BE"/>
        </w:rPr>
        <w:t xml:space="preserve">plicht </w:t>
      </w:r>
      <w:r w:rsidR="007317E7" w:rsidRPr="00D9172E">
        <w:rPr>
          <w:rFonts w:ascii="Calibri" w:hAnsi="Calibri" w:cs="Arial"/>
          <w:lang w:val="nl-BE"/>
        </w:rPr>
        <w:t>is verreikend.</w:t>
      </w:r>
      <w:r w:rsidR="00C2014C" w:rsidRPr="00D9172E">
        <w:rPr>
          <w:rFonts w:ascii="Calibri" w:hAnsi="Calibri" w:cs="Arial"/>
          <w:lang w:val="nl-BE"/>
        </w:rPr>
        <w:t xml:space="preserve"> </w:t>
      </w:r>
      <w:r w:rsidR="007317E7" w:rsidRPr="00D9172E">
        <w:rPr>
          <w:rFonts w:ascii="Calibri" w:hAnsi="Calibri" w:cs="Arial"/>
          <w:lang w:val="nl-BE"/>
        </w:rPr>
        <w:t>I</w:t>
      </w:r>
      <w:r w:rsidR="00DF40E9" w:rsidRPr="00D9172E">
        <w:rPr>
          <w:rFonts w:ascii="Calibri" w:hAnsi="Calibri" w:cs="Arial"/>
          <w:lang w:val="nl-BE"/>
        </w:rPr>
        <w:t xml:space="preserve">n </w:t>
      </w:r>
      <w:r w:rsidR="00AF300A" w:rsidRPr="00D9172E">
        <w:rPr>
          <w:rFonts w:ascii="Calibri" w:hAnsi="Calibri" w:cs="Arial"/>
          <w:lang w:val="nl-BE"/>
        </w:rPr>
        <w:t>2013 heeft de rechtbank van K</w:t>
      </w:r>
      <w:r w:rsidR="007317E7" w:rsidRPr="00D9172E">
        <w:rPr>
          <w:rFonts w:ascii="Calibri" w:hAnsi="Calibri" w:cs="Arial"/>
          <w:lang w:val="nl-BE"/>
        </w:rPr>
        <w:t>oophandel</w:t>
      </w:r>
      <w:r w:rsidR="00E62F5F" w:rsidRPr="00D9172E">
        <w:rPr>
          <w:rFonts w:ascii="Calibri" w:hAnsi="Calibri" w:cs="Arial"/>
          <w:lang w:val="nl-BE"/>
        </w:rPr>
        <w:t xml:space="preserve"> te Dendermonde</w:t>
      </w:r>
      <w:r w:rsidR="00A742AA" w:rsidRPr="00D9172E">
        <w:rPr>
          <w:rFonts w:ascii="Calibri" w:hAnsi="Calibri" w:cs="Arial"/>
          <w:lang w:val="nl-BE"/>
        </w:rPr>
        <w:t xml:space="preserve"> </w:t>
      </w:r>
      <w:r w:rsidR="00E62F5F" w:rsidRPr="00D9172E">
        <w:rPr>
          <w:rFonts w:ascii="Calibri" w:hAnsi="Calibri" w:cs="Arial"/>
          <w:lang w:val="nl-BE"/>
        </w:rPr>
        <w:t>bevestigd dat</w:t>
      </w:r>
      <w:r w:rsidR="007317E7" w:rsidRPr="00D9172E">
        <w:rPr>
          <w:rFonts w:ascii="Calibri" w:hAnsi="Calibri" w:cs="Arial"/>
          <w:lang w:val="nl-BE"/>
        </w:rPr>
        <w:t xml:space="preserve"> </w:t>
      </w:r>
      <w:r w:rsidR="00E62F5F" w:rsidRPr="00D9172E">
        <w:rPr>
          <w:rFonts w:ascii="Calibri" w:hAnsi="Calibri" w:cs="Arial"/>
          <w:lang w:val="nl-BE"/>
        </w:rPr>
        <w:t>de plicht tot ambtsverlening</w:t>
      </w:r>
      <w:r w:rsidR="007317E7" w:rsidRPr="00D9172E">
        <w:rPr>
          <w:rFonts w:ascii="Calibri" w:hAnsi="Calibri" w:cs="Arial"/>
          <w:lang w:val="nl-BE"/>
        </w:rPr>
        <w:t xml:space="preserve"> een beginsel van openbare orde is</w:t>
      </w:r>
      <w:r w:rsidR="005733B2" w:rsidRPr="00D9172E">
        <w:rPr>
          <w:rStyle w:val="Voetnootmarkering"/>
          <w:rFonts w:ascii="Calibri" w:hAnsi="Calibri" w:cs="Arial"/>
          <w:lang w:val="nl-BE"/>
        </w:rPr>
        <w:footnoteReference w:id="7"/>
      </w:r>
      <w:r w:rsidR="007317E7" w:rsidRPr="00D9172E">
        <w:rPr>
          <w:rFonts w:ascii="Calibri" w:hAnsi="Calibri" w:cs="Arial"/>
          <w:lang w:val="nl-BE"/>
        </w:rPr>
        <w:t xml:space="preserve">. </w:t>
      </w:r>
      <w:r w:rsidR="00E62F5F" w:rsidRPr="00D9172E">
        <w:rPr>
          <w:rFonts w:ascii="Calibri" w:hAnsi="Calibri" w:cs="Arial"/>
          <w:lang w:val="nl-BE"/>
        </w:rPr>
        <w:t xml:space="preserve">Bovendien kan een gerechtsdeurwaarder bij onenigheid niet zelf beoordelen of </w:t>
      </w:r>
      <w:r w:rsidR="009E4711" w:rsidRPr="00D9172E">
        <w:rPr>
          <w:rFonts w:ascii="Calibri" w:hAnsi="Calibri" w:cs="Arial"/>
          <w:lang w:val="nl-BE"/>
        </w:rPr>
        <w:t xml:space="preserve">artikel 520 Ger.W. </w:t>
      </w:r>
      <w:r w:rsidR="00E200F0" w:rsidRPr="00D9172E">
        <w:rPr>
          <w:rFonts w:ascii="Calibri" w:hAnsi="Calibri" w:cs="Arial"/>
          <w:lang w:val="nl-BE"/>
        </w:rPr>
        <w:t xml:space="preserve">al dan niet vigeert: hij dient hier advies voor </w:t>
      </w:r>
      <w:r w:rsidR="00FD0476">
        <w:rPr>
          <w:rFonts w:ascii="Calibri" w:hAnsi="Calibri" w:cs="Arial"/>
          <w:lang w:val="nl-BE"/>
        </w:rPr>
        <w:t xml:space="preserve">in te winnen, </w:t>
      </w:r>
      <w:r w:rsidR="004B26B3">
        <w:rPr>
          <w:rFonts w:ascii="Calibri" w:hAnsi="Calibri" w:cs="Arial"/>
          <w:lang w:val="nl-BE"/>
        </w:rPr>
        <w:t>ofwel</w:t>
      </w:r>
      <w:r w:rsidR="00FD0476">
        <w:rPr>
          <w:rFonts w:ascii="Calibri" w:hAnsi="Calibri" w:cs="Arial"/>
          <w:lang w:val="nl-BE"/>
        </w:rPr>
        <w:t xml:space="preserve"> van de Nationale Kamer van Gerechtsdeu</w:t>
      </w:r>
      <w:r w:rsidR="00CA1535">
        <w:rPr>
          <w:rFonts w:ascii="Calibri" w:hAnsi="Calibri" w:cs="Arial"/>
          <w:lang w:val="nl-BE"/>
        </w:rPr>
        <w:t>r</w:t>
      </w:r>
      <w:r w:rsidR="00FD0476">
        <w:rPr>
          <w:rFonts w:ascii="Calibri" w:hAnsi="Calibri" w:cs="Arial"/>
          <w:lang w:val="nl-BE"/>
        </w:rPr>
        <w:t>waarders</w:t>
      </w:r>
      <w:r w:rsidR="00E200F0" w:rsidRPr="00D9172E">
        <w:rPr>
          <w:rFonts w:ascii="Calibri" w:hAnsi="Calibri" w:cs="Arial"/>
          <w:lang w:val="nl-BE"/>
        </w:rPr>
        <w:t>,</w:t>
      </w:r>
      <w:r w:rsidR="004B26B3">
        <w:rPr>
          <w:rFonts w:ascii="Calibri" w:hAnsi="Calibri" w:cs="Arial"/>
          <w:lang w:val="nl-BE"/>
        </w:rPr>
        <w:t xml:space="preserve"> </w:t>
      </w:r>
      <w:r w:rsidR="00E200F0" w:rsidRPr="00D9172E">
        <w:rPr>
          <w:rFonts w:ascii="Calibri" w:hAnsi="Calibri" w:cs="Arial"/>
          <w:lang w:val="nl-BE"/>
        </w:rPr>
        <w:t>in voorkomend gev</w:t>
      </w:r>
      <w:r w:rsidR="005733B2" w:rsidRPr="00D9172E">
        <w:rPr>
          <w:rFonts w:ascii="Calibri" w:hAnsi="Calibri" w:cs="Arial"/>
          <w:lang w:val="nl-BE"/>
        </w:rPr>
        <w:t>al van de procureur des Konings</w:t>
      </w:r>
      <w:r w:rsidR="00B62AE8" w:rsidRPr="00D9172E">
        <w:rPr>
          <w:rStyle w:val="Voetnootmarkering"/>
          <w:rFonts w:ascii="Calibri" w:hAnsi="Calibri" w:cs="Arial"/>
          <w:lang w:val="nl-BE"/>
        </w:rPr>
        <w:footnoteReference w:id="8"/>
      </w:r>
      <w:r w:rsidR="00B62AE8" w:rsidRPr="00D9172E">
        <w:rPr>
          <w:rFonts w:ascii="Calibri" w:hAnsi="Calibri" w:cs="Arial"/>
          <w:lang w:val="nl-BE"/>
        </w:rPr>
        <w:t>.</w:t>
      </w:r>
    </w:p>
    <w:p w14:paraId="708D6585" w14:textId="77777777" w:rsidR="003930C3" w:rsidRPr="00D9172E" w:rsidRDefault="003930C3" w:rsidP="002532B7">
      <w:pPr>
        <w:spacing w:line="276" w:lineRule="auto"/>
        <w:rPr>
          <w:rFonts w:ascii="Calibri" w:hAnsi="Calibri" w:cs="Arial"/>
          <w:lang w:val="nl-BE"/>
        </w:rPr>
      </w:pPr>
    </w:p>
    <w:p w14:paraId="2E551B7B" w14:textId="12E10D8C" w:rsidR="00E720B0" w:rsidRPr="00D9172E" w:rsidRDefault="005D3C3E" w:rsidP="002532B7">
      <w:pPr>
        <w:spacing w:line="276" w:lineRule="auto"/>
        <w:rPr>
          <w:rFonts w:ascii="Calibri" w:hAnsi="Calibri" w:cs="Arial"/>
          <w:lang w:val="nl-BE"/>
        </w:rPr>
      </w:pPr>
      <w:r w:rsidRPr="005D3C3E">
        <w:rPr>
          <w:rFonts w:ascii="Calibri" w:hAnsi="Calibri" w:cs="Arial"/>
          <w:b/>
          <w:lang w:val="nl-BE"/>
        </w:rPr>
        <w:t>3</w:t>
      </w:r>
      <w:r w:rsidR="00A709A1" w:rsidRPr="00D9172E">
        <w:rPr>
          <w:rFonts w:ascii="Calibri" w:hAnsi="Calibri" w:cs="Arial"/>
          <w:lang w:val="nl-BE"/>
        </w:rPr>
        <w:t>.</w:t>
      </w:r>
      <w:r w:rsidR="003930C3" w:rsidRPr="00D9172E">
        <w:rPr>
          <w:rFonts w:ascii="Calibri" w:hAnsi="Calibri" w:cs="Arial"/>
          <w:lang w:val="nl-BE"/>
        </w:rPr>
        <w:t xml:space="preserve">Naast zijn monopolietaken uit artikel 519 §1 Ger.W., verleent §2 van hetzelfde artikel de gerechtsdeurwaarder nog allerlei gerechtelijke mandaten. Zo kan hij bijvoorbeeld optreden als sekwester, als schuldbemiddelaar, als curator of als voorlopig bewindvoerder. Voor al deze bevoegdheden is de ministerieplicht niet van toepassing. </w:t>
      </w:r>
    </w:p>
    <w:p w14:paraId="537A9AE7" w14:textId="4E7FCDE1" w:rsidR="007042B3" w:rsidRPr="00D9172E" w:rsidRDefault="006C5391" w:rsidP="00643A25">
      <w:pPr>
        <w:spacing w:line="276" w:lineRule="auto"/>
        <w:jc w:val="both"/>
        <w:rPr>
          <w:rFonts w:ascii="Calibri" w:hAnsi="Calibri" w:cs="Arial"/>
          <w:lang w:val="nl-BE"/>
        </w:rPr>
      </w:pPr>
      <w:r w:rsidRPr="00D9172E">
        <w:rPr>
          <w:rFonts w:ascii="Calibri" w:hAnsi="Calibri" w:cs="Arial"/>
          <w:lang w:val="nl-BE"/>
        </w:rPr>
        <w:br/>
      </w:r>
      <w:r w:rsidR="005D3C3E" w:rsidRPr="005D3C3E">
        <w:rPr>
          <w:rFonts w:ascii="Calibri" w:hAnsi="Calibri" w:cs="Arial"/>
          <w:b/>
          <w:lang w:val="nl-BE"/>
        </w:rPr>
        <w:t>4</w:t>
      </w:r>
      <w:r w:rsidR="00A709A1" w:rsidRPr="005D3C3E">
        <w:rPr>
          <w:rFonts w:ascii="Calibri" w:hAnsi="Calibri" w:cs="Arial"/>
          <w:b/>
          <w:lang w:val="nl-BE"/>
        </w:rPr>
        <w:t>.</w:t>
      </w:r>
      <w:r w:rsidR="00DD32F1" w:rsidRPr="00D9172E">
        <w:rPr>
          <w:rFonts w:ascii="Calibri" w:hAnsi="Calibri" w:cs="Arial"/>
          <w:lang w:val="nl-BE"/>
        </w:rPr>
        <w:t xml:space="preserve">Dit onderscheid is ook van belang ten opzichte van derden. Wanneer een procespartij </w:t>
      </w:r>
      <w:r w:rsidR="003419E8" w:rsidRPr="00D9172E">
        <w:rPr>
          <w:rFonts w:ascii="Calibri" w:hAnsi="Calibri" w:cs="Arial"/>
          <w:lang w:val="nl-BE"/>
        </w:rPr>
        <w:t xml:space="preserve">door de fout of nalatigheid van de gerechtsdeurwaarder geen rechtsmiddel (meer) kan aanwenden op een legitieme manier, kan dit volgens het </w:t>
      </w:r>
      <w:r w:rsidR="00DC5ACE" w:rsidRPr="00D9172E">
        <w:rPr>
          <w:rFonts w:ascii="Calibri" w:hAnsi="Calibri" w:cs="Arial"/>
          <w:lang w:val="nl-BE"/>
        </w:rPr>
        <w:t>Hof van Cassatie</w:t>
      </w:r>
      <w:r w:rsidR="0062349D" w:rsidRPr="00D9172E">
        <w:rPr>
          <w:rStyle w:val="Voetnootmarkering"/>
          <w:rFonts w:ascii="Calibri" w:hAnsi="Calibri" w:cs="Arial"/>
          <w:lang w:val="nl-BE"/>
        </w:rPr>
        <w:footnoteReference w:id="9"/>
      </w:r>
      <w:r w:rsidR="003419E8" w:rsidRPr="00D9172E">
        <w:rPr>
          <w:rFonts w:ascii="Calibri" w:hAnsi="Calibri" w:cs="Arial"/>
          <w:lang w:val="nl-BE"/>
        </w:rPr>
        <w:t xml:space="preserve"> </w:t>
      </w:r>
      <w:r w:rsidR="0062349D" w:rsidRPr="00D9172E">
        <w:rPr>
          <w:rFonts w:ascii="Calibri" w:hAnsi="Calibri" w:cs="Arial"/>
          <w:lang w:val="nl-BE"/>
        </w:rPr>
        <w:t xml:space="preserve"> </w:t>
      </w:r>
      <w:r w:rsidR="003419E8" w:rsidRPr="00D9172E">
        <w:rPr>
          <w:rFonts w:ascii="Calibri" w:hAnsi="Calibri" w:cs="Arial"/>
          <w:lang w:val="nl-BE"/>
        </w:rPr>
        <w:t xml:space="preserve">grond opleveren tot overmacht en kan een laattijdig ingediend rechtsmiddel alsnog ontvankelijk verklaard worden. </w:t>
      </w:r>
      <w:r w:rsidR="00A742AA" w:rsidRPr="00D9172E">
        <w:rPr>
          <w:rFonts w:ascii="Calibri" w:hAnsi="Calibri" w:cs="Arial"/>
          <w:lang w:val="nl-BE"/>
        </w:rPr>
        <w:t>Voorwaarde is echter dat de gerechtsdeurwaarder de fout heeft begaan in het uitoefenen van een van zijn monopoliebevoegdheden.</w:t>
      </w:r>
      <w:r w:rsidR="00AD7409" w:rsidRPr="00D9172E">
        <w:rPr>
          <w:rFonts w:ascii="Calibri" w:hAnsi="Calibri" w:cs="Arial"/>
          <w:lang w:val="nl-BE"/>
        </w:rPr>
        <w:t xml:space="preserve"> </w:t>
      </w:r>
      <w:r w:rsidR="00A742AA" w:rsidRPr="00D9172E">
        <w:rPr>
          <w:rFonts w:ascii="Calibri" w:hAnsi="Calibri" w:cs="Arial"/>
          <w:lang w:val="nl-BE"/>
        </w:rPr>
        <w:t xml:space="preserve">Zo zal een laattijdig rechtsmiddel wel als overmacht </w:t>
      </w:r>
      <w:r w:rsidR="00A742AA" w:rsidRPr="00D9172E">
        <w:rPr>
          <w:rFonts w:ascii="Calibri" w:hAnsi="Calibri" w:cs="Arial"/>
          <w:lang w:val="nl-BE"/>
        </w:rPr>
        <w:lastRenderedPageBreak/>
        <w:t xml:space="preserve">kunnen beschouwd worden indien het vonnis in eerste aanleg niet tijdig betekend is, maar niet indien </w:t>
      </w:r>
      <w:r w:rsidR="00944805">
        <w:rPr>
          <w:rFonts w:ascii="Calibri" w:hAnsi="Calibri" w:cs="Arial"/>
          <w:lang w:val="nl-BE"/>
        </w:rPr>
        <w:t>de gerechtsdeurwaarder het</w:t>
      </w:r>
      <w:r w:rsidR="009E1A80" w:rsidRPr="00D9172E">
        <w:rPr>
          <w:rFonts w:ascii="Calibri" w:hAnsi="Calibri" w:cs="Arial"/>
          <w:lang w:val="nl-BE"/>
        </w:rPr>
        <w:t xml:space="preserve"> verzoekschrift niet of laattijdig heeft neergelegd ter griffie. Dit behoort immers tot zijn residuaire</w:t>
      </w:r>
      <w:r w:rsidR="00816FDF" w:rsidRPr="00D9172E">
        <w:rPr>
          <w:rFonts w:ascii="Calibri" w:hAnsi="Calibri" w:cs="Arial"/>
          <w:lang w:val="nl-BE"/>
        </w:rPr>
        <w:t xml:space="preserve"> bevoegdheden</w:t>
      </w:r>
      <w:r w:rsidR="00691FE7">
        <w:rPr>
          <w:rStyle w:val="Voetnootmarkering"/>
          <w:rFonts w:ascii="Calibri" w:hAnsi="Calibri" w:cs="Arial"/>
          <w:lang w:val="nl-BE"/>
        </w:rPr>
        <w:footnoteReference w:id="10"/>
      </w:r>
      <w:r w:rsidR="0040463D" w:rsidRPr="00D9172E">
        <w:rPr>
          <w:rFonts w:ascii="Calibri" w:hAnsi="Calibri" w:cs="Arial"/>
          <w:lang w:val="nl-BE"/>
        </w:rPr>
        <w:t xml:space="preserve">, waar hij </w:t>
      </w:r>
      <w:r w:rsidR="007A617C" w:rsidRPr="00D9172E">
        <w:rPr>
          <w:rFonts w:ascii="Calibri" w:hAnsi="Calibri" w:cs="Arial"/>
          <w:lang w:val="nl-BE"/>
        </w:rPr>
        <w:t xml:space="preserve">als mandataris optreedt en niet als openbare ambtenaar. </w:t>
      </w:r>
    </w:p>
    <w:p w14:paraId="57292B20" w14:textId="77777777" w:rsidR="006C5391" w:rsidRPr="00D9172E" w:rsidRDefault="006C5391" w:rsidP="002532B7">
      <w:pPr>
        <w:spacing w:line="276" w:lineRule="auto"/>
        <w:rPr>
          <w:rFonts w:ascii="Calibri" w:hAnsi="Calibri" w:cs="Arial"/>
          <w:lang w:val="nl-BE"/>
        </w:rPr>
      </w:pPr>
    </w:p>
    <w:p w14:paraId="1ABBAB24" w14:textId="1E7384FD" w:rsidR="007042B3" w:rsidRPr="00D9172E" w:rsidRDefault="005D3C3E" w:rsidP="00643A25">
      <w:pPr>
        <w:spacing w:line="276" w:lineRule="auto"/>
        <w:jc w:val="both"/>
        <w:rPr>
          <w:rFonts w:ascii="Calibri" w:hAnsi="Calibri" w:cs="Arial"/>
          <w:b/>
          <w:lang w:val="nl-BE"/>
        </w:rPr>
      </w:pPr>
      <w:r>
        <w:rPr>
          <w:rFonts w:ascii="Calibri" w:hAnsi="Calibri" w:cs="Arial"/>
          <w:b/>
          <w:lang w:val="nl-BE"/>
        </w:rPr>
        <w:t>5.</w:t>
      </w:r>
      <w:r w:rsidR="006C5391" w:rsidRPr="00D9172E">
        <w:rPr>
          <w:rFonts w:ascii="Calibri" w:hAnsi="Calibri" w:cs="Arial"/>
          <w:lang w:val="nl-BE"/>
        </w:rPr>
        <w:t>Daarenboven heeft het</w:t>
      </w:r>
      <w:r w:rsidR="007042B3" w:rsidRPr="00D9172E">
        <w:rPr>
          <w:rFonts w:ascii="Calibri" w:hAnsi="Calibri" w:cs="Arial"/>
          <w:lang w:val="nl-BE"/>
        </w:rPr>
        <w:t xml:space="preserve"> Europees Hof vo</w:t>
      </w:r>
      <w:r w:rsidR="006C5391" w:rsidRPr="00D9172E">
        <w:rPr>
          <w:rFonts w:ascii="Calibri" w:hAnsi="Calibri" w:cs="Arial"/>
          <w:lang w:val="nl-BE"/>
        </w:rPr>
        <w:t>or de Rechten van de Mens geoordeeld</w:t>
      </w:r>
      <w:r w:rsidR="007042B3" w:rsidRPr="00D9172E">
        <w:rPr>
          <w:rFonts w:ascii="Calibri" w:hAnsi="Calibri" w:cs="Arial"/>
          <w:lang w:val="nl-BE"/>
        </w:rPr>
        <w:t xml:space="preserve"> dat het laattijdig</w:t>
      </w:r>
      <w:r w:rsidR="00D734E6" w:rsidRPr="00D9172E">
        <w:rPr>
          <w:rFonts w:ascii="Calibri" w:hAnsi="Calibri" w:cs="Arial"/>
          <w:lang w:val="nl-BE"/>
        </w:rPr>
        <w:t xml:space="preserve"> of foutief</w:t>
      </w:r>
      <w:r w:rsidR="007042B3" w:rsidRPr="00D9172E">
        <w:rPr>
          <w:rFonts w:ascii="Calibri" w:hAnsi="Calibri" w:cs="Arial"/>
          <w:lang w:val="nl-BE"/>
        </w:rPr>
        <w:t xml:space="preserve"> optreden van een gere</w:t>
      </w:r>
      <w:r w:rsidR="00816FDF" w:rsidRPr="00D9172E">
        <w:rPr>
          <w:rFonts w:ascii="Calibri" w:hAnsi="Calibri" w:cs="Arial"/>
          <w:lang w:val="nl-BE"/>
        </w:rPr>
        <w:t>chtsdeurwaarder</w:t>
      </w:r>
      <w:r w:rsidR="009F5291">
        <w:rPr>
          <w:rFonts w:ascii="Calibri" w:hAnsi="Calibri" w:cs="Arial"/>
          <w:lang w:val="nl-BE"/>
        </w:rPr>
        <w:t xml:space="preserve"> bij monopoliebevoegdheden</w:t>
      </w:r>
      <w:r w:rsidR="00816FDF" w:rsidRPr="00D9172E">
        <w:rPr>
          <w:rFonts w:ascii="Calibri" w:hAnsi="Calibri" w:cs="Arial"/>
          <w:lang w:val="nl-BE"/>
        </w:rPr>
        <w:t xml:space="preserve"> een schending uitmaakt</w:t>
      </w:r>
      <w:r w:rsidR="007042B3" w:rsidRPr="00D9172E">
        <w:rPr>
          <w:rFonts w:ascii="Calibri" w:hAnsi="Calibri" w:cs="Arial"/>
          <w:lang w:val="nl-BE"/>
        </w:rPr>
        <w:t xml:space="preserve"> van het recht op toegang t</w:t>
      </w:r>
      <w:r w:rsidR="00816FDF" w:rsidRPr="00D9172E">
        <w:rPr>
          <w:rFonts w:ascii="Calibri" w:hAnsi="Calibri" w:cs="Arial"/>
          <w:lang w:val="nl-BE"/>
        </w:rPr>
        <w:t>ot de rechter</w:t>
      </w:r>
      <w:r w:rsidR="00691FE7">
        <w:rPr>
          <w:rStyle w:val="Voetnootmarkering"/>
          <w:rFonts w:ascii="Calibri" w:hAnsi="Calibri" w:cs="Arial"/>
          <w:lang w:val="nl-BE"/>
        </w:rPr>
        <w:footnoteReference w:id="11"/>
      </w:r>
      <w:r w:rsidR="00691FE7">
        <w:rPr>
          <w:rFonts w:ascii="Calibri" w:hAnsi="Calibri" w:cs="Arial"/>
          <w:lang w:val="nl-BE"/>
        </w:rPr>
        <w:t xml:space="preserve">. </w:t>
      </w:r>
      <w:r w:rsidR="00F65288" w:rsidRPr="00D9172E">
        <w:rPr>
          <w:rFonts w:ascii="Calibri" w:hAnsi="Calibri" w:cs="Arial"/>
          <w:lang w:val="nl-BE"/>
        </w:rPr>
        <w:t>E</w:t>
      </w:r>
      <w:r w:rsidR="007042B3" w:rsidRPr="00D9172E">
        <w:rPr>
          <w:rFonts w:ascii="Calibri" w:hAnsi="Calibri" w:cs="Arial"/>
          <w:lang w:val="nl-BE"/>
        </w:rPr>
        <w:t>ventuele schade die hieruit voortkomt, is volgens het Hof ten laste van de staat in wiens opdracht de gerechtsdeurwa</w:t>
      </w:r>
      <w:r w:rsidR="006C5391" w:rsidRPr="00D9172E">
        <w:rPr>
          <w:rFonts w:ascii="Calibri" w:hAnsi="Calibri" w:cs="Arial"/>
          <w:lang w:val="nl-BE"/>
        </w:rPr>
        <w:t>arder zijn functie uitoefent, en niet van de gerechtsdeurwaarder zelf</w:t>
      </w:r>
      <w:r w:rsidR="00691FE7">
        <w:rPr>
          <w:rStyle w:val="Voetnootmarkering"/>
          <w:rFonts w:ascii="Calibri" w:hAnsi="Calibri" w:cs="Arial"/>
          <w:lang w:val="nl-BE"/>
        </w:rPr>
        <w:footnoteReference w:id="12"/>
      </w:r>
      <w:r w:rsidR="00C361C7" w:rsidRPr="00D9172E">
        <w:rPr>
          <w:rFonts w:ascii="Calibri" w:hAnsi="Calibri" w:cs="Arial"/>
          <w:lang w:val="nl-BE"/>
        </w:rPr>
        <w:t>. De gerechtsdeurwaarder mag dan wel een particulier zijn, hij oefent een taak uit die hem werd toegewezen door de</w:t>
      </w:r>
      <w:r w:rsidR="009F5291">
        <w:rPr>
          <w:rFonts w:ascii="Calibri" w:hAnsi="Calibri" w:cs="Arial"/>
          <w:lang w:val="nl-BE"/>
        </w:rPr>
        <w:t xml:space="preserve"> nationale</w:t>
      </w:r>
      <w:r w:rsidR="00C361C7" w:rsidRPr="00D9172E">
        <w:rPr>
          <w:rFonts w:ascii="Calibri" w:hAnsi="Calibri" w:cs="Arial"/>
          <w:lang w:val="nl-BE"/>
        </w:rPr>
        <w:t xml:space="preserve"> wetgeving. </w:t>
      </w:r>
      <w:r w:rsidR="00736A66" w:rsidRPr="00D9172E">
        <w:rPr>
          <w:rFonts w:ascii="Calibri" w:hAnsi="Calibri" w:cs="Arial"/>
          <w:lang w:val="nl-BE"/>
        </w:rPr>
        <w:t xml:space="preserve">Zodra iemand een overheidstaak uitvoert, blijft die overheid </w:t>
      </w:r>
      <w:r w:rsidR="005557F5">
        <w:rPr>
          <w:rFonts w:ascii="Calibri" w:hAnsi="Calibri" w:cs="Arial"/>
          <w:lang w:val="nl-BE"/>
        </w:rPr>
        <w:t xml:space="preserve">volgens het Hof </w:t>
      </w:r>
      <w:r w:rsidR="00736A66" w:rsidRPr="00D9172E">
        <w:rPr>
          <w:rFonts w:ascii="Calibri" w:hAnsi="Calibri" w:cs="Arial"/>
          <w:lang w:val="nl-BE"/>
        </w:rPr>
        <w:t>verantwoordelijk voor de naleving van het EVRM.</w:t>
      </w:r>
      <w:r w:rsidR="00C361C7" w:rsidRPr="00D9172E">
        <w:rPr>
          <w:rFonts w:ascii="Calibri" w:hAnsi="Calibri" w:cs="Arial"/>
          <w:lang w:val="nl-BE"/>
        </w:rPr>
        <w:t xml:space="preserve"> </w:t>
      </w:r>
      <w:r w:rsidR="006C5391" w:rsidRPr="00D9172E">
        <w:rPr>
          <w:rFonts w:ascii="Calibri" w:hAnsi="Calibri" w:cs="Arial"/>
          <w:lang w:val="nl-BE"/>
        </w:rPr>
        <w:t xml:space="preserve">Hiermee druist het Hof </w:t>
      </w:r>
      <w:r w:rsidR="00C36AC6">
        <w:rPr>
          <w:rFonts w:ascii="Calibri" w:hAnsi="Calibri" w:cs="Arial"/>
          <w:lang w:val="nl-BE"/>
        </w:rPr>
        <w:t xml:space="preserve">eigenlijk </w:t>
      </w:r>
      <w:r w:rsidR="006C5391" w:rsidRPr="00D9172E">
        <w:rPr>
          <w:rFonts w:ascii="Calibri" w:hAnsi="Calibri" w:cs="Arial"/>
          <w:lang w:val="nl-BE"/>
        </w:rPr>
        <w:t>in tegen</w:t>
      </w:r>
      <w:r w:rsidR="00C361C7" w:rsidRPr="00D9172E">
        <w:rPr>
          <w:rFonts w:ascii="Calibri" w:hAnsi="Calibri" w:cs="Arial"/>
          <w:lang w:val="nl-BE"/>
        </w:rPr>
        <w:t xml:space="preserve"> de Belgische wetgeving</w:t>
      </w:r>
      <w:r w:rsidR="006C5391" w:rsidRPr="00D9172E">
        <w:rPr>
          <w:rFonts w:ascii="Calibri" w:hAnsi="Calibri" w:cs="Arial"/>
          <w:lang w:val="nl-BE"/>
        </w:rPr>
        <w:t xml:space="preserve"> </w:t>
      </w:r>
      <w:r w:rsidR="00C361C7" w:rsidRPr="00D9172E">
        <w:rPr>
          <w:rFonts w:ascii="Calibri" w:hAnsi="Calibri" w:cs="Arial"/>
          <w:lang w:val="nl-BE"/>
        </w:rPr>
        <w:t xml:space="preserve">, </w:t>
      </w:r>
      <w:r w:rsidR="006C5391" w:rsidRPr="00D9172E">
        <w:rPr>
          <w:rFonts w:ascii="Calibri" w:hAnsi="Calibri" w:cs="Arial"/>
          <w:lang w:val="nl-BE"/>
        </w:rPr>
        <w:t>dat gerechtsdeurwaarders persoonlijk aansprakelijk stelt voor hun fouten ten belope van vijf miljoen euro.</w:t>
      </w:r>
    </w:p>
    <w:p w14:paraId="10CAC0D7" w14:textId="77777777" w:rsidR="003419E8" w:rsidRPr="00D9172E" w:rsidRDefault="003419E8" w:rsidP="002532B7">
      <w:pPr>
        <w:spacing w:line="276" w:lineRule="auto"/>
        <w:rPr>
          <w:rFonts w:ascii="Calibri" w:hAnsi="Calibri" w:cs="Arial"/>
          <w:i/>
          <w:lang w:val="nl-BE"/>
        </w:rPr>
      </w:pPr>
    </w:p>
    <w:p w14:paraId="44C0AFDD" w14:textId="2B3910C9" w:rsidR="00783F65" w:rsidRPr="00D9172E" w:rsidRDefault="001B44A2" w:rsidP="002532B7">
      <w:pPr>
        <w:pStyle w:val="Kop3"/>
        <w:spacing w:line="276" w:lineRule="auto"/>
        <w:rPr>
          <w:lang w:val="nl-BE"/>
        </w:rPr>
      </w:pPr>
      <w:bookmarkStart w:id="6" w:name="_Toc40689945"/>
      <w:r>
        <w:rPr>
          <w:lang w:val="nl-BE"/>
        </w:rPr>
        <w:t xml:space="preserve">Afdeling II: </w:t>
      </w:r>
      <w:r w:rsidR="00783F65" w:rsidRPr="00D9172E">
        <w:rPr>
          <w:lang w:val="nl-BE"/>
        </w:rPr>
        <w:t>Vrij beroep</w:t>
      </w:r>
      <w:bookmarkEnd w:id="6"/>
    </w:p>
    <w:p w14:paraId="2F27935E" w14:textId="77777777" w:rsidR="00783F65" w:rsidRPr="00D9172E" w:rsidRDefault="00783F65" w:rsidP="002532B7">
      <w:pPr>
        <w:spacing w:line="276" w:lineRule="auto"/>
        <w:rPr>
          <w:rFonts w:ascii="Calibri" w:hAnsi="Calibri" w:cs="Arial"/>
          <w:lang w:val="nl-BE"/>
        </w:rPr>
      </w:pPr>
    </w:p>
    <w:p w14:paraId="1E5F4CA6" w14:textId="2181190B" w:rsidR="000B29FB" w:rsidRPr="00D9172E" w:rsidRDefault="005D3C3E" w:rsidP="00643A25">
      <w:pPr>
        <w:spacing w:line="276" w:lineRule="auto"/>
        <w:jc w:val="both"/>
        <w:rPr>
          <w:rFonts w:ascii="Calibri" w:hAnsi="Calibri" w:cs="Arial"/>
          <w:lang w:val="nl-BE"/>
        </w:rPr>
      </w:pPr>
      <w:r>
        <w:rPr>
          <w:rFonts w:ascii="Calibri" w:hAnsi="Calibri" w:cs="Arial"/>
          <w:b/>
          <w:lang w:val="nl-BE"/>
        </w:rPr>
        <w:t>6</w:t>
      </w:r>
      <w:r w:rsidR="00BE32AE" w:rsidRPr="00D9172E">
        <w:rPr>
          <w:rFonts w:ascii="Calibri" w:hAnsi="Calibri" w:cs="Arial"/>
          <w:lang w:val="nl-BE"/>
        </w:rPr>
        <w:t xml:space="preserve">. </w:t>
      </w:r>
      <w:r w:rsidR="00A14881" w:rsidRPr="00D9172E">
        <w:rPr>
          <w:rFonts w:ascii="Calibri" w:hAnsi="Calibri" w:cs="Arial"/>
          <w:lang w:val="nl-BE"/>
        </w:rPr>
        <w:t xml:space="preserve">Naast </w:t>
      </w:r>
      <w:r w:rsidR="00AC69AA" w:rsidRPr="00D9172E">
        <w:rPr>
          <w:rFonts w:ascii="Calibri" w:hAnsi="Calibri" w:cs="Arial"/>
          <w:lang w:val="nl-BE"/>
        </w:rPr>
        <w:t xml:space="preserve">de publieke rol van de gerechtsdeurwaarder, bestaat het ambt ook voor een beduidend deel uit </w:t>
      </w:r>
      <w:r w:rsidR="00C22A77" w:rsidRPr="00D9172E">
        <w:rPr>
          <w:rFonts w:ascii="Calibri" w:hAnsi="Calibri" w:cs="Arial"/>
          <w:lang w:val="nl-BE"/>
        </w:rPr>
        <w:t>private</w:t>
      </w:r>
      <w:r w:rsidR="00C52CB4" w:rsidRPr="00D9172E">
        <w:rPr>
          <w:rFonts w:ascii="Calibri" w:hAnsi="Calibri" w:cs="Arial"/>
          <w:lang w:val="nl-BE"/>
        </w:rPr>
        <w:t xml:space="preserve"> </w:t>
      </w:r>
      <w:r w:rsidR="00EC61B2" w:rsidRPr="00D9172E">
        <w:rPr>
          <w:rFonts w:ascii="Calibri" w:hAnsi="Calibri" w:cs="Arial"/>
          <w:lang w:val="nl-BE"/>
        </w:rPr>
        <w:t xml:space="preserve">betrekkingen. </w:t>
      </w:r>
      <w:r w:rsidR="00D63723" w:rsidRPr="00D9172E">
        <w:rPr>
          <w:rFonts w:ascii="Calibri" w:hAnsi="Calibri" w:cs="Arial"/>
          <w:lang w:val="nl-BE"/>
        </w:rPr>
        <w:t xml:space="preserve">Deze trend heeft zich </w:t>
      </w:r>
      <w:r w:rsidR="006D7471" w:rsidRPr="00D9172E">
        <w:rPr>
          <w:rFonts w:ascii="Calibri" w:hAnsi="Calibri" w:cs="Arial"/>
          <w:lang w:val="nl-BE"/>
        </w:rPr>
        <w:t>sinds</w:t>
      </w:r>
      <w:r w:rsidR="00F05F88" w:rsidRPr="00D9172E">
        <w:rPr>
          <w:rFonts w:ascii="Calibri" w:hAnsi="Calibri" w:cs="Arial"/>
          <w:lang w:val="nl-BE"/>
        </w:rPr>
        <w:t xml:space="preserve"> juli</w:t>
      </w:r>
      <w:r w:rsidR="006D7471" w:rsidRPr="00D9172E">
        <w:rPr>
          <w:rFonts w:ascii="Calibri" w:hAnsi="Calibri" w:cs="Arial"/>
          <w:lang w:val="nl-BE"/>
        </w:rPr>
        <w:t xml:space="preserve"> 2016 nog voort</w:t>
      </w:r>
      <w:r w:rsidR="00F05F88" w:rsidRPr="00D9172E">
        <w:rPr>
          <w:rFonts w:ascii="Calibri" w:hAnsi="Calibri" w:cs="Arial"/>
          <w:lang w:val="nl-BE"/>
        </w:rPr>
        <w:t>gezet: toen is</w:t>
      </w:r>
      <w:r w:rsidR="001D4750" w:rsidRPr="00D9172E">
        <w:rPr>
          <w:rFonts w:ascii="Calibri" w:hAnsi="Calibri" w:cs="Arial"/>
          <w:lang w:val="nl-BE"/>
        </w:rPr>
        <w:t xml:space="preserve"> Potpourri I</w:t>
      </w:r>
      <w:r w:rsidR="00164F52" w:rsidRPr="00D9172E">
        <w:rPr>
          <w:rFonts w:ascii="Calibri" w:hAnsi="Calibri" w:cs="Arial"/>
          <w:lang w:val="nl-BE"/>
        </w:rPr>
        <w:t xml:space="preserve"> </w:t>
      </w:r>
      <w:r w:rsidR="00F6356F" w:rsidRPr="00D9172E">
        <w:rPr>
          <w:rFonts w:ascii="Calibri" w:hAnsi="Calibri" w:cs="Arial"/>
          <w:lang w:val="nl-BE"/>
        </w:rPr>
        <w:t xml:space="preserve">namelijk </w:t>
      </w:r>
      <w:r w:rsidR="00164F52" w:rsidRPr="00D9172E">
        <w:rPr>
          <w:rFonts w:ascii="Calibri" w:hAnsi="Calibri" w:cs="Arial"/>
          <w:lang w:val="nl-BE"/>
        </w:rPr>
        <w:t>in werking getreden</w:t>
      </w:r>
      <w:r w:rsidR="00D63723" w:rsidRPr="00D9172E">
        <w:rPr>
          <w:rFonts w:ascii="Calibri" w:hAnsi="Calibri" w:cs="Arial"/>
          <w:lang w:val="nl-BE"/>
        </w:rPr>
        <w:t>, die het</w:t>
      </w:r>
      <w:r w:rsidR="006D7471" w:rsidRPr="00D9172E">
        <w:rPr>
          <w:rFonts w:ascii="Calibri" w:hAnsi="Calibri" w:cs="Arial"/>
          <w:lang w:val="nl-BE"/>
        </w:rPr>
        <w:t xml:space="preserve"> ondernemingen mogelijk </w:t>
      </w:r>
      <w:r w:rsidR="003930C3" w:rsidRPr="00D9172E">
        <w:rPr>
          <w:rFonts w:ascii="Calibri" w:hAnsi="Calibri" w:cs="Arial"/>
          <w:lang w:val="nl-BE"/>
        </w:rPr>
        <w:t>heeft ge</w:t>
      </w:r>
      <w:r w:rsidR="006D7471" w:rsidRPr="00D9172E">
        <w:rPr>
          <w:rFonts w:ascii="Calibri" w:hAnsi="Calibri" w:cs="Arial"/>
          <w:lang w:val="nl-BE"/>
        </w:rPr>
        <w:t>maakt om hun onbetwiste geldschulden</w:t>
      </w:r>
      <w:r w:rsidR="00C22A77" w:rsidRPr="00D9172E">
        <w:rPr>
          <w:rFonts w:ascii="Calibri" w:hAnsi="Calibri" w:cs="Arial"/>
          <w:lang w:val="nl-BE"/>
        </w:rPr>
        <w:t xml:space="preserve"> in een B2B-context</w:t>
      </w:r>
      <w:r w:rsidR="00CF7AA3">
        <w:rPr>
          <w:rStyle w:val="Voetnootmarkering"/>
          <w:rFonts w:ascii="Calibri" w:hAnsi="Calibri" w:cs="Arial"/>
          <w:lang w:val="nl-BE"/>
        </w:rPr>
        <w:footnoteReference w:id="13"/>
      </w:r>
      <w:r w:rsidR="006D7471" w:rsidRPr="00D9172E">
        <w:rPr>
          <w:rFonts w:ascii="Calibri" w:hAnsi="Calibri" w:cs="Arial"/>
          <w:lang w:val="nl-BE"/>
        </w:rPr>
        <w:t xml:space="preserve"> rechtstreeks en buitengerechtelijk</w:t>
      </w:r>
      <w:r w:rsidR="000B29FB" w:rsidRPr="00D9172E">
        <w:rPr>
          <w:rFonts w:ascii="Calibri" w:hAnsi="Calibri" w:cs="Arial"/>
          <w:lang w:val="nl-BE"/>
        </w:rPr>
        <w:t xml:space="preserve"> via de gerechtsdeurwaarder</w:t>
      </w:r>
      <w:r w:rsidR="006D7471" w:rsidRPr="00D9172E">
        <w:rPr>
          <w:rFonts w:ascii="Calibri" w:hAnsi="Calibri" w:cs="Arial"/>
          <w:lang w:val="nl-BE"/>
        </w:rPr>
        <w:t xml:space="preserve"> in te vorderen</w:t>
      </w:r>
      <w:r w:rsidR="00E14559" w:rsidRPr="00D9172E">
        <w:rPr>
          <w:rStyle w:val="Voetnootmarkering"/>
          <w:rFonts w:ascii="Calibri" w:hAnsi="Calibri" w:cs="Arial"/>
          <w:lang w:val="nl-BE"/>
        </w:rPr>
        <w:footnoteReference w:id="14"/>
      </w:r>
      <w:r w:rsidR="000B29FB" w:rsidRPr="00D9172E">
        <w:rPr>
          <w:rFonts w:ascii="Calibri" w:hAnsi="Calibri" w:cs="Arial"/>
          <w:lang w:val="nl-BE"/>
        </w:rPr>
        <w:t xml:space="preserve">. </w:t>
      </w:r>
      <w:r w:rsidR="00164F52" w:rsidRPr="00804A14">
        <w:rPr>
          <w:rFonts w:ascii="Calibri" w:hAnsi="Calibri" w:cs="Arial"/>
          <w:lang w:val="nl-BE"/>
        </w:rPr>
        <w:t>Op die manier ontpoppen gerechtsdeurwaarders</w:t>
      </w:r>
      <w:r w:rsidR="00523B92" w:rsidRPr="00804A14">
        <w:rPr>
          <w:rFonts w:ascii="Calibri" w:hAnsi="Calibri" w:cs="Arial"/>
          <w:lang w:val="nl-BE"/>
        </w:rPr>
        <w:t xml:space="preserve"> zich meer en meer tot vrije beroepers</w:t>
      </w:r>
      <w:r w:rsidR="00C52CB4" w:rsidRPr="00804A14">
        <w:rPr>
          <w:rFonts w:ascii="Calibri" w:hAnsi="Calibri" w:cs="Arial"/>
          <w:lang w:val="nl-BE"/>
        </w:rPr>
        <w:t xml:space="preserve">, die </w:t>
      </w:r>
      <w:r w:rsidR="000B29FB" w:rsidRPr="00804A14">
        <w:rPr>
          <w:rFonts w:ascii="Calibri" w:hAnsi="Calibri" w:cs="Arial"/>
          <w:lang w:val="nl-BE"/>
        </w:rPr>
        <w:t>onderling kunnen concurreren</w:t>
      </w:r>
      <w:r w:rsidR="00804A14">
        <w:rPr>
          <w:rStyle w:val="Voetnootmarkering"/>
          <w:rFonts w:ascii="Calibri" w:hAnsi="Calibri" w:cs="Arial"/>
          <w:lang w:val="nl-BE"/>
        </w:rPr>
        <w:footnoteReference w:id="15"/>
      </w:r>
      <w:r w:rsidR="000B29FB" w:rsidRPr="00D9172E">
        <w:rPr>
          <w:rFonts w:ascii="Calibri" w:hAnsi="Calibri" w:cs="Arial"/>
          <w:lang w:val="nl-BE"/>
        </w:rPr>
        <w:t>.</w:t>
      </w:r>
      <w:r w:rsidR="00777DF6" w:rsidRPr="00D9172E">
        <w:rPr>
          <w:rFonts w:ascii="Calibri" w:hAnsi="Calibri" w:cs="Arial"/>
          <w:lang w:val="nl-BE"/>
        </w:rPr>
        <w:t xml:space="preserve"> Schuldeisers kunnen immers vrij kiezen tot welke gerechtsdeurwaarder zij zich wenden voor het </w:t>
      </w:r>
      <w:r w:rsidR="00164F52" w:rsidRPr="00D9172E">
        <w:rPr>
          <w:rFonts w:ascii="Calibri" w:hAnsi="Calibri" w:cs="Arial"/>
          <w:lang w:val="nl-BE"/>
        </w:rPr>
        <w:t xml:space="preserve">regelen van hun schuldvorderingen. </w:t>
      </w:r>
    </w:p>
    <w:p w14:paraId="39B18B3D" w14:textId="77777777" w:rsidR="00E27787" w:rsidRPr="00D9172E" w:rsidRDefault="00E27787" w:rsidP="002532B7">
      <w:pPr>
        <w:spacing w:line="276" w:lineRule="auto"/>
        <w:rPr>
          <w:rFonts w:ascii="Calibri" w:hAnsi="Calibri" w:cs="Arial"/>
          <w:lang w:val="nl-BE"/>
        </w:rPr>
      </w:pPr>
    </w:p>
    <w:p w14:paraId="26CAC793" w14:textId="4745C470" w:rsidR="007306F9" w:rsidRPr="00D9172E" w:rsidRDefault="001B44A2" w:rsidP="002532B7">
      <w:pPr>
        <w:pStyle w:val="Kop3"/>
        <w:spacing w:line="276" w:lineRule="auto"/>
        <w:rPr>
          <w:lang w:val="nl-BE"/>
        </w:rPr>
      </w:pPr>
      <w:bookmarkStart w:id="7" w:name="_Toc40689946"/>
      <w:r>
        <w:rPr>
          <w:lang w:val="nl-BE"/>
        </w:rPr>
        <w:t xml:space="preserve">Afdeling III: </w:t>
      </w:r>
      <w:r w:rsidR="00B86283" w:rsidRPr="00D9172E">
        <w:rPr>
          <w:lang w:val="nl-BE"/>
        </w:rPr>
        <w:t>Benoemingsprocedure</w:t>
      </w:r>
      <w:bookmarkEnd w:id="7"/>
    </w:p>
    <w:p w14:paraId="44629969" w14:textId="77777777" w:rsidR="00B86283" w:rsidRPr="00D9172E" w:rsidRDefault="00B86283" w:rsidP="002532B7">
      <w:pPr>
        <w:spacing w:line="276" w:lineRule="auto"/>
        <w:rPr>
          <w:rFonts w:ascii="Calibri" w:hAnsi="Calibri" w:cs="Arial"/>
          <w:i/>
          <w:lang w:val="nl-BE"/>
        </w:rPr>
      </w:pPr>
    </w:p>
    <w:p w14:paraId="7239255C" w14:textId="4AA9BAD7" w:rsidR="00DF3C30" w:rsidRPr="00D9172E" w:rsidRDefault="005D3C3E" w:rsidP="00643A25">
      <w:pPr>
        <w:spacing w:line="276" w:lineRule="auto"/>
        <w:jc w:val="both"/>
        <w:rPr>
          <w:rFonts w:ascii="Calibri" w:hAnsi="Calibri" w:cs="Arial"/>
          <w:lang w:val="nl-BE"/>
        </w:rPr>
      </w:pPr>
      <w:r>
        <w:rPr>
          <w:rFonts w:ascii="Calibri" w:hAnsi="Calibri" w:cs="Arial"/>
          <w:b/>
          <w:lang w:val="nl-BE"/>
        </w:rPr>
        <w:t>7</w:t>
      </w:r>
      <w:r w:rsidR="00BE32AE" w:rsidRPr="00D9172E">
        <w:rPr>
          <w:rFonts w:ascii="Calibri" w:hAnsi="Calibri" w:cs="Arial"/>
          <w:lang w:val="nl-BE"/>
        </w:rPr>
        <w:t xml:space="preserve">. </w:t>
      </w:r>
      <w:r w:rsidR="00DF3C30" w:rsidRPr="00D9172E">
        <w:rPr>
          <w:rFonts w:ascii="Calibri" w:hAnsi="Calibri" w:cs="Arial"/>
          <w:lang w:val="nl-BE"/>
        </w:rPr>
        <w:t>Hoewel de benoemingsprocedure integraal geregeld is in</w:t>
      </w:r>
      <w:r w:rsidR="00DC54EE" w:rsidRPr="00D9172E">
        <w:rPr>
          <w:rFonts w:ascii="Calibri" w:hAnsi="Calibri" w:cs="Arial"/>
          <w:lang w:val="nl-BE"/>
        </w:rPr>
        <w:t xml:space="preserve"> </w:t>
      </w:r>
      <w:r w:rsidR="00DF3C30" w:rsidRPr="00D9172E">
        <w:rPr>
          <w:rFonts w:ascii="Calibri" w:hAnsi="Calibri" w:cs="Arial"/>
          <w:lang w:val="nl-BE"/>
        </w:rPr>
        <w:t xml:space="preserve">het Gerechtelijk Wetboek, is het met het oog op de verdere inhoud van deze bachelorproef raadzaam om de voorwaarden en procedure </w:t>
      </w:r>
      <w:r w:rsidR="00F65288" w:rsidRPr="00D9172E">
        <w:rPr>
          <w:rFonts w:ascii="Calibri" w:hAnsi="Calibri" w:cs="Arial"/>
          <w:lang w:val="nl-BE"/>
        </w:rPr>
        <w:t xml:space="preserve">tot benoeming toch </w:t>
      </w:r>
      <w:r w:rsidR="00DF3C30" w:rsidRPr="00D9172E">
        <w:rPr>
          <w:rFonts w:ascii="Calibri" w:hAnsi="Calibri" w:cs="Arial"/>
          <w:lang w:val="nl-BE"/>
        </w:rPr>
        <w:t>te overlopen.</w:t>
      </w:r>
      <w:r w:rsidR="00130B13" w:rsidRPr="00D9172E">
        <w:rPr>
          <w:rFonts w:ascii="Calibri" w:hAnsi="Calibri" w:cs="Arial"/>
          <w:lang w:val="nl-BE"/>
        </w:rPr>
        <w:t xml:space="preserve"> Een aanzienlijk luik van de hervorming heeft immers betrekking o</w:t>
      </w:r>
      <w:r w:rsidR="000F2384" w:rsidRPr="00D9172E">
        <w:rPr>
          <w:rFonts w:ascii="Calibri" w:hAnsi="Calibri" w:cs="Arial"/>
          <w:lang w:val="nl-BE"/>
        </w:rPr>
        <w:t>p de stage en de kandidatuur voor</w:t>
      </w:r>
      <w:r w:rsidR="00130B13" w:rsidRPr="00D9172E">
        <w:rPr>
          <w:rFonts w:ascii="Calibri" w:hAnsi="Calibri" w:cs="Arial"/>
          <w:lang w:val="nl-BE"/>
        </w:rPr>
        <w:t xml:space="preserve"> het gerechtsdeurwaardersambt.</w:t>
      </w:r>
      <w:r w:rsidR="00DF3C30" w:rsidRPr="00D9172E">
        <w:rPr>
          <w:rFonts w:ascii="Calibri" w:hAnsi="Calibri" w:cs="Arial"/>
          <w:lang w:val="nl-BE"/>
        </w:rPr>
        <w:t xml:space="preserve"> </w:t>
      </w:r>
    </w:p>
    <w:p w14:paraId="686ED7A9" w14:textId="77777777" w:rsidR="00DF3C30" w:rsidRPr="00D9172E" w:rsidRDefault="00DF3C30" w:rsidP="002532B7">
      <w:pPr>
        <w:spacing w:line="276" w:lineRule="auto"/>
        <w:rPr>
          <w:rFonts w:ascii="Calibri" w:hAnsi="Calibri" w:cs="Arial"/>
          <w:lang w:val="nl-BE"/>
        </w:rPr>
      </w:pPr>
    </w:p>
    <w:p w14:paraId="56878FA6" w14:textId="0D0E9F79" w:rsidR="00375C2C" w:rsidRDefault="005D3C3E" w:rsidP="00643A25">
      <w:pPr>
        <w:spacing w:line="276" w:lineRule="auto"/>
        <w:jc w:val="both"/>
        <w:rPr>
          <w:rFonts w:ascii="Calibri" w:hAnsi="Calibri" w:cs="Arial"/>
          <w:lang w:val="nl-BE"/>
        </w:rPr>
      </w:pPr>
      <w:r>
        <w:rPr>
          <w:rFonts w:ascii="Calibri" w:hAnsi="Calibri" w:cs="Arial"/>
          <w:b/>
          <w:lang w:val="nl-BE"/>
        </w:rPr>
        <w:t>8</w:t>
      </w:r>
      <w:r w:rsidR="00BE32AE" w:rsidRPr="00D9172E">
        <w:rPr>
          <w:rFonts w:ascii="Calibri" w:hAnsi="Calibri" w:cs="Arial"/>
          <w:lang w:val="nl-BE"/>
        </w:rPr>
        <w:t xml:space="preserve">. </w:t>
      </w:r>
      <w:r w:rsidR="00DF3C30" w:rsidRPr="00D9172E">
        <w:rPr>
          <w:rFonts w:ascii="Calibri" w:hAnsi="Calibri" w:cs="Arial"/>
          <w:lang w:val="nl-BE"/>
        </w:rPr>
        <w:t>De weg die een gerechtsdeurwaarder-titularis</w:t>
      </w:r>
      <w:r w:rsidR="001B15B4" w:rsidRPr="00D9172E">
        <w:rPr>
          <w:rFonts w:ascii="Calibri" w:hAnsi="Calibri" w:cs="Arial"/>
          <w:lang w:val="nl-BE"/>
        </w:rPr>
        <w:t xml:space="preserve"> </w:t>
      </w:r>
      <w:r w:rsidR="00DF3C30" w:rsidRPr="00D9172E">
        <w:rPr>
          <w:rFonts w:ascii="Calibri" w:hAnsi="Calibri" w:cs="Arial"/>
          <w:lang w:val="nl-BE"/>
        </w:rPr>
        <w:t>heeft</w:t>
      </w:r>
      <w:r w:rsidR="000C1FC2" w:rsidRPr="00D9172E">
        <w:rPr>
          <w:rFonts w:ascii="Calibri" w:hAnsi="Calibri" w:cs="Arial"/>
          <w:lang w:val="nl-BE"/>
        </w:rPr>
        <w:t xml:space="preserve"> afgelegd in aanloop naar zijn eigenlijke</w:t>
      </w:r>
      <w:r w:rsidR="00DF3C30" w:rsidRPr="00D9172E">
        <w:rPr>
          <w:rFonts w:ascii="Calibri" w:hAnsi="Calibri" w:cs="Arial"/>
          <w:lang w:val="nl-BE"/>
        </w:rPr>
        <w:t xml:space="preserve"> benoeming, is lang.</w:t>
      </w:r>
      <w:r w:rsidR="00455C28" w:rsidRPr="00D9172E">
        <w:rPr>
          <w:rFonts w:ascii="Calibri" w:hAnsi="Calibri" w:cs="Arial"/>
          <w:lang w:val="nl-BE"/>
        </w:rPr>
        <w:t xml:space="preserve"> De benoeming hangt</w:t>
      </w:r>
      <w:r w:rsidR="00534582" w:rsidRPr="00D9172E">
        <w:rPr>
          <w:rFonts w:ascii="Calibri" w:hAnsi="Calibri" w:cs="Arial"/>
          <w:lang w:val="nl-BE"/>
        </w:rPr>
        <w:t xml:space="preserve"> namelijk af van</w:t>
      </w:r>
      <w:r w:rsidR="00455C28" w:rsidRPr="00D9172E">
        <w:rPr>
          <w:rFonts w:ascii="Calibri" w:hAnsi="Calibri" w:cs="Arial"/>
          <w:lang w:val="nl-BE"/>
        </w:rPr>
        <w:t xml:space="preserve"> </w:t>
      </w:r>
      <w:r w:rsidR="00534582" w:rsidRPr="00D9172E">
        <w:rPr>
          <w:rFonts w:ascii="Calibri" w:hAnsi="Calibri" w:cs="Arial"/>
          <w:lang w:val="nl-BE"/>
        </w:rPr>
        <w:t xml:space="preserve">strikte wettelijke voorwaarden en wordt voorafgegaan door een complexe procedure waar heel wat partijen bij betrokken zijn. </w:t>
      </w:r>
      <w:r w:rsidR="00DF3C30" w:rsidRPr="00D9172E">
        <w:rPr>
          <w:rFonts w:ascii="Calibri" w:hAnsi="Calibri" w:cs="Arial"/>
          <w:lang w:val="nl-BE"/>
        </w:rPr>
        <w:t xml:space="preserve"> </w:t>
      </w:r>
    </w:p>
    <w:p w14:paraId="45C509A7" w14:textId="7712599E" w:rsidR="007306F9" w:rsidRPr="00D9172E" w:rsidRDefault="00DF3C30" w:rsidP="00547C14">
      <w:pPr>
        <w:spacing w:line="276" w:lineRule="auto"/>
        <w:jc w:val="both"/>
        <w:rPr>
          <w:rFonts w:ascii="Calibri" w:hAnsi="Calibri" w:cs="Arial"/>
          <w:lang w:val="nl-BE"/>
        </w:rPr>
      </w:pPr>
      <w:r w:rsidRPr="00D9172E">
        <w:rPr>
          <w:rFonts w:ascii="Calibri" w:hAnsi="Calibri" w:cs="Arial"/>
          <w:lang w:val="nl-BE"/>
        </w:rPr>
        <w:t xml:space="preserve">Als eerste </w:t>
      </w:r>
      <w:r w:rsidR="00534582" w:rsidRPr="00D9172E">
        <w:rPr>
          <w:rFonts w:ascii="Calibri" w:hAnsi="Calibri" w:cs="Arial"/>
          <w:lang w:val="nl-BE"/>
        </w:rPr>
        <w:t xml:space="preserve">professionele ervaring dient de </w:t>
      </w:r>
      <w:r w:rsidR="00956987">
        <w:rPr>
          <w:rFonts w:ascii="Calibri" w:hAnsi="Calibri" w:cs="Arial"/>
          <w:lang w:val="nl-BE"/>
        </w:rPr>
        <w:t>alumnus</w:t>
      </w:r>
      <w:r w:rsidR="005B1119">
        <w:rPr>
          <w:rFonts w:ascii="Calibri" w:hAnsi="Calibri" w:cs="Arial"/>
          <w:lang w:val="nl-BE"/>
        </w:rPr>
        <w:t xml:space="preserve"> in de Rechten </w:t>
      </w:r>
      <w:r w:rsidRPr="00D9172E">
        <w:rPr>
          <w:rFonts w:ascii="Calibri" w:hAnsi="Calibri" w:cs="Arial"/>
          <w:lang w:val="nl-BE"/>
        </w:rPr>
        <w:t>een stage van minstens twee volle</w:t>
      </w:r>
      <w:r w:rsidR="00B830D3" w:rsidRPr="00D9172E">
        <w:rPr>
          <w:rFonts w:ascii="Calibri" w:hAnsi="Calibri" w:cs="Arial"/>
          <w:lang w:val="nl-BE"/>
        </w:rPr>
        <w:t>, ononderbroken</w:t>
      </w:r>
      <w:r w:rsidRPr="00D9172E">
        <w:rPr>
          <w:rFonts w:ascii="Calibri" w:hAnsi="Calibri" w:cs="Arial"/>
          <w:lang w:val="nl-BE"/>
        </w:rPr>
        <w:t xml:space="preserve"> jaren te doorlopen op een gerechtsdeurwaarderskantoor</w:t>
      </w:r>
      <w:r w:rsidR="003269E7" w:rsidRPr="00D9172E">
        <w:rPr>
          <w:rStyle w:val="Voetnootmarkering"/>
          <w:rFonts w:ascii="Calibri" w:hAnsi="Calibri" w:cs="Arial"/>
          <w:lang w:val="nl-BE"/>
        </w:rPr>
        <w:footnoteReference w:id="16"/>
      </w:r>
      <w:r w:rsidRPr="00D9172E">
        <w:rPr>
          <w:rFonts w:ascii="Calibri" w:hAnsi="Calibri" w:cs="Arial"/>
          <w:lang w:val="nl-BE"/>
        </w:rPr>
        <w:t>. Het spreekt voor zic</w:t>
      </w:r>
      <w:r w:rsidR="00130B13" w:rsidRPr="00D9172E">
        <w:rPr>
          <w:rFonts w:ascii="Calibri" w:hAnsi="Calibri" w:cs="Arial"/>
          <w:lang w:val="nl-BE"/>
        </w:rPr>
        <w:t>h dat hiervoor een diploma van M</w:t>
      </w:r>
      <w:r w:rsidRPr="00D9172E">
        <w:rPr>
          <w:rFonts w:ascii="Calibri" w:hAnsi="Calibri" w:cs="Arial"/>
          <w:lang w:val="nl-BE"/>
        </w:rPr>
        <w:t>aster of Doctor in de Rechten vereist is</w:t>
      </w:r>
      <w:r w:rsidR="00EB2F39" w:rsidRPr="00D9172E">
        <w:rPr>
          <w:rStyle w:val="Voetnootmarkering"/>
          <w:rFonts w:ascii="Calibri" w:hAnsi="Calibri" w:cs="Arial"/>
          <w:lang w:val="nl-BE"/>
        </w:rPr>
        <w:footnoteReference w:id="17"/>
      </w:r>
      <w:r w:rsidR="00643A25">
        <w:rPr>
          <w:rFonts w:ascii="Calibri" w:hAnsi="Calibri" w:cs="Arial"/>
          <w:lang w:val="nl-BE"/>
        </w:rPr>
        <w:t>.</w:t>
      </w:r>
    </w:p>
    <w:p w14:paraId="6FDF174D" w14:textId="68E967F7" w:rsidR="00DF3C30" w:rsidRPr="00D9172E" w:rsidRDefault="00734471" w:rsidP="00547C14">
      <w:pPr>
        <w:spacing w:line="276" w:lineRule="auto"/>
        <w:jc w:val="both"/>
        <w:rPr>
          <w:rFonts w:ascii="Calibri" w:hAnsi="Calibri" w:cs="Arial"/>
          <w:lang w:val="nl-BE"/>
        </w:rPr>
      </w:pPr>
      <w:r w:rsidRPr="00D9172E">
        <w:rPr>
          <w:rFonts w:ascii="Calibri" w:hAnsi="Calibri" w:cs="Arial"/>
          <w:lang w:val="nl-BE"/>
        </w:rPr>
        <w:t>De stage verleent de stagiair de mogelijkheid om vertrouwd</w:t>
      </w:r>
      <w:r w:rsidR="000C1FC2" w:rsidRPr="00D9172E">
        <w:rPr>
          <w:rFonts w:ascii="Calibri" w:hAnsi="Calibri" w:cs="Arial"/>
          <w:lang w:val="nl-BE"/>
        </w:rPr>
        <w:t xml:space="preserve"> te raken met het ambt en de eerste ervaringen op te doen. </w:t>
      </w:r>
      <w:r w:rsidR="00B830D3" w:rsidRPr="00D9172E">
        <w:rPr>
          <w:rFonts w:ascii="Calibri" w:hAnsi="Calibri" w:cs="Arial"/>
          <w:lang w:val="nl-BE"/>
        </w:rPr>
        <w:t xml:space="preserve">Een complete taakomschrijving van de stagiair wordt aangegeven in </w:t>
      </w:r>
      <w:r w:rsidR="00470B50" w:rsidRPr="00D9172E">
        <w:rPr>
          <w:rFonts w:ascii="Calibri" w:hAnsi="Calibri" w:cs="Arial"/>
          <w:lang w:val="nl-BE"/>
        </w:rPr>
        <w:t xml:space="preserve">het </w:t>
      </w:r>
      <w:r w:rsidR="00B830D3" w:rsidRPr="00D9172E">
        <w:rPr>
          <w:rFonts w:ascii="Calibri" w:hAnsi="Calibri" w:cs="Arial"/>
          <w:lang w:val="nl-BE"/>
        </w:rPr>
        <w:t>uitvoeringsbesluit van 2 april 2014</w:t>
      </w:r>
      <w:r w:rsidR="005B1119">
        <w:rPr>
          <w:rFonts w:ascii="Calibri" w:hAnsi="Calibri" w:cs="Arial"/>
          <w:lang w:val="nl-BE"/>
        </w:rPr>
        <w:t xml:space="preserve"> voor de wet van 7 januari 2014 tot wijziging van het statuut van de gerechtsdeurwaarders</w:t>
      </w:r>
      <w:r w:rsidR="00B830D3" w:rsidRPr="00D9172E">
        <w:rPr>
          <w:rFonts w:ascii="Calibri" w:hAnsi="Calibri" w:cs="Arial"/>
          <w:lang w:val="nl-BE"/>
        </w:rPr>
        <w:t>.</w:t>
      </w:r>
      <w:r w:rsidR="00470B50" w:rsidRPr="00D9172E">
        <w:rPr>
          <w:rStyle w:val="Voetnootmarkering"/>
          <w:rFonts w:ascii="Calibri" w:hAnsi="Calibri" w:cs="Arial"/>
          <w:lang w:val="nl-BE"/>
        </w:rPr>
        <w:footnoteReference w:id="18"/>
      </w:r>
    </w:p>
    <w:p w14:paraId="5EAE7348" w14:textId="77777777" w:rsidR="00F53CF6" w:rsidRPr="00D9172E" w:rsidRDefault="00F53CF6" w:rsidP="002532B7">
      <w:pPr>
        <w:spacing w:line="276" w:lineRule="auto"/>
        <w:rPr>
          <w:rFonts w:ascii="Calibri" w:hAnsi="Calibri" w:cs="Arial"/>
          <w:lang w:val="nl-BE"/>
        </w:rPr>
      </w:pPr>
    </w:p>
    <w:p w14:paraId="0471C611" w14:textId="42E2C643" w:rsidR="0006659C" w:rsidRPr="00D9172E" w:rsidRDefault="005D3C3E" w:rsidP="00547C14">
      <w:pPr>
        <w:spacing w:line="276" w:lineRule="auto"/>
        <w:jc w:val="both"/>
        <w:rPr>
          <w:rFonts w:ascii="Calibri" w:hAnsi="Calibri" w:cs="Arial"/>
          <w:lang w:val="nl-BE"/>
        </w:rPr>
      </w:pPr>
      <w:r>
        <w:rPr>
          <w:rFonts w:ascii="Calibri" w:hAnsi="Calibri" w:cs="Arial"/>
          <w:b/>
          <w:lang w:val="nl-BE"/>
        </w:rPr>
        <w:t>9</w:t>
      </w:r>
      <w:r w:rsidR="00BE32AE" w:rsidRPr="005D3C3E">
        <w:rPr>
          <w:rFonts w:ascii="Calibri" w:hAnsi="Calibri" w:cs="Arial"/>
          <w:lang w:val="nl-BE"/>
        </w:rPr>
        <w:t xml:space="preserve">. </w:t>
      </w:r>
      <w:r w:rsidR="00911859" w:rsidRPr="005D3C3E">
        <w:rPr>
          <w:rFonts w:ascii="Calibri" w:hAnsi="Calibri" w:cs="Arial"/>
          <w:lang w:val="nl-BE"/>
        </w:rPr>
        <w:t xml:space="preserve">Na </w:t>
      </w:r>
      <w:r w:rsidR="00C36AC6">
        <w:rPr>
          <w:rFonts w:ascii="Calibri" w:hAnsi="Calibri" w:cs="Arial"/>
          <w:lang w:val="nl-BE"/>
        </w:rPr>
        <w:t xml:space="preserve">succesvolle </w:t>
      </w:r>
      <w:r w:rsidR="00911859" w:rsidRPr="005D3C3E">
        <w:rPr>
          <w:rFonts w:ascii="Calibri" w:hAnsi="Calibri" w:cs="Arial"/>
          <w:lang w:val="nl-BE"/>
        </w:rPr>
        <w:t xml:space="preserve">afloop van de stage verkrijgt de </w:t>
      </w:r>
      <w:r w:rsidR="00F53CF6" w:rsidRPr="005D3C3E">
        <w:rPr>
          <w:rFonts w:ascii="Calibri" w:hAnsi="Calibri" w:cs="Arial"/>
          <w:lang w:val="nl-BE"/>
        </w:rPr>
        <w:t xml:space="preserve">stagiair een </w:t>
      </w:r>
      <w:r w:rsidR="00CB1EE4" w:rsidRPr="005D3C3E">
        <w:rPr>
          <w:rFonts w:ascii="Calibri" w:hAnsi="Calibri" w:cs="Arial"/>
          <w:lang w:val="nl-BE"/>
        </w:rPr>
        <w:t xml:space="preserve">stagecertificaat. </w:t>
      </w:r>
      <w:r w:rsidR="00413AAF" w:rsidRPr="005D3C3E">
        <w:rPr>
          <w:rFonts w:ascii="Calibri" w:hAnsi="Calibri" w:cs="Arial"/>
          <w:lang w:val="nl-BE"/>
        </w:rPr>
        <w:t xml:space="preserve">Dit is </w:t>
      </w:r>
      <w:r w:rsidR="005C08C2" w:rsidRPr="005D3C3E">
        <w:rPr>
          <w:rFonts w:ascii="Calibri" w:hAnsi="Calibri" w:cs="Arial"/>
          <w:lang w:val="nl-BE"/>
        </w:rPr>
        <w:t>een noodzakelijk document om aanspraak te maken op de benoeming tot kandidaat-gerechtsdeurwaarder</w:t>
      </w:r>
      <w:r w:rsidR="007201B5" w:rsidRPr="005D3C3E">
        <w:rPr>
          <w:rFonts w:ascii="Calibri" w:hAnsi="Calibri" w:cs="Arial"/>
          <w:lang w:val="nl-BE"/>
        </w:rPr>
        <w:t>.</w:t>
      </w:r>
      <w:r w:rsidR="007201B5" w:rsidRPr="00D9172E">
        <w:rPr>
          <w:rFonts w:ascii="Calibri" w:hAnsi="Calibri" w:cs="Arial"/>
          <w:lang w:val="nl-BE"/>
        </w:rPr>
        <w:t xml:space="preserve"> </w:t>
      </w:r>
      <w:r w:rsidR="00C45062" w:rsidRPr="00D9172E">
        <w:rPr>
          <w:rFonts w:ascii="Calibri" w:hAnsi="Calibri" w:cs="Arial"/>
          <w:lang w:val="nl-BE"/>
        </w:rPr>
        <w:t xml:space="preserve">Die benoeming </w:t>
      </w:r>
      <w:r w:rsidR="007201B5" w:rsidRPr="00D9172E">
        <w:rPr>
          <w:rFonts w:ascii="Calibri" w:hAnsi="Calibri" w:cs="Arial"/>
          <w:lang w:val="nl-BE"/>
        </w:rPr>
        <w:t>gebeurt jaarlijks</w:t>
      </w:r>
      <w:r w:rsidR="003E177D" w:rsidRPr="00D9172E">
        <w:rPr>
          <w:rFonts w:ascii="Calibri" w:hAnsi="Calibri" w:cs="Arial"/>
          <w:lang w:val="nl-BE"/>
        </w:rPr>
        <w:t xml:space="preserve"> bij koninklijk besluit, voorafg</w:t>
      </w:r>
      <w:r w:rsidR="001A2874">
        <w:rPr>
          <w:rFonts w:ascii="Calibri" w:hAnsi="Calibri" w:cs="Arial"/>
          <w:lang w:val="nl-BE"/>
        </w:rPr>
        <w:t>egaan</w:t>
      </w:r>
      <w:r w:rsidR="003E177D" w:rsidRPr="00D9172E">
        <w:rPr>
          <w:rFonts w:ascii="Calibri" w:hAnsi="Calibri" w:cs="Arial"/>
          <w:lang w:val="nl-BE"/>
        </w:rPr>
        <w:t xml:space="preserve"> door het advies van de NKGB</w:t>
      </w:r>
      <w:r w:rsidR="001A098C">
        <w:rPr>
          <w:rStyle w:val="Voetnootmarkering"/>
          <w:rFonts w:ascii="Calibri" w:hAnsi="Calibri" w:cs="Arial"/>
          <w:lang w:val="nl-BE"/>
        </w:rPr>
        <w:footnoteReference w:id="19"/>
      </w:r>
      <w:r w:rsidR="003E177D" w:rsidRPr="00D9172E">
        <w:rPr>
          <w:rFonts w:ascii="Calibri" w:hAnsi="Calibri" w:cs="Arial"/>
          <w:lang w:val="nl-BE"/>
        </w:rPr>
        <w:t xml:space="preserve">. </w:t>
      </w:r>
      <w:r w:rsidR="00BE2890" w:rsidRPr="00D9172E">
        <w:rPr>
          <w:rFonts w:ascii="Calibri" w:hAnsi="Calibri" w:cs="Arial"/>
          <w:lang w:val="nl-BE"/>
        </w:rPr>
        <w:t>Aan de hand</w:t>
      </w:r>
      <w:r w:rsidR="003E177D" w:rsidRPr="00D9172E">
        <w:rPr>
          <w:rFonts w:ascii="Calibri" w:hAnsi="Calibri" w:cs="Arial"/>
          <w:lang w:val="nl-BE"/>
        </w:rPr>
        <w:t xml:space="preserve"> van dit advies, </w:t>
      </w:r>
      <w:r w:rsidR="005B1119">
        <w:rPr>
          <w:rFonts w:ascii="Calibri" w:hAnsi="Calibri" w:cs="Arial"/>
          <w:lang w:val="nl-BE"/>
        </w:rPr>
        <w:t xml:space="preserve">dat </w:t>
      </w:r>
      <w:r w:rsidR="003E177D" w:rsidRPr="00D9172E">
        <w:rPr>
          <w:rFonts w:ascii="Calibri" w:hAnsi="Calibri" w:cs="Arial"/>
          <w:lang w:val="nl-BE"/>
        </w:rPr>
        <w:t>gebaseerd</w:t>
      </w:r>
      <w:r w:rsidR="005B1119">
        <w:rPr>
          <w:rFonts w:ascii="Calibri" w:hAnsi="Calibri" w:cs="Arial"/>
          <w:lang w:val="nl-BE"/>
        </w:rPr>
        <w:t xml:space="preserve"> is</w:t>
      </w:r>
      <w:r w:rsidR="003E177D" w:rsidRPr="00D9172E">
        <w:rPr>
          <w:rFonts w:ascii="Calibri" w:hAnsi="Calibri" w:cs="Arial"/>
          <w:lang w:val="nl-BE"/>
        </w:rPr>
        <w:t xml:space="preserve"> op </w:t>
      </w:r>
      <w:r w:rsidR="00947620" w:rsidRPr="00D9172E">
        <w:rPr>
          <w:rFonts w:ascii="Calibri" w:hAnsi="Calibri" w:cs="Arial"/>
          <w:lang w:val="nl-BE"/>
        </w:rPr>
        <w:t xml:space="preserve">allerlei nieuwe </w:t>
      </w:r>
      <w:r w:rsidR="003E177D" w:rsidRPr="00D9172E">
        <w:rPr>
          <w:rFonts w:ascii="Calibri" w:hAnsi="Calibri" w:cs="Arial"/>
          <w:lang w:val="nl-BE"/>
        </w:rPr>
        <w:t>omstandigheden</w:t>
      </w:r>
      <w:r w:rsidR="00024875">
        <w:rPr>
          <w:rFonts w:ascii="Calibri" w:hAnsi="Calibri" w:cs="Arial"/>
          <w:lang w:val="nl-BE"/>
        </w:rPr>
        <w:t xml:space="preserve"> binnen het korps</w:t>
      </w:r>
      <w:r w:rsidR="003E177D" w:rsidRPr="00D9172E">
        <w:rPr>
          <w:rFonts w:ascii="Calibri" w:hAnsi="Calibri" w:cs="Arial"/>
          <w:lang w:val="nl-BE"/>
        </w:rPr>
        <w:t xml:space="preserve">, stelt de koning – in de praktijk uiteraard het kabinet van de minister van Justitie – het aantal </w:t>
      </w:r>
      <w:r w:rsidR="005B1119">
        <w:rPr>
          <w:rFonts w:ascii="Calibri" w:hAnsi="Calibri" w:cs="Arial"/>
          <w:lang w:val="nl-BE"/>
        </w:rPr>
        <w:t xml:space="preserve">te benoemen </w:t>
      </w:r>
      <w:r w:rsidR="003E177D" w:rsidRPr="00D9172E">
        <w:rPr>
          <w:rFonts w:ascii="Calibri" w:hAnsi="Calibri" w:cs="Arial"/>
          <w:lang w:val="nl-BE"/>
        </w:rPr>
        <w:t xml:space="preserve">kandidaat-gerechtsdeurwaarders voor dat jaar </w:t>
      </w:r>
      <w:r w:rsidR="00AB2605" w:rsidRPr="00D9172E">
        <w:rPr>
          <w:rFonts w:ascii="Calibri" w:hAnsi="Calibri" w:cs="Arial"/>
          <w:lang w:val="nl-BE"/>
        </w:rPr>
        <w:t>vast in een koninklijk besluit</w:t>
      </w:r>
      <w:r w:rsidR="00AB2605" w:rsidRPr="00D9172E">
        <w:rPr>
          <w:rStyle w:val="Voetnootmarkering"/>
          <w:rFonts w:ascii="Calibri" w:hAnsi="Calibri" w:cs="Arial"/>
          <w:lang w:val="nl-BE"/>
        </w:rPr>
        <w:footnoteReference w:id="20"/>
      </w:r>
      <w:r w:rsidR="005C6669">
        <w:rPr>
          <w:rFonts w:ascii="Calibri" w:hAnsi="Calibri" w:cs="Arial"/>
          <w:lang w:val="nl-BE"/>
        </w:rPr>
        <w:t xml:space="preserve">. </w:t>
      </w:r>
      <w:r w:rsidR="00C45062" w:rsidRPr="00D9172E">
        <w:rPr>
          <w:rFonts w:ascii="Calibri" w:hAnsi="Calibri" w:cs="Arial"/>
          <w:lang w:val="nl-BE"/>
        </w:rPr>
        <w:t xml:space="preserve">De benoeming </w:t>
      </w:r>
      <w:r w:rsidR="00BD54CE">
        <w:rPr>
          <w:rFonts w:ascii="Calibri" w:hAnsi="Calibri" w:cs="Arial"/>
          <w:lang w:val="nl-BE"/>
        </w:rPr>
        <w:t xml:space="preserve">tot kandidaat-gerechtsdeurwaarder </w:t>
      </w:r>
      <w:r w:rsidR="00C45062" w:rsidRPr="00D9172E">
        <w:rPr>
          <w:rFonts w:ascii="Calibri" w:hAnsi="Calibri" w:cs="Arial"/>
          <w:lang w:val="nl-BE"/>
        </w:rPr>
        <w:t>is</w:t>
      </w:r>
      <w:r w:rsidR="00063EE8">
        <w:rPr>
          <w:rFonts w:ascii="Calibri" w:hAnsi="Calibri" w:cs="Arial"/>
          <w:lang w:val="nl-BE"/>
        </w:rPr>
        <w:t xml:space="preserve">, </w:t>
      </w:r>
      <w:r w:rsidR="00AB2605" w:rsidRPr="00D9172E">
        <w:rPr>
          <w:rFonts w:ascii="Calibri" w:hAnsi="Calibri" w:cs="Arial"/>
          <w:lang w:val="nl-BE"/>
        </w:rPr>
        <w:t>in tegenstelling tot vroeger</w:t>
      </w:r>
      <w:r w:rsidR="00DB1D54">
        <w:rPr>
          <w:rStyle w:val="Voetnootmarkering"/>
          <w:rFonts w:ascii="Calibri" w:hAnsi="Calibri" w:cs="Arial"/>
          <w:lang w:val="nl-BE"/>
        </w:rPr>
        <w:footnoteReference w:id="21"/>
      </w:r>
      <w:r w:rsidR="00063EE8">
        <w:rPr>
          <w:rFonts w:ascii="Calibri" w:hAnsi="Calibri" w:cs="Arial"/>
          <w:lang w:val="nl-BE"/>
        </w:rPr>
        <w:t xml:space="preserve">, </w:t>
      </w:r>
      <w:r w:rsidR="00C45062" w:rsidRPr="00D9172E">
        <w:rPr>
          <w:rFonts w:ascii="Calibri" w:hAnsi="Calibri" w:cs="Arial"/>
          <w:lang w:val="nl-BE"/>
        </w:rPr>
        <w:t xml:space="preserve">echter </w:t>
      </w:r>
      <w:r w:rsidR="00291A7D" w:rsidRPr="00D9172E">
        <w:rPr>
          <w:rFonts w:ascii="Calibri" w:hAnsi="Calibri" w:cs="Arial"/>
          <w:lang w:val="nl-BE"/>
        </w:rPr>
        <w:t>geenszins een</w:t>
      </w:r>
      <w:r w:rsidR="00C45062" w:rsidRPr="00D9172E">
        <w:rPr>
          <w:rFonts w:ascii="Calibri" w:hAnsi="Calibri" w:cs="Arial"/>
          <w:lang w:val="nl-BE"/>
        </w:rPr>
        <w:t xml:space="preserve"> certitude na het beëindigen van de stage: het aanbod is </w:t>
      </w:r>
      <w:r w:rsidR="0006659C" w:rsidRPr="00D9172E">
        <w:rPr>
          <w:rFonts w:ascii="Calibri" w:hAnsi="Calibri" w:cs="Arial"/>
          <w:lang w:val="nl-BE"/>
        </w:rPr>
        <w:t xml:space="preserve">groot, maar de plaatsen beperkt. Om die reden wordt er </w:t>
      </w:r>
      <w:r w:rsidR="00BE2890" w:rsidRPr="00D9172E">
        <w:rPr>
          <w:rFonts w:ascii="Calibri" w:hAnsi="Calibri" w:cs="Arial"/>
          <w:lang w:val="nl-BE"/>
        </w:rPr>
        <w:t>een ver</w:t>
      </w:r>
      <w:r w:rsidR="009A5BB5" w:rsidRPr="00D9172E">
        <w:rPr>
          <w:rFonts w:ascii="Calibri" w:hAnsi="Calibri" w:cs="Arial"/>
          <w:lang w:val="nl-BE"/>
        </w:rPr>
        <w:t>gelijkend</w:t>
      </w:r>
      <w:r w:rsidR="00BE2890" w:rsidRPr="00D9172E">
        <w:rPr>
          <w:rFonts w:ascii="Calibri" w:hAnsi="Calibri" w:cs="Arial"/>
          <w:lang w:val="nl-BE"/>
        </w:rPr>
        <w:t xml:space="preserve"> examen georganiseerd voor alle houders van het stagecertificaat die binnen de termijn van een maand na publicatie van het KB hu</w:t>
      </w:r>
      <w:r w:rsidR="00AB2605" w:rsidRPr="00D9172E">
        <w:rPr>
          <w:rFonts w:ascii="Calibri" w:hAnsi="Calibri" w:cs="Arial"/>
          <w:lang w:val="nl-BE"/>
        </w:rPr>
        <w:t>n kandidatuur hebben ingediend.</w:t>
      </w:r>
      <w:r w:rsidR="00AB2605" w:rsidRPr="00D9172E">
        <w:rPr>
          <w:rStyle w:val="Voetnootmarkering"/>
          <w:rFonts w:ascii="Calibri" w:hAnsi="Calibri" w:cs="Arial"/>
          <w:lang w:val="nl-BE"/>
        </w:rPr>
        <w:footnoteReference w:id="22"/>
      </w:r>
    </w:p>
    <w:p w14:paraId="5E4991FA" w14:textId="0E92A4D5" w:rsidR="00444CB5" w:rsidRDefault="002E3E2C" w:rsidP="00547C14">
      <w:pPr>
        <w:spacing w:line="276" w:lineRule="auto"/>
        <w:jc w:val="both"/>
        <w:rPr>
          <w:rFonts w:ascii="Calibri" w:hAnsi="Calibri" w:cs="Arial"/>
          <w:lang w:val="nl-BE"/>
        </w:rPr>
      </w:pPr>
      <w:r w:rsidRPr="00D9172E">
        <w:rPr>
          <w:rFonts w:ascii="Calibri" w:hAnsi="Calibri" w:cs="Arial"/>
          <w:lang w:val="nl-BE"/>
        </w:rPr>
        <w:br/>
      </w:r>
      <w:r w:rsidR="005D3C3E">
        <w:rPr>
          <w:rFonts w:ascii="Calibri" w:hAnsi="Calibri" w:cs="Arial"/>
          <w:b/>
          <w:lang w:val="nl-BE"/>
        </w:rPr>
        <w:t>10</w:t>
      </w:r>
      <w:r w:rsidRPr="00D9172E">
        <w:rPr>
          <w:rFonts w:ascii="Calibri" w:hAnsi="Calibri" w:cs="Arial"/>
          <w:lang w:val="nl-BE"/>
        </w:rPr>
        <w:t>.</w:t>
      </w:r>
      <w:r w:rsidR="003160D8" w:rsidRPr="00D9172E">
        <w:rPr>
          <w:rFonts w:ascii="Calibri" w:hAnsi="Calibri" w:cs="Arial"/>
          <w:lang w:val="nl-BE"/>
        </w:rPr>
        <w:t xml:space="preserve"> Het examenprogramma wordt jaarlijks bij ministerieel besluit door de minister van </w:t>
      </w:r>
      <w:r w:rsidR="003639CC" w:rsidRPr="00D9172E">
        <w:rPr>
          <w:rFonts w:ascii="Calibri" w:hAnsi="Calibri" w:cs="Arial"/>
          <w:lang w:val="nl-BE"/>
        </w:rPr>
        <w:t xml:space="preserve">Justitie </w:t>
      </w:r>
      <w:r w:rsidR="003160D8" w:rsidRPr="00D9172E">
        <w:rPr>
          <w:rFonts w:ascii="Calibri" w:hAnsi="Calibri" w:cs="Arial"/>
          <w:lang w:val="nl-BE"/>
        </w:rPr>
        <w:t>uitgevaardigd</w:t>
      </w:r>
      <w:r w:rsidR="003160D8" w:rsidRPr="00D9172E">
        <w:rPr>
          <w:rStyle w:val="Voetnootmarkering"/>
          <w:rFonts w:ascii="Calibri" w:hAnsi="Calibri" w:cs="Arial"/>
          <w:lang w:val="nl-BE"/>
        </w:rPr>
        <w:footnoteReference w:id="23"/>
      </w:r>
      <w:r w:rsidR="003160D8" w:rsidRPr="00D9172E">
        <w:rPr>
          <w:rFonts w:ascii="Calibri" w:hAnsi="Calibri" w:cs="Arial"/>
          <w:lang w:val="nl-BE"/>
        </w:rPr>
        <w:t>. Over het algemeen deelt de</w:t>
      </w:r>
      <w:r w:rsidR="00E73BED" w:rsidRPr="00D9172E">
        <w:rPr>
          <w:rFonts w:ascii="Calibri" w:hAnsi="Calibri" w:cs="Arial"/>
          <w:lang w:val="nl-BE"/>
        </w:rPr>
        <w:t xml:space="preserve"> N</w:t>
      </w:r>
      <w:r w:rsidR="005B1119">
        <w:rPr>
          <w:rFonts w:ascii="Calibri" w:hAnsi="Calibri" w:cs="Arial"/>
          <w:lang w:val="nl-BE"/>
        </w:rPr>
        <w:t>KG</w:t>
      </w:r>
      <w:r w:rsidR="00E73BED" w:rsidRPr="00D9172E">
        <w:rPr>
          <w:rFonts w:ascii="Calibri" w:hAnsi="Calibri" w:cs="Arial"/>
          <w:lang w:val="nl-BE"/>
        </w:rPr>
        <w:t xml:space="preserve">B de </w:t>
      </w:r>
      <w:r w:rsidR="00887013" w:rsidRPr="00D9172E">
        <w:rPr>
          <w:rFonts w:ascii="Calibri" w:hAnsi="Calibri" w:cs="Arial"/>
          <w:lang w:val="nl-BE"/>
        </w:rPr>
        <w:t>materie waarop de kandidaten getest worden op in vier onderdelen</w:t>
      </w:r>
      <w:r w:rsidR="003160D8" w:rsidRPr="00D9172E">
        <w:rPr>
          <w:rStyle w:val="Voetnootmarkering"/>
          <w:rFonts w:ascii="Calibri" w:hAnsi="Calibri" w:cs="Arial"/>
          <w:lang w:val="nl-BE"/>
        </w:rPr>
        <w:footnoteReference w:id="24"/>
      </w:r>
      <w:r w:rsidR="00887013" w:rsidRPr="00D9172E">
        <w:rPr>
          <w:rFonts w:ascii="Calibri" w:hAnsi="Calibri" w:cs="Arial"/>
          <w:lang w:val="nl-BE"/>
        </w:rPr>
        <w:t>:</w:t>
      </w:r>
    </w:p>
    <w:p w14:paraId="2ACA45D0" w14:textId="77777777" w:rsidR="00444CB5" w:rsidRDefault="00444CB5">
      <w:pPr>
        <w:rPr>
          <w:rFonts w:ascii="Calibri" w:hAnsi="Calibri" w:cs="Arial"/>
          <w:lang w:val="nl-BE"/>
        </w:rPr>
      </w:pPr>
      <w:r>
        <w:rPr>
          <w:rFonts w:ascii="Calibri" w:hAnsi="Calibri" w:cs="Arial"/>
          <w:lang w:val="nl-BE"/>
        </w:rPr>
        <w:br w:type="page"/>
      </w:r>
    </w:p>
    <w:p w14:paraId="37F35F0F" w14:textId="77777777" w:rsidR="00BE6077" w:rsidRPr="00BE6077" w:rsidRDefault="00BE6077" w:rsidP="00547C14">
      <w:pPr>
        <w:spacing w:line="276" w:lineRule="auto"/>
        <w:jc w:val="both"/>
        <w:rPr>
          <w:rFonts w:ascii="Calibri" w:hAnsi="Calibri" w:cs="Arial"/>
          <w:lang w:val="nl-BE"/>
        </w:rPr>
      </w:pPr>
    </w:p>
    <w:p w14:paraId="2554CAC6" w14:textId="45CFD86C" w:rsidR="00E73BED" w:rsidRPr="00D9172E" w:rsidRDefault="00E73BED" w:rsidP="002532B7">
      <w:pPr>
        <w:pStyle w:val="Lijstalinea"/>
        <w:numPr>
          <w:ilvl w:val="0"/>
          <w:numId w:val="1"/>
        </w:numPr>
        <w:spacing w:line="276" w:lineRule="auto"/>
        <w:rPr>
          <w:rFonts w:ascii="Calibri" w:hAnsi="Calibri" w:cs="Arial"/>
          <w:lang w:val="nl-BE"/>
        </w:rPr>
      </w:pPr>
      <w:r w:rsidRPr="00D9172E">
        <w:rPr>
          <w:rFonts w:ascii="Calibri" w:hAnsi="Calibri" w:cs="Arial"/>
          <w:lang w:val="nl-BE"/>
        </w:rPr>
        <w:t>Het statuut en de taken van een gerechtsdeurwaarder, inclusief deontologie en tucht</w:t>
      </w:r>
      <w:r w:rsidR="00BE6077">
        <w:rPr>
          <w:rFonts w:ascii="Calibri" w:hAnsi="Calibri" w:cs="Arial"/>
          <w:lang w:val="nl-BE"/>
        </w:rPr>
        <w:t>.</w:t>
      </w:r>
    </w:p>
    <w:p w14:paraId="51367587" w14:textId="51AE8737" w:rsidR="00E73BED" w:rsidRPr="00D9172E" w:rsidRDefault="00887013" w:rsidP="002532B7">
      <w:pPr>
        <w:pStyle w:val="Lijstalinea"/>
        <w:numPr>
          <w:ilvl w:val="0"/>
          <w:numId w:val="1"/>
        </w:numPr>
        <w:spacing w:line="276" w:lineRule="auto"/>
        <w:rPr>
          <w:rFonts w:ascii="Calibri" w:hAnsi="Calibri" w:cs="Arial"/>
          <w:lang w:val="nl-BE"/>
        </w:rPr>
      </w:pPr>
      <w:r w:rsidRPr="00D9172E">
        <w:rPr>
          <w:rFonts w:ascii="Calibri" w:hAnsi="Calibri" w:cs="Arial"/>
          <w:lang w:val="nl-BE"/>
        </w:rPr>
        <w:t>Kennis van de</w:t>
      </w:r>
      <w:r w:rsidR="0006659C" w:rsidRPr="00D9172E">
        <w:rPr>
          <w:rFonts w:ascii="Calibri" w:hAnsi="Calibri" w:cs="Arial"/>
          <w:lang w:val="nl-BE"/>
        </w:rPr>
        <w:t xml:space="preserve"> courante</w:t>
      </w:r>
      <w:r w:rsidRPr="00D9172E">
        <w:rPr>
          <w:rFonts w:ascii="Calibri" w:hAnsi="Calibri" w:cs="Arial"/>
          <w:lang w:val="nl-BE"/>
        </w:rPr>
        <w:t xml:space="preserve"> rechtstakken waarin de gerechtsdeurwaarder actief is, voornamelijk het beslag</w:t>
      </w:r>
      <w:r w:rsidR="0006659C" w:rsidRPr="00D9172E">
        <w:rPr>
          <w:rFonts w:ascii="Calibri" w:hAnsi="Calibri" w:cs="Arial"/>
          <w:lang w:val="nl-BE"/>
        </w:rPr>
        <w:t>- en executie</w:t>
      </w:r>
      <w:r w:rsidRPr="00D9172E">
        <w:rPr>
          <w:rFonts w:ascii="Calibri" w:hAnsi="Calibri" w:cs="Arial"/>
          <w:lang w:val="nl-BE"/>
        </w:rPr>
        <w:t>recht, ondernemingsrecht en gerechtelijk (privaat)recht</w:t>
      </w:r>
      <w:r w:rsidR="00BE6077">
        <w:rPr>
          <w:rFonts w:ascii="Calibri" w:hAnsi="Calibri" w:cs="Arial"/>
          <w:lang w:val="nl-BE"/>
        </w:rPr>
        <w:t>.</w:t>
      </w:r>
    </w:p>
    <w:p w14:paraId="5DA50070" w14:textId="2F863CF9" w:rsidR="00887013" w:rsidRPr="00D9172E" w:rsidRDefault="00887013" w:rsidP="002532B7">
      <w:pPr>
        <w:pStyle w:val="Lijstalinea"/>
        <w:numPr>
          <w:ilvl w:val="0"/>
          <w:numId w:val="1"/>
        </w:numPr>
        <w:spacing w:line="276" w:lineRule="auto"/>
        <w:rPr>
          <w:rFonts w:ascii="Calibri" w:hAnsi="Calibri" w:cs="Arial"/>
          <w:lang w:val="nl-BE"/>
        </w:rPr>
      </w:pPr>
      <w:r w:rsidRPr="00D9172E">
        <w:rPr>
          <w:rFonts w:ascii="Calibri" w:hAnsi="Calibri" w:cs="Arial"/>
          <w:lang w:val="nl-BE"/>
        </w:rPr>
        <w:t>Humane vaardigheden in hun contact met o</w:t>
      </w:r>
      <w:r w:rsidR="00212A2A" w:rsidRPr="00D9172E">
        <w:rPr>
          <w:rFonts w:ascii="Calibri" w:hAnsi="Calibri" w:cs="Arial"/>
          <w:lang w:val="nl-BE"/>
        </w:rPr>
        <w:t>.</w:t>
      </w:r>
      <w:r w:rsidRPr="00D9172E">
        <w:rPr>
          <w:rFonts w:ascii="Calibri" w:hAnsi="Calibri" w:cs="Arial"/>
          <w:lang w:val="nl-BE"/>
        </w:rPr>
        <w:t>a. opdrachtgevers, schuldenaren en confraters</w:t>
      </w:r>
      <w:r w:rsidR="00BE6077">
        <w:rPr>
          <w:rFonts w:ascii="Calibri" w:hAnsi="Calibri" w:cs="Arial"/>
          <w:lang w:val="nl-BE"/>
        </w:rPr>
        <w:t>.</w:t>
      </w:r>
    </w:p>
    <w:p w14:paraId="26B4E8A2" w14:textId="4BDDD6D3" w:rsidR="00887013" w:rsidRPr="00D9172E" w:rsidRDefault="00C05E21" w:rsidP="002532B7">
      <w:pPr>
        <w:pStyle w:val="Lijstalinea"/>
        <w:numPr>
          <w:ilvl w:val="0"/>
          <w:numId w:val="1"/>
        </w:numPr>
        <w:spacing w:line="276" w:lineRule="auto"/>
        <w:rPr>
          <w:rFonts w:ascii="Calibri" w:hAnsi="Calibri" w:cs="Arial"/>
          <w:lang w:val="nl-BE"/>
        </w:rPr>
      </w:pPr>
      <w:r w:rsidRPr="00D9172E">
        <w:rPr>
          <w:rFonts w:ascii="Calibri" w:hAnsi="Calibri" w:cs="Arial"/>
          <w:lang w:val="nl-BE"/>
        </w:rPr>
        <w:t>Beroepsbekwaamheid betreffende zijn gelaste taken en kantoorbeheer</w:t>
      </w:r>
      <w:r w:rsidR="00BE6077">
        <w:rPr>
          <w:rFonts w:ascii="Calibri" w:hAnsi="Calibri" w:cs="Arial"/>
          <w:lang w:val="nl-BE"/>
        </w:rPr>
        <w:t>.</w:t>
      </w:r>
    </w:p>
    <w:p w14:paraId="5DD564D2" w14:textId="77777777" w:rsidR="00B408A8" w:rsidRPr="00D9172E" w:rsidRDefault="00B408A8" w:rsidP="002532B7">
      <w:pPr>
        <w:spacing w:line="276" w:lineRule="auto"/>
        <w:rPr>
          <w:rFonts w:ascii="Calibri" w:hAnsi="Calibri" w:cs="Arial"/>
          <w:lang w:val="nl-BE"/>
        </w:rPr>
      </w:pPr>
    </w:p>
    <w:p w14:paraId="78E4BA47" w14:textId="36DA0E3E" w:rsidR="00196E57" w:rsidRPr="00D9172E" w:rsidRDefault="005D3C3E" w:rsidP="00547C14">
      <w:pPr>
        <w:spacing w:line="276" w:lineRule="auto"/>
        <w:jc w:val="both"/>
        <w:rPr>
          <w:rFonts w:ascii="Calibri" w:hAnsi="Calibri" w:cs="Arial"/>
          <w:lang w:val="nl-BE"/>
        </w:rPr>
      </w:pPr>
      <w:r>
        <w:rPr>
          <w:rFonts w:ascii="Calibri" w:hAnsi="Calibri" w:cs="Arial"/>
          <w:b/>
          <w:lang w:val="nl-BE"/>
        </w:rPr>
        <w:t>11</w:t>
      </w:r>
      <w:r w:rsidR="00BE32AE" w:rsidRPr="00D9172E">
        <w:rPr>
          <w:rFonts w:ascii="Calibri" w:hAnsi="Calibri" w:cs="Arial"/>
          <w:lang w:val="nl-BE"/>
        </w:rPr>
        <w:t xml:space="preserve">. </w:t>
      </w:r>
      <w:r w:rsidR="00B36B67" w:rsidRPr="00D9172E">
        <w:rPr>
          <w:rFonts w:ascii="Calibri" w:hAnsi="Calibri" w:cs="Arial"/>
          <w:lang w:val="nl-BE"/>
        </w:rPr>
        <w:t xml:space="preserve">Na </w:t>
      </w:r>
      <w:r w:rsidR="009A5BB5" w:rsidRPr="00D9172E">
        <w:rPr>
          <w:rFonts w:ascii="Calibri" w:hAnsi="Calibri" w:cs="Arial"/>
          <w:lang w:val="nl-BE"/>
        </w:rPr>
        <w:t xml:space="preserve">afname van de examens stelt de </w:t>
      </w:r>
      <w:r w:rsidR="000777FF" w:rsidRPr="00D9172E">
        <w:rPr>
          <w:rFonts w:ascii="Calibri" w:hAnsi="Calibri" w:cs="Arial"/>
          <w:lang w:val="nl-BE"/>
        </w:rPr>
        <w:t>benoemingscommissie</w:t>
      </w:r>
      <w:r w:rsidR="009A5BB5" w:rsidRPr="00D9172E">
        <w:rPr>
          <w:rFonts w:ascii="Calibri" w:hAnsi="Calibri" w:cs="Arial"/>
          <w:lang w:val="nl-BE"/>
        </w:rPr>
        <w:t xml:space="preserve"> een</w:t>
      </w:r>
      <w:r w:rsidR="00B36B67" w:rsidRPr="00D9172E">
        <w:rPr>
          <w:rFonts w:ascii="Calibri" w:hAnsi="Calibri" w:cs="Arial"/>
          <w:lang w:val="nl-BE"/>
        </w:rPr>
        <w:t xml:space="preserve"> voorlopige</w:t>
      </w:r>
      <w:r w:rsidR="009A5BB5" w:rsidRPr="00D9172E">
        <w:rPr>
          <w:rFonts w:ascii="Calibri" w:hAnsi="Calibri" w:cs="Arial"/>
          <w:lang w:val="nl-BE"/>
        </w:rPr>
        <w:t xml:space="preserve"> rangschikking op van de meest gesch</w:t>
      </w:r>
      <w:r w:rsidR="00B36B67" w:rsidRPr="00D9172E">
        <w:rPr>
          <w:rFonts w:ascii="Calibri" w:hAnsi="Calibri" w:cs="Arial"/>
          <w:lang w:val="nl-BE"/>
        </w:rPr>
        <w:t>ikte kandidaten, bepe</w:t>
      </w:r>
      <w:r w:rsidR="002849F1" w:rsidRPr="00D9172E">
        <w:rPr>
          <w:rFonts w:ascii="Calibri" w:hAnsi="Calibri" w:cs="Arial"/>
          <w:lang w:val="nl-BE"/>
        </w:rPr>
        <w:t xml:space="preserve">rkt tot het aantal dat </w:t>
      </w:r>
      <w:r w:rsidR="00BE6077">
        <w:rPr>
          <w:rFonts w:ascii="Calibri" w:hAnsi="Calibri" w:cs="Arial"/>
          <w:lang w:val="nl-BE"/>
        </w:rPr>
        <w:t xml:space="preserve">eerder </w:t>
      </w:r>
      <w:r w:rsidR="002849F1" w:rsidRPr="00D9172E">
        <w:rPr>
          <w:rFonts w:ascii="Calibri" w:hAnsi="Calibri" w:cs="Arial"/>
          <w:lang w:val="nl-BE"/>
        </w:rPr>
        <w:t>bij KB werd</w:t>
      </w:r>
      <w:r w:rsidR="00B36B67" w:rsidRPr="00D9172E">
        <w:rPr>
          <w:rFonts w:ascii="Calibri" w:hAnsi="Calibri" w:cs="Arial"/>
          <w:lang w:val="nl-BE"/>
        </w:rPr>
        <w:t xml:space="preserve"> vastgesteld. Elke kandidaat in die rangschikking die geen negatief advies heeft ver</w:t>
      </w:r>
      <w:r w:rsidR="00716661" w:rsidRPr="00D9172E">
        <w:rPr>
          <w:rFonts w:ascii="Calibri" w:hAnsi="Calibri" w:cs="Arial"/>
          <w:lang w:val="nl-BE"/>
        </w:rPr>
        <w:t>w</w:t>
      </w:r>
      <w:r w:rsidR="00BE6077">
        <w:rPr>
          <w:rFonts w:ascii="Calibri" w:hAnsi="Calibri" w:cs="Arial"/>
          <w:lang w:val="nl-BE"/>
        </w:rPr>
        <w:t>orven</w:t>
      </w:r>
      <w:r w:rsidR="00B36B67" w:rsidRPr="00D9172E">
        <w:rPr>
          <w:rFonts w:ascii="Calibri" w:hAnsi="Calibri" w:cs="Arial"/>
          <w:lang w:val="nl-BE"/>
        </w:rPr>
        <w:t xml:space="preserve"> van de procureur des Konings van zijn of haar ar</w:t>
      </w:r>
      <w:r w:rsidR="009B4F60" w:rsidRPr="00D9172E">
        <w:rPr>
          <w:rFonts w:ascii="Calibri" w:hAnsi="Calibri" w:cs="Arial"/>
          <w:lang w:val="nl-BE"/>
        </w:rPr>
        <w:t>r</w:t>
      </w:r>
      <w:r w:rsidR="00B36B67" w:rsidRPr="00D9172E">
        <w:rPr>
          <w:rFonts w:ascii="Calibri" w:hAnsi="Calibri" w:cs="Arial"/>
          <w:lang w:val="nl-BE"/>
        </w:rPr>
        <w:t>ondiss</w:t>
      </w:r>
      <w:r w:rsidR="00716661" w:rsidRPr="00D9172E">
        <w:rPr>
          <w:rFonts w:ascii="Calibri" w:hAnsi="Calibri" w:cs="Arial"/>
          <w:lang w:val="nl-BE"/>
        </w:rPr>
        <w:t>ement</w:t>
      </w:r>
      <w:r w:rsidR="00B36B67" w:rsidRPr="00D9172E">
        <w:rPr>
          <w:rFonts w:ascii="Calibri" w:hAnsi="Calibri" w:cs="Arial"/>
          <w:lang w:val="nl-BE"/>
        </w:rPr>
        <w:t xml:space="preserve"> </w:t>
      </w:r>
      <w:r w:rsidR="009B4F60" w:rsidRPr="00D9172E">
        <w:rPr>
          <w:rFonts w:ascii="Calibri" w:hAnsi="Calibri" w:cs="Arial"/>
          <w:lang w:val="nl-BE"/>
        </w:rPr>
        <w:t xml:space="preserve">wordt opgenomen in de definitieve rangschikking. </w:t>
      </w:r>
      <w:r w:rsidR="00716661" w:rsidRPr="00D9172E">
        <w:rPr>
          <w:rFonts w:ascii="Calibri" w:hAnsi="Calibri" w:cs="Arial"/>
          <w:lang w:val="nl-BE"/>
        </w:rPr>
        <w:t xml:space="preserve">De </w:t>
      </w:r>
      <w:r w:rsidR="00444CB5">
        <w:rPr>
          <w:rFonts w:ascii="Calibri" w:hAnsi="Calibri" w:cs="Arial"/>
          <w:lang w:val="nl-BE"/>
        </w:rPr>
        <w:t>parketten</w:t>
      </w:r>
      <w:r w:rsidR="00716661" w:rsidRPr="00D9172E">
        <w:rPr>
          <w:rFonts w:ascii="Calibri" w:hAnsi="Calibri" w:cs="Arial"/>
          <w:lang w:val="nl-BE"/>
        </w:rPr>
        <w:t xml:space="preserve"> word</w:t>
      </w:r>
      <w:r w:rsidR="00444CB5">
        <w:rPr>
          <w:rFonts w:ascii="Calibri" w:hAnsi="Calibri" w:cs="Arial"/>
          <w:lang w:val="nl-BE"/>
        </w:rPr>
        <w:t>en</w:t>
      </w:r>
      <w:r w:rsidR="00716661" w:rsidRPr="00D9172E">
        <w:rPr>
          <w:rFonts w:ascii="Calibri" w:hAnsi="Calibri" w:cs="Arial"/>
          <w:lang w:val="nl-BE"/>
        </w:rPr>
        <w:t xml:space="preserve"> op verzoek van de benoemingscommissie geconsulteerd door de minister van Justitie om mogelijke strafrechtelijke antecedenten van de kandidaten te onderzoeken</w:t>
      </w:r>
      <w:r w:rsidR="003160D8" w:rsidRPr="00D9172E">
        <w:rPr>
          <w:rStyle w:val="Voetnootmarkering"/>
          <w:rFonts w:ascii="Calibri" w:hAnsi="Calibri" w:cs="Arial"/>
          <w:lang w:val="nl-BE"/>
        </w:rPr>
        <w:footnoteReference w:id="25"/>
      </w:r>
      <w:r w:rsidR="00716661" w:rsidRPr="00D9172E">
        <w:rPr>
          <w:rFonts w:ascii="Calibri" w:hAnsi="Calibri" w:cs="Arial"/>
          <w:lang w:val="nl-BE"/>
        </w:rPr>
        <w:t>.</w:t>
      </w:r>
      <w:r w:rsidR="0014213D" w:rsidRPr="00D9172E">
        <w:rPr>
          <w:rFonts w:ascii="Calibri" w:hAnsi="Calibri" w:cs="Arial"/>
          <w:lang w:val="nl-BE"/>
        </w:rPr>
        <w:t xml:space="preserve"> </w:t>
      </w:r>
    </w:p>
    <w:p w14:paraId="70DD6114" w14:textId="77777777" w:rsidR="0014213D" w:rsidRPr="00D9172E" w:rsidRDefault="0014213D" w:rsidP="002532B7">
      <w:pPr>
        <w:spacing w:line="276" w:lineRule="auto"/>
        <w:rPr>
          <w:rFonts w:ascii="Calibri" w:hAnsi="Calibri" w:cs="Arial"/>
          <w:lang w:val="nl-BE"/>
        </w:rPr>
      </w:pPr>
    </w:p>
    <w:p w14:paraId="1BE51BDC" w14:textId="1F58C4EF" w:rsidR="006E32BD" w:rsidRPr="00D9172E" w:rsidRDefault="005D3C3E" w:rsidP="00547C14">
      <w:pPr>
        <w:spacing w:line="276" w:lineRule="auto"/>
        <w:jc w:val="both"/>
        <w:rPr>
          <w:rFonts w:ascii="Calibri" w:hAnsi="Calibri" w:cs="Arial"/>
          <w:lang w:val="nl-BE"/>
        </w:rPr>
      </w:pPr>
      <w:r>
        <w:rPr>
          <w:rFonts w:ascii="Calibri" w:hAnsi="Calibri" w:cs="Arial"/>
          <w:b/>
          <w:lang w:val="nl-BE"/>
        </w:rPr>
        <w:t>12</w:t>
      </w:r>
      <w:r w:rsidR="00BE32AE" w:rsidRPr="00D9172E">
        <w:rPr>
          <w:rFonts w:ascii="Calibri" w:hAnsi="Calibri" w:cs="Arial"/>
          <w:lang w:val="nl-BE"/>
        </w:rPr>
        <w:t xml:space="preserve">. </w:t>
      </w:r>
      <w:r w:rsidR="0014213D" w:rsidRPr="00D9172E">
        <w:rPr>
          <w:rFonts w:ascii="Calibri" w:hAnsi="Calibri" w:cs="Arial"/>
          <w:lang w:val="nl-BE"/>
        </w:rPr>
        <w:t>De kandidaten uit de definitieve rangschikking wo</w:t>
      </w:r>
      <w:r w:rsidR="004E62B9" w:rsidRPr="00D9172E">
        <w:rPr>
          <w:rFonts w:ascii="Calibri" w:hAnsi="Calibri" w:cs="Arial"/>
          <w:lang w:val="nl-BE"/>
        </w:rPr>
        <w:t xml:space="preserve">rden vervolgens bij KB </w:t>
      </w:r>
      <w:r w:rsidR="00D92BAB">
        <w:rPr>
          <w:rFonts w:ascii="Calibri" w:hAnsi="Calibri" w:cs="Arial"/>
          <w:lang w:val="nl-BE"/>
        </w:rPr>
        <w:t xml:space="preserve">benoemd </w:t>
      </w:r>
      <w:r w:rsidR="00627610" w:rsidRPr="00D9172E">
        <w:rPr>
          <w:rFonts w:ascii="Calibri" w:hAnsi="Calibri" w:cs="Arial"/>
          <w:lang w:val="nl-BE"/>
        </w:rPr>
        <w:t>conform</w:t>
      </w:r>
      <w:r w:rsidR="005B45AA" w:rsidRPr="00D9172E">
        <w:rPr>
          <w:rFonts w:ascii="Calibri" w:hAnsi="Calibri" w:cs="Arial"/>
          <w:lang w:val="nl-BE"/>
        </w:rPr>
        <w:t xml:space="preserve"> artikel 513 §5 Ger.W. </w:t>
      </w:r>
      <w:r w:rsidR="004E62B9" w:rsidRPr="00D9172E">
        <w:rPr>
          <w:rFonts w:ascii="Calibri" w:hAnsi="Calibri" w:cs="Arial"/>
          <w:lang w:val="nl-BE"/>
        </w:rPr>
        <w:t>en hun namen worden overgeschreven op het tableau van de kandidaat-gerechtsdeurwaarders</w:t>
      </w:r>
      <w:r w:rsidR="00627610" w:rsidRPr="00D9172E">
        <w:rPr>
          <w:rStyle w:val="Voetnootmarkering"/>
          <w:rFonts w:ascii="Calibri" w:hAnsi="Calibri" w:cs="Arial"/>
          <w:lang w:val="nl-BE"/>
        </w:rPr>
        <w:footnoteReference w:id="26"/>
      </w:r>
      <w:r w:rsidR="004E62B9" w:rsidRPr="00D9172E">
        <w:rPr>
          <w:rFonts w:ascii="Calibri" w:hAnsi="Calibri" w:cs="Arial"/>
          <w:lang w:val="nl-BE"/>
        </w:rPr>
        <w:t xml:space="preserve">. </w:t>
      </w:r>
      <w:r w:rsidR="007E5B28" w:rsidRPr="00D9172E">
        <w:rPr>
          <w:rFonts w:ascii="Calibri" w:hAnsi="Calibri" w:cs="Arial"/>
          <w:lang w:val="nl-BE"/>
        </w:rPr>
        <w:t>Vanaf dit</w:t>
      </w:r>
      <w:r w:rsidR="00CF34AD" w:rsidRPr="00D9172E">
        <w:rPr>
          <w:rFonts w:ascii="Calibri" w:hAnsi="Calibri" w:cs="Arial"/>
          <w:lang w:val="nl-BE"/>
        </w:rPr>
        <w:t xml:space="preserve"> moment zijn zij onderworpen</w:t>
      </w:r>
      <w:r w:rsidR="007E5B28" w:rsidRPr="00D9172E">
        <w:rPr>
          <w:rFonts w:ascii="Calibri" w:hAnsi="Calibri" w:cs="Arial"/>
          <w:lang w:val="nl-BE"/>
        </w:rPr>
        <w:t xml:space="preserve"> aan het gezag van de N</w:t>
      </w:r>
      <w:r w:rsidR="00D92BAB">
        <w:rPr>
          <w:rFonts w:ascii="Calibri" w:hAnsi="Calibri" w:cs="Arial"/>
          <w:lang w:val="nl-BE"/>
        </w:rPr>
        <w:t>KG</w:t>
      </w:r>
      <w:r w:rsidR="007E5B28" w:rsidRPr="00D9172E">
        <w:rPr>
          <w:rFonts w:ascii="Calibri" w:hAnsi="Calibri" w:cs="Arial"/>
          <w:lang w:val="nl-BE"/>
        </w:rPr>
        <w:t>B</w:t>
      </w:r>
      <w:r w:rsidR="00627610" w:rsidRPr="00D9172E">
        <w:rPr>
          <w:rStyle w:val="Voetnootmarkering"/>
          <w:rFonts w:ascii="Calibri" w:hAnsi="Calibri" w:cs="Arial"/>
          <w:lang w:val="nl-BE"/>
        </w:rPr>
        <w:footnoteReference w:id="27"/>
      </w:r>
      <w:r w:rsidR="007E5B28" w:rsidRPr="00D9172E">
        <w:rPr>
          <w:rFonts w:ascii="Calibri" w:hAnsi="Calibri" w:cs="Arial"/>
          <w:lang w:val="nl-BE"/>
        </w:rPr>
        <w:t xml:space="preserve"> en zijn zij gerechtigd om </w:t>
      </w:r>
      <w:r w:rsidR="00A07030" w:rsidRPr="00D9172E">
        <w:rPr>
          <w:rFonts w:ascii="Calibri" w:hAnsi="Calibri" w:cs="Arial"/>
          <w:lang w:val="nl-BE"/>
        </w:rPr>
        <w:t>plaatsvervangingen te doen</w:t>
      </w:r>
      <w:r w:rsidR="007C428D" w:rsidRPr="00D9172E">
        <w:rPr>
          <w:rStyle w:val="Voetnootmarkering"/>
          <w:rFonts w:ascii="Calibri" w:hAnsi="Calibri" w:cs="Arial"/>
          <w:lang w:val="nl-BE"/>
        </w:rPr>
        <w:footnoteReference w:id="28"/>
      </w:r>
      <w:r w:rsidR="00627610" w:rsidRPr="00D9172E">
        <w:rPr>
          <w:rFonts w:ascii="Calibri" w:hAnsi="Calibri" w:cs="Arial"/>
          <w:lang w:val="nl-BE"/>
        </w:rPr>
        <w:t xml:space="preserve">. </w:t>
      </w:r>
      <w:r w:rsidR="00A07030" w:rsidRPr="00D9172E">
        <w:rPr>
          <w:rFonts w:ascii="Calibri" w:hAnsi="Calibri" w:cs="Arial"/>
          <w:lang w:val="nl-BE"/>
        </w:rPr>
        <w:t xml:space="preserve">Dit houdt in dat </w:t>
      </w:r>
      <w:r w:rsidR="00DB1D54">
        <w:rPr>
          <w:rFonts w:ascii="Calibri" w:hAnsi="Calibri" w:cs="Arial"/>
          <w:lang w:val="nl-BE"/>
        </w:rPr>
        <w:t>zij</w:t>
      </w:r>
      <w:r w:rsidR="00A07030" w:rsidRPr="00D9172E">
        <w:rPr>
          <w:rFonts w:ascii="Calibri" w:hAnsi="Calibri" w:cs="Arial"/>
          <w:lang w:val="nl-BE"/>
        </w:rPr>
        <w:t xml:space="preserve"> naast de rechten en plichten van een gerechtsdeurwaarder-titularis</w:t>
      </w:r>
      <w:r w:rsidR="00970667" w:rsidRPr="00D9172E">
        <w:rPr>
          <w:rFonts w:ascii="Calibri" w:hAnsi="Calibri" w:cs="Arial"/>
          <w:lang w:val="nl-BE"/>
        </w:rPr>
        <w:t xml:space="preserve"> ook zijn taken</w:t>
      </w:r>
      <w:r w:rsidR="00A07030" w:rsidRPr="00D9172E">
        <w:rPr>
          <w:rFonts w:ascii="Calibri" w:hAnsi="Calibri" w:cs="Arial"/>
          <w:lang w:val="nl-BE"/>
        </w:rPr>
        <w:t xml:space="preserve"> </w:t>
      </w:r>
      <w:r w:rsidR="007D3E62">
        <w:rPr>
          <w:rFonts w:ascii="Calibri" w:hAnsi="Calibri" w:cs="Arial"/>
          <w:lang w:val="nl-BE"/>
        </w:rPr>
        <w:t>k</w:t>
      </w:r>
      <w:r w:rsidR="00DB1D54">
        <w:rPr>
          <w:rFonts w:ascii="Calibri" w:hAnsi="Calibri" w:cs="Arial"/>
          <w:lang w:val="nl-BE"/>
        </w:rPr>
        <w:t>unnen</w:t>
      </w:r>
      <w:r w:rsidR="007D3E62">
        <w:rPr>
          <w:rFonts w:ascii="Calibri" w:hAnsi="Calibri" w:cs="Arial"/>
          <w:lang w:val="nl-BE"/>
        </w:rPr>
        <w:t xml:space="preserve"> overnemen</w:t>
      </w:r>
      <w:r w:rsidR="007C428D" w:rsidRPr="00D9172E">
        <w:rPr>
          <w:rStyle w:val="Voetnootmarkering"/>
          <w:rFonts w:ascii="Calibri" w:hAnsi="Calibri" w:cs="Arial"/>
          <w:lang w:val="nl-BE"/>
        </w:rPr>
        <w:footnoteReference w:id="29"/>
      </w:r>
      <w:r w:rsidR="00970667" w:rsidRPr="00D9172E">
        <w:rPr>
          <w:rFonts w:ascii="Calibri" w:hAnsi="Calibri" w:cs="Arial"/>
          <w:lang w:val="nl-BE"/>
        </w:rPr>
        <w:t>, zo</w:t>
      </w:r>
      <w:r w:rsidR="00BA6A95" w:rsidRPr="00D9172E">
        <w:rPr>
          <w:rFonts w:ascii="Calibri" w:hAnsi="Calibri" w:cs="Arial"/>
          <w:lang w:val="nl-BE"/>
        </w:rPr>
        <w:t>als het betekenen v</w:t>
      </w:r>
      <w:r w:rsidR="00484B61" w:rsidRPr="00D9172E">
        <w:rPr>
          <w:rFonts w:ascii="Calibri" w:hAnsi="Calibri" w:cs="Arial"/>
          <w:lang w:val="nl-BE"/>
        </w:rPr>
        <w:t>an exploten of beslagleggingen. Niet onbelangrijke kanttekening hierbij is dat een gerechtsdeurwaarder</w:t>
      </w:r>
      <w:r w:rsidR="007C428D" w:rsidRPr="00D9172E">
        <w:rPr>
          <w:rFonts w:ascii="Calibri" w:hAnsi="Calibri" w:cs="Arial"/>
          <w:lang w:val="nl-BE"/>
        </w:rPr>
        <w:t xml:space="preserve"> zich</w:t>
      </w:r>
      <w:r w:rsidR="00484B61" w:rsidRPr="00D9172E">
        <w:rPr>
          <w:rFonts w:ascii="Calibri" w:hAnsi="Calibri" w:cs="Arial"/>
          <w:lang w:val="nl-BE"/>
        </w:rPr>
        <w:t xml:space="preserve"> </w:t>
      </w:r>
      <w:r w:rsidR="007D3E62">
        <w:rPr>
          <w:rFonts w:ascii="Calibri" w:hAnsi="Calibri" w:cs="Arial"/>
          <w:lang w:val="nl-BE"/>
        </w:rPr>
        <w:t>“</w:t>
      </w:r>
      <w:r w:rsidR="00484B61" w:rsidRPr="00D9172E">
        <w:rPr>
          <w:rFonts w:ascii="Calibri" w:hAnsi="Calibri" w:cs="Arial"/>
          <w:lang w:val="nl-BE"/>
        </w:rPr>
        <w:t>slechts</w:t>
      </w:r>
      <w:r w:rsidR="007D3E62">
        <w:rPr>
          <w:rFonts w:ascii="Calibri" w:hAnsi="Calibri" w:cs="Arial"/>
          <w:lang w:val="nl-BE"/>
        </w:rPr>
        <w:t>”</w:t>
      </w:r>
      <w:r w:rsidR="00484B61" w:rsidRPr="00D9172E">
        <w:rPr>
          <w:rFonts w:ascii="Calibri" w:hAnsi="Calibri" w:cs="Arial"/>
          <w:lang w:val="nl-BE"/>
        </w:rPr>
        <w:t xml:space="preserve"> 180 kalenderdagen per jaar</w:t>
      </w:r>
      <w:r w:rsidR="007C428D" w:rsidRPr="00D9172E">
        <w:rPr>
          <w:rFonts w:ascii="Calibri" w:hAnsi="Calibri" w:cs="Arial"/>
          <w:lang w:val="nl-BE"/>
        </w:rPr>
        <w:t xml:space="preserve"> mag laten</w:t>
      </w:r>
      <w:r w:rsidR="007D6248" w:rsidRPr="00D9172E">
        <w:rPr>
          <w:rFonts w:ascii="Calibri" w:hAnsi="Calibri" w:cs="Arial"/>
          <w:lang w:val="nl-BE"/>
        </w:rPr>
        <w:t xml:space="preserve"> vervange</w:t>
      </w:r>
      <w:r w:rsidR="007C428D" w:rsidRPr="00D9172E">
        <w:rPr>
          <w:rFonts w:ascii="Calibri" w:hAnsi="Calibri" w:cs="Arial"/>
          <w:lang w:val="nl-BE"/>
        </w:rPr>
        <w:t>n</w:t>
      </w:r>
      <w:r w:rsidR="007C428D" w:rsidRPr="00D9172E">
        <w:rPr>
          <w:rStyle w:val="Voetnootmarkering"/>
          <w:rFonts w:ascii="Calibri" w:hAnsi="Calibri" w:cs="Arial"/>
          <w:lang w:val="nl-BE"/>
        </w:rPr>
        <w:footnoteReference w:id="30"/>
      </w:r>
      <w:r w:rsidR="007D6248" w:rsidRPr="00D9172E">
        <w:rPr>
          <w:rFonts w:ascii="Calibri" w:hAnsi="Calibri" w:cs="Arial"/>
          <w:lang w:val="nl-BE"/>
        </w:rPr>
        <w:t xml:space="preserve">, als reactie op </w:t>
      </w:r>
      <w:r w:rsidR="002B4277" w:rsidRPr="00D9172E">
        <w:rPr>
          <w:rFonts w:ascii="Calibri" w:hAnsi="Calibri" w:cs="Arial"/>
          <w:lang w:val="nl-BE"/>
        </w:rPr>
        <w:t>gerechtsdeurwaarders die zich onafgebroken lieten vervangen terwijl ze zelf eigenlijk niet meer werkzaam waren</w:t>
      </w:r>
      <w:r w:rsidR="00444CB5">
        <w:rPr>
          <w:rFonts w:ascii="Calibri" w:hAnsi="Calibri" w:cs="Arial"/>
          <w:lang w:val="nl-BE"/>
        </w:rPr>
        <w:t xml:space="preserve"> en op die manier nieuwe benoemingen in de weg stonden</w:t>
      </w:r>
      <w:r w:rsidR="002B4277" w:rsidRPr="00D9172E">
        <w:rPr>
          <w:rFonts w:ascii="Calibri" w:hAnsi="Calibri" w:cs="Arial"/>
          <w:lang w:val="nl-BE"/>
        </w:rPr>
        <w:t xml:space="preserve">. </w:t>
      </w:r>
    </w:p>
    <w:p w14:paraId="1FBD2B97" w14:textId="77777777" w:rsidR="009A604A" w:rsidRPr="00D9172E" w:rsidRDefault="009A604A" w:rsidP="00547C14">
      <w:pPr>
        <w:spacing w:line="276" w:lineRule="auto"/>
        <w:jc w:val="both"/>
        <w:rPr>
          <w:rFonts w:ascii="Calibri" w:hAnsi="Calibri" w:cs="Arial"/>
          <w:lang w:val="nl-BE"/>
        </w:rPr>
      </w:pPr>
    </w:p>
    <w:p w14:paraId="5585F799" w14:textId="7FCD9E20" w:rsidR="005D3C3E" w:rsidRDefault="005D3C3E" w:rsidP="00547C14">
      <w:pPr>
        <w:spacing w:line="276" w:lineRule="auto"/>
        <w:jc w:val="both"/>
        <w:rPr>
          <w:rFonts w:ascii="Calibri" w:hAnsi="Calibri" w:cs="Arial"/>
          <w:lang w:val="nl-BE"/>
        </w:rPr>
      </w:pPr>
      <w:r>
        <w:rPr>
          <w:rFonts w:ascii="Calibri" w:hAnsi="Calibri" w:cs="Arial"/>
          <w:b/>
          <w:lang w:val="nl-BE"/>
        </w:rPr>
        <w:t>13</w:t>
      </w:r>
      <w:r w:rsidR="00BE32AE" w:rsidRPr="00D9172E">
        <w:rPr>
          <w:rFonts w:ascii="Calibri" w:hAnsi="Calibri" w:cs="Arial"/>
          <w:lang w:val="nl-BE"/>
        </w:rPr>
        <w:t xml:space="preserve">. </w:t>
      </w:r>
      <w:r w:rsidR="009A604A" w:rsidRPr="00D9172E">
        <w:rPr>
          <w:rFonts w:ascii="Calibri" w:hAnsi="Calibri" w:cs="Arial"/>
          <w:lang w:val="nl-BE"/>
        </w:rPr>
        <w:t xml:space="preserve">Na </w:t>
      </w:r>
      <w:r w:rsidR="00EC7835" w:rsidRPr="00D9172E">
        <w:rPr>
          <w:rFonts w:ascii="Calibri" w:hAnsi="Calibri" w:cs="Arial"/>
          <w:lang w:val="nl-BE"/>
        </w:rPr>
        <w:t xml:space="preserve">minstens </w:t>
      </w:r>
      <w:r w:rsidR="009A604A" w:rsidRPr="00D9172E">
        <w:rPr>
          <w:rFonts w:ascii="Calibri" w:hAnsi="Calibri" w:cs="Arial"/>
          <w:lang w:val="nl-BE"/>
        </w:rPr>
        <w:t>vijf jaar ervaring als kandidaat-gerechtsdeurwaarder, kan men zich kandidaat stellen voor een vacante plaats als gerechtsdeurwaarder-titularis binnen zijn gerechtelijk arrondissement</w:t>
      </w:r>
      <w:r w:rsidR="0025279D" w:rsidRPr="00D9172E">
        <w:rPr>
          <w:rStyle w:val="Voetnootmarkering"/>
          <w:rFonts w:ascii="Calibri" w:hAnsi="Calibri" w:cs="Arial"/>
          <w:lang w:val="nl-BE"/>
        </w:rPr>
        <w:footnoteReference w:id="31"/>
      </w:r>
      <w:r w:rsidR="000D1516" w:rsidRPr="00D9172E">
        <w:rPr>
          <w:rFonts w:ascii="Calibri" w:hAnsi="Calibri" w:cs="Arial"/>
          <w:lang w:val="nl-BE"/>
        </w:rPr>
        <w:t>.</w:t>
      </w:r>
      <w:r w:rsidR="0026696D" w:rsidRPr="00D9172E">
        <w:rPr>
          <w:rFonts w:ascii="Calibri" w:hAnsi="Calibri" w:cs="Arial"/>
          <w:lang w:val="nl-BE"/>
        </w:rPr>
        <w:t xml:space="preserve"> </w:t>
      </w:r>
      <w:r w:rsidR="00EC7835" w:rsidRPr="00D9172E">
        <w:rPr>
          <w:rFonts w:ascii="Calibri" w:hAnsi="Calibri" w:cs="Arial"/>
          <w:lang w:val="nl-BE"/>
        </w:rPr>
        <w:t>Elke kandidaat-gerechtsdeurwaarder die een kandidatuur indient, wordt opnieuw geverifieerd op antecedenten door de procureur des Konings</w:t>
      </w:r>
      <w:r w:rsidR="00250290">
        <w:rPr>
          <w:rFonts w:ascii="Calibri" w:hAnsi="Calibri" w:cs="Arial"/>
          <w:lang w:val="nl-BE"/>
        </w:rPr>
        <w:t xml:space="preserve"> </w:t>
      </w:r>
      <w:r w:rsidR="00EC7835" w:rsidRPr="00D9172E">
        <w:rPr>
          <w:rFonts w:ascii="Calibri" w:hAnsi="Calibri" w:cs="Arial"/>
          <w:lang w:val="nl-BE"/>
        </w:rPr>
        <w:t xml:space="preserve">en geëvalueerd door de raad van </w:t>
      </w:r>
      <w:r w:rsidR="00E41D30">
        <w:rPr>
          <w:rFonts w:ascii="Calibri" w:hAnsi="Calibri" w:cs="Arial"/>
          <w:lang w:val="nl-BE"/>
        </w:rPr>
        <w:t xml:space="preserve">de </w:t>
      </w:r>
      <w:r w:rsidR="00EC7835" w:rsidRPr="00D9172E">
        <w:rPr>
          <w:rFonts w:ascii="Calibri" w:hAnsi="Calibri" w:cs="Arial"/>
          <w:lang w:val="nl-BE"/>
        </w:rPr>
        <w:t>arrondissementskamer</w:t>
      </w:r>
      <w:r w:rsidR="00E41D30">
        <w:rPr>
          <w:rFonts w:ascii="Calibri" w:hAnsi="Calibri" w:cs="Arial"/>
          <w:lang w:val="nl-BE"/>
        </w:rPr>
        <w:t xml:space="preserve"> </w:t>
      </w:r>
      <w:r w:rsidR="00DF6AC6" w:rsidRPr="00D9172E">
        <w:rPr>
          <w:rFonts w:ascii="Calibri" w:hAnsi="Calibri" w:cs="Arial"/>
          <w:lang w:val="nl-BE"/>
        </w:rPr>
        <w:t>op basis van zijn werk</w:t>
      </w:r>
      <w:r w:rsidR="00A816EC" w:rsidRPr="00D9172E">
        <w:rPr>
          <w:rFonts w:ascii="Calibri" w:hAnsi="Calibri" w:cs="Arial"/>
          <w:lang w:val="nl-BE"/>
        </w:rPr>
        <w:t xml:space="preserve"> als kandidaat</w:t>
      </w:r>
      <w:r w:rsidR="00F41A14" w:rsidRPr="00D9172E">
        <w:rPr>
          <w:rStyle w:val="Voetnootmarkering"/>
          <w:rFonts w:ascii="Calibri" w:hAnsi="Calibri" w:cs="Arial"/>
          <w:lang w:val="nl-BE"/>
        </w:rPr>
        <w:footnoteReference w:id="32"/>
      </w:r>
      <w:r w:rsidR="00EC7835" w:rsidRPr="00D9172E">
        <w:rPr>
          <w:rFonts w:ascii="Calibri" w:hAnsi="Calibri" w:cs="Arial"/>
          <w:lang w:val="nl-BE"/>
        </w:rPr>
        <w:t xml:space="preserve">. Beide instanties brengen </w:t>
      </w:r>
      <w:r w:rsidR="00FC5B24" w:rsidRPr="00D9172E">
        <w:rPr>
          <w:rFonts w:ascii="Calibri" w:hAnsi="Calibri" w:cs="Arial"/>
          <w:lang w:val="nl-BE"/>
        </w:rPr>
        <w:t xml:space="preserve">hierop </w:t>
      </w:r>
      <w:r w:rsidR="00EC7835" w:rsidRPr="00D9172E">
        <w:rPr>
          <w:rFonts w:ascii="Calibri" w:hAnsi="Calibri" w:cs="Arial"/>
          <w:lang w:val="nl-BE"/>
        </w:rPr>
        <w:t>een met redenen omkleed advies ui</w:t>
      </w:r>
      <w:r w:rsidR="00815A2B" w:rsidRPr="00D9172E">
        <w:rPr>
          <w:rFonts w:ascii="Calibri" w:hAnsi="Calibri" w:cs="Arial"/>
          <w:lang w:val="nl-BE"/>
        </w:rPr>
        <w:t>t aan de minist</w:t>
      </w:r>
      <w:r w:rsidR="00AA11F8" w:rsidRPr="00D9172E">
        <w:rPr>
          <w:rFonts w:ascii="Calibri" w:hAnsi="Calibri" w:cs="Arial"/>
          <w:lang w:val="nl-BE"/>
        </w:rPr>
        <w:t xml:space="preserve">er van Justitie, die hierop voor elke kandidaat een benoemingsdossier overmaakt aan de bevoegde </w:t>
      </w:r>
      <w:r w:rsidR="00AA11F8" w:rsidRPr="00D9172E">
        <w:rPr>
          <w:rFonts w:ascii="Calibri" w:hAnsi="Calibri" w:cs="Arial"/>
          <w:lang w:val="nl-BE"/>
        </w:rPr>
        <w:lastRenderedPageBreak/>
        <w:t>benoemingscommissie</w:t>
      </w:r>
      <w:r w:rsidR="00545CC6" w:rsidRPr="00D9172E">
        <w:rPr>
          <w:rStyle w:val="Voetnootmarkering"/>
          <w:rFonts w:ascii="Calibri" w:hAnsi="Calibri" w:cs="Arial"/>
          <w:lang w:val="nl-BE"/>
        </w:rPr>
        <w:footnoteReference w:id="33"/>
      </w:r>
      <w:r w:rsidR="00AA11F8" w:rsidRPr="00D9172E">
        <w:rPr>
          <w:rFonts w:ascii="Calibri" w:hAnsi="Calibri" w:cs="Arial"/>
          <w:lang w:val="nl-BE"/>
        </w:rPr>
        <w:t xml:space="preserve">. </w:t>
      </w:r>
      <w:r w:rsidR="00FC5B24" w:rsidRPr="00D9172E">
        <w:rPr>
          <w:rFonts w:ascii="Calibri" w:hAnsi="Calibri" w:cs="Arial"/>
          <w:lang w:val="nl-BE"/>
        </w:rPr>
        <w:br/>
      </w:r>
    </w:p>
    <w:p w14:paraId="222B395B" w14:textId="426D29A8" w:rsidR="00753B1A" w:rsidRDefault="005D3C3E" w:rsidP="00547C14">
      <w:pPr>
        <w:spacing w:line="276" w:lineRule="auto"/>
        <w:jc w:val="both"/>
        <w:rPr>
          <w:rFonts w:ascii="Calibri" w:hAnsi="Calibri" w:cs="Arial"/>
          <w:lang w:val="nl-BE"/>
        </w:rPr>
      </w:pPr>
      <w:r>
        <w:rPr>
          <w:rFonts w:ascii="Calibri" w:hAnsi="Calibri" w:cs="Arial"/>
          <w:b/>
          <w:lang w:val="nl-BE"/>
        </w:rPr>
        <w:t>14.</w:t>
      </w:r>
      <w:r w:rsidR="00255BA8" w:rsidRPr="00D9172E">
        <w:rPr>
          <w:rFonts w:ascii="Calibri" w:hAnsi="Calibri" w:cs="Arial"/>
          <w:lang w:val="nl-BE"/>
        </w:rPr>
        <w:t>De commissie bestudeert</w:t>
      </w:r>
      <w:r w:rsidR="00FC5B24" w:rsidRPr="00D9172E">
        <w:rPr>
          <w:rFonts w:ascii="Calibri" w:hAnsi="Calibri" w:cs="Arial"/>
          <w:lang w:val="nl-BE"/>
        </w:rPr>
        <w:t xml:space="preserve"> vervolgens</w:t>
      </w:r>
      <w:r w:rsidR="00255BA8" w:rsidRPr="00D9172E">
        <w:rPr>
          <w:rFonts w:ascii="Calibri" w:hAnsi="Calibri" w:cs="Arial"/>
          <w:lang w:val="nl-BE"/>
        </w:rPr>
        <w:t xml:space="preserve"> de dossiers en bepaalt welke kandidaten zij wenst te horen alvorens een rangsc</w:t>
      </w:r>
      <w:r w:rsidR="005876D4" w:rsidRPr="00D9172E">
        <w:rPr>
          <w:rFonts w:ascii="Calibri" w:hAnsi="Calibri" w:cs="Arial"/>
          <w:lang w:val="nl-BE"/>
        </w:rPr>
        <w:t xml:space="preserve">hikking op te maken van de </w:t>
      </w:r>
      <w:r w:rsidR="00255BA8" w:rsidRPr="00D9172E">
        <w:rPr>
          <w:rFonts w:ascii="Calibri" w:hAnsi="Calibri" w:cs="Arial"/>
          <w:lang w:val="nl-BE"/>
        </w:rPr>
        <w:t>meest geschikte kandidate</w:t>
      </w:r>
      <w:r w:rsidR="005876D4" w:rsidRPr="00D9172E">
        <w:rPr>
          <w:rFonts w:ascii="Calibri" w:hAnsi="Calibri" w:cs="Arial"/>
          <w:lang w:val="nl-BE"/>
        </w:rPr>
        <w:t>n</w:t>
      </w:r>
      <w:r w:rsidR="00A816EC" w:rsidRPr="00D9172E">
        <w:rPr>
          <w:rStyle w:val="Voetnootmarkering"/>
          <w:rFonts w:ascii="Calibri" w:hAnsi="Calibri" w:cs="Arial"/>
          <w:lang w:val="nl-BE"/>
        </w:rPr>
        <w:footnoteReference w:id="34"/>
      </w:r>
      <w:r w:rsidR="005876D4" w:rsidRPr="00D9172E">
        <w:rPr>
          <w:rFonts w:ascii="Calibri" w:hAnsi="Calibri" w:cs="Arial"/>
          <w:lang w:val="nl-BE"/>
        </w:rPr>
        <w:t>. De geselecteerden dienen zich ten slotte binnen een maand na kennisgeving van het besluit aan te melden bij de rechtbank van eerste aanleg van hun arrondissement,</w:t>
      </w:r>
      <w:r w:rsidR="00B66637" w:rsidRPr="00D9172E">
        <w:rPr>
          <w:rFonts w:ascii="Calibri" w:hAnsi="Calibri" w:cs="Arial"/>
          <w:lang w:val="nl-BE"/>
        </w:rPr>
        <w:t xml:space="preserve"> alwaar </w:t>
      </w:r>
      <w:r w:rsidR="00D81EFD" w:rsidRPr="00D9172E">
        <w:rPr>
          <w:rFonts w:ascii="Calibri" w:hAnsi="Calibri" w:cs="Arial"/>
          <w:lang w:val="nl-BE"/>
        </w:rPr>
        <w:t>de</w:t>
      </w:r>
      <w:r w:rsidR="003E577D" w:rsidRPr="00D9172E">
        <w:rPr>
          <w:rFonts w:ascii="Calibri" w:hAnsi="Calibri" w:cs="Arial"/>
          <w:lang w:val="nl-BE"/>
        </w:rPr>
        <w:t xml:space="preserve"> </w:t>
      </w:r>
      <w:r w:rsidR="00D81EFD" w:rsidRPr="00D9172E">
        <w:rPr>
          <w:rFonts w:ascii="Calibri" w:hAnsi="Calibri" w:cs="Arial"/>
          <w:lang w:val="nl-BE"/>
        </w:rPr>
        <w:t>benoemde gerechtsdeur</w:t>
      </w:r>
      <w:r w:rsidR="006708A7">
        <w:rPr>
          <w:rFonts w:ascii="Calibri" w:hAnsi="Calibri" w:cs="Arial"/>
          <w:lang w:val="nl-BE"/>
        </w:rPr>
        <w:t>w</w:t>
      </w:r>
      <w:r w:rsidR="00D81EFD" w:rsidRPr="00D9172E">
        <w:rPr>
          <w:rFonts w:ascii="Calibri" w:hAnsi="Calibri" w:cs="Arial"/>
          <w:lang w:val="nl-BE"/>
        </w:rPr>
        <w:t>aarder</w:t>
      </w:r>
      <w:r w:rsidR="005876D4" w:rsidRPr="00D9172E">
        <w:rPr>
          <w:rFonts w:ascii="Calibri" w:hAnsi="Calibri" w:cs="Arial"/>
          <w:lang w:val="nl-BE"/>
        </w:rPr>
        <w:t xml:space="preserve"> de eed aflegt en zijn handtekening neerlegt ter griffie</w:t>
      </w:r>
      <w:r w:rsidR="001947F4" w:rsidRPr="00D9172E">
        <w:rPr>
          <w:rStyle w:val="Voetnootmarkering"/>
          <w:rFonts w:ascii="Calibri" w:hAnsi="Calibri" w:cs="Arial"/>
          <w:lang w:val="nl-BE"/>
        </w:rPr>
        <w:footnoteReference w:id="35"/>
      </w:r>
      <w:r w:rsidR="005876D4" w:rsidRPr="00D9172E">
        <w:rPr>
          <w:rFonts w:ascii="Calibri" w:hAnsi="Calibri" w:cs="Arial"/>
          <w:lang w:val="nl-BE"/>
        </w:rPr>
        <w:t>.</w:t>
      </w:r>
      <w:r w:rsidR="00B66637" w:rsidRPr="00D9172E">
        <w:rPr>
          <w:rFonts w:ascii="Calibri" w:hAnsi="Calibri" w:cs="Arial"/>
          <w:lang w:val="nl-BE"/>
        </w:rPr>
        <w:t xml:space="preserve"> Slechts vanaf dat moment, zijnde na voltooiing van zowel de eedaflegging als neerlegging van zijn handtekening, kan de gerechtsdeurwaarder op een legitieme manier ambtshandelingen volbrengen.</w:t>
      </w:r>
      <w:r w:rsidR="009A0B35" w:rsidRPr="00D9172E">
        <w:rPr>
          <w:rFonts w:ascii="Calibri" w:hAnsi="Calibri" w:cs="Arial"/>
          <w:lang w:val="nl-BE"/>
        </w:rPr>
        <w:t xml:space="preserve"> </w:t>
      </w:r>
    </w:p>
    <w:p w14:paraId="2EEE160E" w14:textId="77777777" w:rsidR="00A54588" w:rsidRDefault="00A54588" w:rsidP="002532B7">
      <w:pPr>
        <w:spacing w:line="276" w:lineRule="auto"/>
        <w:rPr>
          <w:rFonts w:ascii="Calibri" w:hAnsi="Calibri" w:cs="Arial"/>
          <w:lang w:val="nl-BE"/>
        </w:rPr>
      </w:pPr>
    </w:p>
    <w:p w14:paraId="41847BAF" w14:textId="77777777" w:rsidR="00C80CE2" w:rsidRDefault="00C80CE2">
      <w:pPr>
        <w:rPr>
          <w:rFonts w:asciiTheme="majorHAnsi" w:eastAsiaTheme="majorEastAsia" w:hAnsiTheme="majorHAnsi" w:cstheme="majorBidi"/>
          <w:color w:val="2F5496" w:themeColor="accent1" w:themeShade="BF"/>
          <w:sz w:val="26"/>
          <w:szCs w:val="26"/>
          <w:lang w:val="nl-BE"/>
        </w:rPr>
      </w:pPr>
      <w:r>
        <w:rPr>
          <w:lang w:val="nl-BE"/>
        </w:rPr>
        <w:br w:type="page"/>
      </w:r>
    </w:p>
    <w:p w14:paraId="7ED0E90E" w14:textId="2B283BA2" w:rsidR="00A54588" w:rsidRDefault="00A54588" w:rsidP="002532B7">
      <w:pPr>
        <w:pStyle w:val="Kop2"/>
        <w:spacing w:line="276" w:lineRule="auto"/>
        <w:rPr>
          <w:lang w:val="nl-BE"/>
        </w:rPr>
      </w:pPr>
      <w:bookmarkStart w:id="8" w:name="_Toc40689947"/>
      <w:r>
        <w:rPr>
          <w:lang w:val="nl-BE"/>
        </w:rPr>
        <w:lastRenderedPageBreak/>
        <w:t xml:space="preserve">Hoofdstuk 2: </w:t>
      </w:r>
      <w:r w:rsidR="002C37B4">
        <w:rPr>
          <w:lang w:val="nl-BE"/>
        </w:rPr>
        <w:t>O</w:t>
      </w:r>
      <w:r>
        <w:rPr>
          <w:lang w:val="nl-BE"/>
        </w:rPr>
        <w:t>verkoepelende instanties</w:t>
      </w:r>
      <w:bookmarkEnd w:id="8"/>
    </w:p>
    <w:p w14:paraId="2F89B35A" w14:textId="77777777" w:rsidR="00A54588" w:rsidRDefault="00A54588" w:rsidP="002532B7">
      <w:pPr>
        <w:spacing w:line="276" w:lineRule="auto"/>
        <w:rPr>
          <w:rFonts w:ascii="Calibri" w:hAnsi="Calibri" w:cs="Arial"/>
          <w:b/>
          <w:lang w:val="nl-BE"/>
        </w:rPr>
      </w:pPr>
    </w:p>
    <w:p w14:paraId="60BCC514" w14:textId="5A338BEF" w:rsidR="00AB4C14" w:rsidRDefault="001B44A2" w:rsidP="002532B7">
      <w:pPr>
        <w:pStyle w:val="Kop3"/>
        <w:spacing w:line="276" w:lineRule="auto"/>
        <w:rPr>
          <w:lang w:val="nl-BE"/>
        </w:rPr>
      </w:pPr>
      <w:bookmarkStart w:id="9" w:name="_Toc40689948"/>
      <w:r>
        <w:rPr>
          <w:lang w:val="nl-BE"/>
        </w:rPr>
        <w:t xml:space="preserve">Afdeling I: </w:t>
      </w:r>
      <w:r w:rsidR="00AB4C14">
        <w:rPr>
          <w:lang w:val="nl-BE"/>
        </w:rPr>
        <w:t>Arrondissementskamers van gerechtsdeurwaarders</w:t>
      </w:r>
      <w:bookmarkEnd w:id="9"/>
    </w:p>
    <w:p w14:paraId="3F0515FC" w14:textId="77777777" w:rsidR="00896A1F" w:rsidRDefault="00896A1F" w:rsidP="002532B7">
      <w:pPr>
        <w:pStyle w:val="Kop3"/>
        <w:spacing w:line="276" w:lineRule="auto"/>
        <w:rPr>
          <w:lang w:val="nl-BE"/>
        </w:rPr>
      </w:pPr>
    </w:p>
    <w:p w14:paraId="670C5F9C" w14:textId="0B2D18CD" w:rsidR="00AB4C14" w:rsidRDefault="005D3C3E" w:rsidP="00547C14">
      <w:pPr>
        <w:spacing w:line="276" w:lineRule="auto"/>
        <w:jc w:val="both"/>
        <w:rPr>
          <w:rFonts w:ascii="Calibri" w:hAnsi="Calibri" w:cs="Arial"/>
          <w:lang w:val="nl-BE"/>
        </w:rPr>
      </w:pPr>
      <w:r>
        <w:rPr>
          <w:rFonts w:ascii="Calibri" w:hAnsi="Calibri" w:cs="Arial"/>
          <w:b/>
          <w:lang w:val="nl-BE"/>
        </w:rPr>
        <w:t>15.</w:t>
      </w:r>
      <w:r w:rsidR="00896A1F">
        <w:rPr>
          <w:rFonts w:ascii="Calibri" w:hAnsi="Calibri" w:cs="Arial"/>
          <w:lang w:val="nl-BE"/>
        </w:rPr>
        <w:t>Gerechtsd</w:t>
      </w:r>
      <w:r w:rsidR="001C1B7F">
        <w:rPr>
          <w:rFonts w:ascii="Calibri" w:hAnsi="Calibri" w:cs="Arial"/>
          <w:lang w:val="nl-BE"/>
        </w:rPr>
        <w:t>eurwaarders zijn territoriaal bevoegd voor het g</w:t>
      </w:r>
      <w:r w:rsidR="00FE7AE0">
        <w:rPr>
          <w:rFonts w:ascii="Calibri" w:hAnsi="Calibri" w:cs="Arial"/>
          <w:lang w:val="nl-BE"/>
        </w:rPr>
        <w:t xml:space="preserve">erechtelijk arrondissement waar </w:t>
      </w:r>
      <w:r w:rsidR="001C1B7F">
        <w:rPr>
          <w:rFonts w:ascii="Calibri" w:hAnsi="Calibri" w:cs="Arial"/>
          <w:lang w:val="nl-BE"/>
        </w:rPr>
        <w:t>hun kantoor</w:t>
      </w:r>
      <w:r w:rsidR="00FE7AE0">
        <w:rPr>
          <w:rFonts w:ascii="Calibri" w:hAnsi="Calibri" w:cs="Arial"/>
          <w:lang w:val="nl-BE"/>
        </w:rPr>
        <w:t xml:space="preserve"> zich bevindt</w:t>
      </w:r>
      <w:r w:rsidR="001C1B7F">
        <w:rPr>
          <w:rFonts w:ascii="Calibri" w:hAnsi="Calibri" w:cs="Arial"/>
          <w:lang w:val="nl-BE"/>
        </w:rPr>
        <w:t xml:space="preserve">. </w:t>
      </w:r>
      <w:r w:rsidR="002F69E8">
        <w:rPr>
          <w:rFonts w:ascii="Calibri" w:hAnsi="Calibri" w:cs="Arial"/>
          <w:lang w:val="nl-BE"/>
        </w:rPr>
        <w:t xml:space="preserve">Het toeval </w:t>
      </w:r>
      <w:r w:rsidR="00E41D30">
        <w:rPr>
          <w:rFonts w:ascii="Calibri" w:hAnsi="Calibri" w:cs="Arial"/>
          <w:lang w:val="nl-BE"/>
        </w:rPr>
        <w:t xml:space="preserve">– of net niet – </w:t>
      </w:r>
      <w:r w:rsidR="002F69E8">
        <w:rPr>
          <w:rFonts w:ascii="Calibri" w:hAnsi="Calibri" w:cs="Arial"/>
          <w:lang w:val="nl-BE"/>
        </w:rPr>
        <w:t xml:space="preserve">wil dat er </w:t>
      </w:r>
      <w:r w:rsidR="00E41D30">
        <w:rPr>
          <w:rFonts w:ascii="Calibri" w:hAnsi="Calibri" w:cs="Arial"/>
          <w:lang w:val="nl-BE"/>
        </w:rPr>
        <w:t>bijna</w:t>
      </w:r>
      <w:r w:rsidR="002F69E8">
        <w:rPr>
          <w:rFonts w:ascii="Calibri" w:hAnsi="Calibri" w:cs="Arial"/>
          <w:lang w:val="nl-BE"/>
        </w:rPr>
        <w:t xml:space="preserve"> simultaan met de statuutswijziging ook een andere ingrijpende hervorming is doorgevoerd</w:t>
      </w:r>
      <w:r w:rsidR="00E41D30">
        <w:rPr>
          <w:rFonts w:ascii="Calibri" w:hAnsi="Calibri" w:cs="Arial"/>
          <w:lang w:val="nl-BE"/>
        </w:rPr>
        <w:t xml:space="preserve"> in het justitiële landschap</w:t>
      </w:r>
      <w:r w:rsidR="002F69E8">
        <w:rPr>
          <w:rFonts w:ascii="Calibri" w:hAnsi="Calibri" w:cs="Arial"/>
          <w:lang w:val="nl-BE"/>
        </w:rPr>
        <w:t>, namelijk de herziening van die gerechtelijke arrondissementen</w:t>
      </w:r>
      <w:r w:rsidR="00E76AAE">
        <w:rPr>
          <w:rStyle w:val="Voetnootmarkering"/>
          <w:rFonts w:ascii="Calibri" w:hAnsi="Calibri" w:cs="Arial"/>
          <w:lang w:val="nl-BE"/>
        </w:rPr>
        <w:footnoteReference w:id="36"/>
      </w:r>
      <w:r w:rsidR="00FE7AE0">
        <w:rPr>
          <w:rFonts w:ascii="Calibri" w:hAnsi="Calibri" w:cs="Arial"/>
          <w:lang w:val="nl-BE"/>
        </w:rPr>
        <w:t>. Deze hervorming heeft het aantal gerechtelijke arrondissementen herleid van 27 naar 12</w:t>
      </w:r>
      <w:r w:rsidR="00FE7AE0">
        <w:rPr>
          <w:rStyle w:val="Voetnootmarkering"/>
          <w:rFonts w:ascii="Calibri" w:hAnsi="Calibri" w:cs="Arial"/>
          <w:lang w:val="nl-BE"/>
        </w:rPr>
        <w:footnoteReference w:id="37"/>
      </w:r>
      <w:r w:rsidR="00FE7AE0">
        <w:rPr>
          <w:rFonts w:ascii="Calibri" w:hAnsi="Calibri" w:cs="Arial"/>
          <w:lang w:val="nl-BE"/>
        </w:rPr>
        <w:t xml:space="preserve"> en heeft er dus voor gezorgd dat de gerechtsdeurwaarders hun </w:t>
      </w:r>
      <w:r w:rsidR="00444CB5">
        <w:rPr>
          <w:rFonts w:ascii="Calibri" w:hAnsi="Calibri" w:cs="Arial"/>
          <w:lang w:val="nl-BE"/>
        </w:rPr>
        <w:t xml:space="preserve">territoriale </w:t>
      </w:r>
      <w:r w:rsidR="00FE7AE0">
        <w:rPr>
          <w:rFonts w:ascii="Calibri" w:hAnsi="Calibri" w:cs="Arial"/>
          <w:lang w:val="nl-BE"/>
        </w:rPr>
        <w:t xml:space="preserve">bevoegdheid verder reikt dan voorheen. </w:t>
      </w:r>
    </w:p>
    <w:p w14:paraId="60282DB8" w14:textId="578B2851" w:rsidR="00FE7AE0" w:rsidRDefault="00FE7AE0" w:rsidP="00547C14">
      <w:pPr>
        <w:spacing w:line="276" w:lineRule="auto"/>
        <w:jc w:val="both"/>
        <w:rPr>
          <w:rFonts w:ascii="Calibri" w:hAnsi="Calibri" w:cs="Arial"/>
          <w:b/>
          <w:lang w:val="nl-BE"/>
        </w:rPr>
      </w:pPr>
      <w:r>
        <w:rPr>
          <w:rFonts w:ascii="Calibri" w:hAnsi="Calibri" w:cs="Arial"/>
          <w:lang w:val="nl-BE"/>
        </w:rPr>
        <w:br/>
      </w:r>
      <w:r w:rsidR="005D3C3E">
        <w:rPr>
          <w:rFonts w:ascii="Calibri" w:hAnsi="Calibri" w:cs="Arial"/>
          <w:b/>
          <w:lang w:val="nl-BE"/>
        </w:rPr>
        <w:t>16.</w:t>
      </w:r>
      <w:r>
        <w:rPr>
          <w:rFonts w:ascii="Calibri" w:hAnsi="Calibri" w:cs="Arial"/>
          <w:lang w:val="nl-BE"/>
        </w:rPr>
        <w:t xml:space="preserve">Binnen elk </w:t>
      </w:r>
      <w:r w:rsidR="000B2145">
        <w:rPr>
          <w:rFonts w:ascii="Calibri" w:hAnsi="Calibri" w:cs="Arial"/>
          <w:lang w:val="nl-BE"/>
        </w:rPr>
        <w:t xml:space="preserve">gerechtelijk </w:t>
      </w:r>
      <w:r>
        <w:rPr>
          <w:rFonts w:ascii="Calibri" w:hAnsi="Calibri" w:cs="Arial"/>
          <w:lang w:val="nl-BE"/>
        </w:rPr>
        <w:t>arrondissement bestaat er een overkoepelende organisatie voor alle gerechtsdeurwaarders binnen dat arrondissement, simpelweg de arrondissementskamer genaamd</w:t>
      </w:r>
      <w:r>
        <w:rPr>
          <w:rStyle w:val="Voetnootmarkering"/>
          <w:rFonts w:ascii="Calibri" w:hAnsi="Calibri" w:cs="Arial"/>
          <w:lang w:val="nl-BE"/>
        </w:rPr>
        <w:footnoteReference w:id="38"/>
      </w:r>
      <w:r>
        <w:rPr>
          <w:rFonts w:ascii="Calibri" w:hAnsi="Calibri" w:cs="Arial"/>
          <w:lang w:val="nl-BE"/>
        </w:rPr>
        <w:t xml:space="preserve">. </w:t>
      </w:r>
      <w:r w:rsidR="002E5943">
        <w:rPr>
          <w:rFonts w:ascii="Calibri" w:hAnsi="Calibri" w:cs="Arial"/>
          <w:lang w:val="nl-BE"/>
        </w:rPr>
        <w:t>Ze wordt beheerd door een raad</w:t>
      </w:r>
      <w:r w:rsidR="002E5943">
        <w:rPr>
          <w:rStyle w:val="Voetnootmarkering"/>
          <w:rFonts w:ascii="Calibri" w:hAnsi="Calibri" w:cs="Arial"/>
          <w:lang w:val="nl-BE"/>
        </w:rPr>
        <w:footnoteReference w:id="39"/>
      </w:r>
      <w:r w:rsidR="002E5943">
        <w:rPr>
          <w:rFonts w:ascii="Calibri" w:hAnsi="Calibri" w:cs="Arial"/>
          <w:lang w:val="nl-BE"/>
        </w:rPr>
        <w:t xml:space="preserve"> die jaarlijks verkozen wordt door de algemene vergadering</w:t>
      </w:r>
      <w:r w:rsidR="002E5943">
        <w:rPr>
          <w:rStyle w:val="Voetnootmarkering"/>
          <w:rFonts w:ascii="Calibri" w:hAnsi="Calibri" w:cs="Arial"/>
          <w:lang w:val="nl-BE"/>
        </w:rPr>
        <w:footnoteReference w:id="40"/>
      </w:r>
      <w:r w:rsidR="00BC55A8">
        <w:rPr>
          <w:rFonts w:ascii="Calibri" w:hAnsi="Calibri" w:cs="Arial"/>
          <w:lang w:val="nl-BE"/>
        </w:rPr>
        <w:t xml:space="preserve">, </w:t>
      </w:r>
      <w:r w:rsidR="00044340">
        <w:rPr>
          <w:rFonts w:ascii="Calibri" w:hAnsi="Calibri" w:cs="Arial"/>
          <w:lang w:val="nl-BE"/>
        </w:rPr>
        <w:t>bestaande</w:t>
      </w:r>
      <w:r w:rsidR="00BC55A8">
        <w:rPr>
          <w:rFonts w:ascii="Calibri" w:hAnsi="Calibri" w:cs="Arial"/>
          <w:lang w:val="nl-BE"/>
        </w:rPr>
        <w:t xml:space="preserve"> uit alle in dat arrondissement werkzame</w:t>
      </w:r>
      <w:r w:rsidR="00444CB5">
        <w:rPr>
          <w:rFonts w:ascii="Calibri" w:hAnsi="Calibri" w:cs="Arial"/>
          <w:lang w:val="nl-BE"/>
        </w:rPr>
        <w:t xml:space="preserve"> </w:t>
      </w:r>
      <w:r w:rsidR="00BC55A8">
        <w:rPr>
          <w:rFonts w:ascii="Calibri" w:hAnsi="Calibri" w:cs="Arial"/>
          <w:lang w:val="nl-BE"/>
        </w:rPr>
        <w:t>gerechtsdeurwaarders</w:t>
      </w:r>
      <w:r w:rsidR="00444CB5">
        <w:rPr>
          <w:rFonts w:ascii="Calibri" w:hAnsi="Calibri" w:cs="Arial"/>
          <w:lang w:val="nl-BE"/>
        </w:rPr>
        <w:t xml:space="preserve"> en kandidaat-gerechtsdeurwaarders</w:t>
      </w:r>
      <w:r w:rsidR="00BC55A8">
        <w:rPr>
          <w:rFonts w:ascii="Calibri" w:hAnsi="Calibri" w:cs="Arial"/>
          <w:lang w:val="nl-BE"/>
        </w:rPr>
        <w:t xml:space="preserve">. </w:t>
      </w:r>
      <w:r w:rsidR="00CF220E">
        <w:rPr>
          <w:rFonts w:ascii="Calibri" w:hAnsi="Calibri" w:cs="Arial"/>
          <w:lang w:val="nl-BE"/>
        </w:rPr>
        <w:t xml:space="preserve">De raad heeft welomschreven </w:t>
      </w:r>
      <w:r w:rsidR="000F7029">
        <w:rPr>
          <w:rFonts w:ascii="Calibri" w:hAnsi="Calibri" w:cs="Arial"/>
          <w:lang w:val="nl-BE"/>
        </w:rPr>
        <w:t>tak</w:t>
      </w:r>
      <w:r w:rsidR="00CF220E">
        <w:rPr>
          <w:rFonts w:ascii="Calibri" w:hAnsi="Calibri" w:cs="Arial"/>
          <w:lang w:val="nl-BE"/>
        </w:rPr>
        <w:t>en</w:t>
      </w:r>
      <w:r w:rsidR="00CF220E">
        <w:rPr>
          <w:rStyle w:val="Voetnootmarkering"/>
          <w:rFonts w:ascii="Calibri" w:hAnsi="Calibri" w:cs="Arial"/>
          <w:lang w:val="nl-BE"/>
        </w:rPr>
        <w:footnoteReference w:id="41"/>
      </w:r>
      <w:r w:rsidR="00044340">
        <w:rPr>
          <w:rFonts w:ascii="Calibri" w:hAnsi="Calibri" w:cs="Arial"/>
          <w:lang w:val="nl-BE"/>
        </w:rPr>
        <w:t>, waaronder het oplossen en voorkomen van interne geschillen, maar ook het</w:t>
      </w:r>
      <w:r w:rsidR="007631B2">
        <w:rPr>
          <w:rFonts w:ascii="Calibri" w:hAnsi="Calibri" w:cs="Arial"/>
          <w:lang w:val="nl-BE"/>
        </w:rPr>
        <w:t xml:space="preserve"> voorkomen en in voorkomend geval</w:t>
      </w:r>
      <w:r w:rsidR="00044340">
        <w:rPr>
          <w:rFonts w:ascii="Calibri" w:hAnsi="Calibri" w:cs="Arial"/>
          <w:lang w:val="nl-BE"/>
        </w:rPr>
        <w:t xml:space="preserve"> </w:t>
      </w:r>
      <w:r w:rsidR="000F7029">
        <w:rPr>
          <w:rFonts w:ascii="Calibri" w:hAnsi="Calibri" w:cs="Arial"/>
          <w:lang w:val="nl-BE"/>
        </w:rPr>
        <w:t>behandelen van klachte</w:t>
      </w:r>
      <w:r w:rsidR="00444CB5">
        <w:rPr>
          <w:rFonts w:ascii="Calibri" w:hAnsi="Calibri" w:cs="Arial"/>
          <w:lang w:val="nl-BE"/>
        </w:rPr>
        <w:t>n</w:t>
      </w:r>
      <w:r w:rsidR="00C075E7">
        <w:rPr>
          <w:rFonts w:ascii="Calibri" w:hAnsi="Calibri" w:cs="Arial"/>
          <w:lang w:val="nl-BE"/>
        </w:rPr>
        <w:t>.</w:t>
      </w:r>
      <w:r w:rsidR="00444CB5">
        <w:rPr>
          <w:rFonts w:ascii="Calibri" w:hAnsi="Calibri" w:cs="Arial"/>
          <w:lang w:val="nl-BE"/>
        </w:rPr>
        <w:t xml:space="preserve"> Ook de vertegenwoordiging van het arrondissementele gerechtsdeurwaarderskorps valt onder </w:t>
      </w:r>
      <w:r w:rsidR="00504EA1">
        <w:rPr>
          <w:rFonts w:ascii="Calibri" w:hAnsi="Calibri" w:cs="Arial"/>
          <w:lang w:val="nl-BE"/>
        </w:rPr>
        <w:t xml:space="preserve">de raad zijn bevoegdheid. </w:t>
      </w:r>
      <w:r w:rsidR="00C075E7">
        <w:rPr>
          <w:rFonts w:ascii="Calibri" w:hAnsi="Calibri" w:cs="Arial"/>
          <w:lang w:val="nl-BE"/>
        </w:rPr>
        <w:t>Klachtenbehandeling wordt exclusief toegewezen aan de verslaggever van de raad, die ze doorverwijst naar de Nationale Kamer indien hij dit nodig acht</w:t>
      </w:r>
      <w:r w:rsidR="00C075E7">
        <w:rPr>
          <w:rStyle w:val="Voetnootmarkering"/>
          <w:rFonts w:ascii="Calibri" w:hAnsi="Calibri" w:cs="Arial"/>
          <w:lang w:val="nl-BE"/>
        </w:rPr>
        <w:footnoteReference w:id="42"/>
      </w:r>
      <w:r w:rsidR="00C075E7">
        <w:rPr>
          <w:rFonts w:ascii="Calibri" w:hAnsi="Calibri" w:cs="Arial"/>
          <w:lang w:val="nl-BE"/>
        </w:rPr>
        <w:t>. Klachten van derden kunnen ook rechtstreeks bij de Nationale Kamer neergelegd worden</w:t>
      </w:r>
      <w:r w:rsidR="00C075E7">
        <w:rPr>
          <w:rStyle w:val="Voetnootmarkering"/>
          <w:rFonts w:ascii="Calibri" w:hAnsi="Calibri" w:cs="Arial"/>
          <w:lang w:val="nl-BE"/>
        </w:rPr>
        <w:footnoteReference w:id="43"/>
      </w:r>
      <w:r w:rsidR="00C075E7">
        <w:rPr>
          <w:rFonts w:ascii="Calibri" w:hAnsi="Calibri" w:cs="Arial"/>
          <w:lang w:val="nl-BE"/>
        </w:rPr>
        <w:t>.</w:t>
      </w:r>
    </w:p>
    <w:p w14:paraId="24D2671A" w14:textId="36510D43" w:rsidR="00DB1D54" w:rsidRDefault="00DB1D54">
      <w:pPr>
        <w:rPr>
          <w:rFonts w:ascii="Calibri" w:hAnsi="Calibri" w:cs="Arial"/>
          <w:i/>
          <w:lang w:val="nl-BE"/>
        </w:rPr>
      </w:pPr>
      <w:r>
        <w:rPr>
          <w:rFonts w:ascii="Calibri" w:hAnsi="Calibri" w:cs="Arial"/>
          <w:i/>
          <w:lang w:val="nl-BE"/>
        </w:rPr>
        <w:br w:type="page"/>
      </w:r>
    </w:p>
    <w:p w14:paraId="618812CF" w14:textId="06C13A07" w:rsidR="00A54588" w:rsidRDefault="001B44A2" w:rsidP="002532B7">
      <w:pPr>
        <w:pStyle w:val="Kop3"/>
        <w:spacing w:line="276" w:lineRule="auto"/>
        <w:rPr>
          <w:lang w:val="nl-BE"/>
        </w:rPr>
      </w:pPr>
      <w:bookmarkStart w:id="10" w:name="_Toc40689949"/>
      <w:r>
        <w:rPr>
          <w:lang w:val="nl-BE"/>
        </w:rPr>
        <w:lastRenderedPageBreak/>
        <w:t xml:space="preserve">Afdeling II: </w:t>
      </w:r>
      <w:r w:rsidR="009F5291">
        <w:rPr>
          <w:lang w:val="nl-BE"/>
        </w:rPr>
        <w:t>Nationale Kamer van Gerechtsdeurwaarders (NKGB)</w:t>
      </w:r>
      <w:bookmarkEnd w:id="10"/>
      <w:r w:rsidR="009F5291">
        <w:rPr>
          <w:lang w:val="nl-BE"/>
        </w:rPr>
        <w:t xml:space="preserve"> </w:t>
      </w:r>
    </w:p>
    <w:p w14:paraId="1D56A9F6" w14:textId="77777777" w:rsidR="009F5291" w:rsidRDefault="009F5291" w:rsidP="002532B7">
      <w:pPr>
        <w:spacing w:line="276" w:lineRule="auto"/>
        <w:rPr>
          <w:rFonts w:ascii="Calibri" w:hAnsi="Calibri" w:cs="Arial"/>
          <w:lang w:val="nl-BE"/>
        </w:rPr>
      </w:pPr>
    </w:p>
    <w:p w14:paraId="609CDB16" w14:textId="2F9B1CB6" w:rsidR="005D3C3E" w:rsidRDefault="005D3C3E" w:rsidP="002532B7">
      <w:pPr>
        <w:spacing w:line="276" w:lineRule="auto"/>
        <w:rPr>
          <w:rFonts w:ascii="Calibri" w:hAnsi="Calibri" w:cs="Arial"/>
          <w:lang w:val="nl-BE"/>
        </w:rPr>
      </w:pPr>
      <w:r>
        <w:rPr>
          <w:rFonts w:ascii="Calibri" w:hAnsi="Calibri" w:cs="Arial"/>
          <w:b/>
          <w:lang w:val="nl-BE"/>
        </w:rPr>
        <w:t>17.</w:t>
      </w:r>
      <w:r w:rsidR="009F5291">
        <w:rPr>
          <w:rFonts w:ascii="Calibri" w:hAnsi="Calibri" w:cs="Arial"/>
          <w:lang w:val="nl-BE"/>
        </w:rPr>
        <w:t>De Nationale Kamer van Gerechtsdeurwaarders</w:t>
      </w:r>
      <w:r w:rsidR="009F5291">
        <w:rPr>
          <w:rStyle w:val="Voetnootmarkering"/>
          <w:rFonts w:ascii="Calibri" w:hAnsi="Calibri" w:cs="Arial"/>
          <w:lang w:val="nl-BE"/>
        </w:rPr>
        <w:footnoteReference w:id="44"/>
      </w:r>
      <w:r w:rsidR="009F5291">
        <w:rPr>
          <w:rFonts w:ascii="Calibri" w:hAnsi="Calibri" w:cs="Arial"/>
          <w:lang w:val="nl-BE"/>
        </w:rPr>
        <w:t xml:space="preserve"> bestaat uit </w:t>
      </w:r>
      <w:r w:rsidR="00AB4C14">
        <w:rPr>
          <w:rFonts w:ascii="Calibri" w:hAnsi="Calibri" w:cs="Arial"/>
          <w:lang w:val="nl-BE"/>
        </w:rPr>
        <w:t>alle Belgische gerechtsdeurwaarders en kandidaat-gerechtsdeurwaarders</w:t>
      </w:r>
      <w:r w:rsidR="00AB4C14">
        <w:rPr>
          <w:rStyle w:val="Voetnootmarkering"/>
          <w:rFonts w:ascii="Calibri" w:hAnsi="Calibri" w:cs="Arial"/>
          <w:lang w:val="nl-BE"/>
        </w:rPr>
        <w:footnoteReference w:id="45"/>
      </w:r>
      <w:r w:rsidR="00AB4C14">
        <w:rPr>
          <w:rFonts w:ascii="Calibri" w:hAnsi="Calibri" w:cs="Arial"/>
          <w:lang w:val="nl-BE"/>
        </w:rPr>
        <w:t>. Het is een publiekrechtelijke instelling met rechtspersoonlijkheid en bestaat uit twee organen, de algemene vergadering en het directiecomité.</w:t>
      </w:r>
      <w:r w:rsidR="00AB4C14">
        <w:rPr>
          <w:rStyle w:val="Voetnootmarkering"/>
          <w:rFonts w:ascii="Calibri" w:hAnsi="Calibri" w:cs="Arial"/>
          <w:lang w:val="nl-BE"/>
        </w:rPr>
        <w:footnoteReference w:id="46"/>
      </w:r>
      <w:r w:rsidR="007631B2">
        <w:rPr>
          <w:rFonts w:ascii="Calibri" w:hAnsi="Calibri" w:cs="Arial"/>
          <w:lang w:val="nl-BE"/>
        </w:rPr>
        <w:br/>
      </w:r>
    </w:p>
    <w:p w14:paraId="1FEE4442" w14:textId="10969A19" w:rsidR="00E40816" w:rsidRPr="00E40816" w:rsidRDefault="005D3C3E" w:rsidP="00C75526">
      <w:pPr>
        <w:spacing w:line="276" w:lineRule="auto"/>
        <w:jc w:val="both"/>
        <w:rPr>
          <w:rFonts w:ascii="Calibri" w:hAnsi="Calibri" w:cs="Arial"/>
          <w:lang w:val="nl-BE"/>
        </w:rPr>
      </w:pPr>
      <w:r>
        <w:rPr>
          <w:rFonts w:ascii="Calibri" w:hAnsi="Calibri" w:cs="Arial"/>
          <w:b/>
          <w:lang w:val="nl-BE"/>
        </w:rPr>
        <w:t>18.</w:t>
      </w:r>
      <w:r w:rsidR="004B3DFC">
        <w:rPr>
          <w:rFonts w:ascii="Calibri" w:hAnsi="Calibri" w:cs="Arial"/>
          <w:lang w:val="nl-BE"/>
        </w:rPr>
        <w:t xml:space="preserve">De algemene vergadering is als het ware een mengelmoes van </w:t>
      </w:r>
      <w:r w:rsidR="00B61E09">
        <w:rPr>
          <w:rFonts w:ascii="Calibri" w:hAnsi="Calibri" w:cs="Arial"/>
          <w:lang w:val="nl-BE"/>
        </w:rPr>
        <w:t xml:space="preserve">afgevaardigden voor </w:t>
      </w:r>
      <w:r w:rsidR="004B3DFC">
        <w:rPr>
          <w:rFonts w:ascii="Calibri" w:hAnsi="Calibri" w:cs="Arial"/>
          <w:lang w:val="nl-BE"/>
        </w:rPr>
        <w:t>de arrondissementskamers.</w:t>
      </w:r>
      <w:r w:rsidR="00827B3F">
        <w:rPr>
          <w:rFonts w:ascii="Calibri" w:hAnsi="Calibri" w:cs="Arial"/>
          <w:lang w:val="nl-BE"/>
        </w:rPr>
        <w:t xml:space="preserve"> </w:t>
      </w:r>
      <w:r w:rsidR="004B3DFC">
        <w:rPr>
          <w:rFonts w:ascii="Calibri" w:hAnsi="Calibri" w:cs="Arial"/>
          <w:lang w:val="nl-BE"/>
        </w:rPr>
        <w:t xml:space="preserve">Vertegenwoordigers </w:t>
      </w:r>
      <w:r w:rsidR="00B61E09">
        <w:rPr>
          <w:rFonts w:ascii="Calibri" w:hAnsi="Calibri" w:cs="Arial"/>
          <w:lang w:val="nl-BE"/>
        </w:rPr>
        <w:t xml:space="preserve">worden namelijk </w:t>
      </w:r>
      <w:r w:rsidR="004B3DFC">
        <w:rPr>
          <w:rFonts w:ascii="Calibri" w:hAnsi="Calibri" w:cs="Arial"/>
          <w:lang w:val="nl-BE"/>
        </w:rPr>
        <w:t>verkozen door de algemene vergadering van d</w:t>
      </w:r>
      <w:r w:rsidR="00B61E09">
        <w:rPr>
          <w:rFonts w:ascii="Calibri" w:hAnsi="Calibri" w:cs="Arial"/>
          <w:lang w:val="nl-BE"/>
        </w:rPr>
        <w:t>i</w:t>
      </w:r>
      <w:r w:rsidR="004B3DFC">
        <w:rPr>
          <w:rFonts w:ascii="Calibri" w:hAnsi="Calibri" w:cs="Arial"/>
          <w:lang w:val="nl-BE"/>
        </w:rPr>
        <w:t>e arrondissementskamer</w:t>
      </w:r>
      <w:r w:rsidR="004B3DFC">
        <w:rPr>
          <w:rStyle w:val="Voetnootmarkering"/>
          <w:rFonts w:ascii="Calibri" w:hAnsi="Calibri" w:cs="Arial"/>
          <w:lang w:val="nl-BE"/>
        </w:rPr>
        <w:footnoteReference w:id="47"/>
      </w:r>
      <w:r w:rsidR="004B3DFC">
        <w:rPr>
          <w:rFonts w:ascii="Calibri" w:hAnsi="Calibri" w:cs="Arial"/>
          <w:lang w:val="nl-BE"/>
        </w:rPr>
        <w:t>. Teneinde een proportionele samenstelling van de algemene vergadering te bekomen, wordt het aantal vertegenwoordigers gelinkt aan het aantal werkzame gerechtsdeurwaarders in het arrondissement</w:t>
      </w:r>
      <w:r w:rsidR="004B3DFC">
        <w:rPr>
          <w:rStyle w:val="Voetnootmarkering"/>
          <w:rFonts w:ascii="Calibri" w:hAnsi="Calibri" w:cs="Arial"/>
          <w:lang w:val="nl-BE"/>
        </w:rPr>
        <w:footnoteReference w:id="48"/>
      </w:r>
      <w:r w:rsidR="004B3DFC">
        <w:rPr>
          <w:rFonts w:ascii="Calibri" w:hAnsi="Calibri" w:cs="Arial"/>
          <w:lang w:val="nl-BE"/>
        </w:rPr>
        <w:t>.</w:t>
      </w:r>
    </w:p>
    <w:p w14:paraId="66EB782F" w14:textId="77777777" w:rsidR="005D3C3E" w:rsidRDefault="005D3C3E" w:rsidP="002532B7">
      <w:pPr>
        <w:spacing w:line="276" w:lineRule="auto"/>
        <w:rPr>
          <w:rFonts w:ascii="Calibri" w:hAnsi="Calibri" w:cs="Arial"/>
          <w:color w:val="000000" w:themeColor="text1"/>
          <w:lang w:val="nl-BE"/>
        </w:rPr>
      </w:pPr>
    </w:p>
    <w:p w14:paraId="2EAEDDDB" w14:textId="1E62DAF2" w:rsidR="001947F4" w:rsidRPr="005D3C3E" w:rsidRDefault="005D3C3E" w:rsidP="00C75526">
      <w:pPr>
        <w:spacing w:line="276" w:lineRule="auto"/>
        <w:jc w:val="both"/>
        <w:rPr>
          <w:rFonts w:ascii="Calibri" w:hAnsi="Calibri" w:cs="Arial"/>
          <w:color w:val="000000" w:themeColor="text1"/>
          <w:lang w:val="nl-BE"/>
        </w:rPr>
      </w:pPr>
      <w:r>
        <w:rPr>
          <w:rFonts w:ascii="Calibri" w:hAnsi="Calibri" w:cs="Arial"/>
          <w:b/>
          <w:color w:val="000000" w:themeColor="text1"/>
          <w:lang w:val="nl-BE"/>
        </w:rPr>
        <w:t>19.</w:t>
      </w:r>
      <w:r w:rsidR="008F2C7D">
        <w:rPr>
          <w:rFonts w:ascii="Calibri" w:hAnsi="Calibri" w:cs="Arial"/>
          <w:color w:val="000000" w:themeColor="text1"/>
          <w:lang w:val="nl-BE"/>
        </w:rPr>
        <w:t>Uit haar leden verkiest de algemene vergadering een directiecomité</w:t>
      </w:r>
      <w:r w:rsidR="009E0146">
        <w:rPr>
          <w:rStyle w:val="Voetnootmarkering"/>
          <w:rFonts w:ascii="Calibri" w:hAnsi="Calibri" w:cs="Arial"/>
          <w:color w:val="000000" w:themeColor="text1"/>
          <w:lang w:val="nl-BE"/>
        </w:rPr>
        <w:footnoteReference w:id="49"/>
      </w:r>
      <w:r w:rsidR="008F2C7D">
        <w:rPr>
          <w:rFonts w:ascii="Calibri" w:hAnsi="Calibri" w:cs="Arial"/>
          <w:color w:val="000000" w:themeColor="text1"/>
          <w:lang w:val="nl-BE"/>
        </w:rPr>
        <w:t>, belast met de taken van dagelijks beheer</w:t>
      </w:r>
      <w:r w:rsidR="00D478C4">
        <w:rPr>
          <w:rFonts w:ascii="Calibri" w:hAnsi="Calibri" w:cs="Arial"/>
          <w:color w:val="000000" w:themeColor="text1"/>
          <w:lang w:val="nl-BE"/>
        </w:rPr>
        <w:t xml:space="preserve">. Het directiecomité komt </w:t>
      </w:r>
      <w:r w:rsidR="00021E58">
        <w:rPr>
          <w:rFonts w:ascii="Calibri" w:hAnsi="Calibri" w:cs="Arial"/>
          <w:color w:val="000000" w:themeColor="text1"/>
          <w:lang w:val="nl-BE"/>
        </w:rPr>
        <w:t>– simplistisch gesteld –</w:t>
      </w:r>
      <w:r w:rsidR="005E608D">
        <w:rPr>
          <w:rFonts w:ascii="Calibri" w:hAnsi="Calibri" w:cs="Arial"/>
          <w:color w:val="000000" w:themeColor="text1"/>
          <w:lang w:val="nl-BE"/>
        </w:rPr>
        <w:t xml:space="preserve"> </w:t>
      </w:r>
      <w:r w:rsidR="003C5E22">
        <w:rPr>
          <w:rFonts w:ascii="Calibri" w:hAnsi="Calibri" w:cs="Arial"/>
          <w:color w:val="000000" w:themeColor="text1"/>
          <w:lang w:val="nl-BE"/>
        </w:rPr>
        <w:t xml:space="preserve">eigenlijk </w:t>
      </w:r>
      <w:r w:rsidR="00D478C4">
        <w:rPr>
          <w:rFonts w:ascii="Calibri" w:hAnsi="Calibri" w:cs="Arial"/>
          <w:color w:val="000000" w:themeColor="text1"/>
          <w:lang w:val="nl-BE"/>
        </w:rPr>
        <w:t>overeen met de raad van de arronidissementskamer</w:t>
      </w:r>
      <w:r w:rsidR="005E608D">
        <w:rPr>
          <w:rFonts w:ascii="Calibri" w:hAnsi="Calibri" w:cs="Arial"/>
          <w:color w:val="000000" w:themeColor="text1"/>
          <w:lang w:val="nl-BE"/>
        </w:rPr>
        <w:t>, maar dan op nationaal niveau</w:t>
      </w:r>
      <w:r w:rsidR="00D478C4">
        <w:rPr>
          <w:rFonts w:ascii="Calibri" w:hAnsi="Calibri" w:cs="Arial"/>
          <w:color w:val="000000" w:themeColor="text1"/>
          <w:lang w:val="nl-BE"/>
        </w:rPr>
        <w:t xml:space="preserve">. Merk </w:t>
      </w:r>
      <w:r w:rsidR="00021E58">
        <w:rPr>
          <w:rFonts w:ascii="Calibri" w:hAnsi="Calibri" w:cs="Arial"/>
          <w:color w:val="000000" w:themeColor="text1"/>
          <w:lang w:val="nl-BE"/>
        </w:rPr>
        <w:t xml:space="preserve">wel </w:t>
      </w:r>
      <w:r w:rsidR="00D478C4">
        <w:rPr>
          <w:rFonts w:ascii="Calibri" w:hAnsi="Calibri" w:cs="Arial"/>
          <w:color w:val="000000" w:themeColor="text1"/>
          <w:lang w:val="nl-BE"/>
        </w:rPr>
        <w:t>op dat er op arrondissementeel niveau een onderscheid wordt gemaakt tussen de twee organen betreffende hun bevoegdheden</w:t>
      </w:r>
      <w:r w:rsidR="00D478C4">
        <w:rPr>
          <w:rStyle w:val="Voetnootmarkering"/>
          <w:rFonts w:ascii="Calibri" w:hAnsi="Calibri" w:cs="Arial"/>
          <w:color w:val="000000" w:themeColor="text1"/>
          <w:lang w:val="nl-BE"/>
        </w:rPr>
        <w:footnoteReference w:id="50"/>
      </w:r>
      <w:r w:rsidR="00D478C4">
        <w:rPr>
          <w:rFonts w:ascii="Calibri" w:hAnsi="Calibri" w:cs="Arial"/>
          <w:color w:val="000000" w:themeColor="text1"/>
          <w:lang w:val="nl-BE"/>
        </w:rPr>
        <w:t>, terwijl de taken van de NKGB één en ondeelbaar staan opgesomd in het Gerechtelijk Wetboek</w:t>
      </w:r>
      <w:r w:rsidR="008079F2">
        <w:rPr>
          <w:rStyle w:val="Voetnootmarkering"/>
          <w:rFonts w:ascii="Calibri" w:hAnsi="Calibri" w:cs="Arial"/>
          <w:color w:val="000000" w:themeColor="text1"/>
          <w:lang w:val="nl-BE"/>
        </w:rPr>
        <w:footnoteReference w:id="51"/>
      </w:r>
      <w:r w:rsidR="00D478C4">
        <w:rPr>
          <w:rFonts w:ascii="Calibri" w:hAnsi="Calibri" w:cs="Arial"/>
          <w:color w:val="000000" w:themeColor="text1"/>
          <w:lang w:val="nl-BE"/>
        </w:rPr>
        <w:t xml:space="preserve">. </w:t>
      </w:r>
      <w:r>
        <w:rPr>
          <w:rFonts w:ascii="Calibri" w:hAnsi="Calibri" w:cs="Arial"/>
          <w:color w:val="000000" w:themeColor="text1"/>
          <w:lang w:val="nl-BE"/>
        </w:rPr>
        <w:t xml:space="preserve">Naast voor de hand liggende, interne taken zoals de boekhouding en het opstellen van </w:t>
      </w:r>
      <w:r w:rsidR="003C5E22">
        <w:rPr>
          <w:rFonts w:ascii="Calibri" w:hAnsi="Calibri" w:cs="Arial"/>
          <w:color w:val="000000" w:themeColor="text1"/>
          <w:lang w:val="nl-BE"/>
        </w:rPr>
        <w:t>een</w:t>
      </w:r>
      <w:r>
        <w:rPr>
          <w:rFonts w:ascii="Calibri" w:hAnsi="Calibri" w:cs="Arial"/>
          <w:color w:val="000000" w:themeColor="text1"/>
          <w:lang w:val="nl-BE"/>
        </w:rPr>
        <w:t xml:space="preserve"> begroting, zijn de voo</w:t>
      </w:r>
      <w:r w:rsidR="00974D59">
        <w:rPr>
          <w:rFonts w:ascii="Calibri" w:hAnsi="Calibri" w:cs="Arial"/>
          <w:color w:val="000000" w:themeColor="text1"/>
          <w:lang w:val="nl-BE"/>
        </w:rPr>
        <w:t xml:space="preserve">rnaamste taken van de NKGB </w:t>
      </w:r>
      <w:r>
        <w:rPr>
          <w:rFonts w:ascii="Calibri" w:hAnsi="Calibri" w:cs="Arial"/>
          <w:color w:val="000000" w:themeColor="text1"/>
          <w:lang w:val="nl-BE"/>
        </w:rPr>
        <w:t>het vastleggen en handhaven van de algemene deontologische regels, het organiseren van permanente vorming en het verkiezen van leden van de benoemings- en tuchtcommissies</w:t>
      </w:r>
      <w:r w:rsidR="00E00130">
        <w:rPr>
          <w:rStyle w:val="Voetnootmarkering"/>
          <w:rFonts w:ascii="Calibri" w:hAnsi="Calibri" w:cs="Arial"/>
          <w:color w:val="000000" w:themeColor="text1"/>
          <w:lang w:val="nl-BE"/>
        </w:rPr>
        <w:footnoteReference w:id="52"/>
      </w:r>
      <w:r w:rsidR="00E00130">
        <w:rPr>
          <w:rFonts w:ascii="Calibri" w:hAnsi="Calibri" w:cs="Arial"/>
          <w:color w:val="000000" w:themeColor="text1"/>
          <w:lang w:val="nl-BE"/>
        </w:rPr>
        <w:t>.</w:t>
      </w:r>
    </w:p>
    <w:p w14:paraId="0A389DC0" w14:textId="1BD94EAD" w:rsidR="00903DC3" w:rsidRDefault="00903DC3">
      <w:pPr>
        <w:rPr>
          <w:rFonts w:asciiTheme="majorHAnsi" w:eastAsiaTheme="majorEastAsia" w:hAnsiTheme="majorHAnsi" w:cstheme="majorBidi"/>
          <w:color w:val="2F5496" w:themeColor="accent1" w:themeShade="BF"/>
          <w:sz w:val="32"/>
          <w:szCs w:val="32"/>
          <w:lang w:val="nl-BE"/>
        </w:rPr>
      </w:pPr>
      <w:r>
        <w:rPr>
          <w:lang w:val="nl-BE"/>
        </w:rPr>
        <w:br w:type="page"/>
      </w:r>
    </w:p>
    <w:p w14:paraId="2BF92AA5" w14:textId="42A55B7D" w:rsidR="003C5E22" w:rsidRDefault="003C5E22" w:rsidP="003C5E22">
      <w:pPr>
        <w:pStyle w:val="Kop1"/>
        <w:rPr>
          <w:lang w:val="nl-BE"/>
        </w:rPr>
      </w:pPr>
      <w:bookmarkStart w:id="11" w:name="_Toc40689950"/>
      <w:r>
        <w:rPr>
          <w:lang w:val="nl-BE"/>
        </w:rPr>
        <w:lastRenderedPageBreak/>
        <w:t>DEEL 2: THEORETISCHE BENADERING VAN DE HERVORMING</w:t>
      </w:r>
      <w:bookmarkEnd w:id="11"/>
      <w:r>
        <w:rPr>
          <w:lang w:val="nl-BE"/>
        </w:rPr>
        <w:t xml:space="preserve"> </w:t>
      </w:r>
    </w:p>
    <w:p w14:paraId="0DFD8B8A" w14:textId="77777777" w:rsidR="003C5E22" w:rsidRPr="003C5E22" w:rsidRDefault="003C5E22" w:rsidP="003C5E22">
      <w:pPr>
        <w:rPr>
          <w:lang w:val="nl-BE"/>
        </w:rPr>
      </w:pPr>
    </w:p>
    <w:p w14:paraId="6BB3A5D4" w14:textId="1F269484" w:rsidR="00D9659C" w:rsidRPr="00D9172E" w:rsidRDefault="005D3C3E" w:rsidP="00C75526">
      <w:pPr>
        <w:spacing w:line="276" w:lineRule="auto"/>
        <w:jc w:val="both"/>
        <w:rPr>
          <w:rFonts w:ascii="Calibri" w:hAnsi="Calibri" w:cs="Arial"/>
          <w:lang w:val="nl-BE"/>
        </w:rPr>
      </w:pPr>
      <w:r>
        <w:rPr>
          <w:rFonts w:ascii="Calibri" w:hAnsi="Calibri" w:cs="Arial"/>
          <w:b/>
          <w:lang w:val="nl-BE"/>
        </w:rPr>
        <w:t>20.</w:t>
      </w:r>
      <w:r w:rsidR="00FC5B24" w:rsidRPr="00D9172E">
        <w:rPr>
          <w:rFonts w:ascii="Calibri" w:hAnsi="Calibri" w:cs="Arial"/>
          <w:lang w:val="nl-BE"/>
        </w:rPr>
        <w:t>De hervorming en wetswijziging uit 2014 is het resultaat van een lange periode van onduidelijkheid en rechtsonzekerheid binnen het gerechtsdeurwaarders</w:t>
      </w:r>
      <w:r w:rsidR="000E5DA1">
        <w:rPr>
          <w:rFonts w:ascii="Calibri" w:hAnsi="Calibri" w:cs="Arial"/>
          <w:lang w:val="nl-BE"/>
        </w:rPr>
        <w:t>korps</w:t>
      </w:r>
      <w:r w:rsidR="00FC5B24" w:rsidRPr="00D9172E">
        <w:rPr>
          <w:rFonts w:ascii="Calibri" w:hAnsi="Calibri" w:cs="Arial"/>
          <w:lang w:val="nl-BE"/>
        </w:rPr>
        <w:t xml:space="preserve">. </w:t>
      </w:r>
      <w:r w:rsidR="003123DE" w:rsidRPr="00D9172E">
        <w:rPr>
          <w:rFonts w:ascii="Calibri" w:hAnsi="Calibri" w:cs="Arial"/>
          <w:lang w:val="nl-BE"/>
        </w:rPr>
        <w:t>Ze is tot stand gekomen door een wetsontwerp</w:t>
      </w:r>
      <w:r w:rsidR="00490822" w:rsidRPr="00D9172E">
        <w:rPr>
          <w:rFonts w:ascii="Calibri" w:hAnsi="Calibri" w:cs="Arial"/>
          <w:lang w:val="nl-BE"/>
        </w:rPr>
        <w:t xml:space="preserve"> </w:t>
      </w:r>
      <w:r w:rsidR="003123DE" w:rsidRPr="00D9172E">
        <w:rPr>
          <w:rFonts w:ascii="Calibri" w:hAnsi="Calibri" w:cs="Arial"/>
          <w:lang w:val="nl-BE"/>
        </w:rPr>
        <w:t xml:space="preserve">van de regering-Di Rupo, meer bepaald van toenmalig minister van Justitie Annemie </w:t>
      </w:r>
      <w:r w:rsidR="0079719D" w:rsidRPr="00D9172E">
        <w:rPr>
          <w:rFonts w:ascii="Calibri" w:hAnsi="Calibri" w:cs="Arial"/>
          <w:lang w:val="nl-BE"/>
        </w:rPr>
        <w:t>Turtelboom</w:t>
      </w:r>
      <w:r w:rsidR="0052381B" w:rsidRPr="00D9172E">
        <w:rPr>
          <w:rFonts w:ascii="Calibri" w:hAnsi="Calibri" w:cs="Arial"/>
          <w:lang w:val="nl-BE"/>
        </w:rPr>
        <w:t xml:space="preserve"> (Open VLD)</w:t>
      </w:r>
      <w:r w:rsidR="0079719D" w:rsidRPr="00D9172E">
        <w:rPr>
          <w:rFonts w:ascii="Calibri" w:hAnsi="Calibri" w:cs="Arial"/>
          <w:lang w:val="nl-BE"/>
        </w:rPr>
        <w:t xml:space="preserve">. Het wetsontwerp bestaat </w:t>
      </w:r>
      <w:r w:rsidR="00504EA1">
        <w:rPr>
          <w:rFonts w:ascii="Calibri" w:hAnsi="Calibri" w:cs="Arial"/>
          <w:lang w:val="nl-BE"/>
        </w:rPr>
        <w:t>kracht</w:t>
      </w:r>
      <w:r w:rsidR="0079719D" w:rsidRPr="00D9172E">
        <w:rPr>
          <w:rFonts w:ascii="Calibri" w:hAnsi="Calibri" w:cs="Arial"/>
          <w:lang w:val="nl-BE"/>
        </w:rPr>
        <w:t xml:space="preserve">ens alle rechtsleer en bovendien volgens de </w:t>
      </w:r>
      <w:r w:rsidR="007711D6" w:rsidRPr="00D9172E">
        <w:rPr>
          <w:rFonts w:ascii="Calibri" w:hAnsi="Calibri" w:cs="Arial"/>
          <w:lang w:val="nl-BE"/>
        </w:rPr>
        <w:t>memorie van toelichting</w:t>
      </w:r>
      <w:r w:rsidR="0079719D" w:rsidRPr="00D9172E">
        <w:rPr>
          <w:rFonts w:ascii="Calibri" w:hAnsi="Calibri" w:cs="Arial"/>
          <w:lang w:val="nl-BE"/>
        </w:rPr>
        <w:t xml:space="preserve"> zelf</w:t>
      </w:r>
      <w:r w:rsidR="00490822" w:rsidRPr="00D9172E">
        <w:rPr>
          <w:rStyle w:val="Voetnootmarkering"/>
          <w:rFonts w:ascii="Calibri" w:hAnsi="Calibri" w:cs="Arial"/>
          <w:lang w:val="nl-BE"/>
        </w:rPr>
        <w:footnoteReference w:id="53"/>
      </w:r>
      <w:r w:rsidR="0079719D" w:rsidRPr="00D9172E">
        <w:rPr>
          <w:rFonts w:ascii="Calibri" w:hAnsi="Calibri" w:cs="Arial"/>
          <w:lang w:val="nl-BE"/>
        </w:rPr>
        <w:t xml:space="preserve"> uit vier grote krachtlijnen</w:t>
      </w:r>
      <w:r w:rsidR="00657AA8" w:rsidRPr="00D9172E">
        <w:rPr>
          <w:rFonts w:ascii="Calibri" w:hAnsi="Calibri" w:cs="Arial"/>
          <w:lang w:val="nl-BE"/>
        </w:rPr>
        <w:t>, die hieronder elk apart zullen besproken worden. Deze hoofdpunten zijn</w:t>
      </w:r>
      <w:r w:rsidR="00021E58">
        <w:rPr>
          <w:rFonts w:ascii="Calibri" w:hAnsi="Calibri" w:cs="Arial"/>
          <w:lang w:val="nl-BE"/>
        </w:rPr>
        <w:t xml:space="preserve"> als volgt</w:t>
      </w:r>
      <w:r w:rsidR="0079719D" w:rsidRPr="00D9172E">
        <w:rPr>
          <w:rFonts w:ascii="Calibri" w:hAnsi="Calibri" w:cs="Arial"/>
          <w:lang w:val="nl-BE"/>
        </w:rPr>
        <w:t>:</w:t>
      </w:r>
    </w:p>
    <w:p w14:paraId="505F2CFE" w14:textId="77777777" w:rsidR="00021E58" w:rsidRPr="00021E58" w:rsidRDefault="00021E58" w:rsidP="00021E58">
      <w:pPr>
        <w:spacing w:line="276" w:lineRule="auto"/>
        <w:rPr>
          <w:rFonts w:ascii="Calibri" w:hAnsi="Calibri" w:cs="Arial"/>
          <w:lang w:val="nl-BE"/>
        </w:rPr>
      </w:pPr>
    </w:p>
    <w:p w14:paraId="7BBC4811" w14:textId="451050C8" w:rsidR="00250290" w:rsidRDefault="00021E58" w:rsidP="00021E58">
      <w:pPr>
        <w:pStyle w:val="Lijstalinea"/>
        <w:numPr>
          <w:ilvl w:val="0"/>
          <w:numId w:val="11"/>
        </w:numPr>
        <w:spacing w:line="276" w:lineRule="auto"/>
        <w:rPr>
          <w:rFonts w:ascii="Calibri" w:hAnsi="Calibri" w:cs="Arial"/>
          <w:lang w:val="nl-BE"/>
        </w:rPr>
      </w:pPr>
      <w:r>
        <w:rPr>
          <w:rFonts w:ascii="Calibri" w:hAnsi="Calibri" w:cs="Arial"/>
          <w:lang w:val="nl-BE"/>
        </w:rPr>
        <w:t xml:space="preserve">Modernisering en objectivering van de benoemingsprocedure </w:t>
      </w:r>
    </w:p>
    <w:p w14:paraId="620178D2" w14:textId="593D6B0E" w:rsidR="00021E58" w:rsidRDefault="00021E58" w:rsidP="00021E58">
      <w:pPr>
        <w:pStyle w:val="Lijstalinea"/>
        <w:numPr>
          <w:ilvl w:val="0"/>
          <w:numId w:val="11"/>
        </w:numPr>
        <w:spacing w:line="276" w:lineRule="auto"/>
        <w:rPr>
          <w:rFonts w:ascii="Calibri" w:hAnsi="Calibri" w:cs="Arial"/>
          <w:lang w:val="nl-BE"/>
        </w:rPr>
      </w:pPr>
      <w:r>
        <w:rPr>
          <w:rFonts w:ascii="Calibri" w:hAnsi="Calibri" w:cs="Arial"/>
          <w:lang w:val="nl-BE"/>
        </w:rPr>
        <w:t>Opwaardering van het kandidaat-gerechtsdeurwaardersstatuut</w:t>
      </w:r>
    </w:p>
    <w:p w14:paraId="2440EC4D" w14:textId="372F4869" w:rsidR="00021E58" w:rsidRDefault="00021E58" w:rsidP="00021E58">
      <w:pPr>
        <w:pStyle w:val="Lijstalinea"/>
        <w:numPr>
          <w:ilvl w:val="0"/>
          <w:numId w:val="11"/>
        </w:numPr>
        <w:spacing w:line="276" w:lineRule="auto"/>
        <w:rPr>
          <w:rFonts w:ascii="Calibri" w:hAnsi="Calibri" w:cs="Arial"/>
          <w:lang w:val="nl-BE"/>
        </w:rPr>
      </w:pPr>
      <w:r>
        <w:rPr>
          <w:rFonts w:ascii="Calibri" w:hAnsi="Calibri" w:cs="Arial"/>
          <w:lang w:val="nl-BE"/>
        </w:rPr>
        <w:t>Continuïteitsgarantie voor niet-geassocieerde kantoren</w:t>
      </w:r>
    </w:p>
    <w:p w14:paraId="2BF9A7CE" w14:textId="7A06CCAA" w:rsidR="00021E58" w:rsidRDefault="00021E58" w:rsidP="00021E58">
      <w:pPr>
        <w:pStyle w:val="Lijstalinea"/>
        <w:numPr>
          <w:ilvl w:val="0"/>
          <w:numId w:val="11"/>
        </w:numPr>
        <w:spacing w:line="276" w:lineRule="auto"/>
        <w:rPr>
          <w:rFonts w:ascii="Calibri" w:hAnsi="Calibri" w:cs="Arial"/>
          <w:lang w:val="nl-BE"/>
        </w:rPr>
      </w:pPr>
      <w:r>
        <w:rPr>
          <w:rFonts w:ascii="Calibri" w:hAnsi="Calibri" w:cs="Arial"/>
          <w:lang w:val="nl-BE"/>
        </w:rPr>
        <w:t>Tucht en deontologie</w:t>
      </w:r>
    </w:p>
    <w:p w14:paraId="71E67F41" w14:textId="77777777" w:rsidR="00021E58" w:rsidRPr="00021E58" w:rsidRDefault="00021E58" w:rsidP="00021E58">
      <w:pPr>
        <w:spacing w:line="276" w:lineRule="auto"/>
        <w:rPr>
          <w:rFonts w:ascii="Calibri" w:hAnsi="Calibri" w:cs="Arial"/>
          <w:lang w:val="nl-BE"/>
        </w:rPr>
      </w:pPr>
    </w:p>
    <w:p w14:paraId="0C240481" w14:textId="1B5B74CE" w:rsidR="00241101" w:rsidRPr="00D9172E" w:rsidRDefault="006405CD" w:rsidP="002532B7">
      <w:pPr>
        <w:pStyle w:val="Kop2"/>
        <w:spacing w:line="276" w:lineRule="auto"/>
        <w:rPr>
          <w:lang w:val="nl-BE"/>
        </w:rPr>
      </w:pPr>
      <w:bookmarkStart w:id="12" w:name="_Toc40689951"/>
      <w:r w:rsidRPr="00D9172E">
        <w:rPr>
          <w:lang w:val="nl-BE"/>
        </w:rPr>
        <w:t xml:space="preserve">Hoofdstuk 1: </w:t>
      </w:r>
      <w:r w:rsidR="00241101" w:rsidRPr="00D9172E">
        <w:rPr>
          <w:lang w:val="nl-BE"/>
        </w:rPr>
        <w:t>Modernisering en objectivering van de benoemingsprocedure</w:t>
      </w:r>
      <w:bookmarkEnd w:id="12"/>
    </w:p>
    <w:p w14:paraId="5CCD821B" w14:textId="77777777" w:rsidR="00241101" w:rsidRPr="00D9172E" w:rsidRDefault="00241101" w:rsidP="002532B7">
      <w:pPr>
        <w:spacing w:line="276" w:lineRule="auto"/>
        <w:rPr>
          <w:rFonts w:ascii="Calibri" w:hAnsi="Calibri" w:cs="Arial"/>
          <w:i/>
          <w:lang w:val="nl-BE"/>
        </w:rPr>
      </w:pPr>
    </w:p>
    <w:p w14:paraId="5D4B98B1" w14:textId="5E575CC3" w:rsidR="00385A2B" w:rsidRPr="00D9172E" w:rsidRDefault="005D3C3E" w:rsidP="00C75526">
      <w:pPr>
        <w:spacing w:line="276" w:lineRule="auto"/>
        <w:jc w:val="both"/>
        <w:rPr>
          <w:rFonts w:ascii="Calibri" w:hAnsi="Calibri" w:cs="Arial"/>
          <w:lang w:val="nl-BE"/>
        </w:rPr>
      </w:pPr>
      <w:r>
        <w:rPr>
          <w:rFonts w:ascii="Calibri" w:hAnsi="Calibri" w:cs="Arial"/>
          <w:b/>
          <w:lang w:val="nl-BE"/>
        </w:rPr>
        <w:t>21</w:t>
      </w:r>
      <w:r>
        <w:rPr>
          <w:rFonts w:ascii="Calibri" w:hAnsi="Calibri" w:cs="Arial"/>
          <w:lang w:val="nl-BE"/>
        </w:rPr>
        <w:t>.</w:t>
      </w:r>
      <w:r w:rsidR="00F23ADA" w:rsidRPr="00D9172E">
        <w:rPr>
          <w:rFonts w:ascii="Calibri" w:hAnsi="Calibri" w:cs="Arial"/>
          <w:lang w:val="nl-BE"/>
        </w:rPr>
        <w:t xml:space="preserve">De hoeksteen en voornaamste aanleiding van de hervorming was overduidelijk de nood aan een procedurewijziging van de benoeming tot gerechtsdeurwaarder. </w:t>
      </w:r>
      <w:r w:rsidR="0052381B" w:rsidRPr="00D9172E">
        <w:rPr>
          <w:rFonts w:ascii="Calibri" w:hAnsi="Calibri" w:cs="Arial"/>
          <w:lang w:val="nl-BE"/>
        </w:rPr>
        <w:t>Voor 2014</w:t>
      </w:r>
      <w:r w:rsidR="009C1091" w:rsidRPr="00D9172E">
        <w:rPr>
          <w:rFonts w:ascii="Calibri" w:hAnsi="Calibri" w:cs="Arial"/>
          <w:b/>
          <w:lang w:val="nl-BE"/>
        </w:rPr>
        <w:t xml:space="preserve"> </w:t>
      </w:r>
      <w:r w:rsidR="009C1091" w:rsidRPr="00D9172E">
        <w:rPr>
          <w:rFonts w:ascii="Calibri" w:hAnsi="Calibri" w:cs="Arial"/>
          <w:lang w:val="nl-BE"/>
        </w:rPr>
        <w:t>werd er niet gewerkt met een vergelijkend examen om benoemd te worden tot kandidaat-gerechtsdeurwaarder, maar werd de succesvol beëindigde stage gehomologeerd</w:t>
      </w:r>
      <w:r w:rsidR="001741FE" w:rsidRPr="00D9172E">
        <w:rPr>
          <w:rStyle w:val="Voetnootmarkering"/>
          <w:rFonts w:ascii="Calibri" w:hAnsi="Calibri" w:cs="Arial"/>
          <w:lang w:val="nl-BE"/>
        </w:rPr>
        <w:footnoteReference w:id="54"/>
      </w:r>
      <w:r w:rsidR="009C1091" w:rsidRPr="00D9172E">
        <w:rPr>
          <w:rFonts w:ascii="Calibri" w:hAnsi="Calibri" w:cs="Arial"/>
          <w:lang w:val="nl-BE"/>
        </w:rPr>
        <w:t xml:space="preserve">. Dat houdt in dat elke bezitter van het stagecertificaat aanspraak kon maken op benoeming, op voorwaarde dat zij de leeftijd van 25 jaar hadden bereikt. </w:t>
      </w:r>
      <w:r w:rsidR="00F32458" w:rsidRPr="00D9172E">
        <w:rPr>
          <w:rFonts w:ascii="Calibri" w:hAnsi="Calibri" w:cs="Arial"/>
          <w:lang w:val="nl-BE"/>
        </w:rPr>
        <w:t>Aansluitend volgde een lange procedure van adviezen inwinnen en uitwisselen va</w:t>
      </w:r>
      <w:r w:rsidR="002C32EA" w:rsidRPr="00D9172E">
        <w:rPr>
          <w:rFonts w:ascii="Calibri" w:hAnsi="Calibri" w:cs="Arial"/>
          <w:lang w:val="nl-BE"/>
        </w:rPr>
        <w:t>n individuele dossiers tussen d</w:t>
      </w:r>
      <w:r w:rsidR="00F32458" w:rsidRPr="00D9172E">
        <w:rPr>
          <w:rFonts w:ascii="Calibri" w:hAnsi="Calibri" w:cs="Arial"/>
          <w:lang w:val="nl-BE"/>
        </w:rPr>
        <w:t>e adviserende instanties. Een objectieve</w:t>
      </w:r>
      <w:r w:rsidR="007147BC" w:rsidRPr="00D9172E">
        <w:rPr>
          <w:rFonts w:ascii="Calibri" w:hAnsi="Calibri" w:cs="Arial"/>
          <w:lang w:val="nl-BE"/>
        </w:rPr>
        <w:t xml:space="preserve"> selectie, gebaseerd op tastbare gronden</w:t>
      </w:r>
      <w:r w:rsidR="00F32458" w:rsidRPr="00D9172E">
        <w:rPr>
          <w:rFonts w:ascii="Calibri" w:hAnsi="Calibri" w:cs="Arial"/>
          <w:lang w:val="nl-BE"/>
        </w:rPr>
        <w:t xml:space="preserve"> zoals een examen, ontbrak.</w:t>
      </w:r>
      <w:r w:rsidR="00BB69B8" w:rsidRPr="00D9172E">
        <w:rPr>
          <w:rFonts w:ascii="Calibri" w:hAnsi="Calibri" w:cs="Arial"/>
          <w:lang w:val="nl-BE"/>
        </w:rPr>
        <w:t xml:space="preserve"> </w:t>
      </w:r>
    </w:p>
    <w:p w14:paraId="0A8DB820" w14:textId="77777777" w:rsidR="0039404A" w:rsidRPr="00D9172E" w:rsidRDefault="0039404A" w:rsidP="002532B7">
      <w:pPr>
        <w:spacing w:line="276" w:lineRule="auto"/>
        <w:rPr>
          <w:rFonts w:ascii="Calibri" w:hAnsi="Calibri" w:cs="Arial"/>
          <w:b/>
          <w:lang w:val="nl-BE"/>
        </w:rPr>
      </w:pPr>
    </w:p>
    <w:p w14:paraId="4511C373" w14:textId="77777777" w:rsidR="003703CB" w:rsidRDefault="001B44A2" w:rsidP="00D5198D">
      <w:pPr>
        <w:spacing w:line="276" w:lineRule="auto"/>
        <w:rPr>
          <w:rStyle w:val="Kop3Char"/>
        </w:rPr>
      </w:pPr>
      <w:bookmarkStart w:id="13" w:name="_Toc40689952"/>
      <w:r>
        <w:rPr>
          <w:rStyle w:val="Kop3Char"/>
        </w:rPr>
        <w:t xml:space="preserve">Afdeling I: </w:t>
      </w:r>
      <w:r w:rsidR="006405CD" w:rsidRPr="00FF30A3">
        <w:rPr>
          <w:rStyle w:val="Kop3Char"/>
        </w:rPr>
        <w:t>Omzendbrief nr. 116</w:t>
      </w:r>
      <w:bookmarkEnd w:id="13"/>
      <w:r w:rsidR="006405CD" w:rsidRPr="00FF30A3">
        <w:rPr>
          <w:rStyle w:val="Kop3Char"/>
        </w:rPr>
        <w:t xml:space="preserve"> </w:t>
      </w:r>
    </w:p>
    <w:p w14:paraId="46E7A7D7" w14:textId="1A85B7CF" w:rsidR="0052381B" w:rsidRPr="00D9172E" w:rsidRDefault="00F32458" w:rsidP="003703CB">
      <w:pPr>
        <w:spacing w:line="276" w:lineRule="auto"/>
        <w:jc w:val="both"/>
        <w:rPr>
          <w:rFonts w:ascii="Calibri" w:hAnsi="Calibri" w:cs="Arial"/>
          <w:i/>
          <w:lang w:val="nl-BE"/>
        </w:rPr>
      </w:pPr>
      <w:r w:rsidRPr="00D9172E">
        <w:rPr>
          <w:rFonts w:ascii="Calibri" w:hAnsi="Calibri" w:cs="Arial"/>
          <w:i/>
          <w:lang w:val="nl-BE"/>
        </w:rPr>
        <w:br/>
      </w:r>
      <w:r w:rsidR="005D3C3E" w:rsidRPr="005D3C3E">
        <w:rPr>
          <w:rFonts w:ascii="Calibri" w:hAnsi="Calibri" w:cs="Arial"/>
          <w:b/>
          <w:lang w:val="nl-BE"/>
        </w:rPr>
        <w:t>22</w:t>
      </w:r>
      <w:r w:rsidR="005D3C3E">
        <w:rPr>
          <w:rFonts w:ascii="Calibri" w:hAnsi="Calibri" w:cs="Arial"/>
          <w:lang w:val="nl-BE"/>
        </w:rPr>
        <w:t>.</w:t>
      </w:r>
      <w:r w:rsidR="0052381B" w:rsidRPr="00D9172E">
        <w:rPr>
          <w:rFonts w:ascii="Calibri" w:hAnsi="Calibri" w:cs="Arial"/>
          <w:lang w:val="nl-BE"/>
        </w:rPr>
        <w:t>Ruim vijf jaar voor de hervorming, op 7 april 2008, vaardigde toenmalig minister van Justitie Jo Vandeurzen (CD&amp;V) een ministeriële omzendbrief uit aan zijn adviserende instanties</w:t>
      </w:r>
      <w:r w:rsidR="001741FE" w:rsidRPr="00D9172E">
        <w:rPr>
          <w:rStyle w:val="Voetnootmarkering"/>
          <w:rFonts w:ascii="Calibri" w:hAnsi="Calibri" w:cs="Arial"/>
          <w:lang w:val="nl-BE"/>
        </w:rPr>
        <w:footnoteReference w:id="55"/>
      </w:r>
      <w:r w:rsidR="0052381B" w:rsidRPr="00D9172E">
        <w:rPr>
          <w:rFonts w:ascii="Calibri" w:hAnsi="Calibri" w:cs="Arial"/>
          <w:lang w:val="nl-BE"/>
        </w:rPr>
        <w:t>, met name de raad van arrondissementskamers en de Nationale Kamer van gerechtsdeurwaarders.</w:t>
      </w:r>
      <w:r w:rsidR="00DA1D79" w:rsidRPr="00D9172E">
        <w:rPr>
          <w:rFonts w:ascii="Calibri" w:hAnsi="Calibri" w:cs="Arial"/>
          <w:lang w:val="nl-BE"/>
        </w:rPr>
        <w:t xml:space="preserve"> </w:t>
      </w:r>
      <w:r w:rsidR="00E8477E" w:rsidRPr="00D9172E">
        <w:rPr>
          <w:rFonts w:ascii="Calibri" w:hAnsi="Calibri" w:cs="Arial"/>
          <w:lang w:val="nl-BE"/>
        </w:rPr>
        <w:t>Dit was wenselijk</w:t>
      </w:r>
      <w:r w:rsidR="0052381B" w:rsidRPr="00D9172E">
        <w:rPr>
          <w:rFonts w:ascii="Calibri" w:hAnsi="Calibri" w:cs="Arial"/>
          <w:lang w:val="nl-BE"/>
        </w:rPr>
        <w:t xml:space="preserve"> omwille van het gebrek aan een wettelijk kader omtrent de benoeming van kandidaat-gerechtsdeurwaarders tot titularissen</w:t>
      </w:r>
      <w:r w:rsidR="00427FE0" w:rsidRPr="00D9172E">
        <w:rPr>
          <w:rStyle w:val="Voetnootmarkering"/>
          <w:rFonts w:ascii="Calibri" w:hAnsi="Calibri" w:cs="Arial"/>
          <w:lang w:val="nl-BE"/>
        </w:rPr>
        <w:footnoteReference w:id="56"/>
      </w:r>
      <w:r w:rsidR="0052381B" w:rsidRPr="00D9172E">
        <w:rPr>
          <w:rFonts w:ascii="Calibri" w:hAnsi="Calibri" w:cs="Arial"/>
          <w:lang w:val="nl-BE"/>
        </w:rPr>
        <w:t>. In d</w:t>
      </w:r>
      <w:r w:rsidR="005C71FC" w:rsidRPr="00D9172E">
        <w:rPr>
          <w:rFonts w:ascii="Calibri" w:hAnsi="Calibri" w:cs="Arial"/>
          <w:lang w:val="nl-BE"/>
        </w:rPr>
        <w:t>i</w:t>
      </w:r>
      <w:r w:rsidR="0052381B" w:rsidRPr="00D9172E">
        <w:rPr>
          <w:rFonts w:ascii="Calibri" w:hAnsi="Calibri" w:cs="Arial"/>
          <w:lang w:val="nl-BE"/>
        </w:rPr>
        <w:t xml:space="preserve">e circulaire </w:t>
      </w:r>
      <w:r w:rsidR="005C71FC" w:rsidRPr="00D9172E">
        <w:rPr>
          <w:rFonts w:ascii="Calibri" w:hAnsi="Calibri" w:cs="Arial"/>
          <w:lang w:val="nl-BE"/>
        </w:rPr>
        <w:t xml:space="preserve">gaf hij aan op welke manier </w:t>
      </w:r>
      <w:r w:rsidR="007147BC" w:rsidRPr="00D9172E">
        <w:rPr>
          <w:rFonts w:ascii="Calibri" w:hAnsi="Calibri" w:cs="Arial"/>
          <w:lang w:val="nl-BE"/>
        </w:rPr>
        <w:t>kandidaat</w:t>
      </w:r>
      <w:r w:rsidR="005C71FC" w:rsidRPr="00D9172E">
        <w:rPr>
          <w:rFonts w:ascii="Calibri" w:hAnsi="Calibri" w:cs="Arial"/>
          <w:lang w:val="nl-BE"/>
        </w:rPr>
        <w:t xml:space="preserve">-gerechtsdeurwaarders als geschikt konden </w:t>
      </w:r>
      <w:r w:rsidR="00BF6040">
        <w:rPr>
          <w:rFonts w:ascii="Calibri" w:hAnsi="Calibri" w:cs="Arial"/>
          <w:lang w:val="nl-BE"/>
        </w:rPr>
        <w:t xml:space="preserve">worden </w:t>
      </w:r>
      <w:r w:rsidR="005C71FC" w:rsidRPr="00D9172E">
        <w:rPr>
          <w:rFonts w:ascii="Calibri" w:hAnsi="Calibri" w:cs="Arial"/>
          <w:lang w:val="nl-BE"/>
        </w:rPr>
        <w:t>geprofileerd en hoe toekomstige titularissen konden geselecteerd worden.</w:t>
      </w:r>
    </w:p>
    <w:p w14:paraId="7D9CA80A" w14:textId="77777777" w:rsidR="005C71FC" w:rsidRPr="00D9172E" w:rsidRDefault="005C71FC" w:rsidP="002532B7">
      <w:pPr>
        <w:spacing w:line="276" w:lineRule="auto"/>
        <w:rPr>
          <w:rFonts w:ascii="Calibri" w:hAnsi="Calibri" w:cs="Arial"/>
          <w:lang w:val="nl-BE"/>
        </w:rPr>
      </w:pPr>
    </w:p>
    <w:p w14:paraId="337E8F15" w14:textId="535DEC83" w:rsidR="005C71FC" w:rsidRPr="00D9172E" w:rsidRDefault="005D3C3E" w:rsidP="00C75526">
      <w:pPr>
        <w:spacing w:line="276" w:lineRule="auto"/>
        <w:jc w:val="both"/>
        <w:rPr>
          <w:rFonts w:ascii="Calibri" w:hAnsi="Calibri" w:cs="Arial"/>
          <w:lang w:val="nl-BE"/>
        </w:rPr>
      </w:pPr>
      <w:r>
        <w:rPr>
          <w:rFonts w:ascii="Calibri" w:hAnsi="Calibri" w:cs="Arial"/>
          <w:b/>
          <w:lang w:val="nl-BE"/>
        </w:rPr>
        <w:lastRenderedPageBreak/>
        <w:t>23</w:t>
      </w:r>
      <w:r>
        <w:rPr>
          <w:rFonts w:ascii="Calibri" w:hAnsi="Calibri" w:cs="Arial"/>
          <w:lang w:val="nl-BE"/>
        </w:rPr>
        <w:t>.</w:t>
      </w:r>
      <w:r w:rsidR="005C71FC" w:rsidRPr="00D9172E">
        <w:rPr>
          <w:rFonts w:ascii="Calibri" w:hAnsi="Calibri" w:cs="Arial"/>
          <w:lang w:val="nl-BE"/>
        </w:rPr>
        <w:t>Het opzet was om de ra</w:t>
      </w:r>
      <w:r w:rsidR="002B49C3">
        <w:rPr>
          <w:rFonts w:ascii="Calibri" w:hAnsi="Calibri" w:cs="Arial"/>
          <w:lang w:val="nl-BE"/>
        </w:rPr>
        <w:t xml:space="preserve">den </w:t>
      </w:r>
      <w:r w:rsidR="005C71FC" w:rsidRPr="00D9172E">
        <w:rPr>
          <w:rFonts w:ascii="Calibri" w:hAnsi="Calibri" w:cs="Arial"/>
          <w:lang w:val="nl-BE"/>
        </w:rPr>
        <w:t xml:space="preserve">van arrondissementskamers te belasten met de adviserende taak aan de </w:t>
      </w:r>
      <w:r w:rsidR="002B49C3">
        <w:rPr>
          <w:rFonts w:ascii="Calibri" w:hAnsi="Calibri" w:cs="Arial"/>
          <w:lang w:val="nl-BE"/>
        </w:rPr>
        <w:t>NKGB</w:t>
      </w:r>
      <w:r w:rsidR="005C71FC" w:rsidRPr="00D9172E">
        <w:rPr>
          <w:rFonts w:ascii="Calibri" w:hAnsi="Calibri" w:cs="Arial"/>
          <w:lang w:val="nl-BE"/>
        </w:rPr>
        <w:t>. Adviezen werden geformuleerd op basis van standaardformulieren die bij de circulaire gevoegd waren. Zo was er bijvoorbeeld een gestandaardiseerd en universeel curriculum vitae, dat de kandida</w:t>
      </w:r>
      <w:r w:rsidR="009B40F9">
        <w:rPr>
          <w:rFonts w:ascii="Calibri" w:hAnsi="Calibri" w:cs="Arial"/>
          <w:lang w:val="nl-BE"/>
        </w:rPr>
        <w:t>at</w:t>
      </w:r>
      <w:r w:rsidR="005C71FC" w:rsidRPr="00D9172E">
        <w:rPr>
          <w:rFonts w:ascii="Calibri" w:hAnsi="Calibri" w:cs="Arial"/>
          <w:lang w:val="nl-BE"/>
        </w:rPr>
        <w:t>-gerechtsdeurwaarders dienden te laten invullen met een advies door hun vroegere en huidige werkgevers</w:t>
      </w:r>
      <w:r w:rsidR="0072536B" w:rsidRPr="00D9172E">
        <w:rPr>
          <w:rStyle w:val="Voetnootmarkering"/>
          <w:rFonts w:ascii="Calibri" w:hAnsi="Calibri" w:cs="Arial"/>
          <w:lang w:val="nl-BE"/>
        </w:rPr>
        <w:footnoteReference w:id="57"/>
      </w:r>
      <w:r w:rsidR="005C71FC" w:rsidRPr="00D9172E">
        <w:rPr>
          <w:rFonts w:ascii="Calibri" w:hAnsi="Calibri" w:cs="Arial"/>
          <w:lang w:val="nl-BE"/>
        </w:rPr>
        <w:t xml:space="preserve">. </w:t>
      </w:r>
    </w:p>
    <w:p w14:paraId="5577AFAD" w14:textId="1E053A8E" w:rsidR="005C71FC" w:rsidRPr="00D9172E" w:rsidRDefault="005C71FC" w:rsidP="00C75526">
      <w:pPr>
        <w:spacing w:line="276" w:lineRule="auto"/>
        <w:jc w:val="both"/>
        <w:rPr>
          <w:rFonts w:ascii="Calibri" w:hAnsi="Calibri" w:cs="Arial"/>
          <w:lang w:val="nl-BE"/>
        </w:rPr>
      </w:pPr>
      <w:r w:rsidRPr="00D9172E">
        <w:rPr>
          <w:rFonts w:ascii="Calibri" w:hAnsi="Calibri" w:cs="Arial"/>
          <w:lang w:val="nl-BE"/>
        </w:rPr>
        <w:t xml:space="preserve">Verder </w:t>
      </w:r>
      <w:r w:rsidR="00AF7993" w:rsidRPr="00D9172E">
        <w:rPr>
          <w:rFonts w:ascii="Calibri" w:hAnsi="Calibri" w:cs="Arial"/>
          <w:lang w:val="nl-BE"/>
        </w:rPr>
        <w:t>gaf de omzendbrief een aantal c</w:t>
      </w:r>
      <w:r w:rsidR="00F81646" w:rsidRPr="00D9172E">
        <w:rPr>
          <w:rFonts w:ascii="Calibri" w:hAnsi="Calibri" w:cs="Arial"/>
          <w:lang w:val="nl-BE"/>
        </w:rPr>
        <w:t>riteria mee waarop de kandidaat</w:t>
      </w:r>
      <w:r w:rsidR="00AF7993" w:rsidRPr="00D9172E">
        <w:rPr>
          <w:rFonts w:ascii="Calibri" w:hAnsi="Calibri" w:cs="Arial"/>
          <w:lang w:val="nl-BE"/>
        </w:rPr>
        <w:t xml:space="preserve">-gerechtsdeurwaarders konden geëvalueerd worden. Er werd onder andere rekening gehouden met </w:t>
      </w:r>
      <w:r w:rsidR="00504EA1">
        <w:rPr>
          <w:rFonts w:ascii="Calibri" w:hAnsi="Calibri" w:cs="Arial"/>
          <w:lang w:val="nl-BE"/>
        </w:rPr>
        <w:t>hun</w:t>
      </w:r>
      <w:r w:rsidR="00AF7993" w:rsidRPr="00D9172E">
        <w:rPr>
          <w:rFonts w:ascii="Calibri" w:hAnsi="Calibri" w:cs="Arial"/>
          <w:lang w:val="nl-BE"/>
        </w:rPr>
        <w:t xml:space="preserve"> inzet, bekwaamheid in communicatie en bemiddeling, de kwaliteit van hun werk en </w:t>
      </w:r>
      <w:r w:rsidR="00504EA1">
        <w:rPr>
          <w:rFonts w:ascii="Calibri" w:hAnsi="Calibri" w:cs="Arial"/>
          <w:lang w:val="nl-BE"/>
        </w:rPr>
        <w:t>hun</w:t>
      </w:r>
      <w:r w:rsidR="00AF7993" w:rsidRPr="00D9172E">
        <w:rPr>
          <w:rFonts w:ascii="Calibri" w:hAnsi="Calibri" w:cs="Arial"/>
          <w:lang w:val="nl-BE"/>
        </w:rPr>
        <w:t xml:space="preserve"> anciënniteit</w:t>
      </w:r>
      <w:r w:rsidR="00976F77" w:rsidRPr="00D9172E">
        <w:rPr>
          <w:rStyle w:val="Voetnootmarkering"/>
          <w:rFonts w:ascii="Calibri" w:hAnsi="Calibri" w:cs="Arial"/>
          <w:lang w:val="nl-BE"/>
        </w:rPr>
        <w:footnoteReference w:id="58"/>
      </w:r>
      <w:r w:rsidR="00211CBF" w:rsidRPr="00D9172E">
        <w:rPr>
          <w:rFonts w:ascii="Calibri" w:hAnsi="Calibri" w:cs="Arial"/>
          <w:lang w:val="nl-BE"/>
        </w:rPr>
        <w:t xml:space="preserve">. Er werd gewerkt met een puntensysteem, waarbij elk criterium gelijk stond aan een aantal punten en waarbij, na alle criteria te hebben gequoteerd, een eerste rangschikking </w:t>
      </w:r>
      <w:r w:rsidR="006D3C20" w:rsidRPr="00D9172E">
        <w:rPr>
          <w:rFonts w:ascii="Calibri" w:hAnsi="Calibri" w:cs="Arial"/>
          <w:lang w:val="nl-BE"/>
        </w:rPr>
        <w:t xml:space="preserve">kon worden opgemaakt. </w:t>
      </w:r>
    </w:p>
    <w:p w14:paraId="5EECFC63" w14:textId="2186220B" w:rsidR="005C71FC" w:rsidRPr="00D9172E" w:rsidRDefault="006D3C20" w:rsidP="00C75526">
      <w:pPr>
        <w:spacing w:line="276" w:lineRule="auto"/>
        <w:jc w:val="both"/>
        <w:rPr>
          <w:rFonts w:ascii="Calibri" w:hAnsi="Calibri" w:cs="Arial"/>
          <w:lang w:val="nl-BE"/>
        </w:rPr>
      </w:pPr>
      <w:r w:rsidRPr="00D9172E">
        <w:rPr>
          <w:rFonts w:ascii="Calibri" w:hAnsi="Calibri" w:cs="Arial"/>
          <w:lang w:val="nl-BE"/>
        </w:rPr>
        <w:t>Zich hierop baserend stelde</w:t>
      </w:r>
      <w:r w:rsidR="005C71FC" w:rsidRPr="00D9172E">
        <w:rPr>
          <w:rFonts w:ascii="Calibri" w:hAnsi="Calibri" w:cs="Arial"/>
          <w:lang w:val="nl-BE"/>
        </w:rPr>
        <w:t xml:space="preserve"> de raad van arrondissementskamers </w:t>
      </w:r>
      <w:r w:rsidRPr="00D9172E">
        <w:rPr>
          <w:rFonts w:ascii="Calibri" w:hAnsi="Calibri" w:cs="Arial"/>
          <w:lang w:val="nl-BE"/>
        </w:rPr>
        <w:t>een globaal advies op over wie het meest geschikt was tot benoeming, waarna dit werd overgemaakt aan de benoemingscommissie</w:t>
      </w:r>
      <w:r w:rsidR="002B49C3">
        <w:rPr>
          <w:rFonts w:ascii="Calibri" w:hAnsi="Calibri" w:cs="Arial"/>
          <w:lang w:val="nl-BE"/>
        </w:rPr>
        <w:t xml:space="preserve"> van de </w:t>
      </w:r>
      <w:r w:rsidR="009B40F9">
        <w:rPr>
          <w:rFonts w:ascii="Calibri" w:hAnsi="Calibri" w:cs="Arial"/>
          <w:lang w:val="nl-BE"/>
        </w:rPr>
        <w:t>NK</w:t>
      </w:r>
      <w:r w:rsidR="002B49C3">
        <w:rPr>
          <w:rFonts w:ascii="Calibri" w:hAnsi="Calibri" w:cs="Arial"/>
          <w:lang w:val="nl-BE"/>
        </w:rPr>
        <w:t>GB</w:t>
      </w:r>
      <w:r w:rsidR="00432457" w:rsidRPr="00D9172E">
        <w:rPr>
          <w:rStyle w:val="Voetnootmarkering"/>
          <w:rFonts w:ascii="Calibri" w:hAnsi="Calibri" w:cs="Arial"/>
          <w:lang w:val="nl-BE"/>
        </w:rPr>
        <w:footnoteReference w:id="59"/>
      </w:r>
      <w:r w:rsidRPr="00D9172E">
        <w:rPr>
          <w:rFonts w:ascii="Calibri" w:hAnsi="Calibri" w:cs="Arial"/>
          <w:lang w:val="nl-BE"/>
        </w:rPr>
        <w:t xml:space="preserve">. Die hakte dan uiteindelijk de knoop door en verschafte de minister van Justitie de lijst met namen die benoemd </w:t>
      </w:r>
      <w:r w:rsidR="002B49C3">
        <w:rPr>
          <w:rFonts w:ascii="Calibri" w:hAnsi="Calibri" w:cs="Arial"/>
          <w:lang w:val="nl-BE"/>
        </w:rPr>
        <w:t>konden worden</w:t>
      </w:r>
      <w:r w:rsidR="009D72F1" w:rsidRPr="00D9172E">
        <w:rPr>
          <w:rStyle w:val="Voetnootmarkering"/>
          <w:rFonts w:ascii="Calibri" w:hAnsi="Calibri" w:cs="Arial"/>
          <w:lang w:val="nl-BE"/>
        </w:rPr>
        <w:footnoteReference w:id="60"/>
      </w:r>
      <w:r w:rsidRPr="00D9172E">
        <w:rPr>
          <w:rFonts w:ascii="Calibri" w:hAnsi="Calibri" w:cs="Arial"/>
          <w:lang w:val="nl-BE"/>
        </w:rPr>
        <w:t>.</w:t>
      </w:r>
    </w:p>
    <w:p w14:paraId="4C1DEEC9" w14:textId="77777777" w:rsidR="006D3C20" w:rsidRPr="00D9172E" w:rsidRDefault="006D3C20" w:rsidP="002532B7">
      <w:pPr>
        <w:spacing w:line="276" w:lineRule="auto"/>
        <w:rPr>
          <w:rFonts w:ascii="Calibri" w:hAnsi="Calibri" w:cs="Arial"/>
          <w:lang w:val="nl-BE"/>
        </w:rPr>
      </w:pPr>
    </w:p>
    <w:p w14:paraId="3E8E1FBD" w14:textId="3942D4BC" w:rsidR="00A71D85" w:rsidRPr="00D9172E" w:rsidRDefault="00BE32AE" w:rsidP="00C75526">
      <w:pPr>
        <w:spacing w:line="276" w:lineRule="auto"/>
        <w:jc w:val="both"/>
        <w:rPr>
          <w:rFonts w:ascii="Calibri" w:hAnsi="Calibri" w:cs="Arial"/>
          <w:lang w:val="nl-BE"/>
        </w:rPr>
      </w:pPr>
      <w:r w:rsidRPr="00D9172E">
        <w:rPr>
          <w:rFonts w:ascii="Calibri" w:hAnsi="Calibri" w:cs="Arial"/>
          <w:b/>
          <w:lang w:val="nl-BE"/>
        </w:rPr>
        <w:t>2</w:t>
      </w:r>
      <w:r w:rsidR="005D3C3E">
        <w:rPr>
          <w:rFonts w:ascii="Calibri" w:hAnsi="Calibri" w:cs="Arial"/>
          <w:b/>
          <w:lang w:val="nl-BE"/>
        </w:rPr>
        <w:t>4</w:t>
      </w:r>
      <w:r w:rsidR="005D3C3E">
        <w:rPr>
          <w:rFonts w:ascii="Calibri" w:hAnsi="Calibri" w:cs="Arial"/>
          <w:lang w:val="nl-BE"/>
        </w:rPr>
        <w:t>.</w:t>
      </w:r>
      <w:r w:rsidR="006D3C20" w:rsidRPr="00D9172E">
        <w:rPr>
          <w:rFonts w:ascii="Calibri" w:hAnsi="Calibri" w:cs="Arial"/>
          <w:lang w:val="nl-BE"/>
        </w:rPr>
        <w:t xml:space="preserve">Critici fronsen ongetwijfeld de wenkbrauwen bij dit selectieproces. Een aantal prangende vragen dringen zich dan ook op: wat als er onderaan de rangschikking kandidaten zijn met een gelijk aantal punten? </w:t>
      </w:r>
      <w:r w:rsidR="00BB2B06" w:rsidRPr="00D9172E">
        <w:rPr>
          <w:rFonts w:ascii="Calibri" w:hAnsi="Calibri" w:cs="Arial"/>
          <w:lang w:val="nl-BE"/>
        </w:rPr>
        <w:t>Kan het quoteren van ‘ontastbare’</w:t>
      </w:r>
      <w:r w:rsidR="006A6C08" w:rsidRPr="00D9172E">
        <w:rPr>
          <w:rFonts w:ascii="Calibri" w:hAnsi="Calibri" w:cs="Arial"/>
          <w:lang w:val="nl-BE"/>
        </w:rPr>
        <w:t xml:space="preserve"> criteria zonder enige </w:t>
      </w:r>
      <w:r w:rsidR="00C90378" w:rsidRPr="00D9172E">
        <w:rPr>
          <w:rFonts w:ascii="Calibri" w:hAnsi="Calibri" w:cs="Arial"/>
          <w:lang w:val="nl-BE"/>
        </w:rPr>
        <w:t>vorm</w:t>
      </w:r>
      <w:r w:rsidR="006A6C08" w:rsidRPr="00D9172E">
        <w:rPr>
          <w:rFonts w:ascii="Calibri" w:hAnsi="Calibri" w:cs="Arial"/>
          <w:lang w:val="nl-BE"/>
        </w:rPr>
        <w:t xml:space="preserve"> van subjectiviteit gebeuren? </w:t>
      </w:r>
      <w:r w:rsidR="006D3C20" w:rsidRPr="00D9172E">
        <w:rPr>
          <w:rFonts w:ascii="Calibri" w:hAnsi="Calibri" w:cs="Arial"/>
          <w:lang w:val="nl-BE"/>
        </w:rPr>
        <w:t>Is deze procedure wel gewettigd, aangezien ze louter gebaseerd is op een ministeriële omzendbrief?</w:t>
      </w:r>
      <w:r w:rsidR="006A6C08" w:rsidRPr="00D9172E">
        <w:rPr>
          <w:rFonts w:ascii="Calibri" w:hAnsi="Calibri" w:cs="Arial"/>
          <w:lang w:val="nl-BE"/>
        </w:rPr>
        <w:t xml:space="preserve"> </w:t>
      </w:r>
    </w:p>
    <w:p w14:paraId="1F92056F" w14:textId="7813D81E" w:rsidR="00E26F82" w:rsidRPr="00D9172E" w:rsidRDefault="00E26F82" w:rsidP="002532B7">
      <w:pPr>
        <w:spacing w:line="276" w:lineRule="auto"/>
        <w:rPr>
          <w:rFonts w:ascii="Calibri" w:hAnsi="Calibri" w:cs="Arial"/>
          <w:lang w:val="nl-BE"/>
        </w:rPr>
      </w:pPr>
    </w:p>
    <w:p w14:paraId="33CE8ADA" w14:textId="04126C6E" w:rsidR="00A16032" w:rsidRPr="00D9172E" w:rsidRDefault="005D3C3E" w:rsidP="00C75526">
      <w:pPr>
        <w:spacing w:line="276" w:lineRule="auto"/>
        <w:jc w:val="both"/>
        <w:rPr>
          <w:rFonts w:ascii="Calibri" w:hAnsi="Calibri" w:cs="Arial"/>
          <w:lang w:val="nl-BE"/>
        </w:rPr>
      </w:pPr>
      <w:r>
        <w:rPr>
          <w:rFonts w:ascii="Calibri" w:hAnsi="Calibri" w:cs="Arial"/>
          <w:b/>
          <w:lang w:val="nl-BE"/>
        </w:rPr>
        <w:t>25</w:t>
      </w:r>
      <w:r w:rsidR="00BE32AE" w:rsidRPr="00D9172E">
        <w:rPr>
          <w:rFonts w:ascii="Calibri" w:hAnsi="Calibri" w:cs="Arial"/>
          <w:b/>
          <w:lang w:val="nl-BE"/>
        </w:rPr>
        <w:t>.</w:t>
      </w:r>
      <w:r w:rsidR="00BE32AE" w:rsidRPr="00D9172E">
        <w:rPr>
          <w:rFonts w:ascii="Calibri" w:hAnsi="Calibri" w:cs="Arial"/>
          <w:lang w:val="nl-BE"/>
        </w:rPr>
        <w:t xml:space="preserve"> </w:t>
      </w:r>
      <w:r w:rsidR="00E26F82" w:rsidRPr="00D9172E">
        <w:rPr>
          <w:rFonts w:ascii="Calibri" w:hAnsi="Calibri" w:cs="Arial"/>
          <w:lang w:val="nl-BE"/>
        </w:rPr>
        <w:t>Zoals enigszins kan verwacht wo</w:t>
      </w:r>
      <w:r w:rsidR="006B227F" w:rsidRPr="00D9172E">
        <w:rPr>
          <w:rFonts w:ascii="Calibri" w:hAnsi="Calibri" w:cs="Arial"/>
          <w:lang w:val="nl-BE"/>
        </w:rPr>
        <w:t>rden, leidde deze situatie</w:t>
      </w:r>
      <w:r w:rsidR="006D271A" w:rsidRPr="00D9172E">
        <w:rPr>
          <w:rFonts w:ascii="Calibri" w:hAnsi="Calibri" w:cs="Arial"/>
          <w:lang w:val="nl-BE"/>
        </w:rPr>
        <w:t xml:space="preserve"> dan ook</w:t>
      </w:r>
      <w:r w:rsidR="006B227F" w:rsidRPr="00D9172E">
        <w:rPr>
          <w:rFonts w:ascii="Calibri" w:hAnsi="Calibri" w:cs="Arial"/>
          <w:lang w:val="nl-BE"/>
        </w:rPr>
        <w:t xml:space="preserve"> tot </w:t>
      </w:r>
      <w:r w:rsidR="002A0763" w:rsidRPr="00D9172E">
        <w:rPr>
          <w:rFonts w:ascii="Calibri" w:hAnsi="Calibri" w:cs="Arial"/>
          <w:lang w:val="nl-BE"/>
        </w:rPr>
        <w:t>een periode van</w:t>
      </w:r>
      <w:r w:rsidR="006B227F" w:rsidRPr="00D9172E">
        <w:rPr>
          <w:rFonts w:ascii="Calibri" w:hAnsi="Calibri" w:cs="Arial"/>
          <w:lang w:val="nl-BE"/>
        </w:rPr>
        <w:t xml:space="preserve"> wanorde. De Raad van State werd overstelpt met annulatieberoepen tegen </w:t>
      </w:r>
      <w:r w:rsidR="00BE1277" w:rsidRPr="00D9172E">
        <w:rPr>
          <w:rFonts w:ascii="Calibri" w:hAnsi="Calibri" w:cs="Arial"/>
          <w:lang w:val="nl-BE"/>
        </w:rPr>
        <w:t xml:space="preserve">de </w:t>
      </w:r>
      <w:r w:rsidR="006B227F" w:rsidRPr="00D9172E">
        <w:rPr>
          <w:rFonts w:ascii="Calibri" w:hAnsi="Calibri" w:cs="Arial"/>
          <w:lang w:val="nl-BE"/>
        </w:rPr>
        <w:t>benoemingsbesluiten, die quasi allemaal werden ingel</w:t>
      </w:r>
      <w:r w:rsidR="00BC5F6A" w:rsidRPr="00D9172E">
        <w:rPr>
          <w:rFonts w:ascii="Calibri" w:hAnsi="Calibri" w:cs="Arial"/>
          <w:lang w:val="nl-BE"/>
        </w:rPr>
        <w:t>eid door niet benoemde kandidaat</w:t>
      </w:r>
      <w:r w:rsidR="006D271A" w:rsidRPr="00D9172E">
        <w:rPr>
          <w:rFonts w:ascii="Calibri" w:hAnsi="Calibri" w:cs="Arial"/>
          <w:lang w:val="nl-BE"/>
        </w:rPr>
        <w:t>-gerechtsdeurwaarders.</w:t>
      </w:r>
      <w:r w:rsidR="00ED36A3" w:rsidRPr="00D9172E">
        <w:rPr>
          <w:rFonts w:ascii="Calibri" w:hAnsi="Calibri" w:cs="Arial"/>
          <w:lang w:val="nl-BE"/>
        </w:rPr>
        <w:t xml:space="preserve"> Discussies liepen hoog op omtrent de aard van de circulaire.</w:t>
      </w:r>
      <w:r w:rsidR="00432457" w:rsidRPr="00D9172E">
        <w:rPr>
          <w:rStyle w:val="Voetnootmarkering"/>
          <w:rFonts w:ascii="Calibri" w:hAnsi="Calibri" w:cs="Arial"/>
          <w:lang w:val="nl-BE"/>
        </w:rPr>
        <w:footnoteReference w:id="61"/>
      </w:r>
      <w:r w:rsidR="00ED36A3" w:rsidRPr="00D9172E">
        <w:rPr>
          <w:rFonts w:ascii="Calibri" w:hAnsi="Calibri" w:cs="Arial"/>
          <w:lang w:val="nl-BE"/>
        </w:rPr>
        <w:t xml:space="preserve"> </w:t>
      </w:r>
      <w:r w:rsidR="006D271A" w:rsidRPr="00D9172E">
        <w:rPr>
          <w:rFonts w:ascii="Calibri" w:hAnsi="Calibri" w:cs="Arial"/>
          <w:lang w:val="nl-BE"/>
        </w:rPr>
        <w:t xml:space="preserve"> </w:t>
      </w:r>
      <w:r w:rsidR="004F287C" w:rsidRPr="00D9172E">
        <w:rPr>
          <w:rFonts w:ascii="Calibri" w:hAnsi="Calibri" w:cs="Arial"/>
          <w:lang w:val="nl-BE"/>
        </w:rPr>
        <w:t xml:space="preserve">Verzoekers wierpen bijvoorbeeld op dat de ministeriële omzendbrief verordenend van aard was. Dat betekent dat het gaat over bindende richtlijnen, maar </w:t>
      </w:r>
      <w:r w:rsidR="00504EA1">
        <w:rPr>
          <w:rFonts w:ascii="Calibri" w:hAnsi="Calibri" w:cs="Arial"/>
          <w:lang w:val="nl-BE"/>
        </w:rPr>
        <w:t>eveneens</w:t>
      </w:r>
      <w:r w:rsidR="004F287C" w:rsidRPr="00D9172E">
        <w:rPr>
          <w:rFonts w:ascii="Calibri" w:hAnsi="Calibri" w:cs="Arial"/>
          <w:lang w:val="nl-BE"/>
        </w:rPr>
        <w:t xml:space="preserve"> dat die richtlijnen onderworpen zijn aan het advies van de </w:t>
      </w:r>
      <w:r w:rsidR="00BB0521">
        <w:rPr>
          <w:rFonts w:ascii="Calibri" w:hAnsi="Calibri" w:cs="Arial"/>
          <w:lang w:val="nl-BE"/>
        </w:rPr>
        <w:t xml:space="preserve">afdeling Wetgeving van de </w:t>
      </w:r>
      <w:r w:rsidR="004F287C" w:rsidRPr="00D9172E">
        <w:rPr>
          <w:rFonts w:ascii="Calibri" w:hAnsi="Calibri" w:cs="Arial"/>
          <w:lang w:val="nl-BE"/>
        </w:rPr>
        <w:t xml:space="preserve">Raad van State, </w:t>
      </w:r>
      <w:r w:rsidR="00BC5F6A" w:rsidRPr="00D9172E">
        <w:rPr>
          <w:rFonts w:ascii="Calibri" w:hAnsi="Calibri" w:cs="Arial"/>
          <w:lang w:val="nl-BE"/>
        </w:rPr>
        <w:t>naar analogie met</w:t>
      </w:r>
      <w:r w:rsidR="004F287C" w:rsidRPr="00D9172E">
        <w:rPr>
          <w:rFonts w:ascii="Calibri" w:hAnsi="Calibri" w:cs="Arial"/>
          <w:lang w:val="nl-BE"/>
        </w:rPr>
        <w:t xml:space="preserve"> een wetsontwerp</w:t>
      </w:r>
      <w:r w:rsidR="00432457" w:rsidRPr="00D9172E">
        <w:rPr>
          <w:rStyle w:val="Voetnootmarkering"/>
          <w:rFonts w:ascii="Calibri" w:hAnsi="Calibri" w:cs="Arial"/>
          <w:lang w:val="nl-BE"/>
        </w:rPr>
        <w:footnoteReference w:id="62"/>
      </w:r>
      <w:r w:rsidR="004F287C" w:rsidRPr="00D9172E">
        <w:rPr>
          <w:rFonts w:ascii="Calibri" w:hAnsi="Calibri" w:cs="Arial"/>
          <w:lang w:val="nl-BE"/>
        </w:rPr>
        <w:t xml:space="preserve">. </w:t>
      </w:r>
      <w:r w:rsidR="009C62E9" w:rsidRPr="00D9172E">
        <w:rPr>
          <w:rFonts w:ascii="Calibri" w:hAnsi="Calibri" w:cs="Arial"/>
          <w:lang w:val="nl-BE"/>
        </w:rPr>
        <w:t>Dat is met de omzendbrief niet gebeurd: m</w:t>
      </w:r>
      <w:r w:rsidR="004F287C" w:rsidRPr="00D9172E">
        <w:rPr>
          <w:rFonts w:ascii="Calibri" w:hAnsi="Calibri" w:cs="Arial"/>
          <w:lang w:val="nl-BE"/>
        </w:rPr>
        <w:t>inister Vandeurze</w:t>
      </w:r>
      <w:r w:rsidR="00167318" w:rsidRPr="00D9172E">
        <w:rPr>
          <w:rFonts w:ascii="Calibri" w:hAnsi="Calibri" w:cs="Arial"/>
          <w:lang w:val="nl-BE"/>
        </w:rPr>
        <w:t xml:space="preserve">n benadrukte </w:t>
      </w:r>
      <w:r w:rsidR="005C0DD5" w:rsidRPr="00D9172E">
        <w:rPr>
          <w:rFonts w:ascii="Calibri" w:hAnsi="Calibri" w:cs="Arial"/>
          <w:lang w:val="nl-BE"/>
        </w:rPr>
        <w:t>dat het ging</w:t>
      </w:r>
      <w:r w:rsidR="004F287C" w:rsidRPr="00D9172E">
        <w:rPr>
          <w:rFonts w:ascii="Calibri" w:hAnsi="Calibri" w:cs="Arial"/>
          <w:lang w:val="nl-BE"/>
        </w:rPr>
        <w:t xml:space="preserve"> om een </w:t>
      </w:r>
      <w:r w:rsidR="00ED36A3" w:rsidRPr="00D9172E">
        <w:rPr>
          <w:rFonts w:ascii="Calibri" w:hAnsi="Calibri" w:cs="Arial"/>
          <w:lang w:val="nl-BE"/>
        </w:rPr>
        <w:t>interpretatieve omzendbrief, met behoud van beoordelingsvrijheid v</w:t>
      </w:r>
      <w:r w:rsidR="002B49C3">
        <w:rPr>
          <w:rFonts w:ascii="Calibri" w:hAnsi="Calibri" w:cs="Arial"/>
          <w:lang w:val="nl-BE"/>
        </w:rPr>
        <w:t xml:space="preserve">oor </w:t>
      </w:r>
      <w:r w:rsidR="00ED36A3" w:rsidRPr="00D9172E">
        <w:rPr>
          <w:rFonts w:ascii="Calibri" w:hAnsi="Calibri" w:cs="Arial"/>
          <w:lang w:val="nl-BE"/>
        </w:rPr>
        <w:t>de adviserende instanties en geen verplichting om de richtlijnen tot op de letter na te leven</w:t>
      </w:r>
      <w:r w:rsidR="00900A2B" w:rsidRPr="00D9172E">
        <w:rPr>
          <w:rStyle w:val="Voetnootmarkering"/>
          <w:rFonts w:ascii="Calibri" w:hAnsi="Calibri" w:cs="Arial"/>
          <w:lang w:val="nl-BE"/>
        </w:rPr>
        <w:footnoteReference w:id="63"/>
      </w:r>
      <w:r w:rsidR="00ED36A3" w:rsidRPr="00D9172E">
        <w:rPr>
          <w:rFonts w:ascii="Calibri" w:hAnsi="Calibri" w:cs="Arial"/>
          <w:lang w:val="nl-BE"/>
        </w:rPr>
        <w:t>.</w:t>
      </w:r>
    </w:p>
    <w:p w14:paraId="76D670C9" w14:textId="77777777" w:rsidR="00ED36A3" w:rsidRPr="00D9172E" w:rsidRDefault="00ED36A3" w:rsidP="002532B7">
      <w:pPr>
        <w:spacing w:line="276" w:lineRule="auto"/>
        <w:rPr>
          <w:rFonts w:ascii="Calibri" w:hAnsi="Calibri" w:cs="Arial"/>
          <w:lang w:val="nl-BE"/>
        </w:rPr>
      </w:pPr>
    </w:p>
    <w:p w14:paraId="0F423137" w14:textId="0A68B879" w:rsidR="00ED36A3" w:rsidRPr="00D9172E" w:rsidRDefault="00BE32AE" w:rsidP="00C75526">
      <w:pPr>
        <w:spacing w:line="276" w:lineRule="auto"/>
        <w:jc w:val="both"/>
        <w:rPr>
          <w:rFonts w:ascii="Calibri" w:hAnsi="Calibri" w:cs="Arial"/>
          <w:lang w:val="nl-BE"/>
        </w:rPr>
      </w:pPr>
      <w:r w:rsidRPr="00D9172E">
        <w:rPr>
          <w:rFonts w:ascii="Calibri" w:hAnsi="Calibri" w:cs="Arial"/>
          <w:b/>
          <w:lang w:val="nl-BE"/>
        </w:rPr>
        <w:lastRenderedPageBreak/>
        <w:t>2</w:t>
      </w:r>
      <w:r w:rsidR="005D3C3E">
        <w:rPr>
          <w:rFonts w:ascii="Calibri" w:hAnsi="Calibri" w:cs="Arial"/>
          <w:b/>
          <w:lang w:val="nl-BE"/>
        </w:rPr>
        <w:t>6</w:t>
      </w:r>
      <w:r w:rsidR="005D3C3E">
        <w:rPr>
          <w:rFonts w:ascii="Calibri" w:hAnsi="Calibri" w:cs="Arial"/>
          <w:lang w:val="nl-BE"/>
        </w:rPr>
        <w:t>.</w:t>
      </w:r>
      <w:r w:rsidR="00ED36A3" w:rsidRPr="00D9172E">
        <w:rPr>
          <w:rFonts w:ascii="Calibri" w:hAnsi="Calibri" w:cs="Arial"/>
          <w:lang w:val="nl-BE"/>
        </w:rPr>
        <w:t>Medio 2010 velde de Franstalige elfde kamer van de Raad van State een eerste belangrijk arrest</w:t>
      </w:r>
      <w:r w:rsidR="0077076A" w:rsidRPr="00D9172E">
        <w:rPr>
          <w:rStyle w:val="Voetnootmarkering"/>
          <w:rFonts w:ascii="Calibri" w:hAnsi="Calibri" w:cs="Arial"/>
          <w:lang w:val="nl-BE"/>
        </w:rPr>
        <w:footnoteReference w:id="64"/>
      </w:r>
      <w:r w:rsidR="00ED36A3" w:rsidRPr="00D9172E">
        <w:rPr>
          <w:rFonts w:ascii="Calibri" w:hAnsi="Calibri" w:cs="Arial"/>
          <w:lang w:val="nl-BE"/>
        </w:rPr>
        <w:t xml:space="preserve">. Daarin oordeelde </w:t>
      </w:r>
      <w:r w:rsidR="00B246CA" w:rsidRPr="00D9172E">
        <w:rPr>
          <w:rFonts w:ascii="Calibri" w:hAnsi="Calibri" w:cs="Arial"/>
          <w:lang w:val="nl-BE"/>
        </w:rPr>
        <w:t>ze</w:t>
      </w:r>
      <w:r w:rsidR="00ED36A3" w:rsidRPr="00D9172E">
        <w:rPr>
          <w:rFonts w:ascii="Calibri" w:hAnsi="Calibri" w:cs="Arial"/>
          <w:lang w:val="nl-BE"/>
        </w:rPr>
        <w:t xml:space="preserve"> dat </w:t>
      </w:r>
      <w:r w:rsidR="00A57BDA" w:rsidRPr="00D9172E">
        <w:rPr>
          <w:rFonts w:ascii="Calibri" w:hAnsi="Calibri" w:cs="Arial"/>
          <w:lang w:val="nl-BE"/>
        </w:rPr>
        <w:t>elk arrondissement</w:t>
      </w:r>
      <w:r w:rsidR="00C016FA" w:rsidRPr="00D9172E">
        <w:rPr>
          <w:rFonts w:ascii="Calibri" w:hAnsi="Calibri" w:cs="Arial"/>
          <w:lang w:val="nl-BE"/>
        </w:rPr>
        <w:t xml:space="preserve"> bij het vormen van een advies</w:t>
      </w:r>
      <w:r w:rsidR="00A57BDA" w:rsidRPr="00D9172E">
        <w:rPr>
          <w:rFonts w:ascii="Calibri" w:hAnsi="Calibri" w:cs="Arial"/>
          <w:lang w:val="nl-BE"/>
        </w:rPr>
        <w:t xml:space="preserve"> zijn eigen </w:t>
      </w:r>
      <w:r w:rsidR="00C016FA" w:rsidRPr="00D9172E">
        <w:rPr>
          <w:rFonts w:ascii="Calibri" w:hAnsi="Calibri" w:cs="Arial"/>
          <w:lang w:val="nl-BE"/>
        </w:rPr>
        <w:t xml:space="preserve">methodologie hanteert </w:t>
      </w:r>
      <w:r w:rsidR="00A57BDA" w:rsidRPr="00D9172E">
        <w:rPr>
          <w:rFonts w:ascii="Calibri" w:hAnsi="Calibri" w:cs="Arial"/>
          <w:lang w:val="nl-BE"/>
        </w:rPr>
        <w:t>en er daarom geen sprake kan zijn van een geobjectiveerd systeem. Bovendien, zo stelde de Raad, zijn de selectiecriteria uit de circulaire niet wettelijk vastgelegd, maar hebben ze wel een onmiskenbare invloed op de benoemingen</w:t>
      </w:r>
      <w:r w:rsidR="002130F2" w:rsidRPr="00D9172E">
        <w:rPr>
          <w:rFonts w:ascii="Calibri" w:hAnsi="Calibri" w:cs="Arial"/>
          <w:lang w:val="nl-BE"/>
        </w:rPr>
        <w:t xml:space="preserve"> en hebben ze dus wel degelijk een reglementair</w:t>
      </w:r>
      <w:r w:rsidR="00071B7B" w:rsidRPr="00D9172E">
        <w:rPr>
          <w:rFonts w:ascii="Calibri" w:hAnsi="Calibri" w:cs="Arial"/>
          <w:lang w:val="nl-BE"/>
        </w:rPr>
        <w:t>/verordenend</w:t>
      </w:r>
      <w:r w:rsidR="002130F2" w:rsidRPr="00D9172E">
        <w:rPr>
          <w:rFonts w:ascii="Calibri" w:hAnsi="Calibri" w:cs="Arial"/>
          <w:lang w:val="nl-BE"/>
        </w:rPr>
        <w:t xml:space="preserve"> karakter. </w:t>
      </w:r>
      <w:r w:rsidR="00631F21" w:rsidRPr="00D9172E">
        <w:rPr>
          <w:rFonts w:ascii="Calibri" w:hAnsi="Calibri" w:cs="Arial"/>
          <w:lang w:val="nl-BE"/>
        </w:rPr>
        <w:t xml:space="preserve">Op die manier kreeg de verzoeker gelijk en werd het KB tot aanstelling van de tussenkomende partij, een pas benoemde gerechtsdeurwaarder, vernietigd. De dame in kwestie – door de benoemingscommissie als eerste gerangschikt, nota bene – verloor haar </w:t>
      </w:r>
      <w:r w:rsidR="00C34BA5" w:rsidRPr="00D9172E">
        <w:rPr>
          <w:rFonts w:ascii="Calibri" w:hAnsi="Calibri" w:cs="Arial"/>
          <w:lang w:val="nl-BE"/>
        </w:rPr>
        <w:t>statuut van titularis en werd geherkwalificeerd tot</w:t>
      </w:r>
      <w:r w:rsidR="00631F21" w:rsidRPr="00D9172E">
        <w:rPr>
          <w:rFonts w:ascii="Calibri" w:hAnsi="Calibri" w:cs="Arial"/>
          <w:lang w:val="nl-BE"/>
        </w:rPr>
        <w:t xml:space="preserve"> kandidaat-gerechtsdeurwaarder.</w:t>
      </w:r>
    </w:p>
    <w:p w14:paraId="43732698" w14:textId="77777777" w:rsidR="00631F21" w:rsidRPr="00D9172E" w:rsidRDefault="00631F21" w:rsidP="002532B7">
      <w:pPr>
        <w:spacing w:line="276" w:lineRule="auto"/>
        <w:rPr>
          <w:rFonts w:ascii="Calibri" w:hAnsi="Calibri" w:cs="Arial"/>
          <w:lang w:val="nl-BE"/>
        </w:rPr>
      </w:pPr>
    </w:p>
    <w:p w14:paraId="10701782" w14:textId="69E33418" w:rsidR="00FF7EB8" w:rsidRPr="00D9172E" w:rsidRDefault="005D3C3E" w:rsidP="00C75526">
      <w:pPr>
        <w:spacing w:line="276" w:lineRule="auto"/>
        <w:jc w:val="both"/>
        <w:rPr>
          <w:rFonts w:ascii="Calibri" w:hAnsi="Calibri" w:cs="Arial"/>
          <w:lang w:val="nl-BE"/>
        </w:rPr>
      </w:pPr>
      <w:r>
        <w:rPr>
          <w:rFonts w:ascii="Calibri" w:hAnsi="Calibri" w:cs="Arial"/>
          <w:b/>
          <w:lang w:val="nl-BE"/>
        </w:rPr>
        <w:t>27</w:t>
      </w:r>
      <w:r>
        <w:rPr>
          <w:rFonts w:ascii="Calibri" w:hAnsi="Calibri" w:cs="Arial"/>
          <w:lang w:val="nl-BE"/>
        </w:rPr>
        <w:t>.</w:t>
      </w:r>
      <w:r w:rsidR="00631F21" w:rsidRPr="00D9172E">
        <w:rPr>
          <w:rFonts w:ascii="Calibri" w:hAnsi="Calibri" w:cs="Arial"/>
          <w:lang w:val="nl-BE"/>
        </w:rPr>
        <w:t>Case closed, zo dacht men, totdat een jaar later bleek da</w:t>
      </w:r>
      <w:r w:rsidR="00815A59" w:rsidRPr="00D9172E">
        <w:rPr>
          <w:rFonts w:ascii="Calibri" w:hAnsi="Calibri" w:cs="Arial"/>
          <w:lang w:val="nl-BE"/>
        </w:rPr>
        <w:t>t het niet enkel in de</w:t>
      </w:r>
      <w:r w:rsidR="00631F21" w:rsidRPr="00D9172E">
        <w:rPr>
          <w:rFonts w:ascii="Calibri" w:hAnsi="Calibri" w:cs="Arial"/>
          <w:lang w:val="nl-BE"/>
        </w:rPr>
        <w:t xml:space="preserve"> politiek is dat de neuzen van de </w:t>
      </w:r>
      <w:r w:rsidR="00815A59" w:rsidRPr="00D9172E">
        <w:rPr>
          <w:rFonts w:ascii="Calibri" w:hAnsi="Calibri" w:cs="Arial"/>
          <w:lang w:val="nl-BE"/>
        </w:rPr>
        <w:t xml:space="preserve">Belgische </w:t>
      </w:r>
      <w:r w:rsidR="00631F21" w:rsidRPr="00D9172E">
        <w:rPr>
          <w:rFonts w:ascii="Calibri" w:hAnsi="Calibri" w:cs="Arial"/>
          <w:lang w:val="nl-BE"/>
        </w:rPr>
        <w:t xml:space="preserve">taalgroepen niet </w:t>
      </w:r>
      <w:r w:rsidR="00770000" w:rsidRPr="00D9172E">
        <w:rPr>
          <w:rFonts w:ascii="Calibri" w:hAnsi="Calibri" w:cs="Arial"/>
          <w:lang w:val="nl-BE"/>
        </w:rPr>
        <w:t>in dezelfde richting staan. ‘Verliezende’ kandida</w:t>
      </w:r>
      <w:r w:rsidR="002500AC">
        <w:rPr>
          <w:rFonts w:ascii="Calibri" w:hAnsi="Calibri" w:cs="Arial"/>
          <w:lang w:val="nl-BE"/>
        </w:rPr>
        <w:t>at</w:t>
      </w:r>
      <w:r w:rsidR="00770000" w:rsidRPr="00D9172E">
        <w:rPr>
          <w:rFonts w:ascii="Calibri" w:hAnsi="Calibri" w:cs="Arial"/>
          <w:lang w:val="nl-BE"/>
        </w:rPr>
        <w:t xml:space="preserve">-gerechtsdeurwaarders bleven procedures voor de Raad van State aanspannen, </w:t>
      </w:r>
      <w:r w:rsidR="007F1A3A" w:rsidRPr="00D9172E">
        <w:rPr>
          <w:rFonts w:ascii="Calibri" w:hAnsi="Calibri" w:cs="Arial"/>
          <w:lang w:val="nl-BE"/>
        </w:rPr>
        <w:t>zodoende dat e</w:t>
      </w:r>
      <w:r w:rsidR="00A27B6F" w:rsidRPr="00D9172E">
        <w:rPr>
          <w:rFonts w:ascii="Calibri" w:hAnsi="Calibri" w:cs="Arial"/>
          <w:lang w:val="nl-BE"/>
        </w:rPr>
        <w:t>e</w:t>
      </w:r>
      <w:r w:rsidR="007F1A3A" w:rsidRPr="00D9172E">
        <w:rPr>
          <w:rFonts w:ascii="Calibri" w:hAnsi="Calibri" w:cs="Arial"/>
          <w:lang w:val="nl-BE"/>
        </w:rPr>
        <w:t>n</w:t>
      </w:r>
      <w:r w:rsidR="00A27B6F" w:rsidRPr="00D9172E">
        <w:rPr>
          <w:rFonts w:ascii="Calibri" w:hAnsi="Calibri" w:cs="Arial"/>
          <w:lang w:val="nl-BE"/>
        </w:rPr>
        <w:t xml:space="preserve"> </w:t>
      </w:r>
      <w:r w:rsidR="00572A2F" w:rsidRPr="00D9172E">
        <w:rPr>
          <w:rFonts w:ascii="Calibri" w:hAnsi="Calibri" w:cs="Arial"/>
          <w:lang w:val="nl-BE"/>
        </w:rPr>
        <w:t xml:space="preserve">Nederlandstalige kamer nog maar eens een </w:t>
      </w:r>
      <w:r w:rsidR="00732E82" w:rsidRPr="00D9172E">
        <w:rPr>
          <w:rFonts w:ascii="Calibri" w:hAnsi="Calibri" w:cs="Arial"/>
          <w:lang w:val="nl-BE"/>
        </w:rPr>
        <w:t xml:space="preserve">aantal </w:t>
      </w:r>
      <w:r w:rsidR="00572A2F" w:rsidRPr="00D9172E">
        <w:rPr>
          <w:rFonts w:ascii="Calibri" w:hAnsi="Calibri" w:cs="Arial"/>
          <w:lang w:val="nl-BE"/>
        </w:rPr>
        <w:t>beroep</w:t>
      </w:r>
      <w:r w:rsidR="00732E82" w:rsidRPr="00D9172E">
        <w:rPr>
          <w:rFonts w:ascii="Calibri" w:hAnsi="Calibri" w:cs="Arial"/>
          <w:lang w:val="nl-BE"/>
        </w:rPr>
        <w:t>en</w:t>
      </w:r>
      <w:r w:rsidR="00572A2F" w:rsidRPr="00D9172E">
        <w:rPr>
          <w:rFonts w:ascii="Calibri" w:hAnsi="Calibri" w:cs="Arial"/>
          <w:lang w:val="nl-BE"/>
        </w:rPr>
        <w:t xml:space="preserve"> tot nietigverklaring van een benoemingsbesluit diende te behandelen</w:t>
      </w:r>
      <w:r w:rsidR="007F1A3A" w:rsidRPr="00D9172E">
        <w:rPr>
          <w:rStyle w:val="Voetnootmarkering"/>
          <w:rFonts w:ascii="Calibri" w:hAnsi="Calibri" w:cs="Arial"/>
          <w:lang w:val="nl-BE"/>
        </w:rPr>
        <w:footnoteReference w:id="65"/>
      </w:r>
      <w:r w:rsidR="00732E82" w:rsidRPr="00D9172E">
        <w:rPr>
          <w:rFonts w:ascii="Calibri" w:hAnsi="Calibri" w:cs="Arial"/>
          <w:lang w:val="nl-BE"/>
        </w:rPr>
        <w:t>. De Raad volgde in die za</w:t>
      </w:r>
      <w:r w:rsidR="00572A2F" w:rsidRPr="00D9172E">
        <w:rPr>
          <w:rFonts w:ascii="Calibri" w:hAnsi="Calibri" w:cs="Arial"/>
          <w:lang w:val="nl-BE"/>
        </w:rPr>
        <w:t>k</w:t>
      </w:r>
      <w:r w:rsidR="00732E82" w:rsidRPr="00D9172E">
        <w:rPr>
          <w:rFonts w:ascii="Calibri" w:hAnsi="Calibri" w:cs="Arial"/>
          <w:lang w:val="nl-BE"/>
        </w:rPr>
        <w:t>en</w:t>
      </w:r>
      <w:r w:rsidR="00572A2F" w:rsidRPr="00D9172E">
        <w:rPr>
          <w:rFonts w:ascii="Calibri" w:hAnsi="Calibri" w:cs="Arial"/>
          <w:lang w:val="nl-BE"/>
        </w:rPr>
        <w:t xml:space="preserve"> echter de redenering van haar Franstalige collega’s niet. Ze stelde wel de relevantie en opportuniteit van een aantal subcriteria in vraag: z</w:t>
      </w:r>
      <w:r w:rsidR="0001670C" w:rsidRPr="00D9172E">
        <w:rPr>
          <w:rFonts w:ascii="Calibri" w:hAnsi="Calibri" w:cs="Arial"/>
          <w:lang w:val="nl-BE"/>
        </w:rPr>
        <w:t xml:space="preserve">o was het </w:t>
      </w:r>
      <w:r w:rsidR="00ED6B71" w:rsidRPr="00D9172E">
        <w:rPr>
          <w:rFonts w:ascii="Calibri" w:hAnsi="Calibri" w:cs="Arial"/>
          <w:lang w:val="nl-BE"/>
        </w:rPr>
        <w:t>bijvoorbeeld onduidelijk welke meerwaarde</w:t>
      </w:r>
      <w:r w:rsidR="00572A2F" w:rsidRPr="00D9172E">
        <w:rPr>
          <w:rFonts w:ascii="Calibri" w:hAnsi="Calibri" w:cs="Arial"/>
          <w:lang w:val="nl-BE"/>
        </w:rPr>
        <w:t xml:space="preserve"> ervaring binnen de ge</w:t>
      </w:r>
      <w:r w:rsidR="0001670C" w:rsidRPr="00D9172E">
        <w:rPr>
          <w:rFonts w:ascii="Calibri" w:hAnsi="Calibri" w:cs="Arial"/>
          <w:lang w:val="nl-BE"/>
        </w:rPr>
        <w:t>meente heeft. Werkwijzen kunnen weliswaar verschillen van arrondissement tot arrondissement, waardoor dit subcriterium verantwoord werd bevonden, maar voor gemeenten geldt dit</w:t>
      </w:r>
      <w:r w:rsidR="00314DC3" w:rsidRPr="00D9172E">
        <w:rPr>
          <w:rFonts w:ascii="Calibri" w:hAnsi="Calibri" w:cs="Arial"/>
          <w:lang w:val="nl-BE"/>
        </w:rPr>
        <w:t xml:space="preserve"> vo</w:t>
      </w:r>
      <w:r w:rsidR="00135149">
        <w:rPr>
          <w:rFonts w:ascii="Calibri" w:hAnsi="Calibri" w:cs="Arial"/>
          <w:lang w:val="nl-BE"/>
        </w:rPr>
        <w:t xml:space="preserve">lgens </w:t>
      </w:r>
      <w:r w:rsidR="00314DC3" w:rsidRPr="00D9172E">
        <w:rPr>
          <w:rFonts w:ascii="Calibri" w:hAnsi="Calibri" w:cs="Arial"/>
          <w:lang w:val="nl-BE"/>
        </w:rPr>
        <w:t>de Raad</w:t>
      </w:r>
      <w:r w:rsidR="0001670C" w:rsidRPr="00D9172E">
        <w:rPr>
          <w:rFonts w:ascii="Calibri" w:hAnsi="Calibri" w:cs="Arial"/>
          <w:lang w:val="nl-BE"/>
        </w:rPr>
        <w:t xml:space="preserve"> </w:t>
      </w:r>
      <w:r w:rsidR="00135149">
        <w:rPr>
          <w:rFonts w:ascii="Calibri" w:hAnsi="Calibri" w:cs="Arial"/>
          <w:lang w:val="nl-BE"/>
        </w:rPr>
        <w:t xml:space="preserve">van State </w:t>
      </w:r>
      <w:r w:rsidR="0001670C" w:rsidRPr="00D9172E">
        <w:rPr>
          <w:rFonts w:ascii="Calibri" w:hAnsi="Calibri" w:cs="Arial"/>
          <w:lang w:val="nl-BE"/>
        </w:rPr>
        <w:t>niet: gerechtsdeurwaard</w:t>
      </w:r>
      <w:r w:rsidR="0064492B" w:rsidRPr="00D9172E">
        <w:rPr>
          <w:rFonts w:ascii="Calibri" w:hAnsi="Calibri" w:cs="Arial"/>
          <w:lang w:val="nl-BE"/>
        </w:rPr>
        <w:t xml:space="preserve">ers werken arrondissementeel, niet gemeentelijk, en kunnen dus perfect door de minister </w:t>
      </w:r>
      <w:r w:rsidR="00D80194">
        <w:rPr>
          <w:rFonts w:ascii="Calibri" w:hAnsi="Calibri" w:cs="Arial"/>
          <w:lang w:val="nl-BE"/>
        </w:rPr>
        <w:t>naar</w:t>
      </w:r>
      <w:r w:rsidR="0064492B" w:rsidRPr="00D9172E">
        <w:rPr>
          <w:rFonts w:ascii="Calibri" w:hAnsi="Calibri" w:cs="Arial"/>
          <w:lang w:val="nl-BE"/>
        </w:rPr>
        <w:t xml:space="preserve"> een andere gemeente </w:t>
      </w:r>
      <w:r w:rsidR="00D80194">
        <w:rPr>
          <w:rFonts w:ascii="Calibri" w:hAnsi="Calibri" w:cs="Arial"/>
          <w:lang w:val="nl-BE"/>
        </w:rPr>
        <w:t xml:space="preserve">worden </w:t>
      </w:r>
      <w:r w:rsidR="000110A8">
        <w:rPr>
          <w:rFonts w:ascii="Calibri" w:hAnsi="Calibri" w:cs="Arial"/>
          <w:lang w:val="nl-BE"/>
        </w:rPr>
        <w:t>over</w:t>
      </w:r>
      <w:r w:rsidR="0064492B" w:rsidRPr="00D9172E">
        <w:rPr>
          <w:rFonts w:ascii="Calibri" w:hAnsi="Calibri" w:cs="Arial"/>
          <w:lang w:val="nl-BE"/>
        </w:rPr>
        <w:t>geplaatst.</w:t>
      </w:r>
    </w:p>
    <w:p w14:paraId="56377B86" w14:textId="34448993" w:rsidR="0001670C" w:rsidRPr="00D9172E" w:rsidRDefault="005D3C3E" w:rsidP="00C75526">
      <w:pPr>
        <w:pStyle w:val="Normaalweb"/>
        <w:spacing w:line="276" w:lineRule="auto"/>
        <w:jc w:val="both"/>
        <w:rPr>
          <w:rFonts w:ascii="Calibri" w:hAnsi="Calibri" w:cs="Arial"/>
          <w:i/>
        </w:rPr>
      </w:pPr>
      <w:r>
        <w:rPr>
          <w:rFonts w:ascii="Calibri" w:hAnsi="Calibri" w:cs="Arial"/>
          <w:b/>
          <w:lang w:val="nl-BE"/>
        </w:rPr>
        <w:t>28.</w:t>
      </w:r>
      <w:r w:rsidR="00314DC3" w:rsidRPr="00D9172E">
        <w:rPr>
          <w:rFonts w:ascii="Calibri" w:hAnsi="Calibri" w:cs="Arial"/>
          <w:lang w:val="nl-BE"/>
        </w:rPr>
        <w:t>Pas</w:t>
      </w:r>
      <w:r w:rsidR="007D5D38" w:rsidRPr="00D9172E">
        <w:rPr>
          <w:rFonts w:ascii="Calibri" w:hAnsi="Calibri" w:cs="Arial"/>
          <w:lang w:val="nl-BE"/>
        </w:rPr>
        <w:t xml:space="preserve"> begin 2013, iets minder dan een jaar voor de inwerkingtreding van het nieuw</w:t>
      </w:r>
      <w:r w:rsidR="000D22C7" w:rsidRPr="00D9172E">
        <w:rPr>
          <w:rFonts w:ascii="Calibri" w:hAnsi="Calibri" w:cs="Arial"/>
          <w:lang w:val="nl-BE"/>
        </w:rPr>
        <w:t>e</w:t>
      </w:r>
      <w:r w:rsidR="007D5D38" w:rsidRPr="00D9172E">
        <w:rPr>
          <w:rFonts w:ascii="Calibri" w:hAnsi="Calibri" w:cs="Arial"/>
          <w:lang w:val="nl-BE"/>
        </w:rPr>
        <w:t xml:space="preserve"> statuut, kwam er defin</w:t>
      </w:r>
      <w:r w:rsidR="006405CD" w:rsidRPr="00D9172E">
        <w:rPr>
          <w:rFonts w:ascii="Calibri" w:hAnsi="Calibri" w:cs="Arial"/>
          <w:lang w:val="nl-BE"/>
        </w:rPr>
        <w:t>i</w:t>
      </w:r>
      <w:r w:rsidR="007D5D38" w:rsidRPr="00D9172E">
        <w:rPr>
          <w:rFonts w:ascii="Calibri" w:hAnsi="Calibri" w:cs="Arial"/>
          <w:lang w:val="nl-BE"/>
        </w:rPr>
        <w:t>tief uitsluitsel omtrent de omzendbrief. De algemene vergadering van de Raad van State had zich over de kwestie gebogen</w:t>
      </w:r>
      <w:r w:rsidR="00C11972" w:rsidRPr="00D9172E">
        <w:rPr>
          <w:rStyle w:val="Voetnootmarkering"/>
          <w:rFonts w:ascii="Calibri" w:hAnsi="Calibri" w:cs="Arial"/>
          <w:lang w:val="nl-BE"/>
        </w:rPr>
        <w:footnoteReference w:id="66"/>
      </w:r>
      <w:r w:rsidR="007D5D38" w:rsidRPr="00D9172E">
        <w:rPr>
          <w:rFonts w:ascii="Calibri" w:hAnsi="Calibri" w:cs="Arial"/>
          <w:lang w:val="nl-BE"/>
        </w:rPr>
        <w:t xml:space="preserve"> en kwam </w:t>
      </w:r>
      <w:r w:rsidR="00D80194">
        <w:rPr>
          <w:rFonts w:ascii="Calibri" w:hAnsi="Calibri" w:cs="Arial"/>
          <w:lang w:val="nl-BE"/>
        </w:rPr>
        <w:t xml:space="preserve">– voor wat het nog waard was – </w:t>
      </w:r>
      <w:r w:rsidR="007D5D38" w:rsidRPr="00D9172E">
        <w:rPr>
          <w:rFonts w:ascii="Calibri" w:hAnsi="Calibri" w:cs="Arial"/>
          <w:lang w:val="nl-BE"/>
        </w:rPr>
        <w:t>tot volgend besluit b</w:t>
      </w:r>
      <w:r w:rsidR="0001670C" w:rsidRPr="00D9172E">
        <w:rPr>
          <w:rFonts w:ascii="Calibri" w:hAnsi="Calibri" w:cs="Arial"/>
          <w:lang w:val="nl-BE"/>
        </w:rPr>
        <w:t>etreffende de wettel</w:t>
      </w:r>
      <w:r w:rsidR="007D5D38" w:rsidRPr="00D9172E">
        <w:rPr>
          <w:rFonts w:ascii="Calibri" w:hAnsi="Calibri" w:cs="Arial"/>
          <w:lang w:val="nl-BE"/>
        </w:rPr>
        <w:t>ijkheid van omzendbrief nr. 116</w:t>
      </w:r>
      <w:r w:rsidR="0001670C" w:rsidRPr="00D9172E">
        <w:rPr>
          <w:rFonts w:ascii="Calibri" w:hAnsi="Calibri" w:cs="Arial"/>
          <w:lang w:val="nl-BE"/>
        </w:rPr>
        <w:t xml:space="preserve">: </w:t>
      </w:r>
      <w:r w:rsidR="0001670C" w:rsidRPr="00D9172E">
        <w:rPr>
          <w:rFonts w:ascii="Calibri" w:hAnsi="Calibri" w:cs="Arial"/>
          <w:lang w:val="nl-BE"/>
        </w:rPr>
        <w:br/>
      </w:r>
      <w:r w:rsidR="007D5D38" w:rsidRPr="00D9172E">
        <w:rPr>
          <w:rFonts w:ascii="Calibri" w:hAnsi="Calibri" w:cs="Arial"/>
          <w:lang w:val="nl-BE"/>
        </w:rPr>
        <w:br/>
      </w:r>
      <w:r w:rsidR="0001670C" w:rsidRPr="00D9172E">
        <w:rPr>
          <w:rFonts w:ascii="Calibri" w:hAnsi="Calibri" w:cs="Arial"/>
          <w:lang w:val="nl-BE"/>
        </w:rPr>
        <w:t>“</w:t>
      </w:r>
      <w:r w:rsidR="0001670C" w:rsidRPr="00D9172E">
        <w:rPr>
          <w:rFonts w:ascii="Calibri" w:hAnsi="Calibri" w:cs="Arial"/>
          <w:i/>
        </w:rPr>
        <w:t xml:space="preserve">De minister van Justitie heeft de Nationale Kamer van gerechtsdeurwaarders en de </w:t>
      </w:r>
      <w:r w:rsidR="00414DDE">
        <w:rPr>
          <w:rFonts w:ascii="Calibri" w:hAnsi="Calibri" w:cs="Arial"/>
          <w:i/>
        </w:rPr>
        <w:t>a</w:t>
      </w:r>
      <w:r w:rsidR="0001670C" w:rsidRPr="00D9172E">
        <w:rPr>
          <w:rFonts w:ascii="Calibri" w:hAnsi="Calibri" w:cs="Arial"/>
          <w:i/>
        </w:rPr>
        <w:t xml:space="preserve">rrondissementskamers van gerechtsdeurwaarders erop gewezen dat er nood is aan een geobjectiveerd systeem om de titels en de verdiensten van de kandidaten te vergelijken en dat hij daarom de procedure voor het indienen van de kandidaturen en voor de adviesverlening wenste te standaardiseren. Hij “beveelt aan” de volgende “nieuwe werkwijze” te volgen: (…) </w:t>
      </w:r>
      <w:r w:rsidR="0001670C" w:rsidRPr="00D9172E">
        <w:rPr>
          <w:rFonts w:ascii="Calibri" w:hAnsi="Calibri" w:cs="Arial"/>
          <w:i/>
        </w:rPr>
        <w:br/>
        <w:t xml:space="preserve">Deze omzendbrief is gesteld als een aanbeveling aan de arrondissementskamers om hun advies te stroomlijnen en aldus een betere vergelijking van de titels en de verdiensten van de kandidaten mogelijk te maken. (…) De omzendbrief, zoals hij uitgevaardigd is, is dus te </w:t>
      </w:r>
      <w:r w:rsidR="0001670C" w:rsidRPr="00D9172E">
        <w:rPr>
          <w:rFonts w:ascii="Calibri" w:hAnsi="Calibri" w:cs="Arial"/>
          <w:i/>
        </w:rPr>
        <w:lastRenderedPageBreak/>
        <w:t xml:space="preserve">kwalificeren als een beleidslijn die de minister zal hanteren bij de beoordeling van individuele benoemingsdossiers en bevat geen dwingende bepalingen voor iemand buiten het bestuur.” </w:t>
      </w:r>
    </w:p>
    <w:p w14:paraId="2C445F8B" w14:textId="6113E22E" w:rsidR="00A002E1" w:rsidRPr="00D9172E" w:rsidRDefault="005D3C3E" w:rsidP="00C75526">
      <w:pPr>
        <w:pStyle w:val="Normaalweb"/>
        <w:spacing w:line="276" w:lineRule="auto"/>
        <w:jc w:val="both"/>
        <w:rPr>
          <w:rFonts w:ascii="Calibri" w:hAnsi="Calibri" w:cs="Arial"/>
          <w:lang w:val="nl-BE"/>
        </w:rPr>
      </w:pPr>
      <w:r>
        <w:rPr>
          <w:rFonts w:ascii="Calibri" w:hAnsi="Calibri" w:cs="Arial"/>
          <w:b/>
        </w:rPr>
        <w:t>29.</w:t>
      </w:r>
      <w:r w:rsidR="00A002E1" w:rsidRPr="00D9172E">
        <w:rPr>
          <w:rFonts w:ascii="Calibri" w:hAnsi="Calibri" w:cs="Arial"/>
        </w:rPr>
        <w:t xml:space="preserve">Het mag </w:t>
      </w:r>
      <w:r w:rsidR="00A06264" w:rsidRPr="00D9172E">
        <w:rPr>
          <w:rFonts w:ascii="Calibri" w:hAnsi="Calibri" w:cs="Arial"/>
        </w:rPr>
        <w:t xml:space="preserve">dus </w:t>
      </w:r>
      <w:r w:rsidR="00A002E1" w:rsidRPr="00D9172E">
        <w:rPr>
          <w:rFonts w:ascii="Calibri" w:hAnsi="Calibri" w:cs="Arial"/>
        </w:rPr>
        <w:t>gezegd dat een oplossing zich dringen</w:t>
      </w:r>
      <w:r w:rsidR="002B5C40" w:rsidRPr="00D9172E">
        <w:rPr>
          <w:rFonts w:ascii="Calibri" w:hAnsi="Calibri" w:cs="Arial"/>
        </w:rPr>
        <w:t xml:space="preserve">d opdrong. Het spreekt </w:t>
      </w:r>
      <w:r w:rsidR="00A002E1" w:rsidRPr="00D9172E">
        <w:rPr>
          <w:rFonts w:ascii="Calibri" w:hAnsi="Calibri" w:cs="Arial"/>
        </w:rPr>
        <w:t>voor zich dat afgunstige kandida</w:t>
      </w:r>
      <w:r w:rsidR="00D80194">
        <w:rPr>
          <w:rFonts w:ascii="Calibri" w:hAnsi="Calibri" w:cs="Arial"/>
        </w:rPr>
        <w:t>at</w:t>
      </w:r>
      <w:r w:rsidR="00A002E1" w:rsidRPr="00D9172E">
        <w:rPr>
          <w:rFonts w:ascii="Calibri" w:hAnsi="Calibri" w:cs="Arial"/>
        </w:rPr>
        <w:t xml:space="preserve">-gerechtsdeurwaarders die elkaars benoemingen aanvechten een ongunstige invloed hebben op de goede </w:t>
      </w:r>
      <w:r w:rsidR="00A43828" w:rsidRPr="00D9172E">
        <w:rPr>
          <w:rFonts w:ascii="Calibri" w:hAnsi="Calibri" w:cs="Arial"/>
        </w:rPr>
        <w:t xml:space="preserve">onderlinge </w:t>
      </w:r>
      <w:r w:rsidR="00A002E1" w:rsidRPr="00D9172E">
        <w:rPr>
          <w:rFonts w:ascii="Calibri" w:hAnsi="Calibri" w:cs="Arial"/>
        </w:rPr>
        <w:t>verstandhouding</w:t>
      </w:r>
      <w:r w:rsidR="00D20952" w:rsidRPr="00D9172E">
        <w:rPr>
          <w:rFonts w:ascii="Calibri" w:hAnsi="Calibri" w:cs="Arial"/>
        </w:rPr>
        <w:t xml:space="preserve"> binnen het korps</w:t>
      </w:r>
      <w:r w:rsidR="00A002E1" w:rsidRPr="00D9172E">
        <w:rPr>
          <w:rFonts w:ascii="Calibri" w:hAnsi="Calibri" w:cs="Arial"/>
        </w:rPr>
        <w:t xml:space="preserve">, om nog maar te zwijgen over de rechtsonzekerheid voor benoemde gerechtsdeurwaarders </w:t>
      </w:r>
      <w:r w:rsidR="00CC0F73" w:rsidRPr="00D9172E">
        <w:rPr>
          <w:rFonts w:ascii="Calibri" w:hAnsi="Calibri" w:cs="Arial"/>
        </w:rPr>
        <w:t>wiens aanstelling buiten zijn</w:t>
      </w:r>
      <w:r w:rsidR="006F2080">
        <w:rPr>
          <w:rFonts w:ascii="Calibri" w:hAnsi="Calibri" w:cs="Arial"/>
        </w:rPr>
        <w:t xml:space="preserve"> of </w:t>
      </w:r>
      <w:r w:rsidR="00CC0F73" w:rsidRPr="00D9172E">
        <w:rPr>
          <w:rFonts w:ascii="Calibri" w:hAnsi="Calibri" w:cs="Arial"/>
        </w:rPr>
        <w:t xml:space="preserve">haar wil of fout </w:t>
      </w:r>
      <w:r w:rsidR="00A06264" w:rsidRPr="00D9172E">
        <w:rPr>
          <w:rFonts w:ascii="Calibri" w:hAnsi="Calibri" w:cs="Arial"/>
        </w:rPr>
        <w:t xml:space="preserve">plots </w:t>
      </w:r>
      <w:r w:rsidR="00CC0F73" w:rsidRPr="00D9172E">
        <w:rPr>
          <w:rFonts w:ascii="Calibri" w:hAnsi="Calibri" w:cs="Arial"/>
        </w:rPr>
        <w:t xml:space="preserve">wordt ongedaan gemaakt. </w:t>
      </w:r>
      <w:r w:rsidR="00B31478" w:rsidRPr="00D9172E">
        <w:rPr>
          <w:rFonts w:ascii="Calibri" w:hAnsi="Calibri" w:cs="Arial"/>
        </w:rPr>
        <w:t>Een pittig detail in deze is dat de Raad van State de overvloed aan procedur</w:t>
      </w:r>
      <w:r w:rsidR="007147BC" w:rsidRPr="00D9172E">
        <w:rPr>
          <w:rFonts w:ascii="Calibri" w:hAnsi="Calibri" w:cs="Arial"/>
        </w:rPr>
        <w:t xml:space="preserve">es </w:t>
      </w:r>
      <w:r w:rsidR="002642C8">
        <w:rPr>
          <w:rFonts w:ascii="Calibri" w:hAnsi="Calibri" w:cs="Arial"/>
        </w:rPr>
        <w:t xml:space="preserve">destijds </w:t>
      </w:r>
      <w:r w:rsidR="007147BC" w:rsidRPr="00D9172E">
        <w:rPr>
          <w:rFonts w:ascii="Calibri" w:hAnsi="Calibri" w:cs="Arial"/>
        </w:rPr>
        <w:t>niet kon volgen, waardoor de</w:t>
      </w:r>
      <w:r w:rsidR="00B31478" w:rsidRPr="00D9172E">
        <w:rPr>
          <w:rFonts w:ascii="Calibri" w:hAnsi="Calibri" w:cs="Arial"/>
        </w:rPr>
        <w:t xml:space="preserve"> tijdspanne tussen annulatieberoep en uitspraak niet uitzonderlijk vier jaar bedroeg</w:t>
      </w:r>
      <w:r w:rsidR="002C3884" w:rsidRPr="00D9172E">
        <w:rPr>
          <w:rStyle w:val="Voetnootmarkering"/>
          <w:rFonts w:ascii="Calibri" w:hAnsi="Calibri" w:cs="Arial"/>
        </w:rPr>
        <w:footnoteReference w:id="67"/>
      </w:r>
      <w:r w:rsidR="00B31478" w:rsidRPr="00D9172E">
        <w:rPr>
          <w:rFonts w:ascii="Calibri" w:hAnsi="Calibri" w:cs="Arial"/>
        </w:rPr>
        <w:t xml:space="preserve">. </w:t>
      </w:r>
      <w:r w:rsidR="002B5C40" w:rsidRPr="00D9172E">
        <w:rPr>
          <w:rFonts w:ascii="Calibri" w:hAnsi="Calibri" w:cs="Arial"/>
        </w:rPr>
        <w:t>Bijgevolg kwam het dus voor dat jarenlang werkzame gerechtsdeurwaarders, inmiddels met hun eigen kantoor, ‘gedegradeerd’ werden zonder daar ook maar iets te kunnen aan doen. Los van de persoonlijke opdoffer dat dit ongetwijfeld geeft, bleven zij uiteraard ook met een financiële kater achter.</w:t>
      </w:r>
    </w:p>
    <w:p w14:paraId="594B2DFF" w14:textId="215A1C9F" w:rsidR="00A16032" w:rsidRDefault="001B44A2" w:rsidP="00BE6DD4">
      <w:pPr>
        <w:pStyle w:val="Kop3"/>
        <w:rPr>
          <w:lang w:val="nl-BE"/>
        </w:rPr>
      </w:pPr>
      <w:bookmarkStart w:id="14" w:name="_Toc40689953"/>
      <w:r>
        <w:rPr>
          <w:lang w:val="nl-BE"/>
        </w:rPr>
        <w:t xml:space="preserve">Afdeling II: </w:t>
      </w:r>
      <w:r w:rsidR="006405CD" w:rsidRPr="00FF30A3">
        <w:rPr>
          <w:lang w:val="nl-BE"/>
        </w:rPr>
        <w:t>Omzendbrief nr. 196</w:t>
      </w:r>
      <w:bookmarkEnd w:id="14"/>
    </w:p>
    <w:p w14:paraId="69A6E617" w14:textId="77777777" w:rsidR="00FF30A3" w:rsidRPr="00FF30A3" w:rsidRDefault="00FF30A3" w:rsidP="002532B7">
      <w:pPr>
        <w:spacing w:line="276" w:lineRule="auto"/>
        <w:rPr>
          <w:lang w:val="nl-BE"/>
        </w:rPr>
      </w:pPr>
    </w:p>
    <w:p w14:paraId="7E6DB69C" w14:textId="1D784C3B" w:rsidR="00E5790D" w:rsidRPr="00D9172E" w:rsidRDefault="005D3C3E" w:rsidP="00C75526">
      <w:pPr>
        <w:spacing w:line="276" w:lineRule="auto"/>
        <w:jc w:val="both"/>
        <w:rPr>
          <w:rFonts w:ascii="Calibri" w:hAnsi="Calibri" w:cs="Arial"/>
          <w:lang w:val="nl-BE"/>
        </w:rPr>
      </w:pPr>
      <w:r>
        <w:rPr>
          <w:rFonts w:ascii="Calibri" w:hAnsi="Calibri" w:cs="Arial"/>
          <w:b/>
          <w:lang w:val="nl-BE"/>
        </w:rPr>
        <w:t>30.</w:t>
      </w:r>
      <w:r w:rsidR="002F19AB" w:rsidRPr="00D9172E">
        <w:rPr>
          <w:rFonts w:ascii="Calibri" w:hAnsi="Calibri" w:cs="Arial"/>
          <w:lang w:val="nl-BE"/>
        </w:rPr>
        <w:t>Intuss</w:t>
      </w:r>
      <w:r w:rsidR="00250128" w:rsidRPr="00D9172E">
        <w:rPr>
          <w:rFonts w:ascii="Calibri" w:hAnsi="Calibri" w:cs="Arial"/>
          <w:lang w:val="nl-BE"/>
        </w:rPr>
        <w:t>en legde de regering-Di Rupo</w:t>
      </w:r>
      <w:r w:rsidR="00194639" w:rsidRPr="00D9172E">
        <w:rPr>
          <w:rFonts w:ascii="Calibri" w:hAnsi="Calibri" w:cs="Arial"/>
          <w:lang w:val="nl-BE"/>
        </w:rPr>
        <w:t xml:space="preserve"> – </w:t>
      </w:r>
      <w:r w:rsidR="00E45BCF">
        <w:rPr>
          <w:rFonts w:ascii="Calibri" w:hAnsi="Calibri" w:cs="Arial"/>
          <w:lang w:val="nl-BE"/>
        </w:rPr>
        <w:t>u</w:t>
      </w:r>
      <w:r w:rsidR="00194639" w:rsidRPr="00D9172E">
        <w:rPr>
          <w:rFonts w:ascii="Calibri" w:hAnsi="Calibri" w:cs="Arial"/>
          <w:lang w:val="nl-BE"/>
        </w:rPr>
        <w:t xml:space="preserve"> wel bekend als de 541 dagen-regering – op</w:t>
      </w:r>
      <w:r w:rsidR="00194639" w:rsidRPr="00D9172E">
        <w:rPr>
          <w:rFonts w:ascii="Calibri" w:hAnsi="Calibri" w:cs="Arial"/>
          <w:lang w:val="nl-BE"/>
        </w:rPr>
        <w:br/>
        <w:t xml:space="preserve">6 </w:t>
      </w:r>
      <w:r w:rsidR="00250128" w:rsidRPr="00D9172E">
        <w:rPr>
          <w:rFonts w:ascii="Calibri" w:hAnsi="Calibri" w:cs="Arial"/>
          <w:lang w:val="nl-BE"/>
        </w:rPr>
        <w:t xml:space="preserve">december </w:t>
      </w:r>
      <w:r w:rsidR="002F19AB" w:rsidRPr="00D9172E">
        <w:rPr>
          <w:rFonts w:ascii="Calibri" w:hAnsi="Calibri" w:cs="Arial"/>
          <w:lang w:val="nl-BE"/>
        </w:rPr>
        <w:t xml:space="preserve">2011 de eed af en werd de ministerpost van Justitie bekleed door Annemie Turtelboom (Open VLD). </w:t>
      </w:r>
      <w:r w:rsidR="00050A6B" w:rsidRPr="00D9172E">
        <w:rPr>
          <w:rFonts w:ascii="Calibri" w:hAnsi="Calibri" w:cs="Arial"/>
          <w:lang w:val="nl-BE"/>
        </w:rPr>
        <w:t xml:space="preserve">De hervorming van het gerechtsdeurwaardersstatuut werd, </w:t>
      </w:r>
      <w:r w:rsidR="0049337E" w:rsidRPr="00D9172E">
        <w:rPr>
          <w:rFonts w:ascii="Calibri" w:hAnsi="Calibri" w:cs="Arial"/>
          <w:lang w:val="nl-BE"/>
        </w:rPr>
        <w:t>18 jaar</w:t>
      </w:r>
      <w:r w:rsidR="00050A6B" w:rsidRPr="00D9172E">
        <w:rPr>
          <w:rFonts w:ascii="Calibri" w:hAnsi="Calibri" w:cs="Arial"/>
          <w:lang w:val="nl-BE"/>
        </w:rPr>
        <w:t xml:space="preserve"> na de eerste parlementaire initiatieven</w:t>
      </w:r>
      <w:r w:rsidR="00A470C5" w:rsidRPr="00D9172E">
        <w:rPr>
          <w:rFonts w:ascii="Calibri" w:hAnsi="Calibri" w:cs="Arial"/>
          <w:lang w:val="nl-BE"/>
        </w:rPr>
        <w:t xml:space="preserve"> voor een objectievere </w:t>
      </w:r>
      <w:r w:rsidR="00A470C5" w:rsidRPr="00402313">
        <w:rPr>
          <w:rFonts w:ascii="Calibri" w:hAnsi="Calibri" w:cs="Arial"/>
          <w:lang w:val="nl-BE"/>
        </w:rPr>
        <w:t>benoeming</w:t>
      </w:r>
      <w:r w:rsidR="00646DAF" w:rsidRPr="00D9172E">
        <w:rPr>
          <w:rStyle w:val="Voetnootmarkering"/>
          <w:rFonts w:ascii="Calibri" w:hAnsi="Calibri" w:cs="Arial"/>
          <w:lang w:val="nl-BE"/>
        </w:rPr>
        <w:footnoteReference w:id="68"/>
      </w:r>
      <w:r w:rsidR="00050A6B" w:rsidRPr="00D9172E">
        <w:rPr>
          <w:rFonts w:ascii="Calibri" w:hAnsi="Calibri" w:cs="Arial"/>
          <w:lang w:val="nl-BE"/>
        </w:rPr>
        <w:t>,</w:t>
      </w:r>
      <w:r w:rsidR="00501094">
        <w:rPr>
          <w:rFonts w:ascii="Calibri" w:hAnsi="Calibri" w:cs="Arial"/>
          <w:lang w:val="nl-BE"/>
        </w:rPr>
        <w:t xml:space="preserve"> </w:t>
      </w:r>
      <w:r w:rsidR="00050A6B" w:rsidRPr="00D9172E">
        <w:rPr>
          <w:rFonts w:ascii="Calibri" w:hAnsi="Calibri" w:cs="Arial"/>
          <w:lang w:val="nl-BE"/>
        </w:rPr>
        <w:t>in het regeerakkoord opgenomen</w:t>
      </w:r>
      <w:r w:rsidR="00BA73CB" w:rsidRPr="00D9172E">
        <w:rPr>
          <w:rStyle w:val="Voetnootmarkering"/>
          <w:rFonts w:ascii="Calibri" w:hAnsi="Calibri" w:cs="Arial"/>
          <w:lang w:val="nl-BE"/>
        </w:rPr>
        <w:footnoteReference w:id="69"/>
      </w:r>
      <w:r w:rsidR="00050A6B" w:rsidRPr="00D9172E">
        <w:rPr>
          <w:rFonts w:ascii="Calibri" w:hAnsi="Calibri" w:cs="Arial"/>
          <w:lang w:val="nl-BE"/>
        </w:rPr>
        <w:t xml:space="preserve">. </w:t>
      </w:r>
      <w:r w:rsidR="002F19AB" w:rsidRPr="00D9172E">
        <w:rPr>
          <w:rFonts w:ascii="Calibri" w:hAnsi="Calibri" w:cs="Arial"/>
          <w:lang w:val="nl-BE"/>
        </w:rPr>
        <w:t>Als antwoord op de procedurestorm bij de Raad van State naar aanleiding van de circulaire van haar voorganger en als tussenoplossing in afw</w:t>
      </w:r>
      <w:r w:rsidR="008D128F" w:rsidRPr="00D9172E">
        <w:rPr>
          <w:rFonts w:ascii="Calibri" w:hAnsi="Calibri" w:cs="Arial"/>
          <w:lang w:val="nl-BE"/>
        </w:rPr>
        <w:t>achting van de nieuwe wetgeving</w:t>
      </w:r>
      <w:r w:rsidR="008D128F" w:rsidRPr="00D9172E">
        <w:rPr>
          <w:rStyle w:val="Voetnootmarkering"/>
          <w:rFonts w:ascii="Calibri" w:hAnsi="Calibri" w:cs="Arial"/>
          <w:lang w:val="nl-BE"/>
        </w:rPr>
        <w:footnoteReference w:id="70"/>
      </w:r>
      <w:r w:rsidR="002F19AB" w:rsidRPr="00D9172E">
        <w:rPr>
          <w:rFonts w:ascii="Calibri" w:hAnsi="Calibri" w:cs="Arial"/>
          <w:lang w:val="nl-BE"/>
        </w:rPr>
        <w:t xml:space="preserve">, stuurde </w:t>
      </w:r>
      <w:r w:rsidR="00050A6B" w:rsidRPr="00D9172E">
        <w:rPr>
          <w:rFonts w:ascii="Calibri" w:hAnsi="Calibri" w:cs="Arial"/>
          <w:lang w:val="nl-BE"/>
        </w:rPr>
        <w:t>Turtelboom</w:t>
      </w:r>
      <w:r w:rsidR="002F19AB" w:rsidRPr="00D9172E">
        <w:rPr>
          <w:rFonts w:ascii="Calibri" w:hAnsi="Calibri" w:cs="Arial"/>
          <w:lang w:val="nl-BE"/>
        </w:rPr>
        <w:t xml:space="preserve"> een hernieuwde versie rond</w:t>
      </w:r>
      <w:r w:rsidR="00506471" w:rsidRPr="00D9172E">
        <w:rPr>
          <w:rStyle w:val="Voetnootmarkering"/>
          <w:rFonts w:ascii="Calibri" w:hAnsi="Calibri" w:cs="Arial"/>
          <w:lang w:val="nl-BE"/>
        </w:rPr>
        <w:footnoteReference w:id="71"/>
      </w:r>
      <w:r w:rsidR="002F19AB" w:rsidRPr="00D9172E">
        <w:rPr>
          <w:rFonts w:ascii="Calibri" w:hAnsi="Calibri" w:cs="Arial"/>
          <w:lang w:val="nl-BE"/>
        </w:rPr>
        <w:t xml:space="preserve">. Ondanks het feit dat de krachtlijnen </w:t>
      </w:r>
      <w:r w:rsidR="00E45BCF">
        <w:rPr>
          <w:rFonts w:ascii="Calibri" w:hAnsi="Calibri" w:cs="Arial"/>
          <w:lang w:val="nl-BE"/>
        </w:rPr>
        <w:t>de</w:t>
      </w:r>
      <w:r w:rsidR="002F19AB" w:rsidRPr="00D9172E">
        <w:rPr>
          <w:rFonts w:ascii="Calibri" w:hAnsi="Calibri" w:cs="Arial"/>
          <w:lang w:val="nl-BE"/>
        </w:rPr>
        <w:t xml:space="preserve">zelfde waren, slaagde die omzendbrief er toch in om het aantal annulatieberoepen af te vlakken: </w:t>
      </w:r>
      <w:r w:rsidR="00D83E08" w:rsidRPr="00D9172E">
        <w:rPr>
          <w:rFonts w:ascii="Calibri" w:hAnsi="Calibri" w:cs="Arial"/>
          <w:lang w:val="nl-BE"/>
        </w:rPr>
        <w:t xml:space="preserve">er </w:t>
      </w:r>
      <w:r w:rsidR="00AF6E44" w:rsidRPr="00D9172E">
        <w:rPr>
          <w:rFonts w:ascii="Calibri" w:hAnsi="Calibri" w:cs="Arial"/>
          <w:lang w:val="nl-BE"/>
        </w:rPr>
        <w:t xml:space="preserve">werd </w:t>
      </w:r>
      <w:r w:rsidR="00D83E08" w:rsidRPr="00D9172E">
        <w:rPr>
          <w:rFonts w:ascii="Calibri" w:hAnsi="Calibri" w:cs="Arial"/>
          <w:lang w:val="nl-BE"/>
        </w:rPr>
        <w:t xml:space="preserve">meer de nadruk gelegd op de </w:t>
      </w:r>
      <w:r w:rsidR="00AF6E44" w:rsidRPr="00D9172E">
        <w:rPr>
          <w:rFonts w:ascii="Calibri" w:hAnsi="Calibri" w:cs="Arial"/>
          <w:lang w:val="nl-BE"/>
        </w:rPr>
        <w:t>motivering van het globaal advies</w:t>
      </w:r>
      <w:r w:rsidR="00C52CDC">
        <w:rPr>
          <w:rStyle w:val="Voetnootmarkering"/>
          <w:rFonts w:ascii="Calibri" w:hAnsi="Calibri" w:cs="Arial"/>
          <w:lang w:val="nl-BE"/>
        </w:rPr>
        <w:footnoteReference w:id="72"/>
      </w:r>
      <w:r w:rsidR="00AF6E44" w:rsidRPr="00D9172E">
        <w:rPr>
          <w:rFonts w:ascii="Calibri" w:hAnsi="Calibri" w:cs="Arial"/>
          <w:lang w:val="nl-BE"/>
        </w:rPr>
        <w:t xml:space="preserve"> en daaruit voortkomend verklaarde de Raad van State de vordering enkel nog gegrond indien </w:t>
      </w:r>
      <w:r w:rsidR="00AB1055" w:rsidRPr="00D9172E">
        <w:rPr>
          <w:rFonts w:ascii="Calibri" w:hAnsi="Calibri" w:cs="Arial"/>
          <w:lang w:val="nl-BE"/>
        </w:rPr>
        <w:t>de motivatie</w:t>
      </w:r>
      <w:r w:rsidR="003E4A6D" w:rsidRPr="00D9172E">
        <w:rPr>
          <w:rFonts w:ascii="Calibri" w:hAnsi="Calibri" w:cs="Arial"/>
          <w:lang w:val="nl-BE"/>
        </w:rPr>
        <w:t xml:space="preserve"> een onredelijke afspiegeling zou zijn</w:t>
      </w:r>
      <w:r w:rsidR="00AB1055" w:rsidRPr="00D9172E">
        <w:rPr>
          <w:rFonts w:ascii="Calibri" w:hAnsi="Calibri" w:cs="Arial"/>
          <w:lang w:val="nl-BE"/>
        </w:rPr>
        <w:t xml:space="preserve"> van de kwaliteiten van de kandidaten</w:t>
      </w:r>
      <w:r w:rsidR="007C238B" w:rsidRPr="00D9172E">
        <w:rPr>
          <w:rStyle w:val="Voetnootmarkering"/>
          <w:rFonts w:ascii="Calibri" w:hAnsi="Calibri" w:cs="Arial"/>
          <w:lang w:val="nl-BE"/>
        </w:rPr>
        <w:footnoteReference w:id="73"/>
      </w:r>
      <w:r w:rsidR="00AF6E44" w:rsidRPr="00D9172E">
        <w:rPr>
          <w:rFonts w:ascii="Calibri" w:hAnsi="Calibri" w:cs="Arial"/>
          <w:lang w:val="nl-BE"/>
        </w:rPr>
        <w:t xml:space="preserve">. </w:t>
      </w:r>
      <w:r w:rsidR="003342E6" w:rsidRPr="00D9172E">
        <w:rPr>
          <w:rFonts w:ascii="Calibri" w:hAnsi="Calibri" w:cs="Arial"/>
          <w:lang w:val="nl-BE"/>
        </w:rPr>
        <w:t xml:space="preserve">Nochtans is deze omzendbrief ook het voorwerp geweest van een </w:t>
      </w:r>
      <w:r w:rsidR="0084537B" w:rsidRPr="00D9172E">
        <w:rPr>
          <w:rFonts w:ascii="Calibri" w:hAnsi="Calibri" w:cs="Arial"/>
          <w:lang w:val="nl-BE"/>
        </w:rPr>
        <w:t xml:space="preserve">beduidend </w:t>
      </w:r>
      <w:r w:rsidR="003342E6" w:rsidRPr="00D9172E">
        <w:rPr>
          <w:rFonts w:ascii="Calibri" w:hAnsi="Calibri" w:cs="Arial"/>
          <w:lang w:val="nl-BE"/>
        </w:rPr>
        <w:t>aantal procedures</w:t>
      </w:r>
      <w:r w:rsidR="008721BB" w:rsidRPr="00D9172E">
        <w:rPr>
          <w:rFonts w:ascii="Calibri" w:hAnsi="Calibri" w:cs="Arial"/>
          <w:lang w:val="nl-BE"/>
        </w:rPr>
        <w:t xml:space="preserve"> voor de Raad van State</w:t>
      </w:r>
      <w:r w:rsidR="008D128F" w:rsidRPr="00D9172E">
        <w:rPr>
          <w:rStyle w:val="Voetnootmarkering"/>
          <w:rFonts w:ascii="Calibri" w:hAnsi="Calibri" w:cs="Arial"/>
          <w:lang w:val="nl-BE"/>
        </w:rPr>
        <w:footnoteReference w:id="74"/>
      </w:r>
      <w:r w:rsidR="003342E6" w:rsidRPr="00D9172E">
        <w:rPr>
          <w:rFonts w:ascii="Calibri" w:hAnsi="Calibri" w:cs="Arial"/>
          <w:lang w:val="nl-BE"/>
        </w:rPr>
        <w:t>, maar hier wordt niet verder op ingegaan.</w:t>
      </w:r>
    </w:p>
    <w:p w14:paraId="6B8324FB" w14:textId="77777777" w:rsidR="00E5790D" w:rsidRDefault="00E5790D" w:rsidP="002532B7">
      <w:pPr>
        <w:spacing w:line="276" w:lineRule="auto"/>
        <w:rPr>
          <w:rFonts w:ascii="Calibri" w:hAnsi="Calibri" w:cs="Arial"/>
          <w:lang w:val="nl-BE"/>
        </w:rPr>
      </w:pPr>
    </w:p>
    <w:p w14:paraId="42044BDE" w14:textId="77777777" w:rsidR="00D80194" w:rsidRDefault="00D80194" w:rsidP="002532B7">
      <w:pPr>
        <w:pStyle w:val="Kop3"/>
        <w:spacing w:line="276" w:lineRule="auto"/>
        <w:rPr>
          <w:lang w:val="nl-BE"/>
        </w:rPr>
      </w:pPr>
    </w:p>
    <w:p w14:paraId="42D60295" w14:textId="62760084" w:rsidR="00FF30A3" w:rsidRDefault="001B44A2" w:rsidP="002532B7">
      <w:pPr>
        <w:pStyle w:val="Kop3"/>
        <w:spacing w:line="276" w:lineRule="auto"/>
        <w:rPr>
          <w:lang w:val="nl-BE"/>
        </w:rPr>
      </w:pPr>
      <w:bookmarkStart w:id="15" w:name="_Toc40689954"/>
      <w:r>
        <w:rPr>
          <w:lang w:val="nl-BE"/>
        </w:rPr>
        <w:t xml:space="preserve">Afdeling III: </w:t>
      </w:r>
      <w:r w:rsidR="00FF30A3">
        <w:rPr>
          <w:lang w:val="nl-BE"/>
        </w:rPr>
        <w:t>Huidige situatie</w:t>
      </w:r>
      <w:bookmarkEnd w:id="15"/>
    </w:p>
    <w:p w14:paraId="272DDC22" w14:textId="77777777" w:rsidR="00FF30A3" w:rsidRPr="00D9172E" w:rsidRDefault="00FF30A3" w:rsidP="002532B7">
      <w:pPr>
        <w:spacing w:line="276" w:lineRule="auto"/>
        <w:rPr>
          <w:rFonts w:ascii="Calibri" w:hAnsi="Calibri" w:cs="Arial"/>
          <w:lang w:val="nl-BE"/>
        </w:rPr>
      </w:pPr>
    </w:p>
    <w:p w14:paraId="0B6AC971" w14:textId="3D798DDB" w:rsidR="00D7636D" w:rsidRPr="00D9172E" w:rsidRDefault="00442C6A" w:rsidP="00C75526">
      <w:pPr>
        <w:spacing w:line="276" w:lineRule="auto"/>
        <w:jc w:val="both"/>
        <w:rPr>
          <w:rFonts w:ascii="Calibri" w:hAnsi="Calibri" w:cs="Arial"/>
          <w:lang w:val="nl-BE"/>
        </w:rPr>
      </w:pPr>
      <w:r w:rsidRPr="005D3C3E">
        <w:rPr>
          <w:rFonts w:ascii="Calibri" w:hAnsi="Calibri" w:cs="Arial"/>
          <w:b/>
          <w:lang w:val="nl-BE"/>
        </w:rPr>
        <w:t>3</w:t>
      </w:r>
      <w:r w:rsidR="005D3C3E">
        <w:rPr>
          <w:rFonts w:ascii="Calibri" w:hAnsi="Calibri" w:cs="Arial"/>
          <w:b/>
          <w:lang w:val="nl-BE"/>
        </w:rPr>
        <w:t>1</w:t>
      </w:r>
      <w:r w:rsidR="00BE32AE" w:rsidRPr="00D9172E">
        <w:rPr>
          <w:rFonts w:ascii="Calibri" w:hAnsi="Calibri" w:cs="Arial"/>
          <w:lang w:val="nl-BE"/>
        </w:rPr>
        <w:t>.</w:t>
      </w:r>
      <w:r w:rsidR="00B23239" w:rsidRPr="00D9172E">
        <w:rPr>
          <w:rFonts w:ascii="Calibri" w:hAnsi="Calibri" w:cs="Arial"/>
          <w:lang w:val="nl-BE"/>
        </w:rPr>
        <w:t xml:space="preserve">Sinds de hervorming van 2014 </w:t>
      </w:r>
      <w:r w:rsidR="00726AD9" w:rsidRPr="00D9172E">
        <w:rPr>
          <w:rFonts w:ascii="Calibri" w:hAnsi="Calibri" w:cs="Arial"/>
          <w:lang w:val="nl-BE"/>
        </w:rPr>
        <w:t>is er geen sprake meer van één ben</w:t>
      </w:r>
      <w:r w:rsidR="00C334AF" w:rsidRPr="00D9172E">
        <w:rPr>
          <w:rFonts w:ascii="Calibri" w:hAnsi="Calibri" w:cs="Arial"/>
          <w:lang w:val="nl-BE"/>
        </w:rPr>
        <w:t>oemingscommissie, maar w</w:t>
      </w:r>
      <w:r w:rsidR="00735074">
        <w:rPr>
          <w:rFonts w:ascii="Calibri" w:hAnsi="Calibri" w:cs="Arial"/>
          <w:lang w:val="nl-BE"/>
        </w:rPr>
        <w:t>e</w:t>
      </w:r>
      <w:r w:rsidR="00C334AF" w:rsidRPr="00D9172E">
        <w:rPr>
          <w:rFonts w:ascii="Calibri" w:hAnsi="Calibri" w:cs="Arial"/>
          <w:lang w:val="nl-BE"/>
        </w:rPr>
        <w:t>rden er –</w:t>
      </w:r>
      <w:r w:rsidR="00E45BCF">
        <w:rPr>
          <w:rFonts w:ascii="Calibri" w:hAnsi="Calibri" w:cs="Arial"/>
          <w:lang w:val="nl-BE"/>
        </w:rPr>
        <w:t xml:space="preserve"> weinig verrassend </w:t>
      </w:r>
      <w:r w:rsidR="00C334AF" w:rsidRPr="00D9172E">
        <w:rPr>
          <w:rFonts w:ascii="Calibri" w:hAnsi="Calibri" w:cs="Arial"/>
          <w:lang w:val="nl-BE"/>
        </w:rPr>
        <w:t xml:space="preserve">onder invloed van de Vlaams-nationalistische partijen, zo blijkt </w:t>
      </w:r>
      <w:r w:rsidR="008D128F" w:rsidRPr="00D9172E">
        <w:rPr>
          <w:rFonts w:ascii="Calibri" w:hAnsi="Calibri" w:cs="Arial"/>
          <w:lang w:val="nl-BE"/>
        </w:rPr>
        <w:t>uit de parlementaire historiek</w:t>
      </w:r>
      <w:r w:rsidR="008964A0" w:rsidRPr="00D9172E">
        <w:rPr>
          <w:rStyle w:val="Voetnootmarkering"/>
          <w:rFonts w:ascii="Calibri" w:hAnsi="Calibri" w:cs="Arial"/>
          <w:lang w:val="nl-BE"/>
        </w:rPr>
        <w:footnoteReference w:id="75"/>
      </w:r>
      <w:r w:rsidR="00E45BCF">
        <w:rPr>
          <w:rFonts w:ascii="Calibri" w:hAnsi="Calibri" w:cs="Arial"/>
          <w:lang w:val="nl-BE"/>
        </w:rPr>
        <w:t xml:space="preserve"> </w:t>
      </w:r>
      <w:r w:rsidR="00C334AF" w:rsidRPr="00D9172E">
        <w:rPr>
          <w:rFonts w:ascii="Calibri" w:hAnsi="Calibri" w:cs="Arial"/>
          <w:lang w:val="nl-BE"/>
        </w:rPr>
        <w:t>– een Nederlandstalige</w:t>
      </w:r>
      <w:r w:rsidR="00726AD9" w:rsidRPr="00D9172E">
        <w:rPr>
          <w:rFonts w:ascii="Calibri" w:hAnsi="Calibri" w:cs="Arial"/>
          <w:lang w:val="nl-BE"/>
        </w:rPr>
        <w:t xml:space="preserve"> en een Fra</w:t>
      </w:r>
      <w:r w:rsidR="002A1F98" w:rsidRPr="00D9172E">
        <w:rPr>
          <w:rFonts w:ascii="Calibri" w:hAnsi="Calibri" w:cs="Arial"/>
          <w:lang w:val="nl-BE"/>
        </w:rPr>
        <w:t>nstalige commissie opgericht</w:t>
      </w:r>
      <w:r w:rsidR="00D7636D" w:rsidRPr="00D9172E">
        <w:rPr>
          <w:rFonts w:ascii="Calibri" w:hAnsi="Calibri" w:cs="Arial"/>
          <w:lang w:val="nl-BE"/>
        </w:rPr>
        <w:t>.</w:t>
      </w:r>
    </w:p>
    <w:p w14:paraId="2E92D29C" w14:textId="561950B0" w:rsidR="00E76EBB" w:rsidRPr="00D9172E" w:rsidRDefault="002A1F98" w:rsidP="0079080D">
      <w:pPr>
        <w:spacing w:line="276" w:lineRule="auto"/>
        <w:jc w:val="both"/>
        <w:rPr>
          <w:rFonts w:ascii="Calibri" w:hAnsi="Calibri" w:cs="Arial"/>
          <w:lang w:val="nl-BE"/>
        </w:rPr>
      </w:pPr>
      <w:r w:rsidRPr="00D9172E">
        <w:rPr>
          <w:rFonts w:ascii="Calibri" w:hAnsi="Calibri" w:cs="Arial"/>
          <w:lang w:val="nl-BE"/>
        </w:rPr>
        <w:t xml:space="preserve">Deze vormen </w:t>
      </w:r>
      <w:r w:rsidR="00726AD9" w:rsidRPr="00D9172E">
        <w:rPr>
          <w:rFonts w:ascii="Calibri" w:hAnsi="Calibri" w:cs="Arial"/>
          <w:lang w:val="nl-BE"/>
        </w:rPr>
        <w:t xml:space="preserve">samen de verenigde benoemingscommissie voor </w:t>
      </w:r>
      <w:r w:rsidRPr="00D9172E">
        <w:rPr>
          <w:rFonts w:ascii="Calibri" w:hAnsi="Calibri" w:cs="Arial"/>
          <w:lang w:val="nl-BE"/>
        </w:rPr>
        <w:t>gerechtsdeurwaarders</w:t>
      </w:r>
      <w:r w:rsidR="00726AD9" w:rsidRPr="00D9172E">
        <w:rPr>
          <w:rFonts w:ascii="Calibri" w:hAnsi="Calibri" w:cs="Arial"/>
          <w:lang w:val="nl-BE"/>
        </w:rPr>
        <w:t>.</w:t>
      </w:r>
      <w:r w:rsidR="00D7636D" w:rsidRPr="00D9172E">
        <w:rPr>
          <w:rStyle w:val="Voetnootmarkering"/>
          <w:rFonts w:ascii="Calibri" w:hAnsi="Calibri" w:cs="Arial"/>
          <w:lang w:val="nl-BE"/>
        </w:rPr>
        <w:footnoteReference w:id="76"/>
      </w:r>
      <w:r w:rsidR="00C334AF" w:rsidRPr="00D9172E">
        <w:rPr>
          <w:rFonts w:ascii="Calibri" w:hAnsi="Calibri" w:cs="Arial"/>
          <w:lang w:val="nl-BE"/>
        </w:rPr>
        <w:t xml:space="preserve"> </w:t>
      </w:r>
      <w:r w:rsidR="00726AD9" w:rsidRPr="00D9172E">
        <w:rPr>
          <w:rFonts w:ascii="Calibri" w:hAnsi="Calibri" w:cs="Arial"/>
          <w:lang w:val="nl-BE"/>
        </w:rPr>
        <w:t xml:space="preserve">Elke benoemingscommissie is vanzelfsprekend bevoegd voor benoemingen van gerechtsdeurwaarders binnen de arrondissementen in </w:t>
      </w:r>
      <w:r w:rsidR="00041C65" w:rsidRPr="00D9172E">
        <w:rPr>
          <w:rFonts w:ascii="Calibri" w:hAnsi="Calibri" w:cs="Arial"/>
          <w:lang w:val="nl-BE"/>
        </w:rPr>
        <w:t xml:space="preserve">respectievelijk </w:t>
      </w:r>
      <w:r w:rsidR="00726AD9" w:rsidRPr="00D9172E">
        <w:rPr>
          <w:rFonts w:ascii="Calibri" w:hAnsi="Calibri" w:cs="Arial"/>
          <w:lang w:val="nl-BE"/>
        </w:rPr>
        <w:t xml:space="preserve">het Vlaams Gewest </w:t>
      </w:r>
      <w:r w:rsidR="00041C65" w:rsidRPr="00D9172E">
        <w:rPr>
          <w:rFonts w:ascii="Calibri" w:hAnsi="Calibri" w:cs="Arial"/>
          <w:lang w:val="nl-BE"/>
        </w:rPr>
        <w:t>en het Waals</w:t>
      </w:r>
      <w:r w:rsidR="00E07857" w:rsidRPr="00D9172E">
        <w:rPr>
          <w:rFonts w:ascii="Calibri" w:hAnsi="Calibri" w:cs="Arial"/>
          <w:lang w:val="nl-BE"/>
        </w:rPr>
        <w:t>e Gewest. Niettegenstaande baseert men zich v</w:t>
      </w:r>
      <w:r w:rsidR="00F83558" w:rsidRPr="00D9172E">
        <w:rPr>
          <w:rFonts w:ascii="Calibri" w:hAnsi="Calibri" w:cs="Arial"/>
          <w:lang w:val="nl-BE"/>
        </w:rPr>
        <w:t>oor de benoeming van kandidaat</w:t>
      </w:r>
      <w:r w:rsidR="00041C65" w:rsidRPr="00D9172E">
        <w:rPr>
          <w:rFonts w:ascii="Calibri" w:hAnsi="Calibri" w:cs="Arial"/>
          <w:lang w:val="nl-BE"/>
        </w:rPr>
        <w:t xml:space="preserve">-gerechtsdeurwaarders op </w:t>
      </w:r>
      <w:r w:rsidR="00E07857" w:rsidRPr="00D9172E">
        <w:rPr>
          <w:rFonts w:ascii="Calibri" w:hAnsi="Calibri" w:cs="Arial"/>
          <w:lang w:val="nl-BE"/>
        </w:rPr>
        <w:t>de taal waarin zijn</w:t>
      </w:r>
      <w:r w:rsidR="00631D5D">
        <w:rPr>
          <w:rFonts w:ascii="Calibri" w:hAnsi="Calibri" w:cs="Arial"/>
          <w:lang w:val="nl-BE"/>
        </w:rPr>
        <w:t xml:space="preserve"> of </w:t>
      </w:r>
      <w:r w:rsidR="00E07857" w:rsidRPr="00D9172E">
        <w:rPr>
          <w:rFonts w:ascii="Calibri" w:hAnsi="Calibri" w:cs="Arial"/>
          <w:lang w:val="nl-BE"/>
        </w:rPr>
        <w:t>haar rechtendiploma is opgesteld</w:t>
      </w:r>
      <w:r w:rsidR="00F83558" w:rsidRPr="00D9172E">
        <w:rPr>
          <w:rStyle w:val="Voetnootmarkering"/>
          <w:rFonts w:ascii="Calibri" w:hAnsi="Calibri" w:cs="Arial"/>
          <w:lang w:val="nl-BE"/>
        </w:rPr>
        <w:footnoteReference w:id="77"/>
      </w:r>
      <w:r w:rsidR="00E07857" w:rsidRPr="00D9172E">
        <w:rPr>
          <w:rFonts w:ascii="Calibri" w:hAnsi="Calibri" w:cs="Arial"/>
          <w:lang w:val="nl-BE"/>
        </w:rPr>
        <w:t>.</w:t>
      </w:r>
      <w:r w:rsidR="007F6E5F" w:rsidRPr="00D9172E">
        <w:rPr>
          <w:rFonts w:ascii="Calibri" w:hAnsi="Calibri" w:cs="Arial"/>
          <w:lang w:val="nl-BE"/>
        </w:rPr>
        <w:br/>
      </w:r>
      <w:r w:rsidR="007F6E5F" w:rsidRPr="00D9172E">
        <w:rPr>
          <w:rFonts w:ascii="Calibri" w:hAnsi="Calibri" w:cs="Arial"/>
          <w:lang w:val="nl-BE"/>
        </w:rPr>
        <w:br/>
      </w:r>
      <w:r w:rsidR="005D3C3E">
        <w:rPr>
          <w:rFonts w:ascii="Calibri" w:hAnsi="Calibri" w:cs="Arial"/>
          <w:b/>
          <w:lang w:val="nl-BE"/>
        </w:rPr>
        <w:t>32.</w:t>
      </w:r>
      <w:r w:rsidR="007F6E5F" w:rsidRPr="00D9172E">
        <w:rPr>
          <w:rFonts w:ascii="Calibri" w:hAnsi="Calibri" w:cs="Arial"/>
          <w:lang w:val="nl-BE"/>
        </w:rPr>
        <w:t>Elke benoemingscommissie bestaat uit een magistraat, drie gerechtsdeurwaarders en een extern lid, d</w:t>
      </w:r>
      <w:r w:rsidR="00574C9E">
        <w:rPr>
          <w:rFonts w:ascii="Calibri" w:hAnsi="Calibri" w:cs="Arial"/>
          <w:lang w:val="nl-BE"/>
        </w:rPr>
        <w:t>at</w:t>
      </w:r>
      <w:r w:rsidR="007F6E5F" w:rsidRPr="00D9172E">
        <w:rPr>
          <w:rFonts w:ascii="Calibri" w:hAnsi="Calibri" w:cs="Arial"/>
          <w:lang w:val="nl-BE"/>
        </w:rPr>
        <w:t xml:space="preserve"> uiteraard over relevante beroepservaring dient te beschikken</w:t>
      </w:r>
      <w:r w:rsidR="009A4F59" w:rsidRPr="00D9172E">
        <w:rPr>
          <w:rStyle w:val="Voetnootmarkering"/>
          <w:rFonts w:ascii="Calibri" w:hAnsi="Calibri" w:cs="Arial"/>
          <w:lang w:val="nl-BE"/>
        </w:rPr>
        <w:footnoteReference w:id="78"/>
      </w:r>
      <w:r w:rsidR="007F6E5F" w:rsidRPr="00D9172E">
        <w:rPr>
          <w:rFonts w:ascii="Calibri" w:hAnsi="Calibri" w:cs="Arial"/>
          <w:lang w:val="nl-BE"/>
        </w:rPr>
        <w:t xml:space="preserve">. </w:t>
      </w:r>
      <w:r w:rsidR="00FF4790" w:rsidRPr="00D9172E">
        <w:rPr>
          <w:rFonts w:ascii="Calibri" w:hAnsi="Calibri" w:cs="Arial"/>
          <w:lang w:val="nl-BE"/>
        </w:rPr>
        <w:t>Uit de parlementaire stukken blijkt dat d</w:t>
      </w:r>
      <w:r w:rsidR="00816AC7" w:rsidRPr="00D9172E">
        <w:rPr>
          <w:rFonts w:ascii="Calibri" w:hAnsi="Calibri" w:cs="Arial"/>
          <w:lang w:val="nl-BE"/>
        </w:rPr>
        <w:t xml:space="preserve">e wetgever er bewust voor gekozen </w:t>
      </w:r>
      <w:r w:rsidR="00C94510" w:rsidRPr="00D9172E">
        <w:rPr>
          <w:rFonts w:ascii="Calibri" w:hAnsi="Calibri" w:cs="Arial"/>
          <w:lang w:val="nl-BE"/>
        </w:rPr>
        <w:t xml:space="preserve">heeft </w:t>
      </w:r>
      <w:r w:rsidR="00816AC7" w:rsidRPr="00D9172E">
        <w:rPr>
          <w:rFonts w:ascii="Calibri" w:hAnsi="Calibri" w:cs="Arial"/>
          <w:lang w:val="nl-BE"/>
        </w:rPr>
        <w:t xml:space="preserve">om </w:t>
      </w:r>
      <w:r w:rsidR="00BE712A" w:rsidRPr="00D9172E">
        <w:rPr>
          <w:rFonts w:ascii="Calibri" w:hAnsi="Calibri" w:cs="Arial"/>
          <w:lang w:val="nl-BE"/>
        </w:rPr>
        <w:t xml:space="preserve">geen kandidaat-gerechtsdeurwaarder </w:t>
      </w:r>
      <w:r w:rsidR="00FF4790" w:rsidRPr="00D9172E">
        <w:rPr>
          <w:rFonts w:ascii="Calibri" w:hAnsi="Calibri" w:cs="Arial"/>
          <w:lang w:val="nl-BE"/>
        </w:rPr>
        <w:t>te voorzien in de benoemingscommissie “</w:t>
      </w:r>
      <w:r w:rsidR="00FF4790" w:rsidRPr="00D9172E">
        <w:rPr>
          <w:rFonts w:ascii="Calibri" w:hAnsi="Calibri" w:cs="Arial"/>
          <w:i/>
        </w:rPr>
        <w:t xml:space="preserve">omdat in de praktijk blijkt dat vele kandidaten postuleren voor iedere openvallende plaats, waardoor de </w:t>
      </w:r>
      <w:proofErr w:type="spellStart"/>
      <w:r w:rsidR="00FF4790" w:rsidRPr="00D9172E">
        <w:rPr>
          <w:rFonts w:ascii="Calibri" w:hAnsi="Calibri" w:cs="Arial"/>
          <w:i/>
        </w:rPr>
        <w:t>reële</w:t>
      </w:r>
      <w:proofErr w:type="spellEnd"/>
      <w:r w:rsidR="00FF4790" w:rsidRPr="00D9172E">
        <w:rPr>
          <w:rFonts w:ascii="Calibri" w:hAnsi="Calibri" w:cs="Arial"/>
          <w:i/>
        </w:rPr>
        <w:t xml:space="preserve"> vrees bestaat, dat het moeilijk wordt om een kandidaat te vinden die wenst te zetelen en niet telkens met een</w:t>
      </w:r>
      <w:r w:rsidR="00C326A1">
        <w:rPr>
          <w:rFonts w:ascii="Calibri" w:hAnsi="Calibri" w:cs="Arial"/>
          <w:i/>
        </w:rPr>
        <w:t xml:space="preserve"> </w:t>
      </w:r>
      <w:r w:rsidR="00FF4790" w:rsidRPr="00D9172E">
        <w:rPr>
          <w:rFonts w:ascii="Calibri" w:hAnsi="Calibri" w:cs="Arial"/>
          <w:i/>
        </w:rPr>
        <w:t>belangencon</w:t>
      </w:r>
      <w:r w:rsidR="00884170">
        <w:rPr>
          <w:rFonts w:ascii="Calibri" w:hAnsi="Calibri" w:cs="Arial"/>
          <w:i/>
        </w:rPr>
        <w:t>flict geconfronteerd zal worden</w:t>
      </w:r>
      <w:r w:rsidR="00C03408" w:rsidRPr="00D9172E">
        <w:rPr>
          <w:rStyle w:val="Voetnootmarkering"/>
          <w:rFonts w:ascii="Calibri" w:hAnsi="Calibri" w:cs="Arial"/>
          <w:i/>
        </w:rPr>
        <w:footnoteReference w:id="79"/>
      </w:r>
      <w:r w:rsidR="00884170">
        <w:rPr>
          <w:rFonts w:ascii="Calibri" w:hAnsi="Calibri" w:cs="Arial"/>
          <w:i/>
        </w:rPr>
        <w:t>.”</w:t>
      </w:r>
      <w:r w:rsidR="007F6E5F" w:rsidRPr="00D9172E">
        <w:rPr>
          <w:rFonts w:ascii="Calibri" w:hAnsi="Calibri" w:cs="Arial"/>
        </w:rPr>
        <w:br/>
        <w:t xml:space="preserve">Zoals </w:t>
      </w:r>
      <w:r w:rsidR="0079080D">
        <w:rPr>
          <w:rFonts w:ascii="Calibri" w:hAnsi="Calibri" w:cs="Arial"/>
        </w:rPr>
        <w:t>eerder</w:t>
      </w:r>
      <w:r w:rsidR="009D26F7" w:rsidRPr="00D9172E">
        <w:rPr>
          <w:rFonts w:ascii="Calibri" w:hAnsi="Calibri" w:cs="Arial"/>
        </w:rPr>
        <w:t xml:space="preserve"> </w:t>
      </w:r>
      <w:r w:rsidR="00E5790D" w:rsidRPr="00D9172E">
        <w:rPr>
          <w:rFonts w:ascii="Calibri" w:hAnsi="Calibri" w:cs="Arial"/>
        </w:rPr>
        <w:t>uiteengezet</w:t>
      </w:r>
      <w:r w:rsidR="0079080D">
        <w:rPr>
          <w:rStyle w:val="Voetnootmarkering"/>
          <w:rFonts w:ascii="Calibri" w:hAnsi="Calibri" w:cs="Arial"/>
        </w:rPr>
        <w:footnoteReference w:id="80"/>
      </w:r>
      <w:r w:rsidR="007F6E5F" w:rsidRPr="00D9172E">
        <w:rPr>
          <w:rFonts w:ascii="Calibri" w:hAnsi="Calibri" w:cs="Arial"/>
        </w:rPr>
        <w:t xml:space="preserve"> </w:t>
      </w:r>
      <w:r w:rsidR="0079080D">
        <w:rPr>
          <w:rFonts w:ascii="Calibri" w:hAnsi="Calibri" w:cs="Arial"/>
        </w:rPr>
        <w:t xml:space="preserve"> </w:t>
      </w:r>
      <w:r w:rsidR="007F6E5F" w:rsidRPr="00D9172E">
        <w:rPr>
          <w:rFonts w:ascii="Calibri" w:hAnsi="Calibri" w:cs="Arial"/>
        </w:rPr>
        <w:t>heeft het verleden blijk gegeven van afgunst en jaloezie tussen kandida</w:t>
      </w:r>
      <w:r w:rsidR="0079080D">
        <w:rPr>
          <w:rFonts w:ascii="Calibri" w:hAnsi="Calibri" w:cs="Arial"/>
        </w:rPr>
        <w:t>at</w:t>
      </w:r>
      <w:r w:rsidR="007F6E5F" w:rsidRPr="00D9172E">
        <w:rPr>
          <w:rFonts w:ascii="Calibri" w:hAnsi="Calibri" w:cs="Arial"/>
        </w:rPr>
        <w:t>-gerechtsdeurwaarders onderling, waardoor dit mijns inziens een goede wetgevende handeling geweest is</w:t>
      </w:r>
      <w:r w:rsidR="00772887" w:rsidRPr="00D9172E">
        <w:rPr>
          <w:rFonts w:ascii="Calibri" w:hAnsi="Calibri" w:cs="Arial"/>
        </w:rPr>
        <w:t xml:space="preserve"> om de onpartijdigheid te kunnen verzekeren.</w:t>
      </w:r>
      <w:r w:rsidR="00E76EBB" w:rsidRPr="00D9172E">
        <w:rPr>
          <w:rFonts w:ascii="Calibri" w:hAnsi="Calibri" w:cs="Arial"/>
          <w:i/>
        </w:rPr>
        <w:br/>
      </w:r>
      <w:r w:rsidR="00CF35E3" w:rsidRPr="00D9172E">
        <w:rPr>
          <w:rFonts w:ascii="Calibri" w:hAnsi="Calibri" w:cs="Arial"/>
          <w:i/>
        </w:rPr>
        <w:br/>
      </w:r>
      <w:r w:rsidR="00442C6A" w:rsidRPr="005D3C3E">
        <w:rPr>
          <w:rFonts w:ascii="Calibri" w:hAnsi="Calibri" w:cs="Arial"/>
          <w:b/>
        </w:rPr>
        <w:t>33</w:t>
      </w:r>
      <w:r w:rsidR="00BE32AE" w:rsidRPr="00D9172E">
        <w:rPr>
          <w:rFonts w:ascii="Calibri" w:hAnsi="Calibri" w:cs="Arial"/>
        </w:rPr>
        <w:t>.</w:t>
      </w:r>
      <w:r w:rsidR="00E05FFF" w:rsidRPr="00D9172E">
        <w:rPr>
          <w:rFonts w:ascii="Calibri" w:hAnsi="Calibri" w:cs="Arial"/>
        </w:rPr>
        <w:t>Om d</w:t>
      </w:r>
      <w:r w:rsidR="00772887" w:rsidRPr="00D9172E">
        <w:rPr>
          <w:rFonts w:ascii="Calibri" w:hAnsi="Calibri" w:cs="Arial"/>
        </w:rPr>
        <w:t>i</w:t>
      </w:r>
      <w:r w:rsidR="00E05FFF" w:rsidRPr="00D9172E">
        <w:rPr>
          <w:rFonts w:ascii="Calibri" w:hAnsi="Calibri" w:cs="Arial"/>
        </w:rPr>
        <w:t>e</w:t>
      </w:r>
      <w:r w:rsidR="00772887" w:rsidRPr="00D9172E">
        <w:rPr>
          <w:rFonts w:ascii="Calibri" w:hAnsi="Calibri" w:cs="Arial"/>
        </w:rPr>
        <w:t>zelfde</w:t>
      </w:r>
      <w:r w:rsidR="00E05FFF" w:rsidRPr="00D9172E">
        <w:rPr>
          <w:rFonts w:ascii="Calibri" w:hAnsi="Calibri" w:cs="Arial"/>
        </w:rPr>
        <w:t xml:space="preserve"> onpartijdigheid, een fundamenteel </w:t>
      </w:r>
      <w:r w:rsidR="00CF35E3" w:rsidRPr="00D9172E">
        <w:rPr>
          <w:rFonts w:ascii="Calibri" w:hAnsi="Calibri" w:cs="Arial"/>
        </w:rPr>
        <w:t>beginsel van behoorlijk bestuur</w:t>
      </w:r>
      <w:r w:rsidR="00E05FFF" w:rsidRPr="00D9172E">
        <w:rPr>
          <w:rFonts w:ascii="Calibri" w:hAnsi="Calibri" w:cs="Arial"/>
        </w:rPr>
        <w:t>,</w:t>
      </w:r>
      <w:r w:rsidR="00CF35E3" w:rsidRPr="00D9172E">
        <w:rPr>
          <w:rFonts w:ascii="Calibri" w:hAnsi="Calibri" w:cs="Arial"/>
        </w:rPr>
        <w:t xml:space="preserve"> </w:t>
      </w:r>
      <w:r w:rsidR="00772887" w:rsidRPr="00D9172E">
        <w:rPr>
          <w:rFonts w:ascii="Calibri" w:hAnsi="Calibri" w:cs="Arial"/>
        </w:rPr>
        <w:t xml:space="preserve">nog verder </w:t>
      </w:r>
      <w:r w:rsidR="00E05FFF" w:rsidRPr="00D9172E">
        <w:rPr>
          <w:rFonts w:ascii="Calibri" w:hAnsi="Calibri" w:cs="Arial"/>
        </w:rPr>
        <w:t>te waarborgen</w:t>
      </w:r>
      <w:r w:rsidR="00CF35E3" w:rsidRPr="00D9172E">
        <w:rPr>
          <w:rFonts w:ascii="Calibri" w:hAnsi="Calibri" w:cs="Arial"/>
        </w:rPr>
        <w:t xml:space="preserve"> wordt het een lid van de benoemingscommissie verboden om mee te beslissen indien er een persoonlijk belang speelt</w:t>
      </w:r>
      <w:r w:rsidR="009A6076" w:rsidRPr="00D9172E">
        <w:rPr>
          <w:rStyle w:val="Voetnootmarkering"/>
          <w:rFonts w:ascii="Calibri" w:hAnsi="Calibri" w:cs="Arial"/>
        </w:rPr>
        <w:footnoteReference w:id="81"/>
      </w:r>
      <w:r w:rsidR="00CF35E3" w:rsidRPr="00D9172E">
        <w:rPr>
          <w:rFonts w:ascii="Calibri" w:hAnsi="Calibri" w:cs="Arial"/>
        </w:rPr>
        <w:t xml:space="preserve">, </w:t>
      </w:r>
      <w:r w:rsidR="006E78F4" w:rsidRPr="00D9172E">
        <w:rPr>
          <w:rFonts w:ascii="Calibri" w:hAnsi="Calibri" w:cs="Arial"/>
        </w:rPr>
        <w:t>bijvoorbeeld bij</w:t>
      </w:r>
      <w:r w:rsidR="00E05FFF" w:rsidRPr="00D9172E">
        <w:rPr>
          <w:rFonts w:ascii="Calibri" w:hAnsi="Calibri" w:cs="Arial"/>
        </w:rPr>
        <w:t xml:space="preserve"> de kandidatuur van</w:t>
      </w:r>
      <w:r w:rsidR="006E78F4" w:rsidRPr="00D9172E">
        <w:rPr>
          <w:rFonts w:ascii="Calibri" w:hAnsi="Calibri" w:cs="Arial"/>
        </w:rPr>
        <w:t xml:space="preserve"> familieleden</w:t>
      </w:r>
      <w:r w:rsidR="00E76EBB" w:rsidRPr="00D9172E">
        <w:rPr>
          <w:rFonts w:ascii="Calibri" w:hAnsi="Calibri" w:cs="Arial"/>
        </w:rPr>
        <w:t xml:space="preserve"> of </w:t>
      </w:r>
      <w:r w:rsidR="0079080D">
        <w:rPr>
          <w:rFonts w:ascii="Calibri" w:hAnsi="Calibri" w:cs="Arial"/>
        </w:rPr>
        <w:t>(</w:t>
      </w:r>
      <w:r w:rsidR="00E76EBB" w:rsidRPr="00D9172E">
        <w:rPr>
          <w:rFonts w:ascii="Calibri" w:hAnsi="Calibri" w:cs="Arial"/>
        </w:rPr>
        <w:t>ex-</w:t>
      </w:r>
      <w:r w:rsidR="0079080D">
        <w:rPr>
          <w:rFonts w:ascii="Calibri" w:hAnsi="Calibri" w:cs="Arial"/>
        </w:rPr>
        <w:t>)</w:t>
      </w:r>
      <w:r w:rsidR="00E76EBB" w:rsidRPr="00D9172E">
        <w:rPr>
          <w:rFonts w:ascii="Calibri" w:hAnsi="Calibri" w:cs="Arial"/>
        </w:rPr>
        <w:t>medewerkers</w:t>
      </w:r>
      <w:r w:rsidR="006E78F4" w:rsidRPr="00D9172E">
        <w:rPr>
          <w:rFonts w:ascii="Calibri" w:hAnsi="Calibri" w:cs="Arial"/>
        </w:rPr>
        <w:t xml:space="preserve">. </w:t>
      </w:r>
      <w:r w:rsidR="00E76EBB" w:rsidRPr="00D9172E">
        <w:rPr>
          <w:rFonts w:ascii="Calibri" w:hAnsi="Calibri" w:cs="Arial"/>
        </w:rPr>
        <w:t xml:space="preserve">Dit spreekt voor zich, maar </w:t>
      </w:r>
      <w:r w:rsidR="00415FA4" w:rsidRPr="00D9172E">
        <w:rPr>
          <w:rFonts w:ascii="Calibri" w:hAnsi="Calibri" w:cs="Arial"/>
        </w:rPr>
        <w:t xml:space="preserve">de wetgever had dit kennelijk over het hoofd gezien bij het opstellen van §5 van artikel 512 </w:t>
      </w:r>
      <w:proofErr w:type="spellStart"/>
      <w:r w:rsidR="00415FA4" w:rsidRPr="00D9172E">
        <w:rPr>
          <w:rFonts w:ascii="Calibri" w:hAnsi="Calibri" w:cs="Arial"/>
        </w:rPr>
        <w:t>Ger.W</w:t>
      </w:r>
      <w:proofErr w:type="spellEnd"/>
      <w:r w:rsidR="00415FA4" w:rsidRPr="00D9172E">
        <w:rPr>
          <w:rFonts w:ascii="Calibri" w:hAnsi="Calibri" w:cs="Arial"/>
        </w:rPr>
        <w:t xml:space="preserve">. Oorspronkelijk was </w:t>
      </w:r>
      <w:r w:rsidR="00F72365" w:rsidRPr="00D9172E">
        <w:rPr>
          <w:rFonts w:ascii="Calibri" w:hAnsi="Calibri" w:cs="Arial"/>
        </w:rPr>
        <w:t xml:space="preserve">de voltalligheid van leden </w:t>
      </w:r>
      <w:r w:rsidR="00415FA4" w:rsidRPr="00D9172E">
        <w:rPr>
          <w:rFonts w:ascii="Calibri" w:hAnsi="Calibri" w:cs="Arial"/>
        </w:rPr>
        <w:t xml:space="preserve">vereist voor het nemen van benoemingsbeslissingen, wat </w:t>
      </w:r>
      <w:r w:rsidR="001266B5" w:rsidRPr="00D9172E">
        <w:rPr>
          <w:rFonts w:ascii="Calibri" w:hAnsi="Calibri" w:cs="Arial"/>
        </w:rPr>
        <w:t>in sommige gevallen dus niet m</w:t>
      </w:r>
      <w:r w:rsidR="00772887" w:rsidRPr="00D9172E">
        <w:rPr>
          <w:rFonts w:ascii="Calibri" w:hAnsi="Calibri" w:cs="Arial"/>
        </w:rPr>
        <w:t>ogelijk was</w:t>
      </w:r>
      <w:r w:rsidR="00415FA4" w:rsidRPr="00D9172E">
        <w:rPr>
          <w:rFonts w:ascii="Calibri" w:hAnsi="Calibri" w:cs="Arial"/>
        </w:rPr>
        <w:t xml:space="preserve"> omwille van het belang </w:t>
      </w:r>
      <w:r w:rsidR="00D46DE7" w:rsidRPr="00D9172E">
        <w:rPr>
          <w:rFonts w:ascii="Calibri" w:hAnsi="Calibri" w:cs="Arial"/>
        </w:rPr>
        <w:t xml:space="preserve">en onverenigbaarheid </w:t>
      </w:r>
      <w:r w:rsidR="00415FA4" w:rsidRPr="00D9172E">
        <w:rPr>
          <w:rFonts w:ascii="Calibri" w:hAnsi="Calibri" w:cs="Arial"/>
        </w:rPr>
        <w:t xml:space="preserve">van een of meerdere leden van de commissie. </w:t>
      </w:r>
      <w:r w:rsidR="001266B5" w:rsidRPr="00D9172E">
        <w:rPr>
          <w:rFonts w:ascii="Calibri" w:hAnsi="Calibri" w:cs="Arial"/>
        </w:rPr>
        <w:t>In</w:t>
      </w:r>
      <w:r w:rsidR="00AB6626" w:rsidRPr="00D9172E">
        <w:rPr>
          <w:rFonts w:ascii="Calibri" w:hAnsi="Calibri" w:cs="Arial"/>
        </w:rPr>
        <w:t xml:space="preserve"> Potpourri III</w:t>
      </w:r>
      <w:r w:rsidR="00E83D24" w:rsidRPr="00D9172E">
        <w:rPr>
          <w:rStyle w:val="Voetnootmarkering"/>
          <w:rFonts w:ascii="Calibri" w:hAnsi="Calibri" w:cs="Arial"/>
        </w:rPr>
        <w:footnoteReference w:id="82"/>
      </w:r>
      <w:r w:rsidR="001266B5" w:rsidRPr="00D9172E">
        <w:rPr>
          <w:rFonts w:ascii="Calibri" w:hAnsi="Calibri" w:cs="Arial"/>
        </w:rPr>
        <w:t xml:space="preserve"> werd hier een mouw aan</w:t>
      </w:r>
      <w:r w:rsidR="00E83D24" w:rsidRPr="00D9172E">
        <w:rPr>
          <w:rFonts w:ascii="Calibri" w:hAnsi="Calibri" w:cs="Arial"/>
        </w:rPr>
        <w:t xml:space="preserve"> </w:t>
      </w:r>
      <w:r w:rsidR="001266B5" w:rsidRPr="00D9172E">
        <w:rPr>
          <w:rFonts w:ascii="Calibri" w:hAnsi="Calibri" w:cs="Arial"/>
        </w:rPr>
        <w:t xml:space="preserve">gepast, </w:t>
      </w:r>
      <w:r w:rsidR="001266B5" w:rsidRPr="00D9172E">
        <w:rPr>
          <w:rFonts w:ascii="Calibri" w:hAnsi="Calibri" w:cs="Arial"/>
        </w:rPr>
        <w:lastRenderedPageBreak/>
        <w:t xml:space="preserve">zodoende dat voortaan een meerderheid van de leden van de commissie </w:t>
      </w:r>
      <w:r w:rsidR="002A6909" w:rsidRPr="00D9172E">
        <w:rPr>
          <w:rFonts w:ascii="Calibri" w:hAnsi="Calibri" w:cs="Arial"/>
        </w:rPr>
        <w:t>vol</w:t>
      </w:r>
      <w:r w:rsidR="0079080D">
        <w:rPr>
          <w:rFonts w:ascii="Calibri" w:hAnsi="Calibri" w:cs="Arial"/>
        </w:rPr>
        <w:t xml:space="preserve">staat </w:t>
      </w:r>
      <w:r w:rsidR="001266B5" w:rsidRPr="00D9172E">
        <w:rPr>
          <w:rFonts w:ascii="Calibri" w:hAnsi="Calibri" w:cs="Arial"/>
        </w:rPr>
        <w:t>om geldig te beraadslagen.</w:t>
      </w:r>
    </w:p>
    <w:p w14:paraId="1B933966" w14:textId="6B632465" w:rsidR="00C75526" w:rsidRDefault="00442C6A" w:rsidP="00C75526">
      <w:pPr>
        <w:pStyle w:val="Normaalweb"/>
        <w:spacing w:line="276" w:lineRule="auto"/>
        <w:jc w:val="both"/>
        <w:rPr>
          <w:rFonts w:ascii="Calibri" w:hAnsi="Calibri" w:cs="Arial"/>
        </w:rPr>
      </w:pPr>
      <w:r w:rsidRPr="005D3C3E">
        <w:rPr>
          <w:rFonts w:ascii="Calibri" w:hAnsi="Calibri" w:cs="Arial"/>
          <w:b/>
        </w:rPr>
        <w:t>34</w:t>
      </w:r>
      <w:r w:rsidR="005D3C3E">
        <w:rPr>
          <w:rFonts w:ascii="Calibri" w:hAnsi="Calibri" w:cs="Arial"/>
        </w:rPr>
        <w:t>.</w:t>
      </w:r>
      <w:r w:rsidR="006E78F4" w:rsidRPr="00D9172E">
        <w:rPr>
          <w:rFonts w:ascii="Calibri" w:hAnsi="Calibri" w:cs="Arial"/>
        </w:rPr>
        <w:t>Ook het vergelijkend examen is er gekomen om elke vorm of mogelijkheid van</w:t>
      </w:r>
      <w:r w:rsidR="00CF35E3" w:rsidRPr="00D9172E">
        <w:rPr>
          <w:rFonts w:ascii="Calibri" w:hAnsi="Calibri" w:cs="Arial"/>
        </w:rPr>
        <w:t xml:space="preserve"> </w:t>
      </w:r>
      <w:r w:rsidR="00AD0D66">
        <w:rPr>
          <w:rFonts w:ascii="Calibri" w:hAnsi="Calibri" w:cs="Arial"/>
        </w:rPr>
        <w:t>“</w:t>
      </w:r>
      <w:r w:rsidR="006E78F4" w:rsidRPr="00D9172E">
        <w:rPr>
          <w:rFonts w:ascii="Calibri" w:hAnsi="Calibri" w:cs="Arial"/>
        </w:rPr>
        <w:t>vriendjespolitiek</w:t>
      </w:r>
      <w:r w:rsidR="00AD0D66">
        <w:rPr>
          <w:rFonts w:ascii="Calibri" w:hAnsi="Calibri" w:cs="Arial"/>
        </w:rPr>
        <w:t>”</w:t>
      </w:r>
      <w:r w:rsidR="006E78F4" w:rsidRPr="00D9172E">
        <w:rPr>
          <w:rFonts w:ascii="Calibri" w:hAnsi="Calibri" w:cs="Arial"/>
        </w:rPr>
        <w:t xml:space="preserve"> uit te sluiten</w:t>
      </w:r>
      <w:r w:rsidR="00BC40BD" w:rsidRPr="00D9172E">
        <w:rPr>
          <w:rFonts w:ascii="Calibri" w:hAnsi="Calibri" w:cs="Arial"/>
        </w:rPr>
        <w:t>, naar analogie met de procedure in het notariaat en de magistratuur</w:t>
      </w:r>
      <w:r w:rsidR="003A0F01" w:rsidRPr="00D9172E">
        <w:rPr>
          <w:rStyle w:val="Voetnootmarkering"/>
          <w:rFonts w:ascii="Calibri" w:hAnsi="Calibri" w:cs="Arial"/>
        </w:rPr>
        <w:footnoteReference w:id="83"/>
      </w:r>
      <w:r w:rsidR="006E78F4" w:rsidRPr="00D9172E">
        <w:rPr>
          <w:rFonts w:ascii="Calibri" w:hAnsi="Calibri" w:cs="Arial"/>
        </w:rPr>
        <w:t>.</w:t>
      </w:r>
      <w:r w:rsidR="00BC40BD" w:rsidRPr="00D9172E">
        <w:rPr>
          <w:rFonts w:ascii="Calibri" w:hAnsi="Calibri" w:cs="Arial"/>
        </w:rPr>
        <w:t xml:space="preserve"> Het is enigszins eige</w:t>
      </w:r>
      <w:r w:rsidR="00FE20F8" w:rsidRPr="00D9172E">
        <w:rPr>
          <w:rFonts w:ascii="Calibri" w:hAnsi="Calibri" w:cs="Arial"/>
        </w:rPr>
        <w:t>naardig dat deze methode destijds niet werd gehanteerd voor gerechtsdeurwaarders. Zij vertonen</w:t>
      </w:r>
      <w:r w:rsidR="003A0F01" w:rsidRPr="00D9172E">
        <w:rPr>
          <w:rFonts w:ascii="Calibri" w:hAnsi="Calibri" w:cs="Arial"/>
        </w:rPr>
        <w:t xml:space="preserve"> statutair</w:t>
      </w:r>
      <w:r w:rsidR="00FE20F8" w:rsidRPr="00D9172E">
        <w:rPr>
          <w:rFonts w:ascii="Calibri" w:hAnsi="Calibri" w:cs="Arial"/>
        </w:rPr>
        <w:t xml:space="preserve"> immers gelijkenissen met bijvoorbeeld het notariaat: ook zij hebben het statuut van openbaar ambtenaar</w:t>
      </w:r>
      <w:r w:rsidR="003A0F01" w:rsidRPr="00D9172E">
        <w:rPr>
          <w:rFonts w:ascii="Calibri" w:hAnsi="Calibri" w:cs="Arial"/>
        </w:rPr>
        <w:t xml:space="preserve"> met ministerieplicht</w:t>
      </w:r>
      <w:r w:rsidR="003A0F01" w:rsidRPr="00D9172E">
        <w:rPr>
          <w:rStyle w:val="Voetnootmarkering"/>
          <w:rFonts w:ascii="Calibri" w:hAnsi="Calibri" w:cs="Arial"/>
        </w:rPr>
        <w:footnoteReference w:id="84"/>
      </w:r>
      <w:r w:rsidR="00FE20F8" w:rsidRPr="00D9172E">
        <w:rPr>
          <w:rFonts w:ascii="Calibri" w:hAnsi="Calibri" w:cs="Arial"/>
        </w:rPr>
        <w:t xml:space="preserve"> dat bovendien kwantitatief beperkt wordt</w:t>
      </w:r>
      <w:r w:rsidR="000D1EC5" w:rsidRPr="00D9172E">
        <w:rPr>
          <w:rStyle w:val="Voetnootmarkering"/>
          <w:rFonts w:ascii="Calibri" w:hAnsi="Calibri" w:cs="Arial"/>
        </w:rPr>
        <w:footnoteReference w:id="85"/>
      </w:r>
      <w:r w:rsidR="00FE20F8" w:rsidRPr="00D9172E">
        <w:rPr>
          <w:rFonts w:ascii="Calibri" w:hAnsi="Calibri" w:cs="Arial"/>
        </w:rPr>
        <w:t>.</w:t>
      </w:r>
      <w:r w:rsidR="00675E98" w:rsidRPr="00D9172E">
        <w:rPr>
          <w:rFonts w:ascii="Calibri" w:hAnsi="Calibri" w:cs="Arial"/>
        </w:rPr>
        <w:t xml:space="preserve"> Zoals eerder vermeld</w:t>
      </w:r>
      <w:r w:rsidR="0079080D">
        <w:rPr>
          <w:rStyle w:val="Voetnootmarkering"/>
          <w:rFonts w:ascii="Calibri" w:hAnsi="Calibri" w:cs="Arial"/>
        </w:rPr>
        <w:footnoteReference w:id="86"/>
      </w:r>
      <w:r w:rsidR="00675E98" w:rsidRPr="00D9172E">
        <w:rPr>
          <w:rFonts w:ascii="Calibri" w:hAnsi="Calibri" w:cs="Arial"/>
        </w:rPr>
        <w:t xml:space="preserve"> worden de geslaagde stagiairs voornamelijk getest op zowel hun kennis van de meest voorkomende rechtstakken binnen het ambt, hun sociale vaardigheden als op beroepsbekwaamheid. Het examen bestaat uit een </w:t>
      </w:r>
      <w:r w:rsidRPr="00D9172E">
        <w:rPr>
          <w:rFonts w:ascii="Calibri" w:hAnsi="Calibri" w:cs="Arial"/>
        </w:rPr>
        <w:t xml:space="preserve">eerste </w:t>
      </w:r>
      <w:r w:rsidR="00675E98" w:rsidRPr="00D9172E">
        <w:rPr>
          <w:rFonts w:ascii="Calibri" w:hAnsi="Calibri" w:cs="Arial"/>
        </w:rPr>
        <w:t>schriftelijk gedeelte</w:t>
      </w:r>
      <w:r w:rsidRPr="00D9172E">
        <w:rPr>
          <w:rFonts w:ascii="Calibri" w:hAnsi="Calibri" w:cs="Arial"/>
        </w:rPr>
        <w:t>, waarvoor men 60% dient te behalen om te kunnen</w:t>
      </w:r>
      <w:r w:rsidR="00D409A9">
        <w:rPr>
          <w:rFonts w:ascii="Calibri" w:hAnsi="Calibri" w:cs="Arial"/>
        </w:rPr>
        <w:t xml:space="preserve"> doorstoten naar het tweede, mondelinge gedeelte, waar 50% volstaat</w:t>
      </w:r>
      <w:r w:rsidR="005603C2" w:rsidRPr="00D9172E">
        <w:rPr>
          <w:rStyle w:val="Voetnootmarkering"/>
          <w:rFonts w:ascii="Calibri" w:hAnsi="Calibri" w:cs="Arial"/>
        </w:rPr>
        <w:footnoteReference w:id="87"/>
      </w:r>
      <w:r w:rsidRPr="00D9172E">
        <w:rPr>
          <w:rFonts w:ascii="Calibri" w:hAnsi="Calibri" w:cs="Arial"/>
        </w:rPr>
        <w:t>.</w:t>
      </w:r>
      <w:r w:rsidR="00FE20F8" w:rsidRPr="00D9172E">
        <w:rPr>
          <w:rFonts w:ascii="Calibri" w:hAnsi="Calibri" w:cs="Arial"/>
        </w:rPr>
        <w:br/>
      </w:r>
      <w:r w:rsidRPr="00D9172E">
        <w:rPr>
          <w:rFonts w:ascii="Calibri" w:hAnsi="Calibri" w:cs="Arial"/>
        </w:rPr>
        <w:br/>
      </w:r>
      <w:r w:rsidRPr="005D3C3E">
        <w:rPr>
          <w:rFonts w:ascii="Calibri" w:hAnsi="Calibri" w:cs="Arial"/>
          <w:b/>
        </w:rPr>
        <w:t>35</w:t>
      </w:r>
      <w:r w:rsidR="00086EB7" w:rsidRPr="005D3C3E">
        <w:rPr>
          <w:rFonts w:ascii="Calibri" w:hAnsi="Calibri" w:cs="Arial"/>
          <w:b/>
        </w:rPr>
        <w:t>.</w:t>
      </w:r>
      <w:r w:rsidR="006E78F4" w:rsidRPr="00D9172E">
        <w:rPr>
          <w:rFonts w:ascii="Calibri" w:hAnsi="Calibri" w:cs="Arial"/>
        </w:rPr>
        <w:t xml:space="preserve">De </w:t>
      </w:r>
      <w:r w:rsidR="00D7256B" w:rsidRPr="00D9172E">
        <w:rPr>
          <w:rFonts w:ascii="Calibri" w:hAnsi="Calibri" w:cs="Arial"/>
        </w:rPr>
        <w:t>minister</w:t>
      </w:r>
      <w:r w:rsidR="006E78F4" w:rsidRPr="00D9172E">
        <w:rPr>
          <w:rFonts w:ascii="Calibri" w:hAnsi="Calibri" w:cs="Arial"/>
        </w:rPr>
        <w:t xml:space="preserve"> heeft ervoor gekozen om </w:t>
      </w:r>
      <w:r w:rsidR="00E05FFF" w:rsidRPr="00D9172E">
        <w:rPr>
          <w:rFonts w:ascii="Calibri" w:hAnsi="Calibri" w:cs="Arial"/>
        </w:rPr>
        <w:t>het examen</w:t>
      </w:r>
      <w:r w:rsidR="006E78F4" w:rsidRPr="00D9172E">
        <w:rPr>
          <w:rFonts w:ascii="Calibri" w:hAnsi="Calibri" w:cs="Arial"/>
        </w:rPr>
        <w:t xml:space="preserve"> niet in te voeren bij de benoeming tot gerechtsdeurwaarder</w:t>
      </w:r>
      <w:r w:rsidR="0007669D">
        <w:rPr>
          <w:rFonts w:ascii="Calibri" w:hAnsi="Calibri" w:cs="Arial"/>
        </w:rPr>
        <w:t>-titularis</w:t>
      </w:r>
      <w:r w:rsidR="006E78F4" w:rsidRPr="00D9172E">
        <w:rPr>
          <w:rFonts w:ascii="Calibri" w:hAnsi="Calibri" w:cs="Arial"/>
        </w:rPr>
        <w:t>. Men kan zich hier de vraa</w:t>
      </w:r>
      <w:r w:rsidR="002968D9" w:rsidRPr="00D9172E">
        <w:rPr>
          <w:rFonts w:ascii="Calibri" w:hAnsi="Calibri" w:cs="Arial"/>
        </w:rPr>
        <w:t xml:space="preserve">g stellen of dat niet beter toch </w:t>
      </w:r>
      <w:r w:rsidR="006E78F4" w:rsidRPr="00D9172E">
        <w:rPr>
          <w:rFonts w:ascii="Calibri" w:hAnsi="Calibri" w:cs="Arial"/>
        </w:rPr>
        <w:t xml:space="preserve">gebeurd was en of </w:t>
      </w:r>
      <w:r w:rsidR="00FC151D" w:rsidRPr="00D9172E">
        <w:rPr>
          <w:rFonts w:ascii="Calibri" w:hAnsi="Calibri" w:cs="Arial"/>
        </w:rPr>
        <w:t>de</w:t>
      </w:r>
      <w:r w:rsidR="006E78F4" w:rsidRPr="00D9172E">
        <w:rPr>
          <w:rFonts w:ascii="Calibri" w:hAnsi="Calibri" w:cs="Arial"/>
        </w:rPr>
        <w:t xml:space="preserve"> betwistingen va</w:t>
      </w:r>
      <w:r w:rsidR="002C0679" w:rsidRPr="00D9172E">
        <w:rPr>
          <w:rFonts w:ascii="Calibri" w:hAnsi="Calibri" w:cs="Arial"/>
        </w:rPr>
        <w:t>n niet geselecteerde kandidaten</w:t>
      </w:r>
      <w:r w:rsidR="00FC151D" w:rsidRPr="00D9172E">
        <w:rPr>
          <w:rFonts w:ascii="Calibri" w:hAnsi="Calibri" w:cs="Arial"/>
        </w:rPr>
        <w:t xml:space="preserve"> daardoor verleden tijd zijn</w:t>
      </w:r>
      <w:r w:rsidR="002C0679" w:rsidRPr="00D9172E">
        <w:rPr>
          <w:rFonts w:ascii="Calibri" w:hAnsi="Calibri" w:cs="Arial"/>
        </w:rPr>
        <w:t>:</w:t>
      </w:r>
      <w:r w:rsidR="00816CD0" w:rsidRPr="00D9172E">
        <w:rPr>
          <w:rFonts w:ascii="Calibri" w:hAnsi="Calibri" w:cs="Arial"/>
        </w:rPr>
        <w:t xml:space="preserve"> een visie die ook in het advies van de Raad van State, afdeling</w:t>
      </w:r>
      <w:r w:rsidR="002C0679" w:rsidRPr="00D9172E">
        <w:rPr>
          <w:rFonts w:ascii="Calibri" w:hAnsi="Calibri" w:cs="Arial"/>
        </w:rPr>
        <w:t xml:space="preserve"> W</w:t>
      </w:r>
      <w:r w:rsidR="00816CD0" w:rsidRPr="00D9172E">
        <w:rPr>
          <w:rFonts w:ascii="Calibri" w:hAnsi="Calibri" w:cs="Arial"/>
        </w:rPr>
        <w:t xml:space="preserve">etgeving terug te vinden </w:t>
      </w:r>
      <w:r w:rsidR="0007669D">
        <w:rPr>
          <w:rFonts w:ascii="Calibri" w:hAnsi="Calibri" w:cs="Arial"/>
        </w:rPr>
        <w:t>i</w:t>
      </w:r>
      <w:r w:rsidR="00816CD0" w:rsidRPr="00D9172E">
        <w:rPr>
          <w:rFonts w:ascii="Calibri" w:hAnsi="Calibri" w:cs="Arial"/>
        </w:rPr>
        <w:t>s</w:t>
      </w:r>
      <w:r w:rsidR="002C0679" w:rsidRPr="00D9172E">
        <w:rPr>
          <w:rFonts w:ascii="Calibri" w:hAnsi="Calibri" w:cs="Arial"/>
        </w:rPr>
        <w:t xml:space="preserve"> als reactie op het wetsontwerp</w:t>
      </w:r>
      <w:r w:rsidR="00E37C82" w:rsidRPr="00D9172E">
        <w:rPr>
          <w:rStyle w:val="Voetnootmarkering"/>
          <w:rFonts w:ascii="Calibri" w:hAnsi="Calibri" w:cs="Arial"/>
        </w:rPr>
        <w:footnoteReference w:id="88"/>
      </w:r>
      <w:r w:rsidR="00816CD0" w:rsidRPr="00D9172E">
        <w:rPr>
          <w:rFonts w:ascii="Calibri" w:hAnsi="Calibri" w:cs="Arial"/>
        </w:rPr>
        <w:t>.</w:t>
      </w:r>
      <w:r w:rsidR="0050477B" w:rsidRPr="00D9172E">
        <w:rPr>
          <w:rFonts w:ascii="Calibri" w:hAnsi="Calibri" w:cs="Arial"/>
        </w:rPr>
        <w:t xml:space="preserve"> </w:t>
      </w:r>
      <w:r w:rsidR="00E37C82" w:rsidRPr="00D9172E">
        <w:rPr>
          <w:rFonts w:ascii="Calibri" w:hAnsi="Calibri" w:cs="Arial"/>
        </w:rPr>
        <w:t>De memorie van toelichting</w:t>
      </w:r>
      <w:r w:rsidR="0050477B" w:rsidRPr="00D9172E">
        <w:rPr>
          <w:rFonts w:ascii="Calibri" w:hAnsi="Calibri" w:cs="Arial"/>
        </w:rPr>
        <w:t xml:space="preserve"> motiveer</w:t>
      </w:r>
      <w:r w:rsidR="0007669D">
        <w:rPr>
          <w:rFonts w:ascii="Calibri" w:hAnsi="Calibri" w:cs="Arial"/>
        </w:rPr>
        <w:t>t</w:t>
      </w:r>
      <w:r w:rsidR="0050477B" w:rsidRPr="00D9172E">
        <w:rPr>
          <w:rFonts w:ascii="Calibri" w:hAnsi="Calibri" w:cs="Arial"/>
        </w:rPr>
        <w:t xml:space="preserve"> deze beslissing als volgt: </w:t>
      </w:r>
      <w:r w:rsidR="0050477B" w:rsidRPr="00D9172E">
        <w:rPr>
          <w:rFonts w:ascii="Calibri" w:hAnsi="Calibri" w:cs="Arial"/>
        </w:rPr>
        <w:br/>
      </w:r>
      <w:r w:rsidR="0050477B" w:rsidRPr="00D9172E">
        <w:rPr>
          <w:rFonts w:ascii="Calibri" w:hAnsi="Calibri" w:cs="Arial"/>
          <w:i/>
        </w:rPr>
        <w:t>“Inzake de in dit wetsontwerp naar voren geschoven selectiewijze van de gerechtsdeurwaarders, acht de minister het logisch dat ze van een andere orde is dan die voor de kandidaat-gerechtsdeurwaarders. De betrokkenen oefenen het beroep al minstens vijf jaar uit. Het ligt dus niet echt voor de hand dat wordt gewerkt met een formeel examen. Daarom verdient het de voorkeur de elementen van het dossier van de betrokkenen en de uitgebrachte adviezen te onderzoeken, alsmede de kandidaten te horen. De rangschikking die uit die selectie zal voortspruiten, zal dus niet op een louter mathematische operatie berusten, maar zal uiteraard met redenen worden omkleed op grond van criteria die betrekking hebben op de capaciteiten en op de geschiktheid om het ambt van gerec</w:t>
      </w:r>
      <w:r w:rsidR="00286177" w:rsidRPr="00D9172E">
        <w:rPr>
          <w:rFonts w:ascii="Calibri" w:hAnsi="Calibri" w:cs="Arial"/>
          <w:i/>
        </w:rPr>
        <w:t>htsdeurwaarder uit te oefenen</w:t>
      </w:r>
      <w:r w:rsidR="00ED727A" w:rsidRPr="00D9172E">
        <w:rPr>
          <w:rStyle w:val="Voetnootmarkering"/>
          <w:rFonts w:ascii="Calibri" w:hAnsi="Calibri" w:cs="Arial"/>
          <w:i/>
        </w:rPr>
        <w:footnoteReference w:id="89"/>
      </w:r>
      <w:r w:rsidR="00D743F6">
        <w:rPr>
          <w:rFonts w:ascii="Calibri" w:hAnsi="Calibri" w:cs="Arial"/>
          <w:i/>
        </w:rPr>
        <w:t>.”</w:t>
      </w:r>
      <w:r w:rsidR="00CF7451" w:rsidRPr="00D9172E">
        <w:rPr>
          <w:rFonts w:ascii="Calibri" w:hAnsi="Calibri" w:cs="Arial"/>
          <w:i/>
        </w:rPr>
        <w:br/>
      </w:r>
      <w:r w:rsidR="0079080D">
        <w:rPr>
          <w:rFonts w:ascii="Calibri" w:hAnsi="Calibri" w:cs="Arial"/>
        </w:rPr>
        <w:t>Zoals later zal blijken</w:t>
      </w:r>
      <w:r w:rsidR="0079080D">
        <w:rPr>
          <w:rStyle w:val="Voetnootmarkering"/>
          <w:rFonts w:ascii="Calibri" w:hAnsi="Calibri" w:cs="Arial"/>
        </w:rPr>
        <w:footnoteReference w:id="90"/>
      </w:r>
      <w:r w:rsidR="0079080D">
        <w:rPr>
          <w:rFonts w:ascii="Calibri" w:hAnsi="Calibri" w:cs="Arial"/>
        </w:rPr>
        <w:t xml:space="preserve">, wordt er tegenwoordig in de praktijk toch een examen georganiseerd voor kandidaat-gerechtsdeurwaarders die meedingen naar een benoeming tot titularis. Een wettelijke </w:t>
      </w:r>
      <w:r w:rsidR="00BE486A">
        <w:rPr>
          <w:rFonts w:ascii="Calibri" w:hAnsi="Calibri" w:cs="Arial"/>
        </w:rPr>
        <w:t>grond hiervo</w:t>
      </w:r>
      <w:r w:rsidR="00BD1658">
        <w:rPr>
          <w:rFonts w:ascii="Calibri" w:hAnsi="Calibri" w:cs="Arial"/>
        </w:rPr>
        <w:t>or is opmerkelijk genoeg schijnbaar onvindbaar</w:t>
      </w:r>
      <w:r w:rsidR="00C75526">
        <w:rPr>
          <w:rFonts w:ascii="Calibri" w:hAnsi="Calibri" w:cs="Arial"/>
        </w:rPr>
        <w:t>.</w:t>
      </w:r>
    </w:p>
    <w:p w14:paraId="62A8FA5F" w14:textId="159AE7C0" w:rsidR="00CF35E3" w:rsidRPr="00D9172E" w:rsidRDefault="005D3C3E" w:rsidP="00C75526">
      <w:pPr>
        <w:pStyle w:val="Normaalweb"/>
        <w:spacing w:line="276" w:lineRule="auto"/>
        <w:jc w:val="both"/>
        <w:rPr>
          <w:rFonts w:ascii="Calibri" w:hAnsi="Calibri" w:cs="Arial"/>
        </w:rPr>
      </w:pPr>
      <w:r>
        <w:rPr>
          <w:rFonts w:ascii="Calibri" w:hAnsi="Calibri" w:cs="Arial"/>
          <w:b/>
        </w:rPr>
        <w:lastRenderedPageBreak/>
        <w:t>36.</w:t>
      </w:r>
      <w:r w:rsidR="00CF4EBA" w:rsidRPr="00D9172E">
        <w:rPr>
          <w:rFonts w:ascii="Calibri" w:hAnsi="Calibri" w:cs="Arial"/>
        </w:rPr>
        <w:t>Het ver</w:t>
      </w:r>
      <w:r w:rsidR="00CD277C" w:rsidRPr="00D9172E">
        <w:rPr>
          <w:rFonts w:ascii="Calibri" w:hAnsi="Calibri" w:cs="Arial"/>
        </w:rPr>
        <w:t xml:space="preserve">gelijkend examen gaat – naast het garanderen van de objectiviteit – </w:t>
      </w:r>
      <w:r w:rsidR="00CF4EBA" w:rsidRPr="00D9172E">
        <w:rPr>
          <w:rFonts w:ascii="Calibri" w:hAnsi="Calibri" w:cs="Arial"/>
        </w:rPr>
        <w:t>ook hand in hand met de opwaardering van het statuut van de kandidaat-gerechtsdeurwaarder</w:t>
      </w:r>
      <w:r w:rsidR="00C9358F" w:rsidRPr="00D9172E">
        <w:rPr>
          <w:rFonts w:ascii="Calibri" w:hAnsi="Calibri" w:cs="Arial"/>
        </w:rPr>
        <w:t xml:space="preserve"> (zie deel 2, hoofdstuk 2)</w:t>
      </w:r>
      <w:r w:rsidR="00CF4EBA" w:rsidRPr="00D9172E">
        <w:rPr>
          <w:rFonts w:ascii="Calibri" w:hAnsi="Calibri" w:cs="Arial"/>
        </w:rPr>
        <w:t xml:space="preserve">. Vermits deze voortaan gerechtsdeurwaarders </w:t>
      </w:r>
      <w:r w:rsidR="00097E4C" w:rsidRPr="00D9172E">
        <w:rPr>
          <w:rFonts w:ascii="Calibri" w:hAnsi="Calibri" w:cs="Arial"/>
        </w:rPr>
        <w:t xml:space="preserve">in al hun bevoegdheden </w:t>
      </w:r>
      <w:r w:rsidR="00CF4EBA" w:rsidRPr="00D9172E">
        <w:rPr>
          <w:rFonts w:ascii="Calibri" w:hAnsi="Calibri" w:cs="Arial"/>
        </w:rPr>
        <w:t xml:space="preserve">kunnen vervangen, is het niet merkwaardig dat hier eerst een </w:t>
      </w:r>
      <w:r w:rsidR="008721B2" w:rsidRPr="00D9172E">
        <w:rPr>
          <w:rFonts w:ascii="Calibri" w:hAnsi="Calibri" w:cs="Arial"/>
        </w:rPr>
        <w:t xml:space="preserve">vorm van </w:t>
      </w:r>
      <w:r w:rsidR="00CF4EBA" w:rsidRPr="00D9172E">
        <w:rPr>
          <w:rFonts w:ascii="Calibri" w:hAnsi="Calibri" w:cs="Arial"/>
        </w:rPr>
        <w:t>kwaliteitscontrole aan voorafgaat.</w:t>
      </w:r>
      <w:r w:rsidR="002455C2" w:rsidRPr="00D9172E">
        <w:rPr>
          <w:rFonts w:ascii="Calibri" w:hAnsi="Calibri" w:cs="Arial"/>
        </w:rPr>
        <w:t xml:space="preserve"> </w:t>
      </w:r>
    </w:p>
    <w:p w14:paraId="60AE0D39" w14:textId="7D7AC0B5" w:rsidR="00E1769B" w:rsidRPr="00D9172E" w:rsidRDefault="001B44A2" w:rsidP="002532B7">
      <w:pPr>
        <w:pStyle w:val="Kop3"/>
        <w:spacing w:line="276" w:lineRule="auto"/>
      </w:pPr>
      <w:bookmarkStart w:id="16" w:name="_Toc40689955"/>
      <w:r>
        <w:t xml:space="preserve">Afdeling IV: </w:t>
      </w:r>
      <w:r w:rsidR="00E1769B" w:rsidRPr="00D9172E">
        <w:t>Overgangsregelingen</w:t>
      </w:r>
      <w:bookmarkEnd w:id="16"/>
    </w:p>
    <w:p w14:paraId="3994772E" w14:textId="2167A82C" w:rsidR="00123685" w:rsidRPr="00D9172E" w:rsidRDefault="005D3C3E" w:rsidP="00C75526">
      <w:pPr>
        <w:pStyle w:val="Normaalweb"/>
        <w:spacing w:line="276" w:lineRule="auto"/>
        <w:jc w:val="both"/>
        <w:rPr>
          <w:rFonts w:ascii="Calibri" w:hAnsi="Calibri" w:cs="Arial"/>
        </w:rPr>
      </w:pPr>
      <w:r>
        <w:rPr>
          <w:rFonts w:ascii="Calibri" w:hAnsi="Calibri" w:cs="Arial"/>
          <w:b/>
        </w:rPr>
        <w:t>37.</w:t>
      </w:r>
      <w:r w:rsidR="00553740" w:rsidRPr="00D9172E">
        <w:rPr>
          <w:rFonts w:ascii="Calibri" w:hAnsi="Calibri" w:cs="Arial"/>
        </w:rPr>
        <w:t>De ingrijpende hervormingen</w:t>
      </w:r>
      <w:r w:rsidR="003F506D" w:rsidRPr="00D9172E">
        <w:rPr>
          <w:rFonts w:ascii="Calibri" w:hAnsi="Calibri" w:cs="Arial"/>
        </w:rPr>
        <w:t xml:space="preserve"> van de wet van 7 januari 2014</w:t>
      </w:r>
      <w:r w:rsidR="00553740" w:rsidRPr="00D9172E">
        <w:rPr>
          <w:rFonts w:ascii="Calibri" w:hAnsi="Calibri" w:cs="Arial"/>
        </w:rPr>
        <w:t xml:space="preserve"> </w:t>
      </w:r>
      <w:r w:rsidR="003F506D" w:rsidRPr="00D9172E">
        <w:rPr>
          <w:rFonts w:ascii="Calibri" w:hAnsi="Calibri" w:cs="Arial"/>
        </w:rPr>
        <w:t>zijn in werking getreden op 1 februari van datzelfde jaar.</w:t>
      </w:r>
      <w:r w:rsidR="00553740" w:rsidRPr="00D9172E">
        <w:rPr>
          <w:rFonts w:ascii="Calibri" w:hAnsi="Calibri" w:cs="Arial"/>
        </w:rPr>
        <w:t xml:space="preserve"> </w:t>
      </w:r>
      <w:r w:rsidR="003F506D" w:rsidRPr="00D9172E">
        <w:rPr>
          <w:rFonts w:ascii="Calibri" w:hAnsi="Calibri" w:cs="Arial"/>
        </w:rPr>
        <w:t>Dit doet de</w:t>
      </w:r>
      <w:r w:rsidR="00553740" w:rsidRPr="00D9172E">
        <w:rPr>
          <w:rFonts w:ascii="Calibri" w:hAnsi="Calibri" w:cs="Arial"/>
        </w:rPr>
        <w:t xml:space="preserve"> vraag rijzen </w:t>
      </w:r>
      <w:r w:rsidR="0060513F" w:rsidRPr="00D9172E">
        <w:rPr>
          <w:rFonts w:ascii="Calibri" w:hAnsi="Calibri" w:cs="Arial"/>
        </w:rPr>
        <w:t>welk lot de stagiairs</w:t>
      </w:r>
      <w:r w:rsidR="003F506D" w:rsidRPr="00D9172E">
        <w:rPr>
          <w:rFonts w:ascii="Calibri" w:hAnsi="Calibri" w:cs="Arial"/>
        </w:rPr>
        <w:t>,</w:t>
      </w:r>
      <w:r w:rsidR="0060513F" w:rsidRPr="00D9172E">
        <w:rPr>
          <w:rFonts w:ascii="Calibri" w:hAnsi="Calibri" w:cs="Arial"/>
        </w:rPr>
        <w:t xml:space="preserve"> die hun </w:t>
      </w:r>
      <w:r w:rsidR="00AB7D74">
        <w:rPr>
          <w:rFonts w:ascii="Calibri" w:hAnsi="Calibri" w:cs="Arial"/>
        </w:rPr>
        <w:t>stage reeds hadd</w:t>
      </w:r>
      <w:r w:rsidR="00D7256B" w:rsidRPr="00D9172E">
        <w:rPr>
          <w:rFonts w:ascii="Calibri" w:hAnsi="Calibri" w:cs="Arial"/>
        </w:rPr>
        <w:t>en afgerond</w:t>
      </w:r>
      <w:r w:rsidR="003F506D" w:rsidRPr="00D9172E">
        <w:rPr>
          <w:rFonts w:ascii="Calibri" w:hAnsi="Calibri" w:cs="Arial"/>
        </w:rPr>
        <w:t>,</w:t>
      </w:r>
      <w:r w:rsidR="00AB7D74">
        <w:rPr>
          <w:rFonts w:ascii="Calibri" w:hAnsi="Calibri" w:cs="Arial"/>
        </w:rPr>
        <w:t xml:space="preserve"> of de kandidaat</w:t>
      </w:r>
      <w:r w:rsidR="00D7256B" w:rsidRPr="00D9172E">
        <w:rPr>
          <w:rFonts w:ascii="Calibri" w:hAnsi="Calibri" w:cs="Arial"/>
        </w:rPr>
        <w:t>-gerechtsdeurwaarders wiens stage</w:t>
      </w:r>
      <w:r w:rsidR="009C1091" w:rsidRPr="00D9172E">
        <w:rPr>
          <w:rFonts w:ascii="Calibri" w:hAnsi="Calibri" w:cs="Arial"/>
        </w:rPr>
        <w:t xml:space="preserve"> krachtens het oude procedé</w:t>
      </w:r>
      <w:r w:rsidR="00D7256B" w:rsidRPr="00D9172E">
        <w:rPr>
          <w:rFonts w:ascii="Calibri" w:hAnsi="Calibri" w:cs="Arial"/>
        </w:rPr>
        <w:t xml:space="preserve"> we</w:t>
      </w:r>
      <w:r w:rsidR="003F506D" w:rsidRPr="00D9172E">
        <w:rPr>
          <w:rFonts w:ascii="Calibri" w:hAnsi="Calibri" w:cs="Arial"/>
        </w:rPr>
        <w:t xml:space="preserve">rd gehomologeerd op de datum van </w:t>
      </w:r>
      <w:r w:rsidR="004F6416" w:rsidRPr="00D9172E">
        <w:rPr>
          <w:rFonts w:ascii="Calibri" w:hAnsi="Calibri" w:cs="Arial"/>
        </w:rPr>
        <w:t xml:space="preserve">inwerkingtreding, beschoren zijn. </w:t>
      </w:r>
      <w:r w:rsidR="004F6416" w:rsidRPr="00D9172E">
        <w:rPr>
          <w:rFonts w:ascii="Calibri" w:hAnsi="Calibri" w:cs="Arial"/>
        </w:rPr>
        <w:br/>
      </w:r>
      <w:r w:rsidR="00BF723B" w:rsidRPr="00D9172E">
        <w:rPr>
          <w:rFonts w:ascii="Calibri" w:hAnsi="Calibri" w:cs="Arial"/>
        </w:rPr>
        <w:t>Het spreekt voor zich dat</w:t>
      </w:r>
      <w:r w:rsidR="004F6416" w:rsidRPr="00D9172E">
        <w:rPr>
          <w:rFonts w:ascii="Calibri" w:hAnsi="Calibri" w:cs="Arial"/>
        </w:rPr>
        <w:t xml:space="preserve"> de stagiairs die hun stage hadden beëindigd op 1 februari 2014 hun stag</w:t>
      </w:r>
      <w:r w:rsidR="00BF723B" w:rsidRPr="00D9172E">
        <w:rPr>
          <w:rFonts w:ascii="Calibri" w:hAnsi="Calibri" w:cs="Arial"/>
        </w:rPr>
        <w:t xml:space="preserve">ecertificaat verkrijgen. Ook </w:t>
      </w:r>
      <w:r w:rsidR="0007669D">
        <w:rPr>
          <w:rFonts w:ascii="Calibri" w:hAnsi="Calibri" w:cs="Arial"/>
        </w:rPr>
        <w:t xml:space="preserve">worden </w:t>
      </w:r>
      <w:r w:rsidR="00BF723B" w:rsidRPr="00D9172E">
        <w:rPr>
          <w:rFonts w:ascii="Calibri" w:hAnsi="Calibri" w:cs="Arial"/>
        </w:rPr>
        <w:t>diegene die d</w:t>
      </w:r>
      <w:r w:rsidR="004F6416" w:rsidRPr="00D9172E">
        <w:rPr>
          <w:rFonts w:ascii="Calibri" w:hAnsi="Calibri" w:cs="Arial"/>
        </w:rPr>
        <w:t>e titel van kandidaat-gerechtsdeurwaarde</w:t>
      </w:r>
      <w:r w:rsidR="00BF723B" w:rsidRPr="00D9172E">
        <w:rPr>
          <w:rFonts w:ascii="Calibri" w:hAnsi="Calibri" w:cs="Arial"/>
        </w:rPr>
        <w:t>r bezitten op basis van de voormalige procedure,</w:t>
      </w:r>
      <w:r w:rsidR="0007669D">
        <w:rPr>
          <w:rFonts w:ascii="Calibri" w:hAnsi="Calibri" w:cs="Arial"/>
        </w:rPr>
        <w:t xml:space="preserve"> </w:t>
      </w:r>
      <w:r w:rsidR="00BF723B" w:rsidRPr="00D9172E">
        <w:rPr>
          <w:rFonts w:ascii="Calibri" w:hAnsi="Calibri" w:cs="Arial"/>
        </w:rPr>
        <w:t>van rechtswege benoemd</w:t>
      </w:r>
      <w:r w:rsidR="00BE486A">
        <w:rPr>
          <w:rStyle w:val="Voetnootmarkering"/>
          <w:rFonts w:ascii="Calibri" w:hAnsi="Calibri" w:cs="Arial"/>
        </w:rPr>
        <w:footnoteReference w:id="91"/>
      </w:r>
      <w:r w:rsidR="00BF723B" w:rsidRPr="00D9172E">
        <w:rPr>
          <w:rFonts w:ascii="Calibri" w:hAnsi="Calibri" w:cs="Arial"/>
        </w:rPr>
        <w:t xml:space="preserve">. </w:t>
      </w:r>
      <w:r w:rsidR="00BF723B" w:rsidRPr="00D9172E">
        <w:rPr>
          <w:rFonts w:ascii="Calibri" w:hAnsi="Calibri" w:cs="Arial"/>
        </w:rPr>
        <w:br/>
        <w:t>Desalniettemin</w:t>
      </w:r>
      <w:r w:rsidR="009E48A0" w:rsidRPr="00D9172E">
        <w:rPr>
          <w:rFonts w:ascii="Calibri" w:hAnsi="Calibri" w:cs="Arial"/>
        </w:rPr>
        <w:t xml:space="preserve"> bleven de ‘oude’ wetsartikelen van toepassing voor lopende benoemingsprocedures </w:t>
      </w:r>
      <w:r w:rsidR="00123685" w:rsidRPr="00D9172E">
        <w:rPr>
          <w:rFonts w:ascii="Calibri" w:hAnsi="Calibri" w:cs="Arial"/>
        </w:rPr>
        <w:t>op het tijdstip van inwerkingtreding</w:t>
      </w:r>
      <w:r w:rsidR="00CC6BEE" w:rsidRPr="00D9172E">
        <w:rPr>
          <w:rStyle w:val="Voetnootmarkering"/>
          <w:rFonts w:ascii="Calibri" w:hAnsi="Calibri" w:cs="Arial"/>
        </w:rPr>
        <w:footnoteReference w:id="92"/>
      </w:r>
      <w:r w:rsidR="00123685" w:rsidRPr="00D9172E">
        <w:rPr>
          <w:rFonts w:ascii="Calibri" w:hAnsi="Calibri" w:cs="Arial"/>
        </w:rPr>
        <w:t>.</w:t>
      </w:r>
    </w:p>
    <w:p w14:paraId="08FD9575" w14:textId="693FE80C" w:rsidR="00065646" w:rsidRPr="00D9172E" w:rsidRDefault="001B44A2" w:rsidP="002532B7">
      <w:pPr>
        <w:pStyle w:val="Kop3"/>
        <w:spacing w:line="276" w:lineRule="auto"/>
      </w:pPr>
      <w:bookmarkStart w:id="17" w:name="_Toc40689956"/>
      <w:r>
        <w:t xml:space="preserve">Afdeling V: </w:t>
      </w:r>
      <w:r w:rsidR="00C7560E" w:rsidRPr="00D9172E">
        <w:t>Praktische problemen</w:t>
      </w:r>
      <w:bookmarkEnd w:id="17"/>
    </w:p>
    <w:p w14:paraId="2C80EBB8" w14:textId="7E48B99A" w:rsidR="00442C6A" w:rsidRPr="00D9172E" w:rsidRDefault="005D3C3E" w:rsidP="00C75526">
      <w:pPr>
        <w:pStyle w:val="Normaalweb"/>
        <w:spacing w:line="276" w:lineRule="auto"/>
        <w:jc w:val="both"/>
        <w:rPr>
          <w:rFonts w:ascii="Calibri" w:hAnsi="Calibri" w:cs="Arial"/>
        </w:rPr>
      </w:pPr>
      <w:r>
        <w:rPr>
          <w:rFonts w:ascii="Calibri" w:hAnsi="Calibri" w:cs="Arial"/>
          <w:b/>
        </w:rPr>
        <w:t>38.</w:t>
      </w:r>
      <w:r w:rsidR="00C7560E" w:rsidRPr="00D9172E">
        <w:rPr>
          <w:rFonts w:ascii="Calibri" w:hAnsi="Calibri" w:cs="Arial"/>
        </w:rPr>
        <w:t xml:space="preserve">Kandidaat-gerechtsdeurwaarder </w:t>
      </w:r>
      <w:r w:rsidR="00BE486A">
        <w:rPr>
          <w:rFonts w:ascii="Calibri" w:hAnsi="Calibri" w:cs="Arial"/>
        </w:rPr>
        <w:t>Van Dessel</w:t>
      </w:r>
      <w:r w:rsidR="00E425C7">
        <w:rPr>
          <w:rFonts w:ascii="Calibri" w:hAnsi="Calibri" w:cs="Arial"/>
        </w:rPr>
        <w:t xml:space="preserve"> </w:t>
      </w:r>
      <w:r w:rsidR="00C7560E" w:rsidRPr="00D9172E">
        <w:rPr>
          <w:rFonts w:ascii="Calibri" w:hAnsi="Calibri" w:cs="Arial"/>
        </w:rPr>
        <w:t>heeft terecht enkele praktische problemen</w:t>
      </w:r>
      <w:r w:rsidR="00E425C7">
        <w:rPr>
          <w:rStyle w:val="Voetnootmarkering"/>
          <w:rFonts w:ascii="Calibri" w:hAnsi="Calibri" w:cs="Arial"/>
        </w:rPr>
        <w:footnoteReference w:id="93"/>
      </w:r>
      <w:r w:rsidR="00C7560E" w:rsidRPr="00D9172E">
        <w:rPr>
          <w:rFonts w:ascii="Calibri" w:hAnsi="Calibri" w:cs="Arial"/>
        </w:rPr>
        <w:t xml:space="preserve"> opgemerkt bij de nieuwe benoemingsprocedure, en dan vooral bij de benoemingscommissie.</w:t>
      </w:r>
      <w:r w:rsidR="00C7560E" w:rsidRPr="00D9172E">
        <w:rPr>
          <w:rFonts w:ascii="Calibri" w:hAnsi="Calibri" w:cs="Arial"/>
        </w:rPr>
        <w:br/>
        <w:t>Die bestaat voortaan uit drie gerechtsdeurwaarders, waarvan er één minder dan dri</w:t>
      </w:r>
      <w:r w:rsidR="00CC6BEE" w:rsidRPr="00D9172E">
        <w:rPr>
          <w:rFonts w:ascii="Calibri" w:hAnsi="Calibri" w:cs="Arial"/>
        </w:rPr>
        <w:t>e jaar anciënniteit moet hebben</w:t>
      </w:r>
      <w:r w:rsidR="00CC6BEE" w:rsidRPr="00D9172E">
        <w:rPr>
          <w:rStyle w:val="Voetnootmarkering"/>
          <w:rFonts w:ascii="Calibri" w:hAnsi="Calibri" w:cs="Arial"/>
        </w:rPr>
        <w:footnoteReference w:id="94"/>
      </w:r>
      <w:r w:rsidR="00C7560E" w:rsidRPr="00D9172E">
        <w:rPr>
          <w:rFonts w:ascii="Calibri" w:hAnsi="Calibri" w:cs="Arial"/>
        </w:rPr>
        <w:t xml:space="preserve">. Bij de aanvang van de hervorming – tegenwoordig zal dit probleem </w:t>
      </w:r>
      <w:r w:rsidR="0007669D">
        <w:rPr>
          <w:rFonts w:ascii="Calibri" w:hAnsi="Calibri" w:cs="Arial"/>
        </w:rPr>
        <w:t xml:space="preserve">minder of zelfs niet meer </w:t>
      </w:r>
      <w:r w:rsidR="00C7560E" w:rsidRPr="00D9172E">
        <w:rPr>
          <w:rFonts w:ascii="Calibri" w:hAnsi="Calibri" w:cs="Arial"/>
        </w:rPr>
        <w:t xml:space="preserve">opduiken – was het dus perfect mogelijk dat </w:t>
      </w:r>
      <w:r w:rsidR="00442C6A" w:rsidRPr="00D9172E">
        <w:rPr>
          <w:rFonts w:ascii="Calibri" w:hAnsi="Calibri" w:cs="Arial"/>
        </w:rPr>
        <w:t>een lid van de benoemingscommissie zijn/haar benoeming werd vernietigd door de Raad van State. Zoals eerder beschreven</w:t>
      </w:r>
      <w:r w:rsidR="00BE486A">
        <w:rPr>
          <w:rStyle w:val="Voetnootmarkering"/>
          <w:rFonts w:ascii="Calibri" w:hAnsi="Calibri" w:cs="Arial"/>
        </w:rPr>
        <w:footnoteReference w:id="95"/>
      </w:r>
      <w:r w:rsidR="00BE486A">
        <w:rPr>
          <w:rFonts w:ascii="Calibri" w:hAnsi="Calibri" w:cs="Arial"/>
        </w:rPr>
        <w:t xml:space="preserve">, </w:t>
      </w:r>
      <w:r w:rsidR="00442C6A" w:rsidRPr="00D9172E">
        <w:rPr>
          <w:rFonts w:ascii="Calibri" w:hAnsi="Calibri" w:cs="Arial"/>
        </w:rPr>
        <w:t xml:space="preserve">was een arrest dat jaren na het annulatieberoep werd uitgesproken immers niet zeldzaam. Daar een gerechtsdeurwaarder van minder dan drie jaar anciënniteit vandaag sowieso onder het </w:t>
      </w:r>
      <w:r w:rsidR="00211CC4" w:rsidRPr="00D9172E">
        <w:rPr>
          <w:rFonts w:ascii="Calibri" w:hAnsi="Calibri" w:cs="Arial"/>
        </w:rPr>
        <w:t xml:space="preserve">nieuwe protocol is benoemd, is </w:t>
      </w:r>
      <w:r w:rsidR="00442C6A" w:rsidRPr="00D9172E">
        <w:rPr>
          <w:rFonts w:ascii="Calibri" w:hAnsi="Calibri" w:cs="Arial"/>
        </w:rPr>
        <w:t xml:space="preserve">deze kans </w:t>
      </w:r>
      <w:r w:rsidR="00211CC4" w:rsidRPr="00D9172E">
        <w:rPr>
          <w:rFonts w:ascii="Calibri" w:hAnsi="Calibri" w:cs="Arial"/>
        </w:rPr>
        <w:t xml:space="preserve">na verloop van tijd </w:t>
      </w:r>
      <w:r w:rsidR="00442C6A" w:rsidRPr="00D9172E">
        <w:rPr>
          <w:rFonts w:ascii="Calibri" w:hAnsi="Calibri" w:cs="Arial"/>
        </w:rPr>
        <w:t xml:space="preserve">echter miniemer en miniemer </w:t>
      </w:r>
      <w:r w:rsidR="00211CC4" w:rsidRPr="00D9172E">
        <w:rPr>
          <w:rFonts w:ascii="Calibri" w:hAnsi="Calibri" w:cs="Arial"/>
        </w:rPr>
        <w:t>ge</w:t>
      </w:r>
      <w:r w:rsidR="00442C6A" w:rsidRPr="00D9172E">
        <w:rPr>
          <w:rFonts w:ascii="Calibri" w:hAnsi="Calibri" w:cs="Arial"/>
        </w:rPr>
        <w:t xml:space="preserve">worden. </w:t>
      </w:r>
    </w:p>
    <w:p w14:paraId="5D4658F0" w14:textId="17F79CD6" w:rsidR="00C7560E" w:rsidRPr="00D9172E" w:rsidRDefault="005D3C3E" w:rsidP="00C75526">
      <w:pPr>
        <w:pStyle w:val="Normaalweb"/>
        <w:spacing w:line="276" w:lineRule="auto"/>
        <w:jc w:val="both"/>
        <w:rPr>
          <w:rFonts w:ascii="Calibri" w:hAnsi="Calibri" w:cs="Arial"/>
        </w:rPr>
      </w:pPr>
      <w:r>
        <w:rPr>
          <w:rFonts w:ascii="Calibri" w:hAnsi="Calibri" w:cs="Arial"/>
          <w:b/>
        </w:rPr>
        <w:t>39.</w:t>
      </w:r>
      <w:r w:rsidR="00442C6A" w:rsidRPr="00D9172E">
        <w:rPr>
          <w:rFonts w:ascii="Calibri" w:hAnsi="Calibri" w:cs="Arial"/>
        </w:rPr>
        <w:t>Een ander potentieel struikelblok is</w:t>
      </w:r>
      <w:r w:rsidR="00CC6BEE" w:rsidRPr="00D9172E">
        <w:rPr>
          <w:rFonts w:ascii="Calibri" w:hAnsi="Calibri" w:cs="Arial"/>
        </w:rPr>
        <w:t xml:space="preserve"> volgens </w:t>
      </w:r>
      <w:r w:rsidR="00BE486A">
        <w:rPr>
          <w:rFonts w:ascii="Calibri" w:hAnsi="Calibri" w:cs="Arial"/>
        </w:rPr>
        <w:t>Van Dessel</w:t>
      </w:r>
      <w:r w:rsidR="00442C6A" w:rsidRPr="00D9172E">
        <w:rPr>
          <w:rFonts w:ascii="Calibri" w:hAnsi="Calibri" w:cs="Arial"/>
        </w:rPr>
        <w:t xml:space="preserve"> de uitsluiting van een commissielid die krachtens </w:t>
      </w:r>
      <w:r w:rsidR="00AC3C8D" w:rsidRPr="00D9172E">
        <w:rPr>
          <w:rFonts w:ascii="Calibri" w:hAnsi="Calibri" w:cs="Arial"/>
        </w:rPr>
        <w:t xml:space="preserve">artikel 512 §6 </w:t>
      </w:r>
      <w:proofErr w:type="spellStart"/>
      <w:r w:rsidR="00082EFA">
        <w:rPr>
          <w:rFonts w:ascii="Calibri" w:hAnsi="Calibri" w:cs="Arial"/>
        </w:rPr>
        <w:t>Ger.W</w:t>
      </w:r>
      <w:proofErr w:type="spellEnd"/>
      <w:r w:rsidR="00082EFA">
        <w:rPr>
          <w:rFonts w:ascii="Calibri" w:hAnsi="Calibri" w:cs="Arial"/>
        </w:rPr>
        <w:t xml:space="preserve">. </w:t>
      </w:r>
      <w:r w:rsidR="00AC3C8D" w:rsidRPr="00D9172E">
        <w:rPr>
          <w:rFonts w:ascii="Calibri" w:hAnsi="Calibri" w:cs="Arial"/>
        </w:rPr>
        <w:t xml:space="preserve">niet meer kan deelnemen aan de beraadslaging en beslissing indien hij/zij een rechtstreeks of onrechtstreeks belang zou hebben bij die beslissing. Ook dit kan volgens </w:t>
      </w:r>
      <w:r w:rsidR="0041250B">
        <w:rPr>
          <w:rFonts w:ascii="Calibri" w:hAnsi="Calibri" w:cs="Arial"/>
        </w:rPr>
        <w:t>Van Dessel</w:t>
      </w:r>
      <w:r w:rsidR="00AC3C8D" w:rsidRPr="00D9172E">
        <w:rPr>
          <w:rFonts w:ascii="Calibri" w:hAnsi="Calibri" w:cs="Arial"/>
        </w:rPr>
        <w:t xml:space="preserve"> voer tot discussie opleveren</w:t>
      </w:r>
      <w:r w:rsidR="00CC6BEE" w:rsidRPr="00D9172E">
        <w:rPr>
          <w:rStyle w:val="Voetnootmarkering"/>
          <w:rFonts w:ascii="Calibri" w:hAnsi="Calibri" w:cs="Arial"/>
        </w:rPr>
        <w:footnoteReference w:id="96"/>
      </w:r>
      <w:r w:rsidR="00AC3C8D" w:rsidRPr="00D9172E">
        <w:rPr>
          <w:rFonts w:ascii="Calibri" w:hAnsi="Calibri" w:cs="Arial"/>
        </w:rPr>
        <w:t>: wanneer heeft iemand belang bij een beslissing? Laat een lid van de benoemingscomm</w:t>
      </w:r>
      <w:r w:rsidR="002E7A96">
        <w:rPr>
          <w:rFonts w:ascii="Calibri" w:hAnsi="Calibri" w:cs="Arial"/>
        </w:rPr>
        <w:t>i</w:t>
      </w:r>
      <w:r w:rsidR="00AC3C8D" w:rsidRPr="00D9172E">
        <w:rPr>
          <w:rFonts w:ascii="Calibri" w:hAnsi="Calibri" w:cs="Arial"/>
        </w:rPr>
        <w:t xml:space="preserve">ssie, telkens zelf </w:t>
      </w:r>
      <w:r w:rsidR="00AC3C8D" w:rsidRPr="00D9172E">
        <w:rPr>
          <w:rFonts w:ascii="Calibri" w:hAnsi="Calibri" w:cs="Arial"/>
        </w:rPr>
        <w:lastRenderedPageBreak/>
        <w:t>werkzaam als gerechtsdeurwaarder, niet sowieso een belang uitschijnen bij de benoeming van bepaalde kandidaten? Stel dat een pas benoemde titularis begint te werken op het kantoor van een gerechtsdeurwaarder die zetelde in de benoemingscommissie, zal dat volgens V</w:t>
      </w:r>
      <w:r w:rsidR="00BE486A">
        <w:rPr>
          <w:rFonts w:ascii="Calibri" w:hAnsi="Calibri" w:cs="Arial"/>
        </w:rPr>
        <w:t>an Dessel</w:t>
      </w:r>
      <w:r w:rsidR="00AC3C8D" w:rsidRPr="00D9172E">
        <w:rPr>
          <w:rFonts w:ascii="Calibri" w:hAnsi="Calibri" w:cs="Arial"/>
        </w:rPr>
        <w:t xml:space="preserve"> een nieuwe bron zijn voor vernietigingsprocedures</w:t>
      </w:r>
      <w:r w:rsidR="008A46AD" w:rsidRPr="00D9172E">
        <w:rPr>
          <w:rStyle w:val="Voetnootmarkering"/>
          <w:rFonts w:ascii="Calibri" w:hAnsi="Calibri" w:cs="Arial"/>
        </w:rPr>
        <w:footnoteReference w:id="97"/>
      </w:r>
      <w:r w:rsidR="00AC3C8D" w:rsidRPr="00D9172E">
        <w:rPr>
          <w:rFonts w:ascii="Calibri" w:hAnsi="Calibri" w:cs="Arial"/>
        </w:rPr>
        <w:t xml:space="preserve">. </w:t>
      </w:r>
    </w:p>
    <w:p w14:paraId="0D62C1C8" w14:textId="0012999C" w:rsidR="00903DC3" w:rsidRDefault="005D3C3E" w:rsidP="00C75526">
      <w:pPr>
        <w:pStyle w:val="Normaalweb"/>
        <w:spacing w:line="276" w:lineRule="auto"/>
        <w:jc w:val="both"/>
        <w:rPr>
          <w:rFonts w:ascii="Calibri" w:hAnsi="Calibri" w:cs="Arial"/>
        </w:rPr>
      </w:pPr>
      <w:r>
        <w:rPr>
          <w:rFonts w:ascii="Calibri" w:hAnsi="Calibri" w:cs="Arial"/>
          <w:b/>
        </w:rPr>
        <w:t>40.</w:t>
      </w:r>
      <w:r w:rsidR="00A214C3">
        <w:rPr>
          <w:rFonts w:ascii="Calibri" w:hAnsi="Calibri" w:cs="Arial"/>
        </w:rPr>
        <w:t>Ten slotte</w:t>
      </w:r>
      <w:r w:rsidR="001B4BAA" w:rsidRPr="00D9172E">
        <w:rPr>
          <w:rFonts w:ascii="Calibri" w:hAnsi="Calibri" w:cs="Arial"/>
        </w:rPr>
        <w:t xml:space="preserve"> is er nog een kleine negligentie </w:t>
      </w:r>
      <w:r w:rsidR="00317733" w:rsidRPr="00D9172E">
        <w:rPr>
          <w:rFonts w:ascii="Calibri" w:hAnsi="Calibri" w:cs="Arial"/>
        </w:rPr>
        <w:t xml:space="preserve">in de nieuwe benoemingsprocedure te bespeuren. Zo moet er voortaan minstens één kandidaat-gerechtsdeurwaarder zetelen in de raad </w:t>
      </w:r>
      <w:r w:rsidR="00F3433A">
        <w:rPr>
          <w:rFonts w:ascii="Calibri" w:hAnsi="Calibri" w:cs="Arial"/>
        </w:rPr>
        <w:t>van</w:t>
      </w:r>
      <w:r w:rsidR="00317733" w:rsidRPr="00D9172E">
        <w:rPr>
          <w:rFonts w:ascii="Calibri" w:hAnsi="Calibri" w:cs="Arial"/>
        </w:rPr>
        <w:t xml:space="preserve"> </w:t>
      </w:r>
      <w:r w:rsidR="00F3433A">
        <w:rPr>
          <w:rFonts w:ascii="Calibri" w:hAnsi="Calibri" w:cs="Arial"/>
        </w:rPr>
        <w:t xml:space="preserve">de </w:t>
      </w:r>
      <w:r w:rsidR="00317733" w:rsidRPr="00D9172E">
        <w:rPr>
          <w:rFonts w:ascii="Calibri" w:hAnsi="Calibri" w:cs="Arial"/>
        </w:rPr>
        <w:t>arrondissementskamer</w:t>
      </w:r>
      <w:r w:rsidR="008A46AD" w:rsidRPr="00D9172E">
        <w:rPr>
          <w:rStyle w:val="Voetnootmarkering"/>
          <w:rFonts w:ascii="Calibri" w:hAnsi="Calibri" w:cs="Arial"/>
        </w:rPr>
        <w:footnoteReference w:id="98"/>
      </w:r>
      <w:r w:rsidR="00317733" w:rsidRPr="00D9172E">
        <w:rPr>
          <w:rFonts w:ascii="Calibri" w:hAnsi="Calibri" w:cs="Arial"/>
        </w:rPr>
        <w:t>. Rekening houdende met het opgewaardeerde statuut is dit een goede zaak, maar laat het juist die raad zijn die adviezen formuleert aan de NKGB en de minister van Justitie omtrent het opvullen van vacante plaatsen als titularis: een plaats die bij de zetelende kandidaat-gerechtsdeurwaarder ongetwijfeld ook gegeerd is. Over het al dan niet weren van de kandidaat-gerechtsdeurwaarder bij het adviseren</w:t>
      </w:r>
      <w:r w:rsidR="00E267EA" w:rsidRPr="00D9172E">
        <w:rPr>
          <w:rFonts w:ascii="Calibri" w:hAnsi="Calibri" w:cs="Arial"/>
        </w:rPr>
        <w:t xml:space="preserve"> hieromtrent</w:t>
      </w:r>
      <w:r w:rsidR="00317733" w:rsidRPr="00D9172E">
        <w:rPr>
          <w:rFonts w:ascii="Calibri" w:hAnsi="Calibri" w:cs="Arial"/>
        </w:rPr>
        <w:t xml:space="preserve">, wordt in de nieuwe wet geen woord gerept en is kennelijk dus niet verplicht. Ook dit kan dus opnieuw grond opleveren tot </w:t>
      </w:r>
      <w:proofErr w:type="spellStart"/>
      <w:r w:rsidR="00317733" w:rsidRPr="00D9172E">
        <w:rPr>
          <w:rFonts w:ascii="Calibri" w:hAnsi="Calibri" w:cs="Arial"/>
        </w:rPr>
        <w:t>annulatieberoepen</w:t>
      </w:r>
      <w:proofErr w:type="spellEnd"/>
      <w:r w:rsidR="00317733" w:rsidRPr="00D9172E">
        <w:rPr>
          <w:rFonts w:ascii="Calibri" w:hAnsi="Calibri" w:cs="Arial"/>
        </w:rPr>
        <w:t xml:space="preserve"> door meedingende </w:t>
      </w:r>
      <w:r w:rsidR="0007669D">
        <w:rPr>
          <w:rFonts w:ascii="Calibri" w:hAnsi="Calibri" w:cs="Arial"/>
        </w:rPr>
        <w:t>“</w:t>
      </w:r>
      <w:proofErr w:type="spellStart"/>
      <w:r w:rsidR="00317733" w:rsidRPr="00D9172E">
        <w:rPr>
          <w:rFonts w:ascii="Calibri" w:hAnsi="Calibri" w:cs="Arial"/>
        </w:rPr>
        <w:t>conculega</w:t>
      </w:r>
      <w:r w:rsidR="0007669D">
        <w:rPr>
          <w:rFonts w:ascii="Calibri" w:hAnsi="Calibri" w:cs="Arial"/>
        </w:rPr>
        <w:t>’</w:t>
      </w:r>
      <w:r w:rsidR="00317733" w:rsidRPr="00D9172E">
        <w:rPr>
          <w:rFonts w:ascii="Calibri" w:hAnsi="Calibri" w:cs="Arial"/>
        </w:rPr>
        <w:t>s</w:t>
      </w:r>
      <w:proofErr w:type="spellEnd"/>
      <w:r w:rsidR="0007669D">
        <w:rPr>
          <w:rFonts w:ascii="Calibri" w:hAnsi="Calibri" w:cs="Arial"/>
        </w:rPr>
        <w:t>”</w:t>
      </w:r>
      <w:r w:rsidR="00B24299" w:rsidRPr="00D9172E">
        <w:rPr>
          <w:rStyle w:val="Voetnootmarkering"/>
          <w:rFonts w:ascii="Calibri" w:hAnsi="Calibri" w:cs="Arial"/>
        </w:rPr>
        <w:footnoteReference w:id="99"/>
      </w:r>
      <w:r w:rsidR="003204D2" w:rsidRPr="00D9172E">
        <w:rPr>
          <w:rFonts w:ascii="Calibri" w:hAnsi="Calibri" w:cs="Arial"/>
        </w:rPr>
        <w:t xml:space="preserve">. </w:t>
      </w:r>
    </w:p>
    <w:p w14:paraId="018E271B" w14:textId="77777777" w:rsidR="00903DC3" w:rsidRDefault="00903DC3">
      <w:pPr>
        <w:rPr>
          <w:rFonts w:ascii="Calibri" w:hAnsi="Calibri" w:cs="Arial"/>
          <w:lang w:eastAsia="nl-NL"/>
        </w:rPr>
      </w:pPr>
      <w:r>
        <w:rPr>
          <w:rFonts w:ascii="Calibri" w:hAnsi="Calibri" w:cs="Arial"/>
        </w:rPr>
        <w:br w:type="page"/>
      </w:r>
    </w:p>
    <w:p w14:paraId="481410D0" w14:textId="4BB79AC5" w:rsidR="00BF723B" w:rsidRPr="00D9172E" w:rsidRDefault="00675E98" w:rsidP="002532B7">
      <w:pPr>
        <w:pStyle w:val="Kop2"/>
        <w:spacing w:line="276" w:lineRule="auto"/>
        <w:rPr>
          <w:lang w:val="nl-BE"/>
        </w:rPr>
      </w:pPr>
      <w:bookmarkStart w:id="18" w:name="_Toc40689957"/>
      <w:bookmarkStart w:id="19" w:name="_GoBack"/>
      <w:bookmarkEnd w:id="19"/>
      <w:r w:rsidRPr="00D9172E">
        <w:rPr>
          <w:lang w:val="nl-BE"/>
        </w:rPr>
        <w:lastRenderedPageBreak/>
        <w:t xml:space="preserve">Hoofdstuk 2: Opwaardering </w:t>
      </w:r>
      <w:r w:rsidR="00965774">
        <w:rPr>
          <w:lang w:val="nl-BE"/>
        </w:rPr>
        <w:t>van het kandidaat-gerechtsdeurwaardersstatuut</w:t>
      </w:r>
      <w:bookmarkEnd w:id="18"/>
    </w:p>
    <w:p w14:paraId="7DD9C973" w14:textId="4609C590" w:rsidR="00486CCA" w:rsidRDefault="005D3C3E" w:rsidP="00C75526">
      <w:pPr>
        <w:pStyle w:val="Normaalweb"/>
        <w:spacing w:line="276" w:lineRule="auto"/>
        <w:jc w:val="both"/>
        <w:rPr>
          <w:rFonts w:ascii="Calibri" w:hAnsi="Calibri" w:cs="Arial"/>
        </w:rPr>
      </w:pPr>
      <w:r>
        <w:rPr>
          <w:rFonts w:ascii="Calibri" w:hAnsi="Calibri" w:cs="Arial"/>
          <w:b/>
        </w:rPr>
        <w:t>41.</w:t>
      </w:r>
      <w:r w:rsidR="0044727A" w:rsidRPr="00D9172E">
        <w:rPr>
          <w:rFonts w:ascii="Calibri" w:hAnsi="Calibri" w:cs="Arial"/>
        </w:rPr>
        <w:t xml:space="preserve">Naast de </w:t>
      </w:r>
      <w:r w:rsidR="00EB786A" w:rsidRPr="00D9172E">
        <w:rPr>
          <w:rFonts w:ascii="Calibri" w:hAnsi="Calibri" w:cs="Arial"/>
        </w:rPr>
        <w:t>onontbeerlijke</w:t>
      </w:r>
      <w:r w:rsidR="0044727A" w:rsidRPr="00D9172E">
        <w:rPr>
          <w:rFonts w:ascii="Calibri" w:hAnsi="Calibri" w:cs="Arial"/>
        </w:rPr>
        <w:t xml:space="preserve"> vernieuwing van het benoemingsproces, heeft de wet van 7 januari 2014 ook voorzien in een </w:t>
      </w:r>
      <w:r w:rsidR="00EB786A" w:rsidRPr="00D9172E">
        <w:rPr>
          <w:rFonts w:ascii="Calibri" w:hAnsi="Calibri" w:cs="Arial"/>
        </w:rPr>
        <w:t>vernieuwd en vooral w</w:t>
      </w:r>
      <w:r w:rsidR="005C03B9" w:rsidRPr="00D9172E">
        <w:rPr>
          <w:rFonts w:ascii="Calibri" w:hAnsi="Calibri" w:cs="Arial"/>
        </w:rPr>
        <w:t>ettelijk statuut voor kandidaat</w:t>
      </w:r>
      <w:r w:rsidR="00EB786A" w:rsidRPr="00D9172E">
        <w:rPr>
          <w:rFonts w:ascii="Calibri" w:hAnsi="Calibri" w:cs="Arial"/>
        </w:rPr>
        <w:t xml:space="preserve">-gerechtsdeurwaarders. </w:t>
      </w:r>
      <w:r w:rsidR="0044727A" w:rsidRPr="00D9172E">
        <w:rPr>
          <w:rFonts w:ascii="Calibri" w:hAnsi="Calibri" w:cs="Arial"/>
        </w:rPr>
        <w:t>De hervormende wetswijziging van de b</w:t>
      </w:r>
      <w:r w:rsidR="00EB786A" w:rsidRPr="00D9172E">
        <w:rPr>
          <w:rFonts w:ascii="Calibri" w:hAnsi="Calibri" w:cs="Arial"/>
        </w:rPr>
        <w:t>enoemingsprocedure heeft er</w:t>
      </w:r>
      <w:r w:rsidR="0044727A" w:rsidRPr="00D9172E">
        <w:rPr>
          <w:rFonts w:ascii="Calibri" w:hAnsi="Calibri" w:cs="Arial"/>
        </w:rPr>
        <w:t>toe geleid dat het statuut van kandidaat-gerechtsdeurwaarder niet langer slechts een opstapje is in afwachting van de daadwerk</w:t>
      </w:r>
      <w:r w:rsidR="00EB786A" w:rsidRPr="00D9172E">
        <w:rPr>
          <w:rFonts w:ascii="Calibri" w:hAnsi="Calibri" w:cs="Arial"/>
        </w:rPr>
        <w:t xml:space="preserve">elijke benoeming tot titularis, maar maakt </w:t>
      </w:r>
      <w:r w:rsidR="00176275" w:rsidRPr="00D9172E">
        <w:rPr>
          <w:rFonts w:ascii="Calibri" w:hAnsi="Calibri" w:cs="Arial"/>
        </w:rPr>
        <w:t>hen</w:t>
      </w:r>
      <w:r w:rsidR="00EB786A" w:rsidRPr="00D9172E">
        <w:rPr>
          <w:rFonts w:ascii="Calibri" w:hAnsi="Calibri" w:cs="Arial"/>
        </w:rPr>
        <w:t xml:space="preserve"> volwaar</w:t>
      </w:r>
      <w:r w:rsidR="007B19F5" w:rsidRPr="00D9172E">
        <w:rPr>
          <w:rFonts w:ascii="Calibri" w:hAnsi="Calibri" w:cs="Arial"/>
        </w:rPr>
        <w:t xml:space="preserve">dige actoren binnen het korps. </w:t>
      </w:r>
    </w:p>
    <w:p w14:paraId="61394406" w14:textId="53B5FDC8" w:rsidR="00E94E37" w:rsidRPr="00D9172E" w:rsidRDefault="001B44A2" w:rsidP="002532B7">
      <w:pPr>
        <w:pStyle w:val="Kop3"/>
        <w:spacing w:line="276" w:lineRule="auto"/>
      </w:pPr>
      <w:bookmarkStart w:id="20" w:name="_Toc40689958"/>
      <w:r>
        <w:t xml:space="preserve">Afdeling I: </w:t>
      </w:r>
      <w:r w:rsidR="00E94E37">
        <w:t>Stagehomologatie vs. vergelijkend examen</w:t>
      </w:r>
      <w:bookmarkEnd w:id="20"/>
    </w:p>
    <w:p w14:paraId="3C8B3FD6" w14:textId="10C8F667" w:rsidR="00E94E37" w:rsidRPr="00E94E37" w:rsidRDefault="005D3C3E" w:rsidP="00C75526">
      <w:pPr>
        <w:pStyle w:val="Normaalweb"/>
        <w:spacing w:line="276" w:lineRule="auto"/>
        <w:jc w:val="both"/>
        <w:rPr>
          <w:rStyle w:val="Kop3Char"/>
        </w:rPr>
      </w:pPr>
      <w:r>
        <w:rPr>
          <w:rFonts w:ascii="Calibri" w:hAnsi="Calibri" w:cs="Arial"/>
          <w:b/>
        </w:rPr>
        <w:t>42.</w:t>
      </w:r>
      <w:r w:rsidR="005346E6" w:rsidRPr="00D9172E">
        <w:rPr>
          <w:rFonts w:ascii="Calibri" w:hAnsi="Calibri" w:cs="Arial"/>
        </w:rPr>
        <w:t xml:space="preserve">Een eerste element dat dit aantoont is </w:t>
      </w:r>
      <w:r w:rsidR="007B19F5" w:rsidRPr="00D9172E">
        <w:rPr>
          <w:rFonts w:ascii="Calibri" w:hAnsi="Calibri" w:cs="Arial"/>
        </w:rPr>
        <w:t>de</w:t>
      </w:r>
      <w:r w:rsidR="00AE723D" w:rsidRPr="00D9172E">
        <w:rPr>
          <w:rFonts w:ascii="Calibri" w:hAnsi="Calibri" w:cs="Arial"/>
        </w:rPr>
        <w:t xml:space="preserve"> </w:t>
      </w:r>
      <w:r w:rsidR="002A22B8" w:rsidRPr="00D9172E">
        <w:rPr>
          <w:rFonts w:ascii="Calibri" w:hAnsi="Calibri" w:cs="Arial"/>
        </w:rPr>
        <w:t xml:space="preserve">huidige </w:t>
      </w:r>
      <w:r w:rsidR="00AE723D" w:rsidRPr="00D9172E">
        <w:rPr>
          <w:rFonts w:ascii="Calibri" w:hAnsi="Calibri" w:cs="Arial"/>
        </w:rPr>
        <w:t>benoeming tot kandidaat zelf.</w:t>
      </w:r>
      <w:r w:rsidR="005D2336" w:rsidRPr="00D9172E">
        <w:rPr>
          <w:rFonts w:ascii="Calibri" w:hAnsi="Calibri" w:cs="Arial"/>
        </w:rPr>
        <w:t xml:space="preserve"> De fundamentele benoemingsvoorwaarden, zoals het bezitten van een rechtendiploma of de voltooiing van de stage, moeten reeds voldaan zijn om het kandidatenstatuut te verkrijgen</w:t>
      </w:r>
      <w:r w:rsidR="00990A58" w:rsidRPr="00D9172E">
        <w:rPr>
          <w:rStyle w:val="Voetnootmarkering"/>
          <w:rFonts w:ascii="Calibri" w:hAnsi="Calibri" w:cs="Arial"/>
        </w:rPr>
        <w:footnoteReference w:id="100"/>
      </w:r>
      <w:r w:rsidR="00B118E7" w:rsidRPr="00D9172E">
        <w:rPr>
          <w:rFonts w:ascii="Calibri" w:hAnsi="Calibri" w:cs="Arial"/>
        </w:rPr>
        <w:t>. Voor de hervorming was dit niet het geval: toen volstond de zogenaamde homologatie van de stage</w:t>
      </w:r>
      <w:r w:rsidR="00752078" w:rsidRPr="00D9172E">
        <w:rPr>
          <w:rFonts w:ascii="Calibri" w:hAnsi="Calibri" w:cs="Arial"/>
        </w:rPr>
        <w:t xml:space="preserve"> om gerechtsdeurwaarder te worden</w:t>
      </w:r>
      <w:r w:rsidR="00D80788" w:rsidRPr="00D9172E">
        <w:rPr>
          <w:rFonts w:ascii="Calibri" w:hAnsi="Calibri" w:cs="Arial"/>
        </w:rPr>
        <w:t xml:space="preserve"> </w:t>
      </w:r>
      <w:r w:rsidR="00752078" w:rsidRPr="00D9172E">
        <w:rPr>
          <w:rFonts w:ascii="Calibri" w:hAnsi="Calibri" w:cs="Arial"/>
        </w:rPr>
        <w:t>en werden de benoem</w:t>
      </w:r>
      <w:r w:rsidR="006A02FB" w:rsidRPr="00D9172E">
        <w:rPr>
          <w:rFonts w:ascii="Calibri" w:hAnsi="Calibri" w:cs="Arial"/>
        </w:rPr>
        <w:t>ingsvoorwaarden pas getoetst bij de</w:t>
      </w:r>
      <w:r w:rsidR="00752078" w:rsidRPr="00D9172E">
        <w:rPr>
          <w:rFonts w:ascii="Calibri" w:hAnsi="Calibri" w:cs="Arial"/>
        </w:rPr>
        <w:t xml:space="preserve"> benoeming tot titularis</w:t>
      </w:r>
      <w:r w:rsidR="00D80788" w:rsidRPr="00D9172E">
        <w:rPr>
          <w:rStyle w:val="Voetnootmarkering"/>
          <w:rFonts w:ascii="Calibri" w:hAnsi="Calibri" w:cs="Arial"/>
        </w:rPr>
        <w:footnoteReference w:id="101"/>
      </w:r>
      <w:r w:rsidR="00B118E7" w:rsidRPr="00D9172E">
        <w:rPr>
          <w:rFonts w:ascii="Calibri" w:hAnsi="Calibri" w:cs="Arial"/>
        </w:rPr>
        <w:t>.</w:t>
      </w:r>
      <w:r w:rsidR="005D2336" w:rsidRPr="00D9172E">
        <w:rPr>
          <w:rFonts w:ascii="Calibri" w:hAnsi="Calibri" w:cs="Arial"/>
        </w:rPr>
        <w:t xml:space="preserve"> </w:t>
      </w:r>
      <w:r w:rsidR="007B19F5" w:rsidRPr="00D9172E">
        <w:rPr>
          <w:rFonts w:ascii="Calibri" w:hAnsi="Calibri" w:cs="Arial"/>
        </w:rPr>
        <w:t xml:space="preserve">Voor 2014 </w:t>
      </w:r>
      <w:r w:rsidR="009237D7" w:rsidRPr="00D9172E">
        <w:rPr>
          <w:rFonts w:ascii="Calibri" w:hAnsi="Calibri" w:cs="Arial"/>
        </w:rPr>
        <w:t>kon iedereen die zijn</w:t>
      </w:r>
      <w:r w:rsidR="00363DBF" w:rsidRPr="00D9172E">
        <w:rPr>
          <w:rFonts w:ascii="Calibri" w:hAnsi="Calibri" w:cs="Arial"/>
        </w:rPr>
        <w:t xml:space="preserve">/haar stage ononderbroken had </w:t>
      </w:r>
      <w:r w:rsidR="009237D7" w:rsidRPr="00D9172E">
        <w:rPr>
          <w:rFonts w:ascii="Calibri" w:hAnsi="Calibri" w:cs="Arial"/>
        </w:rPr>
        <w:t xml:space="preserve">afgewerkt, </w:t>
      </w:r>
      <w:r w:rsidR="002F4889" w:rsidRPr="00D9172E">
        <w:rPr>
          <w:rFonts w:ascii="Calibri" w:hAnsi="Calibri" w:cs="Arial"/>
        </w:rPr>
        <w:t xml:space="preserve">een aanvraag indienen tot </w:t>
      </w:r>
      <w:r w:rsidR="002A22B8" w:rsidRPr="00D9172E">
        <w:rPr>
          <w:rFonts w:ascii="Calibri" w:hAnsi="Calibri" w:cs="Arial"/>
        </w:rPr>
        <w:t>homologatie van de stage</w:t>
      </w:r>
      <w:r w:rsidR="00D80788" w:rsidRPr="00D9172E">
        <w:rPr>
          <w:rStyle w:val="Voetnootmarkering"/>
          <w:rFonts w:ascii="Calibri" w:hAnsi="Calibri" w:cs="Arial"/>
        </w:rPr>
        <w:footnoteReference w:id="102"/>
      </w:r>
      <w:r w:rsidR="002A22B8" w:rsidRPr="00D9172E">
        <w:rPr>
          <w:rFonts w:ascii="Calibri" w:hAnsi="Calibri" w:cs="Arial"/>
        </w:rPr>
        <w:t xml:space="preserve">. </w:t>
      </w:r>
      <w:r w:rsidR="00B74CE2" w:rsidRPr="00D9172E">
        <w:rPr>
          <w:rFonts w:ascii="Calibri" w:hAnsi="Calibri" w:cs="Arial"/>
        </w:rPr>
        <w:t xml:space="preserve">Hiervoor bestond een speciale homologatiecommissie, die </w:t>
      </w:r>
      <w:r w:rsidR="000B38F6" w:rsidRPr="00D9172E">
        <w:rPr>
          <w:rFonts w:ascii="Calibri" w:hAnsi="Calibri" w:cs="Arial"/>
        </w:rPr>
        <w:t>halfjaarlijks</w:t>
      </w:r>
      <w:r w:rsidR="00974B21" w:rsidRPr="00D9172E">
        <w:rPr>
          <w:rStyle w:val="Voetnootmarkering"/>
          <w:rFonts w:ascii="Calibri" w:hAnsi="Calibri" w:cs="Arial"/>
        </w:rPr>
        <w:footnoteReference w:id="103"/>
      </w:r>
      <w:r w:rsidR="000B38F6" w:rsidRPr="00D9172E">
        <w:rPr>
          <w:rFonts w:ascii="Calibri" w:hAnsi="Calibri" w:cs="Arial"/>
        </w:rPr>
        <w:t xml:space="preserve"> </w:t>
      </w:r>
      <w:r w:rsidR="00B74CE2" w:rsidRPr="00D9172E">
        <w:rPr>
          <w:rFonts w:ascii="Calibri" w:hAnsi="Calibri" w:cs="Arial"/>
        </w:rPr>
        <w:t>mondelinge examens afnam van de stagiairs</w:t>
      </w:r>
      <w:r w:rsidR="007A3440" w:rsidRPr="00D9172E">
        <w:rPr>
          <w:rStyle w:val="Voetnootmarkering"/>
          <w:rFonts w:ascii="Calibri" w:hAnsi="Calibri" w:cs="Arial"/>
        </w:rPr>
        <w:footnoteReference w:id="104"/>
      </w:r>
      <w:r w:rsidR="00B74CE2" w:rsidRPr="00D9172E">
        <w:rPr>
          <w:rFonts w:ascii="Calibri" w:hAnsi="Calibri" w:cs="Arial"/>
        </w:rPr>
        <w:t>. De klemtoon van dit examen lag vooral in de legitieme beëindiging van de stage, zowel in</w:t>
      </w:r>
      <w:r w:rsidR="000B38F6" w:rsidRPr="00D9172E">
        <w:rPr>
          <w:rFonts w:ascii="Calibri" w:hAnsi="Calibri" w:cs="Arial"/>
        </w:rPr>
        <w:t xml:space="preserve"> de wettelijke, ononderbroken</w:t>
      </w:r>
      <w:r w:rsidR="00B74CE2" w:rsidRPr="00D9172E">
        <w:rPr>
          <w:rFonts w:ascii="Calibri" w:hAnsi="Calibri" w:cs="Arial"/>
        </w:rPr>
        <w:t xml:space="preserve"> duur</w:t>
      </w:r>
      <w:r w:rsidR="000B38F6" w:rsidRPr="00D9172E">
        <w:rPr>
          <w:rFonts w:ascii="Calibri" w:hAnsi="Calibri" w:cs="Arial"/>
        </w:rPr>
        <w:t xml:space="preserve"> van twee jaar</w:t>
      </w:r>
      <w:r w:rsidR="00A830FB" w:rsidRPr="00D9172E">
        <w:rPr>
          <w:rStyle w:val="Voetnootmarkering"/>
          <w:rFonts w:ascii="Calibri" w:hAnsi="Calibri" w:cs="Arial"/>
        </w:rPr>
        <w:footnoteReference w:id="105"/>
      </w:r>
      <w:r w:rsidR="00B74CE2" w:rsidRPr="00D9172E">
        <w:rPr>
          <w:rFonts w:ascii="Calibri" w:hAnsi="Calibri" w:cs="Arial"/>
        </w:rPr>
        <w:t xml:space="preserve"> als in </w:t>
      </w:r>
      <w:r w:rsidR="000B38F6" w:rsidRPr="00D9172E">
        <w:rPr>
          <w:rFonts w:ascii="Calibri" w:hAnsi="Calibri" w:cs="Arial"/>
        </w:rPr>
        <w:t xml:space="preserve">het verwerven </w:t>
      </w:r>
      <w:r w:rsidR="005335C5" w:rsidRPr="00D9172E">
        <w:rPr>
          <w:rFonts w:ascii="Calibri" w:hAnsi="Calibri" w:cs="Arial"/>
        </w:rPr>
        <w:t xml:space="preserve">van </w:t>
      </w:r>
      <w:r w:rsidR="00B74CE2" w:rsidRPr="00D9172E">
        <w:rPr>
          <w:rFonts w:ascii="Calibri" w:hAnsi="Calibri" w:cs="Arial"/>
        </w:rPr>
        <w:t xml:space="preserve">de vereiste </w:t>
      </w:r>
      <w:r w:rsidR="00A830FB" w:rsidRPr="00D9172E">
        <w:rPr>
          <w:rFonts w:ascii="Calibri" w:hAnsi="Calibri" w:cs="Arial"/>
        </w:rPr>
        <w:t>bekwaamheden</w:t>
      </w:r>
      <w:r w:rsidR="00A830FB" w:rsidRPr="00D9172E">
        <w:rPr>
          <w:rStyle w:val="Voetnootmarkering"/>
          <w:rFonts w:ascii="Calibri" w:hAnsi="Calibri" w:cs="Arial"/>
        </w:rPr>
        <w:footnoteReference w:id="106"/>
      </w:r>
      <w:r w:rsidR="000B38F6" w:rsidRPr="00D9172E">
        <w:rPr>
          <w:rFonts w:ascii="Calibri" w:hAnsi="Calibri" w:cs="Arial"/>
        </w:rPr>
        <w:t xml:space="preserve">. </w:t>
      </w:r>
      <w:r w:rsidR="00E426BA" w:rsidRPr="00D9172E">
        <w:rPr>
          <w:rFonts w:ascii="Calibri" w:hAnsi="Calibri" w:cs="Arial"/>
        </w:rPr>
        <w:t xml:space="preserve">Na het horen van de stagiairs trok de commissie zich terug en beraadslaagde achter gesloten deuren over </w:t>
      </w:r>
      <w:r w:rsidR="00B118E7" w:rsidRPr="00D9172E">
        <w:rPr>
          <w:rFonts w:ascii="Calibri" w:hAnsi="Calibri" w:cs="Arial"/>
        </w:rPr>
        <w:t>het al dan niet homologeren van de stages</w:t>
      </w:r>
      <w:r w:rsidR="00A830FB" w:rsidRPr="00D9172E">
        <w:rPr>
          <w:rStyle w:val="Voetnootmarkering"/>
          <w:rFonts w:ascii="Calibri" w:hAnsi="Calibri" w:cs="Arial"/>
        </w:rPr>
        <w:footnoteReference w:id="107"/>
      </w:r>
      <w:r w:rsidR="00E426BA" w:rsidRPr="00D9172E">
        <w:rPr>
          <w:rFonts w:ascii="Calibri" w:hAnsi="Calibri" w:cs="Arial"/>
        </w:rPr>
        <w:t xml:space="preserve">. </w:t>
      </w:r>
      <w:r w:rsidR="00E426BA" w:rsidRPr="00D9172E">
        <w:rPr>
          <w:rFonts w:ascii="Calibri" w:hAnsi="Calibri" w:cs="Arial"/>
        </w:rPr>
        <w:br/>
      </w:r>
      <w:r w:rsidR="00464A3C" w:rsidRPr="00D9172E">
        <w:rPr>
          <w:rFonts w:ascii="Calibri" w:hAnsi="Calibri" w:cs="Arial"/>
        </w:rPr>
        <w:br/>
      </w:r>
      <w:r>
        <w:rPr>
          <w:rFonts w:ascii="Calibri" w:hAnsi="Calibri" w:cs="Arial"/>
          <w:b/>
        </w:rPr>
        <w:t>43.</w:t>
      </w:r>
      <w:r w:rsidR="00E426BA" w:rsidRPr="00D9172E">
        <w:rPr>
          <w:rFonts w:ascii="Calibri" w:hAnsi="Calibri" w:cs="Arial"/>
        </w:rPr>
        <w:t>Elke stagiair wiens stage werd gehomologeerd, verkreeg de titel van kandidaat-gerechtsdeurwaarder</w:t>
      </w:r>
      <w:r w:rsidR="00A82833" w:rsidRPr="00D9172E">
        <w:rPr>
          <w:rStyle w:val="Voetnootmarkering"/>
          <w:rFonts w:ascii="Calibri" w:hAnsi="Calibri" w:cs="Arial"/>
        </w:rPr>
        <w:footnoteReference w:id="108"/>
      </w:r>
      <w:r w:rsidR="004C6163" w:rsidRPr="00D9172E">
        <w:rPr>
          <w:rFonts w:ascii="Calibri" w:hAnsi="Calibri" w:cs="Arial"/>
        </w:rPr>
        <w:t xml:space="preserve">. </w:t>
      </w:r>
      <w:r w:rsidR="00E426BA" w:rsidRPr="00D9172E">
        <w:rPr>
          <w:rFonts w:ascii="Calibri" w:hAnsi="Calibri" w:cs="Arial"/>
        </w:rPr>
        <w:t>Dit is dus nu niet meer het geval: elke kandidaat-gerechtsdeurwaarder wordt, net als titularissen, benoemd bij koninklijk besluit</w:t>
      </w:r>
      <w:r w:rsidR="00A82833" w:rsidRPr="00D9172E">
        <w:rPr>
          <w:rStyle w:val="Voetnootmarkering"/>
          <w:rFonts w:ascii="Calibri" w:hAnsi="Calibri" w:cs="Arial"/>
        </w:rPr>
        <w:footnoteReference w:id="109"/>
      </w:r>
      <w:r w:rsidR="00E426BA" w:rsidRPr="00D9172E">
        <w:rPr>
          <w:rFonts w:ascii="Calibri" w:hAnsi="Calibri" w:cs="Arial"/>
        </w:rPr>
        <w:t xml:space="preserve"> indien hij</w:t>
      </w:r>
      <w:r w:rsidR="00056474">
        <w:rPr>
          <w:rFonts w:ascii="Calibri" w:hAnsi="Calibri" w:cs="Arial"/>
        </w:rPr>
        <w:t xml:space="preserve"> of </w:t>
      </w:r>
      <w:r w:rsidR="00E426BA" w:rsidRPr="00D9172E">
        <w:rPr>
          <w:rFonts w:ascii="Calibri" w:hAnsi="Calibri" w:cs="Arial"/>
        </w:rPr>
        <w:t>zij voorkomt op de rangschikking</w:t>
      </w:r>
      <w:r w:rsidR="00CF730B" w:rsidRPr="00D9172E">
        <w:rPr>
          <w:rFonts w:ascii="Calibri" w:hAnsi="Calibri" w:cs="Arial"/>
        </w:rPr>
        <w:t>,</w:t>
      </w:r>
      <w:r w:rsidR="00E426BA" w:rsidRPr="00D9172E">
        <w:rPr>
          <w:rFonts w:ascii="Calibri" w:hAnsi="Calibri" w:cs="Arial"/>
        </w:rPr>
        <w:t xml:space="preserve"> opgemaakt door de benoemingscommissie</w:t>
      </w:r>
      <w:r w:rsidR="00CF730B" w:rsidRPr="00D9172E">
        <w:rPr>
          <w:rFonts w:ascii="Calibri" w:hAnsi="Calibri" w:cs="Arial"/>
        </w:rPr>
        <w:t xml:space="preserve"> op basis van het vergelijkend examen</w:t>
      </w:r>
      <w:r w:rsidR="00E426BA" w:rsidRPr="00D9172E">
        <w:rPr>
          <w:rFonts w:ascii="Calibri" w:hAnsi="Calibri" w:cs="Arial"/>
        </w:rPr>
        <w:t xml:space="preserve">. </w:t>
      </w:r>
      <w:r w:rsidR="00D31F12" w:rsidRPr="00D9172E">
        <w:rPr>
          <w:rFonts w:ascii="Calibri" w:hAnsi="Calibri" w:cs="Arial"/>
        </w:rPr>
        <w:t>Sinds 2014</w:t>
      </w:r>
      <w:r w:rsidR="00E426BA" w:rsidRPr="00D9172E">
        <w:rPr>
          <w:rFonts w:ascii="Calibri" w:hAnsi="Calibri" w:cs="Arial"/>
        </w:rPr>
        <w:t xml:space="preserve"> geldt er </w:t>
      </w:r>
      <w:r w:rsidR="00B12402">
        <w:rPr>
          <w:rFonts w:ascii="Calibri" w:hAnsi="Calibri" w:cs="Arial"/>
        </w:rPr>
        <w:t>ook</w:t>
      </w:r>
      <w:r w:rsidR="00E426BA" w:rsidRPr="00D9172E">
        <w:rPr>
          <w:rFonts w:ascii="Calibri" w:hAnsi="Calibri" w:cs="Arial"/>
        </w:rPr>
        <w:t xml:space="preserve"> een </w:t>
      </w:r>
      <w:proofErr w:type="spellStart"/>
      <w:r w:rsidR="00E426BA" w:rsidRPr="00D9172E">
        <w:rPr>
          <w:rFonts w:ascii="Calibri" w:hAnsi="Calibri" w:cs="Arial"/>
        </w:rPr>
        <w:t>numerus</w:t>
      </w:r>
      <w:proofErr w:type="spellEnd"/>
      <w:r w:rsidR="00E426BA" w:rsidRPr="00D9172E">
        <w:rPr>
          <w:rFonts w:ascii="Calibri" w:hAnsi="Calibri" w:cs="Arial"/>
        </w:rPr>
        <w:t xml:space="preserve"> </w:t>
      </w:r>
      <w:proofErr w:type="spellStart"/>
      <w:r w:rsidR="00E426BA" w:rsidRPr="00D9172E">
        <w:rPr>
          <w:rFonts w:ascii="Calibri" w:hAnsi="Calibri" w:cs="Arial"/>
        </w:rPr>
        <w:t>clausus</w:t>
      </w:r>
      <w:proofErr w:type="spellEnd"/>
      <w:r w:rsidR="00B84892" w:rsidRPr="00D9172E">
        <w:rPr>
          <w:rStyle w:val="Voetnootmarkering"/>
          <w:rFonts w:ascii="Calibri" w:hAnsi="Calibri" w:cs="Arial"/>
        </w:rPr>
        <w:footnoteReference w:id="110"/>
      </w:r>
      <w:r w:rsidR="00E426BA" w:rsidRPr="00D9172E">
        <w:rPr>
          <w:rFonts w:ascii="Calibri" w:hAnsi="Calibri" w:cs="Arial"/>
        </w:rPr>
        <w:t xml:space="preserve"> voor de kandidaat-gerechtsdeurwaarders, </w:t>
      </w:r>
      <w:r w:rsidR="00CF730B" w:rsidRPr="00D9172E">
        <w:rPr>
          <w:rFonts w:ascii="Calibri" w:hAnsi="Calibri" w:cs="Arial"/>
        </w:rPr>
        <w:t>eveneens bij KB vastgesteld, die ervoor zorgt dat enkel de meest geschikte kandidaten</w:t>
      </w:r>
      <w:r w:rsidR="005504A1" w:rsidRPr="00D9172E">
        <w:rPr>
          <w:rFonts w:ascii="Calibri" w:hAnsi="Calibri" w:cs="Arial"/>
        </w:rPr>
        <w:t>, proportioneel aan de noden</w:t>
      </w:r>
      <w:r w:rsidR="00530B80" w:rsidRPr="00D9172E">
        <w:rPr>
          <w:rFonts w:ascii="Calibri" w:hAnsi="Calibri" w:cs="Arial"/>
        </w:rPr>
        <w:t xml:space="preserve"> van dat jaar</w:t>
      </w:r>
      <w:r w:rsidR="005504A1" w:rsidRPr="00D9172E">
        <w:rPr>
          <w:rFonts w:ascii="Calibri" w:hAnsi="Calibri" w:cs="Arial"/>
        </w:rPr>
        <w:t>,</w:t>
      </w:r>
      <w:r w:rsidR="00CF730B" w:rsidRPr="00D9172E">
        <w:rPr>
          <w:rFonts w:ascii="Calibri" w:hAnsi="Calibri" w:cs="Arial"/>
        </w:rPr>
        <w:t xml:space="preserve"> zullen worden benoemd.</w:t>
      </w:r>
      <w:r w:rsidR="0081574C" w:rsidRPr="00D9172E">
        <w:rPr>
          <w:rFonts w:ascii="Calibri" w:hAnsi="Calibri" w:cs="Arial"/>
        </w:rPr>
        <w:t xml:space="preserve"> </w:t>
      </w:r>
      <w:r w:rsidR="00F91AA7" w:rsidRPr="00D9172E">
        <w:rPr>
          <w:rFonts w:ascii="Calibri" w:hAnsi="Calibri" w:cs="Arial"/>
        </w:rPr>
        <w:br/>
      </w:r>
      <w:r w:rsidR="00E95AE4" w:rsidRPr="00D9172E">
        <w:rPr>
          <w:rFonts w:ascii="Calibri" w:hAnsi="Calibri" w:cs="Arial"/>
        </w:rPr>
        <w:lastRenderedPageBreak/>
        <w:br/>
      </w:r>
      <w:r w:rsidR="00936FC7">
        <w:rPr>
          <w:rFonts w:ascii="Calibri" w:hAnsi="Calibri" w:cs="Arial"/>
          <w:b/>
        </w:rPr>
        <w:t>44.</w:t>
      </w:r>
      <w:r w:rsidR="00662325">
        <w:rPr>
          <w:rFonts w:ascii="Calibri" w:hAnsi="Calibri" w:cs="Arial"/>
        </w:rPr>
        <w:t xml:space="preserve">Gerechtsdeurwaarder </w:t>
      </w:r>
      <w:proofErr w:type="spellStart"/>
      <w:r w:rsidR="00662325">
        <w:rPr>
          <w:rFonts w:ascii="Calibri" w:hAnsi="Calibri" w:cs="Arial"/>
        </w:rPr>
        <w:t>L</w:t>
      </w:r>
      <w:r w:rsidR="00E3498A">
        <w:rPr>
          <w:rFonts w:ascii="Calibri" w:hAnsi="Calibri" w:cs="Arial"/>
        </w:rPr>
        <w:t>ombardi</w:t>
      </w:r>
      <w:proofErr w:type="spellEnd"/>
      <w:r w:rsidR="00F91AA7" w:rsidRPr="00D9172E">
        <w:rPr>
          <w:rFonts w:ascii="Calibri" w:hAnsi="Calibri" w:cs="Arial"/>
        </w:rPr>
        <w:t xml:space="preserve"> ziet dit als een win-winsituatie</w:t>
      </w:r>
      <w:r w:rsidR="00662325">
        <w:rPr>
          <w:rStyle w:val="Voetnootmarkering"/>
          <w:rFonts w:ascii="Calibri" w:hAnsi="Calibri" w:cs="Arial"/>
        </w:rPr>
        <w:footnoteReference w:id="111"/>
      </w:r>
      <w:r w:rsidR="00F91AA7" w:rsidRPr="00D9172E">
        <w:rPr>
          <w:rFonts w:ascii="Calibri" w:hAnsi="Calibri" w:cs="Arial"/>
        </w:rPr>
        <w:t>: de kwaliteit van de kandidaat-gerechtsdeurwaarders wordt gewaarborgd en tegelijk hebben zij – gezien het beperktere aantal</w:t>
      </w:r>
      <w:r w:rsidR="00A036A9">
        <w:rPr>
          <w:rFonts w:ascii="Calibri" w:hAnsi="Calibri" w:cs="Arial"/>
        </w:rPr>
        <w:t xml:space="preserve"> – </w:t>
      </w:r>
      <w:r w:rsidR="00F91AA7" w:rsidRPr="00D9172E">
        <w:rPr>
          <w:rFonts w:ascii="Calibri" w:hAnsi="Calibri" w:cs="Arial"/>
        </w:rPr>
        <w:t>veel meer perspectie</w:t>
      </w:r>
      <w:r w:rsidR="00B12402">
        <w:rPr>
          <w:rFonts w:ascii="Calibri" w:hAnsi="Calibri" w:cs="Arial"/>
        </w:rPr>
        <w:t>f</w:t>
      </w:r>
      <w:r w:rsidR="00F91AA7" w:rsidRPr="00D9172E">
        <w:rPr>
          <w:rFonts w:ascii="Calibri" w:hAnsi="Calibri" w:cs="Arial"/>
        </w:rPr>
        <w:t xml:space="preserve"> o</w:t>
      </w:r>
      <w:r w:rsidR="002E23E0" w:rsidRPr="00D9172E">
        <w:rPr>
          <w:rFonts w:ascii="Calibri" w:hAnsi="Calibri" w:cs="Arial"/>
        </w:rPr>
        <w:t xml:space="preserve">p benoeming tot titularis. </w:t>
      </w:r>
      <w:r w:rsidR="00D20CA9" w:rsidRPr="00D9172E">
        <w:rPr>
          <w:rFonts w:ascii="Calibri" w:hAnsi="Calibri" w:cs="Arial"/>
        </w:rPr>
        <w:t>Wanneer</w:t>
      </w:r>
      <w:r w:rsidR="00E95AE4" w:rsidRPr="00D9172E">
        <w:rPr>
          <w:rFonts w:ascii="Calibri" w:hAnsi="Calibri" w:cs="Arial"/>
        </w:rPr>
        <w:t xml:space="preserve"> we een blik werpen op de cijfers van de NKGB</w:t>
      </w:r>
      <w:r w:rsidR="00E837B4" w:rsidRPr="00D9172E">
        <w:rPr>
          <w:rFonts w:ascii="Calibri" w:hAnsi="Calibri" w:cs="Arial"/>
        </w:rPr>
        <w:t xml:space="preserve"> </w:t>
      </w:r>
      <w:r w:rsidR="00E95AE4" w:rsidRPr="00D9172E">
        <w:rPr>
          <w:rFonts w:ascii="Calibri" w:hAnsi="Calibri" w:cs="Arial"/>
        </w:rPr>
        <w:t>blijkt dit geen overbodige luxe: zo zou de</w:t>
      </w:r>
      <w:r w:rsidR="003047CE" w:rsidRPr="00D9172E">
        <w:rPr>
          <w:rFonts w:ascii="Calibri" w:hAnsi="Calibri" w:cs="Arial"/>
        </w:rPr>
        <w:t xml:space="preserve"> gemiddelde leeftijd van benoeming tot titularis </w:t>
      </w:r>
      <w:r w:rsidR="00E95AE4" w:rsidRPr="00D9172E">
        <w:rPr>
          <w:rFonts w:ascii="Calibri" w:hAnsi="Calibri" w:cs="Arial"/>
        </w:rPr>
        <w:t>44 j</w:t>
      </w:r>
      <w:r w:rsidR="000A322C" w:rsidRPr="00D9172E">
        <w:rPr>
          <w:rFonts w:ascii="Calibri" w:hAnsi="Calibri" w:cs="Arial"/>
        </w:rPr>
        <w:t>aar bedragen</w:t>
      </w:r>
      <w:r w:rsidR="00E837B4" w:rsidRPr="00D9172E">
        <w:rPr>
          <w:rStyle w:val="Voetnootmarkering"/>
          <w:rFonts w:ascii="Calibri" w:hAnsi="Calibri" w:cs="Arial"/>
        </w:rPr>
        <w:footnoteReference w:id="112"/>
      </w:r>
      <w:r w:rsidR="000A322C" w:rsidRPr="00D9172E">
        <w:rPr>
          <w:rFonts w:ascii="Calibri" w:hAnsi="Calibri" w:cs="Arial"/>
        </w:rPr>
        <w:t xml:space="preserve"> en hadden anno 2016</w:t>
      </w:r>
      <w:r w:rsidR="00E95AE4" w:rsidRPr="00D9172E">
        <w:rPr>
          <w:rFonts w:ascii="Calibri" w:hAnsi="Calibri" w:cs="Arial"/>
        </w:rPr>
        <w:t xml:space="preserve"> </w:t>
      </w:r>
      <w:r w:rsidR="00D20CA9" w:rsidRPr="00D9172E">
        <w:rPr>
          <w:rFonts w:ascii="Calibri" w:hAnsi="Calibri" w:cs="Arial"/>
        </w:rPr>
        <w:t xml:space="preserve">maar liefst </w:t>
      </w:r>
      <w:r w:rsidR="00E95AE4" w:rsidRPr="00D9172E">
        <w:rPr>
          <w:rFonts w:ascii="Calibri" w:hAnsi="Calibri" w:cs="Arial"/>
        </w:rPr>
        <w:t>13% van de kandidaat-gerechtsdeurwaarders meer dan 20 jaar anciënniteit</w:t>
      </w:r>
      <w:r w:rsidR="00E837B4" w:rsidRPr="00D9172E">
        <w:rPr>
          <w:rStyle w:val="Voetnootmarkering"/>
          <w:rFonts w:ascii="Calibri" w:hAnsi="Calibri" w:cs="Arial"/>
        </w:rPr>
        <w:footnoteReference w:id="113"/>
      </w:r>
      <w:r w:rsidR="00E95AE4" w:rsidRPr="00D9172E">
        <w:rPr>
          <w:rFonts w:ascii="Calibri" w:hAnsi="Calibri" w:cs="Arial"/>
        </w:rPr>
        <w:t>.</w:t>
      </w:r>
      <w:r w:rsidR="005C3104" w:rsidRPr="00D9172E">
        <w:rPr>
          <w:rFonts w:ascii="Calibri" w:hAnsi="Calibri" w:cs="Arial"/>
        </w:rPr>
        <w:br/>
        <w:t>Ter i</w:t>
      </w:r>
      <w:r w:rsidR="00A036A9">
        <w:rPr>
          <w:rFonts w:ascii="Calibri" w:hAnsi="Calibri" w:cs="Arial"/>
        </w:rPr>
        <w:t>nformatie</w:t>
      </w:r>
      <w:r w:rsidR="005C3104" w:rsidRPr="00D9172E">
        <w:rPr>
          <w:rFonts w:ascii="Calibri" w:hAnsi="Calibri" w:cs="Arial"/>
        </w:rPr>
        <w:t xml:space="preserve">: </w:t>
      </w:r>
      <w:r w:rsidR="00C32832" w:rsidRPr="00D9172E">
        <w:rPr>
          <w:rFonts w:ascii="Calibri" w:hAnsi="Calibri" w:cs="Arial"/>
        </w:rPr>
        <w:t xml:space="preserve">voor 2020 </w:t>
      </w:r>
      <w:r w:rsidR="00B354BD" w:rsidRPr="00D9172E">
        <w:rPr>
          <w:rFonts w:ascii="Calibri" w:hAnsi="Calibri" w:cs="Arial"/>
        </w:rPr>
        <w:t>werd</w:t>
      </w:r>
      <w:r w:rsidR="009F41D0" w:rsidRPr="00D9172E">
        <w:rPr>
          <w:rFonts w:ascii="Calibri" w:hAnsi="Calibri" w:cs="Arial"/>
        </w:rPr>
        <w:t>en v</w:t>
      </w:r>
      <w:r w:rsidR="005C3104" w:rsidRPr="00D9172E">
        <w:rPr>
          <w:rFonts w:ascii="Calibri" w:hAnsi="Calibri" w:cs="Arial"/>
        </w:rPr>
        <w:t xml:space="preserve">oor de Nederlandse taalrol 27 te benoemen </w:t>
      </w:r>
      <w:r w:rsidR="00B354BD" w:rsidRPr="00D9172E">
        <w:rPr>
          <w:rFonts w:ascii="Calibri" w:hAnsi="Calibri" w:cs="Arial"/>
        </w:rPr>
        <w:t>kandidaat-gerechtsdeurwaarders</w:t>
      </w:r>
      <w:r w:rsidR="004E4401" w:rsidRPr="00D9172E">
        <w:rPr>
          <w:rFonts w:ascii="Calibri" w:hAnsi="Calibri" w:cs="Arial"/>
        </w:rPr>
        <w:t xml:space="preserve"> </w:t>
      </w:r>
      <w:r w:rsidR="005C3104" w:rsidRPr="00D9172E">
        <w:rPr>
          <w:rFonts w:ascii="Calibri" w:hAnsi="Calibri" w:cs="Arial"/>
        </w:rPr>
        <w:t xml:space="preserve">vastgesteld, </w:t>
      </w:r>
      <w:r w:rsidR="00B354BD" w:rsidRPr="00D9172E">
        <w:rPr>
          <w:rFonts w:ascii="Calibri" w:hAnsi="Calibri" w:cs="Arial"/>
        </w:rPr>
        <w:t xml:space="preserve">voor de </w:t>
      </w:r>
      <w:r w:rsidR="005C3104" w:rsidRPr="00D9172E">
        <w:rPr>
          <w:rFonts w:ascii="Calibri" w:hAnsi="Calibri" w:cs="Arial"/>
        </w:rPr>
        <w:t>Franse taalrol 18</w:t>
      </w:r>
      <w:r w:rsidR="00C32832" w:rsidRPr="00D9172E">
        <w:rPr>
          <w:rStyle w:val="Voetnootmarkering"/>
          <w:rFonts w:ascii="Calibri" w:hAnsi="Calibri" w:cs="Arial"/>
        </w:rPr>
        <w:footnoteReference w:id="114"/>
      </w:r>
      <w:r w:rsidR="009F41D0" w:rsidRPr="00D9172E">
        <w:rPr>
          <w:rFonts w:ascii="Calibri" w:hAnsi="Calibri" w:cs="Arial"/>
        </w:rPr>
        <w:t>.</w:t>
      </w:r>
      <w:r w:rsidR="005D2336" w:rsidRPr="00D9172E">
        <w:rPr>
          <w:rFonts w:ascii="Calibri" w:hAnsi="Calibri" w:cs="Arial"/>
        </w:rPr>
        <w:br/>
      </w:r>
      <w:r w:rsidR="00E94E37">
        <w:rPr>
          <w:rFonts w:ascii="Calibri" w:hAnsi="Calibri" w:cs="Arial"/>
        </w:rPr>
        <w:br/>
      </w:r>
      <w:r w:rsidR="001B44A2">
        <w:rPr>
          <w:rStyle w:val="Kop3Char"/>
        </w:rPr>
        <w:t xml:space="preserve">Afdeling II: </w:t>
      </w:r>
      <w:r w:rsidR="00E94E37" w:rsidRPr="00E94E37">
        <w:rPr>
          <w:rStyle w:val="Kop3Char"/>
        </w:rPr>
        <w:t>Overige maatregelen van opwaardering</w:t>
      </w:r>
    </w:p>
    <w:p w14:paraId="41181FFB" w14:textId="04D0A7C5" w:rsidR="00914B94" w:rsidRPr="00D9172E" w:rsidRDefault="00901E0D" w:rsidP="00C75526">
      <w:pPr>
        <w:pStyle w:val="Normaalweb"/>
        <w:spacing w:line="276" w:lineRule="auto"/>
        <w:jc w:val="both"/>
        <w:rPr>
          <w:rFonts w:ascii="Calibri" w:hAnsi="Calibri" w:cs="Arial"/>
        </w:rPr>
      </w:pPr>
      <w:r>
        <w:rPr>
          <w:rFonts w:ascii="Calibri" w:hAnsi="Calibri" w:cs="Arial"/>
          <w:b/>
        </w:rPr>
        <w:t>45.</w:t>
      </w:r>
      <w:r w:rsidR="007F6F49" w:rsidRPr="00D9172E">
        <w:rPr>
          <w:rFonts w:ascii="Calibri" w:hAnsi="Calibri" w:cs="Arial"/>
        </w:rPr>
        <w:t>Ten tweede zijn kandidaat-gerechtsdeurwaarders voortaan volwaardig lid van de NKGB en de arrondissementskamer, alwaar zij dezelfde rechten en plichten hebben als gerechtsdeurwaarders</w:t>
      </w:r>
      <w:r w:rsidR="007B735D">
        <w:rPr>
          <w:rFonts w:ascii="Calibri" w:hAnsi="Calibri" w:cs="Arial"/>
        </w:rPr>
        <w:t>-titularis</w:t>
      </w:r>
      <w:r w:rsidR="007F6F49" w:rsidRPr="00D9172E">
        <w:rPr>
          <w:rFonts w:ascii="Calibri" w:hAnsi="Calibri" w:cs="Arial"/>
        </w:rPr>
        <w:t>.</w:t>
      </w:r>
      <w:r w:rsidR="00A776EC" w:rsidRPr="00D9172E">
        <w:rPr>
          <w:rFonts w:ascii="Calibri" w:hAnsi="Calibri" w:cs="Arial"/>
        </w:rPr>
        <w:t xml:space="preserve"> Dat betekent</w:t>
      </w:r>
      <w:r w:rsidR="00B616EC" w:rsidRPr="00D9172E">
        <w:rPr>
          <w:rFonts w:ascii="Calibri" w:hAnsi="Calibri" w:cs="Arial"/>
        </w:rPr>
        <w:t xml:space="preserve"> dus</w:t>
      </w:r>
      <w:r w:rsidR="00A776EC" w:rsidRPr="00D9172E">
        <w:rPr>
          <w:rFonts w:ascii="Calibri" w:hAnsi="Calibri" w:cs="Arial"/>
        </w:rPr>
        <w:t xml:space="preserve"> dat ook zij onderworpen zijn aan het tuchtrecht en de deontologische regels</w:t>
      </w:r>
      <w:r w:rsidR="00C32832" w:rsidRPr="00D9172E">
        <w:rPr>
          <w:rStyle w:val="Voetnootmarkering"/>
          <w:rFonts w:ascii="Calibri" w:hAnsi="Calibri" w:cs="Arial"/>
        </w:rPr>
        <w:footnoteReference w:id="115"/>
      </w:r>
      <w:r w:rsidR="00A776EC" w:rsidRPr="00D9172E">
        <w:rPr>
          <w:rFonts w:ascii="Calibri" w:hAnsi="Calibri" w:cs="Arial"/>
        </w:rPr>
        <w:t>.</w:t>
      </w:r>
      <w:r w:rsidR="007F6F49" w:rsidRPr="00D9172E">
        <w:rPr>
          <w:rFonts w:ascii="Calibri" w:hAnsi="Calibri" w:cs="Arial"/>
        </w:rPr>
        <w:t xml:space="preserve"> </w:t>
      </w:r>
      <w:r w:rsidR="00A776EC" w:rsidRPr="00D9172E">
        <w:rPr>
          <w:rFonts w:ascii="Calibri" w:hAnsi="Calibri" w:cs="Arial"/>
        </w:rPr>
        <w:t xml:space="preserve">Dit is logisch: vermits gerechtsdeurwaarders zich </w:t>
      </w:r>
      <w:r w:rsidR="00AD5EC1" w:rsidRPr="00D9172E">
        <w:rPr>
          <w:rFonts w:ascii="Calibri" w:hAnsi="Calibri" w:cs="Arial"/>
        </w:rPr>
        <w:t xml:space="preserve">voortaan </w:t>
      </w:r>
      <w:r w:rsidR="00A776EC" w:rsidRPr="00D9172E">
        <w:rPr>
          <w:rFonts w:ascii="Calibri" w:hAnsi="Calibri" w:cs="Arial"/>
        </w:rPr>
        <w:t xml:space="preserve">ook zonder de goedkeuring van de procureur des Konings door kandidaat-gerechtsdeurwaarders kunnen laten vervangen, </w:t>
      </w:r>
      <w:r w:rsidR="004673CB" w:rsidRPr="00D9172E">
        <w:rPr>
          <w:rFonts w:ascii="Calibri" w:hAnsi="Calibri" w:cs="Arial"/>
        </w:rPr>
        <w:t xml:space="preserve">kan het niet anders dan dat ook zij zich moeten houden aan de deontologische code van het ambt. </w:t>
      </w:r>
    </w:p>
    <w:p w14:paraId="45424F00" w14:textId="44DA1831" w:rsidR="00B962D5" w:rsidRPr="00D9172E" w:rsidRDefault="00901E0D" w:rsidP="00C75526">
      <w:pPr>
        <w:pStyle w:val="Normaalweb"/>
        <w:spacing w:line="276" w:lineRule="auto"/>
        <w:jc w:val="both"/>
        <w:rPr>
          <w:rFonts w:ascii="Calibri" w:hAnsi="Calibri" w:cs="Arial"/>
        </w:rPr>
      </w:pPr>
      <w:r>
        <w:rPr>
          <w:rFonts w:ascii="Calibri" w:hAnsi="Calibri" w:cs="Arial"/>
          <w:b/>
        </w:rPr>
        <w:t>46.</w:t>
      </w:r>
      <w:r w:rsidR="00B962D5" w:rsidRPr="00D9172E">
        <w:rPr>
          <w:rFonts w:ascii="Calibri" w:hAnsi="Calibri" w:cs="Arial"/>
        </w:rPr>
        <w:t xml:space="preserve">Een laatste segment van de opwaardering toont zich in de oprichting van een </w:t>
      </w:r>
      <w:r w:rsidR="00630958" w:rsidRPr="00D9172E">
        <w:rPr>
          <w:rFonts w:ascii="Calibri" w:hAnsi="Calibri" w:cs="Arial"/>
        </w:rPr>
        <w:t>tableau van de kandidaat-gerechtsdeurwaarders</w:t>
      </w:r>
      <w:r w:rsidR="001F0A3C" w:rsidRPr="00D9172E">
        <w:rPr>
          <w:rStyle w:val="Voetnootmarkering"/>
          <w:rFonts w:ascii="Calibri" w:hAnsi="Calibri" w:cs="Arial"/>
        </w:rPr>
        <w:footnoteReference w:id="116"/>
      </w:r>
      <w:r w:rsidR="00630958" w:rsidRPr="00D9172E">
        <w:rPr>
          <w:rFonts w:ascii="Calibri" w:hAnsi="Calibri" w:cs="Arial"/>
        </w:rPr>
        <w:t xml:space="preserve">. Deze lijst wordt bijgehouden door de NKGB en omvat elke benoemde kandidaat-gerechtsdeurwaarder. Het tableau was nodig omwille van dezelfde reden als zo goed als elke wijziging van het kandidatenstatuut, namelijk de mogelijkheid tot plaatsvervanging. Die </w:t>
      </w:r>
      <w:r w:rsidR="00AF27E3" w:rsidRPr="00D9172E">
        <w:rPr>
          <w:rFonts w:ascii="Calibri" w:hAnsi="Calibri" w:cs="Arial"/>
        </w:rPr>
        <w:t xml:space="preserve">taak </w:t>
      </w:r>
      <w:r w:rsidR="00630958" w:rsidRPr="00D9172E">
        <w:rPr>
          <w:rFonts w:ascii="Calibri" w:hAnsi="Calibri" w:cs="Arial"/>
        </w:rPr>
        <w:t>kan slechts door een kandidaat-gerechtsdeurwaarder opgenomen worden indien zijn/haa</w:t>
      </w:r>
      <w:r w:rsidR="00651BF8" w:rsidRPr="00D9172E">
        <w:rPr>
          <w:rFonts w:ascii="Calibri" w:hAnsi="Calibri" w:cs="Arial"/>
        </w:rPr>
        <w:t>r naam op het tableau voorkomt</w:t>
      </w:r>
      <w:r w:rsidR="00651BF8" w:rsidRPr="00D9172E">
        <w:rPr>
          <w:rStyle w:val="Voetnootmarkering"/>
          <w:rFonts w:ascii="Calibri" w:hAnsi="Calibri" w:cs="Arial"/>
        </w:rPr>
        <w:footnoteReference w:id="117"/>
      </w:r>
      <w:r w:rsidR="00651BF8" w:rsidRPr="00D9172E">
        <w:rPr>
          <w:rFonts w:ascii="Calibri" w:hAnsi="Calibri" w:cs="Arial"/>
        </w:rPr>
        <w:t>.</w:t>
      </w:r>
    </w:p>
    <w:p w14:paraId="50AC1FEB" w14:textId="751F4344" w:rsidR="0060556A" w:rsidRDefault="00901E0D" w:rsidP="00903DC3">
      <w:pPr>
        <w:pStyle w:val="Normaalweb"/>
        <w:spacing w:line="276" w:lineRule="auto"/>
        <w:jc w:val="both"/>
        <w:rPr>
          <w:rFonts w:ascii="Calibri" w:hAnsi="Calibri" w:cs="Arial"/>
        </w:rPr>
      </w:pPr>
      <w:r>
        <w:rPr>
          <w:rFonts w:ascii="Calibri" w:hAnsi="Calibri" w:cs="Arial"/>
          <w:b/>
        </w:rPr>
        <w:t>47.</w:t>
      </w:r>
      <w:r w:rsidR="00F91AA7" w:rsidRPr="00D9172E">
        <w:rPr>
          <w:rFonts w:ascii="Calibri" w:hAnsi="Calibri" w:cs="Arial"/>
        </w:rPr>
        <w:t>Logischerwijs gaat v</w:t>
      </w:r>
      <w:r w:rsidR="00914B94" w:rsidRPr="00D9172E">
        <w:rPr>
          <w:rFonts w:ascii="Calibri" w:hAnsi="Calibri" w:cs="Arial"/>
        </w:rPr>
        <w:t>eel van de materie betreffende kandidaat-gerechtsdeurwaarders</w:t>
      </w:r>
      <w:r w:rsidR="00F91AA7" w:rsidRPr="00D9172E">
        <w:rPr>
          <w:rFonts w:ascii="Calibri" w:hAnsi="Calibri" w:cs="Arial"/>
        </w:rPr>
        <w:t xml:space="preserve"> hand in hand met de benoemingsprocedure en</w:t>
      </w:r>
      <w:r w:rsidR="00914B94" w:rsidRPr="00D9172E">
        <w:rPr>
          <w:rFonts w:ascii="Calibri" w:hAnsi="Calibri" w:cs="Arial"/>
        </w:rPr>
        <w:t xml:space="preserve"> werd </w:t>
      </w:r>
      <w:r w:rsidR="00F91AA7" w:rsidRPr="00D9172E">
        <w:rPr>
          <w:rFonts w:ascii="Calibri" w:hAnsi="Calibri" w:cs="Arial"/>
        </w:rPr>
        <w:t xml:space="preserve">dit dus </w:t>
      </w:r>
      <w:r w:rsidR="00914B94" w:rsidRPr="00D9172E">
        <w:rPr>
          <w:rFonts w:ascii="Calibri" w:hAnsi="Calibri" w:cs="Arial"/>
        </w:rPr>
        <w:t xml:space="preserve">reeds </w:t>
      </w:r>
      <w:r w:rsidR="00F402F0" w:rsidRPr="00D9172E">
        <w:rPr>
          <w:rFonts w:ascii="Calibri" w:hAnsi="Calibri" w:cs="Arial"/>
        </w:rPr>
        <w:t xml:space="preserve">aangehaald in hoofdstuk 1, maar </w:t>
      </w:r>
      <w:r w:rsidR="00707322" w:rsidRPr="00D9172E">
        <w:rPr>
          <w:rFonts w:ascii="Calibri" w:hAnsi="Calibri" w:cs="Arial"/>
        </w:rPr>
        <w:t>voor</w:t>
      </w:r>
      <w:r w:rsidR="00F402F0" w:rsidRPr="00D9172E">
        <w:rPr>
          <w:rFonts w:ascii="Calibri" w:hAnsi="Calibri" w:cs="Arial"/>
        </w:rPr>
        <w:t xml:space="preserve"> de kandidaat-gerechtsdeurwaarders kan er geconcludeerd worden dat dit statuut voortaan veel </w:t>
      </w:r>
      <w:r w:rsidR="00B962D5" w:rsidRPr="00D9172E">
        <w:rPr>
          <w:rFonts w:ascii="Calibri" w:hAnsi="Calibri" w:cs="Arial"/>
        </w:rPr>
        <w:t xml:space="preserve">moeilijker te verkrijgen is en dat het kaf reeds op dit niveau van </w:t>
      </w:r>
      <w:r w:rsidR="00D10EA4">
        <w:rPr>
          <w:rFonts w:ascii="Calibri" w:hAnsi="Calibri" w:cs="Arial"/>
        </w:rPr>
        <w:t xml:space="preserve">het </w:t>
      </w:r>
      <w:r w:rsidR="00B962D5" w:rsidRPr="00D9172E">
        <w:rPr>
          <w:rFonts w:ascii="Calibri" w:hAnsi="Calibri" w:cs="Arial"/>
        </w:rPr>
        <w:t xml:space="preserve">koren wordt gescheiden. </w:t>
      </w:r>
      <w:r w:rsidR="0060556A">
        <w:rPr>
          <w:rFonts w:ascii="Calibri" w:hAnsi="Calibri" w:cs="Arial"/>
        </w:rPr>
        <w:br w:type="page"/>
      </w:r>
    </w:p>
    <w:p w14:paraId="28BFDC78" w14:textId="38B0B181" w:rsidR="006D5F8E" w:rsidRDefault="0044724A" w:rsidP="002532B7">
      <w:pPr>
        <w:pStyle w:val="Kop2"/>
        <w:spacing w:line="276" w:lineRule="auto"/>
        <w:rPr>
          <w:lang w:val="nl-BE"/>
        </w:rPr>
      </w:pPr>
      <w:bookmarkStart w:id="21" w:name="_Toc40689959"/>
      <w:r w:rsidRPr="00D9172E">
        <w:lastRenderedPageBreak/>
        <w:t>Hoofdstuk 3</w:t>
      </w:r>
      <w:r w:rsidR="0056597B">
        <w:t>:</w:t>
      </w:r>
      <w:r w:rsidR="006D5F8E" w:rsidRPr="006D5F8E">
        <w:rPr>
          <w:lang w:val="nl-BE"/>
        </w:rPr>
        <w:t xml:space="preserve"> </w:t>
      </w:r>
      <w:r w:rsidR="006D5F8E">
        <w:rPr>
          <w:lang w:val="nl-BE"/>
        </w:rPr>
        <w:t>Continuïteitsgarantie voor niet-geassocieerde kantoren</w:t>
      </w:r>
      <w:bookmarkEnd w:id="21"/>
      <w:r w:rsidR="006D5F8E">
        <w:rPr>
          <w:lang w:val="nl-BE"/>
        </w:rPr>
        <w:t xml:space="preserve"> </w:t>
      </w:r>
    </w:p>
    <w:p w14:paraId="340EE668" w14:textId="06A5FBF7" w:rsidR="00992A88" w:rsidRPr="006D5F8E" w:rsidRDefault="00992A88" w:rsidP="002532B7">
      <w:pPr>
        <w:pStyle w:val="Kop2"/>
        <w:spacing w:line="276" w:lineRule="auto"/>
        <w:rPr>
          <w:lang w:val="nl-BE"/>
        </w:rPr>
      </w:pPr>
    </w:p>
    <w:p w14:paraId="3AA9F454" w14:textId="30CB432D" w:rsidR="00992A88" w:rsidRPr="00992A88" w:rsidRDefault="001B44A2" w:rsidP="002532B7">
      <w:pPr>
        <w:pStyle w:val="Kop3"/>
        <w:spacing w:line="276" w:lineRule="auto"/>
      </w:pPr>
      <w:bookmarkStart w:id="22" w:name="_Toc40689960"/>
      <w:r>
        <w:t xml:space="preserve">Afdeling I: </w:t>
      </w:r>
      <w:r w:rsidR="00992A88">
        <w:t>Probleemstelling</w:t>
      </w:r>
      <w:bookmarkEnd w:id="22"/>
    </w:p>
    <w:p w14:paraId="117D3B49" w14:textId="206DFD99" w:rsidR="00E94E37" w:rsidRPr="00D9172E" w:rsidRDefault="00901E0D" w:rsidP="00C75526">
      <w:pPr>
        <w:pStyle w:val="Normaalweb"/>
        <w:spacing w:line="276" w:lineRule="auto"/>
        <w:jc w:val="both"/>
        <w:rPr>
          <w:rFonts w:ascii="Calibri" w:hAnsi="Calibri" w:cs="Arial"/>
        </w:rPr>
      </w:pPr>
      <w:r>
        <w:rPr>
          <w:rFonts w:ascii="Calibri" w:hAnsi="Calibri" w:cs="Arial"/>
          <w:b/>
        </w:rPr>
        <w:t>48.</w:t>
      </w:r>
      <w:r w:rsidR="00A0254F" w:rsidRPr="00D9172E">
        <w:rPr>
          <w:rFonts w:ascii="Calibri" w:hAnsi="Calibri" w:cs="Arial"/>
        </w:rPr>
        <w:t>Volgens de meest recente cijfers van de NKGB zijn er 563 gerechtsdeurwaarders</w:t>
      </w:r>
      <w:r w:rsidR="00003C6D" w:rsidRPr="00D9172E">
        <w:rPr>
          <w:rFonts w:ascii="Calibri" w:hAnsi="Calibri" w:cs="Arial"/>
        </w:rPr>
        <w:t>-titularis</w:t>
      </w:r>
      <w:r w:rsidR="00A0254F" w:rsidRPr="00D9172E">
        <w:rPr>
          <w:rFonts w:ascii="Calibri" w:hAnsi="Calibri" w:cs="Arial"/>
        </w:rPr>
        <w:t xml:space="preserve"> in België, verspreid over 260 kantoren</w:t>
      </w:r>
      <w:r w:rsidR="00303F16" w:rsidRPr="00D9172E">
        <w:rPr>
          <w:rStyle w:val="Voetnootmarkering"/>
          <w:rFonts w:ascii="Calibri" w:hAnsi="Calibri" w:cs="Arial"/>
        </w:rPr>
        <w:footnoteReference w:id="118"/>
      </w:r>
      <w:r w:rsidR="00A0254F" w:rsidRPr="00D9172E">
        <w:rPr>
          <w:rFonts w:ascii="Calibri" w:hAnsi="Calibri" w:cs="Arial"/>
        </w:rPr>
        <w:t xml:space="preserve">. </w:t>
      </w:r>
      <w:r w:rsidR="00941BBC" w:rsidRPr="00D9172E">
        <w:rPr>
          <w:rFonts w:ascii="Calibri" w:hAnsi="Calibri" w:cs="Arial"/>
        </w:rPr>
        <w:t xml:space="preserve">Wegens </w:t>
      </w:r>
      <w:r w:rsidR="00A0254F" w:rsidRPr="00D9172E">
        <w:rPr>
          <w:rFonts w:ascii="Calibri" w:hAnsi="Calibri" w:cs="Arial"/>
        </w:rPr>
        <w:t xml:space="preserve">de </w:t>
      </w:r>
      <w:r w:rsidR="00941BBC" w:rsidRPr="00D9172E">
        <w:rPr>
          <w:rFonts w:ascii="Calibri" w:hAnsi="Calibri" w:cs="Arial"/>
        </w:rPr>
        <w:t xml:space="preserve">benoeming voor het leven en de </w:t>
      </w:r>
      <w:r w:rsidR="00A0254F" w:rsidRPr="00D9172E">
        <w:rPr>
          <w:rFonts w:ascii="Calibri" w:hAnsi="Calibri" w:cs="Arial"/>
        </w:rPr>
        <w:t xml:space="preserve">lange wachtrij voor jongere kandidaat-gerechtsdeurwaarders, is het niet verwonderlijk dat de meeste </w:t>
      </w:r>
      <w:r w:rsidR="000C70F6" w:rsidRPr="00D9172E">
        <w:rPr>
          <w:rFonts w:ascii="Calibri" w:hAnsi="Calibri" w:cs="Arial"/>
        </w:rPr>
        <w:t>hiervan reeds</w:t>
      </w:r>
      <w:r w:rsidR="00A0254F" w:rsidRPr="00D9172E">
        <w:rPr>
          <w:rFonts w:ascii="Calibri" w:hAnsi="Calibri" w:cs="Arial"/>
        </w:rPr>
        <w:t xml:space="preserve"> een gezegende leeftijd hebben</w:t>
      </w:r>
      <w:r w:rsidR="000C70F6" w:rsidRPr="00D9172E">
        <w:rPr>
          <w:rFonts w:ascii="Calibri" w:hAnsi="Calibri" w:cs="Arial"/>
        </w:rPr>
        <w:t xml:space="preserve"> bereikt. Maar de</w:t>
      </w:r>
      <w:r w:rsidR="00A0254F" w:rsidRPr="00D9172E">
        <w:rPr>
          <w:rFonts w:ascii="Calibri" w:hAnsi="Calibri" w:cs="Arial"/>
        </w:rPr>
        <w:t xml:space="preserve"> statistie</w:t>
      </w:r>
      <w:r w:rsidR="00F11E6E" w:rsidRPr="00D9172E">
        <w:rPr>
          <w:rFonts w:ascii="Calibri" w:hAnsi="Calibri" w:cs="Arial"/>
        </w:rPr>
        <w:t xml:space="preserve">ken spreken toch boekdelen: 293 </w:t>
      </w:r>
      <w:r w:rsidR="00A0254F" w:rsidRPr="00D9172E">
        <w:rPr>
          <w:rFonts w:ascii="Calibri" w:hAnsi="Calibri" w:cs="Arial"/>
        </w:rPr>
        <w:t>van de Belgische gerechtsdeurwaarders</w:t>
      </w:r>
      <w:r w:rsidR="00F11E6E" w:rsidRPr="00D9172E">
        <w:rPr>
          <w:rFonts w:ascii="Calibri" w:hAnsi="Calibri" w:cs="Arial"/>
        </w:rPr>
        <w:t xml:space="preserve"> zijn 60 jaar of ouder</w:t>
      </w:r>
      <w:r w:rsidR="00A9114E" w:rsidRPr="00D9172E">
        <w:rPr>
          <w:rStyle w:val="Voetnootmarkering"/>
          <w:rFonts w:ascii="Calibri" w:hAnsi="Calibri" w:cs="Arial"/>
        </w:rPr>
        <w:footnoteReference w:id="119"/>
      </w:r>
      <w:r w:rsidR="00F11E6E" w:rsidRPr="00D9172E">
        <w:rPr>
          <w:rFonts w:ascii="Calibri" w:hAnsi="Calibri" w:cs="Arial"/>
        </w:rPr>
        <w:t xml:space="preserve">. </w:t>
      </w:r>
      <w:r w:rsidR="00003C6D" w:rsidRPr="00D9172E">
        <w:rPr>
          <w:rFonts w:ascii="Calibri" w:hAnsi="Calibri" w:cs="Arial"/>
        </w:rPr>
        <w:t>Snel uitgerekend komt dit</w:t>
      </w:r>
      <w:r w:rsidR="00F11E6E" w:rsidRPr="00D9172E">
        <w:rPr>
          <w:rFonts w:ascii="Calibri" w:hAnsi="Calibri" w:cs="Arial"/>
        </w:rPr>
        <w:t xml:space="preserve"> overeen met een percentage van 52%.</w:t>
      </w:r>
      <w:r w:rsidR="0043431D" w:rsidRPr="00D9172E">
        <w:rPr>
          <w:rFonts w:ascii="Calibri" w:hAnsi="Calibri" w:cs="Arial"/>
        </w:rPr>
        <w:t xml:space="preserve"> </w:t>
      </w:r>
      <w:r w:rsidR="00AA72E7" w:rsidRPr="00D9172E">
        <w:rPr>
          <w:rFonts w:ascii="Calibri" w:hAnsi="Calibri" w:cs="Arial"/>
        </w:rPr>
        <w:t xml:space="preserve">Meer dan de helft van de gerechtsdeurwaarders zijn dus eigenlijk al op een leeftijd </w:t>
      </w:r>
      <w:r w:rsidR="00233140" w:rsidRPr="00D9172E">
        <w:rPr>
          <w:rFonts w:ascii="Calibri" w:hAnsi="Calibri" w:cs="Arial"/>
        </w:rPr>
        <w:t xml:space="preserve">gekomen </w:t>
      </w:r>
      <w:r w:rsidR="00AA72E7" w:rsidRPr="00D9172E">
        <w:rPr>
          <w:rFonts w:ascii="Calibri" w:hAnsi="Calibri" w:cs="Arial"/>
        </w:rPr>
        <w:t>waarop het</w:t>
      </w:r>
      <w:r w:rsidR="008B02DE" w:rsidRPr="00D9172E">
        <w:rPr>
          <w:rFonts w:ascii="Calibri" w:hAnsi="Calibri" w:cs="Arial"/>
        </w:rPr>
        <w:t xml:space="preserve"> </w:t>
      </w:r>
      <w:r w:rsidR="00D206AE" w:rsidRPr="00D9172E">
        <w:rPr>
          <w:rFonts w:ascii="Calibri" w:hAnsi="Calibri" w:cs="Arial"/>
        </w:rPr>
        <w:t xml:space="preserve">mij </w:t>
      </w:r>
      <w:r w:rsidR="008B02DE" w:rsidRPr="00D9172E">
        <w:rPr>
          <w:rFonts w:ascii="Calibri" w:hAnsi="Calibri" w:cs="Arial"/>
        </w:rPr>
        <w:t>theoretisch</w:t>
      </w:r>
      <w:r w:rsidR="00AA72E7" w:rsidRPr="00D9172E">
        <w:rPr>
          <w:rFonts w:ascii="Calibri" w:hAnsi="Calibri" w:cs="Arial"/>
        </w:rPr>
        <w:t xml:space="preserve"> niet </w:t>
      </w:r>
      <w:r w:rsidR="003E4786" w:rsidRPr="00D9172E">
        <w:rPr>
          <w:rFonts w:ascii="Calibri" w:hAnsi="Calibri" w:cs="Arial"/>
        </w:rPr>
        <w:t>uitge</w:t>
      </w:r>
      <w:r w:rsidR="0005653C" w:rsidRPr="00D9172E">
        <w:rPr>
          <w:rFonts w:ascii="Calibri" w:hAnsi="Calibri" w:cs="Arial"/>
        </w:rPr>
        <w:t>sloten</w:t>
      </w:r>
      <w:r w:rsidR="00D206AE" w:rsidRPr="00D9172E">
        <w:rPr>
          <w:rFonts w:ascii="Calibri" w:hAnsi="Calibri" w:cs="Arial"/>
        </w:rPr>
        <w:t xml:space="preserve"> lijkt</w:t>
      </w:r>
      <w:r w:rsidR="00AA72E7" w:rsidRPr="00D9172E">
        <w:rPr>
          <w:rFonts w:ascii="Calibri" w:hAnsi="Calibri" w:cs="Arial"/>
        </w:rPr>
        <w:t xml:space="preserve"> </w:t>
      </w:r>
      <w:r w:rsidR="0080099B">
        <w:rPr>
          <w:rFonts w:ascii="Calibri" w:hAnsi="Calibri" w:cs="Arial"/>
        </w:rPr>
        <w:t xml:space="preserve">om </w:t>
      </w:r>
      <w:r w:rsidR="003847F8">
        <w:rPr>
          <w:rFonts w:ascii="Calibri" w:hAnsi="Calibri" w:cs="Arial"/>
        </w:rPr>
        <w:t xml:space="preserve">als vrije beroeper </w:t>
      </w:r>
      <w:r w:rsidR="00D206AE" w:rsidRPr="00D9172E">
        <w:rPr>
          <w:rFonts w:ascii="Calibri" w:hAnsi="Calibri" w:cs="Arial"/>
        </w:rPr>
        <w:t>te pensioneren –</w:t>
      </w:r>
      <w:r w:rsidR="008B02DE" w:rsidRPr="00D9172E">
        <w:rPr>
          <w:rFonts w:ascii="Calibri" w:hAnsi="Calibri" w:cs="Arial"/>
        </w:rPr>
        <w:t xml:space="preserve"> in de praktijk </w:t>
      </w:r>
      <w:r w:rsidR="00D206AE" w:rsidRPr="00D9172E">
        <w:rPr>
          <w:rFonts w:ascii="Calibri" w:hAnsi="Calibri" w:cs="Arial"/>
        </w:rPr>
        <w:t>gebeurt dit</w:t>
      </w:r>
      <w:r w:rsidR="00E77589">
        <w:rPr>
          <w:rFonts w:ascii="Calibri" w:hAnsi="Calibri" w:cs="Arial"/>
        </w:rPr>
        <w:t xml:space="preserve"> echter</w:t>
      </w:r>
      <w:r w:rsidR="00D206AE" w:rsidRPr="00D9172E">
        <w:rPr>
          <w:rFonts w:ascii="Calibri" w:hAnsi="Calibri" w:cs="Arial"/>
        </w:rPr>
        <w:t xml:space="preserve"> </w:t>
      </w:r>
      <w:r w:rsidR="008B02DE" w:rsidRPr="00D9172E">
        <w:rPr>
          <w:rFonts w:ascii="Calibri" w:hAnsi="Calibri" w:cs="Arial"/>
        </w:rPr>
        <w:t>zelden voor de wettelijke pensioenleeftijd –  of in een slechter geval: te overlijden</w:t>
      </w:r>
      <w:r w:rsidR="00E2209E" w:rsidRPr="00D9172E">
        <w:rPr>
          <w:rFonts w:ascii="Calibri" w:hAnsi="Calibri" w:cs="Arial"/>
        </w:rPr>
        <w:t>. Rekening houdend met het feit dat</w:t>
      </w:r>
      <w:r>
        <w:rPr>
          <w:rFonts w:ascii="Calibri" w:hAnsi="Calibri" w:cs="Arial"/>
        </w:rPr>
        <w:t xml:space="preserve"> anno</w:t>
      </w:r>
      <w:r w:rsidR="00AD4FC7" w:rsidRPr="00D9172E">
        <w:rPr>
          <w:rFonts w:ascii="Calibri" w:hAnsi="Calibri" w:cs="Arial"/>
        </w:rPr>
        <w:t xml:space="preserve"> 2013</w:t>
      </w:r>
      <w:r w:rsidR="00E2209E" w:rsidRPr="00D9172E">
        <w:rPr>
          <w:rFonts w:ascii="Calibri" w:hAnsi="Calibri" w:cs="Arial"/>
        </w:rPr>
        <w:t xml:space="preserve"> </w:t>
      </w:r>
      <w:r w:rsidR="00436E10" w:rsidRPr="00D9172E">
        <w:rPr>
          <w:rFonts w:ascii="Calibri" w:hAnsi="Calibri" w:cs="Arial"/>
        </w:rPr>
        <w:t>46% v</w:t>
      </w:r>
      <w:r w:rsidR="00A10472" w:rsidRPr="00D9172E">
        <w:rPr>
          <w:rFonts w:ascii="Calibri" w:hAnsi="Calibri" w:cs="Arial"/>
        </w:rPr>
        <w:t xml:space="preserve">an de gerechtsdeurwaarders niet </w:t>
      </w:r>
      <w:r w:rsidR="00AD4FC7" w:rsidRPr="00D9172E">
        <w:rPr>
          <w:rFonts w:ascii="Calibri" w:hAnsi="Calibri" w:cs="Arial"/>
        </w:rPr>
        <w:t>geassocieerd</w:t>
      </w:r>
      <w:r w:rsidR="00AD4FC7" w:rsidRPr="00D9172E">
        <w:rPr>
          <w:rStyle w:val="Voetnootmarkering"/>
          <w:rFonts w:ascii="Calibri" w:hAnsi="Calibri" w:cs="Arial"/>
        </w:rPr>
        <w:footnoteReference w:id="120"/>
      </w:r>
      <w:r w:rsidR="00AD4FC7" w:rsidRPr="00D9172E">
        <w:rPr>
          <w:rFonts w:ascii="Calibri" w:hAnsi="Calibri" w:cs="Arial"/>
        </w:rPr>
        <w:t xml:space="preserve"> wa</w:t>
      </w:r>
      <w:r w:rsidR="0060556A">
        <w:rPr>
          <w:rFonts w:ascii="Calibri" w:hAnsi="Calibri" w:cs="Arial"/>
        </w:rPr>
        <w:t>s</w:t>
      </w:r>
      <w:r w:rsidR="00436E10" w:rsidRPr="00D9172E">
        <w:rPr>
          <w:rFonts w:ascii="Calibri" w:hAnsi="Calibri" w:cs="Arial"/>
        </w:rPr>
        <w:t xml:space="preserve">, en dus alleen werkzaam, </w:t>
      </w:r>
      <w:r w:rsidR="003901EA">
        <w:rPr>
          <w:rFonts w:ascii="Calibri" w:hAnsi="Calibri" w:cs="Arial"/>
        </w:rPr>
        <w:t>i</w:t>
      </w:r>
      <w:r w:rsidR="00AD4FC7" w:rsidRPr="00D9172E">
        <w:rPr>
          <w:rFonts w:ascii="Calibri" w:hAnsi="Calibri" w:cs="Arial"/>
        </w:rPr>
        <w:t>s</w:t>
      </w:r>
      <w:r w:rsidR="00A10472" w:rsidRPr="00D9172E">
        <w:rPr>
          <w:rFonts w:ascii="Calibri" w:hAnsi="Calibri" w:cs="Arial"/>
        </w:rPr>
        <w:t xml:space="preserve"> het </w:t>
      </w:r>
      <w:r w:rsidR="00D45056" w:rsidRPr="00D9172E">
        <w:rPr>
          <w:rFonts w:ascii="Calibri" w:hAnsi="Calibri" w:cs="Arial"/>
        </w:rPr>
        <w:t xml:space="preserve">zonder continuïteitsgarantie </w:t>
      </w:r>
      <w:r w:rsidR="00A10472" w:rsidRPr="00D9172E">
        <w:rPr>
          <w:rFonts w:ascii="Calibri" w:hAnsi="Calibri" w:cs="Arial"/>
        </w:rPr>
        <w:t>plausibel dat er binnen een bepaald arrondissement jaarlijks verschillende kantoren de deuren s</w:t>
      </w:r>
      <w:r w:rsidR="003901EA">
        <w:rPr>
          <w:rFonts w:ascii="Calibri" w:hAnsi="Calibri" w:cs="Arial"/>
        </w:rPr>
        <w:t>luiten</w:t>
      </w:r>
      <w:r w:rsidR="00A10472" w:rsidRPr="00D9172E">
        <w:rPr>
          <w:rFonts w:ascii="Calibri" w:hAnsi="Calibri" w:cs="Arial"/>
        </w:rPr>
        <w:t xml:space="preserve">. </w:t>
      </w:r>
      <w:r w:rsidR="00EE76FC" w:rsidRPr="00D9172E">
        <w:rPr>
          <w:rFonts w:ascii="Calibri" w:hAnsi="Calibri" w:cs="Arial"/>
        </w:rPr>
        <w:t>Wanneer die kantoren ve</w:t>
      </w:r>
      <w:r w:rsidR="003847F8">
        <w:rPr>
          <w:rFonts w:ascii="Calibri" w:hAnsi="Calibri" w:cs="Arial"/>
        </w:rPr>
        <w:t>rvolgens geen opvolging voorzien, ka</w:t>
      </w:r>
      <w:r w:rsidR="00EE76FC" w:rsidRPr="00D9172E">
        <w:rPr>
          <w:rFonts w:ascii="Calibri" w:hAnsi="Calibri" w:cs="Arial"/>
        </w:rPr>
        <w:t xml:space="preserve">n het dus zijn dat de openbare dienstverlening van een </w:t>
      </w:r>
      <w:r w:rsidR="00AD4FC7" w:rsidRPr="00D9172E">
        <w:rPr>
          <w:rFonts w:ascii="Calibri" w:hAnsi="Calibri" w:cs="Arial"/>
        </w:rPr>
        <w:t>gerechts</w:t>
      </w:r>
      <w:r w:rsidR="003847F8">
        <w:rPr>
          <w:rFonts w:ascii="Calibri" w:hAnsi="Calibri" w:cs="Arial"/>
        </w:rPr>
        <w:t xml:space="preserve">deurwaarder </w:t>
      </w:r>
      <w:r w:rsidR="0060556A">
        <w:rPr>
          <w:rFonts w:ascii="Calibri" w:hAnsi="Calibri" w:cs="Arial"/>
        </w:rPr>
        <w:t xml:space="preserve">binnen dat arrondissement </w:t>
      </w:r>
      <w:r w:rsidR="003847F8">
        <w:rPr>
          <w:rFonts w:ascii="Calibri" w:hAnsi="Calibri" w:cs="Arial"/>
        </w:rPr>
        <w:t>niet meer ka</w:t>
      </w:r>
      <w:r w:rsidR="00EE76FC" w:rsidRPr="00D9172E">
        <w:rPr>
          <w:rFonts w:ascii="Calibri" w:hAnsi="Calibri" w:cs="Arial"/>
        </w:rPr>
        <w:t xml:space="preserve">n gewaarborgd worden. </w:t>
      </w:r>
      <w:r w:rsidR="00CD6943" w:rsidRPr="00D9172E">
        <w:rPr>
          <w:rFonts w:ascii="Calibri" w:hAnsi="Calibri" w:cs="Arial"/>
        </w:rPr>
        <w:t>Dat is natuurlijk een delicate kwest</w:t>
      </w:r>
      <w:r w:rsidR="00336791" w:rsidRPr="00D9172E">
        <w:rPr>
          <w:rFonts w:ascii="Calibri" w:hAnsi="Calibri" w:cs="Arial"/>
        </w:rPr>
        <w:t>ie: de essentie van een openbare</w:t>
      </w:r>
      <w:r w:rsidR="00CD6943" w:rsidRPr="00D9172E">
        <w:rPr>
          <w:rFonts w:ascii="Calibri" w:hAnsi="Calibri" w:cs="Arial"/>
        </w:rPr>
        <w:t xml:space="preserve"> ambtenaar is</w:t>
      </w:r>
      <w:r w:rsidR="0028796D" w:rsidRPr="00D9172E">
        <w:rPr>
          <w:rFonts w:ascii="Calibri" w:hAnsi="Calibri" w:cs="Arial"/>
        </w:rPr>
        <w:t xml:space="preserve"> namelijk</w:t>
      </w:r>
      <w:r w:rsidR="00CD6943" w:rsidRPr="00D9172E">
        <w:rPr>
          <w:rFonts w:ascii="Calibri" w:hAnsi="Calibri" w:cs="Arial"/>
        </w:rPr>
        <w:t xml:space="preserve"> dat de burger </w:t>
      </w:r>
      <w:r w:rsidR="00336791" w:rsidRPr="00D9172E">
        <w:rPr>
          <w:rFonts w:ascii="Calibri" w:hAnsi="Calibri" w:cs="Arial"/>
        </w:rPr>
        <w:t xml:space="preserve">hem te allen tijde </w:t>
      </w:r>
      <w:r w:rsidR="0028796D" w:rsidRPr="00D9172E">
        <w:rPr>
          <w:rFonts w:ascii="Calibri" w:hAnsi="Calibri" w:cs="Arial"/>
        </w:rPr>
        <w:t xml:space="preserve">moet kunnen </w:t>
      </w:r>
      <w:r w:rsidR="00073C9B" w:rsidRPr="00D9172E">
        <w:rPr>
          <w:rFonts w:ascii="Calibri" w:hAnsi="Calibri" w:cs="Arial"/>
        </w:rPr>
        <w:t>benaderen</w:t>
      </w:r>
      <w:r w:rsidR="007F39D3" w:rsidRPr="00D9172E">
        <w:rPr>
          <w:rStyle w:val="Voetnootmarkering"/>
          <w:rFonts w:ascii="Calibri" w:hAnsi="Calibri" w:cs="Arial"/>
        </w:rPr>
        <w:footnoteReference w:id="121"/>
      </w:r>
      <w:r w:rsidR="00073C9B" w:rsidRPr="00D9172E">
        <w:rPr>
          <w:rFonts w:ascii="Calibri" w:hAnsi="Calibri" w:cs="Arial"/>
        </w:rPr>
        <w:t>.</w:t>
      </w:r>
      <w:r w:rsidR="003E4786" w:rsidRPr="00D9172E">
        <w:rPr>
          <w:rFonts w:ascii="Calibri" w:hAnsi="Calibri" w:cs="Arial"/>
        </w:rPr>
        <w:br/>
      </w:r>
      <w:r>
        <w:rPr>
          <w:rFonts w:ascii="Calibri" w:hAnsi="Calibri" w:cs="Arial"/>
        </w:rPr>
        <w:t>Vermits</w:t>
      </w:r>
      <w:r w:rsidR="00B90DC1" w:rsidRPr="00D9172E">
        <w:rPr>
          <w:rFonts w:ascii="Calibri" w:hAnsi="Calibri" w:cs="Arial"/>
        </w:rPr>
        <w:t xml:space="preserve"> een gerechtsdeurwaarder ook een aantal medewerkers in dienst </w:t>
      </w:r>
      <w:r>
        <w:rPr>
          <w:rFonts w:ascii="Calibri" w:hAnsi="Calibri" w:cs="Arial"/>
        </w:rPr>
        <w:t>heeft, leiden dergelijke</w:t>
      </w:r>
      <w:r w:rsidR="00B90DC1" w:rsidRPr="00D9172E">
        <w:rPr>
          <w:rFonts w:ascii="Calibri" w:hAnsi="Calibri" w:cs="Arial"/>
        </w:rPr>
        <w:t xml:space="preserve"> sluitingen eveneens tot sociale onrust</w:t>
      </w:r>
      <w:r w:rsidR="00A1674B" w:rsidRPr="00D9172E">
        <w:rPr>
          <w:rStyle w:val="Voetnootmarkering"/>
          <w:rFonts w:ascii="Calibri" w:hAnsi="Calibri" w:cs="Arial"/>
        </w:rPr>
        <w:footnoteReference w:id="122"/>
      </w:r>
      <w:r w:rsidR="00B90DC1" w:rsidRPr="00D9172E">
        <w:rPr>
          <w:rFonts w:ascii="Calibri" w:hAnsi="Calibri" w:cs="Arial"/>
        </w:rPr>
        <w:t>.</w:t>
      </w:r>
    </w:p>
    <w:p w14:paraId="3B59B3FA" w14:textId="64EC1606" w:rsidR="00DA57DA" w:rsidRDefault="00206FEA" w:rsidP="00C75526">
      <w:pPr>
        <w:pStyle w:val="Normaalweb"/>
        <w:spacing w:line="276" w:lineRule="auto"/>
        <w:jc w:val="both"/>
        <w:rPr>
          <w:rFonts w:ascii="Calibri" w:hAnsi="Calibri" w:cs="Arial"/>
        </w:rPr>
      </w:pPr>
      <w:r>
        <w:rPr>
          <w:rFonts w:ascii="Calibri" w:hAnsi="Calibri" w:cs="Arial"/>
          <w:b/>
        </w:rPr>
        <w:t>49.</w:t>
      </w:r>
      <w:r w:rsidR="004D12BB" w:rsidRPr="00D9172E">
        <w:rPr>
          <w:rFonts w:ascii="Calibri" w:hAnsi="Calibri" w:cs="Arial"/>
        </w:rPr>
        <w:t xml:space="preserve">Niettegenstaande dat het oude artikel 512 §5 </w:t>
      </w:r>
      <w:r w:rsidR="00FD0E24" w:rsidRPr="00D9172E">
        <w:rPr>
          <w:rFonts w:ascii="Calibri" w:hAnsi="Calibri" w:cs="Arial"/>
        </w:rPr>
        <w:t xml:space="preserve">van het Gerechtelijk Wetboek </w:t>
      </w:r>
      <w:r w:rsidR="004D12BB" w:rsidRPr="00D9172E">
        <w:rPr>
          <w:rFonts w:ascii="Calibri" w:hAnsi="Calibri" w:cs="Arial"/>
        </w:rPr>
        <w:t xml:space="preserve">de procedure en regels </w:t>
      </w:r>
      <w:r w:rsidR="004A2B01" w:rsidRPr="00D9172E">
        <w:rPr>
          <w:rFonts w:ascii="Calibri" w:hAnsi="Calibri" w:cs="Arial"/>
        </w:rPr>
        <w:t xml:space="preserve">omtrent de voortzetting van kantoren bij de Koning legt, </w:t>
      </w:r>
      <w:r w:rsidR="003E4786" w:rsidRPr="00D9172E">
        <w:rPr>
          <w:rFonts w:ascii="Calibri" w:hAnsi="Calibri" w:cs="Arial"/>
        </w:rPr>
        <w:t xml:space="preserve">is het </w:t>
      </w:r>
      <w:r w:rsidR="005663AA" w:rsidRPr="00D9172E">
        <w:rPr>
          <w:rFonts w:ascii="Calibri" w:hAnsi="Calibri" w:cs="Arial"/>
        </w:rPr>
        <w:t>KB</w:t>
      </w:r>
      <w:r w:rsidR="003E4786" w:rsidRPr="00D9172E">
        <w:rPr>
          <w:rFonts w:ascii="Calibri" w:hAnsi="Calibri" w:cs="Arial"/>
        </w:rPr>
        <w:t xml:space="preserve"> om dit vast te leggen </w:t>
      </w:r>
      <w:r w:rsidR="005663AA" w:rsidRPr="00D9172E">
        <w:rPr>
          <w:rFonts w:ascii="Calibri" w:hAnsi="Calibri" w:cs="Arial"/>
        </w:rPr>
        <w:t xml:space="preserve">er </w:t>
      </w:r>
      <w:r w:rsidR="003E4786" w:rsidRPr="00D9172E">
        <w:rPr>
          <w:rFonts w:ascii="Calibri" w:hAnsi="Calibri" w:cs="Arial"/>
        </w:rPr>
        <w:t xml:space="preserve">nooit </w:t>
      </w:r>
      <w:r w:rsidR="005663AA" w:rsidRPr="00D9172E">
        <w:rPr>
          <w:rFonts w:ascii="Calibri" w:hAnsi="Calibri" w:cs="Arial"/>
        </w:rPr>
        <w:t>gekomen</w:t>
      </w:r>
      <w:r w:rsidR="00FD0E24" w:rsidRPr="00D9172E">
        <w:rPr>
          <w:rStyle w:val="Voetnootmarkering"/>
          <w:rFonts w:ascii="Calibri" w:hAnsi="Calibri" w:cs="Arial"/>
        </w:rPr>
        <w:footnoteReference w:id="123"/>
      </w:r>
      <w:r w:rsidR="003E4786" w:rsidRPr="00D9172E">
        <w:rPr>
          <w:rFonts w:ascii="Calibri" w:hAnsi="Calibri" w:cs="Arial"/>
        </w:rPr>
        <w:t>. Het was tot 2014 dus perfect mogelijk dat de problematiek die hi</w:t>
      </w:r>
      <w:r w:rsidR="003C52FF" w:rsidRPr="00D9172E">
        <w:rPr>
          <w:rFonts w:ascii="Calibri" w:hAnsi="Calibri" w:cs="Arial"/>
        </w:rPr>
        <w:t xml:space="preserve">erboven uit de doeken gedaan werd, </w:t>
      </w:r>
      <w:r w:rsidR="002609BE" w:rsidRPr="00D9172E">
        <w:rPr>
          <w:rFonts w:ascii="Calibri" w:hAnsi="Calibri" w:cs="Arial"/>
        </w:rPr>
        <w:t xml:space="preserve">ook echt </w:t>
      </w:r>
      <w:r w:rsidR="00640744" w:rsidRPr="00D9172E">
        <w:rPr>
          <w:rFonts w:ascii="Calibri" w:hAnsi="Calibri" w:cs="Arial"/>
        </w:rPr>
        <w:t xml:space="preserve">geschiedde. Om hieraan tegemoet te komen, voorziet de wet van 7 januari 2014 een gloednieuw hoofdstuk in het Gerechtelijk Wetboek, </w:t>
      </w:r>
      <w:r w:rsidR="00B6548A" w:rsidRPr="00D9172E">
        <w:rPr>
          <w:rFonts w:ascii="Calibri" w:hAnsi="Calibri" w:cs="Arial"/>
        </w:rPr>
        <w:t>met name: “Continuïteit van de openbare dienst, voortzetting van de activiteit, overdracht van dossiers en andere bestanddelen van het kantoor van een gerechtsdeurwaarder”. Daarin wordt allereerst de verplichting, maar ook het voorwerp en de procedure van de overname uitvoerig blootgelegd.</w:t>
      </w:r>
    </w:p>
    <w:p w14:paraId="5015E3C8" w14:textId="32C9301A" w:rsidR="00DA57DA" w:rsidRDefault="00DA57DA">
      <w:pPr>
        <w:rPr>
          <w:rFonts w:ascii="Calibri" w:hAnsi="Calibri" w:cs="Arial"/>
          <w:lang w:eastAsia="nl-NL"/>
        </w:rPr>
      </w:pPr>
      <w:r>
        <w:rPr>
          <w:rFonts w:ascii="Calibri" w:hAnsi="Calibri" w:cs="Arial"/>
        </w:rPr>
        <w:br w:type="page"/>
      </w:r>
    </w:p>
    <w:p w14:paraId="61391E7D" w14:textId="0C3239E8" w:rsidR="00992A88" w:rsidRPr="00D9172E" w:rsidRDefault="001B44A2" w:rsidP="002532B7">
      <w:pPr>
        <w:pStyle w:val="Kop3"/>
        <w:spacing w:line="276" w:lineRule="auto"/>
      </w:pPr>
      <w:bookmarkStart w:id="23" w:name="_Toc40689961"/>
      <w:r>
        <w:lastRenderedPageBreak/>
        <w:t xml:space="preserve">Afdeling II: </w:t>
      </w:r>
      <w:r w:rsidR="00992A88">
        <w:t>Waarnemend gerechtsdeurwaarder</w:t>
      </w:r>
      <w:bookmarkEnd w:id="23"/>
    </w:p>
    <w:p w14:paraId="2962318F" w14:textId="638B2B81" w:rsidR="00316CFB" w:rsidRPr="00D9172E" w:rsidRDefault="00206FEA" w:rsidP="0013771D">
      <w:pPr>
        <w:pStyle w:val="Normaalweb"/>
        <w:spacing w:line="276" w:lineRule="auto"/>
        <w:jc w:val="both"/>
        <w:rPr>
          <w:rFonts w:ascii="Calibri" w:hAnsi="Calibri" w:cs="Arial"/>
        </w:rPr>
      </w:pPr>
      <w:r>
        <w:rPr>
          <w:rFonts w:ascii="Calibri" w:hAnsi="Calibri" w:cs="Arial"/>
          <w:b/>
        </w:rPr>
        <w:t>50.</w:t>
      </w:r>
      <w:r w:rsidR="00316CFB" w:rsidRPr="00D9172E">
        <w:rPr>
          <w:rFonts w:ascii="Calibri" w:hAnsi="Calibri" w:cs="Arial"/>
        </w:rPr>
        <w:t>De algemene regel bij ontslag of overlijden van een gerechtsdeurwaarder is dat de territoriaal bevoegde procureur des Konings</w:t>
      </w:r>
      <w:r w:rsidR="00796A14" w:rsidRPr="00D9172E">
        <w:rPr>
          <w:rFonts w:ascii="Calibri" w:hAnsi="Calibri" w:cs="Arial"/>
        </w:rPr>
        <w:t>,</w:t>
      </w:r>
      <w:r w:rsidR="00316CFB" w:rsidRPr="00D9172E">
        <w:rPr>
          <w:rFonts w:ascii="Calibri" w:hAnsi="Calibri" w:cs="Arial"/>
        </w:rPr>
        <w:t xml:space="preserve"> in overleg met de </w:t>
      </w:r>
      <w:r w:rsidR="00752605" w:rsidRPr="00D9172E">
        <w:rPr>
          <w:rFonts w:ascii="Calibri" w:hAnsi="Calibri" w:cs="Arial"/>
        </w:rPr>
        <w:t>raad van de arrondissementskamer</w:t>
      </w:r>
      <w:r w:rsidR="00796A14" w:rsidRPr="00D9172E">
        <w:rPr>
          <w:rFonts w:ascii="Calibri" w:hAnsi="Calibri" w:cs="Arial"/>
        </w:rPr>
        <w:t xml:space="preserve">, </w:t>
      </w:r>
      <w:r w:rsidR="000A0235" w:rsidRPr="00D9172E">
        <w:rPr>
          <w:rFonts w:ascii="Calibri" w:hAnsi="Calibri" w:cs="Arial"/>
        </w:rPr>
        <w:t xml:space="preserve">binnen de tien dagen na ontslag of overlijden </w:t>
      </w:r>
      <w:r w:rsidR="00752605" w:rsidRPr="00D9172E">
        <w:rPr>
          <w:rFonts w:ascii="Calibri" w:hAnsi="Calibri" w:cs="Arial"/>
        </w:rPr>
        <w:t>een kandidaat-gerechtsdeurwaarder aanduidt om de functie van waarnemend gerechtsdeurwaarder in te kleden</w:t>
      </w:r>
      <w:r w:rsidR="00E12817" w:rsidRPr="00D9172E">
        <w:rPr>
          <w:rStyle w:val="Voetnootmarkering"/>
          <w:rFonts w:ascii="Calibri" w:hAnsi="Calibri" w:cs="Arial"/>
        </w:rPr>
        <w:footnoteReference w:id="124"/>
      </w:r>
      <w:r w:rsidR="00752605" w:rsidRPr="00D9172E">
        <w:rPr>
          <w:rFonts w:ascii="Calibri" w:hAnsi="Calibri" w:cs="Arial"/>
        </w:rPr>
        <w:t xml:space="preserve">. Uiteraard is deze regeling niet van toepassing op geassocieerde gerechtsdeurwaarders: </w:t>
      </w:r>
      <w:r w:rsidR="000A0235" w:rsidRPr="00D9172E">
        <w:rPr>
          <w:rFonts w:ascii="Calibri" w:hAnsi="Calibri" w:cs="Arial"/>
        </w:rPr>
        <w:t xml:space="preserve">hier </w:t>
      </w:r>
      <w:r w:rsidR="00752605" w:rsidRPr="00D9172E">
        <w:rPr>
          <w:rFonts w:ascii="Calibri" w:hAnsi="Calibri" w:cs="Arial"/>
        </w:rPr>
        <w:t xml:space="preserve">heeft de wetgever terecht gewezen op de </w:t>
      </w:r>
      <w:r w:rsidR="00B56EB5" w:rsidRPr="00D9172E">
        <w:rPr>
          <w:rFonts w:ascii="Calibri" w:hAnsi="Calibri" w:cs="Arial"/>
        </w:rPr>
        <w:t xml:space="preserve">evidente </w:t>
      </w:r>
      <w:r w:rsidR="00752605" w:rsidRPr="00D9172E">
        <w:rPr>
          <w:rFonts w:ascii="Calibri" w:hAnsi="Calibri" w:cs="Arial"/>
        </w:rPr>
        <w:t xml:space="preserve">continuïteitsgarantie door </w:t>
      </w:r>
      <w:r w:rsidR="000A0235" w:rsidRPr="00D9172E">
        <w:rPr>
          <w:rFonts w:ascii="Calibri" w:hAnsi="Calibri" w:cs="Arial"/>
        </w:rPr>
        <w:t>de</w:t>
      </w:r>
      <w:r w:rsidR="00752605" w:rsidRPr="00D9172E">
        <w:rPr>
          <w:rFonts w:ascii="Calibri" w:hAnsi="Calibri" w:cs="Arial"/>
        </w:rPr>
        <w:t xml:space="preserve"> vennoot of vennoten</w:t>
      </w:r>
      <w:r w:rsidR="00CC08D0" w:rsidRPr="00D9172E">
        <w:rPr>
          <w:rStyle w:val="Voetnootmarkering"/>
          <w:rFonts w:ascii="Calibri" w:hAnsi="Calibri" w:cs="Arial"/>
        </w:rPr>
        <w:footnoteReference w:id="125"/>
      </w:r>
      <w:r w:rsidR="00752605" w:rsidRPr="00D9172E">
        <w:rPr>
          <w:rFonts w:ascii="Calibri" w:hAnsi="Calibri" w:cs="Arial"/>
        </w:rPr>
        <w:t>.</w:t>
      </w:r>
      <w:r w:rsidR="0013771D">
        <w:rPr>
          <w:rFonts w:ascii="Calibri" w:hAnsi="Calibri" w:cs="Arial"/>
        </w:rPr>
        <w:t xml:space="preserve"> </w:t>
      </w:r>
      <w:r w:rsidR="00F12F4D" w:rsidRPr="00D9172E">
        <w:rPr>
          <w:rFonts w:ascii="Calibri" w:hAnsi="Calibri" w:cs="Arial"/>
        </w:rPr>
        <w:t>Hetzelfde geldt b</w:t>
      </w:r>
      <w:r w:rsidR="00154F98" w:rsidRPr="00D9172E">
        <w:rPr>
          <w:rFonts w:ascii="Calibri" w:hAnsi="Calibri" w:cs="Arial"/>
        </w:rPr>
        <w:t xml:space="preserve">ij schorsing of afzetting, met enig verschil dat de procureur des Konings </w:t>
      </w:r>
      <w:r w:rsidR="000A0235" w:rsidRPr="00D9172E">
        <w:rPr>
          <w:rFonts w:ascii="Calibri" w:hAnsi="Calibri" w:cs="Arial"/>
        </w:rPr>
        <w:t>in voorkomend geval</w:t>
      </w:r>
      <w:r w:rsidR="00154F98" w:rsidRPr="00D9172E">
        <w:rPr>
          <w:rFonts w:ascii="Calibri" w:hAnsi="Calibri" w:cs="Arial"/>
        </w:rPr>
        <w:t xml:space="preserve"> ook een gerechtsdeurwaarder</w:t>
      </w:r>
      <w:r w:rsidR="003F4EA2">
        <w:rPr>
          <w:rFonts w:ascii="Calibri" w:hAnsi="Calibri" w:cs="Arial"/>
        </w:rPr>
        <w:t>-titularis</w:t>
      </w:r>
      <w:r w:rsidR="00154F98" w:rsidRPr="00D9172E">
        <w:rPr>
          <w:rFonts w:ascii="Calibri" w:hAnsi="Calibri" w:cs="Arial"/>
        </w:rPr>
        <w:t xml:space="preserve"> kan aanstellen om de functie op te nemen</w:t>
      </w:r>
      <w:r w:rsidR="00CC08D0" w:rsidRPr="00D9172E">
        <w:rPr>
          <w:rStyle w:val="Voetnootmarkering"/>
          <w:rFonts w:ascii="Calibri" w:hAnsi="Calibri" w:cs="Arial"/>
        </w:rPr>
        <w:footnoteReference w:id="126"/>
      </w:r>
      <w:r w:rsidR="00154F98" w:rsidRPr="00D9172E">
        <w:rPr>
          <w:rFonts w:ascii="Calibri" w:hAnsi="Calibri" w:cs="Arial"/>
        </w:rPr>
        <w:t xml:space="preserve">. </w:t>
      </w:r>
    </w:p>
    <w:p w14:paraId="02D0AFFE" w14:textId="138B6F76" w:rsidR="00080829" w:rsidRDefault="00206FEA" w:rsidP="0013771D">
      <w:pPr>
        <w:pStyle w:val="Normaalweb"/>
        <w:spacing w:line="276" w:lineRule="auto"/>
        <w:jc w:val="both"/>
        <w:rPr>
          <w:rFonts w:ascii="Calibri" w:hAnsi="Calibri" w:cs="Arial"/>
        </w:rPr>
      </w:pPr>
      <w:r>
        <w:rPr>
          <w:rFonts w:ascii="Calibri" w:hAnsi="Calibri" w:cs="Arial"/>
          <w:b/>
        </w:rPr>
        <w:t>51.</w:t>
      </w:r>
      <w:r w:rsidR="00317EB9" w:rsidRPr="00D9172E">
        <w:rPr>
          <w:rFonts w:ascii="Calibri" w:hAnsi="Calibri" w:cs="Arial"/>
        </w:rPr>
        <w:t xml:space="preserve">Er zijn natuurlijk nog andere scenario’s mogelijk. </w:t>
      </w:r>
      <w:r w:rsidR="00FA7691" w:rsidRPr="00D9172E">
        <w:rPr>
          <w:rFonts w:ascii="Calibri" w:hAnsi="Calibri" w:cs="Arial"/>
        </w:rPr>
        <w:t xml:space="preserve">Zo is een gerechtsdeurwaarder niet per se geassocieerd met een andere titularis, maar is dat ook mogelijk met een kandidaat-gerechtsdeurwaarder. </w:t>
      </w:r>
      <w:r w:rsidR="00E94281" w:rsidRPr="00D9172E">
        <w:rPr>
          <w:rFonts w:ascii="Calibri" w:hAnsi="Calibri" w:cs="Arial"/>
        </w:rPr>
        <w:t xml:space="preserve">Ook hier werd de logica gehandhaafd en wordt die kandidaat </w:t>
      </w:r>
      <w:r w:rsidR="00154F98" w:rsidRPr="00D9172E">
        <w:rPr>
          <w:rFonts w:ascii="Calibri" w:hAnsi="Calibri" w:cs="Arial"/>
        </w:rPr>
        <w:t xml:space="preserve">gewoon </w:t>
      </w:r>
      <w:r w:rsidR="00E94281" w:rsidRPr="00D9172E">
        <w:rPr>
          <w:rFonts w:ascii="Calibri" w:hAnsi="Calibri" w:cs="Arial"/>
        </w:rPr>
        <w:t>aangesteld als waarnemend gerechtsdeurwaarder</w:t>
      </w:r>
      <w:r w:rsidR="00313FEF" w:rsidRPr="00D9172E">
        <w:rPr>
          <w:rStyle w:val="Voetnootmarkering"/>
          <w:rFonts w:ascii="Calibri" w:hAnsi="Calibri" w:cs="Arial"/>
        </w:rPr>
        <w:footnoteReference w:id="127"/>
      </w:r>
      <w:r w:rsidR="000A0235" w:rsidRPr="00D9172E">
        <w:rPr>
          <w:rFonts w:ascii="Calibri" w:hAnsi="Calibri" w:cs="Arial"/>
        </w:rPr>
        <w:t xml:space="preserve">. </w:t>
      </w:r>
      <w:r w:rsidR="00F12F4D" w:rsidRPr="00D9172E">
        <w:rPr>
          <w:rFonts w:ascii="Calibri" w:hAnsi="Calibri" w:cs="Arial"/>
        </w:rPr>
        <w:t xml:space="preserve">Is de gerechtsdeurwaarder helemaal niet geassocieerd, dan zal het de kandidaat zijn </w:t>
      </w:r>
      <w:r w:rsidR="00154F98" w:rsidRPr="00D9172E">
        <w:rPr>
          <w:rFonts w:ascii="Calibri" w:hAnsi="Calibri" w:cs="Arial"/>
        </w:rPr>
        <w:t xml:space="preserve">die het langste werkzaam is op kantoor, </w:t>
      </w:r>
      <w:r w:rsidR="00F12F4D" w:rsidRPr="00D9172E">
        <w:rPr>
          <w:rFonts w:ascii="Calibri" w:hAnsi="Calibri" w:cs="Arial"/>
        </w:rPr>
        <w:t>die wordt aangesteld</w:t>
      </w:r>
      <w:r w:rsidR="00506380" w:rsidRPr="00D9172E">
        <w:rPr>
          <w:rStyle w:val="Voetnootmarkering"/>
          <w:rFonts w:ascii="Calibri" w:hAnsi="Calibri" w:cs="Arial"/>
        </w:rPr>
        <w:footnoteReference w:id="128"/>
      </w:r>
      <w:r w:rsidR="00F12F4D" w:rsidRPr="00D9172E">
        <w:rPr>
          <w:rFonts w:ascii="Calibri" w:hAnsi="Calibri" w:cs="Arial"/>
        </w:rPr>
        <w:t xml:space="preserve">. </w:t>
      </w:r>
      <w:r w:rsidR="002D269A" w:rsidRPr="00D9172E">
        <w:rPr>
          <w:rFonts w:ascii="Calibri" w:hAnsi="Calibri" w:cs="Arial"/>
        </w:rPr>
        <w:t>Laat het echter duidelijk zijn dat elke aanstelling van een waarnemend gerechtsdeurwaarder tijdelijk is</w:t>
      </w:r>
      <w:r w:rsidR="00DC5276" w:rsidRPr="00D9172E">
        <w:rPr>
          <w:rFonts w:ascii="Calibri" w:hAnsi="Calibri" w:cs="Arial"/>
        </w:rPr>
        <w:t xml:space="preserve"> </w:t>
      </w:r>
      <w:r w:rsidR="002D269A" w:rsidRPr="00D9172E">
        <w:rPr>
          <w:rFonts w:ascii="Calibri" w:hAnsi="Calibri" w:cs="Arial"/>
        </w:rPr>
        <w:t>en dat de waarnemend</w:t>
      </w:r>
      <w:r w:rsidR="00980949">
        <w:rPr>
          <w:rFonts w:ascii="Calibri" w:hAnsi="Calibri" w:cs="Arial"/>
        </w:rPr>
        <w:t>e</w:t>
      </w:r>
      <w:r w:rsidR="002D269A" w:rsidRPr="00D9172E">
        <w:rPr>
          <w:rFonts w:ascii="Calibri" w:hAnsi="Calibri" w:cs="Arial"/>
        </w:rPr>
        <w:t xml:space="preserve"> kandidaat-gerechtsdeurwaarder geenszins aanspraak maakt op </w:t>
      </w:r>
      <w:r w:rsidR="00380D66" w:rsidRPr="00D9172E">
        <w:rPr>
          <w:rFonts w:ascii="Calibri" w:hAnsi="Calibri" w:cs="Arial"/>
        </w:rPr>
        <w:t xml:space="preserve">definitieve opvolging en bijhorende </w:t>
      </w:r>
      <w:r w:rsidR="002D269A" w:rsidRPr="00D9172E">
        <w:rPr>
          <w:rFonts w:ascii="Calibri" w:hAnsi="Calibri" w:cs="Arial"/>
        </w:rPr>
        <w:t>benoeming tot titularis louter door deze functie uit te oefenen.</w:t>
      </w:r>
      <w:r w:rsidR="008C7289" w:rsidRPr="00D9172E">
        <w:rPr>
          <w:rFonts w:ascii="Calibri" w:hAnsi="Calibri" w:cs="Arial"/>
        </w:rPr>
        <w:t xml:space="preserve"> De aanstelling is immers een </w:t>
      </w:r>
      <w:r w:rsidR="00607AEF" w:rsidRPr="00D9172E">
        <w:rPr>
          <w:rFonts w:ascii="Calibri" w:hAnsi="Calibri" w:cs="Arial"/>
        </w:rPr>
        <w:t xml:space="preserve">soort </w:t>
      </w:r>
      <w:r w:rsidR="008C7289" w:rsidRPr="00D9172E">
        <w:rPr>
          <w:rFonts w:ascii="Calibri" w:hAnsi="Calibri" w:cs="Arial"/>
        </w:rPr>
        <w:t>overgangsregeling tot er een nieuwe gerechtsdeurwaarder benoemd wordt ter opvolging van de ge</w:t>
      </w:r>
      <w:r w:rsidR="00DF40C6" w:rsidRPr="00D9172E">
        <w:rPr>
          <w:rFonts w:ascii="Calibri" w:hAnsi="Calibri" w:cs="Arial"/>
        </w:rPr>
        <w:t>pensioneerde</w:t>
      </w:r>
      <w:r w:rsidR="008C7289" w:rsidRPr="00D9172E">
        <w:rPr>
          <w:rFonts w:ascii="Calibri" w:hAnsi="Calibri" w:cs="Arial"/>
        </w:rPr>
        <w:t xml:space="preserve"> of overledene</w:t>
      </w:r>
      <w:r w:rsidR="00380D66" w:rsidRPr="00D9172E">
        <w:rPr>
          <w:rFonts w:ascii="Calibri" w:hAnsi="Calibri" w:cs="Arial"/>
        </w:rPr>
        <w:t>, geselecteerd volgens de gewone procedure</w:t>
      </w:r>
      <w:r w:rsidR="008C7289" w:rsidRPr="00D9172E">
        <w:rPr>
          <w:rFonts w:ascii="Calibri" w:hAnsi="Calibri" w:cs="Arial"/>
        </w:rPr>
        <w:t>.</w:t>
      </w:r>
      <w:r w:rsidR="002D269A" w:rsidRPr="00D9172E">
        <w:rPr>
          <w:rFonts w:ascii="Calibri" w:hAnsi="Calibri" w:cs="Arial"/>
        </w:rPr>
        <w:t xml:space="preserve"> </w:t>
      </w:r>
      <w:r w:rsidR="00BC0F91">
        <w:rPr>
          <w:rFonts w:ascii="Calibri" w:hAnsi="Calibri" w:cs="Arial"/>
        </w:rPr>
        <w:t>Een</w:t>
      </w:r>
      <w:r w:rsidR="00DC3B0E">
        <w:rPr>
          <w:rFonts w:ascii="Calibri" w:hAnsi="Calibri" w:cs="Arial"/>
        </w:rPr>
        <w:t xml:space="preserve"> waarnemende gerechtsdeurwaarder</w:t>
      </w:r>
      <w:r w:rsidR="00DF40C6" w:rsidRPr="00D9172E">
        <w:rPr>
          <w:rFonts w:ascii="Calibri" w:hAnsi="Calibri" w:cs="Arial"/>
        </w:rPr>
        <w:t xml:space="preserve"> </w:t>
      </w:r>
      <w:r w:rsidR="00BC0F91">
        <w:rPr>
          <w:rFonts w:ascii="Calibri" w:hAnsi="Calibri" w:cs="Arial"/>
        </w:rPr>
        <w:t xml:space="preserve">wordt dan ook enkel </w:t>
      </w:r>
      <w:r w:rsidR="00DF40C6" w:rsidRPr="00D9172E">
        <w:rPr>
          <w:rFonts w:ascii="Calibri" w:hAnsi="Calibri" w:cs="Arial"/>
        </w:rPr>
        <w:t xml:space="preserve">opgezadeld met de </w:t>
      </w:r>
      <w:r w:rsidR="008723BF" w:rsidRPr="00D9172E">
        <w:rPr>
          <w:rFonts w:ascii="Calibri" w:hAnsi="Calibri" w:cs="Arial"/>
        </w:rPr>
        <w:t xml:space="preserve">lopende zaken, noodzakelijk voor het algemeen beheer </w:t>
      </w:r>
      <w:r w:rsidR="00DC5276" w:rsidRPr="00D9172E">
        <w:rPr>
          <w:rFonts w:ascii="Calibri" w:hAnsi="Calibri" w:cs="Arial"/>
        </w:rPr>
        <w:t xml:space="preserve">en </w:t>
      </w:r>
      <w:r w:rsidR="00AF2B63" w:rsidRPr="00D9172E">
        <w:rPr>
          <w:rFonts w:ascii="Calibri" w:hAnsi="Calibri" w:cs="Arial"/>
        </w:rPr>
        <w:t xml:space="preserve">de handhaving </w:t>
      </w:r>
      <w:r w:rsidR="00DC5276" w:rsidRPr="00D9172E">
        <w:rPr>
          <w:rFonts w:ascii="Calibri" w:hAnsi="Calibri" w:cs="Arial"/>
        </w:rPr>
        <w:t>van het kantoor</w:t>
      </w:r>
      <w:r w:rsidR="00DC5276" w:rsidRPr="00D9172E">
        <w:rPr>
          <w:rStyle w:val="Voetnootmarkering"/>
          <w:rFonts w:ascii="Calibri" w:hAnsi="Calibri" w:cs="Arial"/>
        </w:rPr>
        <w:footnoteReference w:id="129"/>
      </w:r>
      <w:r w:rsidR="00DC5276" w:rsidRPr="00D9172E">
        <w:rPr>
          <w:rFonts w:ascii="Calibri" w:hAnsi="Calibri" w:cs="Arial"/>
        </w:rPr>
        <w:t>.</w:t>
      </w:r>
      <w:r w:rsidR="008723BF" w:rsidRPr="00D9172E">
        <w:rPr>
          <w:rFonts w:ascii="Calibri" w:hAnsi="Calibri" w:cs="Arial"/>
        </w:rPr>
        <w:br/>
      </w:r>
      <w:r w:rsidR="002D269A" w:rsidRPr="00D9172E">
        <w:rPr>
          <w:rFonts w:ascii="Calibri" w:hAnsi="Calibri" w:cs="Arial"/>
        </w:rPr>
        <w:t xml:space="preserve">Natuurlijk kan </w:t>
      </w:r>
      <w:r w:rsidR="008C7289" w:rsidRPr="00D9172E">
        <w:rPr>
          <w:rFonts w:ascii="Calibri" w:hAnsi="Calibri" w:cs="Arial"/>
        </w:rPr>
        <w:t xml:space="preserve">een waarnemend kandidaat-gerechtsdeurwaarder </w:t>
      </w:r>
      <w:r w:rsidR="002D269A" w:rsidRPr="00D9172E">
        <w:rPr>
          <w:rFonts w:ascii="Calibri" w:hAnsi="Calibri" w:cs="Arial"/>
        </w:rPr>
        <w:t>wel zijn kandidatuur tot benoeming indienen</w:t>
      </w:r>
      <w:r w:rsidR="008C7289" w:rsidRPr="00D9172E">
        <w:rPr>
          <w:rFonts w:ascii="Calibri" w:hAnsi="Calibri" w:cs="Arial"/>
        </w:rPr>
        <w:t xml:space="preserve"> conform </w:t>
      </w:r>
      <w:r w:rsidR="00080829" w:rsidRPr="00D9172E">
        <w:rPr>
          <w:rFonts w:ascii="Calibri" w:hAnsi="Calibri" w:cs="Arial"/>
        </w:rPr>
        <w:t xml:space="preserve">artikel 515 </w:t>
      </w:r>
      <w:proofErr w:type="spellStart"/>
      <w:r w:rsidR="00080829" w:rsidRPr="00D9172E">
        <w:rPr>
          <w:rFonts w:ascii="Calibri" w:hAnsi="Calibri" w:cs="Arial"/>
        </w:rPr>
        <w:t>Ger.W</w:t>
      </w:r>
      <w:proofErr w:type="spellEnd"/>
      <w:r w:rsidR="00080829" w:rsidRPr="00D9172E">
        <w:rPr>
          <w:rFonts w:ascii="Calibri" w:hAnsi="Calibri" w:cs="Arial"/>
        </w:rPr>
        <w:t>.</w:t>
      </w:r>
      <w:r w:rsidR="002D269A" w:rsidRPr="00D9172E">
        <w:rPr>
          <w:rFonts w:ascii="Calibri" w:hAnsi="Calibri" w:cs="Arial"/>
        </w:rPr>
        <w:t>, maar er zal</w:t>
      </w:r>
      <w:r w:rsidR="00080829" w:rsidRPr="00D9172E">
        <w:rPr>
          <w:rFonts w:ascii="Calibri" w:hAnsi="Calibri" w:cs="Arial"/>
        </w:rPr>
        <w:t xml:space="preserve"> formeel</w:t>
      </w:r>
      <w:r w:rsidR="002D269A" w:rsidRPr="00D9172E">
        <w:rPr>
          <w:rFonts w:ascii="Calibri" w:hAnsi="Calibri" w:cs="Arial"/>
        </w:rPr>
        <w:t xml:space="preserve"> geen rekening gehouden worden met zijn </w:t>
      </w:r>
      <w:r w:rsidR="00080829" w:rsidRPr="00D9172E">
        <w:rPr>
          <w:rFonts w:ascii="Calibri" w:hAnsi="Calibri" w:cs="Arial"/>
        </w:rPr>
        <w:t xml:space="preserve">eerdere </w:t>
      </w:r>
      <w:r w:rsidR="002D269A" w:rsidRPr="00D9172E">
        <w:rPr>
          <w:rFonts w:ascii="Calibri" w:hAnsi="Calibri" w:cs="Arial"/>
        </w:rPr>
        <w:t xml:space="preserve">functie als </w:t>
      </w:r>
      <w:r w:rsidR="008C7289" w:rsidRPr="00D9172E">
        <w:rPr>
          <w:rFonts w:ascii="Calibri" w:hAnsi="Calibri" w:cs="Arial"/>
        </w:rPr>
        <w:t>dusdanig</w:t>
      </w:r>
      <w:r w:rsidR="00DC5276" w:rsidRPr="00D9172E">
        <w:rPr>
          <w:rStyle w:val="Voetnootmarkering"/>
          <w:rFonts w:ascii="Calibri" w:hAnsi="Calibri" w:cs="Arial"/>
        </w:rPr>
        <w:footnoteReference w:id="130"/>
      </w:r>
      <w:r w:rsidR="00DC5276" w:rsidRPr="00D9172E">
        <w:rPr>
          <w:rFonts w:ascii="Calibri" w:hAnsi="Calibri" w:cs="Arial"/>
        </w:rPr>
        <w:t xml:space="preserve">. </w:t>
      </w:r>
      <w:r w:rsidR="00060F62" w:rsidRPr="00D9172E">
        <w:rPr>
          <w:rFonts w:ascii="Calibri" w:hAnsi="Calibri" w:cs="Arial"/>
        </w:rPr>
        <w:t>Desondanks zal</w:t>
      </w:r>
      <w:r w:rsidR="00080829" w:rsidRPr="00D9172E">
        <w:rPr>
          <w:rFonts w:ascii="Calibri" w:hAnsi="Calibri" w:cs="Arial"/>
        </w:rPr>
        <w:t xml:space="preserve"> hij </w:t>
      </w:r>
      <w:r w:rsidR="00060F62" w:rsidRPr="00D9172E">
        <w:rPr>
          <w:rFonts w:ascii="Calibri" w:hAnsi="Calibri" w:cs="Arial"/>
        </w:rPr>
        <w:t xml:space="preserve">bij de selectieprocedure </w:t>
      </w:r>
      <w:r w:rsidR="00080829" w:rsidRPr="00D9172E">
        <w:rPr>
          <w:rFonts w:ascii="Calibri" w:hAnsi="Calibri" w:cs="Arial"/>
        </w:rPr>
        <w:t>natuurlijk wel een streepje voor</w:t>
      </w:r>
      <w:r w:rsidR="00060F62" w:rsidRPr="00D9172E">
        <w:rPr>
          <w:rFonts w:ascii="Calibri" w:hAnsi="Calibri" w:cs="Arial"/>
        </w:rPr>
        <w:t xml:space="preserve"> hebben</w:t>
      </w:r>
      <w:r w:rsidR="00080829" w:rsidRPr="00D9172E">
        <w:rPr>
          <w:rFonts w:ascii="Calibri" w:hAnsi="Calibri" w:cs="Arial"/>
        </w:rPr>
        <w:t xml:space="preserve"> op zijn concurrenten op vlak van een aantal criteria, zoals beroepservaring, daar hij de functie van titularis reeds heeft </w:t>
      </w:r>
      <w:r w:rsidR="002953F5" w:rsidRPr="00D9172E">
        <w:rPr>
          <w:rFonts w:ascii="Calibri" w:hAnsi="Calibri" w:cs="Arial"/>
        </w:rPr>
        <w:t>uitgeoefend</w:t>
      </w:r>
      <w:r w:rsidR="00080829" w:rsidRPr="00D9172E">
        <w:rPr>
          <w:rFonts w:ascii="Calibri" w:hAnsi="Calibri" w:cs="Arial"/>
        </w:rPr>
        <w:t xml:space="preserve">. </w:t>
      </w:r>
    </w:p>
    <w:p w14:paraId="46FD6D4E" w14:textId="77777777" w:rsidR="00DA57DA" w:rsidRDefault="00DA57DA">
      <w:pPr>
        <w:rPr>
          <w:rFonts w:asciiTheme="majorHAnsi" w:eastAsiaTheme="majorEastAsia" w:hAnsiTheme="majorHAnsi" w:cstheme="majorBidi"/>
          <w:color w:val="1F3763" w:themeColor="accent1" w:themeShade="7F"/>
        </w:rPr>
      </w:pPr>
      <w:r>
        <w:br w:type="page"/>
      </w:r>
    </w:p>
    <w:p w14:paraId="0AA3214B" w14:textId="40062670" w:rsidR="00992A88" w:rsidRPr="00D9172E" w:rsidRDefault="001B44A2" w:rsidP="002532B7">
      <w:pPr>
        <w:pStyle w:val="Kop3"/>
        <w:spacing w:line="276" w:lineRule="auto"/>
      </w:pPr>
      <w:bookmarkStart w:id="24" w:name="_Toc40689962"/>
      <w:r>
        <w:lastRenderedPageBreak/>
        <w:t xml:space="preserve">Afdeling III: </w:t>
      </w:r>
      <w:r w:rsidR="00992A88">
        <w:t>Daadwerkelijke vervanging</w:t>
      </w:r>
      <w:bookmarkEnd w:id="24"/>
    </w:p>
    <w:p w14:paraId="55312AF4" w14:textId="038F0E18" w:rsidR="00317EB9" w:rsidRPr="00D9172E" w:rsidRDefault="00206FEA" w:rsidP="0013771D">
      <w:pPr>
        <w:pStyle w:val="Normaalweb"/>
        <w:spacing w:line="276" w:lineRule="auto"/>
        <w:jc w:val="both"/>
        <w:rPr>
          <w:rFonts w:ascii="Calibri" w:hAnsi="Calibri" w:cs="Arial"/>
        </w:rPr>
      </w:pPr>
      <w:r>
        <w:rPr>
          <w:rFonts w:ascii="Calibri" w:hAnsi="Calibri" w:cs="Arial"/>
          <w:b/>
        </w:rPr>
        <w:t>52.</w:t>
      </w:r>
      <w:r w:rsidR="00554A69" w:rsidRPr="00D9172E">
        <w:rPr>
          <w:rFonts w:ascii="Calibri" w:hAnsi="Calibri" w:cs="Arial"/>
        </w:rPr>
        <w:t xml:space="preserve">Na de periode van waarneming, wanneer een nieuwe gerechtsdeurwaarder is benoemd voor de vacante plaats, </w:t>
      </w:r>
      <w:r w:rsidR="007300C0" w:rsidRPr="00D9172E">
        <w:rPr>
          <w:rFonts w:ascii="Calibri" w:hAnsi="Calibri" w:cs="Arial"/>
        </w:rPr>
        <w:t xml:space="preserve">treedt die als het ware in de plaats </w:t>
      </w:r>
      <w:r w:rsidR="007F133B" w:rsidRPr="00D9172E">
        <w:rPr>
          <w:rFonts w:ascii="Calibri" w:hAnsi="Calibri" w:cs="Arial"/>
        </w:rPr>
        <w:t>van d</w:t>
      </w:r>
      <w:r w:rsidR="008145B0" w:rsidRPr="00D9172E">
        <w:rPr>
          <w:rFonts w:ascii="Calibri" w:hAnsi="Calibri" w:cs="Arial"/>
        </w:rPr>
        <w:t>egene die hij opvolgt. H</w:t>
      </w:r>
      <w:r w:rsidR="00A6272C" w:rsidRPr="00D9172E">
        <w:rPr>
          <w:rFonts w:ascii="Calibri" w:hAnsi="Calibri" w:cs="Arial"/>
        </w:rPr>
        <w:t xml:space="preserve">ij is wettelijk verplicht om elke </w:t>
      </w:r>
      <w:r w:rsidR="0013771D">
        <w:rPr>
          <w:rFonts w:ascii="Calibri" w:hAnsi="Calibri" w:cs="Arial"/>
        </w:rPr>
        <w:t xml:space="preserve">professionele </w:t>
      </w:r>
      <w:r w:rsidR="008145B0" w:rsidRPr="00D9172E">
        <w:rPr>
          <w:rFonts w:ascii="Calibri" w:hAnsi="Calibri" w:cs="Arial"/>
        </w:rPr>
        <w:t>verbintenis van zijn voorganger</w:t>
      </w:r>
      <w:r w:rsidR="000A5F68" w:rsidRPr="00D9172E">
        <w:rPr>
          <w:rFonts w:ascii="Calibri" w:hAnsi="Calibri" w:cs="Arial"/>
        </w:rPr>
        <w:t xml:space="preserve"> mee over te nemen</w:t>
      </w:r>
      <w:r w:rsidR="003F4EA2">
        <w:rPr>
          <w:rFonts w:ascii="Calibri" w:hAnsi="Calibri" w:cs="Arial"/>
        </w:rPr>
        <w:t xml:space="preserve">, </w:t>
      </w:r>
      <w:r w:rsidR="00CF1E87" w:rsidRPr="00D9172E">
        <w:rPr>
          <w:rFonts w:ascii="Calibri" w:hAnsi="Calibri" w:cs="Arial"/>
        </w:rPr>
        <w:t>gaande van arbeidsovereenkomsten tot huur-</w:t>
      </w:r>
      <w:r w:rsidR="007C1E80" w:rsidRPr="00D9172E">
        <w:rPr>
          <w:rFonts w:ascii="Calibri" w:hAnsi="Calibri" w:cs="Arial"/>
        </w:rPr>
        <w:t xml:space="preserve"> of leasecontracten van kantoorinfrastructuur</w:t>
      </w:r>
      <w:r w:rsidR="00060F62" w:rsidRPr="00D9172E">
        <w:rPr>
          <w:rStyle w:val="Voetnootmarkering"/>
          <w:rFonts w:ascii="Calibri" w:hAnsi="Calibri" w:cs="Arial"/>
        </w:rPr>
        <w:footnoteReference w:id="131"/>
      </w:r>
      <w:r w:rsidR="007C1E80" w:rsidRPr="00D9172E">
        <w:rPr>
          <w:rFonts w:ascii="Calibri" w:hAnsi="Calibri" w:cs="Arial"/>
        </w:rPr>
        <w:t xml:space="preserve">. </w:t>
      </w:r>
      <w:r w:rsidR="008D3A64" w:rsidRPr="00D9172E">
        <w:rPr>
          <w:rFonts w:ascii="Calibri" w:hAnsi="Calibri" w:cs="Arial"/>
        </w:rPr>
        <w:t>Roerende goederen vanop het kantoor moeten ook overgenomen worden, net als de computers en bijbehorende programma’s</w:t>
      </w:r>
      <w:r w:rsidR="00E32742" w:rsidRPr="00D9172E">
        <w:rPr>
          <w:rFonts w:ascii="Calibri" w:hAnsi="Calibri" w:cs="Arial"/>
        </w:rPr>
        <w:t>, en wel tegen hun boekwaarde</w:t>
      </w:r>
      <w:r w:rsidR="00060F62" w:rsidRPr="00D9172E">
        <w:rPr>
          <w:rStyle w:val="Voetnootmarkering"/>
          <w:rFonts w:ascii="Calibri" w:hAnsi="Calibri" w:cs="Arial"/>
        </w:rPr>
        <w:footnoteReference w:id="132"/>
      </w:r>
      <w:r w:rsidR="00E32742" w:rsidRPr="00D9172E">
        <w:rPr>
          <w:rFonts w:ascii="Calibri" w:hAnsi="Calibri" w:cs="Arial"/>
        </w:rPr>
        <w:t xml:space="preserve">. </w:t>
      </w:r>
      <w:r w:rsidR="008D3A64" w:rsidRPr="00D9172E">
        <w:rPr>
          <w:rFonts w:ascii="Calibri" w:hAnsi="Calibri" w:cs="Arial"/>
        </w:rPr>
        <w:t>Dit is vooral beslist om de openbare dienstverlening zo weinig mogelijk hinder te laten ondervinden bij de overname</w:t>
      </w:r>
      <w:r w:rsidR="00CF75C8" w:rsidRPr="00D9172E">
        <w:rPr>
          <w:rFonts w:ascii="Calibri" w:hAnsi="Calibri" w:cs="Arial"/>
        </w:rPr>
        <w:t>.</w:t>
      </w:r>
      <w:r w:rsidR="008D3A64" w:rsidRPr="00D9172E">
        <w:rPr>
          <w:rFonts w:ascii="Calibri" w:hAnsi="Calibri" w:cs="Arial"/>
        </w:rPr>
        <w:t xml:space="preserve"> Indien de nieuwe gerechtsdeurwaarder </w:t>
      </w:r>
      <w:r w:rsidR="00A1674B" w:rsidRPr="00D9172E">
        <w:rPr>
          <w:rFonts w:ascii="Calibri" w:hAnsi="Calibri" w:cs="Arial"/>
        </w:rPr>
        <w:t>alle noodzakelijke componenten</w:t>
      </w:r>
      <w:r w:rsidR="008D6BA8" w:rsidRPr="00D9172E">
        <w:rPr>
          <w:rFonts w:ascii="Calibri" w:hAnsi="Calibri" w:cs="Arial"/>
        </w:rPr>
        <w:t xml:space="preserve"> </w:t>
      </w:r>
      <w:r w:rsidR="008D3A64" w:rsidRPr="00D9172E">
        <w:rPr>
          <w:rFonts w:ascii="Calibri" w:hAnsi="Calibri" w:cs="Arial"/>
        </w:rPr>
        <w:t xml:space="preserve">zelf zou aanschaffen, zou dit onnodig tijdverlies </w:t>
      </w:r>
      <w:r w:rsidR="00E32742" w:rsidRPr="00D9172E">
        <w:rPr>
          <w:rFonts w:ascii="Calibri" w:hAnsi="Calibri" w:cs="Arial"/>
        </w:rPr>
        <w:t xml:space="preserve">en een mogelijke hinderpaal voor de openbare dienstverlening </w:t>
      </w:r>
      <w:r w:rsidR="0013771D">
        <w:rPr>
          <w:rFonts w:ascii="Calibri" w:hAnsi="Calibri" w:cs="Arial"/>
        </w:rPr>
        <w:t xml:space="preserve">kunnen </w:t>
      </w:r>
      <w:r w:rsidR="008D3A64" w:rsidRPr="00D9172E">
        <w:rPr>
          <w:rFonts w:ascii="Calibri" w:hAnsi="Calibri" w:cs="Arial"/>
        </w:rPr>
        <w:t>betekenen</w:t>
      </w:r>
      <w:r w:rsidR="00A1674B" w:rsidRPr="00D9172E">
        <w:rPr>
          <w:rStyle w:val="Voetnootmarkering"/>
          <w:rFonts w:ascii="Calibri" w:hAnsi="Calibri" w:cs="Arial"/>
        </w:rPr>
        <w:footnoteReference w:id="133"/>
      </w:r>
      <w:r w:rsidR="00E32742" w:rsidRPr="00D9172E">
        <w:rPr>
          <w:rFonts w:ascii="Calibri" w:hAnsi="Calibri" w:cs="Arial"/>
        </w:rPr>
        <w:t>: iets wat</w:t>
      </w:r>
      <w:r w:rsidR="0013771D">
        <w:rPr>
          <w:rFonts w:ascii="Calibri" w:hAnsi="Calibri" w:cs="Arial"/>
        </w:rPr>
        <w:t xml:space="preserve"> – nogmaals –</w:t>
      </w:r>
      <w:r w:rsidR="00E32742" w:rsidRPr="00D9172E">
        <w:rPr>
          <w:rFonts w:ascii="Calibri" w:hAnsi="Calibri" w:cs="Arial"/>
        </w:rPr>
        <w:t xml:space="preserve"> te allen tijde moet vermeden worden.</w:t>
      </w:r>
      <w:r w:rsidR="008D3A64" w:rsidRPr="00D9172E">
        <w:rPr>
          <w:rFonts w:ascii="Calibri" w:hAnsi="Calibri" w:cs="Arial"/>
        </w:rPr>
        <w:t xml:space="preserve"> Alles wat hij nodig heeft staat te zijner beschikking, dus is er geen reden om dit nieuw aan te kopen. </w:t>
      </w:r>
    </w:p>
    <w:p w14:paraId="0DDFA53D" w14:textId="66DD5E82" w:rsidR="00E32742" w:rsidRPr="00D9172E" w:rsidRDefault="00206FEA" w:rsidP="0013771D">
      <w:pPr>
        <w:pStyle w:val="Normaalweb"/>
        <w:spacing w:line="276" w:lineRule="auto"/>
        <w:jc w:val="both"/>
        <w:rPr>
          <w:rFonts w:ascii="Calibri" w:hAnsi="Calibri" w:cs="Arial"/>
        </w:rPr>
      </w:pPr>
      <w:r>
        <w:rPr>
          <w:rFonts w:ascii="Calibri" w:hAnsi="Calibri" w:cs="Arial"/>
          <w:b/>
        </w:rPr>
        <w:t>53.</w:t>
      </w:r>
      <w:r w:rsidR="00C72964" w:rsidRPr="00D9172E">
        <w:rPr>
          <w:rFonts w:ascii="Calibri" w:hAnsi="Calibri" w:cs="Arial"/>
        </w:rPr>
        <w:t xml:space="preserve">Naast de materiële zaken neemt de nieuwe gerechtsdeurwaarder logischerwijs ook alle </w:t>
      </w:r>
      <w:r w:rsidR="00101ACD" w:rsidRPr="00D9172E">
        <w:rPr>
          <w:rFonts w:ascii="Calibri" w:hAnsi="Calibri" w:cs="Arial"/>
        </w:rPr>
        <w:t xml:space="preserve">lopende </w:t>
      </w:r>
      <w:r w:rsidR="00C72964" w:rsidRPr="00D9172E">
        <w:rPr>
          <w:rFonts w:ascii="Calibri" w:hAnsi="Calibri" w:cs="Arial"/>
        </w:rPr>
        <w:t xml:space="preserve">dossiers en gerechtelijke opdrachten (bv. schuldbemiddeling) van zijn voorganger over, </w:t>
      </w:r>
      <w:r w:rsidR="00101ACD" w:rsidRPr="00D9172E">
        <w:rPr>
          <w:rFonts w:ascii="Calibri" w:hAnsi="Calibri" w:cs="Arial"/>
        </w:rPr>
        <w:t>tenzij</w:t>
      </w:r>
      <w:r w:rsidR="00C72964" w:rsidRPr="00D9172E">
        <w:rPr>
          <w:rFonts w:ascii="Calibri" w:hAnsi="Calibri" w:cs="Arial"/>
        </w:rPr>
        <w:t xml:space="preserve"> </w:t>
      </w:r>
      <w:r w:rsidR="00101ACD" w:rsidRPr="00D9172E">
        <w:rPr>
          <w:rFonts w:ascii="Calibri" w:hAnsi="Calibri" w:cs="Arial"/>
        </w:rPr>
        <w:t>een partij in dezen of de procureur des Konings de rechtbank zou verzoeken een confrater aan te stellen</w:t>
      </w:r>
      <w:r w:rsidR="00A1674B" w:rsidRPr="00D9172E">
        <w:rPr>
          <w:rStyle w:val="Voetnootmarkering"/>
          <w:rFonts w:ascii="Calibri" w:hAnsi="Calibri" w:cs="Arial"/>
        </w:rPr>
        <w:footnoteReference w:id="134"/>
      </w:r>
      <w:r w:rsidR="00596530" w:rsidRPr="00D9172E">
        <w:rPr>
          <w:rFonts w:ascii="Calibri" w:hAnsi="Calibri" w:cs="Arial"/>
        </w:rPr>
        <w:t xml:space="preserve">. </w:t>
      </w:r>
    </w:p>
    <w:p w14:paraId="21014453" w14:textId="77777777" w:rsidR="0060556A" w:rsidRDefault="0060556A">
      <w:pPr>
        <w:rPr>
          <w:rFonts w:asciiTheme="majorHAnsi" w:eastAsiaTheme="majorEastAsia" w:hAnsiTheme="majorHAnsi" w:cstheme="majorBidi"/>
          <w:color w:val="2F5496" w:themeColor="accent1" w:themeShade="BF"/>
          <w:sz w:val="26"/>
          <w:szCs w:val="26"/>
        </w:rPr>
      </w:pPr>
      <w:r>
        <w:br w:type="page"/>
      </w:r>
    </w:p>
    <w:p w14:paraId="1462E761" w14:textId="553D054D" w:rsidR="00A709A1" w:rsidRPr="00D9172E" w:rsidRDefault="00A709A1" w:rsidP="002532B7">
      <w:pPr>
        <w:pStyle w:val="Kop2"/>
        <w:spacing w:line="276" w:lineRule="auto"/>
      </w:pPr>
      <w:bookmarkStart w:id="25" w:name="_Toc40689963"/>
      <w:r w:rsidRPr="00D9172E">
        <w:lastRenderedPageBreak/>
        <w:t>Hoofdstuk 4: Tucht en deontologie</w:t>
      </w:r>
      <w:bookmarkEnd w:id="25"/>
    </w:p>
    <w:p w14:paraId="31531F2C" w14:textId="5BAD204D" w:rsidR="00A709A1" w:rsidRPr="00D9172E" w:rsidRDefault="00206FEA" w:rsidP="00DD5F8A">
      <w:pPr>
        <w:pStyle w:val="Normaalweb"/>
        <w:spacing w:line="276" w:lineRule="auto"/>
        <w:jc w:val="both"/>
        <w:rPr>
          <w:rFonts w:ascii="Calibri" w:hAnsi="Calibri" w:cs="Arial"/>
        </w:rPr>
      </w:pPr>
      <w:r>
        <w:rPr>
          <w:rFonts w:ascii="Calibri" w:hAnsi="Calibri" w:cs="Arial"/>
          <w:b/>
        </w:rPr>
        <w:t>54.</w:t>
      </w:r>
      <w:r w:rsidR="001A02B4" w:rsidRPr="00D9172E">
        <w:rPr>
          <w:rFonts w:ascii="Calibri" w:hAnsi="Calibri" w:cs="Arial"/>
        </w:rPr>
        <w:t xml:space="preserve">Naast het verstrengen van de toegang tot het korps, </w:t>
      </w:r>
      <w:r w:rsidR="00E47DDF" w:rsidRPr="00D9172E">
        <w:rPr>
          <w:rFonts w:ascii="Calibri" w:hAnsi="Calibri" w:cs="Arial"/>
        </w:rPr>
        <w:t xml:space="preserve">heeft </w:t>
      </w:r>
      <w:r w:rsidR="008902DE">
        <w:rPr>
          <w:rFonts w:ascii="Calibri" w:hAnsi="Calibri" w:cs="Arial"/>
        </w:rPr>
        <w:t xml:space="preserve">de wetgever </w:t>
      </w:r>
      <w:r w:rsidR="00E47DDF" w:rsidRPr="00D9172E">
        <w:rPr>
          <w:rFonts w:ascii="Calibri" w:hAnsi="Calibri" w:cs="Arial"/>
        </w:rPr>
        <w:t xml:space="preserve">ook ingezet op een </w:t>
      </w:r>
      <w:r w:rsidR="00DD11EA" w:rsidRPr="00D9172E">
        <w:rPr>
          <w:rFonts w:ascii="Calibri" w:hAnsi="Calibri" w:cs="Arial"/>
        </w:rPr>
        <w:t>strikter tuchtrecht</w:t>
      </w:r>
      <w:r w:rsidR="008521A2" w:rsidRPr="00D9172E">
        <w:rPr>
          <w:rFonts w:ascii="Calibri" w:hAnsi="Calibri" w:cs="Arial"/>
        </w:rPr>
        <w:t xml:space="preserve"> voor het korps</w:t>
      </w:r>
      <w:r w:rsidR="00E20504" w:rsidRPr="00D9172E">
        <w:rPr>
          <w:rFonts w:ascii="Calibri" w:hAnsi="Calibri" w:cs="Arial"/>
        </w:rPr>
        <w:t>.</w:t>
      </w:r>
      <w:r w:rsidR="00AF31B3" w:rsidRPr="00D9172E">
        <w:rPr>
          <w:rFonts w:ascii="Calibri" w:hAnsi="Calibri" w:cs="Arial"/>
        </w:rPr>
        <w:t xml:space="preserve"> In de memorie van toelichting wijst men op de nood aan een scherpe beroepsethiek en deontologie om het vertrouwen van overheid en burger </w:t>
      </w:r>
      <w:r w:rsidR="005C29EE" w:rsidRPr="00D9172E">
        <w:rPr>
          <w:rFonts w:ascii="Calibri" w:hAnsi="Calibri" w:cs="Arial"/>
        </w:rPr>
        <w:t>niet te beschamen</w:t>
      </w:r>
      <w:r w:rsidR="007A0FF7" w:rsidRPr="00D9172E">
        <w:rPr>
          <w:rStyle w:val="Voetnootmarkering"/>
          <w:rFonts w:ascii="Calibri" w:hAnsi="Calibri" w:cs="Arial"/>
        </w:rPr>
        <w:footnoteReference w:id="135"/>
      </w:r>
      <w:r w:rsidR="005C29EE" w:rsidRPr="00D9172E">
        <w:rPr>
          <w:rFonts w:ascii="Calibri" w:hAnsi="Calibri" w:cs="Arial"/>
        </w:rPr>
        <w:t>.</w:t>
      </w:r>
      <w:r w:rsidR="002A768B" w:rsidRPr="00D9172E">
        <w:rPr>
          <w:rFonts w:ascii="Calibri" w:hAnsi="Calibri" w:cs="Arial"/>
        </w:rPr>
        <w:t xml:space="preserve"> </w:t>
      </w:r>
      <w:r w:rsidR="00C35A12" w:rsidRPr="00D9172E">
        <w:rPr>
          <w:rFonts w:ascii="Calibri" w:hAnsi="Calibri" w:cs="Arial"/>
        </w:rPr>
        <w:t>Hou er rekening mee</w:t>
      </w:r>
      <w:r w:rsidR="00345943" w:rsidRPr="00D9172E">
        <w:rPr>
          <w:rFonts w:ascii="Calibri" w:hAnsi="Calibri" w:cs="Arial"/>
        </w:rPr>
        <w:t xml:space="preserve"> dat de gerechtsdeurwaarders nog geen 15 jaar – </w:t>
      </w:r>
      <w:r w:rsidR="00C35A12" w:rsidRPr="00D9172E">
        <w:rPr>
          <w:rFonts w:ascii="Calibri" w:hAnsi="Calibri" w:cs="Arial"/>
        </w:rPr>
        <w:t xml:space="preserve">pas </w:t>
      </w:r>
      <w:r w:rsidR="00345943" w:rsidRPr="00D9172E">
        <w:rPr>
          <w:rFonts w:ascii="Calibri" w:hAnsi="Calibri" w:cs="Arial"/>
        </w:rPr>
        <w:t xml:space="preserve">sinds 2006 – kunnen </w:t>
      </w:r>
      <w:r w:rsidR="00C35A12" w:rsidRPr="00D9172E">
        <w:rPr>
          <w:rFonts w:ascii="Calibri" w:hAnsi="Calibri" w:cs="Arial"/>
        </w:rPr>
        <w:t>terugv</w:t>
      </w:r>
      <w:r w:rsidR="00345943" w:rsidRPr="00D9172E">
        <w:rPr>
          <w:rFonts w:ascii="Calibri" w:hAnsi="Calibri" w:cs="Arial"/>
        </w:rPr>
        <w:t>allen op een geschreven deontologische code</w:t>
      </w:r>
      <w:r w:rsidR="00C35A12" w:rsidRPr="00D9172E">
        <w:rPr>
          <w:rStyle w:val="Voetnootmarkering"/>
          <w:rFonts w:ascii="Calibri" w:hAnsi="Calibri" w:cs="Arial"/>
        </w:rPr>
        <w:footnoteReference w:id="136"/>
      </w:r>
      <w:r w:rsidR="00C35A12" w:rsidRPr="00D9172E">
        <w:rPr>
          <w:rFonts w:ascii="Calibri" w:hAnsi="Calibri" w:cs="Arial"/>
        </w:rPr>
        <w:t>.</w:t>
      </w:r>
      <w:r w:rsidR="00065AB7">
        <w:rPr>
          <w:rFonts w:ascii="Calibri" w:hAnsi="Calibri" w:cs="Arial"/>
        </w:rPr>
        <w:t xml:space="preserve"> </w:t>
      </w:r>
      <w:r w:rsidR="007A0FF7" w:rsidRPr="00D9172E">
        <w:rPr>
          <w:rFonts w:ascii="Calibri" w:hAnsi="Calibri" w:cs="Arial"/>
        </w:rPr>
        <w:t>Begaat d</w:t>
      </w:r>
      <w:r w:rsidR="00C35A12" w:rsidRPr="00D9172E">
        <w:rPr>
          <w:rFonts w:ascii="Calibri" w:hAnsi="Calibri" w:cs="Arial"/>
        </w:rPr>
        <w:t>e gerechtsdeurwaarder</w:t>
      </w:r>
      <w:r w:rsidR="007A0FF7" w:rsidRPr="00D9172E">
        <w:rPr>
          <w:rFonts w:ascii="Calibri" w:hAnsi="Calibri" w:cs="Arial"/>
        </w:rPr>
        <w:t xml:space="preserve"> een overtreding, dan is ook eenheid van rechtspraak onontbeerlijk</w:t>
      </w:r>
      <w:r w:rsidR="007A0FF7" w:rsidRPr="00D9172E">
        <w:rPr>
          <w:rStyle w:val="Voetnootmarkering"/>
          <w:rFonts w:ascii="Calibri" w:hAnsi="Calibri" w:cs="Arial"/>
        </w:rPr>
        <w:footnoteReference w:id="137"/>
      </w:r>
      <w:r w:rsidR="007A0FF7" w:rsidRPr="00D9172E">
        <w:rPr>
          <w:rFonts w:ascii="Calibri" w:hAnsi="Calibri" w:cs="Arial"/>
        </w:rPr>
        <w:t xml:space="preserve">. Om die reden </w:t>
      </w:r>
      <w:r w:rsidR="003551C4" w:rsidRPr="00D9172E">
        <w:rPr>
          <w:rFonts w:ascii="Calibri" w:hAnsi="Calibri" w:cs="Arial"/>
        </w:rPr>
        <w:t>wordt</w:t>
      </w:r>
      <w:r w:rsidR="007A0FF7" w:rsidRPr="00D9172E">
        <w:rPr>
          <w:rFonts w:ascii="Calibri" w:hAnsi="Calibri" w:cs="Arial"/>
        </w:rPr>
        <w:t xml:space="preserve"> dit alles</w:t>
      </w:r>
      <w:r w:rsidR="003551C4" w:rsidRPr="00D9172E">
        <w:rPr>
          <w:rFonts w:ascii="Calibri" w:hAnsi="Calibri" w:cs="Arial"/>
        </w:rPr>
        <w:t xml:space="preserve"> voortaan niet meer op arrondissementeel niveau geregeld, maar opgekrikt naar het niveau van het hof van beroep</w:t>
      </w:r>
      <w:r w:rsidR="003551C4" w:rsidRPr="00D9172E">
        <w:rPr>
          <w:rStyle w:val="Voetnootmarkering"/>
          <w:rFonts w:ascii="Calibri" w:hAnsi="Calibri" w:cs="Arial"/>
        </w:rPr>
        <w:footnoteReference w:id="138"/>
      </w:r>
      <w:r w:rsidR="003817FC">
        <w:rPr>
          <w:rFonts w:ascii="Calibri" w:hAnsi="Calibri" w:cs="Arial"/>
        </w:rPr>
        <w:t xml:space="preserve">, </w:t>
      </w:r>
      <w:r w:rsidR="00AA0A4C">
        <w:rPr>
          <w:rFonts w:ascii="Calibri" w:hAnsi="Calibri" w:cs="Arial"/>
        </w:rPr>
        <w:t>volgens</w:t>
      </w:r>
      <w:r w:rsidR="003817FC">
        <w:rPr>
          <w:rFonts w:ascii="Calibri" w:hAnsi="Calibri" w:cs="Arial"/>
        </w:rPr>
        <w:t xml:space="preserve"> rechtsgebied</w:t>
      </w:r>
      <w:r w:rsidR="0057266C" w:rsidRPr="00D9172E">
        <w:rPr>
          <w:rFonts w:ascii="Calibri" w:hAnsi="Calibri" w:cs="Arial"/>
        </w:rPr>
        <w:t xml:space="preserve">. Merk op dat </w:t>
      </w:r>
      <w:r w:rsidR="00D70CC5" w:rsidRPr="00D9172E">
        <w:rPr>
          <w:rFonts w:ascii="Calibri" w:hAnsi="Calibri" w:cs="Arial"/>
        </w:rPr>
        <w:t xml:space="preserve">er aanvankelijk niet voor gekozen is om de bevoegdheid voor kennisname van tuchtzaken bij de NKGB te leggen, maar bij de raad van </w:t>
      </w:r>
      <w:r w:rsidR="00A6303E">
        <w:rPr>
          <w:rFonts w:ascii="Calibri" w:hAnsi="Calibri" w:cs="Arial"/>
        </w:rPr>
        <w:t xml:space="preserve">de </w:t>
      </w:r>
      <w:r w:rsidR="00D70CC5" w:rsidRPr="00D9172E">
        <w:rPr>
          <w:rFonts w:ascii="Calibri" w:hAnsi="Calibri" w:cs="Arial"/>
        </w:rPr>
        <w:t>arrondissementskamer</w:t>
      </w:r>
      <w:r w:rsidR="00E14AC8" w:rsidRPr="00D9172E">
        <w:rPr>
          <w:rFonts w:ascii="Calibri" w:hAnsi="Calibri" w:cs="Arial"/>
        </w:rPr>
        <w:t xml:space="preserve">. </w:t>
      </w:r>
      <w:r w:rsidR="0069152A" w:rsidRPr="00D9172E">
        <w:rPr>
          <w:rFonts w:ascii="Calibri" w:hAnsi="Calibri" w:cs="Arial"/>
        </w:rPr>
        <w:t>Dit is, samen met nog een aantal correcties op de wet van 7 januari 2014, nog in hetzelfde jaar aangepast</w:t>
      </w:r>
      <w:r w:rsidR="0069152A" w:rsidRPr="00D9172E">
        <w:rPr>
          <w:rStyle w:val="Voetnootmarkering"/>
          <w:rFonts w:ascii="Calibri" w:hAnsi="Calibri" w:cs="Arial"/>
        </w:rPr>
        <w:footnoteReference w:id="139"/>
      </w:r>
      <w:r w:rsidR="0069152A" w:rsidRPr="00D9172E">
        <w:rPr>
          <w:rFonts w:ascii="Calibri" w:hAnsi="Calibri" w:cs="Arial"/>
        </w:rPr>
        <w:t xml:space="preserve">. </w:t>
      </w:r>
    </w:p>
    <w:p w14:paraId="2DC87BD0" w14:textId="2E032D64" w:rsidR="00D942BF" w:rsidRPr="00D942BF" w:rsidRDefault="00D942BF" w:rsidP="00D942BF">
      <w:pPr>
        <w:pStyle w:val="Kop3"/>
      </w:pPr>
      <w:bookmarkStart w:id="26" w:name="_Toc40689964"/>
      <w:r>
        <w:t>Afdeling I: Tuchtrecht voor de hervorming</w:t>
      </w:r>
      <w:bookmarkEnd w:id="26"/>
    </w:p>
    <w:p w14:paraId="2E22323D" w14:textId="70BC4CBB" w:rsidR="00941BBC" w:rsidRPr="00D9172E" w:rsidRDefault="00206FEA" w:rsidP="00DD5F8A">
      <w:pPr>
        <w:pStyle w:val="Normaalweb"/>
        <w:spacing w:line="276" w:lineRule="auto"/>
        <w:jc w:val="both"/>
        <w:rPr>
          <w:rFonts w:ascii="Calibri" w:hAnsi="Calibri" w:cs="Arial"/>
        </w:rPr>
      </w:pPr>
      <w:r>
        <w:rPr>
          <w:rFonts w:ascii="Calibri" w:hAnsi="Calibri" w:cs="Arial"/>
          <w:b/>
        </w:rPr>
        <w:t>55.</w:t>
      </w:r>
      <w:r w:rsidR="00310E0C" w:rsidRPr="00D9172E">
        <w:rPr>
          <w:rFonts w:ascii="Calibri" w:hAnsi="Calibri" w:cs="Arial"/>
        </w:rPr>
        <w:t xml:space="preserve">Onder het oude tuchtrecht, tot 2014, </w:t>
      </w:r>
      <w:r w:rsidR="008F1142">
        <w:rPr>
          <w:rFonts w:ascii="Calibri" w:hAnsi="Calibri" w:cs="Arial"/>
        </w:rPr>
        <w:t xml:space="preserve">werden tuchtstraffen </w:t>
      </w:r>
      <w:r w:rsidR="005B5EF1" w:rsidRPr="00D9172E">
        <w:rPr>
          <w:rFonts w:ascii="Calibri" w:hAnsi="Calibri" w:cs="Arial"/>
        </w:rPr>
        <w:t xml:space="preserve">opgelegd door </w:t>
      </w:r>
      <w:r w:rsidR="008F1142">
        <w:rPr>
          <w:rFonts w:ascii="Calibri" w:hAnsi="Calibri" w:cs="Arial"/>
        </w:rPr>
        <w:t xml:space="preserve">collega’s uit </w:t>
      </w:r>
      <w:r w:rsidR="005B5EF1" w:rsidRPr="00D9172E">
        <w:rPr>
          <w:rFonts w:ascii="Calibri" w:hAnsi="Calibri" w:cs="Arial"/>
        </w:rPr>
        <w:t>de raad van de arrondissementskamer van de overtreder</w:t>
      </w:r>
      <w:r w:rsidR="005B5EF1" w:rsidRPr="00D9172E">
        <w:rPr>
          <w:rStyle w:val="Voetnootmarkering"/>
          <w:rFonts w:ascii="Calibri" w:hAnsi="Calibri" w:cs="Arial"/>
        </w:rPr>
        <w:footnoteReference w:id="140"/>
      </w:r>
      <w:r w:rsidR="005B5EF1" w:rsidRPr="00D9172E">
        <w:rPr>
          <w:rFonts w:ascii="Calibri" w:hAnsi="Calibri" w:cs="Arial"/>
        </w:rPr>
        <w:t>.</w:t>
      </w:r>
      <w:r w:rsidR="0007357E" w:rsidRPr="00D9172E">
        <w:rPr>
          <w:rFonts w:ascii="Calibri" w:hAnsi="Calibri" w:cs="Arial"/>
        </w:rPr>
        <w:t xml:space="preserve"> Zoals dat bij</w:t>
      </w:r>
      <w:r w:rsidR="00936997" w:rsidRPr="00D9172E">
        <w:rPr>
          <w:rFonts w:ascii="Calibri" w:hAnsi="Calibri" w:cs="Arial"/>
        </w:rPr>
        <w:t xml:space="preserve"> (lagere)</w:t>
      </w:r>
      <w:r w:rsidR="0007357E" w:rsidRPr="00D9172E">
        <w:rPr>
          <w:rFonts w:ascii="Calibri" w:hAnsi="Calibri" w:cs="Arial"/>
        </w:rPr>
        <w:t xml:space="preserve"> tuchtsancties wel vaker het geval is, ging het ook bij de gerechtsdeurwaarders veelal over morele, symbolische straffen: terechtwijzing, censuur – al dan niet met </w:t>
      </w:r>
      <w:r w:rsidR="0070009C" w:rsidRPr="00D9172E">
        <w:rPr>
          <w:rFonts w:ascii="Calibri" w:hAnsi="Calibri" w:cs="Arial"/>
        </w:rPr>
        <w:t>berisping van de syndicus – en</w:t>
      </w:r>
      <w:r w:rsidR="0007357E" w:rsidRPr="00D9172E">
        <w:rPr>
          <w:rFonts w:ascii="Calibri" w:hAnsi="Calibri" w:cs="Arial"/>
        </w:rPr>
        <w:t xml:space="preserve"> maximaal gedurende drie jaren niet toegelaten worden tot de arrondissementskamer en de vaste raad van de NKGB</w:t>
      </w:r>
      <w:r w:rsidR="0007357E" w:rsidRPr="00D9172E">
        <w:rPr>
          <w:rStyle w:val="Voetnootmarkering"/>
          <w:rFonts w:ascii="Calibri" w:hAnsi="Calibri" w:cs="Arial"/>
        </w:rPr>
        <w:footnoteReference w:id="141"/>
      </w:r>
      <w:r w:rsidR="0007357E" w:rsidRPr="00D9172E">
        <w:rPr>
          <w:rFonts w:ascii="Calibri" w:hAnsi="Calibri" w:cs="Arial"/>
        </w:rPr>
        <w:t xml:space="preserve">. </w:t>
      </w:r>
    </w:p>
    <w:p w14:paraId="355B1F68" w14:textId="5882C4CB" w:rsidR="00E30FC0" w:rsidRPr="00D9172E" w:rsidRDefault="00206FEA" w:rsidP="00462563">
      <w:pPr>
        <w:pStyle w:val="Normaalweb"/>
        <w:spacing w:line="276" w:lineRule="auto"/>
        <w:jc w:val="both"/>
        <w:rPr>
          <w:rFonts w:ascii="Calibri" w:hAnsi="Calibri" w:cs="Arial"/>
        </w:rPr>
      </w:pPr>
      <w:r>
        <w:rPr>
          <w:rFonts w:ascii="Calibri" w:hAnsi="Calibri" w:cs="Arial"/>
          <w:b/>
        </w:rPr>
        <w:t>56.</w:t>
      </w:r>
      <w:r w:rsidR="007C4F5C" w:rsidRPr="00D9172E">
        <w:rPr>
          <w:rFonts w:ascii="Calibri" w:hAnsi="Calibri" w:cs="Arial"/>
        </w:rPr>
        <w:t xml:space="preserve">Wanneer een tuchtstraf werd uitgesproken en de gerechtsdeurwaarder ging hier niet mee akkoord, kon hij in beroep gaan tegen deze beslissing bij een speciaal hiervoor opgerichte raad van beroep </w:t>
      </w:r>
      <w:r w:rsidR="00A52AC0" w:rsidRPr="00D9172E">
        <w:rPr>
          <w:rFonts w:ascii="Calibri" w:hAnsi="Calibri" w:cs="Arial"/>
        </w:rPr>
        <w:t>voor gerechtsdeurwaarders</w:t>
      </w:r>
      <w:r w:rsidR="00A809EB" w:rsidRPr="00D9172E">
        <w:rPr>
          <w:rStyle w:val="Voetnootmarkering"/>
          <w:rFonts w:ascii="Calibri" w:hAnsi="Calibri" w:cs="Arial"/>
        </w:rPr>
        <w:footnoteReference w:id="142"/>
      </w:r>
      <w:r w:rsidR="007C4F5C" w:rsidRPr="00D9172E">
        <w:rPr>
          <w:rFonts w:ascii="Calibri" w:hAnsi="Calibri" w:cs="Arial"/>
        </w:rPr>
        <w:t xml:space="preserve">. </w:t>
      </w:r>
      <w:r w:rsidR="00DB2C1C" w:rsidRPr="00D9172E">
        <w:rPr>
          <w:rFonts w:ascii="Calibri" w:hAnsi="Calibri" w:cs="Arial"/>
        </w:rPr>
        <w:t xml:space="preserve">Deze raad werd </w:t>
      </w:r>
      <w:r w:rsidR="00B2343A" w:rsidRPr="00D9172E">
        <w:rPr>
          <w:rFonts w:ascii="Calibri" w:hAnsi="Calibri" w:cs="Arial"/>
        </w:rPr>
        <w:t xml:space="preserve">voor elk ressort opgericht en </w:t>
      </w:r>
      <w:r w:rsidR="00DB2C1C" w:rsidRPr="00D9172E">
        <w:rPr>
          <w:rFonts w:ascii="Calibri" w:hAnsi="Calibri" w:cs="Arial"/>
        </w:rPr>
        <w:t>verkozen</w:t>
      </w:r>
      <w:r w:rsidR="00B2343A" w:rsidRPr="00D9172E">
        <w:rPr>
          <w:rFonts w:ascii="Calibri" w:hAnsi="Calibri" w:cs="Arial"/>
        </w:rPr>
        <w:t xml:space="preserve"> door de vaste raad</w:t>
      </w:r>
      <w:r w:rsidR="00B2343A" w:rsidRPr="00D9172E">
        <w:rPr>
          <w:rStyle w:val="Voetnootmarkering"/>
          <w:rFonts w:ascii="Calibri" w:hAnsi="Calibri" w:cs="Arial"/>
        </w:rPr>
        <w:footnoteReference w:id="143"/>
      </w:r>
      <w:r w:rsidR="00B2343A" w:rsidRPr="00D9172E">
        <w:rPr>
          <w:rFonts w:ascii="Calibri" w:hAnsi="Calibri" w:cs="Arial"/>
        </w:rPr>
        <w:t xml:space="preserve"> met drie gerechtsdeurwaarders uit evenveel verschillende gerechtelijke arrondissementen</w:t>
      </w:r>
      <w:r w:rsidR="00B2343A" w:rsidRPr="00D9172E">
        <w:rPr>
          <w:rStyle w:val="Voetnootmarkering"/>
          <w:rFonts w:ascii="Calibri" w:hAnsi="Calibri" w:cs="Arial"/>
        </w:rPr>
        <w:footnoteReference w:id="144"/>
      </w:r>
      <w:r w:rsidR="00B2343A" w:rsidRPr="00D9172E">
        <w:rPr>
          <w:rFonts w:ascii="Calibri" w:hAnsi="Calibri" w:cs="Arial"/>
        </w:rPr>
        <w:t>. Merk op dat lagere tuchtprocedures</w:t>
      </w:r>
      <w:r w:rsidR="002D74FE" w:rsidRPr="00D9172E">
        <w:rPr>
          <w:rFonts w:ascii="Calibri" w:hAnsi="Calibri" w:cs="Arial"/>
        </w:rPr>
        <w:t xml:space="preserve">, </w:t>
      </w:r>
      <w:r w:rsidR="00E01ED5">
        <w:rPr>
          <w:rFonts w:ascii="Calibri" w:hAnsi="Calibri" w:cs="Arial"/>
        </w:rPr>
        <w:t>zelfs</w:t>
      </w:r>
      <w:r w:rsidR="002D74FE" w:rsidRPr="00D9172E">
        <w:rPr>
          <w:rFonts w:ascii="Calibri" w:hAnsi="Calibri" w:cs="Arial"/>
        </w:rPr>
        <w:t xml:space="preserve"> in tweede aanleg, </w:t>
      </w:r>
      <w:r w:rsidR="00B2343A" w:rsidRPr="00D9172E">
        <w:rPr>
          <w:rFonts w:ascii="Calibri" w:hAnsi="Calibri" w:cs="Arial"/>
        </w:rPr>
        <w:t>steeds intern door beroepsgenoten werden behandeld zonder ook maar enige raadpleging</w:t>
      </w:r>
      <w:r w:rsidR="00DD5F8A">
        <w:rPr>
          <w:rFonts w:ascii="Calibri" w:hAnsi="Calibri" w:cs="Arial"/>
        </w:rPr>
        <w:t xml:space="preserve"> </w:t>
      </w:r>
      <w:r w:rsidR="00B2343A" w:rsidRPr="00D9172E">
        <w:rPr>
          <w:rFonts w:ascii="Calibri" w:hAnsi="Calibri" w:cs="Arial"/>
        </w:rPr>
        <w:t>van</w:t>
      </w:r>
      <w:r w:rsidR="00DD5F8A">
        <w:rPr>
          <w:rFonts w:ascii="Calibri" w:hAnsi="Calibri" w:cs="Arial"/>
        </w:rPr>
        <w:t xml:space="preserve"> </w:t>
      </w:r>
      <w:r w:rsidR="00B2343A" w:rsidRPr="00D9172E">
        <w:rPr>
          <w:rFonts w:ascii="Calibri" w:hAnsi="Calibri" w:cs="Arial"/>
        </w:rPr>
        <w:t>buitenaf. Dit is mijns inziens al een eerste pijnpunt. Het lijkt mij sterk dat de gerechtsdeurwaarders elkaar niet zouden kennen –</w:t>
      </w:r>
      <w:r w:rsidR="002E3F73" w:rsidRPr="00D9172E">
        <w:rPr>
          <w:rFonts w:ascii="Calibri" w:hAnsi="Calibri" w:cs="Arial"/>
        </w:rPr>
        <w:t xml:space="preserve"> en al zeker </w:t>
      </w:r>
      <w:r w:rsidR="00B2343A" w:rsidRPr="00D9172E">
        <w:rPr>
          <w:rFonts w:ascii="Calibri" w:hAnsi="Calibri" w:cs="Arial"/>
        </w:rPr>
        <w:t xml:space="preserve">binnen hetzelfde arrondissement – waardoor </w:t>
      </w:r>
      <w:r w:rsidR="002E3F73" w:rsidRPr="00D9172E">
        <w:rPr>
          <w:rFonts w:ascii="Calibri" w:hAnsi="Calibri" w:cs="Arial"/>
        </w:rPr>
        <w:t>subjectieve en partijdige besluitvorming</w:t>
      </w:r>
      <w:r w:rsidR="00E30FC0" w:rsidRPr="00D9172E">
        <w:rPr>
          <w:rFonts w:ascii="Calibri" w:hAnsi="Calibri" w:cs="Arial"/>
        </w:rPr>
        <w:t xml:space="preserve"> al snel</w:t>
      </w:r>
      <w:r w:rsidR="003C0C03" w:rsidRPr="00D9172E">
        <w:rPr>
          <w:rFonts w:ascii="Calibri" w:hAnsi="Calibri" w:cs="Arial"/>
        </w:rPr>
        <w:t xml:space="preserve"> om de hoek komt </w:t>
      </w:r>
      <w:r w:rsidR="003C0C03" w:rsidRPr="00D9172E">
        <w:rPr>
          <w:rFonts w:ascii="Calibri" w:hAnsi="Calibri" w:cs="Arial"/>
        </w:rPr>
        <w:lastRenderedPageBreak/>
        <w:t>loeren.</w:t>
      </w:r>
      <w:r w:rsidR="002C6535">
        <w:rPr>
          <w:rFonts w:ascii="Calibri" w:hAnsi="Calibri" w:cs="Arial"/>
        </w:rPr>
        <w:t xml:space="preserve"> Als het appel </w:t>
      </w:r>
      <w:r w:rsidR="008F1142">
        <w:rPr>
          <w:rFonts w:ascii="Calibri" w:hAnsi="Calibri" w:cs="Arial"/>
        </w:rPr>
        <w:t xml:space="preserve">tegen de oorspronkelijke beslissing dan ook nog eens wordt </w:t>
      </w:r>
      <w:r w:rsidR="00E01ED5">
        <w:rPr>
          <w:rFonts w:ascii="Calibri" w:hAnsi="Calibri" w:cs="Arial"/>
        </w:rPr>
        <w:t xml:space="preserve">behandeld </w:t>
      </w:r>
      <w:r w:rsidR="008F1142">
        <w:rPr>
          <w:rFonts w:ascii="Calibri" w:hAnsi="Calibri" w:cs="Arial"/>
        </w:rPr>
        <w:t>door een speciaal opgerichte raad binnen dezelfde instantie</w:t>
      </w:r>
      <w:r w:rsidR="008A1330">
        <w:rPr>
          <w:rFonts w:ascii="Calibri" w:hAnsi="Calibri" w:cs="Arial"/>
        </w:rPr>
        <w:t xml:space="preserve">, </w:t>
      </w:r>
      <w:r w:rsidR="00ED1A5F">
        <w:rPr>
          <w:rFonts w:ascii="Calibri" w:hAnsi="Calibri" w:cs="Arial"/>
        </w:rPr>
        <w:t xml:space="preserve">kan men zich de vraag stellen of het </w:t>
      </w:r>
      <w:r w:rsidR="002C6535">
        <w:rPr>
          <w:rFonts w:ascii="Calibri" w:hAnsi="Calibri" w:cs="Arial"/>
        </w:rPr>
        <w:t>hier wel degelijk gaat om een ‘hoger’ beroep</w:t>
      </w:r>
      <w:r w:rsidR="00E01ED5">
        <w:rPr>
          <w:rStyle w:val="Voetnootmarkering"/>
          <w:rFonts w:ascii="Calibri" w:hAnsi="Calibri" w:cs="Arial"/>
        </w:rPr>
        <w:footnoteReference w:id="145"/>
      </w:r>
      <w:r w:rsidR="00E01ED5">
        <w:rPr>
          <w:rFonts w:ascii="Calibri" w:hAnsi="Calibri" w:cs="Arial"/>
        </w:rPr>
        <w:t>.</w:t>
      </w:r>
    </w:p>
    <w:p w14:paraId="3A5BCA9B" w14:textId="406913DE" w:rsidR="00E30FC0" w:rsidRPr="00D9172E" w:rsidRDefault="00206FEA" w:rsidP="00C75526">
      <w:pPr>
        <w:pStyle w:val="Normaalweb"/>
        <w:spacing w:line="276" w:lineRule="auto"/>
        <w:jc w:val="both"/>
        <w:rPr>
          <w:rFonts w:ascii="Calibri" w:hAnsi="Calibri" w:cs="Arial"/>
        </w:rPr>
      </w:pPr>
      <w:r>
        <w:rPr>
          <w:rFonts w:ascii="Calibri" w:hAnsi="Calibri" w:cs="Arial"/>
          <w:b/>
        </w:rPr>
        <w:t>57.</w:t>
      </w:r>
      <w:r>
        <w:rPr>
          <w:rFonts w:ascii="Calibri" w:hAnsi="Calibri" w:cs="Arial"/>
        </w:rPr>
        <w:t>Gerechtsdeurwaarder Slabbaert</w:t>
      </w:r>
      <w:r w:rsidR="003C0C03" w:rsidRPr="00D9172E">
        <w:rPr>
          <w:rFonts w:ascii="Calibri" w:hAnsi="Calibri" w:cs="Arial"/>
        </w:rPr>
        <w:t xml:space="preserve"> heeft verder nog kritiek op een aantal elementen van het vroegere tuchtrecht</w:t>
      </w:r>
      <w:r w:rsidR="003C0C03" w:rsidRPr="00D9172E">
        <w:rPr>
          <w:rStyle w:val="Voetnootmarkering"/>
          <w:rFonts w:ascii="Calibri" w:hAnsi="Calibri" w:cs="Arial"/>
        </w:rPr>
        <w:footnoteReference w:id="146"/>
      </w:r>
      <w:r w:rsidR="003C0C03" w:rsidRPr="00D9172E">
        <w:rPr>
          <w:rFonts w:ascii="Calibri" w:hAnsi="Calibri" w:cs="Arial"/>
        </w:rPr>
        <w:t xml:space="preserve">. Zo wijst hij eveneens op de vaststelling van de eisende partij dat zijn </w:t>
      </w:r>
      <w:r w:rsidR="008902DE">
        <w:rPr>
          <w:rFonts w:ascii="Calibri" w:hAnsi="Calibri" w:cs="Arial"/>
        </w:rPr>
        <w:t xml:space="preserve">of haar </w:t>
      </w:r>
      <w:r w:rsidR="003C0C03" w:rsidRPr="00D9172E">
        <w:rPr>
          <w:rFonts w:ascii="Calibri" w:hAnsi="Calibri" w:cs="Arial"/>
        </w:rPr>
        <w:t>klacht wordt behandeld door collega’s van de verweerder en de glimp van partijdigheid die hierbij al snel opduikt</w:t>
      </w:r>
      <w:r w:rsidR="00DB5788" w:rsidRPr="00D9172E">
        <w:rPr>
          <w:rStyle w:val="Voetnootmarkering"/>
          <w:rFonts w:ascii="Calibri" w:hAnsi="Calibri" w:cs="Arial"/>
        </w:rPr>
        <w:footnoteReference w:id="147"/>
      </w:r>
      <w:r w:rsidR="003C0C03" w:rsidRPr="00D9172E">
        <w:rPr>
          <w:rFonts w:ascii="Calibri" w:hAnsi="Calibri" w:cs="Arial"/>
        </w:rPr>
        <w:t>. Hij keert de rollen echter ook om: stel dat een kandidaat-gerechtsdeurwaarder terecht staat en hij wordt berecht door een (v</w:t>
      </w:r>
      <w:r w:rsidR="00DB5788" w:rsidRPr="00D9172E">
        <w:rPr>
          <w:rFonts w:ascii="Calibri" w:hAnsi="Calibri" w:cs="Arial"/>
        </w:rPr>
        <w:t>oormalig</w:t>
      </w:r>
      <w:r w:rsidR="003C0C03" w:rsidRPr="00D9172E">
        <w:rPr>
          <w:rFonts w:ascii="Calibri" w:hAnsi="Calibri" w:cs="Arial"/>
        </w:rPr>
        <w:t xml:space="preserve">e) concurrent in de strijd om de benoeming tot titularis, zal ook hij slapeloze nachten beleven. </w:t>
      </w:r>
      <w:r w:rsidR="003C0C03" w:rsidRPr="00D9172E">
        <w:rPr>
          <w:rFonts w:ascii="Calibri" w:hAnsi="Calibri" w:cs="Arial"/>
        </w:rPr>
        <w:br/>
        <w:t xml:space="preserve">Het gebrek aan </w:t>
      </w:r>
      <w:r w:rsidR="00DB5788" w:rsidRPr="00D9172E">
        <w:rPr>
          <w:rFonts w:ascii="Calibri" w:hAnsi="Calibri" w:cs="Arial"/>
        </w:rPr>
        <w:t xml:space="preserve">‘echte’ straffen ligt Slabbaert ook dwars. Hoewel sancties als censuur met berisping hard kunnen aankomen bij (kandidaat-)gerechtsdeurwaarders, wordt dit, zoals eerder aangehaald, veelal symbolisch van aard bevonden door de klager. Dit versterkt volgens mij nog indien de klager een </w:t>
      </w:r>
      <w:r w:rsidR="007A28F1" w:rsidRPr="00D9172E">
        <w:rPr>
          <w:rFonts w:ascii="Calibri" w:hAnsi="Calibri" w:cs="Arial"/>
        </w:rPr>
        <w:t xml:space="preserve">particuliere </w:t>
      </w:r>
      <w:r w:rsidR="00DB5788" w:rsidRPr="00D9172E">
        <w:rPr>
          <w:rFonts w:ascii="Calibri" w:hAnsi="Calibri" w:cs="Arial"/>
        </w:rPr>
        <w:t>cliënt zou zijn, die</w:t>
      </w:r>
      <w:r w:rsidR="00F275D2" w:rsidRPr="00D9172E">
        <w:rPr>
          <w:rFonts w:ascii="Calibri" w:hAnsi="Calibri" w:cs="Arial"/>
        </w:rPr>
        <w:t xml:space="preserve"> geen vat heeft op tucht en deontologie en bijgevolg</w:t>
      </w:r>
      <w:r w:rsidR="00DB5788" w:rsidRPr="00D9172E">
        <w:rPr>
          <w:rFonts w:ascii="Calibri" w:hAnsi="Calibri" w:cs="Arial"/>
        </w:rPr>
        <w:t xml:space="preserve"> niet </w:t>
      </w:r>
      <w:r w:rsidR="00F275D2" w:rsidRPr="00D9172E">
        <w:rPr>
          <w:rFonts w:ascii="Calibri" w:hAnsi="Calibri" w:cs="Arial"/>
        </w:rPr>
        <w:t xml:space="preserve">echt </w:t>
      </w:r>
      <w:r w:rsidR="00DB5788" w:rsidRPr="00D9172E">
        <w:rPr>
          <w:rFonts w:ascii="Calibri" w:hAnsi="Calibri" w:cs="Arial"/>
        </w:rPr>
        <w:t xml:space="preserve">stilstaat bij </w:t>
      </w:r>
      <w:r w:rsidR="00F275D2" w:rsidRPr="00D9172E">
        <w:rPr>
          <w:rFonts w:ascii="Calibri" w:hAnsi="Calibri" w:cs="Arial"/>
        </w:rPr>
        <w:t>de persoonlijke impact hiervan op het moreel van de gesanctioneerde gerechtsdeurwaarder.</w:t>
      </w:r>
      <w:r w:rsidR="00C75526">
        <w:rPr>
          <w:rFonts w:ascii="Calibri" w:hAnsi="Calibri" w:cs="Arial"/>
        </w:rPr>
        <w:t xml:space="preserve"> </w:t>
      </w:r>
      <w:r w:rsidR="00F275D2" w:rsidRPr="00D9172E">
        <w:rPr>
          <w:rFonts w:ascii="Calibri" w:hAnsi="Calibri" w:cs="Arial"/>
        </w:rPr>
        <w:t xml:space="preserve">Ten slotte kaart </w:t>
      </w:r>
      <w:r w:rsidR="00462563">
        <w:rPr>
          <w:rFonts w:ascii="Calibri" w:hAnsi="Calibri" w:cs="Arial"/>
        </w:rPr>
        <w:t>Slabbaert</w:t>
      </w:r>
      <w:r w:rsidR="005E6715" w:rsidRPr="00D9172E">
        <w:rPr>
          <w:rFonts w:ascii="Calibri" w:hAnsi="Calibri" w:cs="Arial"/>
        </w:rPr>
        <w:t xml:space="preserve"> de straffeloosheid aan die blijkt uit de cijfers van de NKGB</w:t>
      </w:r>
      <w:r w:rsidR="005E6715" w:rsidRPr="00D9172E">
        <w:rPr>
          <w:rStyle w:val="Voetnootmarkering"/>
          <w:rFonts w:ascii="Calibri" w:hAnsi="Calibri" w:cs="Arial"/>
        </w:rPr>
        <w:footnoteReference w:id="148"/>
      </w:r>
      <w:r w:rsidR="00A13445" w:rsidRPr="00D9172E">
        <w:rPr>
          <w:rFonts w:ascii="Calibri" w:hAnsi="Calibri" w:cs="Arial"/>
        </w:rPr>
        <w:t xml:space="preserve">: </w:t>
      </w:r>
      <w:r w:rsidR="00462563">
        <w:rPr>
          <w:rFonts w:ascii="Calibri" w:hAnsi="Calibri" w:cs="Arial"/>
        </w:rPr>
        <w:t xml:space="preserve"> </w:t>
      </w:r>
      <w:r w:rsidR="00A13445" w:rsidRPr="00D9172E">
        <w:rPr>
          <w:rFonts w:ascii="Calibri" w:hAnsi="Calibri" w:cs="Arial"/>
        </w:rPr>
        <w:t>van de 334</w:t>
      </w:r>
      <w:r w:rsidR="008B3DFA" w:rsidRPr="00D9172E">
        <w:rPr>
          <w:rFonts w:ascii="Calibri" w:hAnsi="Calibri" w:cs="Arial"/>
        </w:rPr>
        <w:t xml:space="preserve"> </w:t>
      </w:r>
      <w:r w:rsidR="00A13445" w:rsidRPr="00D9172E">
        <w:rPr>
          <w:rFonts w:ascii="Calibri" w:hAnsi="Calibri" w:cs="Arial"/>
        </w:rPr>
        <w:t xml:space="preserve">klachten in 2011 en van de 259 klachten in 2012 hebben er </w:t>
      </w:r>
      <w:r w:rsidR="00667A3A" w:rsidRPr="00D9172E">
        <w:rPr>
          <w:rFonts w:ascii="Calibri" w:hAnsi="Calibri" w:cs="Arial"/>
        </w:rPr>
        <w:t xml:space="preserve">immers </w:t>
      </w:r>
      <w:r w:rsidR="00A13445" w:rsidRPr="00D9172E">
        <w:rPr>
          <w:rFonts w:ascii="Calibri" w:hAnsi="Calibri" w:cs="Arial"/>
        </w:rPr>
        <w:t xml:space="preserve">respectievelijk één en nul (!) daadwerkelijk tot een sanctie geleid, zijnde </w:t>
      </w:r>
      <w:r w:rsidR="00462563">
        <w:rPr>
          <w:rFonts w:ascii="Calibri" w:hAnsi="Calibri" w:cs="Arial"/>
        </w:rPr>
        <w:t xml:space="preserve">een </w:t>
      </w:r>
      <w:r w:rsidR="00A13445" w:rsidRPr="00D9172E">
        <w:rPr>
          <w:rFonts w:ascii="Calibri" w:hAnsi="Calibri" w:cs="Arial"/>
        </w:rPr>
        <w:t>terechtwijzing</w:t>
      </w:r>
      <w:r w:rsidR="00A13445" w:rsidRPr="00D9172E">
        <w:rPr>
          <w:rStyle w:val="Voetnootmarkering"/>
          <w:rFonts w:ascii="Calibri" w:hAnsi="Calibri" w:cs="Arial"/>
        </w:rPr>
        <w:footnoteReference w:id="149"/>
      </w:r>
      <w:r w:rsidR="00A13445" w:rsidRPr="00D9172E">
        <w:rPr>
          <w:rFonts w:ascii="Calibri" w:hAnsi="Calibri" w:cs="Arial"/>
        </w:rPr>
        <w:t>.</w:t>
      </w:r>
    </w:p>
    <w:p w14:paraId="72B7B77E" w14:textId="0EB0C048" w:rsidR="009F6A77" w:rsidRDefault="00206FEA" w:rsidP="00F7500C">
      <w:pPr>
        <w:pStyle w:val="Normaalweb"/>
        <w:spacing w:line="276" w:lineRule="auto"/>
        <w:jc w:val="both"/>
        <w:rPr>
          <w:rFonts w:ascii="Calibri" w:hAnsi="Calibri" w:cs="Arial"/>
        </w:rPr>
      </w:pPr>
      <w:r>
        <w:rPr>
          <w:rFonts w:ascii="Calibri" w:hAnsi="Calibri" w:cs="Arial"/>
          <w:b/>
        </w:rPr>
        <w:t>58.</w:t>
      </w:r>
      <w:r w:rsidR="003609BA" w:rsidRPr="00D9172E">
        <w:rPr>
          <w:rFonts w:ascii="Calibri" w:hAnsi="Calibri" w:cs="Arial"/>
        </w:rPr>
        <w:t>Wanneer een gerechtsdeurwaarder echt zijn boekje te buiten zou gegaan</w:t>
      </w:r>
      <w:r w:rsidR="00D658EF">
        <w:rPr>
          <w:rFonts w:ascii="Calibri" w:hAnsi="Calibri" w:cs="Arial"/>
        </w:rPr>
        <w:t xml:space="preserve"> zijn</w:t>
      </w:r>
      <w:r w:rsidR="003609BA" w:rsidRPr="00D9172E">
        <w:rPr>
          <w:rFonts w:ascii="Calibri" w:hAnsi="Calibri" w:cs="Arial"/>
        </w:rPr>
        <w:t xml:space="preserve">, bestond er natuurlijk ook de mogelijkheid om hem op verzoek van de procureur des Konings direct voor de gewone rechtbank </w:t>
      </w:r>
      <w:r w:rsidR="00A76B14" w:rsidRPr="00D9172E">
        <w:rPr>
          <w:rFonts w:ascii="Calibri" w:hAnsi="Calibri" w:cs="Arial"/>
        </w:rPr>
        <w:t xml:space="preserve">van eerste aanleg </w:t>
      </w:r>
      <w:r w:rsidR="003609BA" w:rsidRPr="00D9172E">
        <w:rPr>
          <w:rFonts w:ascii="Calibri" w:hAnsi="Calibri" w:cs="Arial"/>
        </w:rPr>
        <w:t>te dagen</w:t>
      </w:r>
      <w:r w:rsidR="003609BA" w:rsidRPr="00D9172E">
        <w:rPr>
          <w:rStyle w:val="Voetnootmarkering"/>
          <w:rFonts w:ascii="Calibri" w:hAnsi="Calibri" w:cs="Arial"/>
        </w:rPr>
        <w:footnoteReference w:id="150"/>
      </w:r>
      <w:r w:rsidR="003609BA" w:rsidRPr="00D9172E">
        <w:rPr>
          <w:rFonts w:ascii="Calibri" w:hAnsi="Calibri" w:cs="Arial"/>
        </w:rPr>
        <w:t xml:space="preserve">. </w:t>
      </w:r>
      <w:r w:rsidR="00A76B14" w:rsidRPr="00D9172E">
        <w:rPr>
          <w:rFonts w:ascii="Calibri" w:hAnsi="Calibri" w:cs="Arial"/>
        </w:rPr>
        <w:t xml:space="preserve">In voorkomend geval waren ook schorsing, afzetting of een gewone geldboete mogelijk, maar vermits deze rechtspleging zeer zeldzaam was en </w:t>
      </w:r>
      <w:r w:rsidR="008B3DFA" w:rsidRPr="00D9172E">
        <w:rPr>
          <w:rFonts w:ascii="Calibri" w:hAnsi="Calibri" w:cs="Arial"/>
        </w:rPr>
        <w:t xml:space="preserve">het ook nog steeds </w:t>
      </w:r>
      <w:r w:rsidR="00A76B14" w:rsidRPr="00D9172E">
        <w:rPr>
          <w:rFonts w:ascii="Calibri" w:hAnsi="Calibri" w:cs="Arial"/>
        </w:rPr>
        <w:t xml:space="preserve">is, wordt hier niet verder op ingegaan. </w:t>
      </w:r>
    </w:p>
    <w:p w14:paraId="652B4B6D" w14:textId="48F97A20" w:rsidR="009F6A77" w:rsidRDefault="009F6A77">
      <w:pPr>
        <w:rPr>
          <w:rFonts w:ascii="Calibri" w:hAnsi="Calibri" w:cs="Arial"/>
          <w:lang w:eastAsia="nl-NL"/>
        </w:rPr>
      </w:pPr>
      <w:r>
        <w:rPr>
          <w:rFonts w:ascii="Calibri" w:hAnsi="Calibri" w:cs="Arial"/>
        </w:rPr>
        <w:br w:type="page"/>
      </w:r>
    </w:p>
    <w:p w14:paraId="53C7AC57" w14:textId="6A24C36B" w:rsidR="00D942BF" w:rsidRPr="00D9172E" w:rsidRDefault="00D942BF" w:rsidP="00B826D6">
      <w:pPr>
        <w:pStyle w:val="Kop3"/>
      </w:pPr>
      <w:bookmarkStart w:id="27" w:name="_Toc40689965"/>
      <w:r>
        <w:lastRenderedPageBreak/>
        <w:t>Afdeling II: Nieuwe tuchtprocedure, -commissie en -</w:t>
      </w:r>
      <w:r w:rsidR="00B826D6">
        <w:t>sancties</w:t>
      </w:r>
      <w:bookmarkEnd w:id="27"/>
    </w:p>
    <w:p w14:paraId="106D676C" w14:textId="195C037C" w:rsidR="007A28F1" w:rsidRPr="00D9172E" w:rsidRDefault="00206FEA" w:rsidP="00C75526">
      <w:pPr>
        <w:pStyle w:val="Normaalweb"/>
        <w:spacing w:line="276" w:lineRule="auto"/>
        <w:jc w:val="both"/>
        <w:rPr>
          <w:rFonts w:ascii="Calibri" w:hAnsi="Calibri" w:cs="Arial"/>
        </w:rPr>
      </w:pPr>
      <w:r>
        <w:rPr>
          <w:rFonts w:ascii="Calibri" w:hAnsi="Calibri" w:cs="Arial"/>
          <w:b/>
        </w:rPr>
        <w:t>59.</w:t>
      </w:r>
      <w:r w:rsidR="002D74FE" w:rsidRPr="00D9172E">
        <w:rPr>
          <w:rFonts w:ascii="Calibri" w:hAnsi="Calibri" w:cs="Arial"/>
        </w:rPr>
        <w:t xml:space="preserve">In het nieuwe statuut heeft de wetgever zowel ingezet op </w:t>
      </w:r>
      <w:r w:rsidR="00CE34A7" w:rsidRPr="00D9172E">
        <w:rPr>
          <w:rFonts w:ascii="Calibri" w:hAnsi="Calibri" w:cs="Arial"/>
        </w:rPr>
        <w:t xml:space="preserve">betere </w:t>
      </w:r>
      <w:r w:rsidR="002D74FE" w:rsidRPr="00D9172E">
        <w:rPr>
          <w:rFonts w:ascii="Calibri" w:hAnsi="Calibri" w:cs="Arial"/>
        </w:rPr>
        <w:t xml:space="preserve">preventie als op </w:t>
      </w:r>
      <w:r w:rsidR="00CE34A7" w:rsidRPr="00D9172E">
        <w:rPr>
          <w:rFonts w:ascii="Calibri" w:hAnsi="Calibri" w:cs="Arial"/>
        </w:rPr>
        <w:t xml:space="preserve">striktere </w:t>
      </w:r>
      <w:r w:rsidR="002D74FE" w:rsidRPr="00D9172E">
        <w:rPr>
          <w:rFonts w:ascii="Calibri" w:hAnsi="Calibri" w:cs="Arial"/>
        </w:rPr>
        <w:t xml:space="preserve">sanctionering van tuchtrechtelijke overtredingen. </w:t>
      </w:r>
      <w:r w:rsidR="008D4BF7" w:rsidRPr="00D9172E">
        <w:rPr>
          <w:rFonts w:ascii="Calibri" w:hAnsi="Calibri" w:cs="Arial"/>
        </w:rPr>
        <w:t xml:space="preserve">Als preventiemiddel voorziet het huidige Gerechtelijk Wetboek </w:t>
      </w:r>
      <w:r w:rsidR="006C1DBA" w:rsidRPr="00D9172E">
        <w:rPr>
          <w:rFonts w:ascii="Calibri" w:hAnsi="Calibri" w:cs="Arial"/>
        </w:rPr>
        <w:t xml:space="preserve">zelf een aantal </w:t>
      </w:r>
      <w:r w:rsidR="008D4BF7" w:rsidRPr="00D9172E">
        <w:rPr>
          <w:rFonts w:ascii="Calibri" w:hAnsi="Calibri" w:cs="Arial"/>
        </w:rPr>
        <w:t>uiteenlopende deontologische principes</w:t>
      </w:r>
      <w:r w:rsidR="008D4BF7" w:rsidRPr="00D9172E">
        <w:rPr>
          <w:rStyle w:val="Voetnootmarkering"/>
          <w:rFonts w:ascii="Calibri" w:hAnsi="Calibri" w:cs="Arial"/>
        </w:rPr>
        <w:footnoteReference w:id="151"/>
      </w:r>
      <w:r w:rsidR="008D4BF7" w:rsidRPr="00D9172E">
        <w:rPr>
          <w:rFonts w:ascii="Calibri" w:hAnsi="Calibri" w:cs="Arial"/>
        </w:rPr>
        <w:t>. Er zijn natuurlijk de evidente verplichtingen, zoals de ministerieplicht bij monopoliebevoegdheden</w:t>
      </w:r>
      <w:r w:rsidR="008D4BF7" w:rsidRPr="00D9172E">
        <w:rPr>
          <w:rStyle w:val="Voetnootmarkering"/>
          <w:rFonts w:ascii="Calibri" w:hAnsi="Calibri" w:cs="Arial"/>
        </w:rPr>
        <w:footnoteReference w:id="152"/>
      </w:r>
      <w:r w:rsidR="00CE34A7" w:rsidRPr="00D9172E">
        <w:rPr>
          <w:rFonts w:ascii="Calibri" w:hAnsi="Calibri" w:cs="Arial"/>
        </w:rPr>
        <w:t xml:space="preserve">, het </w:t>
      </w:r>
      <w:r w:rsidR="000C7C50" w:rsidRPr="00D9172E">
        <w:rPr>
          <w:rFonts w:ascii="Calibri" w:hAnsi="Calibri" w:cs="Arial"/>
        </w:rPr>
        <w:t>houden van een derdenrekening</w:t>
      </w:r>
      <w:r w:rsidR="000C7C50" w:rsidRPr="00D9172E">
        <w:rPr>
          <w:rStyle w:val="Voetnootmarkering"/>
          <w:rFonts w:ascii="Calibri" w:hAnsi="Calibri" w:cs="Arial"/>
        </w:rPr>
        <w:footnoteReference w:id="153"/>
      </w:r>
      <w:r w:rsidR="00CE34A7" w:rsidRPr="00D9172E">
        <w:rPr>
          <w:rFonts w:ascii="Calibri" w:hAnsi="Calibri" w:cs="Arial"/>
        </w:rPr>
        <w:t xml:space="preserve"> of het verbod om op te treden voor of tegen zichzelf of zijn dichte familie</w:t>
      </w:r>
      <w:r w:rsidR="006705F9" w:rsidRPr="00D9172E">
        <w:rPr>
          <w:rStyle w:val="Voetnootmarkering"/>
          <w:rFonts w:ascii="Calibri" w:hAnsi="Calibri" w:cs="Arial"/>
        </w:rPr>
        <w:footnoteReference w:id="154"/>
      </w:r>
      <w:r w:rsidR="000C7C50" w:rsidRPr="00D9172E">
        <w:rPr>
          <w:rFonts w:ascii="Calibri" w:hAnsi="Calibri" w:cs="Arial"/>
        </w:rPr>
        <w:t>, maar ook bijvoorbeeld de verplichte aansprakelijkheidsverzekering</w:t>
      </w:r>
      <w:r w:rsidR="00CE34A7" w:rsidRPr="00D9172E">
        <w:rPr>
          <w:rStyle w:val="Voetnootmarkering"/>
          <w:rFonts w:ascii="Calibri" w:hAnsi="Calibri" w:cs="Arial"/>
        </w:rPr>
        <w:footnoteReference w:id="155"/>
      </w:r>
      <w:r w:rsidR="00CE34A7" w:rsidRPr="00D9172E">
        <w:rPr>
          <w:rFonts w:ascii="Calibri" w:hAnsi="Calibri" w:cs="Arial"/>
        </w:rPr>
        <w:t>, tarief</w:t>
      </w:r>
      <w:r w:rsidR="006705F9" w:rsidRPr="00D9172E">
        <w:rPr>
          <w:rFonts w:ascii="Calibri" w:hAnsi="Calibri" w:cs="Arial"/>
        </w:rPr>
        <w:t>- en kosten</w:t>
      </w:r>
      <w:r w:rsidR="00CE34A7" w:rsidRPr="00D9172E">
        <w:rPr>
          <w:rFonts w:ascii="Calibri" w:hAnsi="Calibri" w:cs="Arial"/>
        </w:rPr>
        <w:t>vermelding op exploten</w:t>
      </w:r>
      <w:r w:rsidR="00CE34A7" w:rsidRPr="00D9172E">
        <w:rPr>
          <w:rStyle w:val="Voetnootmarkering"/>
          <w:rFonts w:ascii="Calibri" w:hAnsi="Calibri" w:cs="Arial"/>
        </w:rPr>
        <w:footnoteReference w:id="156"/>
      </w:r>
      <w:r w:rsidR="006705F9" w:rsidRPr="00D9172E">
        <w:rPr>
          <w:rFonts w:ascii="Calibri" w:hAnsi="Calibri" w:cs="Arial"/>
        </w:rPr>
        <w:t xml:space="preserve"> of het verbod op ambtshandelingen bij plaatsvervanging</w:t>
      </w:r>
      <w:r w:rsidR="006705F9" w:rsidRPr="00D9172E">
        <w:rPr>
          <w:rStyle w:val="Voetnootmarkering"/>
          <w:rFonts w:ascii="Calibri" w:hAnsi="Calibri" w:cs="Arial"/>
        </w:rPr>
        <w:footnoteReference w:id="157"/>
      </w:r>
      <w:r w:rsidR="006705F9" w:rsidRPr="00D9172E">
        <w:rPr>
          <w:rFonts w:ascii="Calibri" w:hAnsi="Calibri" w:cs="Arial"/>
        </w:rPr>
        <w:t xml:space="preserve">. </w:t>
      </w:r>
      <w:r w:rsidR="000030A3" w:rsidRPr="00D9172E">
        <w:rPr>
          <w:rFonts w:ascii="Calibri" w:hAnsi="Calibri" w:cs="Arial"/>
        </w:rPr>
        <w:t>Als tweede p</w:t>
      </w:r>
      <w:r w:rsidR="00D024EB" w:rsidRPr="00D9172E">
        <w:rPr>
          <w:rFonts w:ascii="Calibri" w:hAnsi="Calibri" w:cs="Arial"/>
        </w:rPr>
        <w:t>reventiemiddel heeft de NKGB</w:t>
      </w:r>
      <w:r w:rsidR="000030A3" w:rsidRPr="00D9172E">
        <w:rPr>
          <w:rFonts w:ascii="Calibri" w:hAnsi="Calibri" w:cs="Arial"/>
        </w:rPr>
        <w:t xml:space="preserve"> de taak gekregen om</w:t>
      </w:r>
      <w:r w:rsidR="00D024EB" w:rsidRPr="00D9172E">
        <w:rPr>
          <w:rFonts w:ascii="Calibri" w:hAnsi="Calibri" w:cs="Arial"/>
        </w:rPr>
        <w:t xml:space="preserve"> – naast de handhaving ervan – </w:t>
      </w:r>
      <w:r w:rsidR="000030A3" w:rsidRPr="00D9172E">
        <w:rPr>
          <w:rFonts w:ascii="Calibri" w:hAnsi="Calibri" w:cs="Arial"/>
        </w:rPr>
        <w:t>“</w:t>
      </w:r>
      <w:r w:rsidR="000030A3" w:rsidRPr="00D9172E">
        <w:rPr>
          <w:rFonts w:ascii="Calibri" w:hAnsi="Calibri" w:cs="Arial"/>
          <w:i/>
        </w:rPr>
        <w:t>de algemene regels inzake deontologie vast te stellen</w:t>
      </w:r>
      <w:r w:rsidR="000030A3" w:rsidRPr="00D9172E">
        <w:rPr>
          <w:rFonts w:ascii="Calibri" w:hAnsi="Calibri" w:cs="Arial"/>
        </w:rPr>
        <w:t>”</w:t>
      </w:r>
      <w:r w:rsidR="000030A3" w:rsidRPr="00D9172E">
        <w:rPr>
          <w:rStyle w:val="Voetnootmarkering"/>
          <w:rFonts w:ascii="Calibri" w:hAnsi="Calibri" w:cs="Arial"/>
        </w:rPr>
        <w:footnoteReference w:id="158"/>
      </w:r>
      <w:r w:rsidR="000030A3" w:rsidRPr="00D9172E">
        <w:rPr>
          <w:rFonts w:ascii="Calibri" w:hAnsi="Calibri" w:cs="Arial"/>
        </w:rPr>
        <w:t xml:space="preserve"> </w:t>
      </w:r>
      <w:r w:rsidR="00E01ED5">
        <w:rPr>
          <w:rFonts w:ascii="Calibri" w:hAnsi="Calibri" w:cs="Arial"/>
        </w:rPr>
        <w:t xml:space="preserve">, </w:t>
      </w:r>
      <w:r w:rsidR="000030A3" w:rsidRPr="00D9172E">
        <w:rPr>
          <w:rFonts w:ascii="Calibri" w:hAnsi="Calibri" w:cs="Arial"/>
        </w:rPr>
        <w:t xml:space="preserve">als </w:t>
      </w:r>
      <w:r w:rsidR="00D024EB" w:rsidRPr="00D9172E">
        <w:rPr>
          <w:rFonts w:ascii="Calibri" w:hAnsi="Calibri" w:cs="Arial"/>
        </w:rPr>
        <w:t>zij het een wetgevende</w:t>
      </w:r>
      <w:r w:rsidR="00E01ED5">
        <w:rPr>
          <w:rFonts w:ascii="Calibri" w:hAnsi="Calibri" w:cs="Arial"/>
        </w:rPr>
        <w:t xml:space="preserve"> </w:t>
      </w:r>
      <w:r w:rsidR="00D024EB" w:rsidRPr="00D9172E">
        <w:rPr>
          <w:rFonts w:ascii="Calibri" w:hAnsi="Calibri" w:cs="Arial"/>
        </w:rPr>
        <w:t xml:space="preserve">bevoegdheid. </w:t>
      </w:r>
      <w:r w:rsidR="00590E56" w:rsidRPr="00D9172E">
        <w:rPr>
          <w:rFonts w:ascii="Calibri" w:hAnsi="Calibri" w:cs="Arial"/>
        </w:rPr>
        <w:t>Het</w:t>
      </w:r>
      <w:r w:rsidR="00D024EB" w:rsidRPr="00D9172E">
        <w:rPr>
          <w:rFonts w:ascii="Calibri" w:hAnsi="Calibri" w:cs="Arial"/>
        </w:rPr>
        <w:t xml:space="preserve"> trachten tot codificeren van de meest fundamentele principes </w:t>
      </w:r>
      <w:r w:rsidR="002E748D" w:rsidRPr="00D9172E">
        <w:rPr>
          <w:rFonts w:ascii="Calibri" w:hAnsi="Calibri" w:cs="Arial"/>
        </w:rPr>
        <w:t xml:space="preserve">lijkt mij </w:t>
      </w:r>
      <w:r w:rsidR="00D024EB" w:rsidRPr="00D9172E">
        <w:rPr>
          <w:rFonts w:ascii="Calibri" w:hAnsi="Calibri" w:cs="Arial"/>
        </w:rPr>
        <w:t xml:space="preserve">een goede zaak voor de transparantie en rechtszekerheid, ondanks dat dit </w:t>
      </w:r>
      <w:r w:rsidR="002B365E" w:rsidRPr="00D9172E">
        <w:rPr>
          <w:rFonts w:ascii="Calibri" w:hAnsi="Calibri" w:cs="Arial"/>
        </w:rPr>
        <w:t xml:space="preserve">nooit op een compleet </w:t>
      </w:r>
      <w:r w:rsidR="004428BF" w:rsidRPr="00D9172E">
        <w:rPr>
          <w:rFonts w:ascii="Calibri" w:hAnsi="Calibri" w:cs="Arial"/>
        </w:rPr>
        <w:t xml:space="preserve">deugdelijke manier </w:t>
      </w:r>
      <w:r w:rsidR="00D024EB" w:rsidRPr="00D9172E">
        <w:rPr>
          <w:rFonts w:ascii="Calibri" w:hAnsi="Calibri" w:cs="Arial"/>
        </w:rPr>
        <w:t>kan</w:t>
      </w:r>
      <w:r w:rsidR="003F76B0" w:rsidRPr="00D9172E">
        <w:rPr>
          <w:rFonts w:ascii="Calibri" w:hAnsi="Calibri" w:cs="Arial"/>
        </w:rPr>
        <w:t xml:space="preserve"> </w:t>
      </w:r>
      <w:r w:rsidR="00D024EB" w:rsidRPr="00D9172E">
        <w:rPr>
          <w:rFonts w:ascii="Calibri" w:hAnsi="Calibri" w:cs="Arial"/>
        </w:rPr>
        <w:t>vastgelegd</w:t>
      </w:r>
      <w:r w:rsidR="003F76B0" w:rsidRPr="00D9172E">
        <w:rPr>
          <w:rFonts w:ascii="Calibri" w:hAnsi="Calibri" w:cs="Arial"/>
        </w:rPr>
        <w:t xml:space="preserve"> </w:t>
      </w:r>
      <w:r w:rsidR="00D024EB" w:rsidRPr="00D9172E">
        <w:rPr>
          <w:rFonts w:ascii="Calibri" w:hAnsi="Calibri" w:cs="Arial"/>
        </w:rPr>
        <w:t>worden</w:t>
      </w:r>
      <w:r w:rsidR="00D024EB" w:rsidRPr="00D9172E">
        <w:rPr>
          <w:rStyle w:val="Voetnootmarkering"/>
          <w:rFonts w:ascii="Calibri" w:hAnsi="Calibri" w:cs="Arial"/>
        </w:rPr>
        <w:footnoteReference w:id="159"/>
      </w:r>
      <w:r w:rsidR="00D024EB" w:rsidRPr="00D9172E">
        <w:rPr>
          <w:rFonts w:ascii="Calibri" w:hAnsi="Calibri" w:cs="Arial"/>
        </w:rPr>
        <w:t>. Het tuchtrecht zal dan ook steeds een vorm van gewoonterecht blijven, alwaar de gerechtsdeurwaarder zelf moet kunnen aanvoelen</w:t>
      </w:r>
      <w:r w:rsidR="00DE7D14" w:rsidRPr="00D9172E">
        <w:rPr>
          <w:rFonts w:ascii="Calibri" w:hAnsi="Calibri" w:cs="Arial"/>
        </w:rPr>
        <w:t xml:space="preserve"> wanneer</w:t>
      </w:r>
      <w:r w:rsidR="00D024EB" w:rsidRPr="00D9172E">
        <w:rPr>
          <w:rFonts w:ascii="Calibri" w:hAnsi="Calibri" w:cs="Arial"/>
        </w:rPr>
        <w:t xml:space="preserve"> hij zich op glad ijs begeeft. </w:t>
      </w:r>
    </w:p>
    <w:p w14:paraId="228814E4" w14:textId="2DCD33F8" w:rsidR="004A2212" w:rsidRPr="00D9172E" w:rsidRDefault="00206FEA" w:rsidP="00F7500C">
      <w:pPr>
        <w:pStyle w:val="Normaalweb"/>
        <w:spacing w:line="276" w:lineRule="auto"/>
        <w:jc w:val="both"/>
        <w:rPr>
          <w:rFonts w:ascii="Calibri" w:hAnsi="Calibri" w:cs="Arial"/>
        </w:rPr>
      </w:pPr>
      <w:r>
        <w:rPr>
          <w:rFonts w:ascii="Calibri" w:hAnsi="Calibri" w:cs="Arial"/>
          <w:b/>
        </w:rPr>
        <w:t>60.</w:t>
      </w:r>
      <w:r w:rsidR="00E4723D" w:rsidRPr="00D9172E">
        <w:rPr>
          <w:rFonts w:ascii="Calibri" w:hAnsi="Calibri" w:cs="Arial"/>
        </w:rPr>
        <w:t xml:space="preserve">Teneinde een antwoord te bieden op de kritieken </w:t>
      </w:r>
      <w:r w:rsidR="006A2B30" w:rsidRPr="00D9172E">
        <w:rPr>
          <w:rFonts w:ascii="Calibri" w:hAnsi="Calibri" w:cs="Arial"/>
        </w:rPr>
        <w:t>omtrent het gedateerde tuchtrecht, is er binnen elk ressort een speciale tuchtcommissie in het leven geroepen ter behandeling van klachten tegen gerechtsdeurwaarders</w:t>
      </w:r>
      <w:r w:rsidR="006A2B30" w:rsidRPr="00D9172E">
        <w:rPr>
          <w:rStyle w:val="Voetnootmarkering"/>
          <w:rFonts w:ascii="Calibri" w:hAnsi="Calibri" w:cs="Arial"/>
        </w:rPr>
        <w:footnoteReference w:id="160"/>
      </w:r>
      <w:r w:rsidR="006A2B30" w:rsidRPr="00D9172E">
        <w:rPr>
          <w:rFonts w:ascii="Calibri" w:hAnsi="Calibri" w:cs="Arial"/>
        </w:rPr>
        <w:t xml:space="preserve">. </w:t>
      </w:r>
      <w:r w:rsidR="00E536C2" w:rsidRPr="00D9172E">
        <w:rPr>
          <w:rFonts w:ascii="Calibri" w:hAnsi="Calibri" w:cs="Arial"/>
        </w:rPr>
        <w:t>Vertrekkende vanuit de kritiekpunten van Slabbaert</w:t>
      </w:r>
      <w:r w:rsidR="00FF5579">
        <w:rPr>
          <w:rStyle w:val="Voetnootmarkering"/>
          <w:rFonts w:ascii="Calibri" w:hAnsi="Calibri" w:cs="Arial"/>
        </w:rPr>
        <w:footnoteReference w:id="161"/>
      </w:r>
      <w:r w:rsidR="00FF5579">
        <w:rPr>
          <w:rFonts w:ascii="Calibri" w:hAnsi="Calibri" w:cs="Arial"/>
        </w:rPr>
        <w:t xml:space="preserve"> </w:t>
      </w:r>
      <w:r w:rsidR="00E536C2" w:rsidRPr="00D9172E">
        <w:rPr>
          <w:rFonts w:ascii="Calibri" w:hAnsi="Calibri" w:cs="Arial"/>
        </w:rPr>
        <w:t xml:space="preserve">biedt deze commissie </w:t>
      </w:r>
      <w:r w:rsidR="004F0433" w:rsidRPr="00D9172E">
        <w:rPr>
          <w:rFonts w:ascii="Calibri" w:hAnsi="Calibri" w:cs="Arial"/>
        </w:rPr>
        <w:t xml:space="preserve">mijns inziens </w:t>
      </w:r>
      <w:r w:rsidR="00E536C2" w:rsidRPr="00D9172E">
        <w:rPr>
          <w:rFonts w:ascii="Calibri" w:hAnsi="Calibri" w:cs="Arial"/>
        </w:rPr>
        <w:t>een degelijk alternatief.</w:t>
      </w:r>
      <w:r w:rsidR="00E536C2" w:rsidRPr="00D9172E">
        <w:rPr>
          <w:rFonts w:ascii="Calibri" w:hAnsi="Calibri" w:cs="Arial"/>
        </w:rPr>
        <w:br/>
        <w:t>Ten eerste komt niet elke klacht terecht bij de tuchtcommissie. De bevoegdheid van kennisname ligt namelijk bij het directiecomité van de NKGB</w:t>
      </w:r>
      <w:r w:rsidR="00E536C2" w:rsidRPr="00D9172E">
        <w:rPr>
          <w:rStyle w:val="Voetnootmarkering"/>
          <w:rFonts w:ascii="Calibri" w:hAnsi="Calibri" w:cs="Arial"/>
        </w:rPr>
        <w:footnoteReference w:id="162"/>
      </w:r>
      <w:r w:rsidR="00E536C2" w:rsidRPr="00D9172E">
        <w:rPr>
          <w:rFonts w:ascii="Calibri" w:hAnsi="Calibri" w:cs="Arial"/>
        </w:rPr>
        <w:t xml:space="preserve">, die </w:t>
      </w:r>
      <w:r w:rsidR="0008739B" w:rsidRPr="00D9172E">
        <w:rPr>
          <w:rFonts w:ascii="Calibri" w:hAnsi="Calibri" w:cs="Arial"/>
        </w:rPr>
        <w:t>de klachten onderzoekt en oordeelt of er al dan niet aanleiding is tot een tuchtprocedure</w:t>
      </w:r>
      <w:r w:rsidR="0008739B" w:rsidRPr="00D9172E">
        <w:rPr>
          <w:rStyle w:val="Voetnootmarkering"/>
          <w:rFonts w:ascii="Calibri" w:hAnsi="Calibri" w:cs="Arial"/>
        </w:rPr>
        <w:footnoteReference w:id="163"/>
      </w:r>
      <w:r w:rsidR="0008739B" w:rsidRPr="00D9172E">
        <w:rPr>
          <w:rFonts w:ascii="Calibri" w:hAnsi="Calibri" w:cs="Arial"/>
        </w:rPr>
        <w:t>. Acht het directiecomité de klacht gegrond, wordt ze doorverwezen naar de tuchtcommissie. In het overige geval maakt het een gemotiveerde beslissing op en deelt die mee aan de verzoeker</w:t>
      </w:r>
      <w:r w:rsidR="0008739B" w:rsidRPr="00D9172E">
        <w:rPr>
          <w:rStyle w:val="Voetnootmarkering"/>
          <w:rFonts w:ascii="Calibri" w:hAnsi="Calibri" w:cs="Arial"/>
        </w:rPr>
        <w:footnoteReference w:id="164"/>
      </w:r>
      <w:r w:rsidR="0008739B" w:rsidRPr="00D9172E">
        <w:rPr>
          <w:rFonts w:ascii="Calibri" w:hAnsi="Calibri" w:cs="Arial"/>
        </w:rPr>
        <w:t xml:space="preserve">. </w:t>
      </w:r>
      <w:r w:rsidR="0029360C" w:rsidRPr="00D9172E">
        <w:rPr>
          <w:rFonts w:ascii="Calibri" w:hAnsi="Calibri" w:cs="Arial"/>
        </w:rPr>
        <w:t xml:space="preserve">In theorie lijkt dit een </w:t>
      </w:r>
      <w:r w:rsidR="004A2212" w:rsidRPr="00D9172E">
        <w:rPr>
          <w:rFonts w:ascii="Calibri" w:hAnsi="Calibri" w:cs="Arial"/>
        </w:rPr>
        <w:t>goede maatregel voor het probleem van de straffeloosheid</w:t>
      </w:r>
      <w:r w:rsidR="004A2212" w:rsidRPr="00D9172E">
        <w:rPr>
          <w:rStyle w:val="Voetnootmarkering"/>
          <w:rFonts w:ascii="Calibri" w:hAnsi="Calibri" w:cs="Arial"/>
        </w:rPr>
        <w:footnoteReference w:id="165"/>
      </w:r>
      <w:r w:rsidR="004A2212" w:rsidRPr="00D9172E">
        <w:rPr>
          <w:rFonts w:ascii="Calibri" w:hAnsi="Calibri" w:cs="Arial"/>
        </w:rPr>
        <w:t xml:space="preserve">, daar elke klacht </w:t>
      </w:r>
      <w:r w:rsidR="004A2212" w:rsidRPr="00D9172E">
        <w:rPr>
          <w:rFonts w:ascii="Calibri" w:hAnsi="Calibri" w:cs="Arial"/>
        </w:rPr>
        <w:lastRenderedPageBreak/>
        <w:t xml:space="preserve">reeds onderzocht en getoetst is aan de deontologie alvorens ze terechtkomt bij de rechtsprekende instantie. De NKGB oordeelt of er motieven zijn tot sanctionering, de tuchtcommissie over de sanctie zelf. Om die reden zou elke klacht die bij de tuchtcommissie terechtkomt, in principe </w:t>
      </w:r>
      <w:r w:rsidR="00FE272A" w:rsidRPr="00D9172E">
        <w:rPr>
          <w:rFonts w:ascii="Calibri" w:hAnsi="Calibri" w:cs="Arial"/>
        </w:rPr>
        <w:t>on</w:t>
      </w:r>
      <w:r w:rsidR="00BE0CFF">
        <w:rPr>
          <w:rFonts w:ascii="Calibri" w:hAnsi="Calibri" w:cs="Arial"/>
        </w:rPr>
        <w:t>der</w:t>
      </w:r>
      <w:r w:rsidR="00F31EF3">
        <w:rPr>
          <w:rFonts w:ascii="Calibri" w:hAnsi="Calibri" w:cs="Arial"/>
        </w:rPr>
        <w:t>hevig</w:t>
      </w:r>
      <w:r w:rsidR="00BE0CFF">
        <w:rPr>
          <w:rFonts w:ascii="Calibri" w:hAnsi="Calibri" w:cs="Arial"/>
        </w:rPr>
        <w:t xml:space="preserve"> moeten zijn aan </w:t>
      </w:r>
      <w:r w:rsidR="00FE272A" w:rsidRPr="00D9172E">
        <w:rPr>
          <w:rFonts w:ascii="Calibri" w:hAnsi="Calibri" w:cs="Arial"/>
        </w:rPr>
        <w:t>sanctionering</w:t>
      </w:r>
      <w:r w:rsidR="004A2212" w:rsidRPr="00D9172E">
        <w:rPr>
          <w:rFonts w:ascii="Calibri" w:hAnsi="Calibri" w:cs="Arial"/>
        </w:rPr>
        <w:t xml:space="preserve">. </w:t>
      </w:r>
    </w:p>
    <w:p w14:paraId="18CF8D5E" w14:textId="51F18BB6" w:rsidR="00144CFF" w:rsidRDefault="00206FEA" w:rsidP="00F7500C">
      <w:pPr>
        <w:pStyle w:val="Normaalweb"/>
        <w:spacing w:line="276" w:lineRule="auto"/>
        <w:jc w:val="both"/>
        <w:rPr>
          <w:rFonts w:ascii="Calibri" w:hAnsi="Calibri" w:cs="Arial"/>
        </w:rPr>
      </w:pPr>
      <w:r>
        <w:rPr>
          <w:rFonts w:ascii="Calibri" w:hAnsi="Calibri" w:cs="Arial"/>
          <w:b/>
        </w:rPr>
        <w:t>61.</w:t>
      </w:r>
      <w:r w:rsidR="00F43C09" w:rsidRPr="00D9172E">
        <w:rPr>
          <w:rFonts w:ascii="Calibri" w:hAnsi="Calibri" w:cs="Arial"/>
        </w:rPr>
        <w:t xml:space="preserve">Ook door middel van de samenstelling van de tuchtcommissies is er </w:t>
      </w:r>
      <w:r w:rsidR="008036F8" w:rsidRPr="00D9172E">
        <w:rPr>
          <w:rFonts w:ascii="Calibri" w:hAnsi="Calibri" w:cs="Arial"/>
        </w:rPr>
        <w:t xml:space="preserve">gepoogd om tuchtprocedures zo objectief en onpartijdig </w:t>
      </w:r>
      <w:r w:rsidR="00D658EF">
        <w:rPr>
          <w:rFonts w:ascii="Calibri" w:hAnsi="Calibri" w:cs="Arial"/>
        </w:rPr>
        <w:t xml:space="preserve">als </w:t>
      </w:r>
      <w:r w:rsidR="008036F8" w:rsidRPr="00D9172E">
        <w:rPr>
          <w:rFonts w:ascii="Calibri" w:hAnsi="Calibri" w:cs="Arial"/>
        </w:rPr>
        <w:t xml:space="preserve">mogelijk te laten verlopen. Zo bestaat elke tuchtcommissie uit vier leden: een magistraat, die de commissie voorzit, twee gerechtsdeurwaarders en een extern lid </w:t>
      </w:r>
      <w:r w:rsidR="008A612A">
        <w:rPr>
          <w:rFonts w:ascii="Calibri" w:hAnsi="Calibri" w:cs="Arial"/>
        </w:rPr>
        <w:t>met een</w:t>
      </w:r>
      <w:r w:rsidR="008036F8" w:rsidRPr="00D9172E">
        <w:rPr>
          <w:rFonts w:ascii="Calibri" w:hAnsi="Calibri" w:cs="Arial"/>
        </w:rPr>
        <w:t xml:space="preserve"> relevante beroepservaring</w:t>
      </w:r>
      <w:r w:rsidR="008036F8" w:rsidRPr="00D9172E">
        <w:rPr>
          <w:rStyle w:val="Voetnootmarkering"/>
          <w:rFonts w:ascii="Calibri" w:hAnsi="Calibri" w:cs="Arial"/>
        </w:rPr>
        <w:footnoteReference w:id="166"/>
      </w:r>
      <w:r w:rsidR="008036F8" w:rsidRPr="00D9172E">
        <w:rPr>
          <w:rFonts w:ascii="Calibri" w:hAnsi="Calibri" w:cs="Arial"/>
        </w:rPr>
        <w:t xml:space="preserve">. </w:t>
      </w:r>
      <w:r w:rsidR="00E64AEA" w:rsidRPr="00D9172E">
        <w:rPr>
          <w:rFonts w:ascii="Calibri" w:hAnsi="Calibri" w:cs="Arial"/>
        </w:rPr>
        <w:t xml:space="preserve">Hoewel de helft van de tuchtcommissies dus nog steeds uit beroepsgenoten bestaat, zijn er </w:t>
      </w:r>
      <w:r w:rsidR="009C4CEA">
        <w:rPr>
          <w:rFonts w:ascii="Calibri" w:hAnsi="Calibri" w:cs="Arial"/>
        </w:rPr>
        <w:t xml:space="preserve">nog </w:t>
      </w:r>
      <w:r w:rsidR="00E64AEA" w:rsidRPr="00D9172E">
        <w:rPr>
          <w:rFonts w:ascii="Calibri" w:hAnsi="Calibri" w:cs="Arial"/>
        </w:rPr>
        <w:t xml:space="preserve">twee wetsbepalingen </w:t>
      </w:r>
      <w:r w:rsidR="00144CFF" w:rsidRPr="00D9172E">
        <w:rPr>
          <w:rFonts w:ascii="Calibri" w:hAnsi="Calibri" w:cs="Arial"/>
        </w:rPr>
        <w:t xml:space="preserve">opgenomen </w:t>
      </w:r>
      <w:r w:rsidR="00E64AEA" w:rsidRPr="00D9172E">
        <w:rPr>
          <w:rFonts w:ascii="Calibri" w:hAnsi="Calibri" w:cs="Arial"/>
        </w:rPr>
        <w:t xml:space="preserve">die </w:t>
      </w:r>
      <w:r w:rsidR="002C6249" w:rsidRPr="00D9172E">
        <w:rPr>
          <w:rFonts w:ascii="Calibri" w:hAnsi="Calibri" w:cs="Arial"/>
        </w:rPr>
        <w:t xml:space="preserve">eventuele partijdigheid nog verder dienen in te perken. </w:t>
      </w:r>
      <w:r>
        <w:rPr>
          <w:rFonts w:ascii="Calibri" w:hAnsi="Calibri" w:cs="Arial"/>
        </w:rPr>
        <w:br/>
      </w:r>
      <w:r w:rsidR="00144CFF" w:rsidRPr="00D9172E">
        <w:rPr>
          <w:rFonts w:ascii="Calibri" w:hAnsi="Calibri" w:cs="Arial"/>
        </w:rPr>
        <w:br/>
      </w:r>
      <w:r>
        <w:rPr>
          <w:rFonts w:ascii="Calibri" w:hAnsi="Calibri" w:cs="Arial"/>
          <w:b/>
        </w:rPr>
        <w:t>6</w:t>
      </w:r>
      <w:r w:rsidR="00AB3763">
        <w:rPr>
          <w:rFonts w:ascii="Calibri" w:hAnsi="Calibri" w:cs="Arial"/>
          <w:b/>
        </w:rPr>
        <w:t>2</w:t>
      </w:r>
      <w:r>
        <w:rPr>
          <w:rFonts w:ascii="Calibri" w:hAnsi="Calibri" w:cs="Arial"/>
          <w:b/>
        </w:rPr>
        <w:t>.</w:t>
      </w:r>
      <w:r w:rsidR="00144CFF" w:rsidRPr="00D9172E">
        <w:rPr>
          <w:rFonts w:ascii="Calibri" w:hAnsi="Calibri" w:cs="Arial"/>
        </w:rPr>
        <w:t xml:space="preserve">Ten eerste kunnen </w:t>
      </w:r>
      <w:r w:rsidR="001E2B78" w:rsidRPr="00D9172E">
        <w:rPr>
          <w:rFonts w:ascii="Calibri" w:hAnsi="Calibri" w:cs="Arial"/>
        </w:rPr>
        <w:t>aangewezen gerechtsdeurwaarders niet zetelen</w:t>
      </w:r>
      <w:r w:rsidR="00144CFF" w:rsidRPr="00D9172E">
        <w:rPr>
          <w:rFonts w:ascii="Calibri" w:hAnsi="Calibri" w:cs="Arial"/>
        </w:rPr>
        <w:t xml:space="preserve"> </w:t>
      </w:r>
      <w:r w:rsidR="001E2B78" w:rsidRPr="00D9172E">
        <w:rPr>
          <w:rFonts w:ascii="Calibri" w:hAnsi="Calibri" w:cs="Arial"/>
        </w:rPr>
        <w:t xml:space="preserve">in de tuchtcommissie indien hun kantoor zich in hetzelfde arrondissement bevindt als het kantoor van de </w:t>
      </w:r>
      <w:r w:rsidR="00530091" w:rsidRPr="00D9172E">
        <w:rPr>
          <w:rFonts w:ascii="Calibri" w:hAnsi="Calibri" w:cs="Arial"/>
        </w:rPr>
        <w:t>b</w:t>
      </w:r>
      <w:r w:rsidR="00CD43E6" w:rsidRPr="00D9172E">
        <w:rPr>
          <w:rFonts w:ascii="Calibri" w:hAnsi="Calibri" w:cs="Arial"/>
        </w:rPr>
        <w:t>e</w:t>
      </w:r>
      <w:r w:rsidR="00530091" w:rsidRPr="00D9172E">
        <w:rPr>
          <w:rFonts w:ascii="Calibri" w:hAnsi="Calibri" w:cs="Arial"/>
        </w:rPr>
        <w:t>tichte</w:t>
      </w:r>
      <w:r w:rsidR="00CD43E6" w:rsidRPr="00D9172E">
        <w:rPr>
          <w:rFonts w:ascii="Calibri" w:hAnsi="Calibri" w:cs="Arial"/>
        </w:rPr>
        <w:t xml:space="preserve"> gerechtsdeurwaarder</w:t>
      </w:r>
      <w:r w:rsidR="007F1D99" w:rsidRPr="00D9172E">
        <w:rPr>
          <w:rStyle w:val="Voetnootmarkering"/>
          <w:rFonts w:ascii="Calibri" w:hAnsi="Calibri" w:cs="Arial"/>
        </w:rPr>
        <w:footnoteReference w:id="167"/>
      </w:r>
      <w:r w:rsidR="00530091" w:rsidRPr="00D9172E">
        <w:rPr>
          <w:rFonts w:ascii="Calibri" w:hAnsi="Calibri" w:cs="Arial"/>
        </w:rPr>
        <w:t>.</w:t>
      </w:r>
      <w:r w:rsidR="007F1D99" w:rsidRPr="00D9172E">
        <w:rPr>
          <w:rFonts w:ascii="Calibri" w:hAnsi="Calibri" w:cs="Arial"/>
        </w:rPr>
        <w:t xml:space="preserve"> Het spreekt immers voor zich dat de kans om een gerechtsdeurwaarder te treffen waar men een historiek mee heeft – positief of negatief – veel groter is binnen hetzelfde arrondissement</w:t>
      </w:r>
      <w:r w:rsidR="003157A8" w:rsidRPr="00D9172E">
        <w:rPr>
          <w:rFonts w:ascii="Calibri" w:hAnsi="Calibri" w:cs="Arial"/>
        </w:rPr>
        <w:t xml:space="preserve"> en dit</w:t>
      </w:r>
      <w:r w:rsidR="007F1D99" w:rsidRPr="00D9172E">
        <w:rPr>
          <w:rFonts w:ascii="Calibri" w:hAnsi="Calibri" w:cs="Arial"/>
        </w:rPr>
        <w:t xml:space="preserve"> </w:t>
      </w:r>
      <w:r w:rsidR="00D658EF">
        <w:rPr>
          <w:rFonts w:ascii="Calibri" w:hAnsi="Calibri" w:cs="Arial"/>
        </w:rPr>
        <w:t xml:space="preserve">bijgevolg </w:t>
      </w:r>
      <w:r w:rsidR="007F1D99" w:rsidRPr="00D9172E">
        <w:rPr>
          <w:rFonts w:ascii="Calibri" w:hAnsi="Calibri" w:cs="Arial"/>
        </w:rPr>
        <w:t>partijdigheid kan veroorzaken. Indien een betichte gerechtsdeurwaarder alsnog een assesso</w:t>
      </w:r>
      <w:r w:rsidR="00E91F82" w:rsidRPr="00D9172E">
        <w:rPr>
          <w:rFonts w:ascii="Calibri" w:hAnsi="Calibri" w:cs="Arial"/>
        </w:rPr>
        <w:t>r zou kennen of vrezen voor zijn</w:t>
      </w:r>
      <w:r w:rsidR="007F1D99" w:rsidRPr="00D9172E">
        <w:rPr>
          <w:rFonts w:ascii="Calibri" w:hAnsi="Calibri" w:cs="Arial"/>
        </w:rPr>
        <w:t xml:space="preserve"> objectieve beoordeling van het dossier, heeft hij tegen elk lid van de commissie een wrakingsrecht</w:t>
      </w:r>
      <w:r w:rsidR="007F1D99" w:rsidRPr="00D9172E">
        <w:rPr>
          <w:rStyle w:val="Voetnootmarkering"/>
          <w:rFonts w:ascii="Calibri" w:hAnsi="Calibri" w:cs="Arial"/>
        </w:rPr>
        <w:footnoteReference w:id="168"/>
      </w:r>
      <w:r w:rsidR="00240768" w:rsidRPr="00D9172E">
        <w:rPr>
          <w:rFonts w:ascii="Calibri" w:hAnsi="Calibri" w:cs="Arial"/>
        </w:rPr>
        <w:t xml:space="preserve">. </w:t>
      </w:r>
      <w:r w:rsidR="00E91F82" w:rsidRPr="00D9172E">
        <w:rPr>
          <w:rFonts w:ascii="Calibri" w:hAnsi="Calibri" w:cs="Arial"/>
        </w:rPr>
        <w:t xml:space="preserve">Op het eerste zicht een prima maatregel, maar de efficiëntie ervan wordt </w:t>
      </w:r>
      <w:r w:rsidR="00D972EA">
        <w:rPr>
          <w:rFonts w:ascii="Calibri" w:hAnsi="Calibri" w:cs="Arial"/>
        </w:rPr>
        <w:t>volgens mij</w:t>
      </w:r>
      <w:r w:rsidR="00E91F82" w:rsidRPr="00D9172E">
        <w:rPr>
          <w:rFonts w:ascii="Calibri" w:hAnsi="Calibri" w:cs="Arial"/>
        </w:rPr>
        <w:t xml:space="preserve"> enigszins de das omgedaan door de wraking eerst voor te leg</w:t>
      </w:r>
      <w:r w:rsidR="00D42516" w:rsidRPr="00D9172E">
        <w:rPr>
          <w:rFonts w:ascii="Calibri" w:hAnsi="Calibri" w:cs="Arial"/>
        </w:rPr>
        <w:t>gen aan de tuch</w:t>
      </w:r>
      <w:r w:rsidR="00703021" w:rsidRPr="00D9172E">
        <w:rPr>
          <w:rFonts w:ascii="Calibri" w:hAnsi="Calibri" w:cs="Arial"/>
        </w:rPr>
        <w:t>tcommissie zelf. Die beslist namelijk over de gegrondheid van de wraking en kan dus – al dan niet geïnspireerd door dezelfde partijdige geest – beslissen om het verzoek te verwerpen</w:t>
      </w:r>
      <w:r w:rsidR="00703021" w:rsidRPr="00D9172E">
        <w:rPr>
          <w:rStyle w:val="Voetnootmarkering"/>
          <w:rFonts w:ascii="Calibri" w:hAnsi="Calibri" w:cs="Arial"/>
        </w:rPr>
        <w:footnoteReference w:id="169"/>
      </w:r>
      <w:r w:rsidR="00703021" w:rsidRPr="00D9172E">
        <w:rPr>
          <w:rFonts w:ascii="Calibri" w:hAnsi="Calibri" w:cs="Arial"/>
        </w:rPr>
        <w:t xml:space="preserve">. Naar mijn mening moet elk vermoeden of elke schijn van partijdigheid echter vermeden worden. Dit houdt in dat zodra een gerechtsdeurwaarder zijn wrakingsrecht uitoefent, het gewraakte lid ook effectief moet uitgesloten worden van de procedure. De vraag welk belang een betichte gerechtsdeurwaarder zou hebben om een lid </w:t>
      </w:r>
      <w:r w:rsidR="000D7465">
        <w:rPr>
          <w:rFonts w:ascii="Calibri" w:hAnsi="Calibri" w:cs="Arial"/>
        </w:rPr>
        <w:t>zonder reden</w:t>
      </w:r>
      <w:r w:rsidR="00703021" w:rsidRPr="00D9172E">
        <w:rPr>
          <w:rFonts w:ascii="Calibri" w:hAnsi="Calibri" w:cs="Arial"/>
        </w:rPr>
        <w:t xml:space="preserve"> te wraken, dringt zich hier ten zeerste op. </w:t>
      </w:r>
    </w:p>
    <w:p w14:paraId="641A9C18" w14:textId="3FD0BA0A" w:rsidR="00945FF5" w:rsidRPr="00945FF5" w:rsidRDefault="00206FEA" w:rsidP="00F7500C">
      <w:pPr>
        <w:pStyle w:val="Normaalweb"/>
        <w:spacing w:line="276" w:lineRule="auto"/>
        <w:jc w:val="both"/>
        <w:rPr>
          <w:rFonts w:ascii="Calibri" w:hAnsi="Calibri" w:cs="Arial"/>
        </w:rPr>
      </w:pPr>
      <w:r>
        <w:rPr>
          <w:rFonts w:ascii="Calibri" w:hAnsi="Calibri" w:cs="Arial"/>
          <w:b/>
        </w:rPr>
        <w:t>6</w:t>
      </w:r>
      <w:r w:rsidR="00AB3763">
        <w:rPr>
          <w:rFonts w:ascii="Calibri" w:hAnsi="Calibri" w:cs="Arial"/>
          <w:b/>
        </w:rPr>
        <w:t>3</w:t>
      </w:r>
      <w:r>
        <w:rPr>
          <w:rFonts w:ascii="Calibri" w:hAnsi="Calibri" w:cs="Arial"/>
          <w:b/>
        </w:rPr>
        <w:t>.</w:t>
      </w:r>
      <w:r w:rsidR="00945FF5">
        <w:rPr>
          <w:rFonts w:ascii="Calibri" w:hAnsi="Calibri" w:cs="Arial"/>
        </w:rPr>
        <w:t>Een andere fundamentele wijziging in de tuchtprocedure is de beroepsmogelijkheid voor de partijen in het geding. Daar waar er tot 2014 een beroepsraad</w:t>
      </w:r>
      <w:r w:rsidR="00D972EA">
        <w:rPr>
          <w:rStyle w:val="Voetnootmarkering"/>
          <w:rFonts w:ascii="Calibri" w:hAnsi="Calibri" w:cs="Arial"/>
        </w:rPr>
        <w:footnoteReference w:id="170"/>
      </w:r>
      <w:r w:rsidR="00945FF5">
        <w:rPr>
          <w:rFonts w:ascii="Calibri" w:hAnsi="Calibri" w:cs="Arial"/>
        </w:rPr>
        <w:t xml:space="preserve"> binnen de raad van de arrondissementskamer</w:t>
      </w:r>
      <w:r w:rsidR="00945FF5">
        <w:rPr>
          <w:rFonts w:ascii="Calibri" w:hAnsi="Calibri" w:cs="Arial"/>
          <w:i/>
        </w:rPr>
        <w:t xml:space="preserve"> </w:t>
      </w:r>
      <w:r w:rsidR="00945FF5">
        <w:rPr>
          <w:rFonts w:ascii="Calibri" w:hAnsi="Calibri" w:cs="Arial"/>
        </w:rPr>
        <w:t>oordeelde over de zaak, wordt deze bevoegdheid nu overgeheveld naar de gewone rechtbank van eerste aanleg</w:t>
      </w:r>
      <w:r w:rsidR="003847F8">
        <w:rPr>
          <w:rStyle w:val="Voetnootmarkering"/>
          <w:rFonts w:ascii="Calibri" w:hAnsi="Calibri" w:cs="Arial"/>
        </w:rPr>
        <w:footnoteReference w:id="171"/>
      </w:r>
      <w:r w:rsidR="00945FF5">
        <w:rPr>
          <w:rFonts w:ascii="Calibri" w:hAnsi="Calibri" w:cs="Arial"/>
        </w:rPr>
        <w:t xml:space="preserve">. </w:t>
      </w:r>
      <w:r w:rsidR="003847F8">
        <w:rPr>
          <w:rFonts w:ascii="Calibri" w:hAnsi="Calibri" w:cs="Arial"/>
        </w:rPr>
        <w:t>Hiermee wordt de zaak onderzocht en beoordeeld door een andere</w:t>
      </w:r>
      <w:r w:rsidR="00871CA0">
        <w:rPr>
          <w:rFonts w:ascii="Calibri" w:hAnsi="Calibri" w:cs="Arial"/>
        </w:rPr>
        <w:t>, hogere</w:t>
      </w:r>
      <w:r w:rsidR="003847F8">
        <w:rPr>
          <w:rFonts w:ascii="Calibri" w:hAnsi="Calibri" w:cs="Arial"/>
        </w:rPr>
        <w:t xml:space="preserve"> instelling dan die in eerste aanleg en wordt de essentie van het hoger beroep gerespecteerd. </w:t>
      </w:r>
    </w:p>
    <w:p w14:paraId="19343C87" w14:textId="496E5BD3" w:rsidR="00DE7D14" w:rsidRPr="00D9172E" w:rsidRDefault="00206FEA" w:rsidP="00F7500C">
      <w:pPr>
        <w:pStyle w:val="Normaalweb"/>
        <w:spacing w:line="276" w:lineRule="auto"/>
        <w:jc w:val="both"/>
        <w:rPr>
          <w:rFonts w:ascii="Calibri" w:hAnsi="Calibri" w:cs="Arial"/>
        </w:rPr>
      </w:pPr>
      <w:r>
        <w:rPr>
          <w:rFonts w:ascii="Calibri" w:hAnsi="Calibri" w:cs="Arial"/>
          <w:b/>
        </w:rPr>
        <w:lastRenderedPageBreak/>
        <w:t>6</w:t>
      </w:r>
      <w:r w:rsidR="00AB3763">
        <w:rPr>
          <w:rFonts w:ascii="Calibri" w:hAnsi="Calibri" w:cs="Arial"/>
          <w:b/>
        </w:rPr>
        <w:t>4</w:t>
      </w:r>
      <w:r>
        <w:rPr>
          <w:rFonts w:ascii="Calibri" w:hAnsi="Calibri" w:cs="Arial"/>
          <w:b/>
        </w:rPr>
        <w:t>.</w:t>
      </w:r>
      <w:r w:rsidR="00CB199B" w:rsidRPr="00D9172E">
        <w:rPr>
          <w:rFonts w:ascii="Calibri" w:hAnsi="Calibri" w:cs="Arial"/>
        </w:rPr>
        <w:t xml:space="preserve">Net zoals dit onder het oude tuchtrecht </w:t>
      </w:r>
      <w:r w:rsidR="00DF62E5" w:rsidRPr="00D9172E">
        <w:rPr>
          <w:rFonts w:ascii="Calibri" w:hAnsi="Calibri" w:cs="Arial"/>
        </w:rPr>
        <w:t>g</w:t>
      </w:r>
      <w:r w:rsidR="00CB199B" w:rsidRPr="00D9172E">
        <w:rPr>
          <w:rFonts w:ascii="Calibri" w:hAnsi="Calibri" w:cs="Arial"/>
        </w:rPr>
        <w:t xml:space="preserve">old voor de raad van de arrondissementskamer, is ook de nieuwe tuchtcommissie </w:t>
      </w:r>
      <w:r w:rsidR="00E13A54" w:rsidRPr="00D9172E">
        <w:rPr>
          <w:rFonts w:ascii="Calibri" w:hAnsi="Calibri" w:cs="Arial"/>
        </w:rPr>
        <w:t>enkel bevoegd om de lagere tuchtstraffen</w:t>
      </w:r>
      <w:r w:rsidR="00E13A54" w:rsidRPr="00D9172E">
        <w:rPr>
          <w:rStyle w:val="Voetnootmarkering"/>
          <w:rFonts w:ascii="Calibri" w:hAnsi="Calibri" w:cs="Arial"/>
        </w:rPr>
        <w:footnoteReference w:id="172"/>
      </w:r>
      <w:r w:rsidR="00E13A54" w:rsidRPr="00D9172E">
        <w:rPr>
          <w:rFonts w:ascii="Calibri" w:hAnsi="Calibri" w:cs="Arial"/>
        </w:rPr>
        <w:t xml:space="preserve"> uit te spreken</w:t>
      </w:r>
      <w:r w:rsidR="00E13A54" w:rsidRPr="00D9172E">
        <w:rPr>
          <w:rStyle w:val="Voetnootmarkering"/>
          <w:rFonts w:ascii="Calibri" w:hAnsi="Calibri" w:cs="Arial"/>
        </w:rPr>
        <w:footnoteReference w:id="173"/>
      </w:r>
      <w:r w:rsidR="00E13A54" w:rsidRPr="00D9172E">
        <w:rPr>
          <w:rFonts w:ascii="Calibri" w:hAnsi="Calibri" w:cs="Arial"/>
        </w:rPr>
        <w:t xml:space="preserve">. Is de </w:t>
      </w:r>
      <w:r w:rsidR="00D9172E">
        <w:rPr>
          <w:rFonts w:ascii="Calibri" w:hAnsi="Calibri" w:cs="Arial"/>
        </w:rPr>
        <w:t xml:space="preserve">tuchtcommissie van oordeel dat een hogere tuchtstraf verantwoord is, kan zij de zaak slechts doorverwijzen naar de rechtbank van eerste aanleg. </w:t>
      </w:r>
      <w:r w:rsidR="003847F8">
        <w:rPr>
          <w:rFonts w:ascii="Calibri" w:hAnsi="Calibri" w:cs="Arial"/>
        </w:rPr>
        <w:t>Vanzelfsprekend is</w:t>
      </w:r>
      <w:r w:rsidR="00945FF5">
        <w:rPr>
          <w:rFonts w:ascii="Calibri" w:hAnsi="Calibri" w:cs="Arial"/>
        </w:rPr>
        <w:t xml:space="preserve"> het non bis in idem-beginsel</w:t>
      </w:r>
      <w:r w:rsidR="003847F8">
        <w:rPr>
          <w:rFonts w:ascii="Calibri" w:hAnsi="Calibri" w:cs="Arial"/>
        </w:rPr>
        <w:t xml:space="preserve"> van toepassing</w:t>
      </w:r>
      <w:r w:rsidR="00945FF5">
        <w:rPr>
          <w:rFonts w:ascii="Calibri" w:hAnsi="Calibri" w:cs="Arial"/>
        </w:rPr>
        <w:t xml:space="preserve"> en is de voorwaarde dat de tuchtcommissie zelf nog geen (lagere) tuchtstraf heeft opgelegd</w:t>
      </w:r>
      <w:r w:rsidR="00945FF5">
        <w:rPr>
          <w:rStyle w:val="Voetnootmarkering"/>
          <w:rFonts w:ascii="Calibri" w:hAnsi="Calibri" w:cs="Arial"/>
        </w:rPr>
        <w:footnoteReference w:id="174"/>
      </w:r>
      <w:r w:rsidR="003847F8">
        <w:rPr>
          <w:rFonts w:ascii="Calibri" w:hAnsi="Calibri" w:cs="Arial"/>
        </w:rPr>
        <w:t>.</w:t>
      </w:r>
      <w:r w:rsidR="00877568">
        <w:rPr>
          <w:rFonts w:ascii="Calibri" w:hAnsi="Calibri" w:cs="Arial"/>
        </w:rPr>
        <w:t xml:space="preserve"> </w:t>
      </w:r>
      <w:r w:rsidR="008F7EA8">
        <w:rPr>
          <w:rFonts w:ascii="Calibri" w:hAnsi="Calibri" w:cs="Arial"/>
        </w:rPr>
        <w:t>Wat betreft</w:t>
      </w:r>
      <w:r w:rsidR="00877568">
        <w:rPr>
          <w:rFonts w:ascii="Calibri" w:hAnsi="Calibri" w:cs="Arial"/>
        </w:rPr>
        <w:t xml:space="preserve"> het hoger beroep tegen deze </w:t>
      </w:r>
      <w:r w:rsidR="00802A5C">
        <w:rPr>
          <w:rFonts w:ascii="Calibri" w:hAnsi="Calibri" w:cs="Arial"/>
        </w:rPr>
        <w:t>vonniss</w:t>
      </w:r>
      <w:r w:rsidR="00855CC4">
        <w:rPr>
          <w:rFonts w:ascii="Calibri" w:hAnsi="Calibri" w:cs="Arial"/>
        </w:rPr>
        <w:t>en, werd</w:t>
      </w:r>
      <w:r w:rsidR="00877568">
        <w:rPr>
          <w:rFonts w:ascii="Calibri" w:hAnsi="Calibri" w:cs="Arial"/>
        </w:rPr>
        <w:t xml:space="preserve"> de logica gerespecteerd en </w:t>
      </w:r>
      <w:r w:rsidR="00855CC4">
        <w:rPr>
          <w:rFonts w:ascii="Calibri" w:hAnsi="Calibri" w:cs="Arial"/>
        </w:rPr>
        <w:t>is</w:t>
      </w:r>
      <w:r w:rsidR="008F7EA8">
        <w:rPr>
          <w:rFonts w:ascii="Calibri" w:hAnsi="Calibri" w:cs="Arial"/>
        </w:rPr>
        <w:t xml:space="preserve"> </w:t>
      </w:r>
      <w:r w:rsidR="00877568">
        <w:rPr>
          <w:rFonts w:ascii="Calibri" w:hAnsi="Calibri" w:cs="Arial"/>
        </w:rPr>
        <w:t xml:space="preserve">dit toegewezen aan </w:t>
      </w:r>
      <w:r w:rsidR="004946CB">
        <w:rPr>
          <w:rFonts w:ascii="Calibri" w:hAnsi="Calibri" w:cs="Arial"/>
        </w:rPr>
        <w:t xml:space="preserve">de </w:t>
      </w:r>
      <w:r w:rsidR="00877568">
        <w:rPr>
          <w:rFonts w:ascii="Calibri" w:hAnsi="Calibri" w:cs="Arial"/>
        </w:rPr>
        <w:t>ho</w:t>
      </w:r>
      <w:r w:rsidR="00D67092">
        <w:rPr>
          <w:rFonts w:ascii="Calibri" w:hAnsi="Calibri" w:cs="Arial"/>
        </w:rPr>
        <w:t>ven</w:t>
      </w:r>
      <w:r w:rsidR="00877568">
        <w:rPr>
          <w:rFonts w:ascii="Calibri" w:hAnsi="Calibri" w:cs="Arial"/>
        </w:rPr>
        <w:t xml:space="preserve"> van beroep</w:t>
      </w:r>
      <w:r w:rsidR="008F7EA8">
        <w:rPr>
          <w:rStyle w:val="Voetnootmarkering"/>
          <w:rFonts w:ascii="Calibri" w:hAnsi="Calibri" w:cs="Arial"/>
        </w:rPr>
        <w:footnoteReference w:id="175"/>
      </w:r>
      <w:r w:rsidR="00877568">
        <w:rPr>
          <w:rFonts w:ascii="Calibri" w:hAnsi="Calibri" w:cs="Arial"/>
        </w:rPr>
        <w:t xml:space="preserve">. </w:t>
      </w:r>
    </w:p>
    <w:p w14:paraId="2DD8814F" w14:textId="1B14275A" w:rsidR="0060556A" w:rsidRDefault="00206FEA" w:rsidP="00F7500C">
      <w:pPr>
        <w:pStyle w:val="Normaalweb"/>
        <w:spacing w:line="276" w:lineRule="auto"/>
        <w:jc w:val="both"/>
        <w:rPr>
          <w:rFonts w:ascii="Calibri" w:hAnsi="Calibri" w:cs="Arial"/>
        </w:rPr>
      </w:pPr>
      <w:r>
        <w:rPr>
          <w:rFonts w:ascii="Calibri" w:hAnsi="Calibri" w:cs="Arial"/>
          <w:b/>
        </w:rPr>
        <w:t>6</w:t>
      </w:r>
      <w:r w:rsidR="00AB3763">
        <w:rPr>
          <w:rFonts w:ascii="Calibri" w:hAnsi="Calibri" w:cs="Arial"/>
          <w:b/>
        </w:rPr>
        <w:t>5</w:t>
      </w:r>
      <w:r>
        <w:rPr>
          <w:rFonts w:ascii="Calibri" w:hAnsi="Calibri" w:cs="Arial"/>
          <w:b/>
        </w:rPr>
        <w:t>.</w:t>
      </w:r>
      <w:r w:rsidR="000E5D53">
        <w:rPr>
          <w:rFonts w:ascii="Calibri" w:hAnsi="Calibri" w:cs="Arial"/>
        </w:rPr>
        <w:t xml:space="preserve">Ten slotte is er </w:t>
      </w:r>
      <w:r w:rsidR="00E775AE">
        <w:rPr>
          <w:rFonts w:ascii="Calibri" w:hAnsi="Calibri" w:cs="Arial"/>
        </w:rPr>
        <w:t xml:space="preserve">met het nieuwe statuut een gloednieuwe maatregel in het leven geroepen ter preventie van </w:t>
      </w:r>
      <w:r w:rsidR="00E40816">
        <w:rPr>
          <w:rFonts w:ascii="Calibri" w:hAnsi="Calibri" w:cs="Arial"/>
        </w:rPr>
        <w:t xml:space="preserve">zware </w:t>
      </w:r>
      <w:r w:rsidR="00E775AE">
        <w:rPr>
          <w:rFonts w:ascii="Calibri" w:hAnsi="Calibri" w:cs="Arial"/>
        </w:rPr>
        <w:t>deontologisch</w:t>
      </w:r>
      <w:r w:rsidR="00E40816">
        <w:rPr>
          <w:rFonts w:ascii="Calibri" w:hAnsi="Calibri" w:cs="Arial"/>
        </w:rPr>
        <w:t>e</w:t>
      </w:r>
      <w:r w:rsidR="00E775AE">
        <w:rPr>
          <w:rFonts w:ascii="Calibri" w:hAnsi="Calibri" w:cs="Arial"/>
        </w:rPr>
        <w:t xml:space="preserve"> </w:t>
      </w:r>
      <w:r w:rsidR="00E40816">
        <w:rPr>
          <w:rFonts w:ascii="Calibri" w:hAnsi="Calibri" w:cs="Arial"/>
        </w:rPr>
        <w:t>overtredingen</w:t>
      </w:r>
      <w:r w:rsidR="00E775AE">
        <w:rPr>
          <w:rFonts w:ascii="Calibri" w:hAnsi="Calibri" w:cs="Arial"/>
        </w:rPr>
        <w:t>. Wanneer een gerechtsdeurwaarder het voorwerp uitmaakt van een straf- of tuchtrechtelijke ver</w:t>
      </w:r>
      <w:r w:rsidR="005906D5">
        <w:rPr>
          <w:rFonts w:ascii="Calibri" w:hAnsi="Calibri" w:cs="Arial"/>
        </w:rPr>
        <w:t>volging en er bestaan ernstige vermoedens waaruit blijkt dat verdere uitoefening van zijn ambt nadeel kan berokkenen aan derden of afbreuk kan doen aan de waardigheid van het korps, kan hem</w:t>
      </w:r>
      <w:r w:rsidR="00E40816">
        <w:rPr>
          <w:rFonts w:ascii="Calibri" w:hAnsi="Calibri" w:cs="Arial"/>
        </w:rPr>
        <w:t xml:space="preserve"> in afwachting van de uitspraak</w:t>
      </w:r>
      <w:r w:rsidR="005906D5">
        <w:rPr>
          <w:rFonts w:ascii="Calibri" w:hAnsi="Calibri" w:cs="Arial"/>
        </w:rPr>
        <w:t xml:space="preserve"> een preventieve schorsing worden opgelegd</w:t>
      </w:r>
      <w:r w:rsidR="005906D5">
        <w:rPr>
          <w:rStyle w:val="Voetnootmarkering"/>
          <w:rFonts w:ascii="Calibri" w:hAnsi="Calibri" w:cs="Arial"/>
        </w:rPr>
        <w:footnoteReference w:id="176"/>
      </w:r>
      <w:r w:rsidR="005906D5">
        <w:rPr>
          <w:rFonts w:ascii="Calibri" w:hAnsi="Calibri" w:cs="Arial"/>
        </w:rPr>
        <w:t xml:space="preserve">. Dit is enkel mogelijk indien de </w:t>
      </w:r>
      <w:r w:rsidR="00C51914">
        <w:rPr>
          <w:rFonts w:ascii="Calibri" w:hAnsi="Calibri" w:cs="Arial"/>
        </w:rPr>
        <w:t xml:space="preserve">betichte </w:t>
      </w:r>
      <w:r w:rsidR="005906D5">
        <w:rPr>
          <w:rFonts w:ascii="Calibri" w:hAnsi="Calibri" w:cs="Arial"/>
        </w:rPr>
        <w:t>feiten aanleiding geven tot een hogere tuchtstraf. De wetgever heeft het hier echter niet bij gelaten: dezelfde maatregel kan getroffen worden</w:t>
      </w:r>
      <w:r w:rsidR="000B66A1">
        <w:rPr>
          <w:rFonts w:ascii="Calibri" w:hAnsi="Calibri" w:cs="Arial"/>
        </w:rPr>
        <w:t>,</w:t>
      </w:r>
      <w:r w:rsidR="00DD769A">
        <w:rPr>
          <w:rFonts w:ascii="Calibri" w:hAnsi="Calibri" w:cs="Arial"/>
        </w:rPr>
        <w:t xml:space="preserve"> </w:t>
      </w:r>
      <w:r w:rsidR="000B66A1">
        <w:rPr>
          <w:rFonts w:ascii="Calibri" w:hAnsi="Calibri" w:cs="Arial"/>
        </w:rPr>
        <w:t>zelfs nog v</w:t>
      </w:r>
      <w:r w:rsidR="00FA6004">
        <w:rPr>
          <w:rFonts w:ascii="Calibri" w:hAnsi="Calibri" w:cs="Arial"/>
        </w:rPr>
        <w:t>óó</w:t>
      </w:r>
      <w:r w:rsidR="00DD769A">
        <w:rPr>
          <w:rFonts w:ascii="Calibri" w:hAnsi="Calibri" w:cs="Arial"/>
        </w:rPr>
        <w:t>r de inleiding van de procedure</w:t>
      </w:r>
      <w:r w:rsidR="000B66A1">
        <w:rPr>
          <w:rFonts w:ascii="Calibri" w:hAnsi="Calibri" w:cs="Arial"/>
        </w:rPr>
        <w:t>,</w:t>
      </w:r>
      <w:r w:rsidR="005906D5">
        <w:rPr>
          <w:rFonts w:ascii="Calibri" w:hAnsi="Calibri" w:cs="Arial"/>
        </w:rPr>
        <w:t xml:space="preserve"> indien </w:t>
      </w:r>
      <w:r w:rsidR="00DD769A">
        <w:rPr>
          <w:rFonts w:ascii="Calibri" w:hAnsi="Calibri" w:cs="Arial"/>
        </w:rPr>
        <w:t xml:space="preserve">er simpelweg </w:t>
      </w:r>
      <w:r w:rsidR="005906D5">
        <w:rPr>
          <w:rFonts w:ascii="Calibri" w:hAnsi="Calibri" w:cs="Arial"/>
        </w:rPr>
        <w:t>uit</w:t>
      </w:r>
      <w:r w:rsidR="00DD769A">
        <w:rPr>
          <w:rFonts w:ascii="Calibri" w:hAnsi="Calibri" w:cs="Arial"/>
        </w:rPr>
        <w:t xml:space="preserve"> de klachten blijkt dat hierboven beschreven vermoedens of gevaren bestaan</w:t>
      </w:r>
      <w:r w:rsidR="00DD769A">
        <w:rPr>
          <w:rStyle w:val="Voetnootmarkering"/>
          <w:rFonts w:ascii="Calibri" w:hAnsi="Calibri" w:cs="Arial"/>
        </w:rPr>
        <w:footnoteReference w:id="177"/>
      </w:r>
      <w:r w:rsidR="00DD769A">
        <w:rPr>
          <w:rFonts w:ascii="Calibri" w:hAnsi="Calibri" w:cs="Arial"/>
        </w:rPr>
        <w:t xml:space="preserve">. </w:t>
      </w:r>
    </w:p>
    <w:p w14:paraId="3C2612AA" w14:textId="77777777" w:rsidR="0060556A" w:rsidRDefault="0060556A">
      <w:pPr>
        <w:rPr>
          <w:rFonts w:ascii="Calibri" w:hAnsi="Calibri" w:cs="Arial"/>
          <w:lang w:eastAsia="nl-NL"/>
        </w:rPr>
      </w:pPr>
      <w:r>
        <w:rPr>
          <w:rFonts w:ascii="Calibri" w:hAnsi="Calibri" w:cs="Arial"/>
        </w:rPr>
        <w:br w:type="page"/>
      </w:r>
    </w:p>
    <w:p w14:paraId="33379558" w14:textId="77777777" w:rsidR="00DE7D14" w:rsidRPr="00D9172E" w:rsidRDefault="00DE7D14" w:rsidP="002532B7">
      <w:pPr>
        <w:pStyle w:val="Normaalweb"/>
        <w:spacing w:line="276" w:lineRule="auto"/>
        <w:rPr>
          <w:rFonts w:ascii="Calibri" w:hAnsi="Calibri" w:cs="Arial"/>
        </w:rPr>
      </w:pPr>
    </w:p>
    <w:p w14:paraId="24205F7B" w14:textId="23E28D9B" w:rsidR="00864F4E" w:rsidRDefault="00EF0BD7" w:rsidP="002532B7">
      <w:pPr>
        <w:pStyle w:val="Kop1"/>
        <w:spacing w:line="276" w:lineRule="auto"/>
        <w:rPr>
          <w:lang w:eastAsia="nl-NL"/>
        </w:rPr>
      </w:pPr>
      <w:bookmarkStart w:id="28" w:name="_Toc40689966"/>
      <w:r>
        <w:rPr>
          <w:lang w:eastAsia="nl-NL"/>
        </w:rPr>
        <w:t>DEEL 3: EVALUATIE VANOP HET TERREIN</w:t>
      </w:r>
      <w:bookmarkEnd w:id="28"/>
    </w:p>
    <w:p w14:paraId="1AD10073" w14:textId="77777777" w:rsidR="000716AB" w:rsidRDefault="000716AB" w:rsidP="002532B7">
      <w:pPr>
        <w:spacing w:line="276" w:lineRule="auto"/>
        <w:rPr>
          <w:lang w:eastAsia="nl-NL"/>
        </w:rPr>
      </w:pPr>
    </w:p>
    <w:p w14:paraId="5F0B0E46" w14:textId="6E8BA17D" w:rsidR="000716AB" w:rsidRPr="000716AB" w:rsidRDefault="000716AB" w:rsidP="002532B7">
      <w:pPr>
        <w:pStyle w:val="Kop2"/>
        <w:spacing w:line="276" w:lineRule="auto"/>
        <w:rPr>
          <w:lang w:eastAsia="nl-NL"/>
        </w:rPr>
      </w:pPr>
      <w:bookmarkStart w:id="29" w:name="_Toc40689967"/>
      <w:r>
        <w:rPr>
          <w:lang w:eastAsia="nl-NL"/>
        </w:rPr>
        <w:t xml:space="preserve">Hoofdstuk 1: </w:t>
      </w:r>
      <w:r w:rsidR="00287F0F">
        <w:rPr>
          <w:lang w:eastAsia="nl-NL"/>
        </w:rPr>
        <w:t>Inleidende gegevens</w:t>
      </w:r>
      <w:bookmarkEnd w:id="29"/>
      <w:r w:rsidR="009A0C04">
        <w:rPr>
          <w:lang w:eastAsia="nl-NL"/>
        </w:rPr>
        <w:t xml:space="preserve"> </w:t>
      </w:r>
    </w:p>
    <w:p w14:paraId="558E78BF" w14:textId="77777777" w:rsidR="007A0705" w:rsidRDefault="007A0705" w:rsidP="002532B7">
      <w:pPr>
        <w:spacing w:line="276" w:lineRule="auto"/>
        <w:rPr>
          <w:rFonts w:ascii="Calibri" w:hAnsi="Calibri" w:cs="Arial"/>
          <w:lang w:eastAsia="nl-NL"/>
        </w:rPr>
      </w:pPr>
    </w:p>
    <w:p w14:paraId="12B0EF0C" w14:textId="4C5FC27E" w:rsidR="00277B60" w:rsidRDefault="00AB3763" w:rsidP="00B168E3">
      <w:pPr>
        <w:spacing w:line="276" w:lineRule="auto"/>
        <w:rPr>
          <w:rFonts w:ascii="Calibri" w:hAnsi="Calibri" w:cs="Arial"/>
          <w:lang w:eastAsia="nl-NL"/>
        </w:rPr>
      </w:pPr>
      <w:r>
        <w:rPr>
          <w:rFonts w:ascii="Calibri" w:hAnsi="Calibri" w:cs="Arial"/>
          <w:b/>
          <w:lang w:eastAsia="nl-NL"/>
        </w:rPr>
        <w:t>66.</w:t>
      </w:r>
      <w:r w:rsidR="000879AB">
        <w:rPr>
          <w:rFonts w:ascii="Calibri" w:hAnsi="Calibri" w:cs="Arial"/>
          <w:lang w:eastAsia="nl-NL"/>
        </w:rPr>
        <w:t>Zoals reeds werd aangehaald in de inleiding</w:t>
      </w:r>
      <w:r w:rsidR="00B010C7">
        <w:rPr>
          <w:rStyle w:val="Voetnootmarkering"/>
          <w:rFonts w:ascii="Calibri" w:hAnsi="Calibri" w:cs="Arial"/>
          <w:lang w:eastAsia="nl-NL"/>
        </w:rPr>
        <w:footnoteReference w:id="178"/>
      </w:r>
      <w:r w:rsidR="0081341D">
        <w:rPr>
          <w:rFonts w:ascii="Calibri" w:hAnsi="Calibri" w:cs="Arial"/>
          <w:lang w:eastAsia="nl-NL"/>
        </w:rPr>
        <w:t>,</w:t>
      </w:r>
      <w:r w:rsidR="000879AB">
        <w:rPr>
          <w:rFonts w:ascii="Calibri" w:hAnsi="Calibri" w:cs="Arial"/>
          <w:lang w:eastAsia="nl-NL"/>
        </w:rPr>
        <w:t xml:space="preserve"> is het onmogelijk een evaluatie te maken</w:t>
      </w:r>
      <w:r w:rsidR="008E236C">
        <w:rPr>
          <w:rFonts w:ascii="Calibri" w:hAnsi="Calibri" w:cs="Arial"/>
          <w:lang w:eastAsia="nl-NL"/>
        </w:rPr>
        <w:t xml:space="preserve"> en een beoordeling te vormen</w:t>
      </w:r>
      <w:r w:rsidR="008B5F72">
        <w:rPr>
          <w:rFonts w:ascii="Calibri" w:hAnsi="Calibri" w:cs="Arial"/>
          <w:lang w:eastAsia="nl-NL"/>
        </w:rPr>
        <w:t xml:space="preserve"> over het nieuwe statuut</w:t>
      </w:r>
      <w:r w:rsidR="000879AB">
        <w:rPr>
          <w:rFonts w:ascii="Calibri" w:hAnsi="Calibri" w:cs="Arial"/>
          <w:lang w:eastAsia="nl-NL"/>
        </w:rPr>
        <w:t xml:space="preserve"> louter</w:t>
      </w:r>
      <w:r w:rsidR="00277B60">
        <w:rPr>
          <w:rFonts w:ascii="Calibri" w:hAnsi="Calibri" w:cs="Arial"/>
          <w:lang w:eastAsia="nl-NL"/>
        </w:rPr>
        <w:t xml:space="preserve"> op basis van </w:t>
      </w:r>
      <w:r w:rsidR="00D51291">
        <w:rPr>
          <w:rFonts w:ascii="Calibri" w:hAnsi="Calibri" w:cs="Arial"/>
          <w:lang w:eastAsia="nl-NL"/>
        </w:rPr>
        <w:t xml:space="preserve">een </w:t>
      </w:r>
      <w:r w:rsidR="00277B60">
        <w:rPr>
          <w:rFonts w:ascii="Calibri" w:hAnsi="Calibri" w:cs="Arial"/>
          <w:lang w:eastAsia="nl-NL"/>
        </w:rPr>
        <w:t xml:space="preserve">literatuurstudie. Nu de hervorming sinds zes jaar in werking is getreden en de gerechtsdeurwaarders er intussen toch vertrouwd mee zouden moeten zijn, kan er een oppervlakkige balans opgemaakt worden van het onthaal van hun nieuwe statuut. </w:t>
      </w:r>
      <w:r w:rsidR="00812118">
        <w:rPr>
          <w:rFonts w:ascii="Calibri" w:hAnsi="Calibri" w:cs="Arial"/>
          <w:lang w:eastAsia="nl-NL"/>
        </w:rPr>
        <w:t xml:space="preserve">Met zekerheid kan men stellen dat </w:t>
      </w:r>
      <w:r w:rsidR="00162F10">
        <w:rPr>
          <w:rFonts w:ascii="Calibri" w:hAnsi="Calibri" w:cs="Arial"/>
          <w:lang w:eastAsia="nl-NL"/>
        </w:rPr>
        <w:t>ze er daadwerkelijk vertrouwd mee zijn</w:t>
      </w:r>
      <w:r w:rsidR="000B213F">
        <w:rPr>
          <w:rFonts w:ascii="Calibri" w:hAnsi="Calibri" w:cs="Arial"/>
          <w:lang w:eastAsia="nl-NL"/>
        </w:rPr>
        <w:t>: g</w:t>
      </w:r>
      <w:r w:rsidR="00812118">
        <w:rPr>
          <w:rFonts w:ascii="Calibri" w:hAnsi="Calibri" w:cs="Arial"/>
          <w:lang w:eastAsia="nl-NL"/>
        </w:rPr>
        <w:t>een enkele gerechtsdeurwaarder heeft immers aangegeven dat hij/zij niet op de hoogte is van de hervorming</w:t>
      </w:r>
      <w:r w:rsidR="00B168E3">
        <w:rPr>
          <w:rFonts w:ascii="Calibri" w:hAnsi="Calibri" w:cs="Arial"/>
          <w:lang w:eastAsia="nl-NL"/>
        </w:rPr>
        <w:t xml:space="preserve">. Gelukkig maar. </w:t>
      </w:r>
      <w:r w:rsidR="00E1563C">
        <w:rPr>
          <w:rFonts w:ascii="Calibri" w:hAnsi="Calibri" w:cs="Arial"/>
          <w:lang w:eastAsia="nl-NL"/>
        </w:rPr>
        <w:br/>
        <w:t>Hoewel de opiniepeiling is rondgestuurd naar alle kantoren op het Vlaamse grondgebied, zijn er slechts 46 respondenten uit de bus gekomen.</w:t>
      </w:r>
      <w:r w:rsidR="00344786">
        <w:rPr>
          <w:rFonts w:ascii="Calibri" w:hAnsi="Calibri" w:cs="Arial"/>
          <w:lang w:eastAsia="nl-NL"/>
        </w:rPr>
        <w:t xml:space="preserve"> </w:t>
      </w:r>
      <w:r w:rsidR="00E1563C">
        <w:rPr>
          <w:rFonts w:ascii="Calibri" w:hAnsi="Calibri" w:cs="Arial"/>
          <w:lang w:eastAsia="nl-NL"/>
        </w:rPr>
        <w:t>De eerlijkheid gebiedt mij dus</w:t>
      </w:r>
      <w:r w:rsidR="00952C27">
        <w:rPr>
          <w:rFonts w:ascii="Calibri" w:hAnsi="Calibri" w:cs="Arial"/>
          <w:lang w:eastAsia="nl-NL"/>
        </w:rPr>
        <w:t xml:space="preserve"> mee</w:t>
      </w:r>
      <w:r w:rsidR="00E1563C">
        <w:rPr>
          <w:rFonts w:ascii="Calibri" w:hAnsi="Calibri" w:cs="Arial"/>
          <w:lang w:eastAsia="nl-NL"/>
        </w:rPr>
        <w:t xml:space="preserve"> te </w:t>
      </w:r>
      <w:r w:rsidR="00952C27">
        <w:rPr>
          <w:rFonts w:ascii="Calibri" w:hAnsi="Calibri" w:cs="Arial"/>
          <w:lang w:eastAsia="nl-NL"/>
        </w:rPr>
        <w:t>geven</w:t>
      </w:r>
      <w:r w:rsidR="00E1563C">
        <w:rPr>
          <w:rFonts w:ascii="Calibri" w:hAnsi="Calibri" w:cs="Arial"/>
          <w:lang w:eastAsia="nl-NL"/>
        </w:rPr>
        <w:t xml:space="preserve"> dat het om een relatief kleinschalige steekproef gaat</w:t>
      </w:r>
      <w:r w:rsidR="00C51914">
        <w:rPr>
          <w:rFonts w:ascii="Calibri" w:hAnsi="Calibri" w:cs="Arial"/>
          <w:lang w:eastAsia="nl-NL"/>
        </w:rPr>
        <w:t xml:space="preserve">, </w:t>
      </w:r>
      <w:r w:rsidR="00E1563C">
        <w:rPr>
          <w:rFonts w:ascii="Calibri" w:hAnsi="Calibri" w:cs="Arial"/>
          <w:lang w:eastAsia="nl-NL"/>
        </w:rPr>
        <w:t>mogelijks met afwijkende resultaten van de werkelijkheid.</w:t>
      </w:r>
    </w:p>
    <w:p w14:paraId="5810A269" w14:textId="77777777" w:rsidR="00E1563C" w:rsidRDefault="00E1563C" w:rsidP="002532B7">
      <w:pPr>
        <w:spacing w:line="276" w:lineRule="auto"/>
        <w:jc w:val="both"/>
        <w:rPr>
          <w:rFonts w:ascii="Calibri" w:hAnsi="Calibri" w:cs="Arial"/>
          <w:lang w:eastAsia="nl-NL"/>
        </w:rPr>
      </w:pPr>
    </w:p>
    <w:p w14:paraId="3CB5A931" w14:textId="12118556" w:rsidR="00812118" w:rsidRDefault="00AB3763" w:rsidP="002532B7">
      <w:pPr>
        <w:spacing w:line="276" w:lineRule="auto"/>
        <w:jc w:val="both"/>
        <w:rPr>
          <w:rFonts w:ascii="Calibri" w:hAnsi="Calibri" w:cs="Arial"/>
          <w:lang w:eastAsia="nl-NL"/>
        </w:rPr>
      </w:pPr>
      <w:r>
        <w:rPr>
          <w:rFonts w:ascii="Calibri" w:hAnsi="Calibri" w:cs="Arial"/>
          <w:b/>
          <w:lang w:eastAsia="nl-NL"/>
        </w:rPr>
        <w:t>67.</w:t>
      </w:r>
      <w:r w:rsidR="009A055C">
        <w:rPr>
          <w:rFonts w:ascii="Calibri" w:hAnsi="Calibri" w:cs="Arial"/>
          <w:lang w:eastAsia="nl-NL"/>
        </w:rPr>
        <w:t xml:space="preserve">Ook kandidaat-gerechtsdeurwaarders werden uitdrukkelijk uitgenodigd om deel te nemen aan de enquête, waardoor er van die 46 </w:t>
      </w:r>
      <w:r w:rsidR="00317797">
        <w:rPr>
          <w:rFonts w:ascii="Calibri" w:hAnsi="Calibri" w:cs="Arial"/>
          <w:lang w:eastAsia="nl-NL"/>
        </w:rPr>
        <w:t xml:space="preserve">respondenten 18 over het statuut van kandidaat beschikken. Dat komt bij benadering overeen met 4 respondenten op 10, tegenover 6 op 10 titularissen. </w:t>
      </w:r>
      <w:r w:rsidR="0074627D">
        <w:rPr>
          <w:rFonts w:ascii="Calibri" w:hAnsi="Calibri" w:cs="Arial"/>
          <w:lang w:eastAsia="nl-NL"/>
        </w:rPr>
        <w:t xml:space="preserve">Voor de volledigheid en voor een goed begrip is het </w:t>
      </w:r>
      <w:r w:rsidR="00B010C7">
        <w:rPr>
          <w:rFonts w:ascii="Calibri" w:hAnsi="Calibri" w:cs="Arial"/>
          <w:lang w:eastAsia="nl-NL"/>
        </w:rPr>
        <w:t>jaartal</w:t>
      </w:r>
      <w:r w:rsidR="0074627D">
        <w:rPr>
          <w:rFonts w:ascii="Calibri" w:hAnsi="Calibri" w:cs="Arial"/>
          <w:lang w:eastAsia="nl-NL"/>
        </w:rPr>
        <w:t xml:space="preserve"> van benoeming ook zeker het vermelden waard: </w:t>
      </w:r>
      <w:r w:rsidR="00381C18">
        <w:rPr>
          <w:rFonts w:ascii="Calibri" w:hAnsi="Calibri" w:cs="Arial"/>
          <w:lang w:eastAsia="nl-NL"/>
        </w:rPr>
        <w:t xml:space="preserve">de </w:t>
      </w:r>
      <w:r w:rsidR="005E05A2">
        <w:rPr>
          <w:rFonts w:ascii="Calibri" w:hAnsi="Calibri" w:cs="Arial"/>
          <w:lang w:eastAsia="nl-NL"/>
        </w:rPr>
        <w:t>meerderheid (46%)</w:t>
      </w:r>
      <w:r w:rsidR="0074627D">
        <w:rPr>
          <w:rFonts w:ascii="Calibri" w:hAnsi="Calibri" w:cs="Arial"/>
          <w:lang w:eastAsia="nl-NL"/>
        </w:rPr>
        <w:t xml:space="preserve"> is benoemd tot zijn of haar huidige statuut in het vorige decennium, 26% in de jaren 2000-2010, 15% in de jaren ’90 en 13% van de respondenten zijn echte anciens met benoeming die teruggaat tot de jaren ’80.</w:t>
      </w:r>
      <w:r w:rsidR="00446B04">
        <w:rPr>
          <w:rFonts w:ascii="Calibri" w:hAnsi="Calibri" w:cs="Arial"/>
          <w:lang w:eastAsia="nl-NL"/>
        </w:rPr>
        <w:t xml:space="preserve"> Het zal helaas al snel blijken dat het jonge deelnemersveld tot gevolg heeft dat bij stellingen over de vroegere situatie vaak neutraal wordt geantwoord. </w:t>
      </w:r>
    </w:p>
    <w:p w14:paraId="79A575D9" w14:textId="77777777" w:rsidR="00446B04" w:rsidRDefault="00446B04" w:rsidP="002532B7">
      <w:pPr>
        <w:spacing w:line="276" w:lineRule="auto"/>
        <w:jc w:val="both"/>
        <w:rPr>
          <w:rFonts w:ascii="Calibri" w:hAnsi="Calibri" w:cs="Arial"/>
          <w:lang w:eastAsia="nl-NL"/>
        </w:rPr>
      </w:pPr>
    </w:p>
    <w:p w14:paraId="158951B7" w14:textId="10470DB5" w:rsidR="00A853B1" w:rsidRPr="00730F3C" w:rsidRDefault="00AB3763" w:rsidP="00F7500C">
      <w:pPr>
        <w:spacing w:line="276" w:lineRule="auto"/>
        <w:jc w:val="both"/>
        <w:rPr>
          <w:rFonts w:ascii="Calibri" w:hAnsi="Calibri" w:cs="Arial"/>
          <w:lang w:eastAsia="nl-NL"/>
        </w:rPr>
      </w:pPr>
      <w:r>
        <w:rPr>
          <w:rFonts w:ascii="Calibri" w:hAnsi="Calibri" w:cs="Arial"/>
          <w:b/>
          <w:lang w:eastAsia="nl-NL"/>
        </w:rPr>
        <w:t>68.</w:t>
      </w:r>
      <w:r w:rsidR="00FF4947">
        <w:rPr>
          <w:rFonts w:ascii="Calibri" w:hAnsi="Calibri" w:cs="Arial"/>
          <w:lang w:eastAsia="nl-NL"/>
        </w:rPr>
        <w:t xml:space="preserve">Teneinde de resultaten </w:t>
      </w:r>
      <w:r w:rsidR="00A853B1" w:rsidRPr="00730F3C">
        <w:rPr>
          <w:rFonts w:ascii="Calibri" w:hAnsi="Calibri" w:cs="Arial"/>
          <w:lang w:eastAsia="nl-NL"/>
        </w:rPr>
        <w:t xml:space="preserve">zowel voor lezer als auteur zo overzichtelijk als mogelijk </w:t>
      </w:r>
      <w:r w:rsidR="00FF4947">
        <w:rPr>
          <w:rFonts w:ascii="Calibri" w:hAnsi="Calibri" w:cs="Arial"/>
          <w:lang w:eastAsia="nl-NL"/>
        </w:rPr>
        <w:t>te analyseren</w:t>
      </w:r>
      <w:r w:rsidR="00A853B1" w:rsidRPr="00730F3C">
        <w:rPr>
          <w:rFonts w:ascii="Calibri" w:hAnsi="Calibri" w:cs="Arial"/>
          <w:lang w:eastAsia="nl-NL"/>
        </w:rPr>
        <w:t>, zal er gew</w:t>
      </w:r>
      <w:r w:rsidR="003F0391" w:rsidRPr="00730F3C">
        <w:rPr>
          <w:rFonts w:ascii="Calibri" w:hAnsi="Calibri" w:cs="Arial"/>
          <w:lang w:eastAsia="nl-NL"/>
        </w:rPr>
        <w:t xml:space="preserve">erkt worden met kleurencodes in het </w:t>
      </w:r>
      <w:r w:rsidR="00C51914">
        <w:rPr>
          <w:rFonts w:ascii="Calibri" w:hAnsi="Calibri" w:cs="Arial"/>
          <w:lang w:eastAsia="nl-NL"/>
        </w:rPr>
        <w:t xml:space="preserve">weergeven </w:t>
      </w:r>
      <w:r w:rsidR="003F0391" w:rsidRPr="00730F3C">
        <w:rPr>
          <w:rFonts w:ascii="Calibri" w:hAnsi="Calibri" w:cs="Arial"/>
          <w:lang w:eastAsia="nl-NL"/>
        </w:rPr>
        <w:t xml:space="preserve">van </w:t>
      </w:r>
      <w:r w:rsidR="00A853B1" w:rsidRPr="00730F3C">
        <w:rPr>
          <w:rFonts w:ascii="Calibri" w:hAnsi="Calibri" w:cs="Arial"/>
          <w:lang w:eastAsia="nl-NL"/>
        </w:rPr>
        <w:t xml:space="preserve">de verschillende keuzemogelijkheden, naar analogie met </w:t>
      </w:r>
      <w:r w:rsidR="003F0391" w:rsidRPr="00730F3C">
        <w:rPr>
          <w:rFonts w:ascii="Calibri" w:hAnsi="Calibri" w:cs="Arial"/>
          <w:lang w:eastAsia="nl-NL"/>
        </w:rPr>
        <w:t>de diagrammen van de resultaten (te raadplegen in de bijlagen)</w:t>
      </w:r>
      <w:r w:rsidR="00A853B1" w:rsidRPr="00730F3C">
        <w:rPr>
          <w:rFonts w:ascii="Calibri" w:hAnsi="Calibri" w:cs="Arial"/>
          <w:lang w:eastAsia="nl-NL"/>
        </w:rPr>
        <w:t>. De kleurencode ziet er als volgt uit:</w:t>
      </w:r>
    </w:p>
    <w:p w14:paraId="7FD994FD" w14:textId="77777777" w:rsidR="00A853B1" w:rsidRPr="00730F3C" w:rsidRDefault="00A853B1" w:rsidP="002532B7">
      <w:pPr>
        <w:spacing w:line="276" w:lineRule="auto"/>
        <w:rPr>
          <w:rFonts w:ascii="Calibri" w:hAnsi="Calibri" w:cs="Arial"/>
          <w:lang w:eastAsia="nl-NL"/>
        </w:rPr>
      </w:pPr>
    </w:p>
    <w:p w14:paraId="42DD6E27" w14:textId="61CEE097" w:rsidR="00A853B1" w:rsidRPr="00730F3C" w:rsidRDefault="00A853B1" w:rsidP="002532B7">
      <w:pPr>
        <w:pStyle w:val="Lijstalinea"/>
        <w:numPr>
          <w:ilvl w:val="0"/>
          <w:numId w:val="7"/>
        </w:numPr>
        <w:spacing w:line="276" w:lineRule="auto"/>
        <w:rPr>
          <w:rFonts w:ascii="Calibri" w:hAnsi="Calibri" w:cs="Arial"/>
          <w:b/>
          <w:lang w:eastAsia="nl-NL"/>
        </w:rPr>
      </w:pPr>
      <w:r w:rsidRPr="00730F3C">
        <w:rPr>
          <w:rFonts w:ascii="Calibri" w:hAnsi="Calibri" w:cs="Arial"/>
          <w:b/>
          <w:lang w:eastAsia="nl-NL"/>
        </w:rPr>
        <w:t>Rood = niet akkoord</w:t>
      </w:r>
    </w:p>
    <w:p w14:paraId="04A24F75" w14:textId="3E575957" w:rsidR="00A853B1" w:rsidRPr="00730F3C" w:rsidRDefault="00A853B1" w:rsidP="002532B7">
      <w:pPr>
        <w:pStyle w:val="Lijstalinea"/>
        <w:numPr>
          <w:ilvl w:val="0"/>
          <w:numId w:val="7"/>
        </w:numPr>
        <w:spacing w:line="276" w:lineRule="auto"/>
        <w:rPr>
          <w:rFonts w:ascii="Calibri" w:hAnsi="Calibri" w:cs="Arial"/>
          <w:b/>
          <w:lang w:eastAsia="nl-NL"/>
        </w:rPr>
      </w:pPr>
      <w:r w:rsidRPr="00730F3C">
        <w:rPr>
          <w:rFonts w:ascii="Calibri" w:hAnsi="Calibri" w:cs="Arial"/>
          <w:b/>
          <w:lang w:eastAsia="nl-NL"/>
        </w:rPr>
        <w:t>Oranje = eerder niet akkoord</w:t>
      </w:r>
    </w:p>
    <w:p w14:paraId="28AADFC5" w14:textId="52E0CF9B" w:rsidR="00A853B1" w:rsidRPr="00730F3C" w:rsidRDefault="00A853B1" w:rsidP="002532B7">
      <w:pPr>
        <w:pStyle w:val="Lijstalinea"/>
        <w:numPr>
          <w:ilvl w:val="0"/>
          <w:numId w:val="7"/>
        </w:numPr>
        <w:spacing w:line="276" w:lineRule="auto"/>
        <w:rPr>
          <w:rFonts w:ascii="Calibri" w:hAnsi="Calibri" w:cs="Arial"/>
          <w:b/>
          <w:lang w:eastAsia="nl-NL"/>
        </w:rPr>
      </w:pPr>
      <w:r w:rsidRPr="00730F3C">
        <w:rPr>
          <w:rFonts w:ascii="Calibri" w:hAnsi="Calibri" w:cs="Arial"/>
          <w:b/>
          <w:lang w:eastAsia="nl-NL"/>
        </w:rPr>
        <w:t>Grijs = neutraal</w:t>
      </w:r>
    </w:p>
    <w:p w14:paraId="4D3DB1F5" w14:textId="3ECB7BEF" w:rsidR="00A853B1" w:rsidRPr="00730F3C" w:rsidRDefault="00A853B1" w:rsidP="002532B7">
      <w:pPr>
        <w:pStyle w:val="Lijstalinea"/>
        <w:numPr>
          <w:ilvl w:val="0"/>
          <w:numId w:val="7"/>
        </w:numPr>
        <w:spacing w:line="276" w:lineRule="auto"/>
        <w:rPr>
          <w:rFonts w:ascii="Calibri" w:hAnsi="Calibri" w:cs="Arial"/>
          <w:b/>
          <w:lang w:eastAsia="nl-NL"/>
        </w:rPr>
      </w:pPr>
      <w:r w:rsidRPr="00730F3C">
        <w:rPr>
          <w:rFonts w:ascii="Calibri" w:hAnsi="Calibri" w:cs="Arial"/>
          <w:b/>
          <w:lang w:eastAsia="nl-NL"/>
        </w:rPr>
        <w:t>Geel = eerder akkoord</w:t>
      </w:r>
    </w:p>
    <w:p w14:paraId="2846CA4C" w14:textId="1F5E4DC1" w:rsidR="00A853B1" w:rsidRPr="00730F3C" w:rsidRDefault="00A853B1" w:rsidP="002532B7">
      <w:pPr>
        <w:pStyle w:val="Lijstalinea"/>
        <w:numPr>
          <w:ilvl w:val="0"/>
          <w:numId w:val="7"/>
        </w:numPr>
        <w:spacing w:line="276" w:lineRule="auto"/>
        <w:rPr>
          <w:rFonts w:ascii="Calibri" w:hAnsi="Calibri" w:cs="Arial"/>
          <w:b/>
          <w:lang w:eastAsia="nl-NL"/>
        </w:rPr>
      </w:pPr>
      <w:r w:rsidRPr="00730F3C">
        <w:rPr>
          <w:rFonts w:ascii="Calibri" w:hAnsi="Calibri" w:cs="Arial"/>
          <w:b/>
          <w:lang w:eastAsia="nl-NL"/>
        </w:rPr>
        <w:t>Groen = akkoord</w:t>
      </w:r>
    </w:p>
    <w:p w14:paraId="657843E0" w14:textId="77777777" w:rsidR="00A853B1" w:rsidRPr="00730F3C" w:rsidRDefault="00A853B1" w:rsidP="002532B7">
      <w:pPr>
        <w:pStyle w:val="Kop2"/>
        <w:spacing w:line="276" w:lineRule="auto"/>
        <w:rPr>
          <w:rFonts w:ascii="Calibri" w:eastAsiaTheme="minorHAnsi" w:hAnsi="Calibri" w:cs="Arial"/>
          <w:b/>
          <w:color w:val="auto"/>
          <w:sz w:val="24"/>
          <w:szCs w:val="24"/>
          <w:lang w:eastAsia="nl-NL"/>
        </w:rPr>
      </w:pPr>
    </w:p>
    <w:p w14:paraId="78A085C0" w14:textId="77777777" w:rsidR="00E21349" w:rsidRDefault="00E21349" w:rsidP="002532B7">
      <w:pPr>
        <w:pStyle w:val="Kop2"/>
        <w:spacing w:line="276" w:lineRule="auto"/>
        <w:rPr>
          <w:lang w:eastAsia="nl-NL"/>
        </w:rPr>
      </w:pPr>
    </w:p>
    <w:p w14:paraId="56D2B49B" w14:textId="1F68254E" w:rsidR="00287F0F" w:rsidRDefault="00DD147F" w:rsidP="002532B7">
      <w:pPr>
        <w:pStyle w:val="Kop2"/>
        <w:spacing w:line="276" w:lineRule="auto"/>
        <w:rPr>
          <w:lang w:eastAsia="nl-NL"/>
        </w:rPr>
      </w:pPr>
      <w:bookmarkStart w:id="30" w:name="_Toc40689968"/>
      <w:r>
        <w:rPr>
          <w:lang w:eastAsia="nl-NL"/>
        </w:rPr>
        <w:t>Hoofdstuk 2: Algemene bevraging</w:t>
      </w:r>
      <w:bookmarkEnd w:id="30"/>
    </w:p>
    <w:p w14:paraId="6C67803D" w14:textId="77777777" w:rsidR="00287F0F" w:rsidRDefault="00287F0F" w:rsidP="002532B7">
      <w:pPr>
        <w:spacing w:line="276" w:lineRule="auto"/>
        <w:rPr>
          <w:rFonts w:ascii="Calibri" w:hAnsi="Calibri" w:cs="Arial"/>
          <w:lang w:eastAsia="nl-NL"/>
        </w:rPr>
      </w:pPr>
    </w:p>
    <w:p w14:paraId="2B3268AB" w14:textId="61DB0DE5" w:rsidR="00B64802" w:rsidRDefault="00AB3763" w:rsidP="00F7500C">
      <w:pPr>
        <w:spacing w:line="276" w:lineRule="auto"/>
        <w:jc w:val="both"/>
        <w:rPr>
          <w:rFonts w:ascii="Calibri" w:hAnsi="Calibri" w:cs="Arial"/>
          <w:lang w:eastAsia="nl-NL"/>
        </w:rPr>
      </w:pPr>
      <w:r>
        <w:rPr>
          <w:rFonts w:ascii="Calibri" w:hAnsi="Calibri" w:cs="Arial"/>
          <w:b/>
          <w:lang w:eastAsia="nl-NL"/>
        </w:rPr>
        <w:t>69.</w:t>
      </w:r>
      <w:r w:rsidR="00812118">
        <w:rPr>
          <w:rFonts w:ascii="Calibri" w:hAnsi="Calibri" w:cs="Arial"/>
          <w:lang w:eastAsia="nl-NL"/>
        </w:rPr>
        <w:t>De gerechtsdeurwaarders</w:t>
      </w:r>
      <w:r w:rsidR="00E83B67">
        <w:rPr>
          <w:rFonts w:ascii="Calibri" w:hAnsi="Calibri" w:cs="Arial"/>
          <w:lang w:eastAsia="nl-NL"/>
        </w:rPr>
        <w:t xml:space="preserve"> zijn</w:t>
      </w:r>
      <w:r w:rsidR="00812118">
        <w:rPr>
          <w:rFonts w:ascii="Calibri" w:hAnsi="Calibri" w:cs="Arial"/>
          <w:lang w:eastAsia="nl-NL"/>
        </w:rPr>
        <w:t xml:space="preserve"> kritisch tot zeer kritisch ten opzichte van </w:t>
      </w:r>
      <w:r w:rsidR="0034269C">
        <w:rPr>
          <w:rFonts w:ascii="Calibri" w:hAnsi="Calibri" w:cs="Arial"/>
          <w:lang w:eastAsia="nl-NL"/>
        </w:rPr>
        <w:t>hun nieuwe statuut</w:t>
      </w:r>
      <w:r w:rsidR="002642C8">
        <w:rPr>
          <w:rFonts w:ascii="Calibri" w:hAnsi="Calibri" w:cs="Arial"/>
          <w:lang w:eastAsia="nl-NL"/>
        </w:rPr>
        <w:t>. Dat blijkt reeds</w:t>
      </w:r>
      <w:r w:rsidR="00812118">
        <w:rPr>
          <w:rFonts w:ascii="Calibri" w:hAnsi="Calibri" w:cs="Arial"/>
          <w:lang w:eastAsia="nl-NL"/>
        </w:rPr>
        <w:t xml:space="preserve"> uit de eerste</w:t>
      </w:r>
      <w:r w:rsidR="000F047A">
        <w:rPr>
          <w:rFonts w:ascii="Calibri" w:hAnsi="Calibri" w:cs="Arial"/>
          <w:lang w:eastAsia="nl-NL"/>
        </w:rPr>
        <w:t xml:space="preserve"> concrete</w:t>
      </w:r>
      <w:r w:rsidR="00812118">
        <w:rPr>
          <w:rFonts w:ascii="Calibri" w:hAnsi="Calibri" w:cs="Arial"/>
          <w:lang w:eastAsia="nl-NL"/>
        </w:rPr>
        <w:t xml:space="preserve"> vraag</w:t>
      </w:r>
      <w:r w:rsidR="000F047A">
        <w:rPr>
          <w:rFonts w:ascii="Calibri" w:hAnsi="Calibri" w:cs="Arial"/>
          <w:lang w:eastAsia="nl-NL"/>
        </w:rPr>
        <w:t xml:space="preserve"> omtrent </w:t>
      </w:r>
      <w:r w:rsidR="002B4C28">
        <w:rPr>
          <w:rFonts w:ascii="Calibri" w:hAnsi="Calibri" w:cs="Arial"/>
          <w:lang w:eastAsia="nl-NL"/>
        </w:rPr>
        <w:t>de hervorming</w:t>
      </w:r>
      <w:r w:rsidR="00812118">
        <w:rPr>
          <w:rFonts w:ascii="Calibri" w:hAnsi="Calibri" w:cs="Arial"/>
          <w:lang w:eastAsia="nl-NL"/>
        </w:rPr>
        <w:t>, waarin hen</w:t>
      </w:r>
      <w:r w:rsidR="000F047A">
        <w:rPr>
          <w:rFonts w:ascii="Calibri" w:hAnsi="Calibri" w:cs="Arial"/>
          <w:lang w:eastAsia="nl-NL"/>
        </w:rPr>
        <w:t xml:space="preserve"> werd voorgelegd of</w:t>
      </w:r>
      <w:r w:rsidR="003638CC">
        <w:rPr>
          <w:rFonts w:ascii="Calibri" w:hAnsi="Calibri" w:cs="Arial"/>
          <w:lang w:eastAsia="nl-NL"/>
        </w:rPr>
        <w:t xml:space="preserve"> zij</w:t>
      </w:r>
      <w:r w:rsidR="000F047A">
        <w:rPr>
          <w:rFonts w:ascii="Calibri" w:hAnsi="Calibri" w:cs="Arial"/>
          <w:lang w:eastAsia="nl-NL"/>
        </w:rPr>
        <w:t xml:space="preserve"> </w:t>
      </w:r>
      <w:r w:rsidR="002B4C28">
        <w:rPr>
          <w:rFonts w:ascii="Calibri" w:hAnsi="Calibri" w:cs="Arial"/>
          <w:lang w:eastAsia="nl-NL"/>
        </w:rPr>
        <w:t xml:space="preserve">het vooropgestelde doel </w:t>
      </w:r>
      <w:r w:rsidR="003638CC">
        <w:rPr>
          <w:rFonts w:ascii="Calibri" w:hAnsi="Calibri" w:cs="Arial"/>
          <w:lang w:eastAsia="nl-NL"/>
        </w:rPr>
        <w:t xml:space="preserve">bereikt </w:t>
      </w:r>
      <w:r w:rsidR="002B4C28">
        <w:rPr>
          <w:rFonts w:ascii="Calibri" w:hAnsi="Calibri" w:cs="Arial"/>
          <w:lang w:eastAsia="nl-NL"/>
        </w:rPr>
        <w:t>acht</w:t>
      </w:r>
      <w:r w:rsidR="003638CC">
        <w:rPr>
          <w:rFonts w:ascii="Calibri" w:hAnsi="Calibri" w:cs="Arial"/>
          <w:lang w:eastAsia="nl-NL"/>
        </w:rPr>
        <w:t xml:space="preserve">en. Dat is geenszins het geval: meer dan drie kwart van de respondenten meent dat het opzet niet bereikt is en bijna de helft verwacht ook niet meer dat dat ooit </w:t>
      </w:r>
      <w:r w:rsidR="000F2A01">
        <w:rPr>
          <w:rFonts w:ascii="Calibri" w:hAnsi="Calibri" w:cs="Arial"/>
          <w:lang w:eastAsia="nl-NL"/>
        </w:rPr>
        <w:t xml:space="preserve">nog </w:t>
      </w:r>
      <w:r w:rsidR="003638CC">
        <w:rPr>
          <w:rFonts w:ascii="Calibri" w:hAnsi="Calibri" w:cs="Arial"/>
          <w:lang w:eastAsia="nl-NL"/>
        </w:rPr>
        <w:t>zal gebeuren. Slechts 24% gaat akkoord met de stelling.</w:t>
      </w:r>
    </w:p>
    <w:p w14:paraId="328178A3" w14:textId="5494254C" w:rsidR="00763005" w:rsidRDefault="00645505" w:rsidP="00F7500C">
      <w:pPr>
        <w:spacing w:line="276" w:lineRule="auto"/>
        <w:jc w:val="both"/>
        <w:rPr>
          <w:rFonts w:ascii="Calibri" w:hAnsi="Calibri" w:cs="Arial"/>
          <w:lang w:eastAsia="nl-NL"/>
        </w:rPr>
      </w:pPr>
      <w:r>
        <w:rPr>
          <w:rFonts w:ascii="Calibri" w:hAnsi="Calibri" w:cs="Arial"/>
          <w:lang w:eastAsia="nl-NL"/>
        </w:rPr>
        <w:t xml:space="preserve">Desalniettemin </w:t>
      </w:r>
      <w:r w:rsidR="00763005">
        <w:rPr>
          <w:rFonts w:ascii="Calibri" w:hAnsi="Calibri" w:cs="Arial"/>
          <w:lang w:eastAsia="nl-NL"/>
        </w:rPr>
        <w:t>is het merendeel van de gerechtsdeurwaarders wel van mening dat een hervorming nodig was. Eén gerechtsdeurwaarder gaat absoluut niet akkoord met deze stelling en beargumenteert dat zijn confraters geen vragende partij waren voor de hervorming. Dit kan echter sterk betwijfeld worden gezien de resultaten van de peiling.</w:t>
      </w:r>
    </w:p>
    <w:p w14:paraId="4C91431D" w14:textId="77777777" w:rsidR="00F10BA4" w:rsidRDefault="00F10BA4" w:rsidP="00F7500C">
      <w:pPr>
        <w:spacing w:line="276" w:lineRule="auto"/>
        <w:jc w:val="both"/>
        <w:rPr>
          <w:rFonts w:ascii="Calibri" w:hAnsi="Calibri" w:cs="Arial"/>
          <w:lang w:eastAsia="nl-NL"/>
        </w:rPr>
      </w:pPr>
    </w:p>
    <w:p w14:paraId="606689C8" w14:textId="3A765D0B" w:rsidR="00A6153C" w:rsidRDefault="00AB3763" w:rsidP="00F7500C">
      <w:pPr>
        <w:spacing w:line="276" w:lineRule="auto"/>
        <w:jc w:val="both"/>
        <w:rPr>
          <w:rFonts w:ascii="Calibri" w:hAnsi="Calibri" w:cs="Arial"/>
          <w:lang w:val="nl-BE"/>
        </w:rPr>
      </w:pPr>
      <w:r>
        <w:rPr>
          <w:rFonts w:ascii="Calibri" w:hAnsi="Calibri" w:cs="Arial"/>
          <w:b/>
          <w:lang w:val="nl-BE"/>
        </w:rPr>
        <w:t>70.</w:t>
      </w:r>
      <w:r w:rsidR="001B44A2">
        <w:rPr>
          <w:rFonts w:ascii="Calibri" w:hAnsi="Calibri" w:cs="Arial"/>
          <w:lang w:val="nl-BE"/>
        </w:rPr>
        <w:t>Het voorgaande doet vermoeden dat de situatie niet al te best was binnen het gerechtsdeurwaarderskorps. Als een hervorming zo broodnodi</w:t>
      </w:r>
      <w:r w:rsidR="008E2369">
        <w:rPr>
          <w:rFonts w:ascii="Calibri" w:hAnsi="Calibri" w:cs="Arial"/>
          <w:lang w:val="nl-BE"/>
        </w:rPr>
        <w:t>g was, functioneerde het korps</w:t>
      </w:r>
      <w:r w:rsidR="001B44A2">
        <w:rPr>
          <w:rFonts w:ascii="Calibri" w:hAnsi="Calibri" w:cs="Arial"/>
          <w:lang w:val="nl-BE"/>
        </w:rPr>
        <w:t xml:space="preserve"> dan wel deugdelijk? Kon een goede werking wel gegarandeerd worden? </w:t>
      </w:r>
      <w:r w:rsidR="004C2730">
        <w:rPr>
          <w:rFonts w:ascii="Calibri" w:hAnsi="Calibri" w:cs="Arial"/>
          <w:lang w:val="nl-BE"/>
        </w:rPr>
        <w:br/>
      </w:r>
      <w:r w:rsidR="001B44A2">
        <w:rPr>
          <w:rFonts w:ascii="Calibri" w:hAnsi="Calibri" w:cs="Arial"/>
          <w:lang w:val="nl-BE"/>
        </w:rPr>
        <w:t>Hier zijn de gerechtsdeurwaarders voorzichtiger</w:t>
      </w:r>
      <w:r w:rsidR="004C2730">
        <w:rPr>
          <w:rFonts w:ascii="Calibri" w:hAnsi="Calibri" w:cs="Arial"/>
          <w:lang w:val="nl-BE"/>
        </w:rPr>
        <w:t xml:space="preserve"> en ook verdeelder. 1/3 neemt een neutrale positie in, </w:t>
      </w:r>
      <w:r w:rsidR="000E2B6F" w:rsidRPr="00730F3C">
        <w:rPr>
          <w:rFonts w:ascii="Calibri" w:hAnsi="Calibri" w:cs="Arial"/>
          <w:lang w:val="nl-BE"/>
        </w:rPr>
        <w:t>de gematigde keuzemogelijkheden (</w:t>
      </w:r>
      <w:r w:rsidR="003F0391" w:rsidRPr="00730F3C">
        <w:rPr>
          <w:rFonts w:ascii="Calibri" w:hAnsi="Calibri" w:cs="Arial"/>
          <w:lang w:val="nl-BE"/>
        </w:rPr>
        <w:t>oranje en geel</w:t>
      </w:r>
      <w:r w:rsidR="000E2B6F" w:rsidRPr="00730F3C">
        <w:rPr>
          <w:rFonts w:ascii="Calibri" w:hAnsi="Calibri" w:cs="Arial"/>
          <w:lang w:val="nl-BE"/>
        </w:rPr>
        <w:t>)</w:t>
      </w:r>
      <w:r w:rsidR="000E2B6F" w:rsidRPr="00D41F85">
        <w:rPr>
          <w:rFonts w:ascii="Calibri" w:hAnsi="Calibri" w:cs="Arial"/>
          <w:b/>
          <w:lang w:val="nl-BE"/>
        </w:rPr>
        <w:t xml:space="preserve"> </w:t>
      </w:r>
      <w:r w:rsidR="000E2B6F">
        <w:rPr>
          <w:rFonts w:ascii="Calibri" w:hAnsi="Calibri" w:cs="Arial"/>
          <w:lang w:val="nl-BE"/>
        </w:rPr>
        <w:t xml:space="preserve">snoepen het merendeel van de overige stemmen af met elk 26%. </w:t>
      </w:r>
      <w:r w:rsidR="0074627D">
        <w:rPr>
          <w:rFonts w:ascii="Calibri" w:hAnsi="Calibri" w:cs="Arial"/>
          <w:lang w:val="nl-BE"/>
        </w:rPr>
        <w:t>Betreffende de urgentie kan dus geconcludeerd worden dat een hervorming</w:t>
      </w:r>
      <w:r w:rsidR="000E2B6F">
        <w:rPr>
          <w:rFonts w:ascii="Calibri" w:hAnsi="Calibri" w:cs="Arial"/>
          <w:lang w:val="nl-BE"/>
        </w:rPr>
        <w:t xml:space="preserve"> wel</w:t>
      </w:r>
      <w:r w:rsidR="0074627D">
        <w:rPr>
          <w:rFonts w:ascii="Calibri" w:hAnsi="Calibri" w:cs="Arial"/>
          <w:lang w:val="nl-BE"/>
        </w:rPr>
        <w:t xml:space="preserve"> degelijk</w:t>
      </w:r>
      <w:r w:rsidR="000E2B6F">
        <w:rPr>
          <w:rFonts w:ascii="Calibri" w:hAnsi="Calibri" w:cs="Arial"/>
          <w:lang w:val="nl-BE"/>
        </w:rPr>
        <w:t xml:space="preserve"> nodig</w:t>
      </w:r>
      <w:r w:rsidR="0074627D">
        <w:rPr>
          <w:rFonts w:ascii="Calibri" w:hAnsi="Calibri" w:cs="Arial"/>
          <w:lang w:val="nl-BE"/>
        </w:rPr>
        <w:t xml:space="preserve"> was</w:t>
      </w:r>
      <w:r w:rsidR="000E2B6F">
        <w:rPr>
          <w:rFonts w:ascii="Calibri" w:hAnsi="Calibri" w:cs="Arial"/>
          <w:lang w:val="nl-BE"/>
        </w:rPr>
        <w:t>, maar niet echt in die mate dat de deugdelijke dienstverlening in het gedrang</w:t>
      </w:r>
      <w:r w:rsidR="0074627D">
        <w:rPr>
          <w:rFonts w:ascii="Calibri" w:hAnsi="Calibri" w:cs="Arial"/>
          <w:lang w:val="nl-BE"/>
        </w:rPr>
        <w:t xml:space="preserve"> zou gekomen zijn. </w:t>
      </w:r>
    </w:p>
    <w:p w14:paraId="1312C5CB" w14:textId="77777777" w:rsidR="00675E98" w:rsidRDefault="00675E98" w:rsidP="00F7500C">
      <w:pPr>
        <w:spacing w:line="276" w:lineRule="auto"/>
        <w:jc w:val="both"/>
        <w:rPr>
          <w:rFonts w:ascii="Calibri" w:hAnsi="Calibri" w:cs="Arial"/>
          <w:lang w:val="nl-BE"/>
        </w:rPr>
      </w:pPr>
    </w:p>
    <w:p w14:paraId="799FC68E" w14:textId="0D8625D5" w:rsidR="0060556A" w:rsidRDefault="00AB3763" w:rsidP="00F7500C">
      <w:pPr>
        <w:spacing w:line="276" w:lineRule="auto"/>
        <w:jc w:val="both"/>
        <w:rPr>
          <w:rFonts w:ascii="Calibri" w:hAnsi="Calibri" w:cs="Arial"/>
          <w:lang w:val="nl-BE"/>
        </w:rPr>
      </w:pPr>
      <w:r>
        <w:rPr>
          <w:rFonts w:ascii="Calibri" w:hAnsi="Calibri" w:cs="Arial"/>
          <w:b/>
          <w:lang w:val="nl-BE"/>
        </w:rPr>
        <w:t>71.</w:t>
      </w:r>
      <w:r w:rsidR="000130D6">
        <w:rPr>
          <w:rFonts w:ascii="Calibri" w:hAnsi="Calibri" w:cs="Arial"/>
          <w:lang w:val="nl-BE"/>
        </w:rPr>
        <w:t>Niettegenstaande dat slechts 11% niet of niet echt begrijpt waarom die opdeling is gemaakt, bestaan er o</w:t>
      </w:r>
      <w:r w:rsidR="0074627D">
        <w:rPr>
          <w:rFonts w:ascii="Calibri" w:hAnsi="Calibri" w:cs="Arial"/>
          <w:lang w:val="nl-BE"/>
        </w:rPr>
        <w:t>mtrent de vier pijlers</w:t>
      </w:r>
      <w:r w:rsidR="00026923">
        <w:rPr>
          <w:rStyle w:val="Voetnootmarkering"/>
          <w:rFonts w:ascii="Calibri" w:hAnsi="Calibri" w:cs="Arial"/>
          <w:lang w:val="nl-BE"/>
        </w:rPr>
        <w:footnoteReference w:id="179"/>
      </w:r>
      <w:r w:rsidR="0074627D">
        <w:rPr>
          <w:rFonts w:ascii="Calibri" w:hAnsi="Calibri" w:cs="Arial"/>
          <w:lang w:val="nl-BE"/>
        </w:rPr>
        <w:t xml:space="preserve"> waarop de hervorming is gefundeerd ook duidelijk uiteenlopende meningen. Een kleine meerderheid</w:t>
      </w:r>
      <w:r w:rsidR="008E2CB8">
        <w:rPr>
          <w:rFonts w:ascii="Calibri" w:hAnsi="Calibri" w:cs="Arial"/>
          <w:lang w:val="nl-BE"/>
        </w:rPr>
        <w:t xml:space="preserve"> van</w:t>
      </w:r>
      <w:r w:rsidR="0074627D">
        <w:rPr>
          <w:rFonts w:ascii="Calibri" w:hAnsi="Calibri" w:cs="Arial"/>
          <w:lang w:val="nl-BE"/>
        </w:rPr>
        <w:t xml:space="preserve"> 36% is van oordeel dat de benoemingsprocedure het meest aan vernieuwing toe was, </w:t>
      </w:r>
      <w:r w:rsidR="00DC20A7">
        <w:rPr>
          <w:rFonts w:ascii="Calibri" w:hAnsi="Calibri" w:cs="Arial"/>
          <w:lang w:val="nl-BE"/>
        </w:rPr>
        <w:t xml:space="preserve">op de voet gevolgd door de opwaardering van het kandidatenstatuut (24%), de continuïteitsgarantie (21%) en het vernieuwde tuchtrecht (19%). </w:t>
      </w:r>
      <w:r w:rsidR="000D7EA0">
        <w:rPr>
          <w:rFonts w:ascii="Calibri" w:hAnsi="Calibri" w:cs="Arial"/>
          <w:lang w:val="nl-BE"/>
        </w:rPr>
        <w:t xml:space="preserve">Dit betekent echter niet dat de gerechtsdeurwaarders van mening zijn dat de tucht het minst aan vernieuwing toe was: </w:t>
      </w:r>
      <w:r w:rsidR="009216B7">
        <w:rPr>
          <w:rFonts w:ascii="Calibri" w:hAnsi="Calibri" w:cs="Arial"/>
          <w:lang w:val="nl-BE"/>
        </w:rPr>
        <w:t>die ‘eer’ gaat met een iets ruimere meerderheid naar de continuïteitsgarantie met 39% van de stemmen</w:t>
      </w:r>
      <w:r w:rsidR="00020098">
        <w:rPr>
          <w:rFonts w:ascii="Calibri" w:hAnsi="Calibri" w:cs="Arial"/>
          <w:lang w:val="nl-BE"/>
        </w:rPr>
        <w:t>. Tucht staat hier slechts op een nipte derde plaats met 22%, 15% vond de benoemingsprocedure best in orde. Opvallend hierbij is dat net geen 1 op 4 gerechtsdeurwaarder oorde</w:t>
      </w:r>
      <w:r w:rsidR="008E2CB8">
        <w:rPr>
          <w:rFonts w:ascii="Calibri" w:hAnsi="Calibri" w:cs="Arial"/>
          <w:lang w:val="nl-BE"/>
        </w:rPr>
        <w:t>elt</w:t>
      </w:r>
      <w:r w:rsidR="00020098">
        <w:rPr>
          <w:rFonts w:ascii="Calibri" w:hAnsi="Calibri" w:cs="Arial"/>
          <w:lang w:val="nl-BE"/>
        </w:rPr>
        <w:t xml:space="preserve"> dat het kandidatenstatuut het minst aan vernieuwing toe was, rekening houde</w:t>
      </w:r>
      <w:r w:rsidR="00C51914">
        <w:rPr>
          <w:rFonts w:ascii="Calibri" w:hAnsi="Calibri" w:cs="Arial"/>
          <w:lang w:val="nl-BE"/>
        </w:rPr>
        <w:t>nde met het feit dat net geen 39</w:t>
      </w:r>
      <w:r w:rsidR="00020098">
        <w:rPr>
          <w:rFonts w:ascii="Calibri" w:hAnsi="Calibri" w:cs="Arial"/>
          <w:lang w:val="nl-BE"/>
        </w:rPr>
        <w:t xml:space="preserve">% van alle respondenten het statuut van kandidaat </w:t>
      </w:r>
      <w:r w:rsidR="008E2CB8">
        <w:rPr>
          <w:rFonts w:ascii="Calibri" w:hAnsi="Calibri" w:cs="Arial"/>
          <w:lang w:val="nl-BE"/>
        </w:rPr>
        <w:t>bezi</w:t>
      </w:r>
      <w:r w:rsidR="00020098">
        <w:rPr>
          <w:rFonts w:ascii="Calibri" w:hAnsi="Calibri" w:cs="Arial"/>
          <w:lang w:val="nl-BE"/>
        </w:rPr>
        <w:t xml:space="preserve">t. </w:t>
      </w:r>
      <w:r w:rsidR="00CE6018">
        <w:rPr>
          <w:rFonts w:ascii="Calibri" w:hAnsi="Calibri" w:cs="Arial"/>
          <w:lang w:val="nl-BE"/>
        </w:rPr>
        <w:t xml:space="preserve">Het is dan ook niet verwonderlijk </w:t>
      </w:r>
      <w:r w:rsidR="0099691E">
        <w:rPr>
          <w:rFonts w:ascii="Calibri" w:hAnsi="Calibri" w:cs="Arial"/>
          <w:lang w:val="nl-BE"/>
        </w:rPr>
        <w:t>dat slechts één</w:t>
      </w:r>
      <w:r w:rsidR="00CE6018">
        <w:rPr>
          <w:rFonts w:ascii="Calibri" w:hAnsi="Calibri" w:cs="Arial"/>
          <w:lang w:val="nl-BE"/>
        </w:rPr>
        <w:t xml:space="preserve"> stem van de</w:t>
      </w:r>
      <w:r w:rsidR="0099691E">
        <w:rPr>
          <w:rFonts w:ascii="Calibri" w:hAnsi="Calibri" w:cs="Arial"/>
          <w:lang w:val="nl-BE"/>
        </w:rPr>
        <w:t xml:space="preserve"> elf</w:t>
      </w:r>
      <w:r w:rsidR="00CE6018">
        <w:rPr>
          <w:rFonts w:ascii="Calibri" w:hAnsi="Calibri" w:cs="Arial"/>
          <w:lang w:val="nl-BE"/>
        </w:rPr>
        <w:t xml:space="preserve"> hiervoor afkomstig is van een kandidaat-gerechtsdeurwaarder</w:t>
      </w:r>
      <w:r w:rsidR="0060556A">
        <w:rPr>
          <w:rFonts w:ascii="Calibri" w:hAnsi="Calibri" w:cs="Arial"/>
          <w:lang w:val="nl-BE"/>
        </w:rPr>
        <w:t>.</w:t>
      </w:r>
    </w:p>
    <w:p w14:paraId="36156917" w14:textId="0A8E62DF" w:rsidR="0060556A" w:rsidRPr="0060556A" w:rsidRDefault="0060556A" w:rsidP="00F7500C">
      <w:pPr>
        <w:jc w:val="both"/>
        <w:rPr>
          <w:rFonts w:ascii="Calibri" w:hAnsi="Calibri" w:cs="Arial"/>
          <w:lang w:val="nl-BE"/>
        </w:rPr>
      </w:pPr>
      <w:r>
        <w:rPr>
          <w:rFonts w:ascii="Calibri" w:hAnsi="Calibri" w:cs="Arial"/>
          <w:lang w:val="nl-BE"/>
        </w:rPr>
        <w:br w:type="page"/>
      </w:r>
    </w:p>
    <w:p w14:paraId="313C643C" w14:textId="3A42D08D" w:rsidR="00675E98" w:rsidRDefault="000716AB" w:rsidP="002532B7">
      <w:pPr>
        <w:pStyle w:val="Kop2"/>
        <w:spacing w:line="276" w:lineRule="auto"/>
        <w:rPr>
          <w:lang w:val="nl-BE"/>
        </w:rPr>
      </w:pPr>
      <w:bookmarkStart w:id="31" w:name="_Toc40689969"/>
      <w:r>
        <w:rPr>
          <w:lang w:val="nl-BE"/>
        </w:rPr>
        <w:lastRenderedPageBreak/>
        <w:t xml:space="preserve">Hoofdstuk </w:t>
      </w:r>
      <w:r w:rsidR="00E21349">
        <w:rPr>
          <w:lang w:val="nl-BE"/>
        </w:rPr>
        <w:t>3</w:t>
      </w:r>
      <w:r>
        <w:rPr>
          <w:lang w:val="nl-BE"/>
        </w:rPr>
        <w:t xml:space="preserve">: </w:t>
      </w:r>
      <w:r w:rsidR="0085697A" w:rsidRPr="00D9172E">
        <w:rPr>
          <w:lang w:val="nl-BE"/>
        </w:rPr>
        <w:t>Modernisering en objectivering van de benoemingsprocedure</w:t>
      </w:r>
      <w:bookmarkEnd w:id="31"/>
    </w:p>
    <w:p w14:paraId="035CFCD5" w14:textId="77777777" w:rsidR="0085697A" w:rsidRPr="0085697A" w:rsidRDefault="0085697A" w:rsidP="002532B7">
      <w:pPr>
        <w:spacing w:line="276" w:lineRule="auto"/>
        <w:rPr>
          <w:lang w:val="nl-BE"/>
        </w:rPr>
      </w:pPr>
    </w:p>
    <w:p w14:paraId="74DE0DBD" w14:textId="6A70F6AA" w:rsidR="00675E98" w:rsidRDefault="00AB3763" w:rsidP="00C75526">
      <w:pPr>
        <w:spacing w:line="276" w:lineRule="auto"/>
        <w:jc w:val="both"/>
        <w:rPr>
          <w:rFonts w:ascii="Calibri" w:hAnsi="Calibri" w:cs="Arial"/>
          <w:lang w:val="nl-BE"/>
        </w:rPr>
      </w:pPr>
      <w:r>
        <w:rPr>
          <w:rFonts w:ascii="Calibri" w:hAnsi="Calibri" w:cs="Arial"/>
          <w:b/>
          <w:lang w:val="nl-BE"/>
        </w:rPr>
        <w:t>72.</w:t>
      </w:r>
      <w:r w:rsidR="00B17E5D">
        <w:rPr>
          <w:rFonts w:ascii="Calibri" w:hAnsi="Calibri" w:cs="Arial"/>
          <w:lang w:val="nl-BE"/>
        </w:rPr>
        <w:t xml:space="preserve">De respondenten gaven het al aan bij de algemene vragen en ook uit de </w:t>
      </w:r>
      <w:r w:rsidR="00AC07ED">
        <w:rPr>
          <w:rFonts w:ascii="Calibri" w:hAnsi="Calibri" w:cs="Arial"/>
          <w:lang w:val="nl-BE"/>
        </w:rPr>
        <w:t>voorgaan</w:t>
      </w:r>
      <w:r w:rsidR="00F10BA4">
        <w:rPr>
          <w:rFonts w:ascii="Calibri" w:hAnsi="Calibri" w:cs="Arial"/>
          <w:lang w:val="nl-BE"/>
        </w:rPr>
        <w:t xml:space="preserve">de </w:t>
      </w:r>
      <w:r w:rsidR="00B17E5D">
        <w:rPr>
          <w:rFonts w:ascii="Calibri" w:hAnsi="Calibri" w:cs="Arial"/>
          <w:lang w:val="nl-BE"/>
        </w:rPr>
        <w:t>literatuurstudie</w:t>
      </w:r>
      <w:r w:rsidR="00026923">
        <w:rPr>
          <w:rStyle w:val="Voetnootmarkering"/>
          <w:rFonts w:ascii="Calibri" w:hAnsi="Calibri" w:cs="Arial"/>
          <w:lang w:val="nl-BE"/>
        </w:rPr>
        <w:footnoteReference w:id="180"/>
      </w:r>
      <w:r w:rsidR="003B68D4">
        <w:rPr>
          <w:rFonts w:ascii="Calibri" w:hAnsi="Calibri" w:cs="Arial"/>
          <w:lang w:val="nl-BE"/>
        </w:rPr>
        <w:t xml:space="preserve"> is gebleken </w:t>
      </w:r>
      <w:r w:rsidR="00B17E5D">
        <w:rPr>
          <w:rFonts w:ascii="Calibri" w:hAnsi="Calibri" w:cs="Arial"/>
          <w:lang w:val="nl-BE"/>
        </w:rPr>
        <w:t>dat de benoemingsprocedure het grootste pi</w:t>
      </w:r>
      <w:r w:rsidR="00C578A1">
        <w:rPr>
          <w:rFonts w:ascii="Calibri" w:hAnsi="Calibri" w:cs="Arial"/>
          <w:lang w:val="nl-BE"/>
        </w:rPr>
        <w:t>jnpunt was van het oude procedé</w:t>
      </w:r>
      <w:r w:rsidR="00B17E5D">
        <w:rPr>
          <w:rFonts w:ascii="Calibri" w:hAnsi="Calibri" w:cs="Arial"/>
          <w:lang w:val="nl-BE"/>
        </w:rPr>
        <w:t xml:space="preserve">. 1 gerechtsdeurwaarder op 3 is er rotsvast van overtuigd dat er oneerlijke of willekeurige benoemingen </w:t>
      </w:r>
      <w:r w:rsidR="005E23F2">
        <w:rPr>
          <w:rFonts w:ascii="Calibri" w:hAnsi="Calibri" w:cs="Arial"/>
          <w:lang w:val="nl-BE"/>
        </w:rPr>
        <w:t>gebeurd</w:t>
      </w:r>
      <w:r w:rsidR="00F10BA4">
        <w:rPr>
          <w:rFonts w:ascii="Calibri" w:hAnsi="Calibri" w:cs="Arial"/>
          <w:lang w:val="nl-BE"/>
        </w:rPr>
        <w:t>e</w:t>
      </w:r>
      <w:r w:rsidR="00AC07ED">
        <w:rPr>
          <w:rFonts w:ascii="Calibri" w:hAnsi="Calibri" w:cs="Arial"/>
          <w:lang w:val="nl-BE"/>
        </w:rPr>
        <w:t>n</w:t>
      </w:r>
      <w:r w:rsidR="00F10BA4">
        <w:rPr>
          <w:rFonts w:ascii="Calibri" w:hAnsi="Calibri" w:cs="Arial"/>
          <w:lang w:val="nl-BE"/>
        </w:rPr>
        <w:t xml:space="preserve">. </w:t>
      </w:r>
      <w:r w:rsidR="00F10BA4" w:rsidRPr="00730F3C">
        <w:rPr>
          <w:rFonts w:ascii="Calibri" w:hAnsi="Calibri" w:cs="Arial"/>
          <w:lang w:val="nl-BE"/>
        </w:rPr>
        <w:t xml:space="preserve">28% is iets voorzichtiger en </w:t>
      </w:r>
      <w:r w:rsidR="003F0391" w:rsidRPr="00730F3C">
        <w:rPr>
          <w:rFonts w:ascii="Calibri" w:hAnsi="Calibri" w:cs="Arial"/>
          <w:lang w:val="nl-BE"/>
        </w:rPr>
        <w:t xml:space="preserve">kleurt geel, </w:t>
      </w:r>
      <w:r w:rsidR="00F10BA4" w:rsidRPr="00730F3C">
        <w:rPr>
          <w:rFonts w:ascii="Calibri" w:hAnsi="Calibri" w:cs="Arial"/>
          <w:lang w:val="nl-BE"/>
        </w:rPr>
        <w:t>wat het totaal van de stemmen</w:t>
      </w:r>
      <w:r w:rsidR="003F0391" w:rsidRPr="00730F3C">
        <w:rPr>
          <w:rFonts w:ascii="Calibri" w:hAnsi="Calibri" w:cs="Arial"/>
          <w:lang w:val="nl-BE"/>
        </w:rPr>
        <w:t xml:space="preserve"> ‘akkoord’</w:t>
      </w:r>
      <w:r w:rsidR="00F10BA4" w:rsidRPr="00730F3C">
        <w:rPr>
          <w:rFonts w:ascii="Calibri" w:hAnsi="Calibri" w:cs="Arial"/>
          <w:lang w:val="nl-BE"/>
        </w:rPr>
        <w:t xml:space="preserve"> op 61% brengt</w:t>
      </w:r>
      <w:r w:rsidR="00F10BA4">
        <w:rPr>
          <w:rFonts w:ascii="Calibri" w:hAnsi="Calibri" w:cs="Arial"/>
          <w:lang w:val="nl-BE"/>
        </w:rPr>
        <w:t xml:space="preserve">. </w:t>
      </w:r>
      <w:r w:rsidR="009065EF">
        <w:rPr>
          <w:rFonts w:ascii="Calibri" w:hAnsi="Calibri" w:cs="Arial"/>
          <w:lang w:val="nl-BE"/>
        </w:rPr>
        <w:t>Ongeveer evenveel respondenten beweren</w:t>
      </w:r>
      <w:r w:rsidR="00E463BF">
        <w:rPr>
          <w:rFonts w:ascii="Calibri" w:hAnsi="Calibri" w:cs="Arial"/>
          <w:lang w:val="nl-BE"/>
        </w:rPr>
        <w:t xml:space="preserve"> dat minder geschikte kandidaten soms benoemd werden louter op grond van hun anciënniteit. </w:t>
      </w:r>
      <w:r w:rsidR="003F0391">
        <w:rPr>
          <w:rFonts w:ascii="Calibri" w:hAnsi="Calibri" w:cs="Arial"/>
          <w:lang w:val="nl-BE"/>
        </w:rPr>
        <w:t>Eveneens</w:t>
      </w:r>
      <w:r w:rsidR="00F10BA4">
        <w:rPr>
          <w:rFonts w:ascii="Calibri" w:hAnsi="Calibri" w:cs="Arial"/>
          <w:lang w:val="nl-BE"/>
        </w:rPr>
        <w:t xml:space="preserve"> de transparantie van de procedure blijkt problematisch te zijn geweest,</w:t>
      </w:r>
      <w:r w:rsidR="00E463BF">
        <w:rPr>
          <w:rFonts w:ascii="Calibri" w:hAnsi="Calibri" w:cs="Arial"/>
          <w:lang w:val="nl-BE"/>
        </w:rPr>
        <w:t xml:space="preserve"> aangezien</w:t>
      </w:r>
      <w:r w:rsidR="00F10BA4">
        <w:rPr>
          <w:rFonts w:ascii="Calibri" w:hAnsi="Calibri" w:cs="Arial"/>
          <w:lang w:val="nl-BE"/>
        </w:rPr>
        <w:t xml:space="preserve"> meer dan de helft (54%) van de gerechtsdeurwaarders aangeeft dat de feiten waarop b</w:t>
      </w:r>
      <w:r w:rsidR="00983135">
        <w:rPr>
          <w:rFonts w:ascii="Calibri" w:hAnsi="Calibri" w:cs="Arial"/>
          <w:lang w:val="nl-BE"/>
        </w:rPr>
        <w:t>enoemingen gebaseerd werden soms onduidelijk of onbekend waren</w:t>
      </w:r>
      <w:r w:rsidR="00F10BA4">
        <w:rPr>
          <w:rFonts w:ascii="Calibri" w:hAnsi="Calibri" w:cs="Arial"/>
          <w:lang w:val="nl-BE"/>
        </w:rPr>
        <w:t xml:space="preserve">. </w:t>
      </w:r>
      <w:r w:rsidR="00B51B88">
        <w:rPr>
          <w:rFonts w:ascii="Calibri" w:hAnsi="Calibri" w:cs="Arial"/>
          <w:lang w:val="nl-BE"/>
        </w:rPr>
        <w:t>De</w:t>
      </w:r>
      <w:r w:rsidR="004833E5">
        <w:rPr>
          <w:rFonts w:ascii="Calibri" w:hAnsi="Calibri" w:cs="Arial"/>
          <w:lang w:val="nl-BE"/>
        </w:rPr>
        <w:t xml:space="preserve"> </w:t>
      </w:r>
      <w:r w:rsidR="003F0391">
        <w:rPr>
          <w:rFonts w:ascii="Calibri" w:hAnsi="Calibri" w:cs="Arial"/>
          <w:lang w:val="nl-BE"/>
        </w:rPr>
        <w:t>rode en oranje stemmen</w:t>
      </w:r>
      <w:r w:rsidR="004833E5">
        <w:rPr>
          <w:rFonts w:ascii="Calibri" w:hAnsi="Calibri" w:cs="Arial"/>
          <w:lang w:val="nl-BE"/>
        </w:rPr>
        <w:t xml:space="preserve"> </w:t>
      </w:r>
      <w:r w:rsidR="00B51B88">
        <w:rPr>
          <w:rFonts w:ascii="Calibri" w:hAnsi="Calibri" w:cs="Arial"/>
          <w:lang w:val="nl-BE"/>
        </w:rPr>
        <w:t xml:space="preserve">samengeteld </w:t>
      </w:r>
      <w:r w:rsidR="004833E5">
        <w:rPr>
          <w:rFonts w:ascii="Calibri" w:hAnsi="Calibri" w:cs="Arial"/>
          <w:lang w:val="nl-BE"/>
        </w:rPr>
        <w:t>haalde</w:t>
      </w:r>
      <w:r w:rsidR="00B51B88">
        <w:rPr>
          <w:rFonts w:ascii="Calibri" w:hAnsi="Calibri" w:cs="Arial"/>
          <w:lang w:val="nl-BE"/>
        </w:rPr>
        <w:t>n voor</w:t>
      </w:r>
      <w:r w:rsidR="004833E5">
        <w:rPr>
          <w:rFonts w:ascii="Calibri" w:hAnsi="Calibri" w:cs="Arial"/>
          <w:lang w:val="nl-BE"/>
        </w:rPr>
        <w:t xml:space="preserve"> geen enkele van voorgaande stellingen de kaap van 25%. </w:t>
      </w:r>
    </w:p>
    <w:p w14:paraId="6C6E2146" w14:textId="77777777" w:rsidR="004833E5" w:rsidRDefault="004833E5" w:rsidP="002532B7">
      <w:pPr>
        <w:spacing w:line="276" w:lineRule="auto"/>
        <w:rPr>
          <w:rFonts w:ascii="Calibri" w:hAnsi="Calibri" w:cs="Arial"/>
          <w:lang w:val="nl-BE"/>
        </w:rPr>
      </w:pPr>
    </w:p>
    <w:p w14:paraId="2D498CBF" w14:textId="364CDBEE" w:rsidR="002B1CA3" w:rsidRDefault="00AB3763" w:rsidP="00C75526">
      <w:pPr>
        <w:spacing w:line="276" w:lineRule="auto"/>
        <w:jc w:val="both"/>
        <w:rPr>
          <w:rFonts w:ascii="Calibri" w:hAnsi="Calibri" w:cs="Arial"/>
          <w:lang w:val="nl-BE"/>
        </w:rPr>
      </w:pPr>
      <w:r>
        <w:rPr>
          <w:rFonts w:ascii="Calibri" w:hAnsi="Calibri" w:cs="Arial"/>
          <w:b/>
          <w:lang w:val="nl-BE"/>
        </w:rPr>
        <w:t>73.</w:t>
      </w:r>
      <w:r w:rsidR="00695BB9">
        <w:rPr>
          <w:rFonts w:ascii="Calibri" w:hAnsi="Calibri" w:cs="Arial"/>
          <w:lang w:val="nl-BE"/>
        </w:rPr>
        <w:t xml:space="preserve"> Er mag dan wel draagvlak zijn voor het</w:t>
      </w:r>
      <w:r w:rsidR="00E463BF">
        <w:rPr>
          <w:rFonts w:ascii="Calibri" w:hAnsi="Calibri" w:cs="Arial"/>
          <w:lang w:val="nl-BE"/>
        </w:rPr>
        <w:t xml:space="preserve"> opzet en de motivering voor een objectiever benoemings</w:t>
      </w:r>
      <w:r w:rsidR="00D17A3E">
        <w:rPr>
          <w:rFonts w:ascii="Calibri" w:hAnsi="Calibri" w:cs="Arial"/>
          <w:lang w:val="nl-BE"/>
        </w:rPr>
        <w:t>systeem</w:t>
      </w:r>
      <w:r w:rsidR="004833E5">
        <w:rPr>
          <w:rFonts w:ascii="Calibri" w:hAnsi="Calibri" w:cs="Arial"/>
          <w:lang w:val="nl-BE"/>
        </w:rPr>
        <w:t>, de uitvoering</w:t>
      </w:r>
      <w:r w:rsidR="00871295">
        <w:rPr>
          <w:rFonts w:ascii="Calibri" w:hAnsi="Calibri" w:cs="Arial"/>
          <w:lang w:val="nl-BE"/>
        </w:rPr>
        <w:t xml:space="preserve"> ervan</w:t>
      </w:r>
      <w:r w:rsidR="004833E5">
        <w:rPr>
          <w:rFonts w:ascii="Calibri" w:hAnsi="Calibri" w:cs="Arial"/>
          <w:lang w:val="nl-BE"/>
        </w:rPr>
        <w:t xml:space="preserve"> zorgt toch voor een grond van verdeeldheid</w:t>
      </w:r>
      <w:r w:rsidR="00695BB9">
        <w:rPr>
          <w:rFonts w:ascii="Calibri" w:hAnsi="Calibri" w:cs="Arial"/>
          <w:lang w:val="nl-BE"/>
        </w:rPr>
        <w:t>.</w:t>
      </w:r>
      <w:r w:rsidR="004833E5">
        <w:rPr>
          <w:rFonts w:ascii="Calibri" w:hAnsi="Calibri" w:cs="Arial"/>
          <w:lang w:val="nl-BE"/>
        </w:rPr>
        <w:t xml:space="preserve"> </w:t>
      </w:r>
      <w:r w:rsidR="002B1CA3">
        <w:rPr>
          <w:rFonts w:ascii="Calibri" w:hAnsi="Calibri" w:cs="Arial"/>
          <w:lang w:val="nl-BE"/>
        </w:rPr>
        <w:br/>
      </w:r>
      <w:r w:rsidR="00875083">
        <w:rPr>
          <w:rFonts w:ascii="Calibri" w:hAnsi="Calibri" w:cs="Arial"/>
          <w:lang w:val="nl-BE"/>
        </w:rPr>
        <w:t>Uit een opvallende statistiek van de</w:t>
      </w:r>
      <w:r w:rsidR="002B1CA3">
        <w:rPr>
          <w:rFonts w:ascii="Calibri" w:hAnsi="Calibri" w:cs="Arial"/>
          <w:lang w:val="nl-BE"/>
        </w:rPr>
        <w:t xml:space="preserve"> peiling blijkt dat de procedure nog steeds willekeurige besluitvorming met zich</w:t>
      </w:r>
      <w:r w:rsidR="00875083">
        <w:rPr>
          <w:rFonts w:ascii="Calibri" w:hAnsi="Calibri" w:cs="Arial"/>
          <w:lang w:val="nl-BE"/>
        </w:rPr>
        <w:t xml:space="preserve"> </w:t>
      </w:r>
      <w:r w:rsidR="00695BB9">
        <w:rPr>
          <w:rFonts w:ascii="Calibri" w:hAnsi="Calibri" w:cs="Arial"/>
          <w:lang w:val="nl-BE"/>
        </w:rPr>
        <w:t xml:space="preserve">zou </w:t>
      </w:r>
      <w:r w:rsidR="00875083">
        <w:rPr>
          <w:rFonts w:ascii="Calibri" w:hAnsi="Calibri" w:cs="Arial"/>
          <w:lang w:val="nl-BE"/>
        </w:rPr>
        <w:t>meebreng</w:t>
      </w:r>
      <w:r w:rsidR="00695BB9">
        <w:rPr>
          <w:rFonts w:ascii="Calibri" w:hAnsi="Calibri" w:cs="Arial"/>
          <w:lang w:val="nl-BE"/>
        </w:rPr>
        <w:t>en</w:t>
      </w:r>
      <w:r w:rsidR="00875083">
        <w:rPr>
          <w:rFonts w:ascii="Calibri" w:hAnsi="Calibri" w:cs="Arial"/>
          <w:lang w:val="nl-BE"/>
        </w:rPr>
        <w:t xml:space="preserve">: er zijn zowaar meer </w:t>
      </w:r>
      <w:r w:rsidR="00202667">
        <w:rPr>
          <w:rFonts w:ascii="Calibri" w:hAnsi="Calibri" w:cs="Arial"/>
          <w:lang w:val="nl-BE"/>
        </w:rPr>
        <w:t>respondenten</w:t>
      </w:r>
      <w:r w:rsidR="002B1CA3">
        <w:rPr>
          <w:rFonts w:ascii="Calibri" w:hAnsi="Calibri" w:cs="Arial"/>
          <w:lang w:val="nl-BE"/>
        </w:rPr>
        <w:t xml:space="preserve"> </w:t>
      </w:r>
      <w:r w:rsidR="00875083">
        <w:rPr>
          <w:rFonts w:ascii="Calibri" w:hAnsi="Calibri" w:cs="Arial"/>
          <w:lang w:val="nl-BE"/>
        </w:rPr>
        <w:t xml:space="preserve">van oordeel dat er vandaag nog steeds willekeur bestaat, zij het gematigder. </w:t>
      </w:r>
      <w:r w:rsidR="00875083" w:rsidRPr="00730F3C">
        <w:rPr>
          <w:rFonts w:ascii="Calibri" w:hAnsi="Calibri" w:cs="Arial"/>
          <w:lang w:val="nl-BE"/>
        </w:rPr>
        <w:t>39% van de stemmen kleurt geel, tegenover 26% groen</w:t>
      </w:r>
      <w:r w:rsidR="00875083">
        <w:rPr>
          <w:rFonts w:ascii="Calibri" w:hAnsi="Calibri" w:cs="Arial"/>
          <w:lang w:val="nl-BE"/>
        </w:rPr>
        <w:t xml:space="preserve">. Slechts 11% weet zeker </w:t>
      </w:r>
      <w:r w:rsidR="00730F3C">
        <w:rPr>
          <w:rFonts w:ascii="Calibri" w:hAnsi="Calibri" w:cs="Arial"/>
          <w:lang w:val="nl-BE"/>
        </w:rPr>
        <w:t xml:space="preserve">dat dat niet meer het geval is, of is er alleszins van overtuigd. </w:t>
      </w:r>
      <w:r w:rsidR="006C106E">
        <w:rPr>
          <w:rFonts w:ascii="Calibri" w:hAnsi="Calibri" w:cs="Arial"/>
          <w:lang w:val="nl-BE"/>
        </w:rPr>
        <w:t>E</w:t>
      </w:r>
      <w:r w:rsidR="00EA6E2C">
        <w:rPr>
          <w:rFonts w:ascii="Calibri" w:hAnsi="Calibri" w:cs="Arial"/>
          <w:lang w:val="nl-BE"/>
        </w:rPr>
        <w:t>en korte background check van de groene stemmen leert</w:t>
      </w:r>
      <w:r w:rsidR="006C106E">
        <w:rPr>
          <w:rFonts w:ascii="Calibri" w:hAnsi="Calibri" w:cs="Arial"/>
          <w:lang w:val="nl-BE"/>
        </w:rPr>
        <w:t xml:space="preserve"> echter</w:t>
      </w:r>
      <w:r w:rsidR="00EA6E2C">
        <w:rPr>
          <w:rFonts w:ascii="Calibri" w:hAnsi="Calibri" w:cs="Arial"/>
          <w:lang w:val="nl-BE"/>
        </w:rPr>
        <w:t xml:space="preserve"> dat het voornamelijk om kandidaat-gerechtsdeurwaarders gaat die al minstens tien jaar in de wachtrij staan voor hun benoeming tot titularis. Dit</w:t>
      </w:r>
      <w:r w:rsidR="005E47B5">
        <w:rPr>
          <w:rFonts w:ascii="Calibri" w:hAnsi="Calibri" w:cs="Arial"/>
          <w:lang w:val="nl-BE"/>
        </w:rPr>
        <w:t xml:space="preserve"> gegeven kan</w:t>
      </w:r>
      <w:r w:rsidR="00EA6E2C">
        <w:rPr>
          <w:rFonts w:ascii="Calibri" w:hAnsi="Calibri" w:cs="Arial"/>
          <w:lang w:val="nl-BE"/>
        </w:rPr>
        <w:t xml:space="preserve"> natuurlijk de verrassende score </w:t>
      </w:r>
      <w:r w:rsidR="005E47B5">
        <w:rPr>
          <w:rFonts w:ascii="Calibri" w:hAnsi="Calibri" w:cs="Arial"/>
          <w:lang w:val="nl-BE"/>
        </w:rPr>
        <w:t>verklaren</w:t>
      </w:r>
      <w:r w:rsidR="00EA6E2C">
        <w:rPr>
          <w:rFonts w:ascii="Calibri" w:hAnsi="Calibri" w:cs="Arial"/>
          <w:lang w:val="nl-BE"/>
        </w:rPr>
        <w:t xml:space="preserve">: uit deel 2, hoofdstuk 1 van dit werk is gebleken dat kandidaat-gerechtsdeurwaarders nogal gefrustreerd en afgunstig kunnen zijn ten opzichte van hun benoemde confraters. </w:t>
      </w:r>
      <w:r w:rsidR="003B337F">
        <w:rPr>
          <w:rFonts w:ascii="Calibri" w:hAnsi="Calibri" w:cs="Arial"/>
          <w:lang w:val="nl-BE"/>
        </w:rPr>
        <w:t xml:space="preserve">Het is dan ook eigenaardig dat meer dan de helft van de </w:t>
      </w:r>
      <w:r w:rsidR="00EA6E2C">
        <w:rPr>
          <w:rFonts w:ascii="Calibri" w:hAnsi="Calibri" w:cs="Arial"/>
          <w:lang w:val="nl-BE"/>
        </w:rPr>
        <w:t>respondenten</w:t>
      </w:r>
      <w:r w:rsidR="003B337F">
        <w:rPr>
          <w:rFonts w:ascii="Calibri" w:hAnsi="Calibri" w:cs="Arial"/>
          <w:lang w:val="nl-BE"/>
        </w:rPr>
        <w:t xml:space="preserve"> (19% rood</w:t>
      </w:r>
      <w:r w:rsidR="00CD76F5">
        <w:rPr>
          <w:rFonts w:ascii="Calibri" w:hAnsi="Calibri" w:cs="Arial"/>
          <w:lang w:val="nl-BE"/>
        </w:rPr>
        <w:t>, 33% oranje</w:t>
      </w:r>
      <w:r w:rsidR="003B337F">
        <w:rPr>
          <w:rFonts w:ascii="Calibri" w:hAnsi="Calibri" w:cs="Arial"/>
          <w:lang w:val="nl-BE"/>
        </w:rPr>
        <w:t xml:space="preserve">) wel denkt dat de benoeming </w:t>
      </w:r>
      <w:r w:rsidR="00761034">
        <w:rPr>
          <w:rFonts w:ascii="Calibri" w:hAnsi="Calibri" w:cs="Arial"/>
          <w:lang w:val="nl-BE"/>
        </w:rPr>
        <w:t>tot titularis van minder geschikte kandidaat-gerechtsdeurwaarders</w:t>
      </w:r>
      <w:r w:rsidR="003B337F">
        <w:rPr>
          <w:rFonts w:ascii="Calibri" w:hAnsi="Calibri" w:cs="Arial"/>
          <w:lang w:val="nl-BE"/>
        </w:rPr>
        <w:t xml:space="preserve"> op basis van hun anciënniteit achterwege is gebleven. </w:t>
      </w:r>
    </w:p>
    <w:p w14:paraId="706E0148" w14:textId="77777777" w:rsidR="002B1CA3" w:rsidRDefault="002B1CA3" w:rsidP="002532B7">
      <w:pPr>
        <w:spacing w:line="276" w:lineRule="auto"/>
        <w:rPr>
          <w:rFonts w:ascii="Calibri" w:hAnsi="Calibri" w:cs="Arial"/>
          <w:lang w:val="nl-BE"/>
        </w:rPr>
      </w:pPr>
    </w:p>
    <w:p w14:paraId="06C4244F" w14:textId="4DF54C3A" w:rsidR="00202CD9" w:rsidRDefault="00AB3763" w:rsidP="00F930B5">
      <w:pPr>
        <w:spacing w:line="276" w:lineRule="auto"/>
        <w:jc w:val="both"/>
        <w:rPr>
          <w:rFonts w:ascii="Calibri" w:hAnsi="Calibri" w:cs="Arial"/>
          <w:lang w:val="nl-BE"/>
        </w:rPr>
      </w:pPr>
      <w:r>
        <w:rPr>
          <w:rFonts w:ascii="Calibri" w:hAnsi="Calibri" w:cs="Arial"/>
          <w:b/>
          <w:lang w:val="nl-BE"/>
        </w:rPr>
        <w:t>74.</w:t>
      </w:r>
      <w:r w:rsidR="00CD76F5">
        <w:rPr>
          <w:rFonts w:ascii="Calibri" w:hAnsi="Calibri" w:cs="Arial"/>
          <w:lang w:val="nl-BE"/>
        </w:rPr>
        <w:t>D</w:t>
      </w:r>
      <w:r w:rsidR="008B3FB8">
        <w:rPr>
          <w:rFonts w:ascii="Calibri" w:hAnsi="Calibri" w:cs="Arial"/>
          <w:lang w:val="nl-BE"/>
        </w:rPr>
        <w:t>e standpunten omtrent het</w:t>
      </w:r>
      <w:r w:rsidR="00287F0F">
        <w:rPr>
          <w:rFonts w:ascii="Calibri" w:hAnsi="Calibri" w:cs="Arial"/>
          <w:lang w:val="nl-BE"/>
        </w:rPr>
        <w:t xml:space="preserve"> vergelijkend examen ter benoeming tot kandidaat</w:t>
      </w:r>
      <w:r w:rsidR="00023631">
        <w:rPr>
          <w:rFonts w:ascii="Calibri" w:hAnsi="Calibri" w:cs="Arial"/>
          <w:lang w:val="nl-BE"/>
        </w:rPr>
        <w:t xml:space="preserve"> doe</w:t>
      </w:r>
      <w:r w:rsidR="00761034">
        <w:rPr>
          <w:rFonts w:ascii="Calibri" w:hAnsi="Calibri" w:cs="Arial"/>
          <w:lang w:val="nl-BE"/>
        </w:rPr>
        <w:t>n</w:t>
      </w:r>
      <w:r w:rsidR="00287F0F">
        <w:rPr>
          <w:rFonts w:ascii="Calibri" w:hAnsi="Calibri" w:cs="Arial"/>
          <w:lang w:val="nl-BE"/>
        </w:rPr>
        <w:t xml:space="preserve"> </w:t>
      </w:r>
      <w:r w:rsidR="00CD76F5">
        <w:rPr>
          <w:rFonts w:ascii="Calibri" w:hAnsi="Calibri" w:cs="Arial"/>
          <w:lang w:val="nl-BE"/>
        </w:rPr>
        <w:t xml:space="preserve">eveneens </w:t>
      </w:r>
      <w:r w:rsidR="00287F0F">
        <w:rPr>
          <w:rFonts w:ascii="Calibri" w:hAnsi="Calibri" w:cs="Arial"/>
          <w:lang w:val="nl-BE"/>
        </w:rPr>
        <w:t>de wenkbrauwen fronsen: daar waar de rechtsleer niets dan lof heeft voor deze maatregel</w:t>
      </w:r>
      <w:r w:rsidR="00946C9B">
        <w:rPr>
          <w:rFonts w:ascii="Calibri" w:hAnsi="Calibri" w:cs="Arial"/>
          <w:lang w:val="nl-BE"/>
        </w:rPr>
        <w:t xml:space="preserve"> en men een verpletterende score voor geel en groen zou verwachten</w:t>
      </w:r>
      <w:r w:rsidR="00287F0F">
        <w:rPr>
          <w:rFonts w:ascii="Calibri" w:hAnsi="Calibri" w:cs="Arial"/>
          <w:lang w:val="nl-BE"/>
        </w:rPr>
        <w:t>, verzet 1 gerechtsdeurwaarder op 5 zich ten stelligste tegen het examen</w:t>
      </w:r>
      <w:r w:rsidR="00F930B5">
        <w:rPr>
          <w:rFonts w:ascii="Calibri" w:hAnsi="Calibri" w:cs="Arial"/>
          <w:lang w:val="nl-BE"/>
        </w:rPr>
        <w:t xml:space="preserve"> met een rode stem</w:t>
      </w:r>
      <w:r w:rsidR="00287F0F">
        <w:rPr>
          <w:rFonts w:ascii="Calibri" w:hAnsi="Calibri" w:cs="Arial"/>
          <w:lang w:val="nl-BE"/>
        </w:rPr>
        <w:t xml:space="preserve">. Nog eens 15% gaat eerder niet akkoord </w:t>
      </w:r>
      <w:r w:rsidR="00F930B5">
        <w:rPr>
          <w:rFonts w:ascii="Calibri" w:hAnsi="Calibri" w:cs="Arial"/>
          <w:lang w:val="nl-BE"/>
        </w:rPr>
        <w:t xml:space="preserve">en kiest voor oranje, </w:t>
      </w:r>
      <w:r w:rsidR="00287F0F">
        <w:rPr>
          <w:rFonts w:ascii="Calibri" w:hAnsi="Calibri" w:cs="Arial"/>
          <w:lang w:val="nl-BE"/>
        </w:rPr>
        <w:t xml:space="preserve">eenzelfde percentage </w:t>
      </w:r>
      <w:r w:rsidR="00F14249">
        <w:rPr>
          <w:rFonts w:ascii="Calibri" w:hAnsi="Calibri" w:cs="Arial"/>
          <w:lang w:val="nl-BE"/>
        </w:rPr>
        <w:t>positioneert zich in de grijze zone</w:t>
      </w:r>
      <w:r w:rsidR="00287F0F">
        <w:rPr>
          <w:rFonts w:ascii="Calibri" w:hAnsi="Calibri" w:cs="Arial"/>
          <w:lang w:val="nl-BE"/>
        </w:rPr>
        <w:t xml:space="preserve">. </w:t>
      </w:r>
      <w:r w:rsidR="00C51914">
        <w:rPr>
          <w:rFonts w:ascii="Calibri" w:hAnsi="Calibri" w:cs="Arial"/>
          <w:lang w:val="nl-BE"/>
        </w:rPr>
        <w:t>De overig</w:t>
      </w:r>
      <w:r w:rsidR="00287F0F" w:rsidRPr="00730F3C">
        <w:rPr>
          <w:rFonts w:ascii="Calibri" w:hAnsi="Calibri" w:cs="Arial"/>
          <w:lang w:val="nl-BE"/>
        </w:rPr>
        <w:t xml:space="preserve">e helft van de stemmen </w:t>
      </w:r>
      <w:r w:rsidR="002B1CA3" w:rsidRPr="00730F3C">
        <w:rPr>
          <w:rFonts w:ascii="Calibri" w:hAnsi="Calibri" w:cs="Arial"/>
          <w:lang w:val="nl-BE"/>
        </w:rPr>
        <w:t xml:space="preserve">wordt ongeveer gelijk verdeeld onder geel en groen. </w:t>
      </w:r>
      <w:r w:rsidR="0024121F">
        <w:rPr>
          <w:rFonts w:ascii="Calibri" w:hAnsi="Calibri" w:cs="Arial"/>
          <w:lang w:val="nl-BE"/>
        </w:rPr>
        <w:t xml:space="preserve">Een </w:t>
      </w:r>
      <w:r w:rsidR="00695BB9">
        <w:rPr>
          <w:rFonts w:ascii="Calibri" w:hAnsi="Calibri" w:cs="Arial"/>
          <w:lang w:val="nl-BE"/>
        </w:rPr>
        <w:t>plausibel</w:t>
      </w:r>
      <w:r w:rsidR="0024121F">
        <w:rPr>
          <w:rFonts w:ascii="Calibri" w:hAnsi="Calibri" w:cs="Arial"/>
          <w:lang w:val="nl-BE"/>
        </w:rPr>
        <w:t xml:space="preserve">e verklaring die </w:t>
      </w:r>
      <w:r w:rsidR="004A6935">
        <w:rPr>
          <w:rFonts w:ascii="Calibri" w:hAnsi="Calibri" w:cs="Arial"/>
          <w:lang w:val="nl-BE"/>
        </w:rPr>
        <w:t xml:space="preserve">mijn stagementor Frederik </w:t>
      </w:r>
      <w:r w:rsidR="0024121F">
        <w:rPr>
          <w:rFonts w:ascii="Calibri" w:hAnsi="Calibri" w:cs="Arial"/>
          <w:lang w:val="nl-BE"/>
        </w:rPr>
        <w:t xml:space="preserve">Vandemeulebroecke hiervoor heeft gegeven </w:t>
      </w:r>
      <w:r w:rsidR="00F930B5">
        <w:rPr>
          <w:rFonts w:ascii="Calibri" w:hAnsi="Calibri" w:cs="Arial"/>
          <w:lang w:val="nl-BE"/>
        </w:rPr>
        <w:t xml:space="preserve">tijdens onze telefonische bespreking </w:t>
      </w:r>
      <w:r w:rsidR="0024121F">
        <w:rPr>
          <w:rFonts w:ascii="Calibri" w:hAnsi="Calibri" w:cs="Arial"/>
          <w:lang w:val="nl-BE"/>
        </w:rPr>
        <w:t xml:space="preserve">is de vrees </w:t>
      </w:r>
      <w:r w:rsidR="00F930B5">
        <w:rPr>
          <w:rFonts w:ascii="Calibri" w:hAnsi="Calibri" w:cs="Arial"/>
          <w:lang w:val="nl-BE"/>
        </w:rPr>
        <w:t xml:space="preserve">van zijn confraters </w:t>
      </w:r>
      <w:r w:rsidR="0024121F">
        <w:rPr>
          <w:rFonts w:ascii="Calibri" w:hAnsi="Calibri" w:cs="Arial"/>
          <w:lang w:val="nl-BE"/>
        </w:rPr>
        <w:t xml:space="preserve">dat door de toegang zodanig te bemoeilijken, de instroom van nieuwe krachten te beperkt zou worden en dat </w:t>
      </w:r>
      <w:r w:rsidR="00EB09D8">
        <w:rPr>
          <w:rFonts w:ascii="Calibri" w:hAnsi="Calibri" w:cs="Arial"/>
          <w:lang w:val="nl-BE"/>
        </w:rPr>
        <w:t>de</w:t>
      </w:r>
      <w:r w:rsidR="0024121F">
        <w:rPr>
          <w:rFonts w:ascii="Calibri" w:hAnsi="Calibri" w:cs="Arial"/>
          <w:lang w:val="nl-BE"/>
        </w:rPr>
        <w:t xml:space="preserve"> stagiairs – handige werkkrachten op kantoor </w:t>
      </w:r>
      <w:r w:rsidR="00EB09D8">
        <w:rPr>
          <w:rFonts w:ascii="Calibri" w:hAnsi="Calibri" w:cs="Arial"/>
          <w:lang w:val="nl-BE"/>
        </w:rPr>
        <w:t>–</w:t>
      </w:r>
      <w:r w:rsidR="0024121F">
        <w:rPr>
          <w:rFonts w:ascii="Calibri" w:hAnsi="Calibri" w:cs="Arial"/>
          <w:lang w:val="nl-BE"/>
        </w:rPr>
        <w:t xml:space="preserve"> </w:t>
      </w:r>
      <w:r w:rsidR="00EB09D8">
        <w:rPr>
          <w:rFonts w:ascii="Calibri" w:hAnsi="Calibri" w:cs="Arial"/>
          <w:lang w:val="nl-BE"/>
        </w:rPr>
        <w:t xml:space="preserve">afgeschrikt zouden worden om net na het afstuderen op de universiteit opnieuw </w:t>
      </w:r>
      <w:r w:rsidR="00F930B5">
        <w:rPr>
          <w:rFonts w:ascii="Calibri" w:hAnsi="Calibri" w:cs="Arial"/>
          <w:lang w:val="nl-BE"/>
        </w:rPr>
        <w:t xml:space="preserve">loodzware examens </w:t>
      </w:r>
      <w:r w:rsidR="006E4BDF">
        <w:rPr>
          <w:rFonts w:ascii="Calibri" w:hAnsi="Calibri" w:cs="Arial"/>
          <w:lang w:val="nl-BE"/>
        </w:rPr>
        <w:t>te moeten af</w:t>
      </w:r>
      <w:r w:rsidR="00F930B5">
        <w:rPr>
          <w:rFonts w:ascii="Calibri" w:hAnsi="Calibri" w:cs="Arial"/>
          <w:lang w:val="nl-BE"/>
        </w:rPr>
        <w:t>leggen</w:t>
      </w:r>
      <w:r w:rsidR="00E5053B">
        <w:rPr>
          <w:rFonts w:ascii="Calibri" w:hAnsi="Calibri" w:cs="Arial"/>
          <w:lang w:val="nl-BE"/>
        </w:rPr>
        <w:t>.</w:t>
      </w:r>
    </w:p>
    <w:p w14:paraId="0FE04F1D" w14:textId="77777777" w:rsidR="00202CD9" w:rsidRDefault="00202CD9">
      <w:pPr>
        <w:rPr>
          <w:rFonts w:ascii="Calibri" w:hAnsi="Calibri" w:cs="Arial"/>
          <w:lang w:val="nl-BE"/>
        </w:rPr>
      </w:pPr>
      <w:r>
        <w:rPr>
          <w:rFonts w:ascii="Calibri" w:hAnsi="Calibri" w:cs="Arial"/>
          <w:lang w:val="nl-BE"/>
        </w:rPr>
        <w:br w:type="page"/>
      </w:r>
    </w:p>
    <w:p w14:paraId="5B17D304" w14:textId="29682AE9" w:rsidR="00E463BF" w:rsidRDefault="00F930B5" w:rsidP="00F930B5">
      <w:pPr>
        <w:spacing w:line="276" w:lineRule="auto"/>
        <w:jc w:val="both"/>
        <w:rPr>
          <w:rFonts w:ascii="Calibri" w:hAnsi="Calibri" w:cs="Arial"/>
          <w:lang w:val="nl-BE"/>
        </w:rPr>
      </w:pPr>
      <w:r>
        <w:rPr>
          <w:rFonts w:ascii="Calibri" w:hAnsi="Calibri" w:cs="Arial"/>
          <w:lang w:val="nl-BE"/>
        </w:rPr>
        <w:lastRenderedPageBreak/>
        <w:br/>
      </w:r>
      <w:r w:rsidR="00AB3763">
        <w:rPr>
          <w:rFonts w:ascii="Calibri" w:hAnsi="Calibri" w:cs="Arial"/>
          <w:b/>
          <w:lang w:val="nl-BE"/>
        </w:rPr>
        <w:t>75.</w:t>
      </w:r>
      <w:r w:rsidR="00761034">
        <w:rPr>
          <w:rFonts w:ascii="Calibri" w:hAnsi="Calibri" w:cs="Arial"/>
          <w:lang w:val="nl-BE"/>
        </w:rPr>
        <w:t>Dat de gerechtsdeurwaarders geen fan zijn van de vergelijkende examens, blijkt ook uit de stelling dat de benoeming tot titularis op basis van een vergel</w:t>
      </w:r>
      <w:r w:rsidR="00F21E62">
        <w:rPr>
          <w:rFonts w:ascii="Calibri" w:hAnsi="Calibri" w:cs="Arial"/>
          <w:lang w:val="nl-BE"/>
        </w:rPr>
        <w:t>ijkend examen die</w:t>
      </w:r>
      <w:r w:rsidR="00424BAB">
        <w:rPr>
          <w:rFonts w:ascii="Calibri" w:hAnsi="Calibri" w:cs="Arial"/>
          <w:lang w:val="nl-BE"/>
        </w:rPr>
        <w:t xml:space="preserve">nt te gebeuren: </w:t>
      </w:r>
      <w:r w:rsidR="00890F77">
        <w:rPr>
          <w:rFonts w:ascii="Calibri" w:hAnsi="Calibri" w:cs="Arial"/>
          <w:lang w:val="nl-BE"/>
        </w:rPr>
        <w:t>bijna de helft (46%)</w:t>
      </w:r>
      <w:r w:rsidR="00424BAB">
        <w:rPr>
          <w:rFonts w:ascii="Calibri" w:hAnsi="Calibri" w:cs="Arial"/>
          <w:lang w:val="nl-BE"/>
        </w:rPr>
        <w:t xml:space="preserve"> </w:t>
      </w:r>
      <w:r w:rsidR="00890F77">
        <w:rPr>
          <w:rFonts w:ascii="Calibri" w:hAnsi="Calibri" w:cs="Arial"/>
          <w:lang w:val="nl-BE"/>
        </w:rPr>
        <w:t>vindt een examen ter benoeming tot titularis overbodig, met zelfs een lichte voorkeur voor rood.</w:t>
      </w:r>
      <w:r w:rsidR="00761034">
        <w:rPr>
          <w:rFonts w:ascii="Calibri" w:hAnsi="Calibri" w:cs="Arial"/>
          <w:lang w:val="nl-BE"/>
        </w:rPr>
        <w:t xml:space="preserve"> </w:t>
      </w:r>
      <w:r w:rsidR="00F21E62">
        <w:rPr>
          <w:rFonts w:ascii="Calibri" w:hAnsi="Calibri" w:cs="Arial"/>
          <w:lang w:val="nl-BE"/>
        </w:rPr>
        <w:t>Geel en groen</w:t>
      </w:r>
      <w:r w:rsidR="00890F77">
        <w:rPr>
          <w:rFonts w:ascii="Calibri" w:hAnsi="Calibri" w:cs="Arial"/>
          <w:lang w:val="nl-BE"/>
        </w:rPr>
        <w:t xml:space="preserve"> scoren hier opgeteld slechts 33</w:t>
      </w:r>
      <w:r w:rsidR="00F21E62">
        <w:rPr>
          <w:rFonts w:ascii="Calibri" w:hAnsi="Calibri" w:cs="Arial"/>
          <w:lang w:val="nl-BE"/>
        </w:rPr>
        <w:t>%</w:t>
      </w:r>
      <w:r w:rsidR="00890F77">
        <w:rPr>
          <w:rFonts w:ascii="Calibri" w:hAnsi="Calibri" w:cs="Arial"/>
          <w:lang w:val="nl-BE"/>
        </w:rPr>
        <w:t>.</w:t>
      </w:r>
      <w:r w:rsidR="00CD76F5">
        <w:rPr>
          <w:rFonts w:ascii="Calibri" w:hAnsi="Calibri" w:cs="Arial"/>
          <w:lang w:val="nl-BE"/>
        </w:rPr>
        <w:t xml:space="preserve"> Bij de motivatie van de antwoorden duikt dikwijls de bedenking op dat het ambt veel meer inhoudt dan louter theoretische kennis en dat ook de humane en sociale vaardigheden van de kandidaat moeten getoetst worden. </w:t>
      </w:r>
    </w:p>
    <w:p w14:paraId="252DF314" w14:textId="182E108F" w:rsidR="00083FF4" w:rsidRPr="00083FF4" w:rsidRDefault="00083FF4" w:rsidP="00C75526">
      <w:pPr>
        <w:spacing w:line="276" w:lineRule="auto"/>
        <w:jc w:val="both"/>
        <w:rPr>
          <w:rFonts w:ascii="Calibri" w:hAnsi="Calibri" w:cs="Arial"/>
          <w:i/>
          <w:lang w:val="nl-BE"/>
        </w:rPr>
      </w:pPr>
      <w:r>
        <w:rPr>
          <w:rFonts w:ascii="Calibri" w:hAnsi="Calibri" w:cs="Arial"/>
          <w:lang w:val="nl-BE"/>
        </w:rPr>
        <w:t xml:space="preserve">In de duiding wordt er </w:t>
      </w:r>
      <w:r w:rsidR="000F41F7">
        <w:rPr>
          <w:rFonts w:ascii="Calibri" w:hAnsi="Calibri" w:cs="Arial"/>
          <w:lang w:val="nl-BE"/>
        </w:rPr>
        <w:t xml:space="preserve">eveneens </w:t>
      </w:r>
      <w:r>
        <w:rPr>
          <w:rFonts w:ascii="Calibri" w:hAnsi="Calibri" w:cs="Arial"/>
          <w:lang w:val="nl-BE"/>
        </w:rPr>
        <w:t xml:space="preserve">terecht gewezen op het gebrek aan wettelijke basis van dit examen. Zoals </w:t>
      </w:r>
      <w:r w:rsidR="00134250">
        <w:rPr>
          <w:rFonts w:ascii="Calibri" w:hAnsi="Calibri" w:cs="Arial"/>
          <w:lang w:val="nl-BE"/>
        </w:rPr>
        <w:t>reeds</w:t>
      </w:r>
      <w:r>
        <w:rPr>
          <w:rFonts w:ascii="Calibri" w:hAnsi="Calibri" w:cs="Arial"/>
          <w:lang w:val="nl-BE"/>
        </w:rPr>
        <w:t xml:space="preserve"> werd beschreven in deel 1</w:t>
      </w:r>
      <w:r>
        <w:rPr>
          <w:rStyle w:val="Voetnootmarkering"/>
          <w:rFonts w:ascii="Calibri" w:hAnsi="Calibri" w:cs="Arial"/>
          <w:lang w:val="nl-BE"/>
        </w:rPr>
        <w:footnoteReference w:id="181"/>
      </w:r>
      <w:r>
        <w:rPr>
          <w:rFonts w:ascii="Calibri" w:hAnsi="Calibri" w:cs="Arial"/>
          <w:lang w:val="nl-BE"/>
        </w:rPr>
        <w:t>, wordt er in artikel 515</w:t>
      </w:r>
      <w:r w:rsidR="00A0598E">
        <w:rPr>
          <w:rFonts w:ascii="Calibri" w:hAnsi="Calibri" w:cs="Arial"/>
          <w:lang w:val="nl-BE"/>
        </w:rPr>
        <w:t xml:space="preserve"> Ger.W.</w:t>
      </w:r>
      <w:r>
        <w:rPr>
          <w:rFonts w:ascii="Calibri" w:hAnsi="Calibri" w:cs="Arial"/>
          <w:lang w:val="nl-BE"/>
        </w:rPr>
        <w:t xml:space="preserve"> geen woord gerept over een examen, </w:t>
      </w:r>
      <w:r w:rsidR="00A0598E">
        <w:rPr>
          <w:rFonts w:ascii="Calibri" w:hAnsi="Calibri" w:cs="Arial"/>
          <w:lang w:val="nl-BE"/>
        </w:rPr>
        <w:t xml:space="preserve">maar enkel over het inwinnen van adviezen in §2 en eventueel het horen van de kandidaten in §4. </w:t>
      </w:r>
      <w:r w:rsidR="00E120BF">
        <w:rPr>
          <w:rFonts w:ascii="Calibri" w:hAnsi="Calibri" w:cs="Arial"/>
          <w:lang w:val="nl-BE"/>
        </w:rPr>
        <w:t>Ook in het uitvoeringsbesluit</w:t>
      </w:r>
      <w:r w:rsidR="00E120BF">
        <w:rPr>
          <w:rStyle w:val="Voetnootmarkering"/>
          <w:rFonts w:ascii="Calibri" w:hAnsi="Calibri" w:cs="Arial"/>
          <w:lang w:val="nl-BE"/>
        </w:rPr>
        <w:footnoteReference w:id="182"/>
      </w:r>
      <w:r w:rsidR="00E120BF">
        <w:rPr>
          <w:rFonts w:ascii="Calibri" w:hAnsi="Calibri" w:cs="Arial"/>
          <w:lang w:val="nl-BE"/>
        </w:rPr>
        <w:t xml:space="preserve"> staat er </w:t>
      </w:r>
      <w:r w:rsidR="000F41F7">
        <w:rPr>
          <w:rFonts w:ascii="Calibri" w:hAnsi="Calibri" w:cs="Arial"/>
          <w:lang w:val="nl-BE"/>
        </w:rPr>
        <w:t>nergens een</w:t>
      </w:r>
      <w:r w:rsidR="00E120BF">
        <w:rPr>
          <w:rFonts w:ascii="Calibri" w:hAnsi="Calibri" w:cs="Arial"/>
          <w:lang w:val="nl-BE"/>
        </w:rPr>
        <w:t xml:space="preserve"> examen vermeld. </w:t>
      </w:r>
      <w:r w:rsidR="000F41F7">
        <w:rPr>
          <w:rFonts w:ascii="Calibri" w:hAnsi="Calibri" w:cs="Arial"/>
          <w:lang w:val="nl-BE"/>
        </w:rPr>
        <w:t>Sterker nog: uit h</w:t>
      </w:r>
      <w:r w:rsidR="00A0598E">
        <w:rPr>
          <w:rFonts w:ascii="Calibri" w:hAnsi="Calibri" w:cs="Arial"/>
          <w:lang w:val="nl-BE"/>
        </w:rPr>
        <w:t xml:space="preserve">et gesprek met </w:t>
      </w:r>
      <w:r w:rsidR="0024121F">
        <w:rPr>
          <w:rFonts w:ascii="Calibri" w:hAnsi="Calibri" w:cs="Arial"/>
          <w:lang w:val="nl-BE"/>
        </w:rPr>
        <w:t>Vandemeulebroecke</w:t>
      </w:r>
      <w:r w:rsidR="00A0598E">
        <w:rPr>
          <w:rFonts w:ascii="Calibri" w:hAnsi="Calibri" w:cs="Arial"/>
          <w:lang w:val="nl-BE"/>
        </w:rPr>
        <w:t xml:space="preserve"> </w:t>
      </w:r>
      <w:r w:rsidR="000F41F7">
        <w:rPr>
          <w:rFonts w:ascii="Calibri" w:hAnsi="Calibri" w:cs="Arial"/>
          <w:lang w:val="nl-BE"/>
        </w:rPr>
        <w:t>blijk</w:t>
      </w:r>
      <w:r w:rsidR="00A0598E">
        <w:rPr>
          <w:rFonts w:ascii="Calibri" w:hAnsi="Calibri" w:cs="Arial"/>
          <w:lang w:val="nl-BE"/>
        </w:rPr>
        <w:t>t</w:t>
      </w:r>
      <w:r w:rsidR="00E120BF">
        <w:rPr>
          <w:rFonts w:ascii="Calibri" w:hAnsi="Calibri" w:cs="Arial"/>
          <w:lang w:val="nl-BE"/>
        </w:rPr>
        <w:t xml:space="preserve"> </w:t>
      </w:r>
      <w:r w:rsidR="00A0598E">
        <w:rPr>
          <w:rFonts w:ascii="Calibri" w:hAnsi="Calibri" w:cs="Arial"/>
          <w:lang w:val="nl-BE"/>
        </w:rPr>
        <w:t xml:space="preserve">dat er jaarlijks </w:t>
      </w:r>
      <w:r w:rsidR="00E120BF">
        <w:rPr>
          <w:rFonts w:ascii="Calibri" w:hAnsi="Calibri" w:cs="Arial"/>
          <w:lang w:val="nl-BE"/>
        </w:rPr>
        <w:t xml:space="preserve">toch </w:t>
      </w:r>
      <w:r w:rsidR="00A0598E">
        <w:rPr>
          <w:rFonts w:ascii="Calibri" w:hAnsi="Calibri" w:cs="Arial"/>
          <w:lang w:val="nl-BE"/>
        </w:rPr>
        <w:t>een schriftelijk examen wordt georganiseerd, zij het veel beperkter dan dat voor de stagiairs ter benoeming tot kandidaat-gerechtsdeurwaarder. Het examen om titularis te worden bestaat</w:t>
      </w:r>
      <w:r w:rsidR="007D038B">
        <w:rPr>
          <w:rFonts w:ascii="Calibri" w:hAnsi="Calibri" w:cs="Arial"/>
          <w:lang w:val="nl-BE"/>
        </w:rPr>
        <w:t xml:space="preserve"> slechts</w:t>
      </w:r>
      <w:r w:rsidR="00A0598E">
        <w:rPr>
          <w:rFonts w:ascii="Calibri" w:hAnsi="Calibri" w:cs="Arial"/>
          <w:lang w:val="nl-BE"/>
        </w:rPr>
        <w:t xml:space="preserve"> uit twintig multiplechoicevragen die gelden als maatstaf om de overige criteria af te toetsen, terwijl dat voor stagiairs een dertigtal pagina’s </w:t>
      </w:r>
      <w:r w:rsidR="000F41F7">
        <w:rPr>
          <w:rFonts w:ascii="Calibri" w:hAnsi="Calibri" w:cs="Arial"/>
          <w:lang w:val="nl-BE"/>
        </w:rPr>
        <w:t>omvat</w:t>
      </w:r>
      <w:r w:rsidR="00A0598E">
        <w:rPr>
          <w:rFonts w:ascii="Calibri" w:hAnsi="Calibri" w:cs="Arial"/>
          <w:lang w:val="nl-BE"/>
        </w:rPr>
        <w:t xml:space="preserve">. </w:t>
      </w:r>
    </w:p>
    <w:p w14:paraId="3E1C8621" w14:textId="77777777" w:rsidR="00746A42" w:rsidRDefault="00746A42" w:rsidP="002532B7">
      <w:pPr>
        <w:spacing w:line="276" w:lineRule="auto"/>
        <w:rPr>
          <w:rFonts w:ascii="Calibri" w:hAnsi="Calibri" w:cs="Arial"/>
          <w:lang w:val="nl-BE"/>
        </w:rPr>
      </w:pPr>
    </w:p>
    <w:p w14:paraId="675271E2" w14:textId="42F3328F" w:rsidR="00EB2993" w:rsidRPr="000F41F7" w:rsidRDefault="00AB3763" w:rsidP="00C75526">
      <w:pPr>
        <w:spacing w:line="276" w:lineRule="auto"/>
        <w:jc w:val="both"/>
        <w:rPr>
          <w:rFonts w:ascii="Calibri" w:hAnsi="Calibri" w:cs="Arial"/>
          <w:i/>
          <w:lang w:val="nl-BE"/>
        </w:rPr>
      </w:pPr>
      <w:r>
        <w:rPr>
          <w:rFonts w:ascii="Calibri" w:hAnsi="Calibri" w:cs="Arial"/>
          <w:b/>
          <w:lang w:val="nl-BE"/>
        </w:rPr>
        <w:t>76.</w:t>
      </w:r>
      <w:r w:rsidR="00746A42">
        <w:rPr>
          <w:rFonts w:ascii="Calibri" w:hAnsi="Calibri" w:cs="Arial"/>
          <w:lang w:val="nl-BE"/>
        </w:rPr>
        <w:t>Wat betreft de omschakeling naar een tweetalige benoemingscommissie, lijken de gerechtsdeurwaarders hetzij onwetend, hetzij onve</w:t>
      </w:r>
      <w:r w:rsidR="008754AF">
        <w:rPr>
          <w:rFonts w:ascii="Calibri" w:hAnsi="Calibri" w:cs="Arial"/>
          <w:lang w:val="nl-BE"/>
        </w:rPr>
        <w:t>rschillig: e</w:t>
      </w:r>
      <w:r w:rsidR="00746A42">
        <w:rPr>
          <w:rFonts w:ascii="Calibri" w:hAnsi="Calibri" w:cs="Arial"/>
          <w:lang w:val="nl-BE"/>
        </w:rPr>
        <w:t xml:space="preserve">xact </w:t>
      </w:r>
      <w:r w:rsidR="003744B0">
        <w:rPr>
          <w:rFonts w:ascii="Calibri" w:hAnsi="Calibri" w:cs="Arial"/>
          <w:lang w:val="nl-BE"/>
        </w:rPr>
        <w:t xml:space="preserve">de helft van de respondenten </w:t>
      </w:r>
      <w:r w:rsidR="008754AF">
        <w:rPr>
          <w:rFonts w:ascii="Calibri" w:hAnsi="Calibri" w:cs="Arial"/>
          <w:lang w:val="nl-BE"/>
        </w:rPr>
        <w:t>kiest geen kant en blijft dus neutraal. De overige helft van de stemmen bestaat voornamelijk uit geel (20%) en groen (17%).</w:t>
      </w:r>
      <w:r w:rsidR="00153A7F">
        <w:rPr>
          <w:rFonts w:ascii="Calibri" w:hAnsi="Calibri" w:cs="Arial"/>
          <w:lang w:val="nl-BE"/>
        </w:rPr>
        <w:t xml:space="preserve"> Een respondent </w:t>
      </w:r>
      <w:r w:rsidR="00586D5C">
        <w:rPr>
          <w:rFonts w:ascii="Calibri" w:hAnsi="Calibri" w:cs="Arial"/>
          <w:lang w:val="nl-BE"/>
        </w:rPr>
        <w:t xml:space="preserve">geeft mee dat </w:t>
      </w:r>
      <w:r w:rsidR="000F41F7">
        <w:rPr>
          <w:rFonts w:ascii="Calibri" w:hAnsi="Calibri" w:cs="Arial"/>
          <w:lang w:val="nl-BE"/>
        </w:rPr>
        <w:t>“</w:t>
      </w:r>
      <w:r w:rsidR="00586D5C" w:rsidRPr="000F41F7">
        <w:rPr>
          <w:rFonts w:ascii="Calibri" w:hAnsi="Calibri" w:cs="Arial"/>
          <w:i/>
          <w:lang w:val="nl-BE"/>
        </w:rPr>
        <w:t>er naar verluidt een onderscheid zou zijn tussen de twee taalgroepen in de examens, of toch minstens in de correctie ervan.</w:t>
      </w:r>
      <w:r w:rsidR="000F41F7" w:rsidRPr="000F41F7">
        <w:rPr>
          <w:rFonts w:ascii="Calibri" w:hAnsi="Calibri" w:cs="Arial"/>
          <w:i/>
          <w:lang w:val="nl-BE"/>
        </w:rPr>
        <w:t>”</w:t>
      </w:r>
      <w:r w:rsidR="00586D5C" w:rsidRPr="000F41F7">
        <w:rPr>
          <w:rFonts w:ascii="Calibri" w:hAnsi="Calibri" w:cs="Arial"/>
          <w:i/>
          <w:lang w:val="nl-BE"/>
        </w:rPr>
        <w:t xml:space="preserve"> </w:t>
      </w:r>
    </w:p>
    <w:p w14:paraId="303FC020" w14:textId="77777777" w:rsidR="00EB2993" w:rsidRDefault="00EB2993">
      <w:pPr>
        <w:rPr>
          <w:rFonts w:ascii="Calibri" w:hAnsi="Calibri" w:cs="Arial"/>
          <w:lang w:val="nl-BE"/>
        </w:rPr>
      </w:pPr>
      <w:r>
        <w:rPr>
          <w:rFonts w:ascii="Calibri" w:hAnsi="Calibri" w:cs="Arial"/>
          <w:lang w:val="nl-BE"/>
        </w:rPr>
        <w:br w:type="page"/>
      </w:r>
    </w:p>
    <w:p w14:paraId="0D28FA38" w14:textId="44722DB1" w:rsidR="0085697A" w:rsidRPr="00730F3C" w:rsidRDefault="00C578A1" w:rsidP="002532B7">
      <w:pPr>
        <w:pStyle w:val="Kop2"/>
        <w:spacing w:line="276" w:lineRule="auto"/>
        <w:rPr>
          <w:lang w:val="nl-BE"/>
        </w:rPr>
      </w:pPr>
      <w:bookmarkStart w:id="32" w:name="_Toc40689970"/>
      <w:r>
        <w:rPr>
          <w:lang w:val="nl-BE"/>
        </w:rPr>
        <w:lastRenderedPageBreak/>
        <w:t xml:space="preserve">Hoofdstuk </w:t>
      </w:r>
      <w:r w:rsidR="00E21349">
        <w:rPr>
          <w:lang w:val="nl-BE"/>
        </w:rPr>
        <w:t>4</w:t>
      </w:r>
      <w:r w:rsidR="0085697A">
        <w:rPr>
          <w:lang w:val="nl-BE"/>
        </w:rPr>
        <w:t xml:space="preserve">: </w:t>
      </w:r>
      <w:r>
        <w:rPr>
          <w:lang w:val="nl-BE"/>
        </w:rPr>
        <w:t>Opwaardering</w:t>
      </w:r>
      <w:r w:rsidR="002D1F72">
        <w:rPr>
          <w:lang w:val="nl-BE"/>
        </w:rPr>
        <w:t xml:space="preserve"> van het</w:t>
      </w:r>
      <w:r>
        <w:rPr>
          <w:lang w:val="nl-BE"/>
        </w:rPr>
        <w:t xml:space="preserve"> kandidaat-gerechtsdeurwaarders</w:t>
      </w:r>
      <w:r w:rsidR="002D1F72">
        <w:rPr>
          <w:lang w:val="nl-BE"/>
        </w:rPr>
        <w:t>statuut</w:t>
      </w:r>
      <w:bookmarkEnd w:id="32"/>
    </w:p>
    <w:p w14:paraId="7D4436F3" w14:textId="77777777" w:rsidR="00F10BA4" w:rsidRPr="00D41F85" w:rsidRDefault="00F10BA4" w:rsidP="002532B7">
      <w:pPr>
        <w:spacing w:line="276" w:lineRule="auto"/>
        <w:rPr>
          <w:rFonts w:ascii="Calibri" w:hAnsi="Calibri" w:cs="Arial"/>
          <w:b/>
          <w:lang w:val="nl-BE"/>
        </w:rPr>
      </w:pPr>
    </w:p>
    <w:p w14:paraId="12FA1F14" w14:textId="61859FB6" w:rsidR="00E06568" w:rsidRDefault="00AB3763" w:rsidP="00C75526">
      <w:pPr>
        <w:spacing w:line="276" w:lineRule="auto"/>
        <w:jc w:val="both"/>
        <w:rPr>
          <w:rFonts w:ascii="Calibri" w:hAnsi="Calibri" w:cs="Arial"/>
          <w:lang w:val="nl-BE"/>
        </w:rPr>
      </w:pPr>
      <w:r>
        <w:rPr>
          <w:rFonts w:ascii="Calibri" w:hAnsi="Calibri" w:cs="Arial"/>
          <w:b/>
          <w:lang w:val="nl-BE"/>
        </w:rPr>
        <w:t>77.</w:t>
      </w:r>
      <w:r w:rsidR="00BE3ED3">
        <w:rPr>
          <w:rFonts w:ascii="Calibri" w:hAnsi="Calibri" w:cs="Arial"/>
          <w:lang w:val="nl-BE"/>
        </w:rPr>
        <w:t>Samen met</w:t>
      </w:r>
      <w:r w:rsidR="00F647C3">
        <w:rPr>
          <w:rFonts w:ascii="Calibri" w:hAnsi="Calibri" w:cs="Arial"/>
          <w:lang w:val="nl-BE"/>
        </w:rPr>
        <w:t xml:space="preserve"> – </w:t>
      </w:r>
      <w:r w:rsidR="00BE3ED3">
        <w:rPr>
          <w:rFonts w:ascii="Calibri" w:hAnsi="Calibri" w:cs="Arial"/>
          <w:lang w:val="nl-BE"/>
        </w:rPr>
        <w:t>de poging to</w:t>
      </w:r>
      <w:r w:rsidR="00F647C3">
        <w:rPr>
          <w:rFonts w:ascii="Calibri" w:hAnsi="Calibri" w:cs="Arial"/>
          <w:lang w:val="nl-BE"/>
        </w:rPr>
        <w:t xml:space="preserve">t –  </w:t>
      </w:r>
      <w:r w:rsidR="00BE3ED3">
        <w:rPr>
          <w:rFonts w:ascii="Calibri" w:hAnsi="Calibri" w:cs="Arial"/>
          <w:lang w:val="nl-BE"/>
        </w:rPr>
        <w:t>een objectiever benoemingssysteem, is er ook ingezet op een opwaardering van het kandidatenstatuut</w:t>
      </w:r>
      <w:r w:rsidR="007E3DE2">
        <w:rPr>
          <w:rStyle w:val="Voetnootmarkering"/>
          <w:rFonts w:ascii="Calibri" w:hAnsi="Calibri" w:cs="Arial"/>
          <w:lang w:val="nl-BE"/>
        </w:rPr>
        <w:footnoteReference w:id="183"/>
      </w:r>
      <w:r w:rsidR="00B53FFB">
        <w:rPr>
          <w:rFonts w:ascii="Calibri" w:hAnsi="Calibri" w:cs="Arial"/>
          <w:lang w:val="nl-BE"/>
        </w:rPr>
        <w:t>. Zo zijn zij voortaan volwaardig lid van de NKGB en de arrondissementskamer, kunnen zij de titularis waar</w:t>
      </w:r>
      <w:r w:rsidR="00492614">
        <w:rPr>
          <w:rFonts w:ascii="Calibri" w:hAnsi="Calibri" w:cs="Arial"/>
          <w:lang w:val="nl-BE"/>
        </w:rPr>
        <w:t>bij zij werkzaam zijn</w:t>
      </w:r>
      <w:r w:rsidR="00B53FFB">
        <w:rPr>
          <w:rFonts w:ascii="Calibri" w:hAnsi="Calibri" w:cs="Arial"/>
          <w:lang w:val="nl-BE"/>
        </w:rPr>
        <w:t xml:space="preserve"> 180 dagen per jaar vervangen in het uitvoeren van zijn ambtshandelingen, maar vooral: ze worden onderworpen aan een wettelijk kader. </w:t>
      </w:r>
    </w:p>
    <w:p w14:paraId="3D9372BF" w14:textId="239CF94E" w:rsidR="00492614" w:rsidRPr="00492614" w:rsidRDefault="00492614" w:rsidP="00C75526">
      <w:pPr>
        <w:spacing w:line="276" w:lineRule="auto"/>
        <w:jc w:val="both"/>
        <w:rPr>
          <w:rFonts w:ascii="Calibri" w:hAnsi="Calibri" w:cs="Arial"/>
          <w:lang w:val="nl-BE"/>
        </w:rPr>
      </w:pPr>
      <w:r>
        <w:rPr>
          <w:rFonts w:ascii="Calibri" w:hAnsi="Calibri" w:cs="Arial"/>
          <w:lang w:val="nl-BE"/>
        </w:rPr>
        <w:t>Dat laatste vinden de respondenten van de peiling een goede zaak: 22% van de stemmen kleurt groen</w:t>
      </w:r>
      <w:r w:rsidR="00227E92">
        <w:rPr>
          <w:rFonts w:ascii="Calibri" w:hAnsi="Calibri" w:cs="Arial"/>
          <w:lang w:val="nl-BE"/>
        </w:rPr>
        <w:t xml:space="preserve">, </w:t>
      </w:r>
      <w:r>
        <w:rPr>
          <w:rFonts w:ascii="Calibri" w:hAnsi="Calibri" w:cs="Arial"/>
          <w:lang w:val="nl-BE"/>
        </w:rPr>
        <w:t>geel scoort nog eens het dubbele. Ruim 1 op 4 heeft er opvallend genoeg geen mening over, rood en oranje scoren samen een luttele 8%. Het niet opnemen van het kandidatenstatuut in 1992 – de vorige hervorming</w:t>
      </w:r>
      <w:r w:rsidR="00801826">
        <w:rPr>
          <w:rFonts w:ascii="Calibri" w:hAnsi="Calibri" w:cs="Arial"/>
          <w:lang w:val="nl-BE"/>
        </w:rPr>
        <w:t xml:space="preserve"> – stuit dan logischerwijs ook op onbegrip op het terrein met 22% voor rood en </w:t>
      </w:r>
      <w:r w:rsidR="008E6246">
        <w:rPr>
          <w:rFonts w:ascii="Calibri" w:hAnsi="Calibri" w:cs="Arial"/>
          <w:lang w:val="nl-BE"/>
        </w:rPr>
        <w:t xml:space="preserve">24% voor oranje op de vraag of ze begrijpen waarom dat statuut destijds niet werd opgenomen in het Gerechtelijk Wetboek. </w:t>
      </w:r>
      <w:r w:rsidR="002D1F72">
        <w:rPr>
          <w:rFonts w:ascii="Calibri" w:hAnsi="Calibri" w:cs="Arial"/>
          <w:lang w:val="nl-BE"/>
        </w:rPr>
        <w:t xml:space="preserve">De overgrote meerderheid van de stemmen gaat echter naar grijs met 41%. Vermoedelijk is dit het gevolg van het vrij jonge deelnemersveld, dat in de jaren ’90 nog niet werkzaam was en dus ook geen oordeel kan vellen over de situatie destijds. </w:t>
      </w:r>
    </w:p>
    <w:p w14:paraId="786B0CDB" w14:textId="376A05AA" w:rsidR="00B53FFB" w:rsidRDefault="00B53FFB" w:rsidP="002532B7">
      <w:pPr>
        <w:spacing w:line="276" w:lineRule="auto"/>
        <w:rPr>
          <w:rFonts w:ascii="Calibri" w:hAnsi="Calibri" w:cs="Arial"/>
          <w:lang w:val="nl-BE"/>
        </w:rPr>
      </w:pPr>
    </w:p>
    <w:p w14:paraId="7968154F" w14:textId="6B40D855" w:rsidR="00B53FFB" w:rsidRDefault="00AB3763" w:rsidP="00C75526">
      <w:pPr>
        <w:spacing w:line="276" w:lineRule="auto"/>
        <w:jc w:val="both"/>
        <w:rPr>
          <w:rFonts w:ascii="Calibri" w:hAnsi="Calibri" w:cs="Arial"/>
          <w:lang w:val="nl-BE"/>
        </w:rPr>
      </w:pPr>
      <w:r>
        <w:rPr>
          <w:rFonts w:ascii="Calibri" w:hAnsi="Calibri" w:cs="Arial"/>
          <w:b/>
          <w:lang w:val="nl-BE"/>
        </w:rPr>
        <w:t>78.</w:t>
      </w:r>
      <w:r w:rsidR="00153A7F">
        <w:rPr>
          <w:rFonts w:ascii="Calibri" w:hAnsi="Calibri" w:cs="Arial"/>
          <w:lang w:val="nl-BE"/>
        </w:rPr>
        <w:t xml:space="preserve">Door het gebrek aan een wettelijk kader rijst de vraag of het dan </w:t>
      </w:r>
      <w:r w:rsidR="00201D56">
        <w:rPr>
          <w:rFonts w:ascii="Calibri" w:hAnsi="Calibri" w:cs="Arial"/>
          <w:lang w:val="nl-BE"/>
        </w:rPr>
        <w:t xml:space="preserve">soms </w:t>
      </w:r>
      <w:r w:rsidR="00153A7F">
        <w:rPr>
          <w:rFonts w:ascii="Calibri" w:hAnsi="Calibri" w:cs="Arial"/>
          <w:lang w:val="nl-BE"/>
        </w:rPr>
        <w:t xml:space="preserve"> </w:t>
      </w:r>
      <w:r w:rsidR="00201D56">
        <w:rPr>
          <w:rFonts w:ascii="Calibri" w:hAnsi="Calibri" w:cs="Arial"/>
          <w:lang w:val="nl-BE"/>
        </w:rPr>
        <w:t>on</w:t>
      </w:r>
      <w:r w:rsidR="00153A7F">
        <w:rPr>
          <w:rFonts w:ascii="Calibri" w:hAnsi="Calibri" w:cs="Arial"/>
          <w:lang w:val="nl-BE"/>
        </w:rPr>
        <w:t xml:space="preserve">duidelijk was welke rol </w:t>
      </w:r>
      <w:r w:rsidR="00F647C3">
        <w:rPr>
          <w:rFonts w:ascii="Calibri" w:hAnsi="Calibri" w:cs="Arial"/>
          <w:lang w:val="nl-BE"/>
        </w:rPr>
        <w:t xml:space="preserve">de </w:t>
      </w:r>
      <w:r w:rsidR="00153A7F">
        <w:rPr>
          <w:rFonts w:ascii="Calibri" w:hAnsi="Calibri" w:cs="Arial"/>
          <w:lang w:val="nl-BE"/>
        </w:rPr>
        <w:t>kandidaat-gerechtsdeurwaarders precies speelden binnen het korps</w:t>
      </w:r>
      <w:r w:rsidR="00586D5C">
        <w:rPr>
          <w:rFonts w:ascii="Calibri" w:hAnsi="Calibri" w:cs="Arial"/>
          <w:lang w:val="nl-BE"/>
        </w:rPr>
        <w:t xml:space="preserve"> en</w:t>
      </w:r>
      <w:r w:rsidR="00153A7F">
        <w:rPr>
          <w:rFonts w:ascii="Calibri" w:hAnsi="Calibri" w:cs="Arial"/>
          <w:lang w:val="nl-BE"/>
        </w:rPr>
        <w:t xml:space="preserve"> wat zij al dan niet gerechtigd waren om te doen. </w:t>
      </w:r>
      <w:r w:rsidR="00072743">
        <w:rPr>
          <w:rFonts w:ascii="Calibri" w:hAnsi="Calibri" w:cs="Arial"/>
          <w:lang w:val="nl-BE"/>
        </w:rPr>
        <w:t>Dit was kennelijk voor de ene r</w:t>
      </w:r>
      <w:r w:rsidR="008F1AD6">
        <w:rPr>
          <w:rFonts w:ascii="Calibri" w:hAnsi="Calibri" w:cs="Arial"/>
          <w:lang w:val="nl-BE"/>
        </w:rPr>
        <w:t>espondent</w:t>
      </w:r>
      <w:r w:rsidR="00072743">
        <w:rPr>
          <w:rFonts w:ascii="Calibri" w:hAnsi="Calibri" w:cs="Arial"/>
          <w:lang w:val="nl-BE"/>
        </w:rPr>
        <w:t xml:space="preserve"> al wat duidelijker dan voor de andere, vermits </w:t>
      </w:r>
      <w:r w:rsidR="008F1AD6">
        <w:rPr>
          <w:rFonts w:ascii="Calibri" w:hAnsi="Calibri" w:cs="Arial"/>
          <w:lang w:val="nl-BE"/>
        </w:rPr>
        <w:t xml:space="preserve">geel en groen samengeteld exact </w:t>
      </w:r>
      <w:r w:rsidR="00FF4947">
        <w:rPr>
          <w:rFonts w:ascii="Calibri" w:hAnsi="Calibri" w:cs="Arial"/>
          <w:lang w:val="nl-BE"/>
        </w:rPr>
        <w:t>hetzelfde percentage bedraagt als rood en oranje opgeteld</w:t>
      </w:r>
      <w:r w:rsidR="00F647C3">
        <w:rPr>
          <w:rFonts w:ascii="Calibri" w:hAnsi="Calibri" w:cs="Arial"/>
          <w:lang w:val="nl-BE"/>
        </w:rPr>
        <w:t xml:space="preserve">, namelijk </w:t>
      </w:r>
      <w:r w:rsidR="00FF4947">
        <w:rPr>
          <w:rFonts w:ascii="Calibri" w:hAnsi="Calibri" w:cs="Arial"/>
          <w:lang w:val="nl-BE"/>
        </w:rPr>
        <w:t xml:space="preserve">37%. Belangrijke kanttekening is evenwel dat op het niveau van de extremen rood meer dan het dubbele scoort dan groen, waardoor de voorkeur lichtjes opschuift naar ‘niet akkoord’. </w:t>
      </w:r>
    </w:p>
    <w:p w14:paraId="406EB54C" w14:textId="77777777" w:rsidR="00E8446B" w:rsidRDefault="00E8446B" w:rsidP="002532B7">
      <w:pPr>
        <w:spacing w:line="276" w:lineRule="auto"/>
        <w:rPr>
          <w:rFonts w:ascii="Calibri" w:hAnsi="Calibri" w:cs="Arial"/>
          <w:lang w:val="nl-BE"/>
        </w:rPr>
      </w:pPr>
    </w:p>
    <w:p w14:paraId="41EB8E45" w14:textId="00D9D820" w:rsidR="002D1F72" w:rsidRDefault="00AB3763" w:rsidP="00C75526">
      <w:pPr>
        <w:spacing w:line="276" w:lineRule="auto"/>
        <w:jc w:val="both"/>
        <w:rPr>
          <w:rFonts w:ascii="Calibri" w:hAnsi="Calibri" w:cs="Arial"/>
          <w:lang w:val="nl-BE"/>
        </w:rPr>
      </w:pPr>
      <w:r>
        <w:rPr>
          <w:rFonts w:ascii="Calibri" w:hAnsi="Calibri" w:cs="Arial"/>
          <w:b/>
          <w:lang w:val="nl-BE"/>
        </w:rPr>
        <w:t>79.</w:t>
      </w:r>
      <w:r w:rsidR="00E8446B">
        <w:rPr>
          <w:rFonts w:ascii="Calibri" w:hAnsi="Calibri" w:cs="Arial"/>
          <w:lang w:val="nl-BE"/>
        </w:rPr>
        <w:t>Ikzelf heb me ook de vraag gesteld waarom de wetgever in 1992 geen woord heeft gerept over het kandidatenstatuut. Een plausibele verklaring kan zijn dat het kandidatenstatuut destijds eigenlijk niet zoveel voorstelde en dat het pas de laatste twintig jaar aan belang heeft toegenomen. De gerechtsdeurwaarders delen deze mening: slechts één respondent kleurt oranje</w:t>
      </w:r>
      <w:r w:rsidR="003C303B">
        <w:rPr>
          <w:rFonts w:ascii="Calibri" w:hAnsi="Calibri" w:cs="Arial"/>
          <w:lang w:val="nl-BE"/>
        </w:rPr>
        <w:t xml:space="preserve"> voor deze stelling</w:t>
      </w:r>
      <w:r w:rsidR="00E8446B">
        <w:rPr>
          <w:rFonts w:ascii="Calibri" w:hAnsi="Calibri" w:cs="Arial"/>
          <w:lang w:val="nl-BE"/>
        </w:rPr>
        <w:t xml:space="preserve">, geen enkele </w:t>
      </w:r>
      <w:r w:rsidR="003C303B">
        <w:rPr>
          <w:rFonts w:ascii="Calibri" w:hAnsi="Calibri" w:cs="Arial"/>
          <w:lang w:val="nl-BE"/>
        </w:rPr>
        <w:t xml:space="preserve">stem </w:t>
      </w:r>
      <w:r w:rsidR="00E8446B">
        <w:rPr>
          <w:rFonts w:ascii="Calibri" w:hAnsi="Calibri" w:cs="Arial"/>
          <w:lang w:val="nl-BE"/>
        </w:rPr>
        <w:t xml:space="preserve">gaat absoluut niet akkoord. </w:t>
      </w:r>
      <w:r w:rsidR="00D50C93">
        <w:rPr>
          <w:rFonts w:ascii="Calibri" w:hAnsi="Calibri" w:cs="Arial"/>
          <w:lang w:val="nl-BE"/>
        </w:rPr>
        <w:t>Meer dan 8 op 10 gaa</w:t>
      </w:r>
      <w:r w:rsidR="00A60DC5">
        <w:rPr>
          <w:rFonts w:ascii="Calibri" w:hAnsi="Calibri" w:cs="Arial"/>
          <w:lang w:val="nl-BE"/>
        </w:rPr>
        <w:t>t</w:t>
      </w:r>
      <w:r w:rsidR="00D50C93">
        <w:rPr>
          <w:rFonts w:ascii="Calibri" w:hAnsi="Calibri" w:cs="Arial"/>
          <w:lang w:val="nl-BE"/>
        </w:rPr>
        <w:t xml:space="preserve"> </w:t>
      </w:r>
      <w:r w:rsidR="006D5F8E">
        <w:rPr>
          <w:rFonts w:ascii="Calibri" w:hAnsi="Calibri" w:cs="Arial"/>
          <w:lang w:val="nl-BE"/>
        </w:rPr>
        <w:t xml:space="preserve">wel </w:t>
      </w:r>
      <w:r w:rsidR="00D50C93">
        <w:rPr>
          <w:rFonts w:ascii="Calibri" w:hAnsi="Calibri" w:cs="Arial"/>
          <w:lang w:val="nl-BE"/>
        </w:rPr>
        <w:t>akkoord met 39% voor groen en 44% voor geel.</w:t>
      </w:r>
      <w:r w:rsidR="00A329F5">
        <w:rPr>
          <w:rFonts w:ascii="Calibri" w:hAnsi="Calibri" w:cs="Arial"/>
          <w:lang w:val="nl-BE"/>
        </w:rPr>
        <w:t xml:space="preserve"> </w:t>
      </w:r>
    </w:p>
    <w:p w14:paraId="751BBBDF" w14:textId="77777777" w:rsidR="000E4C7C" w:rsidRDefault="000E4C7C" w:rsidP="002532B7">
      <w:pPr>
        <w:spacing w:line="276" w:lineRule="auto"/>
        <w:rPr>
          <w:rFonts w:ascii="Calibri" w:hAnsi="Calibri" w:cs="Arial"/>
          <w:lang w:val="nl-BE"/>
        </w:rPr>
      </w:pPr>
    </w:p>
    <w:p w14:paraId="04BDCBC8" w14:textId="6F846422" w:rsidR="002D1F72" w:rsidRDefault="00AB3763" w:rsidP="00C75526">
      <w:pPr>
        <w:spacing w:line="276" w:lineRule="auto"/>
        <w:jc w:val="both"/>
        <w:rPr>
          <w:rFonts w:ascii="Calibri" w:hAnsi="Calibri" w:cs="Arial"/>
          <w:lang w:val="nl-BE"/>
        </w:rPr>
      </w:pPr>
      <w:r>
        <w:rPr>
          <w:rFonts w:ascii="Calibri" w:hAnsi="Calibri" w:cs="Arial"/>
          <w:b/>
          <w:lang w:val="nl-BE"/>
        </w:rPr>
        <w:t>80.</w:t>
      </w:r>
      <w:r w:rsidR="002D1F72">
        <w:rPr>
          <w:rFonts w:ascii="Calibri" w:hAnsi="Calibri" w:cs="Arial"/>
          <w:lang w:val="nl-BE"/>
        </w:rPr>
        <w:t xml:space="preserve">Naast de </w:t>
      </w:r>
      <w:r w:rsidR="00A60DC5">
        <w:rPr>
          <w:rFonts w:ascii="Calibri" w:hAnsi="Calibri" w:cs="Arial"/>
          <w:lang w:val="nl-BE"/>
        </w:rPr>
        <w:t>integratie</w:t>
      </w:r>
      <w:r w:rsidR="002D1F72">
        <w:rPr>
          <w:rFonts w:ascii="Calibri" w:hAnsi="Calibri" w:cs="Arial"/>
          <w:lang w:val="nl-BE"/>
        </w:rPr>
        <w:t xml:space="preserve"> in het Gerechtelijk Wetboek, kan volgens mij de toetreding tot de overkoepelende instanties als belangrijkste maatregel beschouwd worden. Deze wordt ook het meest aanvaard door de respondenten met een absolute meerderheid van </w:t>
      </w:r>
      <w:r w:rsidR="008E6AB8">
        <w:rPr>
          <w:rFonts w:ascii="Calibri" w:hAnsi="Calibri" w:cs="Arial"/>
          <w:lang w:val="nl-BE"/>
        </w:rPr>
        <w:t>54% voor groen. Verder kiest 22% voor de gematigde optie geel en houdt 18% de stelling in het midden, waardoor slechts 6% van de stemmen opgaat voor de richting van ‘niet akkoord’.</w:t>
      </w:r>
    </w:p>
    <w:p w14:paraId="181609A1" w14:textId="1E00E400" w:rsidR="002D1F72" w:rsidRDefault="00862B33" w:rsidP="00C75526">
      <w:pPr>
        <w:spacing w:line="276" w:lineRule="auto"/>
        <w:jc w:val="both"/>
        <w:rPr>
          <w:rFonts w:ascii="Calibri" w:hAnsi="Calibri" w:cs="Arial"/>
          <w:lang w:val="nl-BE"/>
        </w:rPr>
      </w:pPr>
      <w:r>
        <w:rPr>
          <w:rFonts w:ascii="Calibri" w:hAnsi="Calibri" w:cs="Arial"/>
          <w:lang w:val="nl-BE"/>
        </w:rPr>
        <w:t>Nochtans blijkt er in de praktijk niet echt veel veranderd. Zo duiden veel respondenten – ook titularissen – dat de kandidaten enkel op papi</w:t>
      </w:r>
      <w:r w:rsidR="00D50C93">
        <w:rPr>
          <w:rFonts w:ascii="Calibri" w:hAnsi="Calibri" w:cs="Arial"/>
          <w:lang w:val="nl-BE"/>
        </w:rPr>
        <w:t>er meer inspraak</w:t>
      </w:r>
      <w:r>
        <w:rPr>
          <w:rFonts w:ascii="Calibri" w:hAnsi="Calibri" w:cs="Arial"/>
          <w:lang w:val="nl-BE"/>
        </w:rPr>
        <w:t xml:space="preserve"> hebben gekregen. Een titularis omschrijft de opwaardering als “</w:t>
      </w:r>
      <w:r w:rsidRPr="00FB6809">
        <w:rPr>
          <w:rFonts w:ascii="Calibri" w:hAnsi="Calibri" w:cs="Arial"/>
          <w:i/>
          <w:lang w:val="nl-BE"/>
        </w:rPr>
        <w:t>een dode mus</w:t>
      </w:r>
      <w:r>
        <w:rPr>
          <w:rFonts w:ascii="Calibri" w:hAnsi="Calibri" w:cs="Arial"/>
          <w:lang w:val="nl-BE"/>
        </w:rPr>
        <w:t xml:space="preserve">” </w:t>
      </w:r>
      <w:r w:rsidR="00224F6B">
        <w:rPr>
          <w:rFonts w:ascii="Calibri" w:hAnsi="Calibri" w:cs="Arial"/>
          <w:lang w:val="nl-BE"/>
        </w:rPr>
        <w:t>of</w:t>
      </w:r>
      <w:r w:rsidR="00FB6809">
        <w:rPr>
          <w:rFonts w:ascii="Calibri" w:hAnsi="Calibri" w:cs="Arial"/>
          <w:lang w:val="nl-BE"/>
        </w:rPr>
        <w:t xml:space="preserve"> </w:t>
      </w:r>
      <w:r w:rsidR="00224F6B">
        <w:rPr>
          <w:rFonts w:ascii="Calibri" w:hAnsi="Calibri" w:cs="Arial"/>
          <w:lang w:val="nl-BE"/>
        </w:rPr>
        <w:t>“</w:t>
      </w:r>
      <w:r w:rsidR="00224F6B" w:rsidRPr="00FB6809">
        <w:rPr>
          <w:rFonts w:ascii="Calibri" w:hAnsi="Calibri" w:cs="Arial"/>
          <w:i/>
          <w:lang w:val="nl-BE"/>
        </w:rPr>
        <w:t>een slag in het water</w:t>
      </w:r>
      <w:r w:rsidR="00224F6B">
        <w:rPr>
          <w:rFonts w:ascii="Calibri" w:hAnsi="Calibri" w:cs="Arial"/>
          <w:lang w:val="nl-BE"/>
        </w:rPr>
        <w:t xml:space="preserve">” </w:t>
      </w:r>
      <w:r>
        <w:rPr>
          <w:rFonts w:ascii="Calibri" w:hAnsi="Calibri" w:cs="Arial"/>
          <w:lang w:val="nl-BE"/>
        </w:rPr>
        <w:t xml:space="preserve">en nog een andere beweert dat </w:t>
      </w:r>
      <w:r w:rsidR="00FB6809">
        <w:rPr>
          <w:rFonts w:ascii="Calibri" w:hAnsi="Calibri" w:cs="Arial"/>
          <w:lang w:val="nl-BE"/>
        </w:rPr>
        <w:t>‘</w:t>
      </w:r>
      <w:r w:rsidR="00E8446B" w:rsidRPr="00FB6809">
        <w:rPr>
          <w:rFonts w:ascii="Calibri" w:hAnsi="Calibri" w:cs="Arial"/>
          <w:i/>
          <w:lang w:val="nl-BE"/>
        </w:rPr>
        <w:t>het enige gevolg van de opwaardering het betalen is van bijdragen aan de overkoepelende instanties</w:t>
      </w:r>
      <w:r w:rsidR="00FB6809">
        <w:rPr>
          <w:rFonts w:ascii="Calibri" w:hAnsi="Calibri" w:cs="Arial"/>
          <w:i/>
          <w:lang w:val="nl-BE"/>
        </w:rPr>
        <w:t>”</w:t>
      </w:r>
      <w:r w:rsidR="00E8446B">
        <w:rPr>
          <w:rFonts w:ascii="Calibri" w:hAnsi="Calibri" w:cs="Arial"/>
          <w:lang w:val="nl-BE"/>
        </w:rPr>
        <w:t xml:space="preserve">: niets meer of niets minder. Verder zijn er meningen terug te </w:t>
      </w:r>
      <w:r w:rsidR="00E8446B">
        <w:rPr>
          <w:rFonts w:ascii="Calibri" w:hAnsi="Calibri" w:cs="Arial"/>
          <w:lang w:val="nl-BE"/>
        </w:rPr>
        <w:lastRenderedPageBreak/>
        <w:t>vinden die stellen dat de kandidaten nog steeds te allen tijde</w:t>
      </w:r>
      <w:r w:rsidR="00A329F5">
        <w:rPr>
          <w:rFonts w:ascii="Calibri" w:hAnsi="Calibri" w:cs="Arial"/>
          <w:lang w:val="nl-BE"/>
        </w:rPr>
        <w:t xml:space="preserve"> </w:t>
      </w:r>
      <w:r w:rsidR="00D50C93">
        <w:rPr>
          <w:rFonts w:ascii="Calibri" w:hAnsi="Calibri" w:cs="Arial"/>
          <w:lang w:val="nl-BE"/>
        </w:rPr>
        <w:t>on</w:t>
      </w:r>
      <w:r w:rsidR="00A329F5">
        <w:rPr>
          <w:rFonts w:ascii="Calibri" w:hAnsi="Calibri" w:cs="Arial"/>
          <w:lang w:val="nl-BE"/>
        </w:rPr>
        <w:t>dergeschikt blijven</w:t>
      </w:r>
      <w:r w:rsidR="00D50C93">
        <w:rPr>
          <w:rFonts w:ascii="Calibri" w:hAnsi="Calibri" w:cs="Arial"/>
          <w:lang w:val="nl-BE"/>
        </w:rPr>
        <w:t xml:space="preserve"> </w:t>
      </w:r>
      <w:r w:rsidR="00E8446B">
        <w:rPr>
          <w:rFonts w:ascii="Calibri" w:hAnsi="Calibri" w:cs="Arial"/>
          <w:lang w:val="nl-BE"/>
        </w:rPr>
        <w:t xml:space="preserve">en dat ze in feite nauwelijks iets </w:t>
      </w:r>
      <w:r w:rsidR="00D50C93">
        <w:rPr>
          <w:rFonts w:ascii="Calibri" w:hAnsi="Calibri" w:cs="Arial"/>
          <w:lang w:val="nl-BE"/>
        </w:rPr>
        <w:t xml:space="preserve">in de pap te brokken hebben, </w:t>
      </w:r>
      <w:r w:rsidR="00D50C93" w:rsidRPr="00EB09D8">
        <w:rPr>
          <w:rFonts w:ascii="Calibri" w:hAnsi="Calibri" w:cs="Arial"/>
          <w:lang w:val="nl-BE"/>
        </w:rPr>
        <w:t xml:space="preserve">hoewel er per arrondissement verplicht minstens één kandidaat lid moet zijn van de raad en de algemene vergadering van de NKGB. </w:t>
      </w:r>
      <w:r w:rsidR="00EB09D8">
        <w:rPr>
          <w:rFonts w:ascii="Calibri" w:hAnsi="Calibri" w:cs="Arial"/>
          <w:lang w:val="nl-BE"/>
        </w:rPr>
        <w:t xml:space="preserve">Dit standpunt </w:t>
      </w:r>
      <w:r w:rsidR="008C4C85">
        <w:rPr>
          <w:rFonts w:ascii="Calibri" w:hAnsi="Calibri" w:cs="Arial"/>
          <w:lang w:val="nl-BE"/>
        </w:rPr>
        <w:t>wordt gerelativeerd</w:t>
      </w:r>
      <w:r w:rsidR="0020143D">
        <w:rPr>
          <w:rFonts w:ascii="Calibri" w:hAnsi="Calibri" w:cs="Arial"/>
          <w:lang w:val="nl-BE"/>
        </w:rPr>
        <w:t>, maar niet ontkend</w:t>
      </w:r>
      <w:r w:rsidR="008C4C85">
        <w:rPr>
          <w:rFonts w:ascii="Calibri" w:hAnsi="Calibri" w:cs="Arial"/>
          <w:lang w:val="nl-BE"/>
        </w:rPr>
        <w:t xml:space="preserve"> door Vandemeulebroecke</w:t>
      </w:r>
      <w:r w:rsidR="00EB09D8">
        <w:rPr>
          <w:rFonts w:ascii="Calibri" w:hAnsi="Calibri" w:cs="Arial"/>
          <w:lang w:val="nl-BE"/>
        </w:rPr>
        <w:t xml:space="preserve">. Zo wordt er volgens hem </w:t>
      </w:r>
      <w:r w:rsidR="00224F6B">
        <w:rPr>
          <w:rFonts w:ascii="Calibri" w:hAnsi="Calibri" w:cs="Arial"/>
          <w:lang w:val="nl-BE"/>
        </w:rPr>
        <w:t>eigenlijk</w:t>
      </w:r>
      <w:r w:rsidR="0020143D">
        <w:rPr>
          <w:rFonts w:ascii="Calibri" w:hAnsi="Calibri" w:cs="Arial"/>
          <w:lang w:val="nl-BE"/>
        </w:rPr>
        <w:t xml:space="preserve"> </w:t>
      </w:r>
      <w:r w:rsidR="00EB09D8">
        <w:rPr>
          <w:rFonts w:ascii="Calibri" w:hAnsi="Calibri" w:cs="Arial"/>
          <w:lang w:val="nl-BE"/>
        </w:rPr>
        <w:t>amper iets besli</w:t>
      </w:r>
      <w:r w:rsidR="00224F6B">
        <w:rPr>
          <w:rFonts w:ascii="Calibri" w:hAnsi="Calibri" w:cs="Arial"/>
          <w:lang w:val="nl-BE"/>
        </w:rPr>
        <w:t>st in de arrondissementsraad</w:t>
      </w:r>
      <w:r w:rsidR="00FB6809">
        <w:rPr>
          <w:rFonts w:ascii="Calibri" w:hAnsi="Calibri" w:cs="Arial"/>
          <w:lang w:val="nl-BE"/>
        </w:rPr>
        <w:t xml:space="preserve">. Op </w:t>
      </w:r>
      <w:r w:rsidR="00EB09D8">
        <w:rPr>
          <w:rFonts w:ascii="Calibri" w:hAnsi="Calibri" w:cs="Arial"/>
          <w:lang w:val="nl-BE"/>
        </w:rPr>
        <w:t>nationaal niveau</w:t>
      </w:r>
      <w:r w:rsidR="0020143D">
        <w:rPr>
          <w:rFonts w:ascii="Calibri" w:hAnsi="Calibri" w:cs="Arial"/>
          <w:lang w:val="nl-BE"/>
        </w:rPr>
        <w:t>, in de algemene vergadering</w:t>
      </w:r>
      <w:r w:rsidR="00224F6B">
        <w:rPr>
          <w:rFonts w:ascii="Calibri" w:hAnsi="Calibri" w:cs="Arial"/>
          <w:lang w:val="nl-BE"/>
        </w:rPr>
        <w:t xml:space="preserve"> van de NKGB</w:t>
      </w:r>
      <w:r w:rsidR="0020143D">
        <w:rPr>
          <w:rFonts w:ascii="Calibri" w:hAnsi="Calibri" w:cs="Arial"/>
          <w:lang w:val="nl-BE"/>
        </w:rPr>
        <w:t xml:space="preserve"> waar</w:t>
      </w:r>
      <w:r w:rsidR="00224F6B">
        <w:rPr>
          <w:rFonts w:ascii="Calibri" w:hAnsi="Calibri" w:cs="Arial"/>
          <w:lang w:val="nl-BE"/>
        </w:rPr>
        <w:t>in</w:t>
      </w:r>
      <w:r w:rsidR="0020143D">
        <w:rPr>
          <w:rFonts w:ascii="Calibri" w:hAnsi="Calibri" w:cs="Arial"/>
          <w:lang w:val="nl-BE"/>
        </w:rPr>
        <w:t xml:space="preserve"> hij zelf zetelt,</w:t>
      </w:r>
      <w:r w:rsidR="00723EEF">
        <w:rPr>
          <w:rFonts w:ascii="Calibri" w:hAnsi="Calibri" w:cs="Arial"/>
          <w:lang w:val="nl-BE"/>
        </w:rPr>
        <w:t xml:space="preserve"> </w:t>
      </w:r>
      <w:r w:rsidR="00EB09D8">
        <w:rPr>
          <w:rFonts w:ascii="Calibri" w:hAnsi="Calibri" w:cs="Arial"/>
          <w:lang w:val="nl-BE"/>
        </w:rPr>
        <w:t>heeft de verpli</w:t>
      </w:r>
      <w:r w:rsidR="00224F6B">
        <w:rPr>
          <w:rFonts w:ascii="Calibri" w:hAnsi="Calibri" w:cs="Arial"/>
          <w:lang w:val="nl-BE"/>
        </w:rPr>
        <w:t>chte kandidaat ook gewoon één s</w:t>
      </w:r>
      <w:r w:rsidR="00EB09D8">
        <w:rPr>
          <w:rFonts w:ascii="Calibri" w:hAnsi="Calibri" w:cs="Arial"/>
          <w:lang w:val="nl-BE"/>
        </w:rPr>
        <w:t>tem, evenwaardig aan die van zijn collega’s-titularis. Vanzelfsprekend zijn de kandidaten steeds in de minderheid en bij eventuele belangenconflicten in de besluitvorming zullen ze dus inderdaad minder doorwegen</w:t>
      </w:r>
      <w:r w:rsidR="008C4C85">
        <w:rPr>
          <w:rFonts w:ascii="Calibri" w:hAnsi="Calibri" w:cs="Arial"/>
          <w:lang w:val="nl-BE"/>
        </w:rPr>
        <w:t>, maar dat acht hij logisch</w:t>
      </w:r>
      <w:r w:rsidR="00EB09D8">
        <w:rPr>
          <w:rFonts w:ascii="Calibri" w:hAnsi="Calibri" w:cs="Arial"/>
          <w:lang w:val="nl-BE"/>
        </w:rPr>
        <w:t>.</w:t>
      </w:r>
    </w:p>
    <w:p w14:paraId="4280F0BD" w14:textId="559E5057" w:rsidR="00EB09D8" w:rsidRPr="00EB09D8" w:rsidRDefault="00EB09D8" w:rsidP="00C75526">
      <w:pPr>
        <w:spacing w:line="276" w:lineRule="auto"/>
        <w:jc w:val="both"/>
        <w:rPr>
          <w:rFonts w:ascii="Calibri" w:hAnsi="Calibri" w:cs="Arial"/>
          <w:lang w:val="nl-BE"/>
        </w:rPr>
      </w:pPr>
      <w:r>
        <w:rPr>
          <w:rFonts w:ascii="Calibri" w:hAnsi="Calibri" w:cs="Arial"/>
          <w:lang w:val="nl-BE"/>
        </w:rPr>
        <w:t>Verder geeft hij aan dat een kandidaat geen ‘eigen handtekening</w:t>
      </w:r>
      <w:r w:rsidR="008C7FDF">
        <w:rPr>
          <w:rFonts w:ascii="Calibri" w:hAnsi="Calibri" w:cs="Arial"/>
          <w:lang w:val="nl-BE"/>
        </w:rPr>
        <w:t>’</w:t>
      </w:r>
      <w:r>
        <w:rPr>
          <w:rFonts w:ascii="Calibri" w:hAnsi="Calibri" w:cs="Arial"/>
          <w:lang w:val="nl-BE"/>
        </w:rPr>
        <w:t xml:space="preserve"> heeft en operationeel </w:t>
      </w:r>
      <w:r w:rsidR="00311731">
        <w:rPr>
          <w:rFonts w:ascii="Calibri" w:hAnsi="Calibri" w:cs="Arial"/>
          <w:lang w:val="nl-BE"/>
        </w:rPr>
        <w:t xml:space="preserve">dus </w:t>
      </w:r>
      <w:r>
        <w:rPr>
          <w:rFonts w:ascii="Calibri" w:hAnsi="Calibri" w:cs="Arial"/>
          <w:lang w:val="nl-BE"/>
        </w:rPr>
        <w:t xml:space="preserve">steeds in plaatsvervanging werkt van de titularis, waardoor sommigen misschien van oordeel zijn dat </w:t>
      </w:r>
      <w:r w:rsidR="008C4C85">
        <w:rPr>
          <w:rFonts w:ascii="Calibri" w:hAnsi="Calibri" w:cs="Arial"/>
          <w:lang w:val="nl-BE"/>
        </w:rPr>
        <w:t xml:space="preserve">de kandidaten niets te zeggen hebben. </w:t>
      </w:r>
    </w:p>
    <w:p w14:paraId="207C178B" w14:textId="77777777" w:rsidR="002D1F72" w:rsidRDefault="002D1F72" w:rsidP="002532B7">
      <w:pPr>
        <w:spacing w:line="276" w:lineRule="auto"/>
        <w:rPr>
          <w:rFonts w:ascii="Calibri" w:hAnsi="Calibri" w:cs="Arial"/>
          <w:lang w:val="nl-BE"/>
        </w:rPr>
      </w:pPr>
    </w:p>
    <w:p w14:paraId="72355C0F" w14:textId="1C6CB728" w:rsidR="000E4C7C" w:rsidRDefault="00AB3763" w:rsidP="00C75526">
      <w:pPr>
        <w:spacing w:line="276" w:lineRule="auto"/>
        <w:jc w:val="both"/>
        <w:rPr>
          <w:rFonts w:ascii="Calibri" w:hAnsi="Calibri" w:cs="Arial"/>
          <w:lang w:val="nl-BE"/>
        </w:rPr>
      </w:pPr>
      <w:r>
        <w:rPr>
          <w:rFonts w:ascii="Calibri" w:hAnsi="Calibri" w:cs="Arial"/>
          <w:b/>
          <w:lang w:val="nl-BE"/>
        </w:rPr>
        <w:t>81.</w:t>
      </w:r>
      <w:r w:rsidR="000E4C7C">
        <w:rPr>
          <w:rFonts w:ascii="Calibri" w:hAnsi="Calibri" w:cs="Arial"/>
          <w:lang w:val="nl-BE"/>
        </w:rPr>
        <w:t xml:space="preserve">In een </w:t>
      </w:r>
      <w:r w:rsidR="008C4C85">
        <w:rPr>
          <w:rFonts w:ascii="Calibri" w:hAnsi="Calibri" w:cs="Arial"/>
          <w:lang w:val="nl-BE"/>
        </w:rPr>
        <w:t>publicatie</w:t>
      </w:r>
      <w:r w:rsidR="000E4C7C">
        <w:rPr>
          <w:rFonts w:ascii="Calibri" w:hAnsi="Calibri" w:cs="Arial"/>
          <w:lang w:val="nl-BE"/>
        </w:rPr>
        <w:t xml:space="preserve"> over het nieuwe statuut</w:t>
      </w:r>
      <w:r w:rsidR="000E4C7C">
        <w:rPr>
          <w:rStyle w:val="Voetnootmarkering"/>
          <w:rFonts w:ascii="Calibri" w:hAnsi="Calibri" w:cs="Arial"/>
          <w:lang w:val="nl-BE"/>
        </w:rPr>
        <w:footnoteReference w:id="184"/>
      </w:r>
      <w:r w:rsidR="000E4C7C">
        <w:rPr>
          <w:rFonts w:ascii="Calibri" w:hAnsi="Calibri" w:cs="Arial"/>
          <w:lang w:val="nl-BE"/>
        </w:rPr>
        <w:t xml:space="preserve"> beweert gerechtsdeurwaarder Lombardi dat kandidaat-gerechtsdeurwaarders voornamelijk het zogenaamde baanwerk</w:t>
      </w:r>
      <w:r w:rsidR="000E4C7C">
        <w:rPr>
          <w:rStyle w:val="Voetnootmarkering"/>
          <w:rFonts w:ascii="Calibri" w:hAnsi="Calibri" w:cs="Arial"/>
          <w:lang w:val="nl-BE"/>
        </w:rPr>
        <w:footnoteReference w:id="185"/>
      </w:r>
      <w:r w:rsidR="000E4C7C">
        <w:rPr>
          <w:rFonts w:ascii="Calibri" w:hAnsi="Calibri" w:cs="Arial"/>
          <w:lang w:val="nl-BE"/>
        </w:rPr>
        <w:t xml:space="preserve"> doen. Deze stelling deed mij de wenkbrauwen fronsen: op het kantoor waar ik stage heb gelopen was dit namelijk net het tegenovergestelde. Uit de peiling blijkt dat dit inderdaad een iets te voorbarige stelling is en dat dit klaarblijkelijk </w:t>
      </w:r>
      <w:r w:rsidR="002023C7">
        <w:rPr>
          <w:rFonts w:ascii="Calibri" w:hAnsi="Calibri" w:cs="Arial"/>
          <w:lang w:val="nl-BE"/>
        </w:rPr>
        <w:t xml:space="preserve">moet verschillen </w:t>
      </w:r>
      <w:r w:rsidR="000E4C7C">
        <w:rPr>
          <w:rFonts w:ascii="Calibri" w:hAnsi="Calibri" w:cs="Arial"/>
          <w:lang w:val="nl-BE"/>
        </w:rPr>
        <w:t>van kantoor tot kantoor: ondanks dat 41% ermee instemt, gaat 35% niet of niet echt akkoord. Op het niveau van de extremen haalt rood het zelfs van groen, met respectievelijk 13 en 9%.</w:t>
      </w:r>
    </w:p>
    <w:p w14:paraId="5A5E8035" w14:textId="4A5CA91D" w:rsidR="000E4C7C" w:rsidRDefault="000E4C7C" w:rsidP="00C75526">
      <w:pPr>
        <w:spacing w:line="276" w:lineRule="auto"/>
        <w:jc w:val="both"/>
        <w:rPr>
          <w:rFonts w:ascii="Calibri" w:hAnsi="Calibri" w:cs="Arial"/>
          <w:lang w:val="nl-BE"/>
        </w:rPr>
      </w:pPr>
      <w:r>
        <w:rPr>
          <w:rFonts w:ascii="Calibri" w:hAnsi="Calibri" w:cs="Arial"/>
          <w:lang w:val="nl-BE"/>
        </w:rPr>
        <w:t xml:space="preserve">Een verklaring voor deze verdeeldheid </w:t>
      </w:r>
      <w:r w:rsidR="008C7FDF">
        <w:rPr>
          <w:rFonts w:ascii="Calibri" w:hAnsi="Calibri" w:cs="Arial"/>
          <w:lang w:val="nl-BE"/>
        </w:rPr>
        <w:t>kan</w:t>
      </w:r>
      <w:r>
        <w:rPr>
          <w:rFonts w:ascii="Calibri" w:hAnsi="Calibri" w:cs="Arial"/>
          <w:lang w:val="nl-BE"/>
        </w:rPr>
        <w:t xml:space="preserve"> het al dan niet invullen van de wettelijke grens van 180 dagen plaatsvervanging</w:t>
      </w:r>
      <w:r w:rsidR="008C7FDF">
        <w:rPr>
          <w:rFonts w:ascii="Calibri" w:hAnsi="Calibri" w:cs="Arial"/>
          <w:lang w:val="nl-BE"/>
        </w:rPr>
        <w:t xml:space="preserve"> zijn</w:t>
      </w:r>
      <w:r>
        <w:rPr>
          <w:rFonts w:ascii="Calibri" w:hAnsi="Calibri" w:cs="Arial"/>
          <w:lang w:val="nl-BE"/>
        </w:rPr>
        <w:t xml:space="preserve">. Een pak respondenten is hier niet over te spreken en vindt die 180 dagen, </w:t>
      </w:r>
      <w:r w:rsidR="008C7FDF">
        <w:rPr>
          <w:rFonts w:ascii="Calibri" w:hAnsi="Calibri" w:cs="Arial"/>
          <w:lang w:val="nl-BE"/>
        </w:rPr>
        <w:t xml:space="preserve">zijnde </w:t>
      </w:r>
      <w:r>
        <w:rPr>
          <w:rFonts w:ascii="Calibri" w:hAnsi="Calibri" w:cs="Arial"/>
          <w:lang w:val="nl-BE"/>
        </w:rPr>
        <w:t>zes volle maanden, nog veel te veel</w:t>
      </w:r>
      <w:r w:rsidR="00B1207A">
        <w:rPr>
          <w:rFonts w:ascii="Calibri" w:hAnsi="Calibri" w:cs="Arial"/>
          <w:lang w:val="nl-BE"/>
        </w:rPr>
        <w:t xml:space="preserve"> en zullen dit waarschijnlijk dus niet (volledig) gebruiken</w:t>
      </w:r>
      <w:r>
        <w:rPr>
          <w:rFonts w:ascii="Calibri" w:hAnsi="Calibri" w:cs="Arial"/>
          <w:lang w:val="nl-BE"/>
        </w:rPr>
        <w:t>. Die limiet is er immers gekomen wegens een vaak voorkomend fenomeen: naar verluidt waren sommige, oudere gerechtsdeurwaarders nog amper werkzaam en lieten zij zich quasi constant vervangen.</w:t>
      </w:r>
      <w:r w:rsidR="008C4C85">
        <w:rPr>
          <w:rFonts w:ascii="Calibri" w:hAnsi="Calibri" w:cs="Arial"/>
          <w:lang w:val="nl-BE"/>
        </w:rPr>
        <w:t xml:space="preserve"> Deze bewering wordt bevestigd </w:t>
      </w:r>
      <w:r w:rsidR="00B1207A">
        <w:rPr>
          <w:rFonts w:ascii="Calibri" w:hAnsi="Calibri" w:cs="Arial"/>
          <w:lang w:val="nl-BE"/>
        </w:rPr>
        <w:t xml:space="preserve">door Vandemeulebroecke, waardoor die </w:t>
      </w:r>
      <w:r w:rsidR="00847C65">
        <w:rPr>
          <w:rFonts w:ascii="Calibri" w:hAnsi="Calibri" w:cs="Arial"/>
          <w:lang w:val="nl-BE"/>
        </w:rPr>
        <w:t>limiet</w:t>
      </w:r>
      <w:r w:rsidR="00B1207A">
        <w:rPr>
          <w:rFonts w:ascii="Calibri" w:hAnsi="Calibri" w:cs="Arial"/>
          <w:lang w:val="nl-BE"/>
        </w:rPr>
        <w:t xml:space="preserve"> mijns inziens </w:t>
      </w:r>
      <w:r w:rsidR="00847C65">
        <w:rPr>
          <w:rFonts w:ascii="Calibri" w:hAnsi="Calibri" w:cs="Arial"/>
          <w:lang w:val="nl-BE"/>
        </w:rPr>
        <w:t>gerechtvaardigd</w:t>
      </w:r>
      <w:r w:rsidR="00B1207A">
        <w:rPr>
          <w:rFonts w:ascii="Calibri" w:hAnsi="Calibri" w:cs="Arial"/>
          <w:lang w:val="nl-BE"/>
        </w:rPr>
        <w:t xml:space="preserve"> is. Rekening houdend met de problematische ‘bottleneck’ in de benoeming</w:t>
      </w:r>
      <w:r w:rsidR="00847C65">
        <w:rPr>
          <w:rFonts w:ascii="Calibri" w:hAnsi="Calibri" w:cs="Arial"/>
          <w:lang w:val="nl-BE"/>
        </w:rPr>
        <w:t>en</w:t>
      </w:r>
      <w:r w:rsidR="00B1207A">
        <w:rPr>
          <w:rFonts w:ascii="Calibri" w:hAnsi="Calibri" w:cs="Arial"/>
          <w:lang w:val="nl-BE"/>
        </w:rPr>
        <w:t xml:space="preserve"> – met een overvloed aan kandidaten voor een zeer beperkt aantal plaatsen – is het inderdaad oneerlijk dat die </w:t>
      </w:r>
      <w:r w:rsidR="00847C65">
        <w:rPr>
          <w:rFonts w:ascii="Calibri" w:hAnsi="Calibri" w:cs="Arial"/>
          <w:lang w:val="nl-BE"/>
        </w:rPr>
        <w:t xml:space="preserve">inactieve </w:t>
      </w:r>
      <w:r w:rsidR="00B1207A">
        <w:rPr>
          <w:rFonts w:ascii="Calibri" w:hAnsi="Calibri" w:cs="Arial"/>
          <w:lang w:val="nl-BE"/>
        </w:rPr>
        <w:t xml:space="preserve">gerechtsdeurwaarders de nieuwe garde in de weg staan. </w:t>
      </w:r>
    </w:p>
    <w:p w14:paraId="4429C0E1" w14:textId="77777777" w:rsidR="00FA35EB" w:rsidRDefault="00FA35EB" w:rsidP="002532B7">
      <w:pPr>
        <w:spacing w:line="276" w:lineRule="auto"/>
        <w:rPr>
          <w:rFonts w:ascii="Calibri" w:hAnsi="Calibri" w:cs="Arial"/>
          <w:lang w:val="nl-BE"/>
        </w:rPr>
      </w:pPr>
    </w:p>
    <w:p w14:paraId="671C260A" w14:textId="4F3EC7C9" w:rsidR="007D2F90" w:rsidRDefault="00AB3763" w:rsidP="00C75526">
      <w:pPr>
        <w:spacing w:line="276" w:lineRule="auto"/>
        <w:jc w:val="both"/>
        <w:rPr>
          <w:rFonts w:ascii="Calibri" w:hAnsi="Calibri" w:cs="Arial"/>
          <w:lang w:val="nl-BE"/>
        </w:rPr>
      </w:pPr>
      <w:r>
        <w:rPr>
          <w:rFonts w:ascii="Calibri" w:hAnsi="Calibri" w:cs="Arial"/>
          <w:b/>
          <w:lang w:val="nl-BE"/>
        </w:rPr>
        <w:t>82.</w:t>
      </w:r>
      <w:r w:rsidR="007D2F90">
        <w:rPr>
          <w:rFonts w:ascii="Calibri" w:hAnsi="Calibri" w:cs="Arial"/>
          <w:lang w:val="nl-BE"/>
        </w:rPr>
        <w:t xml:space="preserve">Merkwaardig genoeg scoren geel en groen slechts 5% meer dan rood en oranje op de vraag of die beperking een goede zaak is. </w:t>
      </w:r>
      <w:r w:rsidR="00662B41">
        <w:rPr>
          <w:rFonts w:ascii="Calibri" w:hAnsi="Calibri" w:cs="Arial"/>
          <w:lang w:val="nl-BE"/>
        </w:rPr>
        <w:t>Het</w:t>
      </w:r>
      <w:r w:rsidR="007D2F90">
        <w:rPr>
          <w:rFonts w:ascii="Calibri" w:hAnsi="Calibri" w:cs="Arial"/>
          <w:lang w:val="nl-BE"/>
        </w:rPr>
        <w:t xml:space="preserve"> huidige statuut en vooral het jaar van benoeming van de respondenten </w:t>
      </w:r>
      <w:r w:rsidR="00662B41">
        <w:rPr>
          <w:rFonts w:ascii="Calibri" w:hAnsi="Calibri" w:cs="Arial"/>
          <w:lang w:val="nl-BE"/>
        </w:rPr>
        <w:t xml:space="preserve">leert </w:t>
      </w:r>
      <w:r w:rsidR="007D2F90">
        <w:rPr>
          <w:rFonts w:ascii="Calibri" w:hAnsi="Calibri" w:cs="Arial"/>
          <w:lang w:val="nl-BE"/>
        </w:rPr>
        <w:t>ons dat het vooral de anciens zijn (benoemd in de jaren ’80 en ’90) die hier niet akkoord mee gaan. Laat dat nu net de</w:t>
      </w:r>
      <w:r w:rsidR="00662B41">
        <w:rPr>
          <w:rFonts w:ascii="Calibri" w:hAnsi="Calibri" w:cs="Arial"/>
          <w:lang w:val="nl-BE"/>
        </w:rPr>
        <w:t xml:space="preserve"> groep zijn die beschuldigd wordt</w:t>
      </w:r>
      <w:r w:rsidR="007D2F90">
        <w:rPr>
          <w:rFonts w:ascii="Calibri" w:hAnsi="Calibri" w:cs="Arial"/>
          <w:lang w:val="nl-BE"/>
        </w:rPr>
        <w:t xml:space="preserve"> van derg</w:t>
      </w:r>
      <w:r w:rsidR="00224F6B">
        <w:rPr>
          <w:rFonts w:ascii="Calibri" w:hAnsi="Calibri" w:cs="Arial"/>
          <w:lang w:val="nl-BE"/>
        </w:rPr>
        <w:t xml:space="preserve">elijke oneerlijke praktijken… </w:t>
      </w:r>
      <w:r w:rsidR="00C104F5">
        <w:rPr>
          <w:rFonts w:ascii="Calibri" w:hAnsi="Calibri" w:cs="Arial"/>
          <w:lang w:val="nl-BE"/>
        </w:rPr>
        <w:t>Een van hen</w:t>
      </w:r>
      <w:r w:rsidR="007D2F90">
        <w:rPr>
          <w:rFonts w:ascii="Calibri" w:hAnsi="Calibri" w:cs="Arial"/>
          <w:lang w:val="nl-BE"/>
        </w:rPr>
        <w:t xml:space="preserve"> beargumenteert </w:t>
      </w:r>
      <w:r w:rsidR="00662B41">
        <w:rPr>
          <w:rFonts w:ascii="Calibri" w:hAnsi="Calibri" w:cs="Arial"/>
          <w:lang w:val="nl-BE"/>
        </w:rPr>
        <w:t>zijn mening</w:t>
      </w:r>
      <w:r w:rsidR="00B1207A">
        <w:rPr>
          <w:rFonts w:ascii="Calibri" w:hAnsi="Calibri" w:cs="Arial"/>
          <w:lang w:val="nl-BE"/>
        </w:rPr>
        <w:t xml:space="preserve"> contra</w:t>
      </w:r>
      <w:r w:rsidR="00662B41">
        <w:rPr>
          <w:rFonts w:ascii="Calibri" w:hAnsi="Calibri" w:cs="Arial"/>
          <w:lang w:val="nl-BE"/>
        </w:rPr>
        <w:t xml:space="preserve"> </w:t>
      </w:r>
      <w:r w:rsidR="007D2F90">
        <w:rPr>
          <w:rFonts w:ascii="Calibri" w:hAnsi="Calibri" w:cs="Arial"/>
          <w:lang w:val="nl-BE"/>
        </w:rPr>
        <w:t xml:space="preserve">dat door de beperking jongere kandidaten veel honoraria mislopen, iets wat voor </w:t>
      </w:r>
      <w:r w:rsidR="00662B41">
        <w:rPr>
          <w:rFonts w:ascii="Calibri" w:hAnsi="Calibri" w:cs="Arial"/>
          <w:lang w:val="nl-BE"/>
        </w:rPr>
        <w:t xml:space="preserve">oudere, gesettelde gerechtsdeurwaarders van minder belang is. </w:t>
      </w:r>
      <w:r w:rsidR="008C4C85">
        <w:rPr>
          <w:rFonts w:ascii="Calibri" w:hAnsi="Calibri" w:cs="Arial"/>
          <w:lang w:val="nl-BE"/>
        </w:rPr>
        <w:t xml:space="preserve">Een andere meent dat ervaren titularissen nuttiger zijn op kantoor dan op de baan, bijvoorbeeld voor het ondersteunen van medewerkers of de behandeling van complexe dossiers. </w:t>
      </w:r>
    </w:p>
    <w:p w14:paraId="748900ED" w14:textId="4A476CA8" w:rsidR="000800E7" w:rsidRDefault="00662B41" w:rsidP="00C75526">
      <w:pPr>
        <w:spacing w:line="276" w:lineRule="auto"/>
        <w:jc w:val="both"/>
        <w:rPr>
          <w:rFonts w:ascii="Calibri" w:hAnsi="Calibri" w:cs="Arial"/>
          <w:lang w:val="nl-BE"/>
        </w:rPr>
      </w:pPr>
      <w:r>
        <w:rPr>
          <w:rFonts w:ascii="Calibri" w:hAnsi="Calibri" w:cs="Arial"/>
          <w:lang w:val="nl-BE"/>
        </w:rPr>
        <w:lastRenderedPageBreak/>
        <w:t>Een ander</w:t>
      </w:r>
      <w:r w:rsidR="00922E93">
        <w:rPr>
          <w:rFonts w:ascii="Calibri" w:hAnsi="Calibri" w:cs="Arial"/>
          <w:lang w:val="nl-BE"/>
        </w:rPr>
        <w:t xml:space="preserve"> verbod</w:t>
      </w:r>
      <w:r>
        <w:rPr>
          <w:rFonts w:ascii="Calibri" w:hAnsi="Calibri" w:cs="Arial"/>
          <w:lang w:val="nl-BE"/>
        </w:rPr>
        <w:t>, de zogenaamde dubbele handtekening</w:t>
      </w:r>
      <w:r>
        <w:rPr>
          <w:rStyle w:val="Voetnootmarkering"/>
          <w:rFonts w:ascii="Calibri" w:hAnsi="Calibri" w:cs="Arial"/>
          <w:lang w:val="nl-BE"/>
        </w:rPr>
        <w:footnoteReference w:id="186"/>
      </w:r>
      <w:r>
        <w:rPr>
          <w:rFonts w:ascii="Calibri" w:hAnsi="Calibri" w:cs="Arial"/>
          <w:lang w:val="nl-BE"/>
        </w:rPr>
        <w:t>, wordt dan weer wel zeer positief onthaald me</w:t>
      </w:r>
      <w:r w:rsidR="00B1207A">
        <w:rPr>
          <w:rFonts w:ascii="Calibri" w:hAnsi="Calibri" w:cs="Arial"/>
          <w:lang w:val="nl-BE"/>
        </w:rPr>
        <w:t xml:space="preserve">t een score van 54% voor groen, omdat grote kantoren dan te veel opdrachten zouden kunnen uitvoeren en er oneerlijke concurrentie zou ontstaan. </w:t>
      </w:r>
    </w:p>
    <w:p w14:paraId="312046B1" w14:textId="3E44D017" w:rsidR="000800E7" w:rsidRDefault="000800E7">
      <w:pPr>
        <w:rPr>
          <w:rFonts w:ascii="Calibri" w:hAnsi="Calibri" w:cs="Arial"/>
          <w:lang w:val="nl-BE"/>
        </w:rPr>
      </w:pPr>
      <w:r>
        <w:rPr>
          <w:rFonts w:ascii="Calibri" w:hAnsi="Calibri" w:cs="Arial"/>
          <w:lang w:val="nl-BE"/>
        </w:rPr>
        <w:br w:type="page"/>
      </w:r>
    </w:p>
    <w:p w14:paraId="1CB5F8E9" w14:textId="3BFD87A7" w:rsidR="005500D5" w:rsidRDefault="00792FAB" w:rsidP="002532B7">
      <w:pPr>
        <w:pStyle w:val="Kop2"/>
        <w:spacing w:line="276" w:lineRule="auto"/>
        <w:rPr>
          <w:lang w:val="nl-BE"/>
        </w:rPr>
      </w:pPr>
      <w:bookmarkStart w:id="33" w:name="_Toc40689971"/>
      <w:r>
        <w:rPr>
          <w:lang w:val="nl-BE"/>
        </w:rPr>
        <w:lastRenderedPageBreak/>
        <w:t xml:space="preserve">Hoofdstuk </w:t>
      </w:r>
      <w:r w:rsidR="00E21349">
        <w:rPr>
          <w:lang w:val="nl-BE"/>
        </w:rPr>
        <w:t>5</w:t>
      </w:r>
      <w:r>
        <w:rPr>
          <w:lang w:val="nl-BE"/>
        </w:rPr>
        <w:t>: Continuïteitsgarantie voor niet-geassocieerde kantoren</w:t>
      </w:r>
      <w:bookmarkEnd w:id="33"/>
      <w:r>
        <w:rPr>
          <w:lang w:val="nl-BE"/>
        </w:rPr>
        <w:t xml:space="preserve"> </w:t>
      </w:r>
    </w:p>
    <w:p w14:paraId="65547321" w14:textId="77777777" w:rsidR="00E8446B" w:rsidRDefault="00E8446B" w:rsidP="002532B7">
      <w:pPr>
        <w:spacing w:line="276" w:lineRule="auto"/>
        <w:rPr>
          <w:rFonts w:ascii="Calibri" w:hAnsi="Calibri" w:cs="Arial"/>
          <w:lang w:val="nl-BE"/>
        </w:rPr>
      </w:pPr>
    </w:p>
    <w:p w14:paraId="1EEB0CC8" w14:textId="3E5605AA" w:rsidR="006D5F8E" w:rsidRDefault="00AB3763" w:rsidP="00C75526">
      <w:pPr>
        <w:spacing w:line="276" w:lineRule="auto"/>
        <w:jc w:val="both"/>
        <w:rPr>
          <w:rFonts w:ascii="Calibri" w:hAnsi="Calibri" w:cs="Arial"/>
          <w:lang w:val="nl-BE"/>
        </w:rPr>
      </w:pPr>
      <w:r>
        <w:rPr>
          <w:rFonts w:ascii="Calibri" w:hAnsi="Calibri" w:cs="Arial"/>
          <w:b/>
          <w:lang w:val="nl-BE"/>
        </w:rPr>
        <w:t>83.</w:t>
      </w:r>
      <w:r w:rsidR="006D5F8E">
        <w:rPr>
          <w:rFonts w:ascii="Calibri" w:hAnsi="Calibri" w:cs="Arial"/>
          <w:lang w:val="nl-BE"/>
        </w:rPr>
        <w:t>Uit de algemene bevraging</w:t>
      </w:r>
      <w:r w:rsidR="00AF00BB">
        <w:rPr>
          <w:rStyle w:val="Voetnootmarkering"/>
          <w:rFonts w:ascii="Calibri" w:hAnsi="Calibri" w:cs="Arial"/>
          <w:lang w:val="nl-BE"/>
        </w:rPr>
        <w:footnoteReference w:id="187"/>
      </w:r>
      <w:r w:rsidR="00AF00BB">
        <w:rPr>
          <w:rFonts w:ascii="Calibri" w:hAnsi="Calibri" w:cs="Arial"/>
          <w:lang w:val="nl-BE"/>
        </w:rPr>
        <w:t xml:space="preserve"> </w:t>
      </w:r>
      <w:r w:rsidR="006D5F8E">
        <w:rPr>
          <w:rFonts w:ascii="Calibri" w:hAnsi="Calibri" w:cs="Arial"/>
          <w:lang w:val="nl-BE"/>
        </w:rPr>
        <w:t>is reeds gebleken dat de gerechtsdeurwaarders het minst vragende partij waren voor de continuïteit</w:t>
      </w:r>
      <w:r w:rsidR="000031BA">
        <w:rPr>
          <w:rFonts w:ascii="Calibri" w:hAnsi="Calibri" w:cs="Arial"/>
          <w:lang w:val="nl-BE"/>
        </w:rPr>
        <w:t>sgarantie</w:t>
      </w:r>
      <w:r w:rsidR="0080099B">
        <w:rPr>
          <w:rFonts w:ascii="Calibri" w:hAnsi="Calibri" w:cs="Arial"/>
          <w:lang w:val="nl-BE"/>
        </w:rPr>
        <w:t>. Dat blijkt ook uit de duiding van hun antwoorden, waar sommigen opnieuw geen blad voor de mond nemen</w:t>
      </w:r>
      <w:r w:rsidR="00F23B61">
        <w:rPr>
          <w:rFonts w:ascii="Calibri" w:hAnsi="Calibri" w:cs="Arial"/>
          <w:lang w:val="nl-BE"/>
        </w:rPr>
        <w:t xml:space="preserve"> en uithalen naar hun confraters</w:t>
      </w:r>
      <w:r w:rsidR="0080099B">
        <w:rPr>
          <w:rFonts w:ascii="Calibri" w:hAnsi="Calibri" w:cs="Arial"/>
          <w:lang w:val="nl-BE"/>
        </w:rPr>
        <w:t xml:space="preserve">. De continuïteitsgarantie zou er volgens een aantal respondenten </w:t>
      </w:r>
      <w:r w:rsidR="006C56FB">
        <w:rPr>
          <w:rFonts w:ascii="Calibri" w:hAnsi="Calibri" w:cs="Arial"/>
          <w:lang w:val="nl-BE"/>
        </w:rPr>
        <w:t xml:space="preserve">enkel en alleen </w:t>
      </w:r>
      <w:r w:rsidR="0080099B">
        <w:rPr>
          <w:rFonts w:ascii="Calibri" w:hAnsi="Calibri" w:cs="Arial"/>
          <w:lang w:val="nl-BE"/>
        </w:rPr>
        <w:t>gekomen zijn op vraag van oudere gerechtsdeurwaarders, die door de verplichte overname</w:t>
      </w:r>
      <w:r w:rsidR="000031BA">
        <w:rPr>
          <w:rFonts w:ascii="Calibri" w:hAnsi="Calibri" w:cs="Arial"/>
          <w:lang w:val="nl-BE"/>
        </w:rPr>
        <w:t xml:space="preserve"> </w:t>
      </w:r>
      <w:r w:rsidR="0080099B">
        <w:rPr>
          <w:rFonts w:ascii="Calibri" w:hAnsi="Calibri" w:cs="Arial"/>
          <w:lang w:val="nl-BE"/>
        </w:rPr>
        <w:t>alsnog een mooie uittredingsvergoeding</w:t>
      </w:r>
      <w:r w:rsidR="00650056">
        <w:rPr>
          <w:rFonts w:ascii="Calibri" w:hAnsi="Calibri" w:cs="Arial"/>
          <w:lang w:val="nl-BE"/>
        </w:rPr>
        <w:t xml:space="preserve"> </w:t>
      </w:r>
      <w:r w:rsidR="0080099B">
        <w:rPr>
          <w:rFonts w:ascii="Calibri" w:hAnsi="Calibri" w:cs="Arial"/>
          <w:lang w:val="nl-BE"/>
        </w:rPr>
        <w:t>opst</w:t>
      </w:r>
      <w:r w:rsidR="004A70ED">
        <w:rPr>
          <w:rFonts w:ascii="Calibri" w:hAnsi="Calibri" w:cs="Arial"/>
          <w:lang w:val="nl-BE"/>
        </w:rPr>
        <w:t>rijken alvorens te pensioneren. Dat klopt volgens Vandemeulebroecke, maar met de tempering dat alles overgen</w:t>
      </w:r>
      <w:r w:rsidR="0016314B">
        <w:rPr>
          <w:rFonts w:ascii="Calibri" w:hAnsi="Calibri" w:cs="Arial"/>
          <w:lang w:val="nl-BE"/>
        </w:rPr>
        <w:t>omen wordt tegen boekwaarde, d</w:t>
      </w:r>
      <w:r w:rsidR="004A70ED">
        <w:rPr>
          <w:rFonts w:ascii="Calibri" w:hAnsi="Calibri" w:cs="Arial"/>
          <w:lang w:val="nl-BE"/>
        </w:rPr>
        <w:t xml:space="preserve">e infrastructuur veelal reeds afgeschreven is en dit dus juist voordeliger uitkomt voor de overnemer. </w:t>
      </w:r>
      <w:r w:rsidR="00C75526">
        <w:rPr>
          <w:rFonts w:ascii="Calibri" w:hAnsi="Calibri" w:cs="Arial"/>
          <w:lang w:val="nl-BE"/>
        </w:rPr>
        <w:t xml:space="preserve"> </w:t>
      </w:r>
      <w:r w:rsidR="002752BC">
        <w:rPr>
          <w:rFonts w:ascii="Calibri" w:hAnsi="Calibri" w:cs="Arial"/>
          <w:lang w:val="nl-BE"/>
        </w:rPr>
        <w:t xml:space="preserve">Verder is uit de </w:t>
      </w:r>
      <w:r w:rsidR="0024535F">
        <w:rPr>
          <w:rFonts w:ascii="Calibri" w:hAnsi="Calibri" w:cs="Arial"/>
          <w:lang w:val="nl-BE"/>
        </w:rPr>
        <w:t>peiling – en vooral uit bijbehorende ruimte tot duiding of argumentatie –</w:t>
      </w:r>
      <w:r w:rsidR="002752BC">
        <w:rPr>
          <w:rFonts w:ascii="Calibri" w:hAnsi="Calibri" w:cs="Arial"/>
          <w:lang w:val="nl-BE"/>
        </w:rPr>
        <w:t xml:space="preserve"> ook gebleken dat veel </w:t>
      </w:r>
      <w:r w:rsidR="00F23B61">
        <w:rPr>
          <w:rFonts w:ascii="Calibri" w:hAnsi="Calibri" w:cs="Arial"/>
          <w:lang w:val="nl-BE"/>
        </w:rPr>
        <w:t>gerechtsdeurwaarders</w:t>
      </w:r>
      <w:r w:rsidR="001B46C3">
        <w:rPr>
          <w:rFonts w:ascii="Calibri" w:hAnsi="Calibri" w:cs="Arial"/>
          <w:lang w:val="nl-BE"/>
        </w:rPr>
        <w:t xml:space="preserve"> geen zicht hebben op de concrete werking van deze</w:t>
      </w:r>
      <w:r w:rsidR="002752BC">
        <w:rPr>
          <w:rFonts w:ascii="Calibri" w:hAnsi="Calibri" w:cs="Arial"/>
          <w:lang w:val="nl-BE"/>
        </w:rPr>
        <w:t xml:space="preserve"> regeling, omdat </w:t>
      </w:r>
      <w:r w:rsidR="004A70ED">
        <w:rPr>
          <w:rFonts w:ascii="Calibri" w:hAnsi="Calibri" w:cs="Arial"/>
          <w:lang w:val="nl-BE"/>
        </w:rPr>
        <w:t xml:space="preserve">ze helemaal niet veel voorkomt. Ook dit wordt bevestigd door mijn stagementor: veel gerechtsdeurwaarders blijven immers voortwerken na hun zeventigste en deze regeling is ook al niet van toepassing op </w:t>
      </w:r>
      <w:r w:rsidR="0016314B">
        <w:rPr>
          <w:rFonts w:ascii="Calibri" w:hAnsi="Calibri" w:cs="Arial"/>
          <w:lang w:val="nl-BE"/>
        </w:rPr>
        <w:t xml:space="preserve">geassocieerde kantoren. </w:t>
      </w:r>
    </w:p>
    <w:p w14:paraId="29AC9D42" w14:textId="77777777" w:rsidR="009E1A91" w:rsidRDefault="009E1A91" w:rsidP="002532B7">
      <w:pPr>
        <w:spacing w:line="276" w:lineRule="auto"/>
        <w:rPr>
          <w:rFonts w:ascii="Calibri" w:hAnsi="Calibri" w:cs="Arial"/>
          <w:lang w:val="nl-BE"/>
        </w:rPr>
      </w:pPr>
    </w:p>
    <w:p w14:paraId="5E19ADF0" w14:textId="0F8401B7" w:rsidR="009E1A91" w:rsidRDefault="00AB3763" w:rsidP="00C75526">
      <w:pPr>
        <w:spacing w:line="276" w:lineRule="auto"/>
        <w:jc w:val="both"/>
        <w:rPr>
          <w:rFonts w:ascii="Calibri" w:hAnsi="Calibri" w:cs="Arial"/>
          <w:lang w:val="nl-BE"/>
        </w:rPr>
      </w:pPr>
      <w:r>
        <w:rPr>
          <w:rFonts w:ascii="Calibri" w:hAnsi="Calibri" w:cs="Arial"/>
          <w:b/>
          <w:lang w:val="nl-BE"/>
        </w:rPr>
        <w:t>84.</w:t>
      </w:r>
      <w:r w:rsidR="0016314B">
        <w:rPr>
          <w:rFonts w:ascii="Calibri" w:hAnsi="Calibri" w:cs="Arial"/>
          <w:lang w:val="nl-BE"/>
        </w:rPr>
        <w:t>Het gebrek aan kennis over deze plicht</w:t>
      </w:r>
      <w:r w:rsidR="009E1A91">
        <w:rPr>
          <w:rFonts w:ascii="Calibri" w:hAnsi="Calibri" w:cs="Arial"/>
          <w:lang w:val="nl-BE"/>
        </w:rPr>
        <w:t xml:space="preserve"> blijkt al uit de eerste vraag, waarin hen werd voorgelegd of de dienstverlening in het gedrang kwam door een gebrek aan continuïteit. Op deze </w:t>
      </w:r>
      <w:r w:rsidR="00AB4AA7">
        <w:rPr>
          <w:rFonts w:ascii="Calibri" w:hAnsi="Calibri" w:cs="Arial"/>
          <w:lang w:val="nl-BE"/>
        </w:rPr>
        <w:t xml:space="preserve">stelling </w:t>
      </w:r>
      <w:r w:rsidR="009E1A91">
        <w:rPr>
          <w:rFonts w:ascii="Calibri" w:hAnsi="Calibri" w:cs="Arial"/>
          <w:lang w:val="nl-BE"/>
        </w:rPr>
        <w:t>bleef 43% neu</w:t>
      </w:r>
      <w:r w:rsidR="00AB4AA7">
        <w:rPr>
          <w:rFonts w:ascii="Calibri" w:hAnsi="Calibri" w:cs="Arial"/>
          <w:lang w:val="nl-BE"/>
        </w:rPr>
        <w:t>traal. De overige stemmen gaan</w:t>
      </w:r>
      <w:r w:rsidR="009E1A91">
        <w:rPr>
          <w:rFonts w:ascii="Calibri" w:hAnsi="Calibri" w:cs="Arial"/>
          <w:lang w:val="nl-BE"/>
        </w:rPr>
        <w:t xml:space="preserve"> voor</w:t>
      </w:r>
      <w:r w:rsidR="000031BA">
        <w:rPr>
          <w:rFonts w:ascii="Calibri" w:hAnsi="Calibri" w:cs="Arial"/>
          <w:lang w:val="nl-BE"/>
        </w:rPr>
        <w:t>namelijk</w:t>
      </w:r>
      <w:r w:rsidR="009E1A91">
        <w:rPr>
          <w:rFonts w:ascii="Calibri" w:hAnsi="Calibri" w:cs="Arial"/>
          <w:lang w:val="nl-BE"/>
        </w:rPr>
        <w:t xml:space="preserve"> </w:t>
      </w:r>
      <w:r w:rsidR="00AB4AA7">
        <w:rPr>
          <w:rFonts w:ascii="Calibri" w:hAnsi="Calibri" w:cs="Arial"/>
          <w:lang w:val="nl-BE"/>
        </w:rPr>
        <w:t xml:space="preserve">op </w:t>
      </w:r>
      <w:r w:rsidR="009E1A91">
        <w:rPr>
          <w:rFonts w:ascii="Calibri" w:hAnsi="Calibri" w:cs="Arial"/>
          <w:lang w:val="nl-BE"/>
        </w:rPr>
        <w:t>voor roo</w:t>
      </w:r>
      <w:r w:rsidR="001045F8">
        <w:rPr>
          <w:rFonts w:ascii="Calibri" w:hAnsi="Calibri" w:cs="Arial"/>
          <w:lang w:val="nl-BE"/>
        </w:rPr>
        <w:t>d en oranje, waardoor we dit eerder</w:t>
      </w:r>
      <w:r w:rsidR="009E1A91">
        <w:rPr>
          <w:rFonts w:ascii="Calibri" w:hAnsi="Calibri" w:cs="Arial"/>
          <w:lang w:val="nl-BE"/>
        </w:rPr>
        <w:t xml:space="preserve"> als onwaar kunnen beschouwen. </w:t>
      </w:r>
      <w:r w:rsidR="0024535F">
        <w:rPr>
          <w:rFonts w:ascii="Calibri" w:hAnsi="Calibri" w:cs="Arial"/>
          <w:lang w:val="nl-BE"/>
        </w:rPr>
        <w:br/>
        <w:t>Een ander punt van motivatie in het wetsontwerp</w:t>
      </w:r>
      <w:r w:rsidR="00AD029C">
        <w:rPr>
          <w:rStyle w:val="Voetnootmarkering"/>
          <w:rFonts w:ascii="Calibri" w:hAnsi="Calibri" w:cs="Arial"/>
          <w:lang w:val="nl-BE"/>
        </w:rPr>
        <w:footnoteReference w:id="188"/>
      </w:r>
      <w:r w:rsidR="0024535F">
        <w:rPr>
          <w:rFonts w:ascii="Calibri" w:hAnsi="Calibri" w:cs="Arial"/>
          <w:lang w:val="nl-BE"/>
        </w:rPr>
        <w:t xml:space="preserve"> was de </w:t>
      </w:r>
      <w:r w:rsidR="001045F8">
        <w:rPr>
          <w:rFonts w:ascii="Calibri" w:hAnsi="Calibri" w:cs="Arial"/>
          <w:lang w:val="nl-BE"/>
        </w:rPr>
        <w:t xml:space="preserve">werkloosheid en </w:t>
      </w:r>
      <w:r w:rsidR="0024535F">
        <w:rPr>
          <w:rFonts w:ascii="Calibri" w:hAnsi="Calibri" w:cs="Arial"/>
          <w:lang w:val="nl-BE"/>
        </w:rPr>
        <w:t xml:space="preserve">sociale onrust die zou ontstaan zijn door de plotse sluiting van sommige kantoren. Ook deze stelling wordt volledig weggestemd door de respondenten: geen enkele stem kleurt groen en slechts 7% geel. Opnieuw blijft 39% neutraal, de overige 54% worden ongeveer gelijk verdeeld onder rood en oranje. </w:t>
      </w:r>
    </w:p>
    <w:p w14:paraId="317CB93B" w14:textId="77777777" w:rsidR="001045F8" w:rsidRDefault="001045F8" w:rsidP="002532B7">
      <w:pPr>
        <w:spacing w:line="276" w:lineRule="auto"/>
        <w:rPr>
          <w:rFonts w:ascii="Calibri" w:hAnsi="Calibri" w:cs="Arial"/>
          <w:lang w:val="nl-BE"/>
        </w:rPr>
      </w:pPr>
    </w:p>
    <w:p w14:paraId="18DAEC45" w14:textId="04D3150D" w:rsidR="001045F8" w:rsidRDefault="00AB3763" w:rsidP="00C75526">
      <w:pPr>
        <w:spacing w:line="276" w:lineRule="auto"/>
        <w:jc w:val="both"/>
        <w:rPr>
          <w:rFonts w:ascii="Calibri" w:hAnsi="Calibri" w:cs="Arial"/>
          <w:lang w:val="nl-BE"/>
        </w:rPr>
      </w:pPr>
      <w:r>
        <w:rPr>
          <w:rFonts w:ascii="Calibri" w:hAnsi="Calibri" w:cs="Arial"/>
          <w:b/>
          <w:lang w:val="nl-BE"/>
        </w:rPr>
        <w:t>85.</w:t>
      </w:r>
      <w:r w:rsidR="001045F8">
        <w:rPr>
          <w:rFonts w:ascii="Calibri" w:hAnsi="Calibri" w:cs="Arial"/>
          <w:lang w:val="nl-BE"/>
        </w:rPr>
        <w:t xml:space="preserve">Zelfs de </w:t>
      </w:r>
      <w:r w:rsidR="00F23B61">
        <w:rPr>
          <w:rFonts w:ascii="Calibri" w:hAnsi="Calibri" w:cs="Arial"/>
          <w:lang w:val="nl-BE"/>
        </w:rPr>
        <w:t xml:space="preserve">simpele </w:t>
      </w:r>
      <w:r w:rsidR="001045F8">
        <w:rPr>
          <w:rFonts w:ascii="Calibri" w:hAnsi="Calibri" w:cs="Arial"/>
          <w:lang w:val="nl-BE"/>
        </w:rPr>
        <w:t>vraag of de verplic</w:t>
      </w:r>
      <w:r w:rsidR="00F23B61">
        <w:rPr>
          <w:rFonts w:ascii="Calibri" w:hAnsi="Calibri" w:cs="Arial"/>
          <w:lang w:val="nl-BE"/>
        </w:rPr>
        <w:t xml:space="preserve">hte overname een goede zaak is blijkt </w:t>
      </w:r>
      <w:r w:rsidR="001045F8">
        <w:rPr>
          <w:rFonts w:ascii="Calibri" w:hAnsi="Calibri" w:cs="Arial"/>
          <w:lang w:val="nl-BE"/>
        </w:rPr>
        <w:t xml:space="preserve">te moeilijk om </w:t>
      </w:r>
      <w:r w:rsidR="001D0064">
        <w:rPr>
          <w:rFonts w:ascii="Calibri" w:hAnsi="Calibri" w:cs="Arial"/>
          <w:lang w:val="nl-BE"/>
        </w:rPr>
        <w:t xml:space="preserve">zich </w:t>
      </w:r>
      <w:r w:rsidR="001045F8">
        <w:rPr>
          <w:rFonts w:ascii="Calibri" w:hAnsi="Calibri" w:cs="Arial"/>
          <w:lang w:val="nl-BE"/>
        </w:rPr>
        <w:t xml:space="preserve">een mening over te vormen en </w:t>
      </w:r>
      <w:r w:rsidR="00F23B61">
        <w:rPr>
          <w:rFonts w:ascii="Calibri" w:hAnsi="Calibri" w:cs="Arial"/>
          <w:lang w:val="nl-BE"/>
        </w:rPr>
        <w:t xml:space="preserve">28% geeft dan ook aan hier neutraal tegenover te staan. Los daarvan blijkt de verdeeldheid ook hier aanwezig te zijn: 22% vindt deze regeling zeer goed en kleurt groen, nog eens 15% vindt het wel </w:t>
      </w:r>
      <w:r w:rsidR="00D272E0">
        <w:rPr>
          <w:rFonts w:ascii="Calibri" w:hAnsi="Calibri" w:cs="Arial"/>
          <w:lang w:val="nl-BE"/>
        </w:rPr>
        <w:t>oké</w:t>
      </w:r>
      <w:r w:rsidR="00A22145">
        <w:rPr>
          <w:rFonts w:ascii="Calibri" w:hAnsi="Calibri" w:cs="Arial"/>
          <w:lang w:val="nl-BE"/>
        </w:rPr>
        <w:t xml:space="preserve"> met een gele stem</w:t>
      </w:r>
      <w:r w:rsidR="00F23B61">
        <w:rPr>
          <w:rFonts w:ascii="Calibri" w:hAnsi="Calibri" w:cs="Arial"/>
          <w:lang w:val="nl-BE"/>
        </w:rPr>
        <w:t>. Eenzelfde percentage kan zich hier absoluut niet in vinden en voor de overige 20% had het</w:t>
      </w:r>
      <w:r w:rsidR="00A22145">
        <w:rPr>
          <w:rFonts w:ascii="Calibri" w:hAnsi="Calibri" w:cs="Arial"/>
          <w:lang w:val="nl-BE"/>
        </w:rPr>
        <w:t xml:space="preserve"> dan weer</w:t>
      </w:r>
      <w:r w:rsidR="00F23B61">
        <w:rPr>
          <w:rFonts w:ascii="Calibri" w:hAnsi="Calibri" w:cs="Arial"/>
          <w:lang w:val="nl-BE"/>
        </w:rPr>
        <w:t xml:space="preserve"> niet echt gehoeven. </w:t>
      </w:r>
      <w:r w:rsidR="00F23B61">
        <w:rPr>
          <w:rFonts w:ascii="Calibri" w:hAnsi="Calibri" w:cs="Arial"/>
          <w:lang w:val="nl-BE"/>
        </w:rPr>
        <w:br/>
      </w:r>
    </w:p>
    <w:p w14:paraId="5893B8BB" w14:textId="5F694138" w:rsidR="00F23B61" w:rsidRDefault="00AB3763" w:rsidP="00C75526">
      <w:pPr>
        <w:spacing w:line="276" w:lineRule="auto"/>
        <w:jc w:val="both"/>
        <w:rPr>
          <w:rFonts w:ascii="Calibri" w:hAnsi="Calibri" w:cs="Arial"/>
          <w:lang w:val="nl-BE"/>
        </w:rPr>
      </w:pPr>
      <w:r>
        <w:rPr>
          <w:rFonts w:ascii="Calibri" w:hAnsi="Calibri" w:cs="Arial"/>
          <w:b/>
          <w:lang w:val="nl-BE"/>
        </w:rPr>
        <w:t>86.</w:t>
      </w:r>
      <w:r w:rsidR="006C56FB">
        <w:rPr>
          <w:rFonts w:ascii="Calibri" w:hAnsi="Calibri" w:cs="Arial"/>
          <w:lang w:val="nl-BE"/>
        </w:rPr>
        <w:t>Omwille van de redenen hierboven aangestipt</w:t>
      </w:r>
      <w:r w:rsidR="007060D7">
        <w:rPr>
          <w:rStyle w:val="Voetnootmarkering"/>
          <w:rFonts w:ascii="Calibri" w:hAnsi="Calibri" w:cs="Arial"/>
          <w:lang w:val="nl-BE"/>
        </w:rPr>
        <w:footnoteReference w:id="189"/>
      </w:r>
      <w:r w:rsidR="006C56FB">
        <w:rPr>
          <w:rFonts w:ascii="Calibri" w:hAnsi="Calibri" w:cs="Arial"/>
          <w:lang w:val="nl-BE"/>
        </w:rPr>
        <w:t xml:space="preserve"> is ook de overname van kantoorinfrastructuur</w:t>
      </w:r>
      <w:r w:rsidR="006C56FB">
        <w:rPr>
          <w:rStyle w:val="Voetnootmarkering"/>
          <w:rFonts w:ascii="Calibri" w:hAnsi="Calibri" w:cs="Arial"/>
          <w:lang w:val="nl-BE"/>
        </w:rPr>
        <w:footnoteReference w:id="190"/>
      </w:r>
      <w:r w:rsidR="006C56FB">
        <w:rPr>
          <w:rFonts w:ascii="Calibri" w:hAnsi="Calibri" w:cs="Arial"/>
          <w:lang w:val="nl-BE"/>
        </w:rPr>
        <w:t xml:space="preserve"> verplicht. Ook hiermee zijn de respondenten het niet eens: 1 op 3 is volstrekt van mening dat overnemers de kans moeten krijgen om dit zelf aan te schaffen en nog eens 24% is iets voorzichtiger en kiest voor de gematigde optie van akkoord. Nog eens een derde is neutraal, waardoor er slechts 10% </w:t>
      </w:r>
      <w:r w:rsidR="007B0BA0">
        <w:rPr>
          <w:rFonts w:ascii="Calibri" w:hAnsi="Calibri" w:cs="Arial"/>
          <w:lang w:val="nl-BE"/>
        </w:rPr>
        <w:t xml:space="preserve">van mening is dat de infrastructuur mee moet overgenomen worden. </w:t>
      </w:r>
      <w:r w:rsidR="004A70ED">
        <w:rPr>
          <w:rFonts w:ascii="Calibri" w:hAnsi="Calibri" w:cs="Arial"/>
          <w:lang w:val="nl-BE"/>
        </w:rPr>
        <w:t xml:space="preserve">Nochtans wijst Vandemeulebroecke er terecht op dat het voor de overnemer een pak voordeliger </w:t>
      </w:r>
      <w:r w:rsidR="00E74892">
        <w:rPr>
          <w:rFonts w:ascii="Calibri" w:hAnsi="Calibri" w:cs="Arial"/>
          <w:lang w:val="nl-BE"/>
        </w:rPr>
        <w:t xml:space="preserve">is </w:t>
      </w:r>
      <w:r w:rsidR="004A70ED">
        <w:rPr>
          <w:rFonts w:ascii="Calibri" w:hAnsi="Calibri" w:cs="Arial"/>
          <w:lang w:val="nl-BE"/>
        </w:rPr>
        <w:t xml:space="preserve">om de infrastructuur over te nemen: vermits deze aan </w:t>
      </w:r>
      <w:r w:rsidR="004A70ED">
        <w:rPr>
          <w:rFonts w:ascii="Calibri" w:hAnsi="Calibri" w:cs="Arial"/>
          <w:lang w:val="nl-BE"/>
        </w:rPr>
        <w:lastRenderedPageBreak/>
        <w:t xml:space="preserve">boekwaarde worden vergoed, zullen computers bijvoorbeeld aan zeer gunstige tarieven kunnen worden overgenomen. </w:t>
      </w:r>
    </w:p>
    <w:p w14:paraId="0D5D6A3A" w14:textId="77777777" w:rsidR="005F30EB" w:rsidRDefault="005F30EB" w:rsidP="002532B7">
      <w:pPr>
        <w:spacing w:line="276" w:lineRule="auto"/>
        <w:rPr>
          <w:rFonts w:ascii="Calibri" w:hAnsi="Calibri" w:cs="Arial"/>
          <w:lang w:val="nl-BE"/>
        </w:rPr>
      </w:pPr>
    </w:p>
    <w:p w14:paraId="429BABF4" w14:textId="7BE777A2" w:rsidR="007B0BA0" w:rsidRDefault="00AB3763" w:rsidP="00C75526">
      <w:pPr>
        <w:spacing w:line="276" w:lineRule="auto"/>
        <w:jc w:val="both"/>
        <w:rPr>
          <w:rFonts w:ascii="Calibri" w:hAnsi="Calibri" w:cs="Arial"/>
          <w:lang w:val="nl-BE"/>
        </w:rPr>
      </w:pPr>
      <w:r>
        <w:rPr>
          <w:rFonts w:ascii="Calibri" w:hAnsi="Calibri" w:cs="Arial"/>
          <w:b/>
          <w:lang w:val="nl-BE"/>
        </w:rPr>
        <w:t>87.</w:t>
      </w:r>
      <w:r w:rsidR="007B0BA0">
        <w:rPr>
          <w:rFonts w:ascii="Calibri" w:hAnsi="Calibri" w:cs="Arial"/>
          <w:lang w:val="nl-BE"/>
        </w:rPr>
        <w:t xml:space="preserve">Wat betreft het voorwerp van de overname, dringt de vraag zich op waarom er niet </w:t>
      </w:r>
      <w:r w:rsidR="00A22145">
        <w:rPr>
          <w:rFonts w:ascii="Calibri" w:hAnsi="Calibri" w:cs="Arial"/>
          <w:lang w:val="nl-BE"/>
        </w:rPr>
        <w:t>geopteerd</w:t>
      </w:r>
      <w:r w:rsidR="007B0BA0">
        <w:rPr>
          <w:rFonts w:ascii="Calibri" w:hAnsi="Calibri" w:cs="Arial"/>
          <w:lang w:val="nl-BE"/>
        </w:rPr>
        <w:t xml:space="preserve"> werd voor een verplichte overname van cliënteel. Dit is immers ook het geval in het notariaat. Die vraag wordt een aantal keer beantwoord in de duiding van de respondenten, alwaar zij aanreikten dat het cliënteel voor een gerechtsdeurwaarder veel volatieler is dan in het notariaat en dat cliënten geenszins belang hebben om al dan niet bij de overnemer te blijven. In het notariaat ligt dit anders: minuuthoudende notarissen houden hun verleden akten bij en desgevallend dienen cliënten zich dus tot hetzelfde kantoor te wenden. </w:t>
      </w:r>
      <w:r w:rsidR="005F30EB">
        <w:rPr>
          <w:rFonts w:ascii="Calibri" w:hAnsi="Calibri" w:cs="Arial"/>
          <w:lang w:val="nl-BE"/>
        </w:rPr>
        <w:t xml:space="preserve">Aldus zouden overnemers veel te veel kunnen betalen voor cliënteel dat mogelijks </w:t>
      </w:r>
      <w:r w:rsidR="004320E1">
        <w:rPr>
          <w:rFonts w:ascii="Calibri" w:hAnsi="Calibri" w:cs="Arial"/>
          <w:lang w:val="nl-BE"/>
        </w:rPr>
        <w:t xml:space="preserve">toch </w:t>
      </w:r>
      <w:r w:rsidR="005F30EB">
        <w:rPr>
          <w:rFonts w:ascii="Calibri" w:hAnsi="Calibri" w:cs="Arial"/>
          <w:lang w:val="nl-BE"/>
        </w:rPr>
        <w:t xml:space="preserve">niet loyaal blijft aan het kantoor. Het is dan ook niet verwonderlijk dat de helft niet akkoord gaat met deze stelling, hoewel 1 op 5 toch vindt dat een vergoeding op zijn plaats is. 19% heeft geen mening. </w:t>
      </w:r>
    </w:p>
    <w:p w14:paraId="11693D32" w14:textId="77777777" w:rsidR="005F30EB" w:rsidRDefault="005F30EB" w:rsidP="002532B7">
      <w:pPr>
        <w:spacing w:line="276" w:lineRule="auto"/>
        <w:rPr>
          <w:rFonts w:ascii="Calibri" w:hAnsi="Calibri" w:cs="Arial"/>
          <w:lang w:val="nl-BE"/>
        </w:rPr>
      </w:pPr>
    </w:p>
    <w:p w14:paraId="53C0FC59" w14:textId="6EAE6CE4" w:rsidR="005F30EB" w:rsidRDefault="00AB3763" w:rsidP="00C75526">
      <w:pPr>
        <w:spacing w:line="276" w:lineRule="auto"/>
        <w:jc w:val="both"/>
        <w:rPr>
          <w:rFonts w:ascii="Calibri" w:hAnsi="Calibri" w:cs="Arial"/>
          <w:lang w:val="nl-BE"/>
        </w:rPr>
      </w:pPr>
      <w:r>
        <w:rPr>
          <w:rFonts w:ascii="Calibri" w:hAnsi="Calibri" w:cs="Arial"/>
          <w:b/>
          <w:lang w:val="nl-BE"/>
        </w:rPr>
        <w:t>88.</w:t>
      </w:r>
      <w:r w:rsidR="005F30EB">
        <w:rPr>
          <w:rFonts w:ascii="Calibri" w:hAnsi="Calibri" w:cs="Arial"/>
          <w:lang w:val="nl-BE"/>
        </w:rPr>
        <w:t>In afwachting van de opvolger wordt er een waarnemend gerechtsdeurwaarder aangesteld om het algemeen kantoorbeheer te monitoren. Om die reden werd aan de deelnemers van de peiling voorgelegd of zo’n waarnemend gerechtsdeurwaarder niet eerst moet benoemd zijn en de eed afgelegd hebben</w:t>
      </w:r>
      <w:r w:rsidR="00A70917">
        <w:rPr>
          <w:rFonts w:ascii="Calibri" w:hAnsi="Calibri" w:cs="Arial"/>
          <w:lang w:val="nl-BE"/>
        </w:rPr>
        <w:t>, zoals elke kantoorbeheerder</w:t>
      </w:r>
      <w:r w:rsidR="005F30EB">
        <w:rPr>
          <w:rFonts w:ascii="Calibri" w:hAnsi="Calibri" w:cs="Arial"/>
          <w:lang w:val="nl-BE"/>
        </w:rPr>
        <w:t xml:space="preserve">. Deze vraag stuit ook op verdeeldheid met </w:t>
      </w:r>
      <w:r w:rsidR="00F553A7">
        <w:rPr>
          <w:rFonts w:ascii="Calibri" w:hAnsi="Calibri" w:cs="Arial"/>
          <w:lang w:val="nl-BE"/>
        </w:rPr>
        <w:t xml:space="preserve">33% akkoord, waarvan er 20% groen uit de bus komt. Aan de andere zijde is 19% van mening dat dat absoluut niet noodzakelijk is, terwijl 26% gematigder antwoordt en </w:t>
      </w:r>
      <w:r w:rsidR="00D272E0">
        <w:rPr>
          <w:rFonts w:ascii="Calibri" w:hAnsi="Calibri" w:cs="Arial"/>
          <w:lang w:val="nl-BE"/>
        </w:rPr>
        <w:t xml:space="preserve">oranje kleurt. </w:t>
      </w:r>
      <w:r w:rsidR="00F553A7">
        <w:rPr>
          <w:rFonts w:ascii="Calibri" w:hAnsi="Calibri" w:cs="Arial"/>
          <w:lang w:val="nl-BE"/>
        </w:rPr>
        <w:t xml:space="preserve">Rekening houdend met het opzet van de waarnemende gerechtsdeurwaarder, zijnde de snelle en tijdelijke voortzetting van de kantoorwerkzaamheden, is het enigszins opmerkelijk dat 1 op 3 nog tijd zou verspillen met een benoemingsprocedure en eedaflegging. </w:t>
      </w:r>
    </w:p>
    <w:p w14:paraId="70ECEF7A" w14:textId="77777777" w:rsidR="00F553A7" w:rsidRDefault="00F553A7" w:rsidP="002532B7">
      <w:pPr>
        <w:spacing w:line="276" w:lineRule="auto"/>
        <w:rPr>
          <w:rFonts w:ascii="Calibri" w:hAnsi="Calibri" w:cs="Arial"/>
          <w:lang w:val="nl-BE"/>
        </w:rPr>
      </w:pPr>
    </w:p>
    <w:p w14:paraId="4CAC0006" w14:textId="2A3A5DD9" w:rsidR="00F553A7" w:rsidRDefault="00AB3763" w:rsidP="00C75526">
      <w:pPr>
        <w:spacing w:line="276" w:lineRule="auto"/>
        <w:jc w:val="both"/>
        <w:rPr>
          <w:rFonts w:ascii="Calibri" w:hAnsi="Calibri" w:cs="Arial"/>
          <w:lang w:val="nl-BE"/>
        </w:rPr>
      </w:pPr>
      <w:r>
        <w:rPr>
          <w:rFonts w:ascii="Calibri" w:hAnsi="Calibri" w:cs="Arial"/>
          <w:b/>
          <w:lang w:val="nl-BE"/>
        </w:rPr>
        <w:t>89.</w:t>
      </w:r>
      <w:r w:rsidR="00F553A7">
        <w:rPr>
          <w:rFonts w:ascii="Calibri" w:hAnsi="Calibri" w:cs="Arial"/>
          <w:lang w:val="nl-BE"/>
        </w:rPr>
        <w:t xml:space="preserve">Wanneer we, ten slotte, een blik werpen </w:t>
      </w:r>
      <w:r w:rsidR="00BF0750">
        <w:rPr>
          <w:rFonts w:ascii="Calibri" w:hAnsi="Calibri" w:cs="Arial"/>
          <w:lang w:val="nl-BE"/>
        </w:rPr>
        <w:t xml:space="preserve">hoe goed </w:t>
      </w:r>
      <w:r w:rsidR="00F553A7">
        <w:rPr>
          <w:rFonts w:ascii="Calibri" w:hAnsi="Calibri" w:cs="Arial"/>
          <w:lang w:val="nl-BE"/>
        </w:rPr>
        <w:t xml:space="preserve">de </w:t>
      </w:r>
      <w:r w:rsidR="00BF0750">
        <w:rPr>
          <w:rFonts w:ascii="Calibri" w:hAnsi="Calibri" w:cs="Arial"/>
          <w:lang w:val="nl-BE"/>
        </w:rPr>
        <w:t>verplichting wordt nagelee</w:t>
      </w:r>
      <w:r w:rsidR="00365DAA">
        <w:rPr>
          <w:rFonts w:ascii="Calibri" w:hAnsi="Calibri" w:cs="Arial"/>
          <w:lang w:val="nl-BE"/>
        </w:rPr>
        <w:t>f</w:t>
      </w:r>
      <w:r w:rsidR="00BF0750">
        <w:rPr>
          <w:rFonts w:ascii="Calibri" w:hAnsi="Calibri" w:cs="Arial"/>
          <w:lang w:val="nl-BE"/>
        </w:rPr>
        <w:t xml:space="preserve">d, toont </w:t>
      </w:r>
      <w:r w:rsidR="00F553A7">
        <w:rPr>
          <w:rFonts w:ascii="Calibri" w:hAnsi="Calibri" w:cs="Arial"/>
          <w:lang w:val="nl-BE"/>
        </w:rPr>
        <w:t xml:space="preserve">de onwetendheid omtrent dit topic </w:t>
      </w:r>
      <w:r w:rsidR="00BF0750">
        <w:rPr>
          <w:rFonts w:ascii="Calibri" w:hAnsi="Calibri" w:cs="Arial"/>
          <w:lang w:val="nl-BE"/>
        </w:rPr>
        <w:t xml:space="preserve">zich </w:t>
      </w:r>
      <w:r w:rsidR="00F553A7">
        <w:rPr>
          <w:rFonts w:ascii="Calibri" w:hAnsi="Calibri" w:cs="Arial"/>
          <w:lang w:val="nl-BE"/>
        </w:rPr>
        <w:t xml:space="preserve">opnieuw duidelijk: maar liefst 7 op 10 kiest geen kant. </w:t>
      </w:r>
    </w:p>
    <w:p w14:paraId="7A12F67D" w14:textId="77777777" w:rsidR="00AB3763" w:rsidRDefault="00B800FE" w:rsidP="00AB3763">
      <w:pPr>
        <w:spacing w:line="276" w:lineRule="auto"/>
        <w:rPr>
          <w:rFonts w:ascii="Calibri" w:hAnsi="Calibri" w:cs="Arial"/>
          <w:lang w:val="nl-BE"/>
        </w:rPr>
      </w:pPr>
      <w:r>
        <w:rPr>
          <w:rFonts w:ascii="Calibri" w:hAnsi="Calibri" w:cs="Arial"/>
          <w:lang w:val="nl-BE"/>
        </w:rPr>
        <w:t>Door de luttele 4% voor zowel rood als oranje kunnen we besluiten dat de regeling goed nageleefd wordt. Voor zover bekend, uiteraard.</w:t>
      </w:r>
    </w:p>
    <w:p w14:paraId="3EE239C9" w14:textId="77777777" w:rsidR="00EB2993" w:rsidRDefault="00AB3763" w:rsidP="00AB3763">
      <w:pPr>
        <w:pStyle w:val="Kop2"/>
        <w:rPr>
          <w:lang w:val="nl-BE"/>
        </w:rPr>
      </w:pPr>
      <w:r>
        <w:rPr>
          <w:lang w:val="nl-BE"/>
        </w:rPr>
        <w:br/>
      </w:r>
    </w:p>
    <w:p w14:paraId="461119CD" w14:textId="77777777" w:rsidR="00EB2993" w:rsidRDefault="00EB2993">
      <w:pPr>
        <w:rPr>
          <w:rFonts w:asciiTheme="majorHAnsi" w:eastAsiaTheme="majorEastAsia" w:hAnsiTheme="majorHAnsi" w:cstheme="majorBidi"/>
          <w:color w:val="2F5496" w:themeColor="accent1" w:themeShade="BF"/>
          <w:sz w:val="26"/>
          <w:szCs w:val="26"/>
          <w:lang w:val="nl-BE"/>
        </w:rPr>
      </w:pPr>
      <w:r>
        <w:rPr>
          <w:lang w:val="nl-BE"/>
        </w:rPr>
        <w:br w:type="page"/>
      </w:r>
    </w:p>
    <w:p w14:paraId="5A79B79B" w14:textId="69C13874" w:rsidR="00AB3763" w:rsidRDefault="00AB3763" w:rsidP="00AB3763">
      <w:pPr>
        <w:pStyle w:val="Kop2"/>
        <w:rPr>
          <w:lang w:val="nl-BE"/>
        </w:rPr>
      </w:pPr>
      <w:bookmarkStart w:id="34" w:name="_Toc40689972"/>
      <w:r>
        <w:rPr>
          <w:lang w:val="nl-BE"/>
        </w:rPr>
        <w:lastRenderedPageBreak/>
        <w:t xml:space="preserve">Hoofdstuk </w:t>
      </w:r>
      <w:r w:rsidR="00E21349">
        <w:rPr>
          <w:lang w:val="nl-BE"/>
        </w:rPr>
        <w:t>6</w:t>
      </w:r>
      <w:r>
        <w:rPr>
          <w:lang w:val="nl-BE"/>
        </w:rPr>
        <w:t>: Tucht en deontologie</w:t>
      </w:r>
      <w:bookmarkEnd w:id="34"/>
    </w:p>
    <w:p w14:paraId="4443EEC6" w14:textId="77777777" w:rsidR="00AB3763" w:rsidRDefault="00AB3763" w:rsidP="002532B7">
      <w:pPr>
        <w:spacing w:line="276" w:lineRule="auto"/>
        <w:rPr>
          <w:lang w:val="nl-BE"/>
        </w:rPr>
      </w:pPr>
    </w:p>
    <w:p w14:paraId="72D5FF0F" w14:textId="30237C95" w:rsidR="004D2293" w:rsidRDefault="000C5CFC" w:rsidP="00B049BE">
      <w:pPr>
        <w:spacing w:line="276" w:lineRule="auto"/>
        <w:jc w:val="both"/>
        <w:rPr>
          <w:lang w:val="nl-BE"/>
        </w:rPr>
      </w:pPr>
      <w:r>
        <w:rPr>
          <w:b/>
          <w:lang w:val="nl-BE"/>
        </w:rPr>
        <w:t>90.</w:t>
      </w:r>
      <w:r w:rsidR="006C0BF6">
        <w:rPr>
          <w:lang w:val="nl-BE"/>
        </w:rPr>
        <w:t>Net zoals in de advocatuur</w:t>
      </w:r>
      <w:r>
        <w:rPr>
          <w:lang w:val="nl-BE"/>
        </w:rPr>
        <w:t xml:space="preserve">, </w:t>
      </w:r>
      <w:r w:rsidR="006C0BF6">
        <w:rPr>
          <w:lang w:val="nl-BE"/>
        </w:rPr>
        <w:t>het notariaat,</w:t>
      </w:r>
      <w:r>
        <w:rPr>
          <w:lang w:val="nl-BE"/>
        </w:rPr>
        <w:t xml:space="preserve"> de magistratuur, etc.</w:t>
      </w:r>
      <w:r w:rsidR="006C0BF6">
        <w:rPr>
          <w:lang w:val="nl-BE"/>
        </w:rPr>
        <w:t xml:space="preserve"> is de deontologie ook voor gerechtsdeurwaarders van fundamentele waarde. Het is dan ook merkwaardig dat zij pas een vijftiental jaar</w:t>
      </w:r>
      <w:r w:rsidR="00C51914">
        <w:rPr>
          <w:lang w:val="nl-BE"/>
        </w:rPr>
        <w:t>, sinds 2006,</w:t>
      </w:r>
      <w:r w:rsidR="006C0BF6">
        <w:rPr>
          <w:lang w:val="nl-BE"/>
        </w:rPr>
        <w:t xml:space="preserve"> kunnen terugval</w:t>
      </w:r>
      <w:r w:rsidR="00C51914">
        <w:rPr>
          <w:lang w:val="nl-BE"/>
        </w:rPr>
        <w:t>len op een deontologische code. Het is onduidelijk of dit al dan niet met deze codificatie te maken heeft</w:t>
      </w:r>
      <w:r w:rsidR="00063181">
        <w:rPr>
          <w:lang w:val="nl-BE"/>
        </w:rPr>
        <w:t xml:space="preserve"> </w:t>
      </w:r>
      <w:r w:rsidR="00C51914">
        <w:rPr>
          <w:lang w:val="nl-BE"/>
        </w:rPr>
        <w:t xml:space="preserve"> – in feite doet het er ook niet toe – maar de respondenten zijn naar eigen zeggen toch goed op de hoogte van de deontologische principes van het ambt. 46% </w:t>
      </w:r>
      <w:r w:rsidR="004E7CF8">
        <w:rPr>
          <w:lang w:val="nl-BE"/>
        </w:rPr>
        <w:t xml:space="preserve">acht zijn of haar kennis feilloos en nog eens 41% vindt die wel </w:t>
      </w:r>
      <w:r w:rsidR="00063181">
        <w:rPr>
          <w:lang w:val="nl-BE"/>
        </w:rPr>
        <w:t>vol</w:t>
      </w:r>
      <w:r w:rsidR="004E7CF8">
        <w:rPr>
          <w:lang w:val="nl-BE"/>
        </w:rPr>
        <w:t xml:space="preserve">doende. Slechts 4% </w:t>
      </w:r>
      <w:r w:rsidR="0099508E">
        <w:rPr>
          <w:lang w:val="nl-BE"/>
        </w:rPr>
        <w:t>is hier niet zo zeker van</w:t>
      </w:r>
      <w:r w:rsidR="004E7CF8">
        <w:rPr>
          <w:lang w:val="nl-BE"/>
        </w:rPr>
        <w:t xml:space="preserve"> en gaat voor o</w:t>
      </w:r>
      <w:r w:rsidR="0099508E">
        <w:rPr>
          <w:lang w:val="nl-BE"/>
        </w:rPr>
        <w:t>ranje, niemand stemt rood en is er dus van overtuigd dat zijn of haar kennis ondermaats is</w:t>
      </w:r>
      <w:r w:rsidR="004E7CF8">
        <w:rPr>
          <w:lang w:val="nl-BE"/>
        </w:rPr>
        <w:t xml:space="preserve">. </w:t>
      </w:r>
      <w:r w:rsidR="004E7CF8">
        <w:rPr>
          <w:lang w:val="nl-BE"/>
        </w:rPr>
        <w:br/>
      </w:r>
    </w:p>
    <w:p w14:paraId="3A925ABE" w14:textId="0B175DF0" w:rsidR="004E7CF8" w:rsidRDefault="00B010C7" w:rsidP="00C75526">
      <w:pPr>
        <w:spacing w:line="276" w:lineRule="auto"/>
        <w:jc w:val="both"/>
        <w:rPr>
          <w:lang w:val="nl-BE"/>
        </w:rPr>
      </w:pPr>
      <w:r>
        <w:rPr>
          <w:b/>
          <w:lang w:val="nl-BE"/>
        </w:rPr>
        <w:t>91.</w:t>
      </w:r>
      <w:r w:rsidR="004E7CF8">
        <w:rPr>
          <w:lang w:val="nl-BE"/>
        </w:rPr>
        <w:t>In de theoretische benadering werd aangehaald dat de tuchtprocedures voortaan behandeld worden door een</w:t>
      </w:r>
      <w:r w:rsidR="00A964A4">
        <w:rPr>
          <w:lang w:val="nl-BE"/>
        </w:rPr>
        <w:t xml:space="preserve"> nieuwe, externe tuchtcommissie</w:t>
      </w:r>
      <w:r w:rsidR="00A964A4">
        <w:rPr>
          <w:rStyle w:val="Voetnootmarkering"/>
          <w:lang w:val="nl-BE"/>
        </w:rPr>
        <w:footnoteReference w:id="191"/>
      </w:r>
      <w:r w:rsidR="00A964A4">
        <w:rPr>
          <w:lang w:val="nl-BE"/>
        </w:rPr>
        <w:t xml:space="preserve"> </w:t>
      </w:r>
      <w:r w:rsidR="004E7CF8">
        <w:rPr>
          <w:lang w:val="nl-BE"/>
        </w:rPr>
        <w:t xml:space="preserve">in plaats van door de eigen arrondissementskamer, met het opzet om partijdige besluitvorming </w:t>
      </w:r>
      <w:r w:rsidR="00F15DFC">
        <w:rPr>
          <w:lang w:val="nl-BE"/>
        </w:rPr>
        <w:t>tegen te gaan. Bij de stelling die hierover aan de deelnemers werd voorgelegd, werd er per abuis een verkeerde vraagstelling gehanteerd in de peiling: daar waar er eigenlijk partijdige besluitvorming werd bed</w:t>
      </w:r>
      <w:r w:rsidR="00BB1518">
        <w:rPr>
          <w:lang w:val="nl-BE"/>
        </w:rPr>
        <w:t>oeld, gaf</w:t>
      </w:r>
      <w:r w:rsidR="00F15DFC">
        <w:rPr>
          <w:lang w:val="nl-BE"/>
        </w:rPr>
        <w:t xml:space="preserve"> de </w:t>
      </w:r>
      <w:r w:rsidR="00063181">
        <w:rPr>
          <w:lang w:val="nl-BE"/>
        </w:rPr>
        <w:t>peil</w:t>
      </w:r>
      <w:r w:rsidR="00F15DFC">
        <w:rPr>
          <w:lang w:val="nl-BE"/>
        </w:rPr>
        <w:t>ing echter net het tegenovergestelde</w:t>
      </w:r>
      <w:r w:rsidR="00BB1518">
        <w:rPr>
          <w:lang w:val="nl-BE"/>
        </w:rPr>
        <w:t xml:space="preserve"> aan</w:t>
      </w:r>
      <w:r w:rsidR="00F15DFC">
        <w:rPr>
          <w:lang w:val="nl-BE"/>
        </w:rPr>
        <w:t xml:space="preserve">, namelijk onpartijdig. Het is dan ook onduidelijk of de respondenten deze dwaling </w:t>
      </w:r>
      <w:r w:rsidR="00063181">
        <w:rPr>
          <w:lang w:val="nl-BE"/>
        </w:rPr>
        <w:t>doorzien hebben</w:t>
      </w:r>
      <w:r w:rsidR="00F15DFC">
        <w:rPr>
          <w:lang w:val="nl-BE"/>
        </w:rPr>
        <w:t xml:space="preserve"> door de connotatie die over de stelling hangt. Voor de volledigheid geef ik het resultaat mee, maar laat het vooral duidelijk zijn dat dit met een flinke korrel zout moet genomen worden. Exact de helft gaat akkoord met 33% voor groen en 17% voor geel, </w:t>
      </w:r>
      <w:r w:rsidR="00BB1518">
        <w:rPr>
          <w:lang w:val="nl-BE"/>
        </w:rPr>
        <w:t xml:space="preserve">7% zegt resoluut neen en 13% is iets voorzichtiger en kiest oranje. De overige 30% kiest geen kant, wat mogelijks een gevolg is van de onduidelijke vraagstelling. Gezien het resultaat en een opmerking hierover in de duiding, was het mijns inziens toch duidelijk wat er bedoeld werd. </w:t>
      </w:r>
    </w:p>
    <w:p w14:paraId="7F3B5245" w14:textId="77777777" w:rsidR="00BB1518" w:rsidRDefault="00BB1518" w:rsidP="002532B7">
      <w:pPr>
        <w:spacing w:line="276" w:lineRule="auto"/>
        <w:rPr>
          <w:lang w:val="nl-BE"/>
        </w:rPr>
      </w:pPr>
    </w:p>
    <w:p w14:paraId="3DBCA29C" w14:textId="1A7B892C" w:rsidR="00E20310" w:rsidRDefault="00B010C7" w:rsidP="00C75526">
      <w:pPr>
        <w:spacing w:line="276" w:lineRule="auto"/>
        <w:jc w:val="both"/>
        <w:rPr>
          <w:lang w:val="nl-BE"/>
        </w:rPr>
      </w:pPr>
      <w:r>
        <w:rPr>
          <w:b/>
          <w:lang w:val="nl-BE"/>
        </w:rPr>
        <w:t>92.</w:t>
      </w:r>
      <w:r w:rsidR="00BB1518">
        <w:rPr>
          <w:lang w:val="nl-BE"/>
        </w:rPr>
        <w:t xml:space="preserve">Indien we de vorige vraag als waarheidsgetrouw beschouwen, zouden de respondenten ook voorstander moeten zijn van de nieuwe tuchtcommissie. </w:t>
      </w:r>
      <w:r w:rsidR="007D3E62">
        <w:rPr>
          <w:lang w:val="nl-BE"/>
        </w:rPr>
        <w:t xml:space="preserve">Dat is ook het geval: 35% steunt de tuchtcommissie door dik en dun en nog eens 24% is een iets gematigder voorstander. Ook hier blijft een beduidend aantal neutraal met 28%, waardoor de tuchtcommissie voor slechts 13% van de respondenten overbodig is. </w:t>
      </w:r>
      <w:r w:rsidR="00A964A4">
        <w:rPr>
          <w:lang w:val="nl-BE"/>
        </w:rPr>
        <w:t>Nochtans geven een aantal respondenten in de duiding aan dat de tuchtcommissie nog niet volstaat en dat er een volledig onafhankelijke tuchtrechtbank voor gerechtsdeurwaarders zou moeten komen, met magistraten die niets met het korps te maken hebben. Persoonlijk vind ik dit geen correcte visie, aangezien die magistraten geen ‘feeling’ hebben met wat er le</w:t>
      </w:r>
      <w:r w:rsidR="00370C50">
        <w:rPr>
          <w:lang w:val="nl-BE"/>
        </w:rPr>
        <w:t>eft en speelt binn</w:t>
      </w:r>
      <w:r w:rsidR="00A964A4">
        <w:rPr>
          <w:lang w:val="nl-BE"/>
        </w:rPr>
        <w:t>en het gerechtsdeurwaarderskorps</w:t>
      </w:r>
      <w:r w:rsidR="00E20310">
        <w:rPr>
          <w:lang w:val="nl-BE"/>
        </w:rPr>
        <w:t xml:space="preserve">, maar dit wordt weerlegd door </w:t>
      </w:r>
      <w:r w:rsidR="00CE36F0">
        <w:rPr>
          <w:lang w:val="nl-BE"/>
        </w:rPr>
        <w:t>Vandemeulebroecke</w:t>
      </w:r>
      <w:r w:rsidR="00E20310">
        <w:rPr>
          <w:lang w:val="nl-BE"/>
        </w:rPr>
        <w:t xml:space="preserve">. Beslagrechters, bijvoorbeeld, kennen het reilen en zeilen van de gerechtsdeurwaarders maar al te goed en kunnen hierin zetelen. Het weegt volgens hem niet op tegen de subjectieve behandeling van tuchtzaken door confraters: veel gerechtsdeurwaarders zouden hun confraters niet veroordelen wegens de vrees voor </w:t>
      </w:r>
      <w:r w:rsidR="00CE36F0">
        <w:rPr>
          <w:lang w:val="nl-BE"/>
        </w:rPr>
        <w:t>‘</w:t>
      </w:r>
      <w:r w:rsidR="00E20310">
        <w:rPr>
          <w:lang w:val="nl-BE"/>
        </w:rPr>
        <w:t>vergeldingsacties</w:t>
      </w:r>
      <w:r w:rsidR="00CE36F0">
        <w:rPr>
          <w:lang w:val="nl-BE"/>
        </w:rPr>
        <w:t>’</w:t>
      </w:r>
      <w:r w:rsidR="00E20310">
        <w:rPr>
          <w:lang w:val="nl-BE"/>
        </w:rPr>
        <w:t xml:space="preserve">. Gezien de cijfers omtrent het gevolg </w:t>
      </w:r>
      <w:r w:rsidR="00CE36F0">
        <w:rPr>
          <w:lang w:val="nl-BE"/>
        </w:rPr>
        <w:t>d</w:t>
      </w:r>
      <w:r w:rsidR="00E20310">
        <w:rPr>
          <w:lang w:val="nl-BE"/>
        </w:rPr>
        <w:t>a</w:t>
      </w:r>
      <w:r w:rsidR="00CE36F0">
        <w:rPr>
          <w:lang w:val="nl-BE"/>
        </w:rPr>
        <w:t>t aan</w:t>
      </w:r>
      <w:r w:rsidR="00E20310">
        <w:rPr>
          <w:lang w:val="nl-BE"/>
        </w:rPr>
        <w:t xml:space="preserve"> klachten</w:t>
      </w:r>
      <w:r w:rsidR="00CE36F0">
        <w:rPr>
          <w:lang w:val="nl-BE"/>
        </w:rPr>
        <w:t xml:space="preserve"> wordt gegeven</w:t>
      </w:r>
      <w:r w:rsidR="00E20310">
        <w:rPr>
          <w:rStyle w:val="Voetnootmarkering"/>
          <w:lang w:val="nl-BE"/>
        </w:rPr>
        <w:footnoteReference w:id="192"/>
      </w:r>
      <w:r w:rsidR="00CE36F0">
        <w:rPr>
          <w:lang w:val="nl-BE"/>
        </w:rPr>
        <w:t>,</w:t>
      </w:r>
      <w:r w:rsidR="00E20310">
        <w:rPr>
          <w:lang w:val="nl-BE"/>
        </w:rPr>
        <w:t xml:space="preserve"> blijkt dit ook uit de praktijk. </w:t>
      </w:r>
    </w:p>
    <w:p w14:paraId="1DEF5FB7" w14:textId="77777777" w:rsidR="00E20310" w:rsidRDefault="00E20310" w:rsidP="002532B7">
      <w:pPr>
        <w:spacing w:line="276" w:lineRule="auto"/>
        <w:rPr>
          <w:lang w:val="nl-BE"/>
        </w:rPr>
      </w:pPr>
    </w:p>
    <w:p w14:paraId="009F292C" w14:textId="34829B25" w:rsidR="00753D07" w:rsidRDefault="00B010C7" w:rsidP="00C75526">
      <w:pPr>
        <w:spacing w:line="276" w:lineRule="auto"/>
        <w:jc w:val="both"/>
        <w:rPr>
          <w:lang w:val="nl-BE"/>
        </w:rPr>
      </w:pPr>
      <w:r>
        <w:rPr>
          <w:b/>
          <w:lang w:val="nl-BE"/>
        </w:rPr>
        <w:lastRenderedPageBreak/>
        <w:t>93.</w:t>
      </w:r>
      <w:r w:rsidR="007D3E62">
        <w:rPr>
          <w:lang w:val="nl-BE"/>
        </w:rPr>
        <w:t>Door een aantal deontologische principes op te nemen in het Gerechtelijk Wetboek</w:t>
      </w:r>
      <w:r w:rsidR="007060D7">
        <w:rPr>
          <w:lang w:val="nl-BE"/>
        </w:rPr>
        <w:t>,</w:t>
      </w:r>
      <w:r w:rsidR="00166EC9">
        <w:rPr>
          <w:lang w:val="nl-BE"/>
        </w:rPr>
        <w:t xml:space="preserve"> dringt de vraag zich op of die geboden/verboden dan </w:t>
      </w:r>
      <w:r w:rsidR="0048290D">
        <w:rPr>
          <w:lang w:val="nl-BE"/>
        </w:rPr>
        <w:t xml:space="preserve">tot 2014 </w:t>
      </w:r>
      <w:r w:rsidR="00166EC9">
        <w:rPr>
          <w:lang w:val="nl-BE"/>
        </w:rPr>
        <w:t xml:space="preserve">niet bekend waren voor de gerechtsdeurwaarders. Deze stelling veroorzaakt </w:t>
      </w:r>
      <w:r w:rsidR="00063181">
        <w:rPr>
          <w:lang w:val="nl-BE"/>
        </w:rPr>
        <w:t xml:space="preserve">een best </w:t>
      </w:r>
      <w:r w:rsidR="00166EC9">
        <w:rPr>
          <w:lang w:val="nl-BE"/>
        </w:rPr>
        <w:t>opmerkelijk resulta</w:t>
      </w:r>
      <w:r w:rsidR="00063181">
        <w:rPr>
          <w:lang w:val="nl-BE"/>
        </w:rPr>
        <w:t>at</w:t>
      </w:r>
      <w:r w:rsidR="00166EC9">
        <w:rPr>
          <w:lang w:val="nl-BE"/>
        </w:rPr>
        <w:t xml:space="preserve">, gezien maar liefst de helft neutraal blijft. </w:t>
      </w:r>
      <w:r w:rsidR="00A964A4">
        <w:rPr>
          <w:lang w:val="nl-BE"/>
        </w:rPr>
        <w:t xml:space="preserve">Een </w:t>
      </w:r>
      <w:r w:rsidR="00166EC9">
        <w:rPr>
          <w:lang w:val="nl-BE"/>
        </w:rPr>
        <w:t xml:space="preserve">verklaring dunkt mij </w:t>
      </w:r>
      <w:r w:rsidR="00D922EA">
        <w:rPr>
          <w:lang w:val="nl-BE"/>
        </w:rPr>
        <w:t>opnieuw</w:t>
      </w:r>
      <w:r w:rsidR="00166EC9">
        <w:rPr>
          <w:lang w:val="nl-BE"/>
        </w:rPr>
        <w:t xml:space="preserve"> </w:t>
      </w:r>
      <w:r w:rsidR="00A964A4">
        <w:rPr>
          <w:lang w:val="nl-BE"/>
        </w:rPr>
        <w:t xml:space="preserve">het jonge deelnemersveld </w:t>
      </w:r>
      <w:r w:rsidR="00D922EA">
        <w:rPr>
          <w:lang w:val="nl-BE"/>
        </w:rPr>
        <w:t xml:space="preserve">te zijn, dat </w:t>
      </w:r>
      <w:r w:rsidR="00A964A4">
        <w:rPr>
          <w:lang w:val="nl-BE"/>
        </w:rPr>
        <w:t xml:space="preserve">geen zicht heeft op de vroegere situatie. </w:t>
      </w:r>
      <w:r w:rsidR="00166EC9">
        <w:rPr>
          <w:lang w:val="nl-BE"/>
        </w:rPr>
        <w:t xml:space="preserve">De overige helft wordt ongeveer gelijk verdeeld tussen de twee kanten, maar de ‘radicale’ optie voor niet akkoord haalt wel 20% tegenover geen enkele stem voor groen. </w:t>
      </w:r>
      <w:r w:rsidR="00753D07">
        <w:rPr>
          <w:lang w:val="nl-BE"/>
        </w:rPr>
        <w:t>Hierbij aansluitend kan men zich ook de vraag stellen of de gerechtsdeurwaarders voor de hervorming zaken gedaan hebben die nu, op basis van het Gerechtelijk Wetboek, zouden gesanctioneerd kunnen worden. Dit wordt door ruim 2 op 3 met klem ontkend, 15% denkt eerder van niet. 4% denkt dat hij of zij misschien toch iets gedaan heeft dat niet toegelaten is en kleurt geel, maar niemand is hier rotsvast van overtuigd.</w:t>
      </w:r>
    </w:p>
    <w:p w14:paraId="2D6D8DDD" w14:textId="77777777" w:rsidR="00753D07" w:rsidRDefault="00753D07" w:rsidP="002532B7">
      <w:pPr>
        <w:spacing w:line="276" w:lineRule="auto"/>
        <w:rPr>
          <w:lang w:val="nl-BE"/>
        </w:rPr>
      </w:pPr>
    </w:p>
    <w:p w14:paraId="0AF0FE7A" w14:textId="48147B0C" w:rsidR="00753D07" w:rsidRDefault="00B010C7" w:rsidP="00C75526">
      <w:pPr>
        <w:spacing w:line="276" w:lineRule="auto"/>
        <w:jc w:val="both"/>
        <w:rPr>
          <w:lang w:val="nl-BE"/>
        </w:rPr>
      </w:pPr>
      <w:r>
        <w:rPr>
          <w:b/>
          <w:lang w:val="nl-BE"/>
        </w:rPr>
        <w:t>94.</w:t>
      </w:r>
      <w:r w:rsidR="00753D07">
        <w:rPr>
          <w:lang w:val="nl-BE"/>
        </w:rPr>
        <w:t>Nog een belangrijke tuchtrechtelijke innovatie is de invoering van geldboetes, die zelfs in een lagere tuchtprocedure kunnen worden opgelegd. Deze maatregel lijkt op heel wat draagvlak te kunnen rekenen, vermits bijna 1 op 4 groen kleurt en nog eens 37% geel. De ov</w:t>
      </w:r>
      <w:r w:rsidR="00446B04">
        <w:rPr>
          <w:lang w:val="nl-BE"/>
        </w:rPr>
        <w:t>erige stemmen bevinden zich veel</w:t>
      </w:r>
      <w:r w:rsidR="00753D07">
        <w:rPr>
          <w:lang w:val="nl-BE"/>
        </w:rPr>
        <w:t>al in de grijze zone met 33%.</w:t>
      </w:r>
    </w:p>
    <w:p w14:paraId="74FB3913" w14:textId="16220F43" w:rsidR="00753D07" w:rsidRDefault="00446B04" w:rsidP="004B4E26">
      <w:pPr>
        <w:spacing w:line="276" w:lineRule="auto"/>
        <w:jc w:val="both"/>
        <w:rPr>
          <w:lang w:val="nl-BE"/>
        </w:rPr>
      </w:pPr>
      <w:r>
        <w:rPr>
          <w:lang w:val="nl-BE"/>
        </w:rPr>
        <w:t>Waren de tuchtrechtelijke sancties vroeg</w:t>
      </w:r>
      <w:r w:rsidR="00F15FDB">
        <w:rPr>
          <w:lang w:val="nl-BE"/>
        </w:rPr>
        <w:t xml:space="preserve">er dan te laks? Ook hier komt </w:t>
      </w:r>
      <w:r w:rsidR="00222006">
        <w:rPr>
          <w:lang w:val="nl-BE"/>
        </w:rPr>
        <w:t xml:space="preserve">de </w:t>
      </w:r>
      <w:r w:rsidR="00F15FDB">
        <w:rPr>
          <w:lang w:val="nl-BE"/>
        </w:rPr>
        <w:t>immaturiteit</w:t>
      </w:r>
      <w:r w:rsidR="001D1A38">
        <w:rPr>
          <w:lang w:val="nl-BE"/>
        </w:rPr>
        <w:t xml:space="preserve"> – als ik het zo mag noemen – </w:t>
      </w:r>
      <w:r w:rsidR="00F15FDB">
        <w:rPr>
          <w:lang w:val="nl-BE"/>
        </w:rPr>
        <w:t xml:space="preserve">van het merendeel van de deelnemers tot uiting en blijft 37% neutraal. </w:t>
      </w:r>
      <w:r w:rsidR="00A964A4">
        <w:rPr>
          <w:lang w:val="nl-BE"/>
        </w:rPr>
        <w:t>D</w:t>
      </w:r>
      <w:r w:rsidR="002A260A">
        <w:rPr>
          <w:lang w:val="nl-BE"/>
        </w:rPr>
        <w:t>i</w:t>
      </w:r>
      <w:r w:rsidR="00A964A4">
        <w:rPr>
          <w:lang w:val="nl-BE"/>
        </w:rPr>
        <w:t>egene die er wel zicht op hebben, oordelen dat de sancties vroeger inderdaad te laks waren met 20% voor groen en 28% voor geel. De respondenten die menen dat de sancties volstonden, zijn hier ook ten stelligste van overtuigd met 13% voor rood ten o</w:t>
      </w:r>
      <w:r w:rsidR="0048290D">
        <w:rPr>
          <w:lang w:val="nl-BE"/>
        </w:rPr>
        <w:t xml:space="preserve">pzichte van </w:t>
      </w:r>
      <w:r w:rsidR="000B07DC">
        <w:rPr>
          <w:lang w:val="nl-BE"/>
        </w:rPr>
        <w:t xml:space="preserve">slechts 2% voor oranje. </w:t>
      </w:r>
    </w:p>
    <w:p w14:paraId="78793745" w14:textId="77777777" w:rsidR="000B07DC" w:rsidRDefault="000B07DC" w:rsidP="004B4E26">
      <w:pPr>
        <w:spacing w:line="276" w:lineRule="auto"/>
        <w:jc w:val="both"/>
        <w:rPr>
          <w:lang w:val="nl-BE"/>
        </w:rPr>
      </w:pPr>
    </w:p>
    <w:p w14:paraId="2D4176FF" w14:textId="6B55AE98" w:rsidR="00A964A4" w:rsidRDefault="00B010C7" w:rsidP="00C75526">
      <w:pPr>
        <w:spacing w:line="276" w:lineRule="auto"/>
        <w:jc w:val="both"/>
        <w:rPr>
          <w:lang w:val="nl-BE"/>
        </w:rPr>
      </w:pPr>
      <w:r>
        <w:rPr>
          <w:b/>
          <w:lang w:val="nl-BE"/>
        </w:rPr>
        <w:t>95.</w:t>
      </w:r>
      <w:r w:rsidR="00A964A4">
        <w:rPr>
          <w:lang w:val="nl-BE"/>
        </w:rPr>
        <w:t>Omwille van de visie van het EHRM</w:t>
      </w:r>
      <w:r w:rsidR="00A964A4">
        <w:rPr>
          <w:rStyle w:val="Voetnootmarkering"/>
          <w:lang w:val="nl-BE"/>
        </w:rPr>
        <w:footnoteReference w:id="193"/>
      </w:r>
      <w:r w:rsidR="00A964A4">
        <w:rPr>
          <w:lang w:val="nl-BE"/>
        </w:rPr>
        <w:t xml:space="preserve"> heb ik ten slotte</w:t>
      </w:r>
      <w:r w:rsidR="0024239A">
        <w:rPr>
          <w:lang w:val="nl-BE"/>
        </w:rPr>
        <w:t xml:space="preserve"> </w:t>
      </w:r>
      <w:r w:rsidR="00A964A4">
        <w:rPr>
          <w:lang w:val="nl-BE"/>
        </w:rPr>
        <w:t>– puur uit interesse – gepeild naar de mening van de gerechtsdeurwaarders omtrent de aansprakelijkheid voor hun beroepsfouten.</w:t>
      </w:r>
      <w:r w:rsidR="00B86CA7">
        <w:rPr>
          <w:lang w:val="nl-BE"/>
        </w:rPr>
        <w:t xml:space="preserve"> 26% vindt dit zeer terecht en eenzelfde percentage </w:t>
      </w:r>
      <w:r w:rsidR="0048290D">
        <w:rPr>
          <w:lang w:val="nl-BE"/>
        </w:rPr>
        <w:t>kan zich er wel in vinden</w:t>
      </w:r>
      <w:r w:rsidR="00B86CA7">
        <w:rPr>
          <w:lang w:val="nl-BE"/>
        </w:rPr>
        <w:t xml:space="preserve">, wat het totaal stemmen ‘akkoord’ op 52% brengt. Het grootste deel van de overige stemmen </w:t>
      </w:r>
      <w:r w:rsidR="008A4E3E">
        <w:rPr>
          <w:lang w:val="nl-BE"/>
        </w:rPr>
        <w:t xml:space="preserve">(30%) </w:t>
      </w:r>
      <w:r w:rsidR="00B86CA7">
        <w:rPr>
          <w:lang w:val="nl-BE"/>
        </w:rPr>
        <w:t>blijft</w:t>
      </w:r>
      <w:r w:rsidR="000D1216">
        <w:rPr>
          <w:lang w:val="nl-BE"/>
        </w:rPr>
        <w:t xml:space="preserve"> veruit neutraal en</w:t>
      </w:r>
      <w:r w:rsidR="00B86CA7">
        <w:rPr>
          <w:lang w:val="nl-BE"/>
        </w:rPr>
        <w:t xml:space="preserve"> 11% </w:t>
      </w:r>
      <w:r w:rsidR="000D1216">
        <w:rPr>
          <w:lang w:val="nl-BE"/>
        </w:rPr>
        <w:t xml:space="preserve">vindt </w:t>
      </w:r>
      <w:r w:rsidR="00B86CA7">
        <w:rPr>
          <w:lang w:val="nl-BE"/>
        </w:rPr>
        <w:t xml:space="preserve">het toch </w:t>
      </w:r>
      <w:r w:rsidR="000D1216">
        <w:rPr>
          <w:lang w:val="nl-BE"/>
        </w:rPr>
        <w:t xml:space="preserve">niet door de beugel kunnen </w:t>
      </w:r>
      <w:r w:rsidR="00B86CA7">
        <w:rPr>
          <w:lang w:val="nl-BE"/>
        </w:rPr>
        <w:t>dat ze zelf moeten instaan voor hun fouten. Het ‘zelf instaan’ kan trouwens ten zeerste gerelativeerd worden, gezien elke gerechtsdeurwaarder verplicht een aansprakelijkheidsverzekering</w:t>
      </w:r>
      <w:r w:rsidR="0005538C">
        <w:rPr>
          <w:rStyle w:val="Voetnootmarkering"/>
          <w:lang w:val="nl-BE"/>
        </w:rPr>
        <w:footnoteReference w:id="194"/>
      </w:r>
      <w:r w:rsidR="00B86CA7">
        <w:rPr>
          <w:lang w:val="nl-BE"/>
        </w:rPr>
        <w:t xml:space="preserve"> dient af te sluiten. </w:t>
      </w:r>
    </w:p>
    <w:p w14:paraId="10269ADE" w14:textId="77777777" w:rsidR="002621EF" w:rsidRDefault="002621EF" w:rsidP="002532B7">
      <w:pPr>
        <w:spacing w:line="276" w:lineRule="auto"/>
        <w:rPr>
          <w:lang w:val="nl-BE"/>
        </w:rPr>
      </w:pPr>
    </w:p>
    <w:p w14:paraId="340FE973" w14:textId="77777777" w:rsidR="002621EF" w:rsidRDefault="002621EF" w:rsidP="002532B7">
      <w:pPr>
        <w:spacing w:line="276" w:lineRule="auto"/>
        <w:rPr>
          <w:lang w:val="nl-BE"/>
        </w:rPr>
      </w:pPr>
    </w:p>
    <w:p w14:paraId="5A21DF43" w14:textId="429DC5DD" w:rsidR="002C3DE5" w:rsidRDefault="002C3DE5" w:rsidP="002532B7">
      <w:pPr>
        <w:spacing w:line="276" w:lineRule="auto"/>
        <w:rPr>
          <w:lang w:val="nl-BE"/>
        </w:rPr>
      </w:pPr>
      <w:r>
        <w:rPr>
          <w:lang w:val="nl-BE"/>
        </w:rPr>
        <w:br w:type="page"/>
      </w:r>
    </w:p>
    <w:p w14:paraId="39BC77E4" w14:textId="37B5B426" w:rsidR="00300D7E" w:rsidRDefault="002C3DE5" w:rsidP="002532B7">
      <w:pPr>
        <w:pStyle w:val="Kop1"/>
        <w:spacing w:line="276" w:lineRule="auto"/>
        <w:rPr>
          <w:lang w:val="nl-BE"/>
        </w:rPr>
      </w:pPr>
      <w:bookmarkStart w:id="35" w:name="_Toc40689973"/>
      <w:r>
        <w:rPr>
          <w:lang w:val="nl-BE"/>
        </w:rPr>
        <w:lastRenderedPageBreak/>
        <w:t>EINDCONCLUSIE</w:t>
      </w:r>
      <w:bookmarkEnd w:id="35"/>
    </w:p>
    <w:p w14:paraId="607EF184" w14:textId="77777777" w:rsidR="00300D7E" w:rsidRDefault="00300D7E" w:rsidP="002532B7">
      <w:pPr>
        <w:spacing w:line="276" w:lineRule="auto"/>
        <w:rPr>
          <w:lang w:val="nl-BE"/>
        </w:rPr>
      </w:pPr>
    </w:p>
    <w:p w14:paraId="1062145F" w14:textId="5BA2D611" w:rsidR="00072183" w:rsidRDefault="00002984" w:rsidP="00C75526">
      <w:pPr>
        <w:spacing w:line="276" w:lineRule="auto"/>
        <w:jc w:val="both"/>
        <w:rPr>
          <w:lang w:val="nl-BE"/>
        </w:rPr>
      </w:pPr>
      <w:r>
        <w:rPr>
          <w:lang w:val="nl-BE"/>
        </w:rPr>
        <w:t>Al het voorgaande in acht genomen, staat het</w:t>
      </w:r>
      <w:r w:rsidR="004F3A18">
        <w:rPr>
          <w:lang w:val="nl-BE"/>
        </w:rPr>
        <w:t xml:space="preserve"> </w:t>
      </w:r>
      <w:r w:rsidR="00D51AAB">
        <w:rPr>
          <w:lang w:val="nl-BE"/>
        </w:rPr>
        <w:t>als een paal boven water</w:t>
      </w:r>
      <w:r w:rsidR="004F3A18">
        <w:rPr>
          <w:lang w:val="nl-BE"/>
        </w:rPr>
        <w:t xml:space="preserve"> dat het gerechtsdeurwaardersstatuut, zoals geregeld in 1992, dringend nood had aan een nieuw jasje.</w:t>
      </w:r>
      <w:r w:rsidR="00831619">
        <w:rPr>
          <w:lang w:val="nl-BE"/>
        </w:rPr>
        <w:t xml:space="preserve"> </w:t>
      </w:r>
      <w:r w:rsidR="00072183">
        <w:rPr>
          <w:lang w:val="nl-BE"/>
        </w:rPr>
        <w:t xml:space="preserve">Het was dan ook een werk van lange adem, met de eerste parlementaire initiatieven tot een objectievere benoemingsprocedure </w:t>
      </w:r>
      <w:r w:rsidR="00B826D6">
        <w:rPr>
          <w:lang w:val="nl-BE"/>
        </w:rPr>
        <w:t>eind jaren ’90 van de vorige eeuw</w:t>
      </w:r>
      <w:r w:rsidR="00072183">
        <w:rPr>
          <w:lang w:val="nl-BE"/>
        </w:rPr>
        <w:t xml:space="preserve">. </w:t>
      </w:r>
      <w:r w:rsidR="00D068D8">
        <w:rPr>
          <w:lang w:val="nl-BE"/>
        </w:rPr>
        <w:t>Vermits</w:t>
      </w:r>
      <w:r w:rsidR="00072183">
        <w:rPr>
          <w:lang w:val="nl-BE"/>
        </w:rPr>
        <w:t xml:space="preserve"> het bijna </w:t>
      </w:r>
      <w:r w:rsidR="00B826D6">
        <w:rPr>
          <w:lang w:val="nl-BE"/>
        </w:rPr>
        <w:t>twintig</w:t>
      </w:r>
      <w:r w:rsidR="00072183">
        <w:rPr>
          <w:lang w:val="nl-BE"/>
        </w:rPr>
        <w:t xml:space="preserve"> jaar geduurd heeft alvorens de defintieve wetswijziging er eindelijk kwam, zou men verwachten dat alle omstandigheden, alle belanghebbenden en alle expert</w:t>
      </w:r>
      <w:r w:rsidR="000E710A">
        <w:rPr>
          <w:lang w:val="nl-BE"/>
        </w:rPr>
        <w:t>en</w:t>
      </w:r>
      <w:r w:rsidR="00072183">
        <w:rPr>
          <w:lang w:val="nl-BE"/>
        </w:rPr>
        <w:t xml:space="preserve"> grondig zijn geraadpleegd en bestudeerd teneinde een feilloos nieuw statuut te bekomen dat iedereen gelukkig prijst</w:t>
      </w:r>
      <w:r w:rsidR="00A42D5D">
        <w:rPr>
          <w:lang w:val="nl-BE"/>
        </w:rPr>
        <w:t xml:space="preserve">. </w:t>
      </w:r>
    </w:p>
    <w:p w14:paraId="288B3C6F" w14:textId="77777777" w:rsidR="00072183" w:rsidRDefault="00072183" w:rsidP="002532B7">
      <w:pPr>
        <w:spacing w:line="276" w:lineRule="auto"/>
        <w:rPr>
          <w:lang w:val="nl-BE"/>
        </w:rPr>
      </w:pPr>
    </w:p>
    <w:p w14:paraId="50CCDA97" w14:textId="0D5D8382" w:rsidR="002C3DE5" w:rsidRDefault="00072183" w:rsidP="00C75526">
      <w:pPr>
        <w:spacing w:line="276" w:lineRule="auto"/>
        <w:jc w:val="both"/>
        <w:rPr>
          <w:lang w:val="nl-BE"/>
        </w:rPr>
      </w:pPr>
      <w:r>
        <w:rPr>
          <w:lang w:val="nl-BE"/>
        </w:rPr>
        <w:t xml:space="preserve">Helaas is dit opzet een faliekante mislukking gebleken, als we tenminste de steekproef van 46 gerechtsdeurwaarders en kandidaat-gerechtsdeurwaarders mogen geloven. Het antwoord op de stelling </w:t>
      </w:r>
      <w:r w:rsidRPr="00072183">
        <w:rPr>
          <w:i/>
          <w:lang w:val="nl-BE"/>
        </w:rPr>
        <w:t>“het vooropgestelde doel is bereikt”</w:t>
      </w:r>
      <w:r>
        <w:rPr>
          <w:lang w:val="nl-BE"/>
        </w:rPr>
        <w:t xml:space="preserve"> met een pijnlijk resultaat van </w:t>
      </w:r>
      <w:r w:rsidR="00F30447">
        <w:rPr>
          <w:lang w:val="nl-BE"/>
        </w:rPr>
        <w:t>ruim</w:t>
      </w:r>
      <w:r w:rsidR="00D4103B">
        <w:rPr>
          <w:lang w:val="nl-BE"/>
        </w:rPr>
        <w:t xml:space="preserve"> </w:t>
      </w:r>
      <w:r>
        <w:rPr>
          <w:lang w:val="nl-BE"/>
        </w:rPr>
        <w:t>75% contra blijft toch enigszins nazinderen</w:t>
      </w:r>
      <w:r w:rsidR="00CA7E46">
        <w:rPr>
          <w:lang w:val="nl-BE"/>
        </w:rPr>
        <w:t xml:space="preserve"> </w:t>
      </w:r>
      <w:r w:rsidR="005C5CEF">
        <w:rPr>
          <w:lang w:val="nl-BE"/>
        </w:rPr>
        <w:t xml:space="preserve">gedurende </w:t>
      </w:r>
      <w:r w:rsidR="00CA7E46">
        <w:rPr>
          <w:lang w:val="nl-BE"/>
        </w:rPr>
        <w:t>het schrijven van deze conclusie</w:t>
      </w:r>
      <w:r>
        <w:rPr>
          <w:lang w:val="nl-BE"/>
        </w:rPr>
        <w:t xml:space="preserve">. </w:t>
      </w:r>
    </w:p>
    <w:p w14:paraId="262DC1FA" w14:textId="77777777" w:rsidR="00CA7E46" w:rsidRDefault="00CA7E46" w:rsidP="00E74892">
      <w:pPr>
        <w:spacing w:line="276" w:lineRule="auto"/>
        <w:jc w:val="both"/>
        <w:rPr>
          <w:lang w:val="nl-BE"/>
        </w:rPr>
      </w:pPr>
    </w:p>
    <w:p w14:paraId="6428BC0F" w14:textId="697B7829" w:rsidR="00D4103B" w:rsidRDefault="00CA7E46" w:rsidP="001C6971">
      <w:pPr>
        <w:spacing w:line="276" w:lineRule="auto"/>
        <w:jc w:val="both"/>
        <w:rPr>
          <w:lang w:val="nl-BE"/>
        </w:rPr>
      </w:pPr>
      <w:r>
        <w:rPr>
          <w:lang w:val="nl-BE"/>
        </w:rPr>
        <w:t>De hamvraag is natuurlijk waarom de gerechtsdeurwaarders zo negatief en kritisch tegenover de hervorming</w:t>
      </w:r>
      <w:r w:rsidR="00A42D5D">
        <w:rPr>
          <w:lang w:val="nl-BE"/>
        </w:rPr>
        <w:t xml:space="preserve"> staan</w:t>
      </w:r>
      <w:r>
        <w:rPr>
          <w:lang w:val="nl-BE"/>
        </w:rPr>
        <w:t xml:space="preserve">, zeker omdat ze toch vragende partij lijken te zijn geweest. </w:t>
      </w:r>
    </w:p>
    <w:p w14:paraId="2F13B892" w14:textId="4E17F255" w:rsidR="00A42D5D" w:rsidRDefault="00F07965" w:rsidP="00C75526">
      <w:pPr>
        <w:spacing w:line="276" w:lineRule="auto"/>
        <w:jc w:val="both"/>
        <w:rPr>
          <w:lang w:val="nl-BE"/>
        </w:rPr>
      </w:pPr>
      <w:r>
        <w:rPr>
          <w:lang w:val="nl-BE"/>
        </w:rPr>
        <w:t>Volgens mij</w:t>
      </w:r>
      <w:r w:rsidR="00CA7E46">
        <w:rPr>
          <w:lang w:val="nl-BE"/>
        </w:rPr>
        <w:t xml:space="preserve"> zijn ze simpelweg van mening dat het </w:t>
      </w:r>
      <w:r w:rsidR="003D731D">
        <w:rPr>
          <w:lang w:val="nl-BE"/>
        </w:rPr>
        <w:t>opzet</w:t>
      </w:r>
      <w:r w:rsidR="00817F86">
        <w:rPr>
          <w:lang w:val="nl-BE"/>
        </w:rPr>
        <w:t xml:space="preserve"> </w:t>
      </w:r>
      <w:r w:rsidR="00CA7E46">
        <w:rPr>
          <w:lang w:val="nl-BE"/>
        </w:rPr>
        <w:t>niet bereikt is omdat de maatregelen die genomen zijn zich daar niet toe lenen. Zo zou er nog steeds een zwijm van partijdigheid boven de benoemingen hangen</w:t>
      </w:r>
      <w:r w:rsidR="005C5CEF">
        <w:rPr>
          <w:lang w:val="nl-BE"/>
        </w:rPr>
        <w:t xml:space="preserve">, mocht </w:t>
      </w:r>
      <w:r w:rsidR="00CA7E46">
        <w:rPr>
          <w:lang w:val="nl-BE"/>
        </w:rPr>
        <w:t xml:space="preserve">het tuchtrecht nog iets verder </w:t>
      </w:r>
      <w:r w:rsidR="00A42D5D">
        <w:rPr>
          <w:lang w:val="nl-BE"/>
        </w:rPr>
        <w:t>gedistantieerd worden van het korps met een volledig onafhankelijke tuchtrechtbank</w:t>
      </w:r>
      <w:r w:rsidR="005C5CEF">
        <w:rPr>
          <w:lang w:val="nl-BE"/>
        </w:rPr>
        <w:t xml:space="preserve"> en wordt ook de opwaardering van het kandidatenstatuut niet au sérieux genomen. </w:t>
      </w:r>
    </w:p>
    <w:p w14:paraId="59C377B6" w14:textId="341775C4" w:rsidR="00A42D5D" w:rsidRDefault="00A42D5D" w:rsidP="00C75526">
      <w:pPr>
        <w:spacing w:line="276" w:lineRule="auto"/>
        <w:jc w:val="both"/>
        <w:rPr>
          <w:lang w:val="nl-BE"/>
        </w:rPr>
      </w:pPr>
      <w:r>
        <w:rPr>
          <w:lang w:val="nl-BE"/>
        </w:rPr>
        <w:t xml:space="preserve">Ze vinden de hervorming niet per se slecht, alleen </w:t>
      </w:r>
      <w:r w:rsidR="00E41252">
        <w:rPr>
          <w:lang w:val="nl-BE"/>
        </w:rPr>
        <w:t>reiken</w:t>
      </w:r>
      <w:r w:rsidR="00B826D6">
        <w:rPr>
          <w:lang w:val="nl-BE"/>
        </w:rPr>
        <w:t xml:space="preserve"> de </w:t>
      </w:r>
      <w:r w:rsidR="00E41252">
        <w:rPr>
          <w:lang w:val="nl-BE"/>
        </w:rPr>
        <w:t xml:space="preserve">huidige </w:t>
      </w:r>
      <w:r w:rsidR="00B826D6">
        <w:rPr>
          <w:lang w:val="nl-BE"/>
        </w:rPr>
        <w:t xml:space="preserve">maatregelen </w:t>
      </w:r>
      <w:r w:rsidR="00E41252">
        <w:rPr>
          <w:lang w:val="nl-BE"/>
        </w:rPr>
        <w:t xml:space="preserve">niet ver genoeg </w:t>
      </w:r>
      <w:r>
        <w:rPr>
          <w:lang w:val="nl-BE"/>
        </w:rPr>
        <w:t>om alle schoonheidsfoutjes uit het statuut te halen</w:t>
      </w:r>
      <w:r w:rsidR="00B826D6">
        <w:rPr>
          <w:lang w:val="nl-BE"/>
        </w:rPr>
        <w:t xml:space="preserve">. </w:t>
      </w:r>
      <w:r w:rsidR="00E41252">
        <w:rPr>
          <w:lang w:val="nl-BE"/>
        </w:rPr>
        <w:t>“</w:t>
      </w:r>
      <w:r w:rsidR="00B826D6" w:rsidRPr="00D068D8">
        <w:rPr>
          <w:i/>
          <w:lang w:val="nl-BE"/>
        </w:rPr>
        <w:t xml:space="preserve">Een gemiste kans om het </w:t>
      </w:r>
      <w:r w:rsidRPr="00D068D8">
        <w:rPr>
          <w:i/>
          <w:lang w:val="nl-BE"/>
        </w:rPr>
        <w:t>beroep volledig te moderniseren</w:t>
      </w:r>
      <w:r w:rsidR="00E41252" w:rsidRPr="00D068D8">
        <w:rPr>
          <w:i/>
          <w:lang w:val="nl-BE"/>
        </w:rPr>
        <w:t>”</w:t>
      </w:r>
      <w:r w:rsidR="00B826D6">
        <w:rPr>
          <w:lang w:val="nl-BE"/>
        </w:rPr>
        <w:t xml:space="preserve">, </w:t>
      </w:r>
      <w:r w:rsidR="00E41252">
        <w:rPr>
          <w:lang w:val="nl-BE"/>
        </w:rPr>
        <w:t>om het met een citaat van een respondent te omschrijven</w:t>
      </w:r>
      <w:r>
        <w:rPr>
          <w:lang w:val="nl-BE"/>
        </w:rPr>
        <w:t xml:space="preserve">. </w:t>
      </w:r>
    </w:p>
    <w:p w14:paraId="77031A04" w14:textId="7046FAFB" w:rsidR="00C608FC" w:rsidRDefault="00C608FC" w:rsidP="002532B7">
      <w:pPr>
        <w:spacing w:line="276" w:lineRule="auto"/>
        <w:rPr>
          <w:lang w:val="nl-BE"/>
        </w:rPr>
      </w:pPr>
    </w:p>
    <w:p w14:paraId="6E175755" w14:textId="305495F0" w:rsidR="004B3C05" w:rsidRDefault="00C608FC" w:rsidP="001D4A69">
      <w:pPr>
        <w:spacing w:line="276" w:lineRule="auto"/>
        <w:jc w:val="both"/>
        <w:rPr>
          <w:lang w:val="nl-BE"/>
        </w:rPr>
      </w:pPr>
      <w:r>
        <w:rPr>
          <w:lang w:val="nl-BE"/>
        </w:rPr>
        <w:t xml:space="preserve">Desalniettemin ben ik er toch van overtuigd dat alle genomen besluiten weloverwogen zijn geweest en dat er bewust gekozen is voor de </w:t>
      </w:r>
      <w:r w:rsidR="002E67C9">
        <w:rPr>
          <w:lang w:val="nl-BE"/>
        </w:rPr>
        <w:t xml:space="preserve">in dit werk </w:t>
      </w:r>
      <w:r>
        <w:rPr>
          <w:lang w:val="nl-BE"/>
        </w:rPr>
        <w:t>omstreden beslissingen. Het horen van</w:t>
      </w:r>
      <w:r w:rsidR="001520B1">
        <w:rPr>
          <w:lang w:val="nl-BE"/>
        </w:rPr>
        <w:t xml:space="preserve"> </w:t>
      </w:r>
      <w:r>
        <w:rPr>
          <w:lang w:val="nl-BE"/>
        </w:rPr>
        <w:t>iemand uit de toenmalige parlementaire commissie Justitie om de maatregelen van de hervorming te verdedigen, zou ideaal zijn om een definitief oordeel te vellen</w:t>
      </w:r>
      <w:r w:rsidR="00D51AAB">
        <w:rPr>
          <w:lang w:val="nl-BE"/>
        </w:rPr>
        <w:t xml:space="preserve">. </w:t>
      </w:r>
      <w:r w:rsidR="005C53F7">
        <w:rPr>
          <w:lang w:val="nl-BE"/>
        </w:rPr>
        <w:t xml:space="preserve">Al </w:t>
      </w:r>
      <w:r w:rsidR="00DD0AEA">
        <w:rPr>
          <w:lang w:val="nl-BE"/>
        </w:rPr>
        <w:t>w</w:t>
      </w:r>
      <w:r w:rsidR="00792AF8">
        <w:rPr>
          <w:lang w:val="nl-BE"/>
        </w:rPr>
        <w:t xml:space="preserve">eten we allemaal </w:t>
      </w:r>
      <w:r w:rsidR="00DD0AEA">
        <w:rPr>
          <w:lang w:val="nl-BE"/>
        </w:rPr>
        <w:t xml:space="preserve">dat </w:t>
      </w:r>
      <w:r w:rsidR="005C53F7">
        <w:rPr>
          <w:lang w:val="nl-BE"/>
        </w:rPr>
        <w:t xml:space="preserve">politici </w:t>
      </w:r>
      <w:r w:rsidR="00DD4B47">
        <w:rPr>
          <w:lang w:val="nl-BE"/>
        </w:rPr>
        <w:t>wel vaker</w:t>
      </w:r>
      <w:r w:rsidR="005C53F7">
        <w:rPr>
          <w:lang w:val="nl-BE"/>
        </w:rPr>
        <w:t xml:space="preserve"> een ogenschijnlijk</w:t>
      </w:r>
      <w:r w:rsidR="00DD0AEA">
        <w:rPr>
          <w:lang w:val="nl-BE"/>
        </w:rPr>
        <w:t xml:space="preserve"> rechtvaardige</w:t>
      </w:r>
      <w:r w:rsidR="005C53F7">
        <w:rPr>
          <w:lang w:val="nl-BE"/>
        </w:rPr>
        <w:t xml:space="preserve"> repliek klaar</w:t>
      </w:r>
      <w:r w:rsidR="00DD0AEA">
        <w:rPr>
          <w:lang w:val="nl-BE"/>
        </w:rPr>
        <w:t xml:space="preserve"> hebben </w:t>
      </w:r>
      <w:r w:rsidR="005C53F7">
        <w:rPr>
          <w:lang w:val="nl-BE"/>
        </w:rPr>
        <w:t>op kritiek</w:t>
      </w:r>
      <w:r w:rsidR="00DD0AEA">
        <w:rPr>
          <w:lang w:val="nl-BE"/>
        </w:rPr>
        <w:t xml:space="preserve">. </w:t>
      </w:r>
    </w:p>
    <w:p w14:paraId="712CDBBC" w14:textId="77777777" w:rsidR="004B3C05" w:rsidRDefault="004B3C05">
      <w:pPr>
        <w:rPr>
          <w:lang w:val="nl-BE"/>
        </w:rPr>
      </w:pPr>
      <w:r>
        <w:rPr>
          <w:lang w:val="nl-BE"/>
        </w:rPr>
        <w:br w:type="page"/>
      </w:r>
    </w:p>
    <w:p w14:paraId="15C6E8E2" w14:textId="37B59BB6" w:rsidR="00C608FC" w:rsidRDefault="00677273" w:rsidP="004B3C05">
      <w:pPr>
        <w:pStyle w:val="Kop1"/>
        <w:rPr>
          <w:lang w:val="nl-BE"/>
        </w:rPr>
      </w:pPr>
      <w:bookmarkStart w:id="36" w:name="_Toc40689974"/>
      <w:r>
        <w:rPr>
          <w:lang w:val="nl-BE"/>
        </w:rPr>
        <w:lastRenderedPageBreak/>
        <w:t>BIBLIOGRAFIE</w:t>
      </w:r>
      <w:bookmarkEnd w:id="36"/>
    </w:p>
    <w:p w14:paraId="0A1C4B0F" w14:textId="7A7843C1" w:rsidR="004B3C05" w:rsidRDefault="004B3C05" w:rsidP="004B3C05">
      <w:pPr>
        <w:rPr>
          <w:lang w:val="nl-BE"/>
        </w:rPr>
      </w:pPr>
    </w:p>
    <w:p w14:paraId="2BA8ED9C" w14:textId="77777777" w:rsidR="00C723BC" w:rsidRDefault="00C723BC" w:rsidP="004B3C05">
      <w:pPr>
        <w:jc w:val="center"/>
        <w:rPr>
          <w:b/>
          <w:sz w:val="28"/>
          <w:szCs w:val="28"/>
          <w:u w:val="single"/>
          <w:lang w:val="nl-BE"/>
        </w:rPr>
      </w:pPr>
    </w:p>
    <w:p w14:paraId="72CC43FD" w14:textId="267683BF" w:rsidR="004B3C05" w:rsidRPr="004051B1" w:rsidRDefault="004B3C05" w:rsidP="004051B1">
      <w:pPr>
        <w:pBdr>
          <w:top w:val="single" w:sz="4" w:space="1" w:color="auto"/>
          <w:left w:val="single" w:sz="4" w:space="4" w:color="auto"/>
          <w:bottom w:val="single" w:sz="4" w:space="1" w:color="auto"/>
          <w:right w:val="single" w:sz="4" w:space="4" w:color="auto"/>
        </w:pBdr>
        <w:jc w:val="center"/>
        <w:rPr>
          <w:b/>
          <w:sz w:val="28"/>
          <w:szCs w:val="28"/>
          <w:lang w:val="nl-BE"/>
        </w:rPr>
      </w:pPr>
      <w:r w:rsidRPr="004051B1">
        <w:rPr>
          <w:b/>
          <w:sz w:val="28"/>
          <w:szCs w:val="28"/>
          <w:lang w:val="nl-BE"/>
        </w:rPr>
        <w:t>Wetgeving</w:t>
      </w:r>
    </w:p>
    <w:p w14:paraId="4B912C56" w14:textId="77777777" w:rsidR="00C723BC" w:rsidRDefault="00C723BC" w:rsidP="00C723BC">
      <w:pPr>
        <w:rPr>
          <w:lang w:val="nl-BE"/>
        </w:rPr>
      </w:pPr>
    </w:p>
    <w:p w14:paraId="28B0FE96" w14:textId="2036DBE5" w:rsidR="004051B1" w:rsidRPr="00A8215B" w:rsidRDefault="00A8215B" w:rsidP="00A8215B">
      <w:pPr>
        <w:pStyle w:val="Lijstalinea"/>
        <w:numPr>
          <w:ilvl w:val="0"/>
          <w:numId w:val="9"/>
        </w:numPr>
        <w:rPr>
          <w:lang w:val="nl-BE"/>
        </w:rPr>
      </w:pPr>
      <w:r>
        <w:rPr>
          <w:i/>
          <w:lang w:val="nl-BE"/>
        </w:rPr>
        <w:t>Wetgeving</w:t>
      </w:r>
    </w:p>
    <w:p w14:paraId="0E8D6868" w14:textId="77777777" w:rsidR="00B50920" w:rsidRDefault="00B50920" w:rsidP="00C723BC">
      <w:pPr>
        <w:rPr>
          <w:lang w:val="nl-BE"/>
        </w:rPr>
      </w:pPr>
    </w:p>
    <w:p w14:paraId="38EAFD44" w14:textId="33DD5C22" w:rsidR="00C723BC" w:rsidRDefault="00C723BC" w:rsidP="00C723BC">
      <w:pPr>
        <w:rPr>
          <w:lang w:val="nl-BE"/>
        </w:rPr>
      </w:pPr>
      <w:r>
        <w:rPr>
          <w:lang w:val="nl-BE"/>
        </w:rPr>
        <w:t xml:space="preserve">Gerechtelijk Wetboek van 10 oktober 1967, </w:t>
      </w:r>
      <w:r>
        <w:rPr>
          <w:i/>
          <w:lang w:val="nl-BE"/>
        </w:rPr>
        <w:t xml:space="preserve">BS </w:t>
      </w:r>
      <w:r>
        <w:rPr>
          <w:lang w:val="nl-BE"/>
        </w:rPr>
        <w:t>31 oktober 1967</w:t>
      </w:r>
      <w:r w:rsidR="000E5DA1">
        <w:rPr>
          <w:lang w:val="nl-BE"/>
        </w:rPr>
        <w:t>.</w:t>
      </w:r>
    </w:p>
    <w:p w14:paraId="3258C5ED" w14:textId="625103D1" w:rsidR="00C723BC" w:rsidRDefault="00C723BC" w:rsidP="004B3C05">
      <w:pPr>
        <w:rPr>
          <w:lang w:val="nl-BE"/>
        </w:rPr>
      </w:pPr>
    </w:p>
    <w:p w14:paraId="7A23C681" w14:textId="191ACAA8" w:rsidR="00C723BC" w:rsidRPr="00C723BC" w:rsidRDefault="00C723BC" w:rsidP="00C723BC">
      <w:pPr>
        <w:rPr>
          <w:lang w:val="nl-BE"/>
        </w:rPr>
      </w:pPr>
      <w:r>
        <w:rPr>
          <w:lang w:val="nl-BE"/>
        </w:rPr>
        <w:t xml:space="preserve">Wet van 7 januari 2014 tot wijziging van het statuut van de gerechtsdeurwaarders, </w:t>
      </w:r>
      <w:r>
        <w:rPr>
          <w:i/>
          <w:lang w:val="nl-BE"/>
        </w:rPr>
        <w:t xml:space="preserve">BS </w:t>
      </w:r>
      <w:r>
        <w:rPr>
          <w:lang w:val="nl-BE"/>
        </w:rPr>
        <w:t>22 januari 2014</w:t>
      </w:r>
      <w:r w:rsidR="000E5DA1">
        <w:rPr>
          <w:lang w:val="nl-BE"/>
        </w:rPr>
        <w:t>.</w:t>
      </w:r>
    </w:p>
    <w:p w14:paraId="4C51ADAE" w14:textId="77777777" w:rsidR="00C723BC" w:rsidRDefault="00C723BC" w:rsidP="00C723BC">
      <w:pPr>
        <w:rPr>
          <w:rFonts w:ascii="Calibri" w:hAnsi="Calibri" w:cs="Calibri"/>
          <w:lang w:val="nl-BE"/>
        </w:rPr>
      </w:pPr>
    </w:p>
    <w:p w14:paraId="3AA63392" w14:textId="14B1E1BF" w:rsidR="00C723BC" w:rsidRPr="00C723BC" w:rsidRDefault="00C723BC" w:rsidP="00C723BC">
      <w:pPr>
        <w:rPr>
          <w:lang w:val="nl-BE"/>
        </w:rPr>
      </w:pPr>
      <w:r w:rsidRPr="00C723BC">
        <w:rPr>
          <w:rFonts w:ascii="Calibri" w:hAnsi="Calibri" w:cs="Calibri"/>
          <w:lang w:val="nl-BE"/>
        </w:rPr>
        <w:t xml:space="preserve">Wet van 6 april 1992 </w:t>
      </w:r>
      <w:r>
        <w:rPr>
          <w:rFonts w:ascii="Calibri" w:hAnsi="Calibri" w:cs="Calibri"/>
          <w:lang w:val="nl-BE"/>
        </w:rPr>
        <w:t xml:space="preserve">tot </w:t>
      </w:r>
      <w:r w:rsidRPr="00C723BC">
        <w:rPr>
          <w:rFonts w:ascii="Calibri" w:eastAsia="Times New Roman" w:hAnsi="Calibri" w:cs="Calibri"/>
          <w:lang w:val="nl-BE"/>
        </w:rPr>
        <w:t xml:space="preserve">wijziging van het Gerechtelijk Wetboek met betrekking tot het statuut van de gerechtsdeurwaarders, </w:t>
      </w:r>
      <w:r w:rsidRPr="00C723BC">
        <w:rPr>
          <w:rFonts w:ascii="Calibri" w:eastAsia="Times New Roman" w:hAnsi="Calibri" w:cs="Calibri"/>
          <w:i/>
          <w:lang w:val="nl-BE"/>
        </w:rPr>
        <w:t>BS</w:t>
      </w:r>
      <w:r w:rsidRPr="00C723BC">
        <w:rPr>
          <w:rFonts w:ascii="Calibri" w:eastAsia="Times New Roman" w:hAnsi="Calibri" w:cs="Calibri"/>
          <w:lang w:val="nl-BE"/>
        </w:rPr>
        <w:t xml:space="preserve"> 13 mei 1992. </w:t>
      </w:r>
    </w:p>
    <w:p w14:paraId="1B3A1473" w14:textId="00126441" w:rsidR="00C723BC" w:rsidRDefault="00C723BC" w:rsidP="004B3C05">
      <w:pPr>
        <w:rPr>
          <w:lang w:val="nl-BE"/>
        </w:rPr>
      </w:pPr>
    </w:p>
    <w:p w14:paraId="4D01F364" w14:textId="35EE7C14" w:rsidR="008A3E0C" w:rsidRDefault="008A3E0C" w:rsidP="008A3E0C">
      <w:pPr>
        <w:pStyle w:val="Voetnoottekst"/>
        <w:rPr>
          <w:lang w:val="nl-BE"/>
        </w:rPr>
      </w:pPr>
      <w:r>
        <w:rPr>
          <w:lang w:val="nl-BE"/>
        </w:rPr>
        <w:t xml:space="preserve">Wet van 19 oktober 2015 houdende wijziging van het burgerlijk procesrecht en houdende diverse bepalingen inzake justitie, </w:t>
      </w:r>
      <w:r>
        <w:rPr>
          <w:i/>
          <w:lang w:val="nl-BE"/>
        </w:rPr>
        <w:t xml:space="preserve">BS </w:t>
      </w:r>
      <w:r>
        <w:rPr>
          <w:lang w:val="nl-BE"/>
        </w:rPr>
        <w:t xml:space="preserve">22 oktober </w:t>
      </w:r>
      <w:r w:rsidR="004051B1">
        <w:rPr>
          <w:lang w:val="nl-BE"/>
        </w:rPr>
        <w:t>2015</w:t>
      </w:r>
      <w:r w:rsidR="000E5DA1">
        <w:rPr>
          <w:lang w:val="nl-BE"/>
        </w:rPr>
        <w:t>.</w:t>
      </w:r>
    </w:p>
    <w:p w14:paraId="06F53660" w14:textId="48F4506B" w:rsidR="004051B1" w:rsidRDefault="004051B1" w:rsidP="008A3E0C">
      <w:pPr>
        <w:pStyle w:val="Voetnoottekst"/>
        <w:rPr>
          <w:lang w:val="nl-BE"/>
        </w:rPr>
      </w:pPr>
    </w:p>
    <w:p w14:paraId="555DE14D" w14:textId="30F50974" w:rsidR="00097F4E" w:rsidRDefault="004051B1" w:rsidP="004051B1">
      <w:pPr>
        <w:pStyle w:val="Voetnoottekst"/>
        <w:rPr>
          <w:lang w:val="nl-BE"/>
        </w:rPr>
      </w:pPr>
      <w:r>
        <w:rPr>
          <w:lang w:val="nl-BE"/>
        </w:rPr>
        <w:t xml:space="preserve">Wet van 1 december 2013 tot hervorming van de gerechtelijke arrondissementen en tot wijziging van het Gerechtelijk Wetboek met het oog op een grotere mobilitieit van leden van de rechterlijke orde, </w:t>
      </w:r>
      <w:r>
        <w:rPr>
          <w:i/>
          <w:lang w:val="nl-BE"/>
        </w:rPr>
        <w:t xml:space="preserve">BS </w:t>
      </w:r>
      <w:r>
        <w:rPr>
          <w:lang w:val="nl-BE"/>
        </w:rPr>
        <w:t xml:space="preserve">10 december 2013. </w:t>
      </w:r>
    </w:p>
    <w:p w14:paraId="43787B5C" w14:textId="0021588F" w:rsidR="00097F4E" w:rsidRDefault="00097F4E" w:rsidP="004051B1">
      <w:pPr>
        <w:pStyle w:val="Voetnoottekst"/>
        <w:rPr>
          <w:lang w:val="nl-BE"/>
        </w:rPr>
      </w:pPr>
    </w:p>
    <w:p w14:paraId="1A4F1B27" w14:textId="59EA0311" w:rsidR="00097F4E" w:rsidRPr="00097F4E" w:rsidRDefault="00097F4E" w:rsidP="004051B1">
      <w:pPr>
        <w:pStyle w:val="Voetnoottekst"/>
        <w:rPr>
          <w:lang w:val="nl-BE"/>
        </w:rPr>
      </w:pPr>
      <w:r>
        <w:rPr>
          <w:lang w:val="nl-BE"/>
        </w:rPr>
        <w:t xml:space="preserve">Wet van 25 april 2014 houdende diverse bepalingen inzake justitie, </w:t>
      </w:r>
      <w:r>
        <w:rPr>
          <w:i/>
          <w:lang w:val="nl-BE"/>
        </w:rPr>
        <w:t xml:space="preserve">BS </w:t>
      </w:r>
      <w:r w:rsidR="001D76DD">
        <w:rPr>
          <w:lang w:val="nl-BE"/>
        </w:rPr>
        <w:t>14 mei 2014</w:t>
      </w:r>
    </w:p>
    <w:p w14:paraId="5FBDF1BC" w14:textId="07B4F830" w:rsidR="004051B1" w:rsidRDefault="004051B1" w:rsidP="008A3E0C">
      <w:pPr>
        <w:pStyle w:val="Voetnoottekst"/>
        <w:rPr>
          <w:lang w:val="nl-BE"/>
        </w:rPr>
      </w:pPr>
    </w:p>
    <w:p w14:paraId="12E10C2B" w14:textId="37D48DF1" w:rsidR="001D76DD" w:rsidRPr="001D76DD" w:rsidRDefault="001D76DD" w:rsidP="001D76DD">
      <w:pPr>
        <w:pStyle w:val="Voetnoottekst"/>
        <w:rPr>
          <w:lang w:val="nl-BE"/>
        </w:rPr>
      </w:pPr>
      <w:r>
        <w:rPr>
          <w:lang w:val="nl-BE"/>
        </w:rPr>
        <w:t xml:space="preserve">Wet van 4 mei 2016 houdende internering en diverse bepalingen inzake Justitie, </w:t>
      </w:r>
      <w:r>
        <w:rPr>
          <w:i/>
          <w:lang w:val="nl-BE"/>
        </w:rPr>
        <w:t xml:space="preserve">BS </w:t>
      </w:r>
      <w:r>
        <w:rPr>
          <w:lang w:val="nl-BE"/>
        </w:rPr>
        <w:t>13 mei 2016</w:t>
      </w:r>
    </w:p>
    <w:p w14:paraId="44A1EBD4" w14:textId="77777777" w:rsidR="001D76DD" w:rsidRDefault="001D76DD" w:rsidP="008A3E0C">
      <w:pPr>
        <w:pStyle w:val="Voetnoottekst"/>
        <w:rPr>
          <w:lang w:val="nl-BE"/>
        </w:rPr>
      </w:pPr>
    </w:p>
    <w:p w14:paraId="6A50797A" w14:textId="740C023E" w:rsidR="00A04CBD" w:rsidRPr="00A04CBD" w:rsidRDefault="00A04CBD" w:rsidP="00A04CBD">
      <w:pPr>
        <w:pStyle w:val="Voetnoottekst"/>
        <w:rPr>
          <w:lang w:val="nl-BE"/>
        </w:rPr>
      </w:pPr>
      <w:r>
        <w:rPr>
          <w:lang w:val="nl-BE"/>
        </w:rPr>
        <w:t>W</w:t>
      </w:r>
      <w:r>
        <w:t xml:space="preserve">et van 25 </w:t>
      </w:r>
      <w:proofErr w:type="spellStart"/>
      <w:r>
        <w:t>Ventôse</w:t>
      </w:r>
      <w:proofErr w:type="spellEnd"/>
      <w:r>
        <w:t xml:space="preserve"> jaar XI op het notarisambt, </w:t>
      </w:r>
      <w:r>
        <w:rPr>
          <w:i/>
        </w:rPr>
        <w:t xml:space="preserve">BS </w:t>
      </w:r>
      <w:r>
        <w:t>16 maart 1803</w:t>
      </w:r>
    </w:p>
    <w:p w14:paraId="79F00321" w14:textId="77777777" w:rsidR="001D76DD" w:rsidRDefault="001D76DD" w:rsidP="008A3E0C">
      <w:pPr>
        <w:pStyle w:val="Voetnoottekst"/>
        <w:rPr>
          <w:lang w:val="nl-BE"/>
        </w:rPr>
      </w:pPr>
    </w:p>
    <w:p w14:paraId="546351E1" w14:textId="63B7358D" w:rsidR="004051B1" w:rsidRPr="004051B1" w:rsidRDefault="004051B1" w:rsidP="008A3E0C">
      <w:pPr>
        <w:pStyle w:val="Voetnoottekst"/>
        <w:rPr>
          <w:lang w:val="nl-BE"/>
        </w:rPr>
      </w:pPr>
      <w:r>
        <w:rPr>
          <w:lang w:val="nl-BE"/>
        </w:rPr>
        <w:t xml:space="preserve">KB van 2 april 2014 tot uitvoering van de wet van 7 januari 2014 tot wijziging van het statuut van de gerechtsdeurwaarders, </w:t>
      </w:r>
      <w:r>
        <w:rPr>
          <w:i/>
          <w:lang w:val="nl-BE"/>
        </w:rPr>
        <w:t xml:space="preserve">BS </w:t>
      </w:r>
      <w:r>
        <w:rPr>
          <w:lang w:val="nl-BE"/>
        </w:rPr>
        <w:t>24 april 2014</w:t>
      </w:r>
      <w:r w:rsidR="000E5DA1">
        <w:rPr>
          <w:lang w:val="nl-BE"/>
        </w:rPr>
        <w:t>.</w:t>
      </w:r>
    </w:p>
    <w:p w14:paraId="4AE0F303" w14:textId="32D79DBF" w:rsidR="008A2D56" w:rsidRDefault="008A2D56" w:rsidP="008A3E0C">
      <w:pPr>
        <w:pStyle w:val="Voetnoottekst"/>
        <w:rPr>
          <w:lang w:val="nl-BE"/>
        </w:rPr>
      </w:pPr>
    </w:p>
    <w:p w14:paraId="5BE8986B" w14:textId="17089D52" w:rsidR="008A2D56" w:rsidRPr="001741FE" w:rsidRDefault="008A2D56" w:rsidP="008A2D56">
      <w:pPr>
        <w:pStyle w:val="Voetnoottekst"/>
        <w:rPr>
          <w:lang w:val="nl-BE"/>
        </w:rPr>
      </w:pPr>
      <w:r>
        <w:rPr>
          <w:lang w:val="nl-BE"/>
        </w:rPr>
        <w:t>KB van 30 juni 1993 betreffende de stage voor kandidaat-gerechtsdeurwaarders en de homologatie van die stage</w:t>
      </w:r>
      <w:r w:rsidR="0086006B">
        <w:rPr>
          <w:lang w:val="nl-BE"/>
        </w:rPr>
        <w:t xml:space="preserve">, </w:t>
      </w:r>
      <w:r w:rsidR="0086006B">
        <w:rPr>
          <w:i/>
          <w:lang w:val="nl-BE"/>
        </w:rPr>
        <w:t xml:space="preserve">BS </w:t>
      </w:r>
      <w:r w:rsidR="0086006B">
        <w:rPr>
          <w:lang w:val="nl-BE"/>
        </w:rPr>
        <w:t>30 juli 1993</w:t>
      </w:r>
      <w:r>
        <w:rPr>
          <w:lang w:val="nl-BE"/>
        </w:rPr>
        <w:t>.</w:t>
      </w:r>
    </w:p>
    <w:p w14:paraId="14CB7232" w14:textId="77777777" w:rsidR="008A2D56" w:rsidRDefault="008A2D56" w:rsidP="008A3E0C">
      <w:pPr>
        <w:pStyle w:val="Voetnoottekst"/>
        <w:rPr>
          <w:lang w:val="nl-BE"/>
        </w:rPr>
      </w:pPr>
    </w:p>
    <w:p w14:paraId="0132CD48" w14:textId="4E245AAB" w:rsidR="00C723BC" w:rsidRPr="004051B1" w:rsidRDefault="004051B1" w:rsidP="004B3C05">
      <w:pPr>
        <w:rPr>
          <w:lang w:val="nl-BE"/>
        </w:rPr>
      </w:pPr>
      <w:r>
        <w:t xml:space="preserve">MB van 9 januari 2019 houdende de goedkeuring van het jaarlijks vergelijkend examen tot rangschikking van kandidaat-gerechtsdeurwaarders, </w:t>
      </w:r>
      <w:r>
        <w:rPr>
          <w:i/>
        </w:rPr>
        <w:t xml:space="preserve">BS </w:t>
      </w:r>
      <w:r>
        <w:t>14 januari 2019</w:t>
      </w:r>
      <w:r w:rsidR="000E5DA1">
        <w:t>.</w:t>
      </w:r>
    </w:p>
    <w:p w14:paraId="33DFA981" w14:textId="77777777" w:rsidR="00C723BC" w:rsidRDefault="00C723BC" w:rsidP="004B3C05">
      <w:pPr>
        <w:rPr>
          <w:lang w:val="nl-BE"/>
        </w:rPr>
      </w:pPr>
    </w:p>
    <w:p w14:paraId="5EAD9501" w14:textId="36C99044" w:rsidR="00C723BC" w:rsidRPr="00381A00" w:rsidRDefault="00381A00" w:rsidP="00381A00">
      <w:pPr>
        <w:pStyle w:val="Lijstalinea"/>
        <w:numPr>
          <w:ilvl w:val="0"/>
          <w:numId w:val="9"/>
        </w:numPr>
        <w:rPr>
          <w:lang w:val="nl-BE"/>
        </w:rPr>
      </w:pPr>
      <w:r>
        <w:rPr>
          <w:i/>
          <w:lang w:val="nl-BE"/>
        </w:rPr>
        <w:t>Parlementaire werkzaamheden</w:t>
      </w:r>
    </w:p>
    <w:p w14:paraId="13D8588F" w14:textId="77777777" w:rsidR="00A04CBD" w:rsidRDefault="00A04CBD" w:rsidP="00A04CBD">
      <w:pPr>
        <w:pStyle w:val="Voetnoottekst"/>
        <w:rPr>
          <w:lang w:val="nl-BE"/>
        </w:rPr>
      </w:pPr>
    </w:p>
    <w:p w14:paraId="4BE884AF" w14:textId="49227C00" w:rsidR="00A04CBD" w:rsidRPr="00490822" w:rsidRDefault="00381A00" w:rsidP="00A04CBD">
      <w:pPr>
        <w:pStyle w:val="Voetnoottekst"/>
        <w:rPr>
          <w:lang w:val="nl-BE"/>
        </w:rPr>
      </w:pPr>
      <w:r>
        <w:rPr>
          <w:lang w:val="nl-BE"/>
        </w:rPr>
        <w:t>Wetsontwerp tot wijziging van het statuut van de gerechtsdeurwaarders,</w:t>
      </w:r>
      <w:r w:rsidR="00A04CBD">
        <w:rPr>
          <w:lang w:val="nl-BE"/>
        </w:rPr>
        <w:t xml:space="preserve"> </w:t>
      </w:r>
      <w:r w:rsidR="00A04CBD">
        <w:rPr>
          <w:i/>
          <w:lang w:val="nl-BE"/>
        </w:rPr>
        <w:t xml:space="preserve">Parl.St. </w:t>
      </w:r>
      <w:r w:rsidR="00A04CBD">
        <w:rPr>
          <w:lang w:val="nl-BE"/>
        </w:rPr>
        <w:t xml:space="preserve">Kamer 2012-2013, nr. 53-2937/001, </w:t>
      </w:r>
      <w:r>
        <w:rPr>
          <w:lang w:val="nl-BE"/>
        </w:rPr>
        <w:t>213.</w:t>
      </w:r>
    </w:p>
    <w:p w14:paraId="073DA0DD" w14:textId="039485A6" w:rsidR="00C723BC" w:rsidRDefault="00C723BC" w:rsidP="004B3C05">
      <w:pPr>
        <w:rPr>
          <w:lang w:val="nl-BE"/>
        </w:rPr>
      </w:pPr>
    </w:p>
    <w:p w14:paraId="3E818688" w14:textId="248C8368" w:rsidR="00A04CBD" w:rsidRDefault="00A04CBD" w:rsidP="00A04CBD">
      <w:pPr>
        <w:pStyle w:val="Voetnoottekst"/>
      </w:pPr>
      <w:r>
        <w:t xml:space="preserve">Wetsvoorstel (R. LANDUYT) </w:t>
      </w:r>
      <w:r w:rsidR="00381A00">
        <w:t xml:space="preserve">van 25 januari </w:t>
      </w:r>
      <w:r>
        <w:t>tot wijziging van het Gerechtelijk Wetboek tot invoering van een objectieve regeling voor de benoeming van gerechtsdeurwaarders</w:t>
      </w:r>
      <w:r w:rsidR="004224C6">
        <w:t xml:space="preserve">, </w:t>
      </w:r>
      <w:proofErr w:type="spellStart"/>
      <w:r w:rsidR="004224C6">
        <w:rPr>
          <w:i/>
        </w:rPr>
        <w:t>Parl.St</w:t>
      </w:r>
      <w:proofErr w:type="spellEnd"/>
      <w:r w:rsidR="004224C6">
        <w:rPr>
          <w:i/>
        </w:rPr>
        <w:t xml:space="preserve">. </w:t>
      </w:r>
      <w:r w:rsidR="004224C6">
        <w:t>Kamer 1995-1996, nr. 49-0390/001, 4.</w:t>
      </w:r>
    </w:p>
    <w:p w14:paraId="3EEA0F6E" w14:textId="77777777" w:rsidR="004224C6" w:rsidRPr="004224C6" w:rsidRDefault="004224C6" w:rsidP="004224C6">
      <w:pPr>
        <w:spacing w:before="100" w:beforeAutospacing="1" w:after="100" w:afterAutospacing="1"/>
        <w:rPr>
          <w:rFonts w:ascii="Calibri" w:eastAsia="Times New Roman" w:hAnsi="Calibri" w:cs="Calibri"/>
          <w:lang w:val="nl-BE" w:eastAsia="nl-NL"/>
        </w:rPr>
      </w:pPr>
      <w:r w:rsidRPr="004224C6">
        <w:rPr>
          <w:rFonts w:ascii="Calibri" w:eastAsia="Times New Roman" w:hAnsi="Calibri" w:cs="Calibri"/>
          <w:lang w:val="nl-BE" w:eastAsia="nl-NL"/>
        </w:rPr>
        <w:t xml:space="preserve">Wetsvoorstel (VERHERSTRAETEN, S.) betreffende de gerechtsdeurwaarders, Parl.St. Kamer 1999-2000, nr. 0873/001. </w:t>
      </w:r>
    </w:p>
    <w:p w14:paraId="3C0245BB" w14:textId="77777777" w:rsidR="004224C6" w:rsidRDefault="004224C6" w:rsidP="00A04CBD">
      <w:pPr>
        <w:pStyle w:val="Voetnoottekst"/>
      </w:pPr>
    </w:p>
    <w:p w14:paraId="71F37997" w14:textId="77777777" w:rsidR="004224C6" w:rsidRPr="004224C6" w:rsidRDefault="004224C6" w:rsidP="004224C6">
      <w:pPr>
        <w:spacing w:before="100" w:beforeAutospacing="1" w:after="100" w:afterAutospacing="1"/>
        <w:rPr>
          <w:rFonts w:ascii="Calibri" w:eastAsia="Times New Roman" w:hAnsi="Calibri" w:cs="Calibri"/>
          <w:lang w:val="nl-BE" w:eastAsia="nl-NL"/>
        </w:rPr>
      </w:pPr>
      <w:r w:rsidRPr="004224C6">
        <w:rPr>
          <w:rFonts w:ascii="Calibri" w:eastAsia="Times New Roman" w:hAnsi="Calibri" w:cs="Calibri"/>
          <w:lang w:val="nl-BE" w:eastAsia="nl-NL"/>
        </w:rPr>
        <w:t xml:space="preserve">Wetsvoorstel (BOURGEOIS, G.) tot wijziging van het Gerechtelijk Wetboek met betrekking tot het statuut van de gerechtsdeurwaarders, Parl.St. Kamer 2002-03, nr. 2353/001. </w:t>
      </w:r>
    </w:p>
    <w:p w14:paraId="79B7C29B" w14:textId="0BDCA89A" w:rsidR="004224C6" w:rsidRDefault="004224C6" w:rsidP="00F34C69">
      <w:pPr>
        <w:pStyle w:val="Voetnoottekst"/>
        <w:jc w:val="center"/>
        <w:rPr>
          <w:lang w:val="nl-BE"/>
        </w:rPr>
      </w:pPr>
    </w:p>
    <w:p w14:paraId="2B3CCAB4" w14:textId="6EB27BF2" w:rsidR="00F34C69" w:rsidRPr="00036F3E" w:rsidRDefault="00036F3E" w:rsidP="00036F3E">
      <w:pPr>
        <w:pStyle w:val="Voetnoottekst"/>
        <w:pBdr>
          <w:top w:val="single" w:sz="4" w:space="1" w:color="auto"/>
          <w:left w:val="single" w:sz="4" w:space="4" w:color="auto"/>
          <w:bottom w:val="single" w:sz="4" w:space="1" w:color="auto"/>
          <w:right w:val="single" w:sz="4" w:space="4" w:color="auto"/>
        </w:pBdr>
        <w:jc w:val="center"/>
        <w:rPr>
          <w:b/>
          <w:sz w:val="28"/>
          <w:szCs w:val="28"/>
          <w:lang w:val="nl-BE"/>
        </w:rPr>
      </w:pPr>
      <w:r w:rsidRPr="00036F3E">
        <w:rPr>
          <w:b/>
          <w:sz w:val="28"/>
          <w:szCs w:val="28"/>
          <w:lang w:val="nl-BE"/>
        </w:rPr>
        <w:t>Rechts</w:t>
      </w:r>
      <w:r>
        <w:rPr>
          <w:b/>
          <w:sz w:val="28"/>
          <w:szCs w:val="28"/>
          <w:lang w:val="nl-BE"/>
        </w:rPr>
        <w:t>praak</w:t>
      </w:r>
    </w:p>
    <w:p w14:paraId="10C91C70" w14:textId="1432B756" w:rsidR="00036F3E" w:rsidRPr="00B86CA7" w:rsidRDefault="00036F3E" w:rsidP="00036F3E">
      <w:pPr>
        <w:pStyle w:val="Normaalweb"/>
        <w:rPr>
          <w:rFonts w:ascii="Calibri" w:eastAsia="Times New Roman" w:hAnsi="Calibri"/>
          <w:lang w:val="nl-BE"/>
        </w:rPr>
      </w:pPr>
      <w:r w:rsidRPr="00B86CA7">
        <w:rPr>
          <w:rFonts w:ascii="Calibri" w:hAnsi="Calibri"/>
        </w:rPr>
        <w:t xml:space="preserve">EHRM 11 januari 2001, nr. 38460/97, </w:t>
      </w:r>
      <w:proofErr w:type="spellStart"/>
      <w:r w:rsidRPr="00B86CA7">
        <w:rPr>
          <w:rFonts w:ascii="Calibri" w:hAnsi="Calibri"/>
        </w:rPr>
        <w:t>Platakou</w:t>
      </w:r>
      <w:proofErr w:type="spellEnd"/>
      <w:r w:rsidRPr="00B86CA7">
        <w:rPr>
          <w:rFonts w:ascii="Calibri" w:hAnsi="Calibri"/>
        </w:rPr>
        <w:t xml:space="preserve">/Griekenland, </w:t>
      </w:r>
      <w:r w:rsidRPr="00B86CA7">
        <w:rPr>
          <w:rFonts w:ascii="Calibri" w:eastAsia="Times New Roman" w:hAnsi="Calibri"/>
          <w:lang w:val="nl-BE"/>
        </w:rPr>
        <w:t>NJCM-Bulletin, jrg. 26 (2001), nr.</w:t>
      </w:r>
      <w:r>
        <w:rPr>
          <w:rFonts w:ascii="Calibri" w:eastAsia="Times New Roman" w:hAnsi="Calibri"/>
          <w:lang w:val="nl-BE"/>
        </w:rPr>
        <w:t xml:space="preserve"> 4</w:t>
      </w:r>
    </w:p>
    <w:p w14:paraId="37FBD77A" w14:textId="1CF2AF12" w:rsidR="00036F3E" w:rsidRPr="00485F5B" w:rsidRDefault="00036F3E" w:rsidP="00036F3E">
      <w:pPr>
        <w:pStyle w:val="Voetnoottekst"/>
        <w:rPr>
          <w:lang w:val="nl-BE"/>
        </w:rPr>
      </w:pPr>
      <w:r w:rsidRPr="004669BA">
        <w:rPr>
          <w:rFonts w:ascii="Calibri" w:hAnsi="Calibri" w:cs="Calibri"/>
          <w:lang w:val="nl-BE"/>
        </w:rPr>
        <w:t xml:space="preserve">Cass. </w:t>
      </w:r>
      <w:r w:rsidRPr="00485F5B">
        <w:rPr>
          <w:rFonts w:ascii="Calibri" w:hAnsi="Calibri" w:cs="Calibri"/>
          <w:lang w:val="nl-BE"/>
        </w:rPr>
        <w:t>(2</w:t>
      </w:r>
      <w:r w:rsidRPr="00485F5B">
        <w:rPr>
          <w:rFonts w:ascii="Calibri" w:hAnsi="Calibri" w:cs="Calibri"/>
          <w:vertAlign w:val="superscript"/>
          <w:lang w:val="nl-BE"/>
        </w:rPr>
        <w:t>e</w:t>
      </w:r>
      <w:r w:rsidRPr="00485F5B">
        <w:rPr>
          <w:rFonts w:ascii="Calibri" w:hAnsi="Calibri" w:cs="Calibri"/>
          <w:lang w:val="nl-BE"/>
        </w:rPr>
        <w:t xml:space="preserve"> k.) 9 november 2011, AR P.11.2017</w:t>
      </w:r>
      <w:r w:rsidRPr="00485F5B">
        <w:rPr>
          <w:lang w:val="nl-BE"/>
        </w:rPr>
        <w:t>.F.</w:t>
      </w:r>
      <w:r w:rsidR="00485F5B" w:rsidRPr="00485F5B">
        <w:rPr>
          <w:lang w:val="nl-BE"/>
        </w:rPr>
        <w:t xml:space="preserve">, </w:t>
      </w:r>
      <w:r w:rsidR="00485F5B">
        <w:rPr>
          <w:lang w:val="nl-BE"/>
        </w:rPr>
        <w:t>TBBR 2020, nr. 2, 103-105, noot S. DE REY en B. TILLEMAN.</w:t>
      </w:r>
    </w:p>
    <w:p w14:paraId="594B4751" w14:textId="001CDE18" w:rsidR="00036F3E" w:rsidRPr="00485F5B" w:rsidRDefault="00036F3E" w:rsidP="00036F3E">
      <w:pPr>
        <w:rPr>
          <w:lang w:val="nl-BE"/>
        </w:rPr>
      </w:pPr>
    </w:p>
    <w:p w14:paraId="63D559F7" w14:textId="7D175A9C" w:rsidR="00036F3E" w:rsidRDefault="00036F3E" w:rsidP="00036F3E">
      <w:pPr>
        <w:pStyle w:val="Voetnoottekst"/>
        <w:rPr>
          <w:lang w:val="nl-BE"/>
        </w:rPr>
      </w:pPr>
      <w:r>
        <w:rPr>
          <w:lang w:val="nl-BE"/>
        </w:rPr>
        <w:t>RvS (11</w:t>
      </w:r>
      <w:r w:rsidRPr="007F1A3A">
        <w:rPr>
          <w:vertAlign w:val="superscript"/>
          <w:lang w:val="nl-BE"/>
        </w:rPr>
        <w:t>e</w:t>
      </w:r>
      <w:r>
        <w:rPr>
          <w:lang w:val="nl-BE"/>
        </w:rPr>
        <w:t xml:space="preserve"> k.) 14 juni 2010, nr. 205.149</w:t>
      </w:r>
      <w:r w:rsidR="004807F1">
        <w:rPr>
          <w:lang w:val="nl-BE"/>
        </w:rPr>
        <w:t>, Flocque</w:t>
      </w:r>
      <w:r>
        <w:rPr>
          <w:lang w:val="nl-BE"/>
        </w:rPr>
        <w:t>.</w:t>
      </w:r>
    </w:p>
    <w:p w14:paraId="2483C235" w14:textId="6DBE374E" w:rsidR="00036F3E" w:rsidRDefault="00036F3E" w:rsidP="00036F3E">
      <w:pPr>
        <w:pStyle w:val="Voetnoottekst"/>
        <w:rPr>
          <w:lang w:val="nl-BE"/>
        </w:rPr>
      </w:pPr>
    </w:p>
    <w:p w14:paraId="6E80F21E" w14:textId="77EE72CF" w:rsidR="00036F3E" w:rsidRDefault="004807F1" w:rsidP="00036F3E">
      <w:r>
        <w:t>RvS (9</w:t>
      </w:r>
      <w:r w:rsidRPr="00C11972">
        <w:rPr>
          <w:vertAlign w:val="superscript"/>
        </w:rPr>
        <w:t>e</w:t>
      </w:r>
      <w:r>
        <w:t xml:space="preserve"> k.) 15 juli 2011, nr. 214.647, Verstraeten.</w:t>
      </w:r>
    </w:p>
    <w:p w14:paraId="11B76B6F" w14:textId="44A13B18" w:rsidR="004807F1" w:rsidRDefault="004807F1" w:rsidP="00036F3E">
      <w:pPr>
        <w:rPr>
          <w:lang w:val="nl-BE"/>
        </w:rPr>
      </w:pPr>
    </w:p>
    <w:p w14:paraId="13ECD881" w14:textId="77777777" w:rsidR="004807F1" w:rsidRDefault="004807F1" w:rsidP="004807F1">
      <w:pPr>
        <w:pStyle w:val="Voetnoottekst"/>
      </w:pPr>
      <w:r>
        <w:t>RvS (9</w:t>
      </w:r>
      <w:r w:rsidRPr="00C11972">
        <w:rPr>
          <w:vertAlign w:val="superscript"/>
        </w:rPr>
        <w:t>e</w:t>
      </w:r>
      <w:r>
        <w:t xml:space="preserve"> k.) 15 juli 2011, nr. 214.649, De </w:t>
      </w:r>
      <w:proofErr w:type="spellStart"/>
      <w:r>
        <w:t>Troij</w:t>
      </w:r>
      <w:proofErr w:type="spellEnd"/>
    </w:p>
    <w:p w14:paraId="617F6293" w14:textId="77777777" w:rsidR="004807F1" w:rsidRPr="00965774" w:rsidRDefault="004807F1" w:rsidP="004807F1">
      <w:pPr>
        <w:pStyle w:val="Voetnoottekst"/>
        <w:rPr>
          <w:lang w:val="nl-BE"/>
        </w:rPr>
      </w:pPr>
    </w:p>
    <w:p w14:paraId="698AC0D2" w14:textId="003A8EA8" w:rsidR="004807F1" w:rsidRPr="004807F1" w:rsidRDefault="004807F1" w:rsidP="004807F1">
      <w:pPr>
        <w:pStyle w:val="Voetnoottekst"/>
        <w:rPr>
          <w:lang w:val="en-US"/>
        </w:rPr>
      </w:pPr>
      <w:proofErr w:type="spellStart"/>
      <w:r w:rsidRPr="004807F1">
        <w:rPr>
          <w:lang w:val="en-US"/>
        </w:rPr>
        <w:t>RvS</w:t>
      </w:r>
      <w:proofErr w:type="spellEnd"/>
      <w:r w:rsidRPr="004807F1">
        <w:rPr>
          <w:lang w:val="en-US"/>
        </w:rPr>
        <w:t xml:space="preserve"> (9</w:t>
      </w:r>
      <w:r w:rsidRPr="004807F1">
        <w:rPr>
          <w:vertAlign w:val="superscript"/>
          <w:lang w:val="en-US"/>
        </w:rPr>
        <w:t>e</w:t>
      </w:r>
      <w:r w:rsidRPr="004807F1">
        <w:rPr>
          <w:lang w:val="en-US"/>
        </w:rPr>
        <w:t xml:space="preserve"> k.) 15 </w:t>
      </w:r>
      <w:proofErr w:type="spellStart"/>
      <w:r w:rsidRPr="004807F1">
        <w:rPr>
          <w:lang w:val="en-US"/>
        </w:rPr>
        <w:t>juli</w:t>
      </w:r>
      <w:proofErr w:type="spellEnd"/>
      <w:r w:rsidRPr="004807F1">
        <w:rPr>
          <w:lang w:val="en-US"/>
        </w:rPr>
        <w:t xml:space="preserve"> 2011, </w:t>
      </w:r>
      <w:proofErr w:type="spellStart"/>
      <w:r w:rsidRPr="004807F1">
        <w:rPr>
          <w:lang w:val="en-US"/>
        </w:rPr>
        <w:t>nr</w:t>
      </w:r>
      <w:proofErr w:type="spellEnd"/>
      <w:r w:rsidRPr="004807F1">
        <w:rPr>
          <w:lang w:val="en-US"/>
        </w:rPr>
        <w:t>. 214.651, Somers.</w:t>
      </w:r>
    </w:p>
    <w:p w14:paraId="17005BEF" w14:textId="77777777" w:rsidR="004807F1" w:rsidRPr="00965774" w:rsidRDefault="004807F1" w:rsidP="004807F1">
      <w:pPr>
        <w:pStyle w:val="Voetnoottekst"/>
        <w:rPr>
          <w:rStyle w:val="Voetnootmarkering"/>
          <w:lang w:val="en-US"/>
        </w:rPr>
      </w:pPr>
    </w:p>
    <w:p w14:paraId="059A25AA" w14:textId="46336AF6" w:rsidR="004807F1" w:rsidRDefault="004807F1" w:rsidP="004807F1">
      <w:pPr>
        <w:pStyle w:val="Voetnoottekst"/>
        <w:rPr>
          <w:lang w:val="nl-BE"/>
        </w:rPr>
      </w:pPr>
      <w:r>
        <w:rPr>
          <w:lang w:val="nl-BE"/>
        </w:rPr>
        <w:t>RvS (Alg. Verg.) 18 januari 2013, nr. 222.142, Van den Eede.</w:t>
      </w:r>
    </w:p>
    <w:p w14:paraId="3D9B46FE" w14:textId="08FF6022" w:rsidR="004807F1" w:rsidRDefault="004807F1" w:rsidP="004807F1">
      <w:pPr>
        <w:pStyle w:val="Voetnoottekst"/>
        <w:rPr>
          <w:lang w:val="nl-BE"/>
        </w:rPr>
      </w:pPr>
    </w:p>
    <w:p w14:paraId="4817B45E" w14:textId="506F66F2" w:rsidR="004807F1" w:rsidRPr="00C11972" w:rsidRDefault="004807F1" w:rsidP="004807F1">
      <w:pPr>
        <w:pStyle w:val="Voetnoottekst"/>
        <w:rPr>
          <w:lang w:val="nl-BE"/>
        </w:rPr>
      </w:pPr>
      <w:proofErr w:type="spellStart"/>
      <w:r>
        <w:t>Adv.RvS</w:t>
      </w:r>
      <w:proofErr w:type="spellEnd"/>
      <w:r>
        <w:t xml:space="preserve"> (3</w:t>
      </w:r>
      <w:r w:rsidRPr="00FC151D">
        <w:rPr>
          <w:vertAlign w:val="superscript"/>
        </w:rPr>
        <w:t>e</w:t>
      </w:r>
      <w:r>
        <w:t xml:space="preserve"> k.) 5 juni 2013, nr. 53.258/3</w:t>
      </w:r>
    </w:p>
    <w:p w14:paraId="7864E347" w14:textId="03D39687" w:rsidR="004807F1" w:rsidRDefault="004807F1" w:rsidP="00036F3E">
      <w:pPr>
        <w:rPr>
          <w:lang w:val="nl-BE"/>
        </w:rPr>
      </w:pPr>
    </w:p>
    <w:p w14:paraId="67425D15" w14:textId="6B0497F6" w:rsidR="004807F1" w:rsidRDefault="004807F1" w:rsidP="00036F3E">
      <w:pPr>
        <w:rPr>
          <w:rFonts w:ascii="Calibri" w:hAnsi="Calibri" w:cs="Calibri"/>
          <w:lang w:val="nl-BE"/>
        </w:rPr>
      </w:pPr>
      <w:r w:rsidRPr="008A3E0C">
        <w:rPr>
          <w:rFonts w:ascii="Calibri" w:hAnsi="Calibri" w:cs="Calibri"/>
          <w:lang w:val="nl-BE"/>
        </w:rPr>
        <w:t>Kh. Dendermonde (2</w:t>
      </w:r>
      <w:r w:rsidRPr="008A3E0C">
        <w:rPr>
          <w:rFonts w:ascii="Calibri" w:hAnsi="Calibri" w:cs="Calibri"/>
          <w:vertAlign w:val="superscript"/>
          <w:lang w:val="nl-BE"/>
        </w:rPr>
        <w:t>e</w:t>
      </w:r>
      <w:r w:rsidRPr="008A3E0C">
        <w:rPr>
          <w:rFonts w:ascii="Calibri" w:hAnsi="Calibri" w:cs="Calibri"/>
          <w:lang w:val="nl-BE"/>
        </w:rPr>
        <w:t xml:space="preserve"> k.) 12 september 2013, </w:t>
      </w:r>
      <w:r w:rsidRPr="008A3E0C">
        <w:rPr>
          <w:rFonts w:ascii="Calibri" w:hAnsi="Calibri" w:cs="Calibri"/>
          <w:i/>
          <w:lang w:val="nl-BE"/>
        </w:rPr>
        <w:t xml:space="preserve">RW </w:t>
      </w:r>
      <w:r w:rsidRPr="008A3E0C">
        <w:rPr>
          <w:rFonts w:ascii="Calibri" w:hAnsi="Calibri" w:cs="Calibri"/>
          <w:lang w:val="nl-BE"/>
        </w:rPr>
        <w:t>2014-2015, nr. 33</w:t>
      </w:r>
      <w:r>
        <w:rPr>
          <w:rFonts w:ascii="Calibri" w:hAnsi="Calibri" w:cs="Calibri"/>
          <w:lang w:val="nl-BE"/>
        </w:rPr>
        <w:t>.</w:t>
      </w:r>
    </w:p>
    <w:p w14:paraId="2A469607" w14:textId="70F6667A" w:rsidR="004507AF" w:rsidRDefault="004507AF" w:rsidP="00036F3E">
      <w:pPr>
        <w:rPr>
          <w:lang w:val="nl-BE"/>
        </w:rPr>
      </w:pPr>
    </w:p>
    <w:p w14:paraId="37C651A7" w14:textId="4E374CE8" w:rsidR="004507AF" w:rsidRDefault="004507AF" w:rsidP="00036F3E">
      <w:pPr>
        <w:rPr>
          <w:lang w:val="nl-BE"/>
        </w:rPr>
      </w:pPr>
    </w:p>
    <w:p w14:paraId="7444FEFD" w14:textId="77777777" w:rsidR="0083007D" w:rsidRDefault="004507AF" w:rsidP="0083007D">
      <w:pPr>
        <w:pBdr>
          <w:top w:val="single" w:sz="4" w:space="1" w:color="auto"/>
          <w:left w:val="single" w:sz="4" w:space="4" w:color="auto"/>
          <w:bottom w:val="single" w:sz="4" w:space="1" w:color="auto"/>
          <w:right w:val="single" w:sz="4" w:space="4" w:color="auto"/>
        </w:pBdr>
        <w:jc w:val="center"/>
        <w:rPr>
          <w:b/>
          <w:sz w:val="28"/>
          <w:szCs w:val="28"/>
          <w:lang w:val="nl-BE"/>
        </w:rPr>
      </w:pPr>
      <w:r w:rsidRPr="004507AF">
        <w:rPr>
          <w:b/>
          <w:sz w:val="28"/>
          <w:szCs w:val="28"/>
          <w:lang w:val="nl-BE"/>
        </w:rPr>
        <w:t>Rechtsleer</w:t>
      </w:r>
    </w:p>
    <w:p w14:paraId="1A44FBDF" w14:textId="77777777" w:rsidR="0083007D" w:rsidRDefault="0083007D" w:rsidP="0083007D">
      <w:pPr>
        <w:rPr>
          <w:b/>
          <w:sz w:val="28"/>
          <w:szCs w:val="28"/>
          <w:lang w:val="nl-BE"/>
        </w:rPr>
      </w:pPr>
    </w:p>
    <w:p w14:paraId="64E1F027" w14:textId="77777777" w:rsidR="00A52F84" w:rsidRDefault="00A52F84" w:rsidP="00A52F84">
      <w:r>
        <w:t xml:space="preserve">DAUW, P., </w:t>
      </w:r>
      <w:r>
        <w:rPr>
          <w:i/>
        </w:rPr>
        <w:t>Burgerlijk procesrecht</w:t>
      </w:r>
      <w:r>
        <w:t xml:space="preserve">, Antwerpen, </w:t>
      </w:r>
      <w:proofErr w:type="spellStart"/>
      <w:r>
        <w:t>Intersentia</w:t>
      </w:r>
      <w:proofErr w:type="spellEnd"/>
      <w:r>
        <w:t>, 2018, 570 p.</w:t>
      </w:r>
    </w:p>
    <w:p w14:paraId="4C26A965" w14:textId="77777777" w:rsidR="00A52F84" w:rsidRDefault="00A52F84" w:rsidP="0083007D">
      <w:pPr>
        <w:rPr>
          <w:b/>
          <w:i/>
          <w:sz w:val="28"/>
          <w:szCs w:val="28"/>
        </w:rPr>
      </w:pPr>
    </w:p>
    <w:p w14:paraId="0ADB8D2A" w14:textId="1082F3D6" w:rsidR="00A52F84" w:rsidRDefault="00A52F84" w:rsidP="00A52F84">
      <w:r>
        <w:t xml:space="preserve">DE MEYER, G., </w:t>
      </w:r>
      <w:r>
        <w:rPr>
          <w:i/>
        </w:rPr>
        <w:t xml:space="preserve">Het statuut van de gerechtsdeurwaarder in historisch perspectief, </w:t>
      </w:r>
      <w:proofErr w:type="spellStart"/>
      <w:r w:rsidR="00E9006A">
        <w:t>onuitg</w:t>
      </w:r>
      <w:proofErr w:type="spellEnd"/>
      <w:r w:rsidR="00E9006A">
        <w:t xml:space="preserve">. Masterproef Rechten </w:t>
      </w:r>
      <w:proofErr w:type="spellStart"/>
      <w:r w:rsidR="00E9006A">
        <w:t>UGent</w:t>
      </w:r>
      <w:proofErr w:type="spellEnd"/>
      <w:r w:rsidR="00E9006A">
        <w:t xml:space="preserve">, </w:t>
      </w:r>
      <w:r>
        <w:t>AJ 2015-2016, 173 p.</w:t>
      </w:r>
    </w:p>
    <w:p w14:paraId="0AD1204D" w14:textId="52582D7C" w:rsidR="00E9006A" w:rsidRDefault="00A0614B" w:rsidP="00A52F84">
      <w:hyperlink r:id="rId9" w:history="1">
        <w:r w:rsidR="00E9006A" w:rsidRPr="00F4208E">
          <w:rPr>
            <w:rStyle w:val="Hyperlink"/>
          </w:rPr>
          <w:t>https://lib.ugent.be/fulltxt/RUG01/002/304/238/RUG01-002304238_2016_0001_AC.pdf</w:t>
        </w:r>
      </w:hyperlink>
      <w:r w:rsidR="00E9006A">
        <w:t xml:space="preserve"> </w:t>
      </w:r>
    </w:p>
    <w:p w14:paraId="13271100" w14:textId="77777777" w:rsidR="00A52F84" w:rsidRDefault="00A52F84" w:rsidP="0083007D">
      <w:pPr>
        <w:rPr>
          <w:b/>
          <w:i/>
          <w:sz w:val="28"/>
          <w:szCs w:val="28"/>
        </w:rPr>
      </w:pPr>
    </w:p>
    <w:p w14:paraId="62C23BD4" w14:textId="77777777" w:rsidR="00A52F84" w:rsidRDefault="00A52F84" w:rsidP="00A52F84">
      <w:r>
        <w:t>DUJARDIN, J., VANDE LANOTTE, J., GOOSSENS, J. en GOEDERTIER, G.</w:t>
      </w:r>
      <w:r>
        <w:rPr>
          <w:i/>
        </w:rPr>
        <w:t>, Basisbegrippen publiekrecht</w:t>
      </w:r>
      <w:r>
        <w:t xml:space="preserve">, Brugge, Die </w:t>
      </w:r>
      <w:proofErr w:type="spellStart"/>
      <w:r>
        <w:t>Keure</w:t>
      </w:r>
      <w:proofErr w:type="spellEnd"/>
      <w:r>
        <w:t>, 2014, 461 p.</w:t>
      </w:r>
    </w:p>
    <w:p w14:paraId="1310CC41" w14:textId="77777777" w:rsidR="00A52F84" w:rsidRDefault="00A52F84" w:rsidP="0083007D">
      <w:pPr>
        <w:rPr>
          <w:b/>
          <w:i/>
          <w:sz w:val="28"/>
          <w:szCs w:val="28"/>
        </w:rPr>
      </w:pPr>
    </w:p>
    <w:p w14:paraId="5A8FD41A" w14:textId="77777777" w:rsidR="00A52F84" w:rsidRDefault="00A52F84" w:rsidP="00A52F84">
      <w:pPr>
        <w:pStyle w:val="Voetnoottekst"/>
        <w:rPr>
          <w:lang w:val="nl-BE"/>
        </w:rPr>
      </w:pPr>
      <w:r>
        <w:t xml:space="preserve">FLAMEY, P. en VERHELST, G., </w:t>
      </w:r>
      <w:r>
        <w:rPr>
          <w:i/>
          <w:lang w:val="nl-BE"/>
        </w:rPr>
        <w:t xml:space="preserve">Nieuw statuut gerechtsdeurwaarder. Benoemingsprocedure, met een terugblik op recente rechtspraak van de Raad van State, </w:t>
      </w:r>
      <w:r>
        <w:rPr>
          <w:lang w:val="nl-BE"/>
        </w:rPr>
        <w:t>NJW 2016, nr. 345, 510-529.</w:t>
      </w:r>
    </w:p>
    <w:p w14:paraId="3AC66317" w14:textId="77777777" w:rsidR="00BE505D" w:rsidRDefault="00BE505D" w:rsidP="0083007D">
      <w:pPr>
        <w:rPr>
          <w:b/>
          <w:i/>
          <w:sz w:val="28"/>
          <w:szCs w:val="28"/>
          <w:lang w:val="nl-BE"/>
        </w:rPr>
      </w:pPr>
    </w:p>
    <w:p w14:paraId="3E7B70A5" w14:textId="77777777" w:rsidR="00BE505D" w:rsidRDefault="00BE505D" w:rsidP="00BE505D">
      <w:r>
        <w:t xml:space="preserve">GIELEN, P., LOMBARDI, P. en NELISSEN, B., </w:t>
      </w:r>
      <w:r>
        <w:rPr>
          <w:i/>
        </w:rPr>
        <w:t>Duiding deontologie juridische beroepen: gerechtsdeurwaarders</w:t>
      </w:r>
      <w:r>
        <w:t>, Brussel, Larcier, 2015, 158 p.</w:t>
      </w:r>
    </w:p>
    <w:p w14:paraId="4E324AD3" w14:textId="77777777" w:rsidR="00BE505D" w:rsidRDefault="00BE505D" w:rsidP="0083007D">
      <w:pPr>
        <w:rPr>
          <w:b/>
          <w:i/>
          <w:sz w:val="28"/>
          <w:szCs w:val="28"/>
        </w:rPr>
      </w:pPr>
    </w:p>
    <w:p w14:paraId="51EA51C9" w14:textId="77777777" w:rsidR="00BE505D" w:rsidRDefault="00BE505D" w:rsidP="00BE505D">
      <w:pPr>
        <w:pStyle w:val="Voetnoottekst"/>
        <w:rPr>
          <w:lang w:val="nl-BE"/>
        </w:rPr>
      </w:pPr>
      <w:r>
        <w:rPr>
          <w:lang w:val="nl-BE"/>
        </w:rPr>
        <w:t xml:space="preserve">LOMBARDI, P., </w:t>
      </w:r>
      <w:r>
        <w:rPr>
          <w:i/>
          <w:lang w:val="nl-BE"/>
        </w:rPr>
        <w:t xml:space="preserve">Nieuw statuut gerechtsdeurwaarders, </w:t>
      </w:r>
      <w:r>
        <w:rPr>
          <w:lang w:val="nl-BE"/>
        </w:rPr>
        <w:t>DJK 2014, nr. 281, 6-7.</w:t>
      </w:r>
    </w:p>
    <w:p w14:paraId="1C31CEA0" w14:textId="77777777" w:rsidR="00BE505D" w:rsidRDefault="00BE505D" w:rsidP="0083007D">
      <w:pPr>
        <w:rPr>
          <w:b/>
          <w:i/>
          <w:sz w:val="28"/>
          <w:szCs w:val="28"/>
          <w:lang w:val="nl-BE"/>
        </w:rPr>
      </w:pPr>
    </w:p>
    <w:p w14:paraId="06019DD7" w14:textId="77777777" w:rsidR="00BE505D" w:rsidRDefault="00BE505D" w:rsidP="00BE505D">
      <w:pPr>
        <w:pStyle w:val="Voetnoottekst"/>
        <w:rPr>
          <w:lang w:val="nl-BE"/>
        </w:rPr>
      </w:pPr>
      <w:r>
        <w:rPr>
          <w:lang w:val="nl-BE"/>
        </w:rPr>
        <w:lastRenderedPageBreak/>
        <w:t xml:space="preserve">LOMBARDI, P., </w:t>
      </w:r>
      <w:r>
        <w:rPr>
          <w:i/>
          <w:lang w:val="nl-BE"/>
        </w:rPr>
        <w:t>Nieuw statuut gerechtsdeurwaarders onder de loep</w:t>
      </w:r>
      <w:r>
        <w:rPr>
          <w:lang w:val="nl-BE"/>
        </w:rPr>
        <w:t>, RW 2013-2014, nr. 32, 1243-1247.</w:t>
      </w:r>
    </w:p>
    <w:p w14:paraId="26882005" w14:textId="4F79B9C3" w:rsidR="00BE505D" w:rsidRPr="00BE505D" w:rsidRDefault="00BE505D" w:rsidP="00BE505D">
      <w:pPr>
        <w:pStyle w:val="Normaalweb"/>
        <w:rPr>
          <w:rFonts w:ascii="Calibri" w:hAnsi="Calibri" w:cs="Calibri"/>
          <w:lang w:val="nl-BE"/>
        </w:rPr>
      </w:pPr>
      <w:r w:rsidRPr="0070303D">
        <w:rPr>
          <w:rFonts w:ascii="Calibri" w:hAnsi="Calibri" w:cs="Calibri"/>
        </w:rPr>
        <w:t>MARTYN, G</w:t>
      </w:r>
      <w:r>
        <w:rPr>
          <w:rFonts w:ascii="Calibri" w:hAnsi="Calibri" w:cs="Calibri"/>
        </w:rPr>
        <w:t>.</w:t>
      </w:r>
      <w:r w:rsidRPr="0070303D">
        <w:rPr>
          <w:rFonts w:ascii="Calibri" w:hAnsi="Calibri" w:cs="Calibri"/>
        </w:rPr>
        <w:t xml:space="preserve"> en QUINTELIER, B., </w:t>
      </w:r>
      <w:r w:rsidRPr="001954BD">
        <w:rPr>
          <w:rFonts w:ascii="Calibri" w:hAnsi="Calibri" w:cs="Calibri"/>
          <w:i/>
        </w:rPr>
        <w:t>De juridische vrije beroepen</w:t>
      </w:r>
      <w:r w:rsidRPr="0070303D">
        <w:rPr>
          <w:rFonts w:ascii="Calibri" w:hAnsi="Calibri" w:cs="Calibri"/>
        </w:rPr>
        <w:t xml:space="preserve"> in VAN DEN EECKHOUT, P. en VANTHEMSCHE, G. (</w:t>
      </w:r>
      <w:proofErr w:type="spellStart"/>
      <w:r w:rsidRPr="0070303D">
        <w:rPr>
          <w:rFonts w:ascii="Calibri" w:hAnsi="Calibri" w:cs="Calibri"/>
        </w:rPr>
        <w:t>eds</w:t>
      </w:r>
      <w:proofErr w:type="spellEnd"/>
      <w:r w:rsidRPr="0070303D">
        <w:rPr>
          <w:rFonts w:ascii="Calibri" w:hAnsi="Calibri" w:cs="Calibri"/>
        </w:rPr>
        <w:t xml:space="preserve">.), </w:t>
      </w:r>
      <w:r w:rsidRPr="001954BD">
        <w:rPr>
          <w:rFonts w:ascii="Calibri" w:hAnsi="Calibri" w:cs="Calibri"/>
          <w:i/>
        </w:rPr>
        <w:t xml:space="preserve">Bronnen voor de studie van het hedendaagse </w:t>
      </w:r>
      <w:proofErr w:type="spellStart"/>
      <w:r w:rsidRPr="001954BD">
        <w:rPr>
          <w:rFonts w:ascii="Calibri" w:hAnsi="Calibri" w:cs="Calibri"/>
          <w:i/>
        </w:rPr>
        <w:t>Belgie</w:t>
      </w:r>
      <w:proofErr w:type="spellEnd"/>
      <w:r w:rsidRPr="001954BD">
        <w:rPr>
          <w:rFonts w:ascii="Calibri" w:hAnsi="Calibri" w:cs="Calibri"/>
          <w:i/>
        </w:rPr>
        <w:t>̈ 19</w:t>
      </w:r>
      <w:r w:rsidRPr="001954BD">
        <w:rPr>
          <w:rFonts w:ascii="Calibri" w:hAnsi="Calibri" w:cs="Calibri"/>
          <w:i/>
          <w:position w:val="10"/>
          <w:sz w:val="16"/>
          <w:szCs w:val="16"/>
        </w:rPr>
        <w:t xml:space="preserve">e </w:t>
      </w:r>
      <w:r w:rsidRPr="001954BD">
        <w:rPr>
          <w:rFonts w:ascii="Calibri" w:hAnsi="Calibri" w:cs="Calibri"/>
          <w:i/>
        </w:rPr>
        <w:t>- 21</w:t>
      </w:r>
      <w:r w:rsidRPr="001954BD">
        <w:rPr>
          <w:rFonts w:ascii="Calibri" w:hAnsi="Calibri" w:cs="Calibri"/>
          <w:i/>
          <w:position w:val="10"/>
          <w:sz w:val="16"/>
          <w:szCs w:val="16"/>
        </w:rPr>
        <w:t xml:space="preserve">e </w:t>
      </w:r>
      <w:r w:rsidRPr="001954BD">
        <w:rPr>
          <w:rFonts w:ascii="Calibri" w:hAnsi="Calibri" w:cs="Calibri"/>
          <w:i/>
        </w:rPr>
        <w:t xml:space="preserve">eeuw. </w:t>
      </w:r>
      <w:r w:rsidRPr="00BE505D">
        <w:rPr>
          <w:rFonts w:ascii="Calibri" w:hAnsi="Calibri" w:cs="Calibri"/>
          <w:i/>
        </w:rPr>
        <w:t xml:space="preserve">Tweede </w:t>
      </w:r>
      <w:proofErr w:type="spellStart"/>
      <w:r w:rsidRPr="00BE505D">
        <w:rPr>
          <w:rFonts w:ascii="Calibri" w:hAnsi="Calibri" w:cs="Calibri"/>
          <w:i/>
        </w:rPr>
        <w:t>herziene</w:t>
      </w:r>
      <w:proofErr w:type="spellEnd"/>
      <w:r w:rsidRPr="00BE505D">
        <w:rPr>
          <w:rFonts w:ascii="Calibri" w:hAnsi="Calibri" w:cs="Calibri"/>
          <w:i/>
        </w:rPr>
        <w:t xml:space="preserve"> en uitgebreide uitgave</w:t>
      </w:r>
      <w:r w:rsidRPr="0070303D">
        <w:rPr>
          <w:rFonts w:ascii="Calibri" w:hAnsi="Calibri" w:cs="Calibri"/>
        </w:rPr>
        <w:t>, Brussel, Koninklijke Commissie voor Geschiedenis/</w:t>
      </w:r>
      <w:proofErr w:type="spellStart"/>
      <w:r w:rsidRPr="0070303D">
        <w:rPr>
          <w:rFonts w:ascii="Calibri" w:hAnsi="Calibri" w:cs="Calibri"/>
        </w:rPr>
        <w:t>Commission</w:t>
      </w:r>
      <w:proofErr w:type="spellEnd"/>
      <w:r w:rsidRPr="0070303D">
        <w:rPr>
          <w:rFonts w:ascii="Calibri" w:hAnsi="Calibri" w:cs="Calibri"/>
        </w:rPr>
        <w:t xml:space="preserve"> royale </w:t>
      </w:r>
      <w:proofErr w:type="spellStart"/>
      <w:r w:rsidRPr="0070303D">
        <w:rPr>
          <w:rFonts w:ascii="Calibri" w:hAnsi="Calibri" w:cs="Calibri"/>
        </w:rPr>
        <w:t>d’Histoire</w:t>
      </w:r>
      <w:proofErr w:type="spellEnd"/>
      <w:r w:rsidRPr="0070303D">
        <w:rPr>
          <w:rFonts w:ascii="Calibri" w:hAnsi="Calibri" w:cs="Calibri"/>
        </w:rPr>
        <w:t xml:space="preserve">, 2009, 1016-1032. </w:t>
      </w:r>
      <w:r>
        <w:rPr>
          <w:rFonts w:ascii="Calibri" w:hAnsi="Calibri" w:cs="Calibri"/>
        </w:rPr>
        <w:br/>
      </w:r>
      <w:r>
        <w:rPr>
          <w:lang w:val="nl-BE"/>
        </w:rPr>
        <w:br/>
      </w:r>
      <w:r w:rsidRPr="00BE505D">
        <w:rPr>
          <w:rFonts w:ascii="Calibri" w:hAnsi="Calibri" w:cs="Calibri"/>
          <w:lang w:val="nl-BE"/>
        </w:rPr>
        <w:t xml:space="preserve">SLABBAERT, K., </w:t>
      </w:r>
      <w:r w:rsidRPr="00BE505D">
        <w:rPr>
          <w:rFonts w:ascii="Calibri" w:hAnsi="Calibri" w:cs="Calibri"/>
          <w:i/>
          <w:lang w:val="nl-BE"/>
        </w:rPr>
        <w:t xml:space="preserve">Het nieuwe tuchtrecht in de wet tot wijziging van het statuut van de gerechtsdeurwaarders, </w:t>
      </w:r>
      <w:r w:rsidRPr="00BE505D">
        <w:rPr>
          <w:rFonts w:ascii="Calibri" w:hAnsi="Calibri" w:cs="Calibri"/>
          <w:lang w:val="nl-BE"/>
        </w:rPr>
        <w:t>D&amp;T, 2014, nr. 1, 3-11.</w:t>
      </w:r>
    </w:p>
    <w:p w14:paraId="56C647DF" w14:textId="77777777" w:rsidR="00F30447" w:rsidRPr="0064721C" w:rsidRDefault="00F30447" w:rsidP="00F30447">
      <w:r>
        <w:t xml:space="preserve">VAN DEN BERG-SMIT, C., </w:t>
      </w:r>
      <w:r>
        <w:rPr>
          <w:i/>
        </w:rPr>
        <w:t>De gerechtsdeurwaarder: ambtenaar en ondernemer</w:t>
      </w:r>
      <w:r>
        <w:t xml:space="preserve">, Antwerpen, </w:t>
      </w:r>
      <w:proofErr w:type="spellStart"/>
      <w:r>
        <w:t>Maklu</w:t>
      </w:r>
      <w:proofErr w:type="spellEnd"/>
      <w:r>
        <w:t xml:space="preserve">, 2013, 258 p. </w:t>
      </w:r>
    </w:p>
    <w:p w14:paraId="102AD8A7" w14:textId="77777777" w:rsidR="00F30447" w:rsidRDefault="00F30447" w:rsidP="00BE505D"/>
    <w:p w14:paraId="043A42BE" w14:textId="0FC0219D" w:rsidR="00BE505D" w:rsidRPr="00F30447" w:rsidRDefault="00BE505D" w:rsidP="00F30447">
      <w:r>
        <w:t xml:space="preserve">VAN DESSEL, F., </w:t>
      </w:r>
      <w:r>
        <w:rPr>
          <w:i/>
        </w:rPr>
        <w:t xml:space="preserve">Enkele praktische problemen bij nieuw statuut gerechtsdeurwaarder, </w:t>
      </w:r>
      <w:r>
        <w:t>DJK 2014, nr. 281, 10.</w:t>
      </w:r>
    </w:p>
    <w:p w14:paraId="4C16094C" w14:textId="6B31E90B" w:rsidR="00BE505D" w:rsidRDefault="00BE505D" w:rsidP="00BE505D">
      <w:pPr>
        <w:pStyle w:val="Normaalweb"/>
        <w:pBdr>
          <w:top w:val="single" w:sz="4" w:space="1" w:color="auto"/>
          <w:left w:val="single" w:sz="4" w:space="4" w:color="auto"/>
          <w:bottom w:val="single" w:sz="4" w:space="1" w:color="auto"/>
          <w:right w:val="single" w:sz="4" w:space="4" w:color="auto"/>
        </w:pBdr>
        <w:jc w:val="center"/>
        <w:rPr>
          <w:rFonts w:ascii="Calibri" w:hAnsi="Calibri" w:cs="Calibri"/>
          <w:b/>
          <w:sz w:val="28"/>
          <w:szCs w:val="28"/>
        </w:rPr>
      </w:pPr>
      <w:r>
        <w:rPr>
          <w:rFonts w:ascii="Calibri" w:hAnsi="Calibri" w:cs="Calibri"/>
          <w:b/>
          <w:sz w:val="28"/>
          <w:szCs w:val="28"/>
        </w:rPr>
        <w:t>Online bronnen</w:t>
      </w:r>
    </w:p>
    <w:p w14:paraId="3C59C2E6" w14:textId="337AE854" w:rsidR="00B21E3D" w:rsidRDefault="00B21E3D" w:rsidP="00B21E3D">
      <w:pPr>
        <w:pStyle w:val="Voetnoottekst"/>
        <w:rPr>
          <w:lang w:val="nl-BE"/>
        </w:rPr>
      </w:pPr>
      <w:r>
        <w:t>BELGISCH STAATSBLAD, 2 januari 2020, Nationale Kamer van Gerechtsdeurwaarders</w:t>
      </w:r>
      <w:r>
        <w:br/>
      </w:r>
      <w:hyperlink r:id="rId10" w:history="1">
        <w:r w:rsidRPr="00F4208E">
          <w:rPr>
            <w:rStyle w:val="Hyperlink"/>
            <w:lang w:val="nl-BE"/>
          </w:rPr>
          <w:t>https://www.gerechtsdeurwaarders.be/sites/gerechtsdeurwaarders.be/files/publication_attachements/20200102_-_vergelijkend_examen_stagiair-gdws_2020_-_oproep_tot_kandidaten.pdf</w:t>
        </w:r>
      </w:hyperlink>
    </w:p>
    <w:p w14:paraId="0D2FB210" w14:textId="02199C6D" w:rsidR="00B21E3D" w:rsidRDefault="00B21E3D" w:rsidP="00B21E3D">
      <w:pPr>
        <w:pStyle w:val="Voetnoottekst"/>
        <w:rPr>
          <w:lang w:val="nl-BE"/>
        </w:rPr>
      </w:pPr>
    </w:p>
    <w:p w14:paraId="337EEB01" w14:textId="77777777" w:rsidR="00B21E3D" w:rsidRDefault="00B21E3D" w:rsidP="00B21E3D">
      <w:r>
        <w:t xml:space="preserve">FOD JUSTITIE, </w:t>
      </w:r>
      <w:r>
        <w:rPr>
          <w:i/>
        </w:rPr>
        <w:t xml:space="preserve">Het nieuw gerechtelijk landschap is een feit, </w:t>
      </w:r>
      <w:r>
        <w:t>2015</w:t>
      </w:r>
    </w:p>
    <w:p w14:paraId="270A535E" w14:textId="6C467AC6" w:rsidR="00B21E3D" w:rsidRDefault="00A0614B" w:rsidP="00B21E3D">
      <w:pPr>
        <w:pStyle w:val="Voetnoottekst"/>
        <w:rPr>
          <w:lang w:val="nl-BE"/>
        </w:rPr>
      </w:pPr>
      <w:hyperlink r:id="rId11" w:history="1">
        <w:r w:rsidR="00B21E3D" w:rsidRPr="00F4208E">
          <w:rPr>
            <w:rStyle w:val="Hyperlink"/>
            <w:lang w:val="nl-BE"/>
          </w:rPr>
          <w:t>www.justitie.belgium.be/nl/rechterlijke_orde/hervorming_justitie/nieuws/news_pers_2014-04-01</w:t>
        </w:r>
      </w:hyperlink>
    </w:p>
    <w:p w14:paraId="66E0F49D" w14:textId="642DD792" w:rsidR="00174BA7" w:rsidRDefault="00174BA7" w:rsidP="00B21E3D">
      <w:pPr>
        <w:pStyle w:val="Voetnoottekst"/>
        <w:rPr>
          <w:lang w:val="nl-BE"/>
        </w:rPr>
      </w:pPr>
    </w:p>
    <w:p w14:paraId="4DB3E6E3" w14:textId="5D3D7CB7" w:rsidR="00174BA7" w:rsidRDefault="00174BA7" w:rsidP="00B21E3D">
      <w:pPr>
        <w:pStyle w:val="Voetnoottekst"/>
        <w:rPr>
          <w:lang w:val="nl-BE"/>
        </w:rPr>
      </w:pPr>
      <w:r>
        <w:rPr>
          <w:lang w:val="nl-BE"/>
        </w:rPr>
        <w:t xml:space="preserve">FOD JUSTITIE, </w:t>
      </w:r>
      <w:r>
        <w:rPr>
          <w:i/>
          <w:lang w:val="nl-BE"/>
        </w:rPr>
        <w:t xml:space="preserve">Nieuw statuut gerechtsdeurwaarders zorgt voor objectieve benoemingen en een modern tuchtsysteem, </w:t>
      </w:r>
      <w:r>
        <w:rPr>
          <w:lang w:val="nl-BE"/>
        </w:rPr>
        <w:t xml:space="preserve">2015  </w:t>
      </w:r>
    </w:p>
    <w:p w14:paraId="6CDE35F3" w14:textId="0CE6149D" w:rsidR="00174BA7" w:rsidRDefault="00A0614B" w:rsidP="00B21E3D">
      <w:pPr>
        <w:pStyle w:val="Voetnoottekst"/>
        <w:rPr>
          <w:lang w:val="nl-BE"/>
        </w:rPr>
      </w:pPr>
      <w:hyperlink r:id="rId12" w:history="1">
        <w:r w:rsidR="00174BA7" w:rsidRPr="00F4208E">
          <w:rPr>
            <w:rStyle w:val="Hyperlink"/>
            <w:lang w:val="nl-BE"/>
          </w:rPr>
          <w:t>https://justitie.belgium.be/nl/nieuws/persberichten/news_pers_2013-03-29</w:t>
        </w:r>
      </w:hyperlink>
      <w:r w:rsidR="00174BA7">
        <w:rPr>
          <w:lang w:val="nl-BE"/>
        </w:rPr>
        <w:t xml:space="preserve"> </w:t>
      </w:r>
    </w:p>
    <w:p w14:paraId="3E3FDC13" w14:textId="5A96B789" w:rsidR="00B21E3D" w:rsidRDefault="00B21E3D" w:rsidP="00B21E3D">
      <w:pPr>
        <w:pStyle w:val="Normaalweb"/>
        <w:rPr>
          <w:rFonts w:ascii="Calibri" w:hAnsi="Calibri" w:cs="Calibri"/>
        </w:rPr>
      </w:pPr>
      <w:r>
        <w:rPr>
          <w:rFonts w:ascii="Calibri" w:hAnsi="Calibri" w:cs="Calibri"/>
        </w:rPr>
        <w:t xml:space="preserve">NATIONALE KAMER VAN GERECHTSDEURWAARDERS, </w:t>
      </w:r>
      <w:r>
        <w:rPr>
          <w:rFonts w:ascii="Calibri" w:hAnsi="Calibri" w:cs="Calibri"/>
          <w:i/>
        </w:rPr>
        <w:t>Examenprogramma 2019</w:t>
      </w:r>
      <w:r>
        <w:rPr>
          <w:rFonts w:ascii="Calibri" w:hAnsi="Calibri" w:cs="Calibri"/>
        </w:rPr>
        <w:t xml:space="preserve">, </w:t>
      </w:r>
      <w:hyperlink r:id="rId13" w:history="1">
        <w:r w:rsidRPr="00F4208E">
          <w:rPr>
            <w:rStyle w:val="Hyperlink"/>
            <w:rFonts w:ascii="Calibri" w:hAnsi="Calibri" w:cs="Calibri"/>
          </w:rPr>
          <w:t>https://www.gerechtsdeurwaarders.be/sam-tes/examenprogramma</w:t>
        </w:r>
      </w:hyperlink>
    </w:p>
    <w:p w14:paraId="7BE70E5E" w14:textId="77777777" w:rsidR="00B21E3D" w:rsidRPr="00C35A12" w:rsidRDefault="00B21E3D" w:rsidP="00B21E3D">
      <w:pPr>
        <w:pStyle w:val="Voetnoottekst"/>
        <w:rPr>
          <w:lang w:val="nl-BE"/>
        </w:rPr>
      </w:pPr>
      <w:r>
        <w:rPr>
          <w:lang w:val="nl-BE"/>
        </w:rPr>
        <w:t xml:space="preserve">NATIONALE KAMER VAN GERECHTSDEURWAARDERS, </w:t>
      </w:r>
      <w:r>
        <w:rPr>
          <w:i/>
          <w:lang w:val="nl-BE"/>
        </w:rPr>
        <w:t>Jaarverslag 2010,</w:t>
      </w:r>
    </w:p>
    <w:p w14:paraId="6A1F2B4D" w14:textId="77777777" w:rsidR="00B21E3D" w:rsidRPr="0039399F" w:rsidRDefault="00A0614B" w:rsidP="00B21E3D">
      <w:pPr>
        <w:rPr>
          <w:lang w:val="nl-BE"/>
        </w:rPr>
      </w:pPr>
      <w:hyperlink r:id="rId14" w:history="1">
        <w:r w:rsidR="00B21E3D" w:rsidRPr="00F4208E">
          <w:rPr>
            <w:rStyle w:val="Hyperlink"/>
            <w:lang w:val="nl-BE"/>
          </w:rPr>
          <w:t>https://www.gerechtsdeurwaarders.be/sites/gerechtsdeurwaarders.be/files/publication_attachements/jaarverslag_2010.pdf</w:t>
        </w:r>
      </w:hyperlink>
      <w:r w:rsidR="00B21E3D">
        <w:rPr>
          <w:lang w:val="nl-BE"/>
        </w:rPr>
        <w:t xml:space="preserve"> , 45 p.</w:t>
      </w:r>
    </w:p>
    <w:p w14:paraId="7D5BE6F0" w14:textId="1F8C71C2" w:rsidR="00B21E3D" w:rsidRDefault="00B21E3D" w:rsidP="00B21E3D">
      <w:pPr>
        <w:pStyle w:val="Normaalweb"/>
        <w:rPr>
          <w:rFonts w:ascii="Calibri" w:hAnsi="Calibri" w:cs="Calibri"/>
        </w:rPr>
      </w:pPr>
      <w:r>
        <w:rPr>
          <w:rFonts w:ascii="Calibri" w:hAnsi="Calibri" w:cs="Calibri"/>
        </w:rPr>
        <w:t xml:space="preserve">NATIONALE KAMER VAN GERECHTSDEURWAARDERS, </w:t>
      </w:r>
      <w:r>
        <w:rPr>
          <w:rFonts w:ascii="Calibri" w:hAnsi="Calibri" w:cs="Calibri"/>
          <w:i/>
        </w:rPr>
        <w:t xml:space="preserve">Jaarverslag 2013, </w:t>
      </w:r>
      <w:hyperlink r:id="rId15" w:history="1">
        <w:r w:rsidRPr="00F4208E">
          <w:rPr>
            <w:rStyle w:val="Hyperlink"/>
            <w:rFonts w:ascii="Calibri" w:hAnsi="Calibri" w:cs="Calibri"/>
          </w:rPr>
          <w:t>https://www.gerechtsdeurwaarders.be/sites/gerechtsdeurwaarders.be/files/publication_attachements/jaarverslag_2013.pdf</w:t>
        </w:r>
      </w:hyperlink>
      <w:r>
        <w:rPr>
          <w:rFonts w:ascii="Calibri" w:hAnsi="Calibri" w:cs="Calibri"/>
        </w:rPr>
        <w:t>, 47 p.</w:t>
      </w:r>
    </w:p>
    <w:p w14:paraId="2CA8D47A" w14:textId="193DF79F" w:rsidR="00174BA7" w:rsidRPr="00174BA7" w:rsidRDefault="00174BA7" w:rsidP="00B21E3D">
      <w:pPr>
        <w:pStyle w:val="Normaalweb"/>
        <w:rPr>
          <w:rFonts w:ascii="Calibri" w:hAnsi="Calibri" w:cs="Calibri"/>
        </w:rPr>
      </w:pPr>
      <w:r>
        <w:rPr>
          <w:rFonts w:ascii="Calibri" w:hAnsi="Calibri" w:cs="Calibri"/>
        </w:rPr>
        <w:t xml:space="preserve">NATIONALE KAMER VAN GERECHTSDEURWAARDERS, </w:t>
      </w:r>
      <w:r>
        <w:rPr>
          <w:rFonts w:ascii="Calibri" w:hAnsi="Calibri" w:cs="Calibri"/>
          <w:i/>
        </w:rPr>
        <w:t xml:space="preserve">Jaarverslag 2014, </w:t>
      </w:r>
      <w:r>
        <w:rPr>
          <w:rFonts w:ascii="Calibri" w:hAnsi="Calibri" w:cs="Calibri"/>
          <w:i/>
        </w:rPr>
        <w:br/>
      </w:r>
      <w:hyperlink r:id="rId16" w:history="1">
        <w:r w:rsidRPr="00F4208E">
          <w:rPr>
            <w:rStyle w:val="Hyperlink"/>
            <w:rFonts w:ascii="Calibri" w:hAnsi="Calibri" w:cs="Calibri"/>
          </w:rPr>
          <w:t>https://www.gerechtsdeurwaarders.be/sites/gerechtsdeurwaarders.be/files/publication_attachements/jaarverslag_2014_webformaat.pdf</w:t>
        </w:r>
      </w:hyperlink>
      <w:r>
        <w:rPr>
          <w:rFonts w:ascii="Calibri" w:hAnsi="Calibri" w:cs="Calibri"/>
        </w:rPr>
        <w:t xml:space="preserve"> , 28 p.</w:t>
      </w:r>
    </w:p>
    <w:p w14:paraId="630BF5A2" w14:textId="0EF522BB" w:rsidR="00B21E3D" w:rsidRDefault="00B21E3D" w:rsidP="00B21E3D">
      <w:pPr>
        <w:pStyle w:val="Normaalweb"/>
        <w:rPr>
          <w:rFonts w:ascii="Calibri" w:hAnsi="Calibri" w:cs="Calibri"/>
        </w:rPr>
      </w:pPr>
      <w:r>
        <w:rPr>
          <w:rFonts w:ascii="Calibri" w:hAnsi="Calibri" w:cs="Calibri"/>
        </w:rPr>
        <w:t xml:space="preserve">NATIONALE KAMER VAN GERECHTSDEURWAARDERS, </w:t>
      </w:r>
      <w:r>
        <w:rPr>
          <w:rFonts w:ascii="Calibri" w:hAnsi="Calibri" w:cs="Calibri"/>
          <w:i/>
        </w:rPr>
        <w:t xml:space="preserve">Jaarverslag 2015, </w:t>
      </w:r>
      <w:hyperlink r:id="rId17" w:history="1">
        <w:r w:rsidRPr="00F4208E">
          <w:rPr>
            <w:rStyle w:val="Hyperlink"/>
            <w:rFonts w:ascii="Calibri" w:hAnsi="Calibri" w:cs="Calibri"/>
          </w:rPr>
          <w:t>https://www.gerechtsdeurwaarders.be/sites/gerechtsdeurwaarders.be/files/publication_attachements/20160502_jaarverslag_2015.pdf</w:t>
        </w:r>
      </w:hyperlink>
      <w:r>
        <w:rPr>
          <w:rFonts w:ascii="Calibri" w:hAnsi="Calibri" w:cs="Calibri"/>
        </w:rPr>
        <w:t>, 59 p.</w:t>
      </w:r>
    </w:p>
    <w:p w14:paraId="5CB3D91C" w14:textId="77777777" w:rsidR="00B21E3D" w:rsidRDefault="00B21E3D" w:rsidP="00B21E3D">
      <w:pPr>
        <w:pStyle w:val="Normaalweb"/>
        <w:rPr>
          <w:rFonts w:ascii="Calibri" w:hAnsi="Calibri" w:cs="Calibri"/>
        </w:rPr>
      </w:pPr>
      <w:r w:rsidRPr="0039399F">
        <w:rPr>
          <w:rFonts w:ascii="Calibri" w:hAnsi="Calibri" w:cs="Calibri"/>
          <w:lang w:val="nl-BE"/>
        </w:rPr>
        <w:lastRenderedPageBreak/>
        <w:t xml:space="preserve">NATIONALE KAMER VAN GERECHTSDEURWAARDERS, </w:t>
      </w:r>
      <w:r w:rsidRPr="0039399F">
        <w:rPr>
          <w:rFonts w:ascii="Calibri" w:hAnsi="Calibri" w:cs="Calibri"/>
          <w:i/>
          <w:lang w:val="nl-BE"/>
        </w:rPr>
        <w:t>Jaarverslag 2017</w:t>
      </w:r>
      <w:r>
        <w:rPr>
          <w:rFonts w:ascii="Calibri" w:hAnsi="Calibri" w:cs="Calibri"/>
        </w:rPr>
        <w:t xml:space="preserve">, </w:t>
      </w:r>
      <w:hyperlink r:id="rId18" w:history="1">
        <w:r w:rsidRPr="00F4208E">
          <w:rPr>
            <w:rStyle w:val="Hyperlink"/>
            <w:rFonts w:ascii="Calibri" w:hAnsi="Calibri" w:cs="Calibri"/>
          </w:rPr>
          <w:t>https://www.gerechtsdeurwaarders.be/sites/gerechtsdeurwaarders.be/files/publication_attachements/jaarverslag_nl_-_online.pdf</w:t>
        </w:r>
      </w:hyperlink>
      <w:r>
        <w:rPr>
          <w:rFonts w:ascii="Calibri" w:hAnsi="Calibri" w:cs="Calibri"/>
        </w:rPr>
        <w:t xml:space="preserve">, </w:t>
      </w:r>
      <w:r w:rsidRPr="0039399F">
        <w:rPr>
          <w:rFonts w:ascii="Calibri" w:hAnsi="Calibri" w:cs="Calibri"/>
          <w:lang w:val="nl-BE"/>
        </w:rPr>
        <w:t>50</w:t>
      </w:r>
      <w:r>
        <w:rPr>
          <w:rFonts w:ascii="Calibri" w:hAnsi="Calibri" w:cs="Calibri"/>
        </w:rPr>
        <w:t xml:space="preserve"> p. </w:t>
      </w:r>
    </w:p>
    <w:p w14:paraId="72A15D08" w14:textId="77777777" w:rsidR="00B21E3D" w:rsidRPr="006917DC" w:rsidRDefault="00B21E3D" w:rsidP="00B21E3D">
      <w:pPr>
        <w:pStyle w:val="Voetnoottekst"/>
        <w:rPr>
          <w:lang w:val="nl-BE"/>
        </w:rPr>
      </w:pPr>
      <w:r>
        <w:t xml:space="preserve">NATIONALE KAMER VAN GERECHTSDEURWAARDERS, </w:t>
      </w:r>
      <w:r>
        <w:rPr>
          <w:i/>
        </w:rPr>
        <w:t>Jaarverslag 2018,</w:t>
      </w:r>
      <w:r>
        <w:t xml:space="preserve"> </w:t>
      </w:r>
      <w:hyperlink r:id="rId19" w:history="1">
        <w:r w:rsidRPr="00F4208E">
          <w:rPr>
            <w:rStyle w:val="Hyperlink"/>
          </w:rPr>
          <w:t>https://www.gerechtsdeurwaarders.be/sites/gerechtsdeurwaarders.be/files/publication_attachements/20191022_jaarverslag_2018_nl_finale_versie.pdf</w:t>
        </w:r>
      </w:hyperlink>
      <w:r>
        <w:t xml:space="preserve"> , 49 p.</w:t>
      </w:r>
    </w:p>
    <w:p w14:paraId="5865FBEB" w14:textId="77777777" w:rsidR="00B21E3D" w:rsidRDefault="00B21E3D" w:rsidP="00B21E3D">
      <w:pPr>
        <w:pStyle w:val="Voetnoottekst"/>
        <w:rPr>
          <w:lang w:val="nl-BE"/>
        </w:rPr>
      </w:pPr>
    </w:p>
    <w:p w14:paraId="12843795" w14:textId="5A1AFCED" w:rsidR="00B21E3D" w:rsidRDefault="00B21E3D" w:rsidP="00B21E3D">
      <w:pPr>
        <w:pStyle w:val="Voetnoottekst"/>
        <w:rPr>
          <w:lang w:val="nl-BE"/>
        </w:rPr>
      </w:pPr>
      <w:r>
        <w:rPr>
          <w:lang w:val="nl-BE"/>
        </w:rPr>
        <w:t>Regeerakkoord regering-DI RUPO, 1 december 2011,</w:t>
      </w:r>
    </w:p>
    <w:p w14:paraId="755507D9" w14:textId="77777777" w:rsidR="00B21E3D" w:rsidRPr="0039399F" w:rsidRDefault="00A0614B" w:rsidP="00B21E3D">
      <w:pPr>
        <w:rPr>
          <w:lang w:val="nl-BE"/>
        </w:rPr>
      </w:pPr>
      <w:hyperlink r:id="rId20" w:history="1">
        <w:r w:rsidR="00B21E3D" w:rsidRPr="0039399F">
          <w:rPr>
            <w:rStyle w:val="Hyperlink"/>
            <w:lang w:val="nl-BE"/>
          </w:rPr>
          <w:t>https://www.dekamer.be/kvvcr/pdf_sections/searchlist/Regeerakkoord_1_december_2011.pdf</w:t>
        </w:r>
      </w:hyperlink>
      <w:r w:rsidR="00B21E3D" w:rsidRPr="0039399F">
        <w:rPr>
          <w:lang w:val="nl-BE"/>
        </w:rPr>
        <w:t xml:space="preserve">, 140 </w:t>
      </w:r>
      <w:r w:rsidR="00B21E3D">
        <w:rPr>
          <w:lang w:val="nl-BE"/>
        </w:rPr>
        <w:t>p.</w:t>
      </w:r>
    </w:p>
    <w:p w14:paraId="74C62F52" w14:textId="10C9B462" w:rsidR="00BE505D" w:rsidRDefault="00A0614B" w:rsidP="00BE505D">
      <w:pPr>
        <w:pStyle w:val="Normaalweb"/>
        <w:rPr>
          <w:rFonts w:ascii="Calibri" w:hAnsi="Calibri" w:cs="Calibri"/>
        </w:rPr>
      </w:pPr>
      <w:hyperlink r:id="rId21" w:history="1">
        <w:r w:rsidR="00174BA7" w:rsidRPr="00F4208E">
          <w:rPr>
            <w:rStyle w:val="Hyperlink"/>
            <w:rFonts w:ascii="Calibri" w:hAnsi="Calibri" w:cs="Calibri"/>
          </w:rPr>
          <w:t>https://www.etudebordet.com/nl/gerechtsdeurwaarder/het-statuut-van-de-gerechtsdeurwaarder/</w:t>
        </w:r>
      </w:hyperlink>
    </w:p>
    <w:p w14:paraId="2519C74E" w14:textId="759C9331" w:rsidR="00174BA7" w:rsidRDefault="00A0614B" w:rsidP="00BE505D">
      <w:pPr>
        <w:pStyle w:val="Normaalweb"/>
        <w:rPr>
          <w:rFonts w:ascii="Calibri" w:hAnsi="Calibri" w:cs="Calibri"/>
        </w:rPr>
      </w:pPr>
      <w:hyperlink r:id="rId22" w:history="1">
        <w:r w:rsidR="00174BA7" w:rsidRPr="00F4208E">
          <w:rPr>
            <w:rStyle w:val="Hyperlink"/>
            <w:rFonts w:ascii="Calibri" w:hAnsi="Calibri" w:cs="Calibri"/>
          </w:rPr>
          <w:t>https://legalworld.wolterskluwer.be/nl/oplossingen/publicaties/njw/doctrine/njw-345-29-juni-2016/nieuw-statuut-gerechtsdeurwaarder/</w:t>
        </w:r>
      </w:hyperlink>
    </w:p>
    <w:p w14:paraId="6E448965" w14:textId="731FF6F6" w:rsidR="00174BA7" w:rsidRDefault="00A0614B" w:rsidP="00BE505D">
      <w:pPr>
        <w:pStyle w:val="Normaalweb"/>
        <w:rPr>
          <w:rFonts w:ascii="Calibri" w:hAnsi="Calibri" w:cs="Calibri"/>
        </w:rPr>
      </w:pPr>
      <w:hyperlink r:id="rId23" w:history="1">
        <w:r w:rsidR="00174BA7" w:rsidRPr="00F4208E">
          <w:rPr>
            <w:rStyle w:val="Hyperlink"/>
            <w:rFonts w:ascii="Calibri" w:hAnsi="Calibri" w:cs="Calibri"/>
          </w:rPr>
          <w:t>https://www.modero.be/nl/nieuws/2014-objectivering-en-modernisering-door-nieuw-statuut-gerechtsdeurwaarder</w:t>
        </w:r>
      </w:hyperlink>
    </w:p>
    <w:p w14:paraId="2C52294A" w14:textId="4BA92487" w:rsidR="0064721C" w:rsidRDefault="00A0614B" w:rsidP="00BE505D">
      <w:pPr>
        <w:pStyle w:val="Normaalweb"/>
        <w:rPr>
          <w:rFonts w:ascii="Calibri" w:hAnsi="Calibri" w:cs="Calibri"/>
        </w:rPr>
      </w:pPr>
      <w:hyperlink r:id="rId24" w:history="1">
        <w:r w:rsidR="0064721C" w:rsidRPr="00F4208E">
          <w:rPr>
            <w:rStyle w:val="Hyperlink"/>
            <w:rFonts w:ascii="Calibri" w:hAnsi="Calibri" w:cs="Calibri"/>
          </w:rPr>
          <w:t>https://www.gerechtsdeurwaarders.be/nkgb-cnhb/de-gerechtsdeurwaarder/wie-de-gerechtsdeurwaarder</w:t>
        </w:r>
      </w:hyperlink>
    </w:p>
    <w:p w14:paraId="02ADB911" w14:textId="77777777" w:rsidR="0064721C" w:rsidRDefault="0064721C" w:rsidP="00BE505D">
      <w:pPr>
        <w:pStyle w:val="Normaalweb"/>
        <w:rPr>
          <w:rFonts w:ascii="Calibri" w:hAnsi="Calibri" w:cs="Calibri"/>
        </w:rPr>
      </w:pPr>
    </w:p>
    <w:p w14:paraId="00DF2982" w14:textId="461344E2" w:rsidR="00174BA7" w:rsidRDefault="00174BA7" w:rsidP="00BE505D">
      <w:pPr>
        <w:pStyle w:val="Normaalweb"/>
        <w:rPr>
          <w:rFonts w:ascii="Calibri" w:hAnsi="Calibri" w:cs="Calibri"/>
        </w:rPr>
      </w:pPr>
    </w:p>
    <w:p w14:paraId="5A57B204" w14:textId="77777777" w:rsidR="00174BA7" w:rsidRPr="00BE505D" w:rsidRDefault="00174BA7" w:rsidP="00BE505D">
      <w:pPr>
        <w:pStyle w:val="Normaalweb"/>
        <w:rPr>
          <w:rFonts w:ascii="Calibri" w:hAnsi="Calibri" w:cs="Calibri"/>
        </w:rPr>
      </w:pPr>
    </w:p>
    <w:p w14:paraId="46C83F89" w14:textId="77777777" w:rsidR="00BE505D" w:rsidRPr="00BE505D" w:rsidRDefault="00BE505D" w:rsidP="00BE505D">
      <w:pPr>
        <w:pStyle w:val="Normaalweb"/>
        <w:jc w:val="center"/>
        <w:rPr>
          <w:rFonts w:ascii="Calibri" w:hAnsi="Calibri" w:cs="Calibri"/>
          <w:b/>
          <w:sz w:val="28"/>
          <w:szCs w:val="28"/>
        </w:rPr>
      </w:pPr>
    </w:p>
    <w:p w14:paraId="13C91650" w14:textId="77777777" w:rsidR="00BE505D" w:rsidRDefault="00BE505D" w:rsidP="00BE505D">
      <w:pPr>
        <w:pStyle w:val="Normaalweb"/>
        <w:rPr>
          <w:rFonts w:ascii="Calibri" w:hAnsi="Calibri" w:cs="Calibri"/>
        </w:rPr>
      </w:pPr>
    </w:p>
    <w:p w14:paraId="1A5B6E86" w14:textId="1B15C71D" w:rsidR="00FE41E3" w:rsidRPr="004D40EC" w:rsidRDefault="00FE41E3" w:rsidP="00FE41E3">
      <w:pPr>
        <w:rPr>
          <w:b/>
          <w:i/>
          <w:sz w:val="28"/>
          <w:szCs w:val="28"/>
          <w:lang w:val="nl-BE"/>
        </w:rPr>
      </w:pPr>
    </w:p>
    <w:sectPr w:rsidR="00FE41E3" w:rsidRPr="004D40EC" w:rsidSect="00DB41F9">
      <w:footerReference w:type="even" r:id="rId25"/>
      <w:footerReference w:type="default" r:id="rId26"/>
      <w:pgSz w:w="11900" w:h="16840"/>
      <w:pgMar w:top="885" w:right="1417" w:bottom="76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0051E" w14:textId="77777777" w:rsidR="00A0614B" w:rsidRDefault="00A0614B" w:rsidP="00161DF9">
      <w:r>
        <w:separator/>
      </w:r>
    </w:p>
  </w:endnote>
  <w:endnote w:type="continuationSeparator" w:id="0">
    <w:p w14:paraId="1DAD0567" w14:textId="77777777" w:rsidR="00A0614B" w:rsidRDefault="00A0614B" w:rsidP="0016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CA91" w14:textId="77777777" w:rsidR="005B1119" w:rsidRDefault="005B1119" w:rsidP="0002454E">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9FC6C27" w14:textId="77777777" w:rsidR="005B1119" w:rsidRDefault="005B1119" w:rsidP="0002454E">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24F1" w14:textId="77777777" w:rsidR="005B1119" w:rsidRDefault="005B1119" w:rsidP="0002454E">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28</w:t>
    </w:r>
    <w:r>
      <w:rPr>
        <w:rStyle w:val="Paginanummer"/>
      </w:rPr>
      <w:fldChar w:fldCharType="end"/>
    </w:r>
  </w:p>
  <w:p w14:paraId="05EC6D48" w14:textId="77777777" w:rsidR="005B1119" w:rsidRDefault="005B1119" w:rsidP="0002454E">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1C70F" w14:textId="77777777" w:rsidR="00A0614B" w:rsidRDefault="00A0614B" w:rsidP="00161DF9">
      <w:r>
        <w:separator/>
      </w:r>
    </w:p>
  </w:footnote>
  <w:footnote w:type="continuationSeparator" w:id="0">
    <w:p w14:paraId="79C6CFC0" w14:textId="77777777" w:rsidR="00A0614B" w:rsidRDefault="00A0614B" w:rsidP="00161DF9">
      <w:r>
        <w:continuationSeparator/>
      </w:r>
    </w:p>
  </w:footnote>
  <w:footnote w:id="1">
    <w:p w14:paraId="423CFB7F" w14:textId="4556EEFE" w:rsidR="005B1119" w:rsidRPr="006D358F" w:rsidRDefault="005B1119">
      <w:pPr>
        <w:pStyle w:val="Voetnoottekst"/>
        <w:rPr>
          <w:lang w:val="nl-BE"/>
        </w:rPr>
      </w:pPr>
      <w:r>
        <w:rPr>
          <w:rStyle w:val="Voetnootmarkering"/>
        </w:rPr>
        <w:footnoteRef/>
      </w:r>
      <w:r>
        <w:t xml:space="preserve"> NATIONALE KAMER VAN GERECHTSDEURWAARDERS, </w:t>
      </w:r>
      <w:r>
        <w:rPr>
          <w:i/>
        </w:rPr>
        <w:t xml:space="preserve">Jaarverslag 2013, </w:t>
      </w:r>
      <w:r>
        <w:t>6.</w:t>
      </w:r>
    </w:p>
  </w:footnote>
  <w:footnote w:id="2">
    <w:p w14:paraId="15EE03E3" w14:textId="2C9E7F59" w:rsidR="005B1119" w:rsidRPr="007374D4" w:rsidRDefault="005B1119">
      <w:pPr>
        <w:pStyle w:val="Voetnoottekst"/>
        <w:rPr>
          <w:lang w:val="nl-BE"/>
        </w:rPr>
      </w:pPr>
      <w:r>
        <w:rPr>
          <w:rStyle w:val="Voetnootmarkering"/>
        </w:rPr>
        <w:footnoteRef/>
      </w:r>
      <w:r>
        <w:t xml:space="preserve"> zie </w:t>
      </w:r>
      <w:r>
        <w:rPr>
          <w:i/>
        </w:rPr>
        <w:t xml:space="preserve">infra, </w:t>
      </w:r>
      <w:r>
        <w:t>nr. 20</w:t>
      </w:r>
    </w:p>
  </w:footnote>
  <w:footnote w:id="3">
    <w:p w14:paraId="12394E8A" w14:textId="45AF8797" w:rsidR="005B1119" w:rsidRPr="008A3E0C" w:rsidRDefault="005B1119">
      <w:pPr>
        <w:pStyle w:val="Voetnoottekst"/>
        <w:rPr>
          <w:rFonts w:ascii="Calibri" w:hAnsi="Calibri" w:cs="Calibri"/>
          <w:lang w:val="nl-BE"/>
        </w:rPr>
      </w:pPr>
      <w:r>
        <w:rPr>
          <w:rStyle w:val="Voetnootmarkering"/>
        </w:rPr>
        <w:footnoteRef/>
      </w:r>
      <w:r>
        <w:t xml:space="preserve"> </w:t>
      </w:r>
      <w:r w:rsidRPr="008A3E0C">
        <w:rPr>
          <w:rFonts w:ascii="Calibri" w:hAnsi="Calibri" w:cs="Calibri"/>
          <w:lang w:val="nl-BE"/>
        </w:rPr>
        <w:t xml:space="preserve">P. DAUW, </w:t>
      </w:r>
      <w:r w:rsidRPr="008A3E0C">
        <w:rPr>
          <w:rFonts w:ascii="Calibri" w:hAnsi="Calibri" w:cs="Calibri"/>
          <w:i/>
          <w:lang w:val="nl-BE"/>
        </w:rPr>
        <w:t xml:space="preserve">Burgerlijk procesrecht, </w:t>
      </w:r>
      <w:r w:rsidRPr="008A3E0C">
        <w:rPr>
          <w:rFonts w:ascii="Calibri" w:hAnsi="Calibri" w:cs="Calibri"/>
          <w:lang w:val="nl-BE"/>
        </w:rPr>
        <w:t>Antwerpen, Intersentia, 2018, 118.</w:t>
      </w:r>
    </w:p>
  </w:footnote>
  <w:footnote w:id="4">
    <w:p w14:paraId="5EEB5554" w14:textId="658D5A5E" w:rsidR="005B1119" w:rsidRPr="008A3E0C" w:rsidRDefault="005B1119">
      <w:pPr>
        <w:pStyle w:val="Voetnoottekst"/>
        <w:rPr>
          <w:rFonts w:ascii="Calibri" w:hAnsi="Calibri" w:cs="Calibri"/>
          <w:lang w:val="nl-BE"/>
        </w:rPr>
      </w:pPr>
      <w:r w:rsidRPr="008A3E0C">
        <w:rPr>
          <w:rStyle w:val="Voetnootmarkering"/>
          <w:rFonts w:ascii="Calibri" w:hAnsi="Calibri" w:cs="Calibri"/>
        </w:rPr>
        <w:footnoteRef/>
      </w:r>
      <w:r w:rsidRPr="008A3E0C">
        <w:rPr>
          <w:rFonts w:ascii="Calibri" w:hAnsi="Calibri" w:cs="Calibri"/>
        </w:rPr>
        <w:t xml:space="preserve"> </w:t>
      </w:r>
      <w:r w:rsidRPr="008A3E0C">
        <w:rPr>
          <w:rFonts w:ascii="Calibri" w:hAnsi="Calibri" w:cs="Calibri"/>
          <w:lang w:val="nl-BE"/>
        </w:rPr>
        <w:t>art. 509, §1, eerste lid Ger.W.</w:t>
      </w:r>
    </w:p>
  </w:footnote>
  <w:footnote w:id="5">
    <w:p w14:paraId="52AD79E3" w14:textId="79F17342" w:rsidR="005B1119" w:rsidRPr="008A3E0C" w:rsidRDefault="005B1119">
      <w:pPr>
        <w:pStyle w:val="Voetnoottekst"/>
        <w:rPr>
          <w:rFonts w:ascii="Calibri" w:hAnsi="Calibri" w:cs="Calibri"/>
          <w:lang w:val="en-US"/>
        </w:rPr>
      </w:pPr>
      <w:r w:rsidRPr="008A3E0C">
        <w:rPr>
          <w:rStyle w:val="Voetnootmarkering"/>
          <w:rFonts w:ascii="Calibri" w:hAnsi="Calibri" w:cs="Calibri"/>
        </w:rPr>
        <w:footnoteRef/>
      </w:r>
      <w:r w:rsidRPr="008A3E0C">
        <w:rPr>
          <w:rFonts w:ascii="Calibri" w:hAnsi="Calibri" w:cs="Calibri"/>
          <w:lang w:val="en-US"/>
        </w:rPr>
        <w:t xml:space="preserve"> art. 519, §1 </w:t>
      </w:r>
      <w:proofErr w:type="spellStart"/>
      <w:r w:rsidRPr="008A3E0C">
        <w:rPr>
          <w:rFonts w:ascii="Calibri" w:hAnsi="Calibri" w:cs="Calibri"/>
          <w:lang w:val="en-US"/>
        </w:rPr>
        <w:t>Ger.W</w:t>
      </w:r>
      <w:proofErr w:type="spellEnd"/>
      <w:r w:rsidRPr="008A3E0C">
        <w:rPr>
          <w:rFonts w:ascii="Calibri" w:hAnsi="Calibri" w:cs="Calibri"/>
          <w:lang w:val="en-US"/>
        </w:rPr>
        <w:t>.</w:t>
      </w:r>
    </w:p>
  </w:footnote>
  <w:footnote w:id="6">
    <w:p w14:paraId="4D8CD62B" w14:textId="761168D8" w:rsidR="005B1119" w:rsidRPr="008A3E0C" w:rsidRDefault="005B1119">
      <w:pPr>
        <w:pStyle w:val="Voetnoottekst"/>
        <w:rPr>
          <w:rFonts w:ascii="Calibri" w:hAnsi="Calibri" w:cs="Calibri"/>
          <w:lang w:val="en-US"/>
        </w:rPr>
      </w:pPr>
      <w:r w:rsidRPr="008A3E0C">
        <w:rPr>
          <w:rStyle w:val="Voetnootmarkering"/>
          <w:rFonts w:ascii="Calibri" w:hAnsi="Calibri" w:cs="Calibri"/>
        </w:rPr>
        <w:footnoteRef/>
      </w:r>
      <w:r w:rsidRPr="008A3E0C">
        <w:rPr>
          <w:rFonts w:ascii="Calibri" w:hAnsi="Calibri" w:cs="Calibri"/>
          <w:lang w:val="en-US"/>
        </w:rPr>
        <w:t xml:space="preserve"> art. 520 </w:t>
      </w:r>
      <w:proofErr w:type="spellStart"/>
      <w:r w:rsidRPr="008A3E0C">
        <w:rPr>
          <w:rFonts w:ascii="Calibri" w:hAnsi="Calibri" w:cs="Calibri"/>
          <w:lang w:val="en-US"/>
        </w:rPr>
        <w:t>Ger.W</w:t>
      </w:r>
      <w:proofErr w:type="spellEnd"/>
      <w:r w:rsidRPr="008A3E0C">
        <w:rPr>
          <w:rFonts w:ascii="Calibri" w:hAnsi="Calibri" w:cs="Calibri"/>
          <w:lang w:val="en-US"/>
        </w:rPr>
        <w:t>.</w:t>
      </w:r>
    </w:p>
  </w:footnote>
  <w:footnote w:id="7">
    <w:p w14:paraId="69C40BF4" w14:textId="3EDFAF27" w:rsidR="005B1119" w:rsidRPr="008A3E0C" w:rsidRDefault="005B1119">
      <w:pPr>
        <w:pStyle w:val="Voetnoottekst"/>
        <w:rPr>
          <w:rFonts w:ascii="Calibri" w:hAnsi="Calibri" w:cs="Calibri"/>
          <w:lang w:val="nl-BE"/>
        </w:rPr>
      </w:pPr>
      <w:r w:rsidRPr="008A3E0C">
        <w:rPr>
          <w:rStyle w:val="Voetnootmarkering"/>
          <w:rFonts w:ascii="Calibri" w:hAnsi="Calibri" w:cs="Calibri"/>
        </w:rPr>
        <w:footnoteRef/>
      </w:r>
      <w:r w:rsidRPr="008A3E0C">
        <w:rPr>
          <w:rFonts w:ascii="Calibri" w:hAnsi="Calibri" w:cs="Calibri"/>
        </w:rPr>
        <w:t xml:space="preserve"> </w:t>
      </w:r>
      <w:r w:rsidRPr="008A3E0C">
        <w:rPr>
          <w:rFonts w:ascii="Calibri" w:hAnsi="Calibri" w:cs="Calibri"/>
          <w:lang w:val="nl-BE"/>
        </w:rPr>
        <w:t>Kh. Dendermonde (2</w:t>
      </w:r>
      <w:r w:rsidRPr="008A3E0C">
        <w:rPr>
          <w:rFonts w:ascii="Calibri" w:hAnsi="Calibri" w:cs="Calibri"/>
          <w:vertAlign w:val="superscript"/>
          <w:lang w:val="nl-BE"/>
        </w:rPr>
        <w:t>e</w:t>
      </w:r>
      <w:r w:rsidRPr="008A3E0C">
        <w:rPr>
          <w:rFonts w:ascii="Calibri" w:hAnsi="Calibri" w:cs="Calibri"/>
          <w:lang w:val="nl-BE"/>
        </w:rPr>
        <w:t xml:space="preserve"> k.) 12 september 2013, </w:t>
      </w:r>
      <w:r w:rsidRPr="008A3E0C">
        <w:rPr>
          <w:rFonts w:ascii="Calibri" w:hAnsi="Calibri" w:cs="Calibri"/>
          <w:i/>
          <w:lang w:val="nl-BE"/>
        </w:rPr>
        <w:t xml:space="preserve">RW </w:t>
      </w:r>
      <w:r w:rsidRPr="008A3E0C">
        <w:rPr>
          <w:rFonts w:ascii="Calibri" w:hAnsi="Calibri" w:cs="Calibri"/>
          <w:lang w:val="nl-BE"/>
        </w:rPr>
        <w:t>2014-2015, nr. 33, 1314-1315.</w:t>
      </w:r>
    </w:p>
  </w:footnote>
  <w:footnote w:id="8">
    <w:p w14:paraId="23F63496" w14:textId="7E8DC9E7" w:rsidR="005B1119" w:rsidRPr="004669BA" w:rsidRDefault="005B1119">
      <w:pPr>
        <w:pStyle w:val="Voetnoottekst"/>
        <w:rPr>
          <w:rFonts w:ascii="Calibri" w:hAnsi="Calibri" w:cs="Calibri"/>
          <w:lang w:val="nl-BE"/>
        </w:rPr>
      </w:pPr>
      <w:r w:rsidRPr="008A3E0C">
        <w:rPr>
          <w:rStyle w:val="Voetnootmarkering"/>
          <w:rFonts w:ascii="Calibri" w:hAnsi="Calibri" w:cs="Calibri"/>
        </w:rPr>
        <w:footnoteRef/>
      </w:r>
      <w:r w:rsidRPr="004669BA">
        <w:rPr>
          <w:rFonts w:ascii="Calibri" w:hAnsi="Calibri" w:cs="Calibri"/>
          <w:lang w:val="nl-BE"/>
        </w:rPr>
        <w:t xml:space="preserve"> art. 139 Ger.W.</w:t>
      </w:r>
    </w:p>
  </w:footnote>
  <w:footnote w:id="9">
    <w:p w14:paraId="3D273C31" w14:textId="665A1535" w:rsidR="005B1119" w:rsidRPr="004B26B3" w:rsidRDefault="005B1119">
      <w:pPr>
        <w:pStyle w:val="Voetnoottekst"/>
        <w:rPr>
          <w:lang w:val="nl-BE"/>
        </w:rPr>
      </w:pPr>
      <w:r w:rsidRPr="008A3E0C">
        <w:rPr>
          <w:rStyle w:val="Voetnootmarkering"/>
          <w:rFonts w:ascii="Calibri" w:hAnsi="Calibri" w:cs="Calibri"/>
        </w:rPr>
        <w:footnoteRef/>
      </w:r>
      <w:r w:rsidRPr="004669BA">
        <w:rPr>
          <w:rFonts w:ascii="Calibri" w:hAnsi="Calibri" w:cs="Calibri"/>
          <w:lang w:val="nl-BE"/>
        </w:rPr>
        <w:t xml:space="preserve"> Cass. </w:t>
      </w:r>
      <w:r w:rsidRPr="004B26B3">
        <w:rPr>
          <w:rFonts w:ascii="Calibri" w:hAnsi="Calibri" w:cs="Calibri"/>
          <w:lang w:val="nl-BE"/>
        </w:rPr>
        <w:t>(2</w:t>
      </w:r>
      <w:r w:rsidRPr="004B26B3">
        <w:rPr>
          <w:rFonts w:ascii="Calibri" w:hAnsi="Calibri" w:cs="Calibri"/>
          <w:vertAlign w:val="superscript"/>
          <w:lang w:val="nl-BE"/>
        </w:rPr>
        <w:t>e</w:t>
      </w:r>
      <w:r w:rsidRPr="004B26B3">
        <w:rPr>
          <w:rFonts w:ascii="Calibri" w:hAnsi="Calibri" w:cs="Calibri"/>
          <w:lang w:val="nl-BE"/>
        </w:rPr>
        <w:t xml:space="preserve"> k.) 9 november 2011, AR P.11.2017</w:t>
      </w:r>
      <w:r w:rsidRPr="004B26B3">
        <w:rPr>
          <w:lang w:val="nl-BE"/>
        </w:rPr>
        <w:t xml:space="preserve">.F., </w:t>
      </w:r>
      <w:r>
        <w:rPr>
          <w:lang w:val="nl-BE"/>
        </w:rPr>
        <w:t>TBBR 2020, nr. 2, 103-105, noot S. DE REY en B. TILLEMAN.</w:t>
      </w:r>
    </w:p>
  </w:footnote>
  <w:footnote w:id="10">
    <w:p w14:paraId="180A01F7" w14:textId="70878FBB" w:rsidR="005B1119" w:rsidRPr="006E4BDF" w:rsidRDefault="005B1119">
      <w:pPr>
        <w:pStyle w:val="Voetnoottekst"/>
        <w:rPr>
          <w:lang w:val="nl-BE"/>
        </w:rPr>
      </w:pPr>
      <w:r>
        <w:rPr>
          <w:rStyle w:val="Voetnootmarkering"/>
        </w:rPr>
        <w:footnoteRef/>
      </w:r>
      <w:r w:rsidRPr="006E4BDF">
        <w:rPr>
          <w:lang w:val="nl-BE"/>
        </w:rPr>
        <w:t xml:space="preserve"> art. 519, §2 Ger.W.</w:t>
      </w:r>
    </w:p>
  </w:footnote>
  <w:footnote w:id="11">
    <w:p w14:paraId="2E8C54B9" w14:textId="3489842E" w:rsidR="005B1119" w:rsidRPr="006E4BDF" w:rsidRDefault="005B1119">
      <w:pPr>
        <w:pStyle w:val="Voetnoottekst"/>
        <w:rPr>
          <w:lang w:val="nl-BE"/>
        </w:rPr>
      </w:pPr>
      <w:r>
        <w:rPr>
          <w:rStyle w:val="Voetnootmarkering"/>
        </w:rPr>
        <w:footnoteRef/>
      </w:r>
      <w:r w:rsidRPr="006E4BDF">
        <w:rPr>
          <w:lang w:val="nl-BE"/>
        </w:rPr>
        <w:t xml:space="preserve"> art. 6.1 EVRM</w:t>
      </w:r>
    </w:p>
  </w:footnote>
  <w:footnote w:id="12">
    <w:p w14:paraId="50C19C79" w14:textId="535A6F7A" w:rsidR="005B1119" w:rsidRDefault="005B1119">
      <w:pPr>
        <w:pStyle w:val="Voetnoottekst"/>
      </w:pPr>
      <w:r>
        <w:rPr>
          <w:rStyle w:val="Voetnootmarkering"/>
        </w:rPr>
        <w:footnoteRef/>
      </w:r>
      <w:r>
        <w:t xml:space="preserve"> EHRM 11 januari 2001, nr. 38460/97, </w:t>
      </w:r>
      <w:proofErr w:type="spellStart"/>
      <w:r>
        <w:t>Platakou</w:t>
      </w:r>
      <w:proofErr w:type="spellEnd"/>
      <w:r>
        <w:t xml:space="preserve">/Griekenland, NJCM-Bulletin, </w:t>
      </w:r>
      <w:proofErr w:type="spellStart"/>
      <w:r>
        <w:t>jrg</w:t>
      </w:r>
      <w:proofErr w:type="spellEnd"/>
      <w:r>
        <w:t>. 26 (2001), nr. 4.</w:t>
      </w:r>
    </w:p>
  </w:footnote>
  <w:footnote w:id="13">
    <w:p w14:paraId="70AA77C3" w14:textId="06954096" w:rsidR="005B1119" w:rsidRPr="00CF7AA3" w:rsidRDefault="005B1119">
      <w:pPr>
        <w:pStyle w:val="Voetnoottekst"/>
        <w:rPr>
          <w:lang w:val="nl-BE"/>
        </w:rPr>
      </w:pPr>
      <w:r>
        <w:rPr>
          <w:rStyle w:val="Voetnootmarkering"/>
        </w:rPr>
        <w:footnoteRef/>
      </w:r>
      <w:r w:rsidRPr="00CF7AA3">
        <w:rPr>
          <w:lang w:val="nl-BE"/>
        </w:rPr>
        <w:t xml:space="preserve"> afkorting van business to business: deze regeling is dus enkel van toepassing op </w:t>
      </w:r>
      <w:r>
        <w:rPr>
          <w:lang w:val="nl-BE"/>
        </w:rPr>
        <w:t xml:space="preserve">vorderingen van ondernemingen tegen ondernemingen. </w:t>
      </w:r>
    </w:p>
  </w:footnote>
  <w:footnote w:id="14">
    <w:p w14:paraId="38D28B16" w14:textId="67C86CB5" w:rsidR="005B1119" w:rsidRPr="00E14559" w:rsidRDefault="005B1119">
      <w:pPr>
        <w:pStyle w:val="Voetnoottekst"/>
        <w:rPr>
          <w:lang w:val="nl-BE"/>
        </w:rPr>
      </w:pPr>
      <w:r>
        <w:rPr>
          <w:rStyle w:val="Voetnootmarkering"/>
        </w:rPr>
        <w:footnoteRef/>
      </w:r>
      <w:r>
        <w:t xml:space="preserve"> </w:t>
      </w:r>
      <w:r>
        <w:rPr>
          <w:lang w:val="nl-BE"/>
        </w:rPr>
        <w:t xml:space="preserve">art. 1394/20 e.v. Ger.W. ; art. 32 e.v. wet 19 oktober 2015 houdende wijziging van het burgerlijk procesrecht en houdende diverse bepalingen inzake justitie, </w:t>
      </w:r>
      <w:r>
        <w:rPr>
          <w:i/>
          <w:lang w:val="nl-BE"/>
        </w:rPr>
        <w:t xml:space="preserve">BS </w:t>
      </w:r>
      <w:r>
        <w:rPr>
          <w:lang w:val="nl-BE"/>
        </w:rPr>
        <w:t>22 oktober 2015.</w:t>
      </w:r>
    </w:p>
  </w:footnote>
  <w:footnote w:id="15">
    <w:p w14:paraId="0E95E9C2" w14:textId="2CB3E853" w:rsidR="005B1119" w:rsidRPr="00804A14" w:rsidRDefault="005B1119">
      <w:pPr>
        <w:pStyle w:val="Voetnoottekst"/>
      </w:pPr>
      <w:r>
        <w:rPr>
          <w:rStyle w:val="Voetnootmarkering"/>
        </w:rPr>
        <w:footnoteRef/>
      </w:r>
      <w:r>
        <w:t xml:space="preserve"> NATIONALE KAMER VAN GERECHTSDEURWAARDERS, </w:t>
      </w:r>
      <w:r>
        <w:rPr>
          <w:i/>
        </w:rPr>
        <w:t xml:space="preserve">Wie is de gerechtsdeurwaarder?, </w:t>
      </w:r>
      <w:hyperlink r:id="rId1" w:history="1">
        <w:r w:rsidRPr="00804A14">
          <w:rPr>
            <w:rStyle w:val="Hyperlink"/>
          </w:rPr>
          <w:t>https://www.gerechtsdeurwaarders.be/nkgb-cnhb/de-gerechtsdeurwaarder/wie-de-gerechtsdeurwaarder</w:t>
        </w:r>
      </w:hyperlink>
      <w:r w:rsidRPr="00804A14">
        <w:t xml:space="preserve"> </w:t>
      </w:r>
    </w:p>
  </w:footnote>
  <w:footnote w:id="16">
    <w:p w14:paraId="24B56B69" w14:textId="64AE153C" w:rsidR="005B1119" w:rsidRPr="004669BA" w:rsidRDefault="005B1119">
      <w:pPr>
        <w:pStyle w:val="Voetnoottekst"/>
        <w:rPr>
          <w:lang w:val="en-US"/>
        </w:rPr>
      </w:pPr>
      <w:r>
        <w:rPr>
          <w:rStyle w:val="Voetnootmarkering"/>
        </w:rPr>
        <w:footnoteRef/>
      </w:r>
      <w:r w:rsidRPr="004669BA">
        <w:rPr>
          <w:lang w:val="en-US"/>
        </w:rPr>
        <w:t xml:space="preserve"> art. 511 §1 </w:t>
      </w:r>
      <w:proofErr w:type="spellStart"/>
      <w:r w:rsidRPr="004669BA">
        <w:rPr>
          <w:lang w:val="en-US"/>
        </w:rPr>
        <w:t>Ger.W</w:t>
      </w:r>
      <w:proofErr w:type="spellEnd"/>
      <w:r w:rsidRPr="004669BA">
        <w:rPr>
          <w:lang w:val="en-US"/>
        </w:rPr>
        <w:t>.</w:t>
      </w:r>
    </w:p>
  </w:footnote>
  <w:footnote w:id="17">
    <w:p w14:paraId="6E6A08A9" w14:textId="28A89E7B" w:rsidR="005B1119" w:rsidRPr="003C438D" w:rsidRDefault="005B1119">
      <w:pPr>
        <w:pStyle w:val="Voetnoottekst"/>
        <w:rPr>
          <w:lang w:val="en-US"/>
        </w:rPr>
      </w:pPr>
      <w:r>
        <w:rPr>
          <w:rStyle w:val="Voetnootmarkering"/>
        </w:rPr>
        <w:footnoteRef/>
      </w:r>
      <w:r w:rsidRPr="003C438D">
        <w:rPr>
          <w:lang w:val="en-US"/>
        </w:rPr>
        <w:t xml:space="preserve"> </w:t>
      </w:r>
      <w:r>
        <w:rPr>
          <w:i/>
          <w:lang w:val="en-US"/>
        </w:rPr>
        <w:t>Ibid.,</w:t>
      </w:r>
      <w:r w:rsidRPr="003C438D">
        <w:rPr>
          <w:lang w:val="en-US"/>
        </w:rPr>
        <w:t xml:space="preserve"> §2 </w:t>
      </w:r>
    </w:p>
  </w:footnote>
  <w:footnote w:id="18">
    <w:p w14:paraId="0B474CAD" w14:textId="075B371C" w:rsidR="005B1119" w:rsidRPr="006E4BDF" w:rsidRDefault="005B1119">
      <w:pPr>
        <w:pStyle w:val="Voetnoottekst"/>
        <w:rPr>
          <w:lang w:val="en-US"/>
        </w:rPr>
      </w:pPr>
      <w:r>
        <w:rPr>
          <w:rStyle w:val="Voetnootmarkering"/>
        </w:rPr>
        <w:footnoteRef/>
      </w:r>
      <w:r w:rsidRPr="006E4BDF">
        <w:rPr>
          <w:lang w:val="en-US"/>
        </w:rPr>
        <w:t xml:space="preserve"> art. 4.</w:t>
      </w:r>
    </w:p>
  </w:footnote>
  <w:footnote w:id="19">
    <w:p w14:paraId="4B686AA7" w14:textId="31D71A74" w:rsidR="005B1119" w:rsidRPr="001A098C" w:rsidRDefault="005B1119">
      <w:pPr>
        <w:pStyle w:val="Voetnoottekst"/>
      </w:pPr>
      <w:r>
        <w:rPr>
          <w:rStyle w:val="Voetnootmarkering"/>
        </w:rPr>
        <w:footnoteRef/>
      </w:r>
      <w:r>
        <w:t xml:space="preserve"> Nationale Kamer van Gerechtsdeurwaarders (</w:t>
      </w:r>
      <w:r w:rsidRPr="007B05E7">
        <w:t xml:space="preserve">zie </w:t>
      </w:r>
      <w:r w:rsidRPr="007B05E7">
        <w:rPr>
          <w:i/>
        </w:rPr>
        <w:t xml:space="preserve">infra, </w:t>
      </w:r>
      <w:r w:rsidRPr="007B05E7">
        <w:t>nr. 17 )</w:t>
      </w:r>
    </w:p>
  </w:footnote>
  <w:footnote w:id="20">
    <w:p w14:paraId="2BB7DBBE" w14:textId="22D832D0" w:rsidR="005B1119" w:rsidRPr="004D40EC" w:rsidRDefault="005B1119">
      <w:pPr>
        <w:pStyle w:val="Voetnoottekst"/>
        <w:rPr>
          <w:lang w:val="nl-BE"/>
        </w:rPr>
      </w:pPr>
      <w:r>
        <w:rPr>
          <w:rStyle w:val="Voetnootmarkering"/>
        </w:rPr>
        <w:footnoteRef/>
      </w:r>
      <w:r w:rsidRPr="004D40EC">
        <w:rPr>
          <w:lang w:val="nl-BE"/>
        </w:rPr>
        <w:t xml:space="preserve"> art. 510 §2 Ger.W.</w:t>
      </w:r>
    </w:p>
  </w:footnote>
  <w:footnote w:id="21">
    <w:p w14:paraId="2687525F" w14:textId="518151DE" w:rsidR="005B1119" w:rsidRPr="00DB1D54" w:rsidRDefault="005B1119">
      <w:pPr>
        <w:pStyle w:val="Voetnoottekst"/>
      </w:pPr>
      <w:r>
        <w:rPr>
          <w:rStyle w:val="Voetnootmarkering"/>
        </w:rPr>
        <w:footnoteRef/>
      </w:r>
      <w:r>
        <w:t xml:space="preserve"> zie </w:t>
      </w:r>
      <w:r>
        <w:rPr>
          <w:i/>
        </w:rPr>
        <w:t>infra</w:t>
      </w:r>
      <w:r>
        <w:t>, nr. 43.</w:t>
      </w:r>
    </w:p>
  </w:footnote>
  <w:footnote w:id="22">
    <w:p w14:paraId="09135651" w14:textId="52890931" w:rsidR="005B1119" w:rsidRPr="00DB1D54" w:rsidRDefault="005B1119">
      <w:pPr>
        <w:pStyle w:val="Voetnoottekst"/>
        <w:rPr>
          <w:lang w:val="nl-BE"/>
        </w:rPr>
      </w:pPr>
      <w:r>
        <w:rPr>
          <w:rStyle w:val="Voetnootmarkering"/>
        </w:rPr>
        <w:footnoteRef/>
      </w:r>
      <w:r w:rsidRPr="00DB1D54">
        <w:rPr>
          <w:lang w:val="nl-BE"/>
        </w:rPr>
        <w:t xml:space="preserve"> art. 513 §1 Ger.W.</w:t>
      </w:r>
    </w:p>
  </w:footnote>
  <w:footnote w:id="23">
    <w:p w14:paraId="2D927B28" w14:textId="515DCFA3" w:rsidR="005B1119" w:rsidRPr="003160D8" w:rsidRDefault="005B1119">
      <w:pPr>
        <w:pStyle w:val="Voetnoottekst"/>
        <w:rPr>
          <w:lang w:val="nl-BE"/>
        </w:rPr>
      </w:pPr>
      <w:r>
        <w:rPr>
          <w:rStyle w:val="Voetnootmarkering"/>
        </w:rPr>
        <w:footnoteRef/>
      </w:r>
      <w:r>
        <w:t xml:space="preserve"> MB van 9 januari 2019 houdende de goedkeuring van het jaarlijks vergelijkend examen tot rangschikking van kandidaat-gerechtsdeurwaarders, </w:t>
      </w:r>
      <w:r w:rsidRPr="003160D8">
        <w:rPr>
          <w:i/>
        </w:rPr>
        <w:t>ETAMBB</w:t>
      </w:r>
      <w:r>
        <w:rPr>
          <w:i/>
        </w:rPr>
        <w:t xml:space="preserve">, </w:t>
      </w:r>
      <w:r>
        <w:t>BS 14 januari 2019.</w:t>
      </w:r>
    </w:p>
  </w:footnote>
  <w:footnote w:id="24">
    <w:p w14:paraId="433A2041" w14:textId="0A51CAFA" w:rsidR="005B1119" w:rsidRPr="003160D8" w:rsidRDefault="005B1119">
      <w:pPr>
        <w:pStyle w:val="Voetnoottekst"/>
        <w:rPr>
          <w:i/>
          <w:lang w:val="nl-BE"/>
        </w:rPr>
      </w:pPr>
      <w:r>
        <w:rPr>
          <w:rStyle w:val="Voetnootmarkering"/>
        </w:rPr>
        <w:footnoteRef/>
      </w:r>
      <w:r>
        <w:t xml:space="preserve"> </w:t>
      </w:r>
      <w:r>
        <w:rPr>
          <w:lang w:val="nl-BE"/>
        </w:rPr>
        <w:t xml:space="preserve">NATIONALE KAMER VAN GERECHTSDEURWAARDERS, </w:t>
      </w:r>
      <w:r>
        <w:rPr>
          <w:i/>
          <w:lang w:val="nl-BE"/>
        </w:rPr>
        <w:t xml:space="preserve">Examenprogramma 2019, </w:t>
      </w:r>
      <w:r w:rsidRPr="003160D8">
        <w:rPr>
          <w:lang w:val="nl-BE"/>
        </w:rPr>
        <w:t>www.gerechtsdeurwaarders.be/sam-tes/examenprogramma</w:t>
      </w:r>
    </w:p>
  </w:footnote>
  <w:footnote w:id="25">
    <w:p w14:paraId="12D3647B" w14:textId="245E5681" w:rsidR="005B1119" w:rsidRPr="003160D8" w:rsidRDefault="005B1119">
      <w:pPr>
        <w:pStyle w:val="Voetnoottekst"/>
        <w:rPr>
          <w:lang w:val="nl-BE"/>
        </w:rPr>
      </w:pPr>
      <w:r>
        <w:rPr>
          <w:rStyle w:val="Voetnootmarkering"/>
        </w:rPr>
        <w:footnoteRef/>
      </w:r>
      <w:r>
        <w:t xml:space="preserve"> art. 513, §3, eerste lid </w:t>
      </w:r>
      <w:proofErr w:type="spellStart"/>
      <w:r>
        <w:t>Ger.W</w:t>
      </w:r>
      <w:proofErr w:type="spellEnd"/>
      <w:r>
        <w:t>.</w:t>
      </w:r>
    </w:p>
  </w:footnote>
  <w:footnote w:id="26">
    <w:p w14:paraId="63154E98" w14:textId="5E7A778B" w:rsidR="005B1119" w:rsidRPr="006E4BDF" w:rsidRDefault="005B1119">
      <w:pPr>
        <w:pStyle w:val="Voetnoottekst"/>
        <w:rPr>
          <w:lang w:val="nl-BE"/>
        </w:rPr>
      </w:pPr>
      <w:r>
        <w:rPr>
          <w:rStyle w:val="Voetnootmarkering"/>
        </w:rPr>
        <w:footnoteRef/>
      </w:r>
      <w:r w:rsidRPr="006E4BDF">
        <w:rPr>
          <w:lang w:val="nl-BE"/>
        </w:rPr>
        <w:t xml:space="preserve"> </w:t>
      </w:r>
      <w:r w:rsidRPr="006E4BDF">
        <w:rPr>
          <w:i/>
          <w:lang w:val="nl-BE"/>
        </w:rPr>
        <w:t>Ibid.</w:t>
      </w:r>
      <w:r w:rsidRPr="006E4BDF">
        <w:rPr>
          <w:lang w:val="nl-BE"/>
        </w:rPr>
        <w:t xml:space="preserve">, §7 </w:t>
      </w:r>
    </w:p>
  </w:footnote>
  <w:footnote w:id="27">
    <w:p w14:paraId="74C0199D" w14:textId="6FDD6671" w:rsidR="005B1119" w:rsidRPr="006E4BDF" w:rsidRDefault="005B1119">
      <w:pPr>
        <w:pStyle w:val="Voetnoottekst"/>
        <w:rPr>
          <w:lang w:val="nl-BE"/>
        </w:rPr>
      </w:pPr>
      <w:r>
        <w:rPr>
          <w:rStyle w:val="Voetnootmarkering"/>
        </w:rPr>
        <w:footnoteRef/>
      </w:r>
      <w:r w:rsidRPr="006E4BDF">
        <w:rPr>
          <w:lang w:val="nl-BE"/>
        </w:rPr>
        <w:t xml:space="preserve"> </w:t>
      </w:r>
      <w:r w:rsidRPr="006E4BDF">
        <w:rPr>
          <w:i/>
          <w:lang w:val="nl-BE"/>
        </w:rPr>
        <w:t>Ibid.,</w:t>
      </w:r>
      <w:r w:rsidRPr="006E4BDF">
        <w:rPr>
          <w:lang w:val="nl-BE"/>
        </w:rPr>
        <w:t xml:space="preserve"> §8 </w:t>
      </w:r>
    </w:p>
  </w:footnote>
  <w:footnote w:id="28">
    <w:p w14:paraId="1238F64D" w14:textId="6D0AD03C" w:rsidR="005B1119" w:rsidRPr="007C428D" w:rsidRDefault="005B1119">
      <w:pPr>
        <w:pStyle w:val="Voetnoottekst"/>
        <w:rPr>
          <w:lang w:val="nl-BE"/>
        </w:rPr>
      </w:pPr>
      <w:r>
        <w:rPr>
          <w:rStyle w:val="Voetnootmarkering"/>
        </w:rPr>
        <w:footnoteRef/>
      </w:r>
      <w:r>
        <w:t xml:space="preserve"> </w:t>
      </w:r>
      <w:r>
        <w:rPr>
          <w:lang w:val="nl-BE"/>
        </w:rPr>
        <w:t>art. 527, eerste lid Ger.W.</w:t>
      </w:r>
    </w:p>
  </w:footnote>
  <w:footnote w:id="29">
    <w:p w14:paraId="7E5E2CA8" w14:textId="21A994F5" w:rsidR="005B1119" w:rsidRPr="007C428D" w:rsidRDefault="005B1119">
      <w:pPr>
        <w:pStyle w:val="Voetnoottekst"/>
        <w:rPr>
          <w:lang w:val="nl-BE"/>
        </w:rPr>
      </w:pPr>
      <w:r>
        <w:rPr>
          <w:rStyle w:val="Voetnootmarkering"/>
        </w:rPr>
        <w:footnoteRef/>
      </w:r>
      <w:r>
        <w:t xml:space="preserve"> </w:t>
      </w:r>
      <w:r>
        <w:rPr>
          <w:lang w:val="nl-BE"/>
        </w:rPr>
        <w:t>art. 528, tweede lid Ger.W.</w:t>
      </w:r>
    </w:p>
  </w:footnote>
  <w:footnote w:id="30">
    <w:p w14:paraId="5F040D2C" w14:textId="6F1FF19C" w:rsidR="005B1119" w:rsidRPr="007C428D" w:rsidRDefault="005B1119">
      <w:pPr>
        <w:pStyle w:val="Voetnoottekst"/>
        <w:rPr>
          <w:lang w:val="nl-BE"/>
        </w:rPr>
      </w:pPr>
      <w:r>
        <w:rPr>
          <w:rStyle w:val="Voetnootmarkering"/>
        </w:rPr>
        <w:footnoteRef/>
      </w:r>
      <w:r>
        <w:t xml:space="preserve"> </w:t>
      </w:r>
      <w:r>
        <w:rPr>
          <w:lang w:val="nl-BE"/>
        </w:rPr>
        <w:t>art. 526, tweede lid Ger.W.</w:t>
      </w:r>
    </w:p>
  </w:footnote>
  <w:footnote w:id="31">
    <w:p w14:paraId="20B58A5C" w14:textId="147C4351" w:rsidR="005B1119" w:rsidRPr="0025279D" w:rsidRDefault="005B1119">
      <w:pPr>
        <w:pStyle w:val="Voetnoottekst"/>
        <w:rPr>
          <w:lang w:val="nl-BE"/>
        </w:rPr>
      </w:pPr>
      <w:r>
        <w:rPr>
          <w:rStyle w:val="Voetnootmarkering"/>
        </w:rPr>
        <w:footnoteRef/>
      </w:r>
      <w:r>
        <w:t xml:space="preserve"> </w:t>
      </w:r>
      <w:r>
        <w:rPr>
          <w:lang w:val="nl-BE"/>
        </w:rPr>
        <w:t>art. 515, §1, eerste lid Ger.W.</w:t>
      </w:r>
    </w:p>
  </w:footnote>
  <w:footnote w:id="32">
    <w:p w14:paraId="2FC0F60F" w14:textId="75BEA587" w:rsidR="005B1119" w:rsidRPr="003C438D" w:rsidRDefault="005B1119">
      <w:pPr>
        <w:pStyle w:val="Voetnoottekst"/>
        <w:rPr>
          <w:lang w:val="en-US"/>
        </w:rPr>
      </w:pPr>
      <w:r>
        <w:rPr>
          <w:rStyle w:val="Voetnootmarkering"/>
        </w:rPr>
        <w:footnoteRef/>
      </w:r>
      <w:r w:rsidRPr="003C438D">
        <w:rPr>
          <w:lang w:val="en-US"/>
        </w:rPr>
        <w:t xml:space="preserve"> </w:t>
      </w:r>
      <w:r>
        <w:rPr>
          <w:i/>
          <w:lang w:val="en-US"/>
        </w:rPr>
        <w:t>Ibid.</w:t>
      </w:r>
      <w:r w:rsidRPr="003C438D">
        <w:rPr>
          <w:lang w:val="en-US"/>
        </w:rPr>
        <w:t>, §2, 2°</w:t>
      </w:r>
    </w:p>
  </w:footnote>
  <w:footnote w:id="33">
    <w:p w14:paraId="7490D882" w14:textId="242A2DB6" w:rsidR="005B1119" w:rsidRPr="003C438D" w:rsidRDefault="005B1119">
      <w:pPr>
        <w:pStyle w:val="Voetnoottekst"/>
        <w:rPr>
          <w:lang w:val="en-US"/>
        </w:rPr>
      </w:pPr>
      <w:r>
        <w:rPr>
          <w:rStyle w:val="Voetnootmarkering"/>
        </w:rPr>
        <w:footnoteRef/>
      </w:r>
      <w:r w:rsidRPr="003C438D">
        <w:rPr>
          <w:lang w:val="en-US"/>
        </w:rPr>
        <w:t xml:space="preserve"> </w:t>
      </w:r>
      <w:r>
        <w:rPr>
          <w:i/>
          <w:lang w:val="en-US"/>
        </w:rPr>
        <w:t>Ibid.,</w:t>
      </w:r>
      <w:r w:rsidRPr="003C438D">
        <w:rPr>
          <w:lang w:val="en-US"/>
        </w:rPr>
        <w:t xml:space="preserve"> §3 </w:t>
      </w:r>
    </w:p>
  </w:footnote>
  <w:footnote w:id="34">
    <w:p w14:paraId="0C87C866" w14:textId="7FD4618C" w:rsidR="005B1119" w:rsidRPr="005C6669" w:rsidRDefault="005B1119">
      <w:pPr>
        <w:pStyle w:val="Voetnoottekst"/>
        <w:rPr>
          <w:lang w:val="en-US"/>
        </w:rPr>
      </w:pPr>
      <w:r>
        <w:rPr>
          <w:rStyle w:val="Voetnootmarkering"/>
        </w:rPr>
        <w:footnoteRef/>
      </w:r>
      <w:r w:rsidRPr="005C6669">
        <w:rPr>
          <w:lang w:val="en-US"/>
        </w:rPr>
        <w:t xml:space="preserve"> </w:t>
      </w:r>
      <w:r w:rsidRPr="005C6669">
        <w:rPr>
          <w:i/>
          <w:lang w:val="en-US"/>
        </w:rPr>
        <w:t>Ibid.,</w:t>
      </w:r>
      <w:r w:rsidRPr="005C6669">
        <w:rPr>
          <w:lang w:val="en-US"/>
        </w:rPr>
        <w:t xml:space="preserve"> §4  </w:t>
      </w:r>
    </w:p>
  </w:footnote>
  <w:footnote w:id="35">
    <w:p w14:paraId="5E97A5A2" w14:textId="0581E3B1" w:rsidR="005B1119" w:rsidRPr="006E4BDF" w:rsidRDefault="005B1119">
      <w:pPr>
        <w:pStyle w:val="Voetnoottekst"/>
        <w:rPr>
          <w:lang w:val="en-US"/>
        </w:rPr>
      </w:pPr>
      <w:r>
        <w:rPr>
          <w:rStyle w:val="Voetnootmarkering"/>
        </w:rPr>
        <w:footnoteRef/>
      </w:r>
      <w:r w:rsidRPr="006E4BDF">
        <w:rPr>
          <w:lang w:val="en-US"/>
        </w:rPr>
        <w:t xml:space="preserve"> art. 517 §§1 </w:t>
      </w:r>
      <w:proofErr w:type="spellStart"/>
      <w:r w:rsidRPr="006E4BDF">
        <w:rPr>
          <w:lang w:val="en-US"/>
        </w:rPr>
        <w:t>en</w:t>
      </w:r>
      <w:proofErr w:type="spellEnd"/>
      <w:r w:rsidRPr="006E4BDF">
        <w:rPr>
          <w:lang w:val="en-US"/>
        </w:rPr>
        <w:t xml:space="preserve"> 2 </w:t>
      </w:r>
      <w:proofErr w:type="spellStart"/>
      <w:r w:rsidRPr="006E4BDF">
        <w:rPr>
          <w:lang w:val="en-US"/>
        </w:rPr>
        <w:t>Ger.W</w:t>
      </w:r>
      <w:proofErr w:type="spellEnd"/>
      <w:r w:rsidRPr="006E4BDF">
        <w:rPr>
          <w:lang w:val="en-US"/>
        </w:rPr>
        <w:t>.</w:t>
      </w:r>
    </w:p>
  </w:footnote>
  <w:footnote w:id="36">
    <w:p w14:paraId="3F557644" w14:textId="7F741758" w:rsidR="005B1119" w:rsidRPr="00E76AAE" w:rsidRDefault="005B1119">
      <w:pPr>
        <w:pStyle w:val="Voetnoottekst"/>
        <w:rPr>
          <w:lang w:val="nl-BE"/>
        </w:rPr>
      </w:pPr>
      <w:r>
        <w:rPr>
          <w:rStyle w:val="Voetnootmarkering"/>
        </w:rPr>
        <w:footnoteRef/>
      </w:r>
      <w:r>
        <w:t xml:space="preserve"> </w:t>
      </w:r>
      <w:r>
        <w:rPr>
          <w:lang w:val="nl-BE"/>
        </w:rPr>
        <w:t xml:space="preserve">wet van 1 december 2013 tot hervorming van de gerechtelijke arrondissementen en tot wijziging van het Gerechtelijk Wetboek met het oog op een grotere mobilitieit van leden van de rechterlijke orde, </w:t>
      </w:r>
      <w:r>
        <w:rPr>
          <w:i/>
          <w:lang w:val="nl-BE"/>
        </w:rPr>
        <w:t xml:space="preserve">BS </w:t>
      </w:r>
      <w:r>
        <w:rPr>
          <w:lang w:val="nl-BE"/>
        </w:rPr>
        <w:t xml:space="preserve">10 december 2013. </w:t>
      </w:r>
    </w:p>
  </w:footnote>
  <w:footnote w:id="37">
    <w:p w14:paraId="289CA75F" w14:textId="4E432C55" w:rsidR="005B1119" w:rsidRPr="00FE7AE0" w:rsidRDefault="005B1119">
      <w:pPr>
        <w:pStyle w:val="Voetnoottekst"/>
        <w:rPr>
          <w:lang w:val="nl-BE"/>
        </w:rPr>
      </w:pPr>
      <w:r>
        <w:rPr>
          <w:rStyle w:val="Voetnootmarkering"/>
        </w:rPr>
        <w:footnoteRef/>
      </w:r>
      <w:r>
        <w:t xml:space="preserve"> </w:t>
      </w:r>
      <w:r>
        <w:rPr>
          <w:lang w:val="nl-BE"/>
        </w:rPr>
        <w:t xml:space="preserve">FOD Justitie, </w:t>
      </w:r>
      <w:r>
        <w:rPr>
          <w:i/>
          <w:lang w:val="nl-BE"/>
        </w:rPr>
        <w:t>Het nieuw gerechtelijk landschap is een feit</w:t>
      </w:r>
      <w:r>
        <w:rPr>
          <w:lang w:val="nl-BE"/>
        </w:rPr>
        <w:t>, 2015.</w:t>
      </w:r>
      <w:r>
        <w:rPr>
          <w:lang w:val="nl-BE"/>
        </w:rPr>
        <w:br/>
        <w:t>www.</w:t>
      </w:r>
      <w:r w:rsidRPr="00FE7AE0">
        <w:rPr>
          <w:lang w:val="nl-BE"/>
        </w:rPr>
        <w:t>justitie.belgium.be/nl/rechterlijke_orde/hervorming_justitie/nieuws/news_pers_2014-04-01</w:t>
      </w:r>
    </w:p>
  </w:footnote>
  <w:footnote w:id="38">
    <w:p w14:paraId="4E1C4164" w14:textId="007B96CF" w:rsidR="005B1119" w:rsidRPr="003C438D" w:rsidRDefault="005B1119">
      <w:pPr>
        <w:pStyle w:val="Voetnoottekst"/>
        <w:rPr>
          <w:lang w:val="en-US"/>
        </w:rPr>
      </w:pPr>
      <w:r>
        <w:rPr>
          <w:rStyle w:val="Voetnootmarkering"/>
        </w:rPr>
        <w:footnoteRef/>
      </w:r>
      <w:r w:rsidRPr="003C438D">
        <w:rPr>
          <w:lang w:val="en-US"/>
        </w:rPr>
        <w:t xml:space="preserve"> art. 549</w:t>
      </w:r>
      <w:r>
        <w:rPr>
          <w:lang w:val="en-US"/>
        </w:rPr>
        <w:t xml:space="preserve">, </w:t>
      </w:r>
      <w:r w:rsidRPr="003C438D">
        <w:rPr>
          <w:lang w:val="en-US"/>
        </w:rPr>
        <w:t xml:space="preserve">§1 </w:t>
      </w:r>
      <w:proofErr w:type="spellStart"/>
      <w:r w:rsidRPr="003C438D">
        <w:rPr>
          <w:lang w:val="en-US"/>
        </w:rPr>
        <w:t>Ger.W</w:t>
      </w:r>
      <w:proofErr w:type="spellEnd"/>
      <w:r w:rsidRPr="003C438D">
        <w:rPr>
          <w:lang w:val="en-US"/>
        </w:rPr>
        <w:t>.</w:t>
      </w:r>
    </w:p>
  </w:footnote>
  <w:footnote w:id="39">
    <w:p w14:paraId="01F87EE8" w14:textId="0CED38A2" w:rsidR="005B1119" w:rsidRPr="003C438D" w:rsidRDefault="005B1119">
      <w:pPr>
        <w:pStyle w:val="Voetnoottekst"/>
        <w:rPr>
          <w:lang w:val="en-US"/>
        </w:rPr>
      </w:pPr>
      <w:r>
        <w:rPr>
          <w:rStyle w:val="Voetnootmarkering"/>
        </w:rPr>
        <w:footnoteRef/>
      </w:r>
      <w:r w:rsidRPr="003C438D">
        <w:rPr>
          <w:lang w:val="en-US"/>
        </w:rPr>
        <w:t xml:space="preserve"> </w:t>
      </w:r>
      <w:r w:rsidRPr="003C438D">
        <w:rPr>
          <w:i/>
          <w:lang w:val="en-US"/>
        </w:rPr>
        <w:t>Ibid.</w:t>
      </w:r>
      <w:r w:rsidRPr="003C438D">
        <w:rPr>
          <w:lang w:val="en-US"/>
        </w:rPr>
        <w:t>, §2</w:t>
      </w:r>
    </w:p>
  </w:footnote>
  <w:footnote w:id="40">
    <w:p w14:paraId="0D7E11DF" w14:textId="2581B15D" w:rsidR="005B1119" w:rsidRPr="003C438D" w:rsidRDefault="005B1119">
      <w:pPr>
        <w:pStyle w:val="Voetnoottekst"/>
        <w:rPr>
          <w:lang w:val="en-US"/>
        </w:rPr>
      </w:pPr>
      <w:r>
        <w:rPr>
          <w:rStyle w:val="Voetnootmarkering"/>
        </w:rPr>
        <w:footnoteRef/>
      </w:r>
      <w:r w:rsidRPr="003C438D">
        <w:rPr>
          <w:lang w:val="en-US"/>
        </w:rPr>
        <w:t xml:space="preserve"> art. 551, §1 </w:t>
      </w:r>
      <w:proofErr w:type="spellStart"/>
      <w:r w:rsidRPr="003C438D">
        <w:rPr>
          <w:lang w:val="en-US"/>
        </w:rPr>
        <w:t>Ger.W</w:t>
      </w:r>
      <w:proofErr w:type="spellEnd"/>
      <w:r w:rsidRPr="003C438D">
        <w:rPr>
          <w:lang w:val="en-US"/>
        </w:rPr>
        <w:t>.</w:t>
      </w:r>
    </w:p>
  </w:footnote>
  <w:footnote w:id="41">
    <w:p w14:paraId="18ADC11D" w14:textId="51589B99" w:rsidR="005B1119" w:rsidRPr="003C438D" w:rsidRDefault="005B1119">
      <w:pPr>
        <w:pStyle w:val="Voetnoottekst"/>
        <w:rPr>
          <w:lang w:val="en-US"/>
        </w:rPr>
      </w:pPr>
      <w:r>
        <w:rPr>
          <w:rStyle w:val="Voetnootmarkering"/>
        </w:rPr>
        <w:footnoteRef/>
      </w:r>
      <w:r w:rsidRPr="003C438D">
        <w:rPr>
          <w:lang w:val="en-US"/>
        </w:rPr>
        <w:t xml:space="preserve"> art. 552 </w:t>
      </w:r>
      <w:proofErr w:type="spellStart"/>
      <w:r w:rsidRPr="003C438D">
        <w:rPr>
          <w:lang w:val="en-US"/>
        </w:rPr>
        <w:t>Ger.W</w:t>
      </w:r>
      <w:proofErr w:type="spellEnd"/>
      <w:r w:rsidRPr="003C438D">
        <w:rPr>
          <w:lang w:val="en-US"/>
        </w:rPr>
        <w:t>.</w:t>
      </w:r>
    </w:p>
  </w:footnote>
  <w:footnote w:id="42">
    <w:p w14:paraId="44CDA21D" w14:textId="21AA5086" w:rsidR="005B1119" w:rsidRPr="003C438D" w:rsidRDefault="005B1119">
      <w:pPr>
        <w:pStyle w:val="Voetnoottekst"/>
        <w:rPr>
          <w:lang w:val="en-US"/>
        </w:rPr>
      </w:pPr>
      <w:r>
        <w:rPr>
          <w:rStyle w:val="Voetnootmarkering"/>
        </w:rPr>
        <w:footnoteRef/>
      </w:r>
      <w:r w:rsidRPr="003C438D">
        <w:rPr>
          <w:lang w:val="en-US"/>
        </w:rPr>
        <w:t xml:space="preserve"> art. 553, §2 </w:t>
      </w:r>
      <w:proofErr w:type="spellStart"/>
      <w:r w:rsidRPr="003C438D">
        <w:rPr>
          <w:lang w:val="en-US"/>
        </w:rPr>
        <w:t>Ger.W</w:t>
      </w:r>
      <w:proofErr w:type="spellEnd"/>
      <w:r w:rsidRPr="003C438D">
        <w:rPr>
          <w:lang w:val="en-US"/>
        </w:rPr>
        <w:t>.</w:t>
      </w:r>
    </w:p>
  </w:footnote>
  <w:footnote w:id="43">
    <w:p w14:paraId="327F4528" w14:textId="2E163875" w:rsidR="005B1119" w:rsidRPr="00C075E7" w:rsidRDefault="005B1119">
      <w:pPr>
        <w:pStyle w:val="Voetnoottekst"/>
        <w:rPr>
          <w:lang w:val="nl-BE"/>
        </w:rPr>
      </w:pPr>
      <w:r>
        <w:rPr>
          <w:rStyle w:val="Voetnootmarkering"/>
        </w:rPr>
        <w:footnoteRef/>
      </w:r>
      <w:r>
        <w:t xml:space="preserve"> </w:t>
      </w:r>
      <w:r>
        <w:rPr>
          <w:lang w:val="nl-BE"/>
        </w:rPr>
        <w:t>art. 555/1, §1, 21° Ger.W.</w:t>
      </w:r>
    </w:p>
  </w:footnote>
  <w:footnote w:id="44">
    <w:p w14:paraId="7B0C371F" w14:textId="419BFDC2" w:rsidR="005B1119" w:rsidRPr="009F5291" w:rsidRDefault="005B1119">
      <w:pPr>
        <w:pStyle w:val="Voetnoottekst"/>
        <w:rPr>
          <w:lang w:val="nl-BE"/>
        </w:rPr>
      </w:pPr>
      <w:r>
        <w:rPr>
          <w:rStyle w:val="Voetnootmarkering"/>
        </w:rPr>
        <w:footnoteRef/>
      </w:r>
      <w:r>
        <w:t xml:space="preserve"> </w:t>
      </w:r>
      <w:r>
        <w:rPr>
          <w:lang w:val="nl-BE"/>
        </w:rPr>
        <w:t>hierna: NKGB</w:t>
      </w:r>
    </w:p>
  </w:footnote>
  <w:footnote w:id="45">
    <w:p w14:paraId="2FCEC212" w14:textId="77E09394" w:rsidR="005B1119" w:rsidRPr="00AB4C14" w:rsidRDefault="005B1119">
      <w:pPr>
        <w:pStyle w:val="Voetnoottekst"/>
        <w:rPr>
          <w:lang w:val="nl-BE"/>
        </w:rPr>
      </w:pPr>
      <w:r>
        <w:rPr>
          <w:rStyle w:val="Voetnootmarkering"/>
        </w:rPr>
        <w:footnoteRef/>
      </w:r>
      <w:r>
        <w:t xml:space="preserve"> </w:t>
      </w:r>
      <w:r>
        <w:rPr>
          <w:lang w:val="nl-BE"/>
        </w:rPr>
        <w:t>art. 555, §1 Ger.W.</w:t>
      </w:r>
    </w:p>
  </w:footnote>
  <w:footnote w:id="46">
    <w:p w14:paraId="4A142DBC" w14:textId="3677D413" w:rsidR="005B1119" w:rsidRPr="00AB4C14" w:rsidRDefault="005B1119">
      <w:pPr>
        <w:pStyle w:val="Voetnoottekst"/>
        <w:rPr>
          <w:lang w:val="nl-BE"/>
        </w:rPr>
      </w:pPr>
      <w:r>
        <w:rPr>
          <w:rStyle w:val="Voetnootmarkering"/>
        </w:rPr>
        <w:footnoteRef/>
      </w:r>
      <w:r>
        <w:t xml:space="preserve"> </w:t>
      </w:r>
      <w:r>
        <w:rPr>
          <w:i/>
          <w:lang w:val="nl-BE"/>
        </w:rPr>
        <w:t>Ibid.</w:t>
      </w:r>
      <w:r>
        <w:rPr>
          <w:lang w:val="nl-BE"/>
        </w:rPr>
        <w:t>, §2</w:t>
      </w:r>
    </w:p>
  </w:footnote>
  <w:footnote w:id="47">
    <w:p w14:paraId="38246CB5" w14:textId="25EC9B60" w:rsidR="005B1119" w:rsidRPr="004B3DFC" w:rsidRDefault="005B1119">
      <w:pPr>
        <w:pStyle w:val="Voetnoottekst"/>
        <w:rPr>
          <w:lang w:val="nl-BE"/>
        </w:rPr>
      </w:pPr>
      <w:r>
        <w:rPr>
          <w:rStyle w:val="Voetnootmarkering"/>
        </w:rPr>
        <w:footnoteRef/>
      </w:r>
      <w:r>
        <w:t xml:space="preserve"> </w:t>
      </w:r>
      <w:r>
        <w:rPr>
          <w:i/>
          <w:lang w:val="nl-BE"/>
        </w:rPr>
        <w:t>Ibid.</w:t>
      </w:r>
      <w:r>
        <w:rPr>
          <w:lang w:val="nl-BE"/>
        </w:rPr>
        <w:t>, §3, eerste lid</w:t>
      </w:r>
    </w:p>
  </w:footnote>
  <w:footnote w:id="48">
    <w:p w14:paraId="75416897" w14:textId="01117D1B" w:rsidR="005B1119" w:rsidRPr="004B3DFC" w:rsidRDefault="005B1119">
      <w:pPr>
        <w:pStyle w:val="Voetnoottekst"/>
        <w:rPr>
          <w:lang w:val="nl-BE"/>
        </w:rPr>
      </w:pPr>
      <w:r>
        <w:rPr>
          <w:rStyle w:val="Voetnootmarkering"/>
        </w:rPr>
        <w:footnoteRef/>
      </w:r>
      <w:r>
        <w:t xml:space="preserve"> </w:t>
      </w:r>
      <w:r>
        <w:rPr>
          <w:i/>
          <w:lang w:val="nl-BE"/>
        </w:rPr>
        <w:t>Ibid.</w:t>
      </w:r>
      <w:r>
        <w:rPr>
          <w:lang w:val="nl-BE"/>
        </w:rPr>
        <w:t>, tweede lid</w:t>
      </w:r>
    </w:p>
  </w:footnote>
  <w:footnote w:id="49">
    <w:p w14:paraId="69CD5E88" w14:textId="0C5B4B59" w:rsidR="005B1119" w:rsidRPr="009E0146" w:rsidRDefault="005B1119">
      <w:pPr>
        <w:pStyle w:val="Voetnoottekst"/>
        <w:rPr>
          <w:lang w:val="nl-BE"/>
        </w:rPr>
      </w:pPr>
      <w:r>
        <w:rPr>
          <w:rStyle w:val="Voetnootmarkering"/>
        </w:rPr>
        <w:footnoteRef/>
      </w:r>
      <w:r>
        <w:t xml:space="preserve"> </w:t>
      </w:r>
      <w:r>
        <w:rPr>
          <w:i/>
          <w:lang w:val="nl-BE"/>
        </w:rPr>
        <w:t>Ibid.</w:t>
      </w:r>
      <w:r>
        <w:rPr>
          <w:lang w:val="nl-BE"/>
        </w:rPr>
        <w:t>, §4</w:t>
      </w:r>
    </w:p>
  </w:footnote>
  <w:footnote w:id="50">
    <w:p w14:paraId="7353F7E6" w14:textId="3881210D" w:rsidR="005B1119" w:rsidRPr="00D478C4" w:rsidRDefault="005B1119">
      <w:pPr>
        <w:pStyle w:val="Voetnoottekst"/>
        <w:rPr>
          <w:lang w:val="nl-BE"/>
        </w:rPr>
      </w:pPr>
      <w:r>
        <w:rPr>
          <w:rStyle w:val="Voetnootmarkering"/>
        </w:rPr>
        <w:footnoteRef/>
      </w:r>
      <w:r>
        <w:t xml:space="preserve"> art. 550 en 552 </w:t>
      </w:r>
      <w:proofErr w:type="spellStart"/>
      <w:r>
        <w:t>Ger.W</w:t>
      </w:r>
      <w:proofErr w:type="spellEnd"/>
      <w:r>
        <w:t>.</w:t>
      </w:r>
    </w:p>
  </w:footnote>
  <w:footnote w:id="51">
    <w:p w14:paraId="22B59E21" w14:textId="1DFEB088" w:rsidR="005B1119" w:rsidRPr="008079F2" w:rsidRDefault="005B1119">
      <w:pPr>
        <w:pStyle w:val="Voetnoottekst"/>
        <w:rPr>
          <w:lang w:val="nl-BE"/>
        </w:rPr>
      </w:pPr>
      <w:r>
        <w:rPr>
          <w:rStyle w:val="Voetnootmarkering"/>
        </w:rPr>
        <w:footnoteRef/>
      </w:r>
      <w:r>
        <w:t xml:space="preserve"> art. 555/1 </w:t>
      </w:r>
      <w:proofErr w:type="spellStart"/>
      <w:r>
        <w:t>Ger.W</w:t>
      </w:r>
      <w:proofErr w:type="spellEnd"/>
      <w:r>
        <w:t>.</w:t>
      </w:r>
    </w:p>
  </w:footnote>
  <w:footnote w:id="52">
    <w:p w14:paraId="27AA6698" w14:textId="4649F5AD" w:rsidR="005B1119" w:rsidRPr="00E00130" w:rsidRDefault="005B1119">
      <w:pPr>
        <w:pStyle w:val="Voetnoottekst"/>
      </w:pPr>
      <w:r>
        <w:rPr>
          <w:rStyle w:val="Voetnootmarkering"/>
        </w:rPr>
        <w:footnoteRef/>
      </w:r>
      <w:r>
        <w:t xml:space="preserve"> zie </w:t>
      </w:r>
      <w:r>
        <w:rPr>
          <w:i/>
        </w:rPr>
        <w:t xml:space="preserve">infra, </w:t>
      </w:r>
      <w:proofErr w:type="spellStart"/>
      <w:r>
        <w:t>nrs</w:t>
      </w:r>
      <w:proofErr w:type="spellEnd"/>
      <w:r>
        <w:t>. 31 en 60.</w:t>
      </w:r>
    </w:p>
  </w:footnote>
  <w:footnote w:id="53">
    <w:p w14:paraId="040B04F3" w14:textId="16F38F56" w:rsidR="005B1119" w:rsidRPr="00490822" w:rsidRDefault="005B1119">
      <w:pPr>
        <w:pStyle w:val="Voetnoottekst"/>
        <w:rPr>
          <w:lang w:val="nl-BE"/>
        </w:rPr>
      </w:pPr>
      <w:r>
        <w:rPr>
          <w:rStyle w:val="Voetnootmarkering"/>
        </w:rPr>
        <w:footnoteRef/>
      </w:r>
      <w:r>
        <w:t xml:space="preserve"> </w:t>
      </w:r>
      <w:r>
        <w:rPr>
          <w:lang w:val="nl-BE"/>
        </w:rPr>
        <w:t xml:space="preserve">Mvt, </w:t>
      </w:r>
      <w:r>
        <w:rPr>
          <w:i/>
          <w:lang w:val="nl-BE"/>
        </w:rPr>
        <w:t xml:space="preserve">Parl.St. </w:t>
      </w:r>
      <w:r>
        <w:rPr>
          <w:lang w:val="nl-BE"/>
        </w:rPr>
        <w:t>Kamer 2012-2013, nr. 53-2937/001, 4-7.</w:t>
      </w:r>
    </w:p>
  </w:footnote>
  <w:footnote w:id="54">
    <w:p w14:paraId="3F3759F6" w14:textId="4907CC3E" w:rsidR="005B1119" w:rsidRPr="001741FE" w:rsidRDefault="005B1119">
      <w:pPr>
        <w:pStyle w:val="Voetnoottekst"/>
        <w:rPr>
          <w:lang w:val="nl-BE"/>
        </w:rPr>
      </w:pPr>
      <w:r>
        <w:rPr>
          <w:rStyle w:val="Voetnootmarkering"/>
        </w:rPr>
        <w:footnoteRef/>
      </w:r>
      <w:r>
        <w:t xml:space="preserve"> </w:t>
      </w:r>
      <w:r>
        <w:rPr>
          <w:lang w:val="nl-BE"/>
        </w:rPr>
        <w:t xml:space="preserve">art. 7 e.v. KB van 30 juni 1993 betreffende de stage voor kandidaat-gerechtsdeurwaarders en de homologatie van die stage, </w:t>
      </w:r>
      <w:r>
        <w:rPr>
          <w:i/>
          <w:lang w:val="nl-BE"/>
        </w:rPr>
        <w:t xml:space="preserve">BS </w:t>
      </w:r>
      <w:r>
        <w:rPr>
          <w:lang w:val="nl-BE"/>
        </w:rPr>
        <w:t>30 juli 1993.</w:t>
      </w:r>
    </w:p>
  </w:footnote>
  <w:footnote w:id="55">
    <w:p w14:paraId="6479E249" w14:textId="6A7C8775" w:rsidR="005B1119" w:rsidRPr="00C20B68" w:rsidRDefault="005B1119">
      <w:pPr>
        <w:pStyle w:val="Voetnoottekst"/>
        <w:rPr>
          <w:lang w:val="nl-BE"/>
        </w:rPr>
      </w:pPr>
      <w:r>
        <w:rPr>
          <w:rStyle w:val="Voetnootmarkering"/>
        </w:rPr>
        <w:footnoteRef/>
      </w:r>
      <w:r>
        <w:t xml:space="preserve"> </w:t>
      </w:r>
      <w:r>
        <w:rPr>
          <w:lang w:val="nl-BE"/>
        </w:rPr>
        <w:t xml:space="preserve">P. FLAMEY en G. VERHELST, </w:t>
      </w:r>
      <w:r>
        <w:rPr>
          <w:i/>
          <w:lang w:val="nl-BE"/>
        </w:rPr>
        <w:t xml:space="preserve">Nieuw statuut gerechtsdeurwaarder. Benoemingsprocedure, met een terugblik op recente rechtspraak van de Raad van State, </w:t>
      </w:r>
      <w:r>
        <w:rPr>
          <w:lang w:val="nl-BE"/>
        </w:rPr>
        <w:t>NJW 2016, nr. 345, 512.</w:t>
      </w:r>
    </w:p>
  </w:footnote>
  <w:footnote w:id="56">
    <w:p w14:paraId="2D771A75" w14:textId="2E3C924C" w:rsidR="005B1119" w:rsidRPr="00427FE0" w:rsidRDefault="005B1119">
      <w:pPr>
        <w:pStyle w:val="Voetnoottekst"/>
        <w:rPr>
          <w:lang w:val="nl-BE"/>
        </w:rPr>
      </w:pPr>
      <w:r>
        <w:rPr>
          <w:rStyle w:val="Voetnootmarkering"/>
        </w:rPr>
        <w:footnoteRef/>
      </w:r>
      <w:r>
        <w:t xml:space="preserve"> </w:t>
      </w:r>
      <w:r>
        <w:rPr>
          <w:lang w:val="nl-BE"/>
        </w:rPr>
        <w:t>oud art. 512 Ger.W.</w:t>
      </w:r>
    </w:p>
  </w:footnote>
  <w:footnote w:id="57">
    <w:p w14:paraId="7B2E6DC9" w14:textId="48AB30D0" w:rsidR="005B1119" w:rsidRPr="0072536B" w:rsidRDefault="005B1119">
      <w:pPr>
        <w:pStyle w:val="Voetnoottekst"/>
        <w:rPr>
          <w:lang w:val="nl-BE"/>
        </w:rPr>
      </w:pPr>
      <w:r>
        <w:rPr>
          <w:rStyle w:val="Voetnootmarkering"/>
        </w:rPr>
        <w:footnoteRef/>
      </w:r>
      <w:r>
        <w:t xml:space="preserve"> </w:t>
      </w:r>
      <w:r>
        <w:rPr>
          <w:lang w:val="nl-BE"/>
        </w:rPr>
        <w:t xml:space="preserve">P. FLAMEY en G. VERHELST, </w:t>
      </w:r>
      <w:r>
        <w:rPr>
          <w:i/>
          <w:lang w:val="nl-BE"/>
        </w:rPr>
        <w:t xml:space="preserve">Nieuw statuut gerechtsdeurwaarder. Benoemingsprocedure, met een terugblik op recente rechtspraak van de Raad van State, </w:t>
      </w:r>
      <w:r>
        <w:rPr>
          <w:lang w:val="nl-BE"/>
        </w:rPr>
        <w:t>NJW 2016, nr. 345, 512.</w:t>
      </w:r>
    </w:p>
  </w:footnote>
  <w:footnote w:id="58">
    <w:p w14:paraId="16717E21" w14:textId="18CE9808" w:rsidR="005B1119" w:rsidRPr="00976F77" w:rsidRDefault="005B1119">
      <w:pPr>
        <w:pStyle w:val="Voetnoottekst"/>
        <w:rPr>
          <w:lang w:val="nl-BE"/>
        </w:rPr>
      </w:pPr>
      <w:r>
        <w:rPr>
          <w:rStyle w:val="Voetnootmarkering"/>
        </w:rPr>
        <w:footnoteRef/>
      </w:r>
      <w:r>
        <w:t xml:space="preserve"> </w:t>
      </w:r>
      <w:r>
        <w:rPr>
          <w:lang w:val="nl-BE"/>
        </w:rPr>
        <w:t>RvS (11</w:t>
      </w:r>
      <w:r w:rsidRPr="007F1A3A">
        <w:rPr>
          <w:vertAlign w:val="superscript"/>
          <w:lang w:val="nl-BE"/>
        </w:rPr>
        <w:t>e</w:t>
      </w:r>
      <w:r>
        <w:rPr>
          <w:lang w:val="nl-BE"/>
        </w:rPr>
        <w:t xml:space="preserve"> k.) 14 juni 2010, nr. 205.149, 5-6.</w:t>
      </w:r>
    </w:p>
  </w:footnote>
  <w:footnote w:id="59">
    <w:p w14:paraId="7B2DB00D" w14:textId="22FC5240" w:rsidR="005B1119" w:rsidRPr="00432457" w:rsidRDefault="005B1119">
      <w:pPr>
        <w:pStyle w:val="Voetnoottekst"/>
        <w:rPr>
          <w:lang w:val="nl-BE"/>
        </w:rPr>
      </w:pPr>
      <w:r>
        <w:rPr>
          <w:rStyle w:val="Voetnootmarkering"/>
        </w:rPr>
        <w:footnoteRef/>
      </w:r>
      <w:r>
        <w:t xml:space="preserve"> </w:t>
      </w:r>
      <w:r>
        <w:rPr>
          <w:lang w:val="nl-BE"/>
        </w:rPr>
        <w:t>oud art. 512, §2 Ger.W.</w:t>
      </w:r>
    </w:p>
  </w:footnote>
  <w:footnote w:id="60">
    <w:p w14:paraId="59DE9074" w14:textId="129D26C3" w:rsidR="005B1119" w:rsidRPr="009D72F1" w:rsidRDefault="005B1119">
      <w:pPr>
        <w:pStyle w:val="Voetnoottekst"/>
        <w:rPr>
          <w:lang w:val="nl-BE"/>
        </w:rPr>
      </w:pPr>
      <w:r>
        <w:rPr>
          <w:rStyle w:val="Voetnootmarkering"/>
        </w:rPr>
        <w:footnoteRef/>
      </w:r>
      <w:r>
        <w:t xml:space="preserve"> </w:t>
      </w:r>
      <w:r>
        <w:rPr>
          <w:lang w:val="nl-BE"/>
        </w:rPr>
        <w:t>oud art. 512, §§ 3 en 4 Ger.W.</w:t>
      </w:r>
    </w:p>
  </w:footnote>
  <w:footnote w:id="61">
    <w:p w14:paraId="33D207FB" w14:textId="3F5C7565" w:rsidR="005B1119" w:rsidRPr="00432457" w:rsidRDefault="005B1119">
      <w:pPr>
        <w:pStyle w:val="Voetnoottekst"/>
        <w:rPr>
          <w:lang w:val="nl-BE"/>
        </w:rPr>
      </w:pPr>
      <w:r>
        <w:rPr>
          <w:rStyle w:val="Voetnootmarkering"/>
        </w:rPr>
        <w:footnoteRef/>
      </w:r>
      <w:r>
        <w:t xml:space="preserve"> </w:t>
      </w:r>
      <w:r>
        <w:rPr>
          <w:lang w:val="nl-BE"/>
        </w:rPr>
        <w:t xml:space="preserve">P. FLAMEY en G. VERHELST, </w:t>
      </w:r>
      <w:r>
        <w:rPr>
          <w:i/>
          <w:lang w:val="nl-BE"/>
        </w:rPr>
        <w:t xml:space="preserve">Nieuw statuut gerechtsdeurwaarder. Benoemingsprocedure, met een terugblik op recente rechtspraak van de Raad van State, </w:t>
      </w:r>
      <w:r>
        <w:rPr>
          <w:lang w:val="nl-BE"/>
        </w:rPr>
        <w:t>NJW 2016, nr. 345, 512.</w:t>
      </w:r>
    </w:p>
  </w:footnote>
  <w:footnote w:id="62">
    <w:p w14:paraId="04F93AEC" w14:textId="59107F7A" w:rsidR="005B1119" w:rsidRPr="00432457" w:rsidRDefault="005B1119">
      <w:pPr>
        <w:pStyle w:val="Voetnoottekst"/>
        <w:rPr>
          <w:lang w:val="nl-BE"/>
        </w:rPr>
      </w:pPr>
      <w:r>
        <w:rPr>
          <w:rStyle w:val="Voetnootmarkering"/>
        </w:rPr>
        <w:footnoteRef/>
      </w:r>
      <w:r>
        <w:t xml:space="preserve"> J. DUJARDIN, J. VANDE LANOTTE, J. GOOSSENS en G. GOEDERTIER, </w:t>
      </w:r>
      <w:r>
        <w:rPr>
          <w:i/>
        </w:rPr>
        <w:t xml:space="preserve">Basisbegrippen publiekrecht, </w:t>
      </w:r>
      <w:r>
        <w:t xml:space="preserve">Brugge, die </w:t>
      </w:r>
      <w:proofErr w:type="spellStart"/>
      <w:r>
        <w:t>Keure</w:t>
      </w:r>
      <w:proofErr w:type="spellEnd"/>
      <w:r>
        <w:t>, 2014, 275.</w:t>
      </w:r>
    </w:p>
  </w:footnote>
  <w:footnote w:id="63">
    <w:p w14:paraId="78610EF7" w14:textId="6E3B9A95" w:rsidR="005B1119" w:rsidRPr="004669BA" w:rsidRDefault="005B1119">
      <w:pPr>
        <w:pStyle w:val="Voetnoottekst"/>
        <w:rPr>
          <w:lang w:val="nl-BE"/>
        </w:rPr>
      </w:pPr>
      <w:r>
        <w:rPr>
          <w:rStyle w:val="Voetnootmarkering"/>
        </w:rPr>
        <w:footnoteRef/>
      </w:r>
      <w:r w:rsidRPr="004669BA">
        <w:rPr>
          <w:lang w:val="nl-BE"/>
        </w:rPr>
        <w:t xml:space="preserve"> </w:t>
      </w:r>
      <w:r w:rsidRPr="004669BA">
        <w:rPr>
          <w:i/>
          <w:lang w:val="nl-BE"/>
        </w:rPr>
        <w:t>Ibid.</w:t>
      </w:r>
      <w:r w:rsidRPr="004669BA">
        <w:rPr>
          <w:lang w:val="nl-BE"/>
        </w:rPr>
        <w:t>, 273.</w:t>
      </w:r>
    </w:p>
  </w:footnote>
  <w:footnote w:id="64">
    <w:p w14:paraId="605FB79A" w14:textId="6BD88ACA" w:rsidR="005B1119" w:rsidRPr="00D15916" w:rsidRDefault="005B1119">
      <w:pPr>
        <w:pStyle w:val="Voetnoottekst"/>
        <w:rPr>
          <w:lang w:val="nl-BE"/>
        </w:rPr>
      </w:pPr>
      <w:r>
        <w:rPr>
          <w:rStyle w:val="Voetnootmarkering"/>
        </w:rPr>
        <w:footnoteRef/>
      </w:r>
      <w:r w:rsidRPr="00D15916">
        <w:rPr>
          <w:lang w:val="nl-BE"/>
        </w:rPr>
        <w:t xml:space="preserve"> RvS (11</w:t>
      </w:r>
      <w:r w:rsidRPr="00D15916">
        <w:rPr>
          <w:vertAlign w:val="superscript"/>
          <w:lang w:val="nl-BE"/>
        </w:rPr>
        <w:t>e</w:t>
      </w:r>
      <w:r w:rsidRPr="00D15916">
        <w:rPr>
          <w:lang w:val="nl-BE"/>
        </w:rPr>
        <w:t xml:space="preserve"> k.) 14 juni 2010, nr. 205.149, Flocque, </w:t>
      </w:r>
      <w:r>
        <w:rPr>
          <w:i/>
          <w:lang w:val="nl-BE"/>
        </w:rPr>
        <w:t xml:space="preserve">, </w:t>
      </w:r>
      <w:r>
        <w:rPr>
          <w:lang w:val="nl-BE"/>
        </w:rPr>
        <w:t>NJW 2016, nr. 345, 512, noot P. FLAMEY en G. VERHELST</w:t>
      </w:r>
      <w:r w:rsidRPr="00D15916">
        <w:rPr>
          <w:lang w:val="nl-BE"/>
        </w:rPr>
        <w:t>.</w:t>
      </w:r>
    </w:p>
  </w:footnote>
  <w:footnote w:id="65">
    <w:p w14:paraId="10C23E50" w14:textId="226A1488" w:rsidR="005B1119" w:rsidRPr="007F1A3A" w:rsidRDefault="005B1119">
      <w:pPr>
        <w:pStyle w:val="Voetnoottekst"/>
        <w:rPr>
          <w:lang w:val="nl-BE"/>
        </w:rPr>
      </w:pPr>
      <w:r>
        <w:rPr>
          <w:rStyle w:val="Voetnootmarkering"/>
        </w:rPr>
        <w:footnoteRef/>
      </w:r>
      <w:r>
        <w:t xml:space="preserve"> RvS (9</w:t>
      </w:r>
      <w:r w:rsidRPr="00C11972">
        <w:rPr>
          <w:vertAlign w:val="superscript"/>
        </w:rPr>
        <w:t>e</w:t>
      </w:r>
      <w:r>
        <w:t xml:space="preserve"> k.) 15 juli 2011, nr. 214.647, Verstraeten; RvS (9</w:t>
      </w:r>
      <w:r w:rsidRPr="00C11972">
        <w:rPr>
          <w:vertAlign w:val="superscript"/>
        </w:rPr>
        <w:t>e</w:t>
      </w:r>
      <w:r>
        <w:t xml:space="preserve"> k.) 15 juli 2011, nr. 214.649, De </w:t>
      </w:r>
      <w:proofErr w:type="spellStart"/>
      <w:r>
        <w:t>Troij</w:t>
      </w:r>
      <w:proofErr w:type="spellEnd"/>
      <w:r>
        <w:t>; RvS (9</w:t>
      </w:r>
      <w:r w:rsidRPr="00C11972">
        <w:rPr>
          <w:vertAlign w:val="superscript"/>
        </w:rPr>
        <w:t>e</w:t>
      </w:r>
      <w:r>
        <w:t xml:space="preserve"> k.) 15 juli 2011, nr. 214.651, Somers.</w:t>
      </w:r>
    </w:p>
  </w:footnote>
  <w:footnote w:id="66">
    <w:p w14:paraId="22A89739" w14:textId="62F39A01" w:rsidR="005B1119" w:rsidRPr="00C11972" w:rsidRDefault="005B1119">
      <w:pPr>
        <w:pStyle w:val="Voetnoottekst"/>
        <w:rPr>
          <w:lang w:val="nl-BE"/>
        </w:rPr>
      </w:pPr>
      <w:r>
        <w:rPr>
          <w:rStyle w:val="Voetnootmarkering"/>
        </w:rPr>
        <w:footnoteRef/>
      </w:r>
      <w:r>
        <w:t xml:space="preserve"> </w:t>
      </w:r>
      <w:r>
        <w:rPr>
          <w:lang w:val="nl-BE"/>
        </w:rPr>
        <w:t>RvS (Alg. Verg.) 18 januari 2013, nr. 222.142, Van den Eede.</w:t>
      </w:r>
    </w:p>
  </w:footnote>
  <w:footnote w:id="67">
    <w:p w14:paraId="3059976F" w14:textId="457F520E" w:rsidR="005B1119" w:rsidRPr="00E6248A" w:rsidRDefault="005B1119">
      <w:pPr>
        <w:pStyle w:val="Voetnoottekst"/>
        <w:rPr>
          <w:lang w:val="nl-BE"/>
        </w:rPr>
      </w:pPr>
      <w:r>
        <w:rPr>
          <w:rStyle w:val="Voetnootmarkering"/>
        </w:rPr>
        <w:footnoteRef/>
      </w:r>
      <w:r>
        <w:t xml:space="preserve"> </w:t>
      </w:r>
      <w:r>
        <w:rPr>
          <w:lang w:val="nl-BE"/>
        </w:rPr>
        <w:t xml:space="preserve">P. LOMBARDI, </w:t>
      </w:r>
      <w:r>
        <w:rPr>
          <w:i/>
          <w:lang w:val="nl-BE"/>
        </w:rPr>
        <w:t xml:space="preserve">Nieuw statuut voor gerechtsdeurwaarders, </w:t>
      </w:r>
      <w:r>
        <w:rPr>
          <w:lang w:val="nl-BE"/>
        </w:rPr>
        <w:t>DJK 2014, nr. 281, 6.</w:t>
      </w:r>
    </w:p>
  </w:footnote>
  <w:footnote w:id="68">
    <w:p w14:paraId="4E5E9411" w14:textId="0F8AE29B" w:rsidR="005B1119" w:rsidRPr="00402313" w:rsidRDefault="005B1119">
      <w:pPr>
        <w:pStyle w:val="Voetnoottekst"/>
      </w:pPr>
      <w:r>
        <w:rPr>
          <w:rStyle w:val="Voetnootmarkering"/>
        </w:rPr>
        <w:footnoteRef/>
      </w:r>
      <w:r>
        <w:t xml:space="preserve"> Wetsvoorstel (R. LANDUYT) tot wijziging van het Gerechtelijk Wetboek tot invoering van een objectieve regeling voor de benoeming van gerechtsdeurwaarders, </w:t>
      </w:r>
      <w:proofErr w:type="spellStart"/>
      <w:r>
        <w:rPr>
          <w:i/>
        </w:rPr>
        <w:t>Parl.St</w:t>
      </w:r>
      <w:proofErr w:type="spellEnd"/>
      <w:r>
        <w:rPr>
          <w:i/>
        </w:rPr>
        <w:t xml:space="preserve">. </w:t>
      </w:r>
      <w:r>
        <w:t>Kamer 1995-1996, nr. 49-0390/001, 4.</w:t>
      </w:r>
    </w:p>
  </w:footnote>
  <w:footnote w:id="69">
    <w:p w14:paraId="67A0679C" w14:textId="7C15BB60" w:rsidR="005B1119" w:rsidRDefault="005B1119">
      <w:pPr>
        <w:pStyle w:val="Voetnoottekst"/>
        <w:rPr>
          <w:lang w:val="nl-BE"/>
        </w:rPr>
      </w:pPr>
      <w:r>
        <w:rPr>
          <w:rStyle w:val="Voetnootmarkering"/>
        </w:rPr>
        <w:footnoteRef/>
      </w:r>
      <w:r>
        <w:t xml:space="preserve"> </w:t>
      </w:r>
      <w:r>
        <w:rPr>
          <w:lang w:val="nl-BE"/>
        </w:rPr>
        <w:t>Regeerakkoord regering-DI RUPO, 1 december 2011, 140.</w:t>
      </w:r>
    </w:p>
    <w:p w14:paraId="004F44F9" w14:textId="2D627C1C" w:rsidR="005B1119" w:rsidRPr="00BA73CB" w:rsidRDefault="005B1119">
      <w:pPr>
        <w:pStyle w:val="Voetnoottekst"/>
        <w:rPr>
          <w:lang w:val="nl-BE"/>
        </w:rPr>
      </w:pPr>
      <w:r w:rsidRPr="00506471">
        <w:rPr>
          <w:lang w:val="nl-BE"/>
        </w:rPr>
        <w:t>www.dekamer.be/kvvcr/pdf_sections/searchlist/R</w:t>
      </w:r>
      <w:r>
        <w:rPr>
          <w:lang w:val="nl-BE"/>
        </w:rPr>
        <w:t>egeerakkoord_1_december_2011</w:t>
      </w:r>
    </w:p>
  </w:footnote>
  <w:footnote w:id="70">
    <w:p w14:paraId="51078386" w14:textId="551B2809" w:rsidR="005B1119" w:rsidRPr="008D128F" w:rsidRDefault="005B1119">
      <w:pPr>
        <w:pStyle w:val="Voetnoottekst"/>
        <w:rPr>
          <w:lang w:val="nl-BE"/>
        </w:rPr>
      </w:pPr>
      <w:r>
        <w:rPr>
          <w:rStyle w:val="Voetnootmarkering"/>
        </w:rPr>
        <w:footnoteRef/>
      </w:r>
      <w:r>
        <w:t xml:space="preserve"> </w:t>
      </w:r>
      <w:r>
        <w:rPr>
          <w:lang w:val="nl-BE"/>
        </w:rPr>
        <w:t xml:space="preserve">P. FLAMEY en G. VERHELST, </w:t>
      </w:r>
      <w:r>
        <w:rPr>
          <w:i/>
          <w:lang w:val="nl-BE"/>
        </w:rPr>
        <w:t xml:space="preserve">Nieuw statuut gerechtsdeurwaarder. Benoemingsprocedure, met een terugblik op recente rechtspraak van de Raad van State, </w:t>
      </w:r>
      <w:r>
        <w:rPr>
          <w:lang w:val="nl-BE"/>
        </w:rPr>
        <w:t>NJW 2016, nr. 345, 513.</w:t>
      </w:r>
    </w:p>
  </w:footnote>
  <w:footnote w:id="71">
    <w:p w14:paraId="7BAB3B96" w14:textId="02CE6305" w:rsidR="005B1119" w:rsidRPr="00D80194" w:rsidRDefault="005B1119">
      <w:pPr>
        <w:pStyle w:val="Voetnoottekst"/>
      </w:pPr>
      <w:r>
        <w:rPr>
          <w:rStyle w:val="Voetnootmarkering"/>
        </w:rPr>
        <w:footnoteRef/>
      </w:r>
      <w:r>
        <w:t xml:space="preserve"> Omzendbrief nr. 196 van 8 mei 2012, te raadplegen in bijlage 1, p. 45. </w:t>
      </w:r>
    </w:p>
  </w:footnote>
  <w:footnote w:id="72">
    <w:p w14:paraId="42E5A603" w14:textId="0E728E5E" w:rsidR="005B1119" w:rsidRPr="00195763" w:rsidRDefault="005B1119">
      <w:pPr>
        <w:pStyle w:val="Voetnoottekst"/>
      </w:pPr>
      <w:r>
        <w:rPr>
          <w:rStyle w:val="Voetnootmarkering"/>
        </w:rPr>
        <w:footnoteRef/>
      </w:r>
      <w:r>
        <w:t xml:space="preserve"> zie </w:t>
      </w:r>
      <w:r>
        <w:rPr>
          <w:i/>
        </w:rPr>
        <w:t xml:space="preserve">supra, </w:t>
      </w:r>
      <w:r>
        <w:t>nr. 23.</w:t>
      </w:r>
    </w:p>
  </w:footnote>
  <w:footnote w:id="73">
    <w:p w14:paraId="4A6CCBF5" w14:textId="16F14E05" w:rsidR="005B1119" w:rsidRPr="007C238B" w:rsidRDefault="005B1119">
      <w:pPr>
        <w:pStyle w:val="Voetnoottekst"/>
        <w:rPr>
          <w:lang w:val="nl-BE"/>
        </w:rPr>
      </w:pPr>
      <w:r>
        <w:rPr>
          <w:rStyle w:val="Voetnootmarkering"/>
        </w:rPr>
        <w:footnoteRef/>
      </w:r>
      <w:r>
        <w:t xml:space="preserve"> </w:t>
      </w:r>
      <w:r>
        <w:rPr>
          <w:lang w:val="nl-BE"/>
        </w:rPr>
        <w:t xml:space="preserve">P. FLAMEY en G. VERHELST, </w:t>
      </w:r>
      <w:r>
        <w:rPr>
          <w:i/>
          <w:lang w:val="nl-BE"/>
        </w:rPr>
        <w:t xml:space="preserve">Nieuw statuut gerechtsdeurwaarder. Benoemingsprocedure, met een terugblik op recente rechtspraak van de Raad van State, </w:t>
      </w:r>
      <w:r>
        <w:rPr>
          <w:lang w:val="nl-BE"/>
        </w:rPr>
        <w:t>NJW 2016, nr. 345, 515.</w:t>
      </w:r>
    </w:p>
  </w:footnote>
  <w:footnote w:id="74">
    <w:p w14:paraId="51569A3F" w14:textId="69C6EA90" w:rsidR="005B1119" w:rsidRPr="008D128F" w:rsidRDefault="005B1119">
      <w:pPr>
        <w:pStyle w:val="Voetnoottekst"/>
        <w:rPr>
          <w:lang w:val="nl-BE"/>
        </w:rPr>
      </w:pPr>
      <w:r>
        <w:rPr>
          <w:rStyle w:val="Voetnootmarkering"/>
        </w:rPr>
        <w:footnoteRef/>
      </w:r>
      <w:r>
        <w:t xml:space="preserve"> </w:t>
      </w:r>
      <w:r>
        <w:rPr>
          <w:i/>
        </w:rPr>
        <w:t>Ibid.,</w:t>
      </w:r>
      <w:r>
        <w:t xml:space="preserve"> 513-517.</w:t>
      </w:r>
    </w:p>
  </w:footnote>
  <w:footnote w:id="75">
    <w:p w14:paraId="7F3DA218" w14:textId="7A03FF1A" w:rsidR="005B1119" w:rsidRPr="008964A0" w:rsidRDefault="005B1119">
      <w:pPr>
        <w:pStyle w:val="Voetnoottekst"/>
        <w:rPr>
          <w:lang w:val="nl-BE"/>
        </w:rPr>
      </w:pPr>
      <w:r>
        <w:rPr>
          <w:rStyle w:val="Voetnootmarkering"/>
        </w:rPr>
        <w:footnoteRef/>
      </w:r>
      <w:r>
        <w:t xml:space="preserve"> </w:t>
      </w:r>
      <w:r>
        <w:rPr>
          <w:lang w:val="nl-BE"/>
        </w:rPr>
        <w:t xml:space="preserve">G. DE MEYER, </w:t>
      </w:r>
      <w:r>
        <w:rPr>
          <w:i/>
          <w:lang w:val="nl-BE"/>
        </w:rPr>
        <w:t>Het statuut van de gerechtsdeurwaarder in historisch perspectief</w:t>
      </w:r>
      <w:r>
        <w:rPr>
          <w:lang w:val="nl-BE"/>
        </w:rPr>
        <w:t>, onuitg. Masterscriptie Rechten UGent, AJ 2015-2016, 126-129.</w:t>
      </w:r>
    </w:p>
  </w:footnote>
  <w:footnote w:id="76">
    <w:p w14:paraId="4C43A43A" w14:textId="45964672" w:rsidR="005B1119" w:rsidRPr="00D7636D" w:rsidRDefault="005B1119">
      <w:pPr>
        <w:pStyle w:val="Voetnoottekst"/>
        <w:rPr>
          <w:lang w:val="nl-BE"/>
        </w:rPr>
      </w:pPr>
      <w:r>
        <w:rPr>
          <w:rStyle w:val="Voetnootmarkering"/>
        </w:rPr>
        <w:footnoteRef/>
      </w:r>
      <w:r>
        <w:t xml:space="preserve"> </w:t>
      </w:r>
      <w:r>
        <w:rPr>
          <w:lang w:val="nl-BE"/>
        </w:rPr>
        <w:t>art. 512, §1 Ger.W.</w:t>
      </w:r>
    </w:p>
  </w:footnote>
  <w:footnote w:id="77">
    <w:p w14:paraId="617CCE3F" w14:textId="5D62E127" w:rsidR="005B1119" w:rsidRPr="00F83558" w:rsidRDefault="005B1119">
      <w:pPr>
        <w:pStyle w:val="Voetnoottekst"/>
        <w:rPr>
          <w:lang w:val="nl-BE"/>
        </w:rPr>
      </w:pPr>
      <w:r>
        <w:rPr>
          <w:rStyle w:val="Voetnootmarkering"/>
        </w:rPr>
        <w:footnoteRef/>
      </w:r>
      <w:r>
        <w:t xml:space="preserve"> </w:t>
      </w:r>
      <w:r>
        <w:rPr>
          <w:lang w:val="nl-BE"/>
        </w:rPr>
        <w:t>art. 512, §1, tweede lid Ger.W.</w:t>
      </w:r>
    </w:p>
  </w:footnote>
  <w:footnote w:id="78">
    <w:p w14:paraId="67B53ED6" w14:textId="008F9EB5" w:rsidR="005B1119" w:rsidRPr="009A4F59" w:rsidRDefault="005B1119">
      <w:pPr>
        <w:pStyle w:val="Voetnoottekst"/>
        <w:rPr>
          <w:lang w:val="nl-BE"/>
        </w:rPr>
      </w:pPr>
      <w:r>
        <w:rPr>
          <w:rStyle w:val="Voetnootmarkering"/>
        </w:rPr>
        <w:footnoteRef/>
      </w:r>
      <w:r>
        <w:t xml:space="preserve"> </w:t>
      </w:r>
      <w:r>
        <w:rPr>
          <w:lang w:val="nl-BE"/>
        </w:rPr>
        <w:t>art. 512, §2 Ger.W.</w:t>
      </w:r>
    </w:p>
  </w:footnote>
  <w:footnote w:id="79">
    <w:p w14:paraId="53738DF0" w14:textId="3E773745" w:rsidR="005B1119" w:rsidRPr="00C03408" w:rsidRDefault="005B1119">
      <w:pPr>
        <w:pStyle w:val="Voetnoottekst"/>
        <w:rPr>
          <w:lang w:val="nl-BE"/>
        </w:rPr>
      </w:pPr>
      <w:r>
        <w:rPr>
          <w:rStyle w:val="Voetnootmarkering"/>
        </w:rPr>
        <w:footnoteRef/>
      </w:r>
      <w:r>
        <w:t xml:space="preserve"> </w:t>
      </w:r>
      <w:r>
        <w:rPr>
          <w:lang w:val="nl-BE"/>
        </w:rPr>
        <w:t xml:space="preserve">MvT bij wetsontwerp tot wijziging van het statuut van de gerechtsdeurwaarders, </w:t>
      </w:r>
      <w:r>
        <w:rPr>
          <w:i/>
          <w:lang w:val="nl-BE"/>
        </w:rPr>
        <w:t xml:space="preserve">Parl.St. </w:t>
      </w:r>
      <w:r>
        <w:rPr>
          <w:lang w:val="nl-BE"/>
        </w:rPr>
        <w:t xml:space="preserve">Kamer 2012-2013, nr. 53-2937/001, 11. </w:t>
      </w:r>
    </w:p>
  </w:footnote>
  <w:footnote w:id="80">
    <w:p w14:paraId="0AD6887E" w14:textId="5522252B" w:rsidR="005B1119" w:rsidRPr="0079080D" w:rsidRDefault="005B1119">
      <w:pPr>
        <w:pStyle w:val="Voetnoottekst"/>
      </w:pPr>
      <w:r>
        <w:rPr>
          <w:rStyle w:val="Voetnootmarkering"/>
        </w:rPr>
        <w:footnoteRef/>
      </w:r>
      <w:r>
        <w:t xml:space="preserve"> zie </w:t>
      </w:r>
      <w:r>
        <w:rPr>
          <w:i/>
        </w:rPr>
        <w:t xml:space="preserve">supra, </w:t>
      </w:r>
      <w:r>
        <w:t>nr. 25 e.v.</w:t>
      </w:r>
    </w:p>
  </w:footnote>
  <w:footnote w:id="81">
    <w:p w14:paraId="7760F8D0" w14:textId="31FA39CF" w:rsidR="005B1119" w:rsidRPr="009A6076" w:rsidRDefault="005B1119">
      <w:pPr>
        <w:pStyle w:val="Voetnoottekst"/>
        <w:rPr>
          <w:lang w:val="nl-BE"/>
        </w:rPr>
      </w:pPr>
      <w:r>
        <w:rPr>
          <w:rStyle w:val="Voetnootmarkering"/>
        </w:rPr>
        <w:footnoteRef/>
      </w:r>
      <w:r>
        <w:t xml:space="preserve"> </w:t>
      </w:r>
      <w:r>
        <w:rPr>
          <w:lang w:val="nl-BE"/>
        </w:rPr>
        <w:t>art. 512, §6 Ger.W.</w:t>
      </w:r>
    </w:p>
  </w:footnote>
  <w:footnote w:id="82">
    <w:p w14:paraId="1914DD48" w14:textId="1DFEE56B" w:rsidR="005B1119" w:rsidRPr="001D76DD" w:rsidRDefault="005B1119">
      <w:pPr>
        <w:pStyle w:val="Voetnoottekst"/>
        <w:rPr>
          <w:lang w:val="nl-BE"/>
        </w:rPr>
      </w:pPr>
      <w:r>
        <w:rPr>
          <w:rStyle w:val="Voetnootmarkering"/>
        </w:rPr>
        <w:footnoteRef/>
      </w:r>
      <w:r>
        <w:t xml:space="preserve"> art. 119 </w:t>
      </w:r>
      <w:r>
        <w:rPr>
          <w:lang w:val="nl-BE"/>
        </w:rPr>
        <w:t xml:space="preserve">wet van 4 mei 2016 houdende internering en diverse bepalingen inzake Justitie, </w:t>
      </w:r>
      <w:r>
        <w:rPr>
          <w:i/>
          <w:lang w:val="nl-BE"/>
        </w:rPr>
        <w:t xml:space="preserve">BS </w:t>
      </w:r>
      <w:r>
        <w:rPr>
          <w:lang w:val="nl-BE"/>
        </w:rPr>
        <w:t>13 mei 2016</w:t>
      </w:r>
    </w:p>
  </w:footnote>
  <w:footnote w:id="83">
    <w:p w14:paraId="60824BA2" w14:textId="78BDF9CF" w:rsidR="005B1119" w:rsidRPr="003A0F01" w:rsidRDefault="005B1119">
      <w:pPr>
        <w:pStyle w:val="Voetnoottekst"/>
        <w:rPr>
          <w:lang w:val="nl-BE"/>
        </w:rPr>
      </w:pPr>
      <w:r>
        <w:rPr>
          <w:rStyle w:val="Voetnootmarkering"/>
        </w:rPr>
        <w:footnoteRef/>
      </w:r>
      <w:r>
        <w:t xml:space="preserve"> </w:t>
      </w:r>
      <w:r>
        <w:rPr>
          <w:lang w:val="nl-BE"/>
        </w:rPr>
        <w:t xml:space="preserve">MvT bij wetsontwerp tot wijziging van het statuut van de gerechtsdeurwaarders, </w:t>
      </w:r>
      <w:r>
        <w:rPr>
          <w:i/>
          <w:lang w:val="nl-BE"/>
        </w:rPr>
        <w:t xml:space="preserve">Parl.St. </w:t>
      </w:r>
      <w:r>
        <w:rPr>
          <w:lang w:val="nl-BE"/>
        </w:rPr>
        <w:t xml:space="preserve">Kamer 2012-2013, nr. 53-2937/001, 4. </w:t>
      </w:r>
    </w:p>
  </w:footnote>
  <w:footnote w:id="84">
    <w:p w14:paraId="40C423AE" w14:textId="42C0D4A9" w:rsidR="005B1119" w:rsidRPr="000D1EC5" w:rsidRDefault="005B1119">
      <w:pPr>
        <w:pStyle w:val="Voetnoottekst"/>
        <w:rPr>
          <w:lang w:val="nl-BE"/>
        </w:rPr>
      </w:pPr>
      <w:r>
        <w:rPr>
          <w:rStyle w:val="Voetnootmarkering"/>
        </w:rPr>
        <w:footnoteRef/>
      </w:r>
      <w:r>
        <w:t xml:space="preserve"> </w:t>
      </w:r>
      <w:proofErr w:type="spellStart"/>
      <w:r>
        <w:t>artt</w:t>
      </w:r>
      <w:proofErr w:type="spellEnd"/>
      <w:r>
        <w:t xml:space="preserve">. 1-3 wet van 25 </w:t>
      </w:r>
      <w:proofErr w:type="spellStart"/>
      <w:r>
        <w:t>Ventôse</w:t>
      </w:r>
      <w:proofErr w:type="spellEnd"/>
      <w:r>
        <w:t xml:space="preserve"> jaar XI op het notarisambt</w:t>
      </w:r>
    </w:p>
  </w:footnote>
  <w:footnote w:id="85">
    <w:p w14:paraId="43D0C471" w14:textId="0F8761F1" w:rsidR="005B1119" w:rsidRPr="000D1EC5" w:rsidRDefault="005B1119">
      <w:pPr>
        <w:pStyle w:val="Voetnoottekst"/>
        <w:rPr>
          <w:lang w:val="nl-BE"/>
        </w:rPr>
      </w:pPr>
      <w:r>
        <w:rPr>
          <w:rStyle w:val="Voetnootmarkering"/>
        </w:rPr>
        <w:footnoteRef/>
      </w:r>
      <w:r>
        <w:t xml:space="preserve"> </w:t>
      </w:r>
      <w:r>
        <w:rPr>
          <w:i/>
          <w:lang w:val="nl-BE"/>
        </w:rPr>
        <w:t>Ibid</w:t>
      </w:r>
      <w:r>
        <w:rPr>
          <w:lang w:val="nl-BE"/>
        </w:rPr>
        <w:t xml:space="preserve">, art. 31  </w:t>
      </w:r>
    </w:p>
  </w:footnote>
  <w:footnote w:id="86">
    <w:p w14:paraId="1E0BC3F7" w14:textId="15638B05" w:rsidR="005B1119" w:rsidRDefault="005B1119">
      <w:pPr>
        <w:pStyle w:val="Voetnoottekst"/>
      </w:pPr>
      <w:r>
        <w:rPr>
          <w:rStyle w:val="Voetnootmarkering"/>
        </w:rPr>
        <w:footnoteRef/>
      </w:r>
      <w:r>
        <w:t xml:space="preserve"> </w:t>
      </w:r>
      <w:r w:rsidRPr="00D9172E">
        <w:rPr>
          <w:rFonts w:ascii="Calibri" w:hAnsi="Calibri" w:cs="Arial"/>
        </w:rPr>
        <w:t xml:space="preserve">zie </w:t>
      </w:r>
      <w:r w:rsidRPr="00D9172E">
        <w:rPr>
          <w:rFonts w:ascii="Calibri" w:hAnsi="Calibri" w:cs="Arial"/>
          <w:i/>
        </w:rPr>
        <w:t>supra</w:t>
      </w:r>
      <w:r w:rsidRPr="00D9172E">
        <w:rPr>
          <w:rFonts w:ascii="Calibri" w:hAnsi="Calibri" w:cs="Arial"/>
        </w:rPr>
        <w:t>,</w:t>
      </w:r>
      <w:r>
        <w:rPr>
          <w:rFonts w:ascii="Calibri" w:hAnsi="Calibri" w:cs="Arial"/>
          <w:i/>
        </w:rPr>
        <w:t xml:space="preserve"> </w:t>
      </w:r>
      <w:r>
        <w:rPr>
          <w:rFonts w:ascii="Calibri" w:hAnsi="Calibri" w:cs="Arial"/>
        </w:rPr>
        <w:t>nr. 8</w:t>
      </w:r>
    </w:p>
  </w:footnote>
  <w:footnote w:id="87">
    <w:p w14:paraId="5970422F" w14:textId="0F087649" w:rsidR="005B1119" w:rsidRPr="005603C2" w:rsidRDefault="005B1119">
      <w:pPr>
        <w:pStyle w:val="Voetnoottekst"/>
        <w:rPr>
          <w:lang w:val="nl-BE"/>
        </w:rPr>
      </w:pPr>
      <w:r>
        <w:rPr>
          <w:rStyle w:val="Voetnootmarkering"/>
        </w:rPr>
        <w:footnoteRef/>
      </w:r>
      <w:r>
        <w:t xml:space="preserve"> </w:t>
      </w:r>
      <w:r>
        <w:rPr>
          <w:lang w:val="nl-BE"/>
        </w:rPr>
        <w:t>art. 513, §2, tweede lid Ger.W.</w:t>
      </w:r>
    </w:p>
  </w:footnote>
  <w:footnote w:id="88">
    <w:p w14:paraId="16512BE9" w14:textId="717CB380" w:rsidR="005B1119" w:rsidRPr="00E37C82" w:rsidRDefault="005B1119">
      <w:pPr>
        <w:pStyle w:val="Voetnoottekst"/>
        <w:rPr>
          <w:lang w:val="nl-BE"/>
        </w:rPr>
      </w:pPr>
      <w:r>
        <w:rPr>
          <w:rStyle w:val="Voetnootmarkering"/>
        </w:rPr>
        <w:footnoteRef/>
      </w:r>
      <w:r>
        <w:t xml:space="preserve"> </w:t>
      </w:r>
      <w:proofErr w:type="spellStart"/>
      <w:r>
        <w:t>Adv.RvS</w:t>
      </w:r>
      <w:proofErr w:type="spellEnd"/>
      <w:r>
        <w:t xml:space="preserve"> (3</w:t>
      </w:r>
      <w:r w:rsidRPr="00FC151D">
        <w:rPr>
          <w:vertAlign w:val="superscript"/>
        </w:rPr>
        <w:t>e</w:t>
      </w:r>
      <w:r>
        <w:t xml:space="preserve"> k.) 5 juni 2013, nr. 53.258/3, </w:t>
      </w:r>
      <w:r>
        <w:rPr>
          <w:lang w:val="nl-BE"/>
        </w:rPr>
        <w:t xml:space="preserve">wetsontwerp tot wijziging van het statuut van de gerechtsdeurwaarders, </w:t>
      </w:r>
      <w:r>
        <w:rPr>
          <w:i/>
          <w:lang w:val="nl-BE"/>
        </w:rPr>
        <w:t xml:space="preserve">Parl.St. </w:t>
      </w:r>
      <w:r>
        <w:rPr>
          <w:lang w:val="nl-BE"/>
        </w:rPr>
        <w:t>Kamer 2012-2013, nr. 53-2937/001, 66.</w:t>
      </w:r>
    </w:p>
  </w:footnote>
  <w:footnote w:id="89">
    <w:p w14:paraId="1F45E398" w14:textId="676A9B0A" w:rsidR="005B1119" w:rsidRPr="00EA062D" w:rsidRDefault="005B1119">
      <w:pPr>
        <w:pStyle w:val="Voetnoottekst"/>
        <w:rPr>
          <w:lang w:val="nl-BE"/>
        </w:rPr>
      </w:pPr>
      <w:r>
        <w:rPr>
          <w:rStyle w:val="Voetnootmarkering"/>
        </w:rPr>
        <w:footnoteRef/>
      </w:r>
      <w:r>
        <w:t xml:space="preserve"> Verslag over het </w:t>
      </w:r>
      <w:r>
        <w:rPr>
          <w:lang w:val="nl-BE"/>
        </w:rPr>
        <w:t xml:space="preserve">wetsontwerp tot wijziging van het statuut van de gerechtsdeurwaarders, </w:t>
      </w:r>
      <w:r>
        <w:rPr>
          <w:i/>
          <w:lang w:val="nl-BE"/>
        </w:rPr>
        <w:t xml:space="preserve">Parl St. </w:t>
      </w:r>
      <w:r>
        <w:rPr>
          <w:lang w:val="nl-BE"/>
        </w:rPr>
        <w:t>Kamer 2013-2014, nr. 53-2937/006, 28.</w:t>
      </w:r>
    </w:p>
  </w:footnote>
  <w:footnote w:id="90">
    <w:p w14:paraId="6EF1019E" w14:textId="72DD1A67" w:rsidR="005B1119" w:rsidRPr="0079080D" w:rsidRDefault="005B1119">
      <w:pPr>
        <w:pStyle w:val="Voetnoottekst"/>
      </w:pPr>
      <w:r>
        <w:rPr>
          <w:rStyle w:val="Voetnootmarkering"/>
        </w:rPr>
        <w:footnoteRef/>
      </w:r>
      <w:r>
        <w:t xml:space="preserve"> zie </w:t>
      </w:r>
      <w:r>
        <w:rPr>
          <w:i/>
        </w:rPr>
        <w:t xml:space="preserve">infra, </w:t>
      </w:r>
      <w:r>
        <w:t>nr. 75</w:t>
      </w:r>
    </w:p>
  </w:footnote>
  <w:footnote w:id="91">
    <w:p w14:paraId="312D3421" w14:textId="21A96011" w:rsidR="005B1119" w:rsidRPr="00BE486A" w:rsidRDefault="005B1119">
      <w:pPr>
        <w:pStyle w:val="Voetnoottekst"/>
        <w:rPr>
          <w:lang w:val="nl-BE"/>
        </w:rPr>
      </w:pPr>
      <w:r>
        <w:rPr>
          <w:rStyle w:val="Voetnootmarkering"/>
        </w:rPr>
        <w:footnoteRef/>
      </w:r>
      <w:r>
        <w:t xml:space="preserve"> Art. 7 wet van </w:t>
      </w:r>
      <w:r>
        <w:rPr>
          <w:lang w:val="nl-BE"/>
        </w:rPr>
        <w:t>7 januari 2014 tot wijziging van het statuut van de gerechtsdeurwaarders</w:t>
      </w:r>
    </w:p>
  </w:footnote>
  <w:footnote w:id="92">
    <w:p w14:paraId="0118944F" w14:textId="638E09BC" w:rsidR="005B1119" w:rsidRPr="00BE486A" w:rsidRDefault="005B1119">
      <w:pPr>
        <w:pStyle w:val="Voetnoottekst"/>
        <w:rPr>
          <w:lang w:val="nl-BE"/>
        </w:rPr>
      </w:pPr>
      <w:r>
        <w:rPr>
          <w:rStyle w:val="Voetnootmarkering"/>
        </w:rPr>
        <w:footnoteRef/>
      </w:r>
      <w:r>
        <w:t xml:space="preserve"> </w:t>
      </w:r>
      <w:r>
        <w:rPr>
          <w:i/>
          <w:lang w:val="nl-BE"/>
        </w:rPr>
        <w:t>Ibid.</w:t>
      </w:r>
      <w:r>
        <w:rPr>
          <w:lang w:val="nl-BE"/>
        </w:rPr>
        <w:t>, art. 9</w:t>
      </w:r>
    </w:p>
  </w:footnote>
  <w:footnote w:id="93">
    <w:p w14:paraId="1B2C4268" w14:textId="5E445F1D" w:rsidR="005B1119" w:rsidRDefault="005B1119" w:rsidP="00E425C7">
      <w:r>
        <w:rPr>
          <w:rStyle w:val="Voetnootmarkering"/>
        </w:rPr>
        <w:footnoteRef/>
      </w:r>
      <w:r>
        <w:t xml:space="preserve"> F. </w:t>
      </w:r>
      <w:r w:rsidRPr="000D24D7">
        <w:t xml:space="preserve">VAN DESSEL, </w:t>
      </w:r>
      <w:r w:rsidRPr="00965774">
        <w:rPr>
          <w:i/>
        </w:rPr>
        <w:t>Enkele praktische problemen bij nieuw statuut gerechtsdeurwaarder,</w:t>
      </w:r>
      <w:r>
        <w:t xml:space="preserve"> DJK 2014, nr. 281, 10.</w:t>
      </w:r>
    </w:p>
  </w:footnote>
  <w:footnote w:id="94">
    <w:p w14:paraId="1B43C774" w14:textId="59240A1E" w:rsidR="005B1119" w:rsidRPr="00CC6BEE" w:rsidRDefault="005B1119">
      <w:pPr>
        <w:pStyle w:val="Voetnoottekst"/>
        <w:rPr>
          <w:lang w:val="nl-BE"/>
        </w:rPr>
      </w:pPr>
      <w:r>
        <w:rPr>
          <w:rStyle w:val="Voetnootmarkering"/>
        </w:rPr>
        <w:footnoteRef/>
      </w:r>
      <w:r>
        <w:rPr>
          <w:lang w:val="nl-BE"/>
        </w:rPr>
        <w:t xml:space="preserve"> art. 512, §2, 2° Ger.W.</w:t>
      </w:r>
    </w:p>
  </w:footnote>
  <w:footnote w:id="95">
    <w:p w14:paraId="36336CE4" w14:textId="000A2E21" w:rsidR="005B1119" w:rsidRPr="00BE486A" w:rsidRDefault="005B1119">
      <w:pPr>
        <w:pStyle w:val="Voetnoottekst"/>
      </w:pPr>
      <w:r>
        <w:rPr>
          <w:rStyle w:val="Voetnootmarkering"/>
        </w:rPr>
        <w:footnoteRef/>
      </w:r>
      <w:r>
        <w:t xml:space="preserve"> zie </w:t>
      </w:r>
      <w:r>
        <w:rPr>
          <w:i/>
        </w:rPr>
        <w:t xml:space="preserve">supra, </w:t>
      </w:r>
      <w:r>
        <w:t>nr. 29</w:t>
      </w:r>
    </w:p>
  </w:footnote>
  <w:footnote w:id="96">
    <w:p w14:paraId="15924F8A" w14:textId="1695262F" w:rsidR="005B1119" w:rsidRPr="008A46AD" w:rsidRDefault="005B1119" w:rsidP="008A46AD">
      <w:r>
        <w:rPr>
          <w:rStyle w:val="Voetnootmarkering"/>
        </w:rPr>
        <w:footnoteRef/>
      </w:r>
      <w:r>
        <w:t xml:space="preserve"> F. </w:t>
      </w:r>
      <w:r w:rsidRPr="000D24D7">
        <w:t>VAN DESSEL, “Enkele praktische problemen bij nieuw statuut gerechtsdeu</w:t>
      </w:r>
      <w:r>
        <w:t>rwaarder”, DJK 2014, nr. 281, 10.</w:t>
      </w:r>
    </w:p>
  </w:footnote>
  <w:footnote w:id="97">
    <w:p w14:paraId="593A38A6" w14:textId="722C0CC7" w:rsidR="005B1119" w:rsidRPr="00BE486A" w:rsidRDefault="005B1119" w:rsidP="00BE486A">
      <w:r>
        <w:rPr>
          <w:rStyle w:val="Voetnootmarkering"/>
        </w:rPr>
        <w:footnoteRef/>
      </w:r>
      <w:r>
        <w:t xml:space="preserve"> F. </w:t>
      </w:r>
      <w:r w:rsidRPr="000D24D7">
        <w:t>VAN DESSEL, “Enkele praktische problemen bij nieuw statuut gerechtsdeu</w:t>
      </w:r>
      <w:r>
        <w:t>rwaarder”, DJK 2014, nr. 281, 10.</w:t>
      </w:r>
    </w:p>
  </w:footnote>
  <w:footnote w:id="98">
    <w:p w14:paraId="0D6849E0" w14:textId="4D80196B" w:rsidR="005B1119" w:rsidRPr="008A46AD" w:rsidRDefault="005B1119">
      <w:pPr>
        <w:pStyle w:val="Voetnoottekst"/>
        <w:rPr>
          <w:lang w:val="nl-BE"/>
        </w:rPr>
      </w:pPr>
      <w:r>
        <w:rPr>
          <w:rStyle w:val="Voetnootmarkering"/>
        </w:rPr>
        <w:footnoteRef/>
      </w:r>
      <w:r>
        <w:t xml:space="preserve"> art. 551, §2 </w:t>
      </w:r>
      <w:proofErr w:type="spellStart"/>
      <w:r>
        <w:t>Ger.W</w:t>
      </w:r>
      <w:proofErr w:type="spellEnd"/>
      <w:r>
        <w:t>.</w:t>
      </w:r>
    </w:p>
  </w:footnote>
  <w:footnote w:id="99">
    <w:p w14:paraId="4920F0F1" w14:textId="5434427E" w:rsidR="005B1119" w:rsidRPr="00C33A00" w:rsidRDefault="005B1119" w:rsidP="00C33A00">
      <w:r>
        <w:rPr>
          <w:rStyle w:val="Voetnootmarkering"/>
        </w:rPr>
        <w:footnoteRef/>
      </w:r>
      <w:r>
        <w:t xml:space="preserve"> F. </w:t>
      </w:r>
      <w:r w:rsidRPr="000D24D7">
        <w:t>VAN DESSEL, “Enkele praktische problemen bij nieuw statuut gerechtsdeu</w:t>
      </w:r>
      <w:r>
        <w:t>rwaarder”, DJK 2014, nr. 281, 10.</w:t>
      </w:r>
    </w:p>
  </w:footnote>
  <w:footnote w:id="100">
    <w:p w14:paraId="622E96C1" w14:textId="3DEDD6D5" w:rsidR="005B1119" w:rsidRPr="00990A58" w:rsidRDefault="005B1119">
      <w:pPr>
        <w:pStyle w:val="Voetnoottekst"/>
        <w:rPr>
          <w:lang w:val="nl-BE"/>
        </w:rPr>
      </w:pPr>
      <w:r>
        <w:rPr>
          <w:rStyle w:val="Voetnootmarkering"/>
        </w:rPr>
        <w:footnoteRef/>
      </w:r>
      <w:r>
        <w:t xml:space="preserve"> art. 510, §3 </w:t>
      </w:r>
      <w:proofErr w:type="spellStart"/>
      <w:r>
        <w:t>Ger.W</w:t>
      </w:r>
      <w:proofErr w:type="spellEnd"/>
      <w:r>
        <w:t>.</w:t>
      </w:r>
    </w:p>
  </w:footnote>
  <w:footnote w:id="101">
    <w:p w14:paraId="0EA88FFD" w14:textId="673AD9A5" w:rsidR="005B1119" w:rsidRPr="00D80788" w:rsidRDefault="005B1119">
      <w:pPr>
        <w:pStyle w:val="Voetnoottekst"/>
        <w:rPr>
          <w:lang w:val="nl-BE"/>
        </w:rPr>
      </w:pPr>
      <w:r>
        <w:rPr>
          <w:rStyle w:val="Voetnootmarkering"/>
        </w:rPr>
        <w:footnoteRef/>
      </w:r>
      <w:r>
        <w:t xml:space="preserve"> </w:t>
      </w:r>
      <w:r>
        <w:rPr>
          <w:lang w:val="nl-BE"/>
        </w:rPr>
        <w:t>oud art. 510 Ger.W.</w:t>
      </w:r>
    </w:p>
  </w:footnote>
  <w:footnote w:id="102">
    <w:p w14:paraId="24F6388C" w14:textId="78CB9718" w:rsidR="005B1119" w:rsidRPr="00D80788" w:rsidRDefault="005B1119">
      <w:pPr>
        <w:pStyle w:val="Voetnoottekst"/>
        <w:rPr>
          <w:lang w:val="nl-BE"/>
        </w:rPr>
      </w:pPr>
      <w:r>
        <w:rPr>
          <w:rStyle w:val="Voetnootmarkering"/>
        </w:rPr>
        <w:footnoteRef/>
      </w:r>
      <w:r>
        <w:t xml:space="preserve"> </w:t>
      </w:r>
      <w:r>
        <w:rPr>
          <w:lang w:val="nl-BE"/>
        </w:rPr>
        <w:t>art. 13 KB van 30 juni 1993 betreffende de stage voor kandidaat-gerechtsdeurwaarders en de homologatie van die stage.</w:t>
      </w:r>
    </w:p>
  </w:footnote>
  <w:footnote w:id="103">
    <w:p w14:paraId="6077A6C4" w14:textId="1635B61E" w:rsidR="005B1119" w:rsidRPr="003C438D" w:rsidRDefault="005B1119">
      <w:pPr>
        <w:pStyle w:val="Voetnoottekst"/>
        <w:rPr>
          <w:lang w:val="en-US"/>
        </w:rPr>
      </w:pPr>
      <w:r>
        <w:rPr>
          <w:rStyle w:val="Voetnootmarkering"/>
        </w:rPr>
        <w:footnoteRef/>
      </w:r>
      <w:r w:rsidRPr="003C438D">
        <w:rPr>
          <w:lang w:val="en-US"/>
        </w:rPr>
        <w:t xml:space="preserve"> </w:t>
      </w:r>
      <w:r w:rsidRPr="003C438D">
        <w:rPr>
          <w:i/>
          <w:lang w:val="en-US"/>
        </w:rPr>
        <w:t>Ibid.</w:t>
      </w:r>
      <w:r w:rsidRPr="003C438D">
        <w:rPr>
          <w:lang w:val="en-US"/>
        </w:rPr>
        <w:t>, art. 12</w:t>
      </w:r>
    </w:p>
  </w:footnote>
  <w:footnote w:id="104">
    <w:p w14:paraId="23E725B6" w14:textId="29D30B0E" w:rsidR="005B1119" w:rsidRPr="003C438D" w:rsidRDefault="005B1119">
      <w:pPr>
        <w:pStyle w:val="Voetnoottekst"/>
        <w:rPr>
          <w:lang w:val="en-US"/>
        </w:rPr>
      </w:pPr>
      <w:r>
        <w:rPr>
          <w:rStyle w:val="Voetnootmarkering"/>
        </w:rPr>
        <w:footnoteRef/>
      </w:r>
      <w:r w:rsidRPr="003C438D">
        <w:rPr>
          <w:lang w:val="en-US"/>
        </w:rPr>
        <w:t xml:space="preserve"> </w:t>
      </w:r>
      <w:r w:rsidRPr="003C438D">
        <w:rPr>
          <w:i/>
          <w:lang w:val="en-US"/>
        </w:rPr>
        <w:t>Ibid.</w:t>
      </w:r>
      <w:r w:rsidRPr="003C438D">
        <w:rPr>
          <w:lang w:val="en-US"/>
        </w:rPr>
        <w:t xml:space="preserve">, art. 15, </w:t>
      </w:r>
      <w:proofErr w:type="spellStart"/>
      <w:r w:rsidRPr="003C438D">
        <w:rPr>
          <w:lang w:val="en-US"/>
        </w:rPr>
        <w:t>eerste</w:t>
      </w:r>
      <w:proofErr w:type="spellEnd"/>
      <w:r w:rsidRPr="003C438D">
        <w:rPr>
          <w:lang w:val="en-US"/>
        </w:rPr>
        <w:t xml:space="preserve"> lid</w:t>
      </w:r>
    </w:p>
  </w:footnote>
  <w:footnote w:id="105">
    <w:p w14:paraId="4F5C97D5" w14:textId="58121A29" w:rsidR="005B1119" w:rsidRPr="00A830FB" w:rsidRDefault="005B1119">
      <w:pPr>
        <w:pStyle w:val="Voetnoottekst"/>
        <w:rPr>
          <w:lang w:val="nl-BE"/>
        </w:rPr>
      </w:pPr>
      <w:r>
        <w:rPr>
          <w:rStyle w:val="Voetnootmarkering"/>
        </w:rPr>
        <w:footnoteRef/>
      </w:r>
      <w:r>
        <w:t xml:space="preserve"> </w:t>
      </w:r>
      <w:r>
        <w:rPr>
          <w:lang w:val="nl-BE"/>
        </w:rPr>
        <w:t xml:space="preserve">art. 15, tweede lid, 1° KB van 30 juni 1993 </w:t>
      </w:r>
    </w:p>
  </w:footnote>
  <w:footnote w:id="106">
    <w:p w14:paraId="79BA9CCD" w14:textId="7FBF20E6" w:rsidR="005B1119" w:rsidRPr="004669BA" w:rsidRDefault="005B1119">
      <w:pPr>
        <w:pStyle w:val="Voetnoottekst"/>
        <w:rPr>
          <w:lang w:val="en-US"/>
        </w:rPr>
      </w:pPr>
      <w:r>
        <w:rPr>
          <w:rStyle w:val="Voetnootmarkering"/>
        </w:rPr>
        <w:footnoteRef/>
      </w:r>
      <w:r w:rsidRPr="004669BA">
        <w:rPr>
          <w:lang w:val="en-US"/>
        </w:rPr>
        <w:t xml:space="preserve"> </w:t>
      </w:r>
      <w:r w:rsidRPr="004669BA">
        <w:rPr>
          <w:i/>
          <w:lang w:val="en-US"/>
        </w:rPr>
        <w:t>Ibid.</w:t>
      </w:r>
      <w:r w:rsidRPr="004669BA">
        <w:rPr>
          <w:lang w:val="en-US"/>
        </w:rPr>
        <w:t xml:space="preserve">, </w:t>
      </w:r>
      <w:proofErr w:type="spellStart"/>
      <w:r w:rsidRPr="004669BA">
        <w:rPr>
          <w:lang w:val="en-US"/>
        </w:rPr>
        <w:t>tweede</w:t>
      </w:r>
      <w:proofErr w:type="spellEnd"/>
      <w:r w:rsidRPr="004669BA">
        <w:rPr>
          <w:lang w:val="en-US"/>
        </w:rPr>
        <w:t xml:space="preserve"> lid, 2°</w:t>
      </w:r>
    </w:p>
  </w:footnote>
  <w:footnote w:id="107">
    <w:p w14:paraId="70E8998C" w14:textId="4A2FE0E2" w:rsidR="005B1119" w:rsidRPr="003C438D" w:rsidRDefault="005B1119">
      <w:pPr>
        <w:pStyle w:val="Voetnoottekst"/>
        <w:rPr>
          <w:lang w:val="en-US"/>
        </w:rPr>
      </w:pPr>
      <w:r>
        <w:rPr>
          <w:rStyle w:val="Voetnootmarkering"/>
        </w:rPr>
        <w:footnoteRef/>
      </w:r>
      <w:r w:rsidRPr="003C438D">
        <w:rPr>
          <w:lang w:val="en-US"/>
        </w:rPr>
        <w:t xml:space="preserve"> </w:t>
      </w:r>
      <w:r w:rsidRPr="003C438D">
        <w:rPr>
          <w:i/>
          <w:lang w:val="en-US"/>
        </w:rPr>
        <w:t>Ibid.</w:t>
      </w:r>
      <w:r w:rsidRPr="003C438D">
        <w:rPr>
          <w:lang w:val="en-US"/>
        </w:rPr>
        <w:t xml:space="preserve">, art. </w:t>
      </w:r>
    </w:p>
  </w:footnote>
  <w:footnote w:id="108">
    <w:p w14:paraId="4EDC1DFC" w14:textId="7B61A5A2" w:rsidR="005B1119" w:rsidRPr="003C438D" w:rsidRDefault="005B1119">
      <w:pPr>
        <w:pStyle w:val="Voetnoottekst"/>
        <w:rPr>
          <w:lang w:val="en-US"/>
        </w:rPr>
      </w:pPr>
      <w:r>
        <w:rPr>
          <w:rStyle w:val="Voetnootmarkering"/>
        </w:rPr>
        <w:footnoteRef/>
      </w:r>
      <w:r w:rsidRPr="003C438D">
        <w:rPr>
          <w:lang w:val="en-US"/>
        </w:rPr>
        <w:t xml:space="preserve"> </w:t>
      </w:r>
      <w:r w:rsidRPr="003C438D">
        <w:rPr>
          <w:i/>
          <w:lang w:val="en-US"/>
        </w:rPr>
        <w:t>Ibid.</w:t>
      </w:r>
      <w:r w:rsidRPr="003C438D">
        <w:rPr>
          <w:lang w:val="en-US"/>
        </w:rPr>
        <w:t>, art. 17</w:t>
      </w:r>
    </w:p>
  </w:footnote>
  <w:footnote w:id="109">
    <w:p w14:paraId="0ED662E9" w14:textId="1C6DCAB6" w:rsidR="005B1119" w:rsidRPr="004669BA" w:rsidRDefault="005B1119">
      <w:pPr>
        <w:pStyle w:val="Voetnoottekst"/>
        <w:rPr>
          <w:lang w:val="nl-BE"/>
        </w:rPr>
      </w:pPr>
      <w:r>
        <w:rPr>
          <w:rStyle w:val="Voetnootmarkering"/>
        </w:rPr>
        <w:footnoteRef/>
      </w:r>
      <w:r w:rsidRPr="004669BA">
        <w:rPr>
          <w:lang w:val="nl-BE"/>
        </w:rPr>
        <w:t xml:space="preserve"> art. 510, §1 Ger.W.</w:t>
      </w:r>
    </w:p>
  </w:footnote>
  <w:footnote w:id="110">
    <w:p w14:paraId="7052370B" w14:textId="1D7C30D3" w:rsidR="005B1119" w:rsidRPr="00B84892" w:rsidRDefault="005B1119">
      <w:pPr>
        <w:pStyle w:val="Voetnoottekst"/>
        <w:rPr>
          <w:lang w:val="nl-BE"/>
        </w:rPr>
      </w:pPr>
      <w:r>
        <w:rPr>
          <w:rStyle w:val="Voetnootmarkering"/>
        </w:rPr>
        <w:footnoteRef/>
      </w:r>
      <w:r>
        <w:t xml:space="preserve"> </w:t>
      </w:r>
      <w:r>
        <w:rPr>
          <w:lang w:val="nl-BE"/>
        </w:rPr>
        <w:t xml:space="preserve">i.e. de beperkte toelating van personen en een limitatief vastgesteld aantal plaatsen voor de toegang tot een bepaald beroep. Ook in het notariaat wordt dit gehanteerd. </w:t>
      </w:r>
    </w:p>
  </w:footnote>
  <w:footnote w:id="111">
    <w:p w14:paraId="538C58DB" w14:textId="73708781" w:rsidR="005B1119" w:rsidRPr="00662325" w:rsidRDefault="005B1119">
      <w:pPr>
        <w:pStyle w:val="Voetnoottekst"/>
        <w:rPr>
          <w:lang w:val="nl-BE"/>
        </w:rPr>
      </w:pPr>
      <w:r>
        <w:rPr>
          <w:rStyle w:val="Voetnootmarkering"/>
        </w:rPr>
        <w:footnoteRef/>
      </w:r>
      <w:r>
        <w:t xml:space="preserve"> </w:t>
      </w:r>
      <w:r>
        <w:rPr>
          <w:lang w:val="nl-BE"/>
        </w:rPr>
        <w:t xml:space="preserve">P. LOMBARDI, </w:t>
      </w:r>
      <w:r>
        <w:rPr>
          <w:i/>
          <w:lang w:val="nl-BE"/>
        </w:rPr>
        <w:t>Het nieuwe statuut van gerechtsdeurwaarders onder de loep</w:t>
      </w:r>
      <w:r>
        <w:rPr>
          <w:lang w:val="nl-BE"/>
        </w:rPr>
        <w:t>, RW 2013-14, nr. 32, 1246.</w:t>
      </w:r>
    </w:p>
  </w:footnote>
  <w:footnote w:id="112">
    <w:p w14:paraId="4C8E2826" w14:textId="663C1121" w:rsidR="005B1119" w:rsidRPr="00E837B4" w:rsidRDefault="005B1119">
      <w:pPr>
        <w:pStyle w:val="Voetnoottekst"/>
        <w:rPr>
          <w:lang w:val="nl-BE"/>
        </w:rPr>
      </w:pPr>
      <w:r>
        <w:rPr>
          <w:rStyle w:val="Voetnootmarkering"/>
        </w:rPr>
        <w:footnoteRef/>
      </w:r>
      <w:r>
        <w:t xml:space="preserve"> </w:t>
      </w:r>
      <w:r>
        <w:rPr>
          <w:lang w:val="nl-BE"/>
        </w:rPr>
        <w:t xml:space="preserve">Wetsontwerp tot wijziging van het statuut van de gerechtsdeurwaarders, </w:t>
      </w:r>
      <w:r>
        <w:rPr>
          <w:i/>
          <w:lang w:val="nl-BE"/>
        </w:rPr>
        <w:t xml:space="preserve">Parl.St. </w:t>
      </w:r>
      <w:r>
        <w:rPr>
          <w:lang w:val="nl-BE"/>
        </w:rPr>
        <w:t>Kamer 2012-2013, nr. 53-2937/001, 9.</w:t>
      </w:r>
    </w:p>
  </w:footnote>
  <w:footnote w:id="113">
    <w:p w14:paraId="457106BD" w14:textId="1B35185D" w:rsidR="005B1119" w:rsidRPr="00E837B4" w:rsidRDefault="005B1119">
      <w:pPr>
        <w:pStyle w:val="Voetnoottekst"/>
        <w:rPr>
          <w:lang w:val="nl-BE"/>
        </w:rPr>
      </w:pPr>
      <w:r>
        <w:rPr>
          <w:rStyle w:val="Voetnootmarkering"/>
        </w:rPr>
        <w:footnoteRef/>
      </w:r>
      <w:r>
        <w:t xml:space="preserve"> </w:t>
      </w:r>
      <w:r>
        <w:rPr>
          <w:lang w:val="nl-BE"/>
        </w:rPr>
        <w:t xml:space="preserve">NATIONALE KAMER VAN GERECHTSDEURWAARDERS, </w:t>
      </w:r>
      <w:r>
        <w:rPr>
          <w:i/>
          <w:lang w:val="nl-BE"/>
        </w:rPr>
        <w:t xml:space="preserve">Jaarverslag 2017, </w:t>
      </w:r>
      <w:r>
        <w:rPr>
          <w:lang w:val="nl-BE"/>
        </w:rPr>
        <w:t>2018, 50.</w:t>
      </w:r>
    </w:p>
  </w:footnote>
  <w:footnote w:id="114">
    <w:p w14:paraId="6D245142" w14:textId="0B160331" w:rsidR="005B1119" w:rsidRPr="00C32832" w:rsidRDefault="005B1119">
      <w:pPr>
        <w:pStyle w:val="Voetnoottekst"/>
        <w:rPr>
          <w:lang w:val="nl-BE"/>
        </w:rPr>
      </w:pPr>
      <w:r>
        <w:rPr>
          <w:rStyle w:val="Voetnootmarkering"/>
        </w:rPr>
        <w:footnoteRef/>
      </w:r>
      <w:r>
        <w:t xml:space="preserve"> BELGISCH STAATSBLAD, 2 januari 2020, Nationale Kamer van Gerechtsdeurwaarders</w:t>
      </w:r>
      <w:r>
        <w:br/>
      </w:r>
      <w:r w:rsidRPr="00C32832">
        <w:rPr>
          <w:lang w:val="nl-BE"/>
        </w:rPr>
        <w:t>https://www.gerechtsdeurwaarders.be/sites/gerechtsdeurwaarders.be/files/publication_attachements/20200102_-_vergelijkend_examen_stagiair-gdws_2020_-_oproep_tot_kandidaten.pdf</w:t>
      </w:r>
    </w:p>
  </w:footnote>
  <w:footnote w:id="115">
    <w:p w14:paraId="1EFEF2C2" w14:textId="37AA9F95" w:rsidR="005B1119" w:rsidRPr="00DF3752" w:rsidRDefault="005B1119">
      <w:pPr>
        <w:pStyle w:val="Voetnoottekst"/>
        <w:rPr>
          <w:lang w:val="en-US"/>
        </w:rPr>
      </w:pPr>
      <w:r>
        <w:rPr>
          <w:rStyle w:val="Voetnootmarkering"/>
        </w:rPr>
        <w:footnoteRef/>
      </w:r>
      <w:r w:rsidRPr="00DF3752">
        <w:rPr>
          <w:lang w:val="en-US"/>
        </w:rPr>
        <w:t xml:space="preserve"> art. 513, §8 </w:t>
      </w:r>
      <w:proofErr w:type="spellStart"/>
      <w:r w:rsidRPr="00DF3752">
        <w:rPr>
          <w:lang w:val="en-US"/>
        </w:rPr>
        <w:t>Ger.W</w:t>
      </w:r>
      <w:proofErr w:type="spellEnd"/>
      <w:r w:rsidRPr="00DF3752">
        <w:rPr>
          <w:lang w:val="en-US"/>
        </w:rPr>
        <w:t>.</w:t>
      </w:r>
    </w:p>
  </w:footnote>
  <w:footnote w:id="116">
    <w:p w14:paraId="40FFAB95" w14:textId="0DBAC23F" w:rsidR="005B1119" w:rsidRPr="00DF3752" w:rsidRDefault="005B1119">
      <w:pPr>
        <w:pStyle w:val="Voetnoottekst"/>
        <w:rPr>
          <w:lang w:val="en-US"/>
        </w:rPr>
      </w:pPr>
      <w:r>
        <w:rPr>
          <w:rStyle w:val="Voetnootmarkering"/>
        </w:rPr>
        <w:footnoteRef/>
      </w:r>
      <w:r w:rsidRPr="00DF3752">
        <w:rPr>
          <w:lang w:val="en-US"/>
        </w:rPr>
        <w:t xml:space="preserve"> </w:t>
      </w:r>
      <w:r w:rsidRPr="00DF3752">
        <w:rPr>
          <w:i/>
          <w:lang w:val="en-US"/>
        </w:rPr>
        <w:t>Ibid.</w:t>
      </w:r>
      <w:r w:rsidRPr="00DF3752">
        <w:rPr>
          <w:lang w:val="en-US"/>
        </w:rPr>
        <w:t>, §7</w:t>
      </w:r>
    </w:p>
  </w:footnote>
  <w:footnote w:id="117">
    <w:p w14:paraId="6F0B17CD" w14:textId="4FE163A9" w:rsidR="005B1119" w:rsidRPr="00DF3752" w:rsidRDefault="005B1119">
      <w:pPr>
        <w:pStyle w:val="Voetnoottekst"/>
        <w:rPr>
          <w:lang w:val="en-US"/>
        </w:rPr>
      </w:pPr>
      <w:r>
        <w:rPr>
          <w:rStyle w:val="Voetnootmarkering"/>
        </w:rPr>
        <w:footnoteRef/>
      </w:r>
      <w:r w:rsidRPr="00DF3752">
        <w:rPr>
          <w:lang w:val="en-US"/>
        </w:rPr>
        <w:t xml:space="preserve"> art. 527 </w:t>
      </w:r>
      <w:proofErr w:type="spellStart"/>
      <w:r w:rsidRPr="00DF3752">
        <w:rPr>
          <w:lang w:val="en-US"/>
        </w:rPr>
        <w:t>Ger.W</w:t>
      </w:r>
      <w:proofErr w:type="spellEnd"/>
      <w:r w:rsidRPr="00DF3752">
        <w:rPr>
          <w:lang w:val="en-US"/>
        </w:rPr>
        <w:t xml:space="preserve">. </w:t>
      </w:r>
    </w:p>
  </w:footnote>
  <w:footnote w:id="118">
    <w:p w14:paraId="0D7263CD" w14:textId="022A673D" w:rsidR="005B1119" w:rsidRPr="006917DC" w:rsidRDefault="005B1119">
      <w:pPr>
        <w:pStyle w:val="Voetnoottekst"/>
        <w:rPr>
          <w:lang w:val="nl-BE"/>
        </w:rPr>
      </w:pPr>
      <w:r>
        <w:rPr>
          <w:rStyle w:val="Voetnootmarkering"/>
        </w:rPr>
        <w:footnoteRef/>
      </w:r>
      <w:r>
        <w:t xml:space="preserve"> NATIONALE KAMER VAN GERECHTSDEURWAARDERS, </w:t>
      </w:r>
      <w:r>
        <w:rPr>
          <w:i/>
        </w:rPr>
        <w:t xml:space="preserve">Jaarverslag 2018, </w:t>
      </w:r>
      <w:r>
        <w:t>2019, 49.</w:t>
      </w:r>
    </w:p>
  </w:footnote>
  <w:footnote w:id="119">
    <w:p w14:paraId="13778EC9" w14:textId="66D1E429" w:rsidR="005B1119" w:rsidRPr="00A9114E" w:rsidRDefault="005B1119">
      <w:pPr>
        <w:pStyle w:val="Voetnoottekst"/>
        <w:rPr>
          <w:lang w:val="nl-BE"/>
        </w:rPr>
      </w:pPr>
      <w:r>
        <w:rPr>
          <w:rStyle w:val="Voetnootmarkering"/>
        </w:rPr>
        <w:footnoteRef/>
      </w:r>
      <w:r>
        <w:t xml:space="preserve"> </w:t>
      </w:r>
      <w:r>
        <w:rPr>
          <w:i/>
          <w:lang w:val="nl-BE"/>
        </w:rPr>
        <w:t>Ibid.</w:t>
      </w:r>
      <w:r>
        <w:rPr>
          <w:lang w:val="nl-BE"/>
        </w:rPr>
        <w:t>, 50.</w:t>
      </w:r>
    </w:p>
  </w:footnote>
  <w:footnote w:id="120">
    <w:p w14:paraId="380E557E" w14:textId="2CFD8B72" w:rsidR="005B1119" w:rsidRPr="00AD4FC7" w:rsidRDefault="005B1119">
      <w:pPr>
        <w:pStyle w:val="Voetnoottekst"/>
        <w:rPr>
          <w:lang w:val="nl-BE"/>
        </w:rPr>
      </w:pPr>
      <w:r>
        <w:rPr>
          <w:rStyle w:val="Voetnootmarkering"/>
        </w:rPr>
        <w:footnoteRef/>
      </w:r>
      <w:r>
        <w:t xml:space="preserve"> </w:t>
      </w:r>
      <w:r>
        <w:rPr>
          <w:lang w:val="nl-BE"/>
        </w:rPr>
        <w:t xml:space="preserve">Wetsontwerp tot wijziging van het statuut van de gerechtsdeurwaarders, </w:t>
      </w:r>
      <w:r>
        <w:rPr>
          <w:i/>
          <w:lang w:val="nl-BE"/>
        </w:rPr>
        <w:t xml:space="preserve">Parl.St. </w:t>
      </w:r>
      <w:r>
        <w:rPr>
          <w:lang w:val="nl-BE"/>
        </w:rPr>
        <w:t>Kamer 2012-2013, nr. 53-2937/001, 6.</w:t>
      </w:r>
    </w:p>
  </w:footnote>
  <w:footnote w:id="121">
    <w:p w14:paraId="237B8D28" w14:textId="2143EBA5" w:rsidR="005B1119" w:rsidRPr="007F39D3" w:rsidRDefault="005B1119">
      <w:pPr>
        <w:pStyle w:val="Voetnoottekst"/>
        <w:rPr>
          <w:lang w:val="nl-BE"/>
        </w:rPr>
      </w:pPr>
      <w:r>
        <w:rPr>
          <w:rStyle w:val="Voetnootmarkering"/>
        </w:rPr>
        <w:footnoteRef/>
      </w:r>
      <w:r>
        <w:t xml:space="preserve"> </w:t>
      </w:r>
      <w:r>
        <w:rPr>
          <w:i/>
        </w:rPr>
        <w:t xml:space="preserve">Ibid., </w:t>
      </w:r>
      <w:r>
        <w:t xml:space="preserve">8. </w:t>
      </w:r>
    </w:p>
  </w:footnote>
  <w:footnote w:id="122">
    <w:p w14:paraId="215947E3" w14:textId="69D433E4" w:rsidR="005B1119" w:rsidRPr="00A1674B" w:rsidRDefault="005B1119">
      <w:pPr>
        <w:pStyle w:val="Voetnoottekst"/>
        <w:rPr>
          <w:lang w:val="nl-BE"/>
        </w:rPr>
      </w:pPr>
      <w:r>
        <w:rPr>
          <w:rStyle w:val="Voetnootmarkering"/>
        </w:rPr>
        <w:footnoteRef/>
      </w:r>
      <w:r>
        <w:t xml:space="preserve"> </w:t>
      </w:r>
      <w:r>
        <w:rPr>
          <w:i/>
          <w:lang w:val="nl-BE"/>
        </w:rPr>
        <w:t>Ibid.</w:t>
      </w:r>
      <w:r>
        <w:rPr>
          <w:lang w:val="nl-BE"/>
        </w:rPr>
        <w:t>, 6.</w:t>
      </w:r>
    </w:p>
  </w:footnote>
  <w:footnote w:id="123">
    <w:p w14:paraId="1D472380" w14:textId="22228397" w:rsidR="005B1119" w:rsidRPr="007F39D3" w:rsidRDefault="005B1119">
      <w:pPr>
        <w:pStyle w:val="Voetnoottekst"/>
        <w:rPr>
          <w:lang w:val="nl-BE"/>
        </w:rPr>
      </w:pPr>
      <w:r>
        <w:rPr>
          <w:rStyle w:val="Voetnootmarkering"/>
        </w:rPr>
        <w:footnoteRef/>
      </w:r>
      <w:r>
        <w:t xml:space="preserve"> </w:t>
      </w:r>
      <w:r>
        <w:rPr>
          <w:i/>
        </w:rPr>
        <w:t xml:space="preserve">Ibid., </w:t>
      </w:r>
      <w:r>
        <w:t>5.</w:t>
      </w:r>
    </w:p>
  </w:footnote>
  <w:footnote w:id="124">
    <w:p w14:paraId="0DC00563" w14:textId="55DD2751" w:rsidR="005B1119" w:rsidRPr="00E12817" w:rsidRDefault="005B1119">
      <w:pPr>
        <w:pStyle w:val="Voetnoottekst"/>
        <w:rPr>
          <w:lang w:val="nl-BE"/>
        </w:rPr>
      </w:pPr>
      <w:r>
        <w:rPr>
          <w:rStyle w:val="Voetnootmarkering"/>
        </w:rPr>
        <w:footnoteRef/>
      </w:r>
      <w:r>
        <w:t xml:space="preserve"> </w:t>
      </w:r>
      <w:r>
        <w:rPr>
          <w:lang w:val="nl-BE"/>
        </w:rPr>
        <w:t>art. 523, §1, eerste lid Ger.W.</w:t>
      </w:r>
    </w:p>
  </w:footnote>
  <w:footnote w:id="125">
    <w:p w14:paraId="3994F5CD" w14:textId="2DA394FE" w:rsidR="005B1119" w:rsidRPr="00CC08D0" w:rsidRDefault="005B1119">
      <w:pPr>
        <w:pStyle w:val="Voetnoottekst"/>
        <w:rPr>
          <w:lang w:val="nl-BE"/>
        </w:rPr>
      </w:pPr>
      <w:r>
        <w:rPr>
          <w:rStyle w:val="Voetnootmarkering"/>
        </w:rPr>
        <w:footnoteRef/>
      </w:r>
      <w:r>
        <w:t xml:space="preserve"> </w:t>
      </w:r>
      <w:r>
        <w:rPr>
          <w:i/>
          <w:lang w:val="nl-BE"/>
        </w:rPr>
        <w:t>Ibid.</w:t>
      </w:r>
      <w:r>
        <w:rPr>
          <w:lang w:val="nl-BE"/>
        </w:rPr>
        <w:t>, §1, tweede lid</w:t>
      </w:r>
    </w:p>
  </w:footnote>
  <w:footnote w:id="126">
    <w:p w14:paraId="0647E844" w14:textId="286613A4" w:rsidR="005B1119" w:rsidRPr="00313FEF" w:rsidRDefault="005B1119">
      <w:pPr>
        <w:pStyle w:val="Voetnoottekst"/>
        <w:rPr>
          <w:lang w:val="nl-BE"/>
        </w:rPr>
      </w:pPr>
      <w:r>
        <w:rPr>
          <w:rStyle w:val="Voetnootmarkering"/>
        </w:rPr>
        <w:footnoteRef/>
      </w:r>
      <w:r>
        <w:t xml:space="preserve"> </w:t>
      </w:r>
      <w:r>
        <w:rPr>
          <w:i/>
          <w:lang w:val="nl-BE"/>
        </w:rPr>
        <w:t xml:space="preserve">Ibid., </w:t>
      </w:r>
      <w:r>
        <w:rPr>
          <w:lang w:val="nl-BE"/>
        </w:rPr>
        <w:t>§2</w:t>
      </w:r>
    </w:p>
  </w:footnote>
  <w:footnote w:id="127">
    <w:p w14:paraId="77E44180" w14:textId="39788717" w:rsidR="005B1119" w:rsidRPr="00313FEF" w:rsidRDefault="005B1119">
      <w:pPr>
        <w:pStyle w:val="Voetnoottekst"/>
        <w:rPr>
          <w:lang w:val="nl-BE"/>
        </w:rPr>
      </w:pPr>
      <w:r>
        <w:rPr>
          <w:rStyle w:val="Voetnootmarkering"/>
        </w:rPr>
        <w:footnoteRef/>
      </w:r>
      <w:r>
        <w:t xml:space="preserve"> </w:t>
      </w:r>
      <w:r>
        <w:rPr>
          <w:i/>
          <w:lang w:val="nl-BE"/>
        </w:rPr>
        <w:t xml:space="preserve">Ibid., </w:t>
      </w:r>
      <w:r>
        <w:rPr>
          <w:lang w:val="nl-BE"/>
        </w:rPr>
        <w:t>§1, derde lid</w:t>
      </w:r>
    </w:p>
  </w:footnote>
  <w:footnote w:id="128">
    <w:p w14:paraId="1722C072" w14:textId="76587F66" w:rsidR="005B1119" w:rsidRPr="00506380" w:rsidRDefault="005B1119">
      <w:pPr>
        <w:pStyle w:val="Voetnoottekst"/>
        <w:rPr>
          <w:lang w:val="nl-BE"/>
        </w:rPr>
      </w:pPr>
      <w:r>
        <w:rPr>
          <w:rStyle w:val="Voetnootmarkering"/>
        </w:rPr>
        <w:footnoteRef/>
      </w:r>
      <w:r>
        <w:t xml:space="preserve"> </w:t>
      </w:r>
      <w:r>
        <w:rPr>
          <w:i/>
          <w:lang w:val="nl-BE"/>
        </w:rPr>
        <w:t>Ibid.</w:t>
      </w:r>
      <w:r>
        <w:rPr>
          <w:lang w:val="nl-BE"/>
        </w:rPr>
        <w:t>, §1, vierde lid</w:t>
      </w:r>
    </w:p>
  </w:footnote>
  <w:footnote w:id="129">
    <w:p w14:paraId="4B2BC309" w14:textId="1B5B7658" w:rsidR="005B1119" w:rsidRPr="00DC5276" w:rsidRDefault="005B1119">
      <w:pPr>
        <w:pStyle w:val="Voetnoottekst"/>
        <w:rPr>
          <w:lang w:val="nl-BE"/>
        </w:rPr>
      </w:pPr>
      <w:r>
        <w:rPr>
          <w:rStyle w:val="Voetnootmarkering"/>
        </w:rPr>
        <w:footnoteRef/>
      </w:r>
      <w:r>
        <w:t xml:space="preserve"> </w:t>
      </w:r>
      <w:r>
        <w:rPr>
          <w:i/>
        </w:rPr>
        <w:t>Ibid.</w:t>
      </w:r>
      <w:r>
        <w:t>, §3</w:t>
      </w:r>
    </w:p>
  </w:footnote>
  <w:footnote w:id="130">
    <w:p w14:paraId="0ED9128C" w14:textId="0DFF31AF" w:rsidR="005B1119" w:rsidRPr="00380D66" w:rsidRDefault="005B1119">
      <w:pPr>
        <w:pStyle w:val="Voetnoottekst"/>
        <w:rPr>
          <w:lang w:val="nl-BE"/>
        </w:rPr>
      </w:pPr>
      <w:r>
        <w:rPr>
          <w:rStyle w:val="Voetnootmarkering"/>
        </w:rPr>
        <w:footnoteRef/>
      </w:r>
      <w:r>
        <w:t xml:space="preserve"> art. 27 KB tot uitvoering van de wet van 7 januari 2014 tot wijziging van het statuut van de gerechtsdeurwaarders, </w:t>
      </w:r>
      <w:r>
        <w:rPr>
          <w:i/>
        </w:rPr>
        <w:t xml:space="preserve">BS </w:t>
      </w:r>
      <w:r>
        <w:t>24 april 2014</w:t>
      </w:r>
    </w:p>
  </w:footnote>
  <w:footnote w:id="131">
    <w:p w14:paraId="14014D52" w14:textId="3C651E9B" w:rsidR="005B1119" w:rsidRPr="00060F62" w:rsidRDefault="005B1119">
      <w:pPr>
        <w:pStyle w:val="Voetnoottekst"/>
        <w:rPr>
          <w:lang w:val="nl-BE"/>
        </w:rPr>
      </w:pPr>
      <w:r>
        <w:rPr>
          <w:rStyle w:val="Voetnootmarkering"/>
        </w:rPr>
        <w:footnoteRef/>
      </w:r>
      <w:r>
        <w:t xml:space="preserve"> </w:t>
      </w:r>
      <w:r>
        <w:rPr>
          <w:lang w:val="nl-BE"/>
        </w:rPr>
        <w:t>art. 524, §1, eerste lid</w:t>
      </w:r>
    </w:p>
  </w:footnote>
  <w:footnote w:id="132">
    <w:p w14:paraId="4770ECD0" w14:textId="6B65F4EA" w:rsidR="005B1119" w:rsidRPr="00060F62" w:rsidRDefault="005B1119">
      <w:pPr>
        <w:pStyle w:val="Voetnoottekst"/>
        <w:rPr>
          <w:lang w:val="nl-BE"/>
        </w:rPr>
      </w:pPr>
      <w:r>
        <w:rPr>
          <w:rStyle w:val="Voetnootmarkering"/>
        </w:rPr>
        <w:footnoteRef/>
      </w:r>
      <w:r>
        <w:t xml:space="preserve"> </w:t>
      </w:r>
      <w:r>
        <w:rPr>
          <w:i/>
          <w:lang w:val="nl-BE"/>
        </w:rPr>
        <w:t>Ibid.</w:t>
      </w:r>
      <w:r>
        <w:rPr>
          <w:lang w:val="nl-BE"/>
        </w:rPr>
        <w:t>, tweede lid</w:t>
      </w:r>
    </w:p>
  </w:footnote>
  <w:footnote w:id="133">
    <w:p w14:paraId="27E95C5C" w14:textId="2AB9BFB7" w:rsidR="005B1119" w:rsidRPr="00A1674B" w:rsidRDefault="005B1119">
      <w:pPr>
        <w:pStyle w:val="Voetnoottekst"/>
        <w:rPr>
          <w:lang w:val="nl-BE"/>
        </w:rPr>
      </w:pPr>
      <w:r>
        <w:rPr>
          <w:rStyle w:val="Voetnootmarkering"/>
        </w:rPr>
        <w:footnoteRef/>
      </w:r>
      <w:r>
        <w:t xml:space="preserve"> </w:t>
      </w:r>
      <w:r>
        <w:rPr>
          <w:lang w:val="nl-BE"/>
        </w:rPr>
        <w:t xml:space="preserve">Wetsontwerp tot wijziging van het statuut van de gerechtsdeurwaarders, </w:t>
      </w:r>
      <w:r>
        <w:rPr>
          <w:i/>
          <w:lang w:val="nl-BE"/>
        </w:rPr>
        <w:t xml:space="preserve">Parl.St. </w:t>
      </w:r>
      <w:r>
        <w:rPr>
          <w:lang w:val="nl-BE"/>
        </w:rPr>
        <w:t>Kamer 2012-2013, nr. 53-2937/001, 6.</w:t>
      </w:r>
    </w:p>
  </w:footnote>
  <w:footnote w:id="134">
    <w:p w14:paraId="483AB813" w14:textId="3D3F385E" w:rsidR="005B1119" w:rsidRPr="00A1674B" w:rsidRDefault="005B1119">
      <w:pPr>
        <w:pStyle w:val="Voetnoottekst"/>
        <w:rPr>
          <w:lang w:val="nl-BE"/>
        </w:rPr>
      </w:pPr>
      <w:r>
        <w:rPr>
          <w:rStyle w:val="Voetnootmarkering"/>
        </w:rPr>
        <w:footnoteRef/>
      </w:r>
      <w:r>
        <w:t xml:space="preserve"> art. 525 </w:t>
      </w:r>
      <w:proofErr w:type="spellStart"/>
      <w:r>
        <w:t>Ger.W</w:t>
      </w:r>
      <w:proofErr w:type="spellEnd"/>
      <w:r>
        <w:t>.</w:t>
      </w:r>
    </w:p>
  </w:footnote>
  <w:footnote w:id="135">
    <w:p w14:paraId="7F17792D" w14:textId="09DCC6F2" w:rsidR="005B1119" w:rsidRPr="007A0FF7" w:rsidRDefault="005B1119">
      <w:pPr>
        <w:pStyle w:val="Voetnoottekst"/>
        <w:rPr>
          <w:lang w:val="nl-BE"/>
        </w:rPr>
      </w:pPr>
      <w:r>
        <w:rPr>
          <w:rStyle w:val="Voetnootmarkering"/>
        </w:rPr>
        <w:footnoteRef/>
      </w:r>
      <w:r>
        <w:t xml:space="preserve"> </w:t>
      </w:r>
      <w:r>
        <w:rPr>
          <w:lang w:val="nl-BE"/>
        </w:rPr>
        <w:t xml:space="preserve">Wetsontwerp tot wijziging van het statuut van de gerechtsdeurwaarders, </w:t>
      </w:r>
      <w:r>
        <w:rPr>
          <w:i/>
          <w:lang w:val="nl-BE"/>
        </w:rPr>
        <w:t xml:space="preserve">Parl.St. </w:t>
      </w:r>
      <w:r>
        <w:rPr>
          <w:lang w:val="nl-BE"/>
        </w:rPr>
        <w:t>Kamer 2012-2013, nr. 53-2937/001, 7.</w:t>
      </w:r>
    </w:p>
  </w:footnote>
  <w:footnote w:id="136">
    <w:p w14:paraId="2448624B" w14:textId="69216CC6" w:rsidR="005B1119" w:rsidRPr="00C35A12" w:rsidRDefault="005B1119">
      <w:pPr>
        <w:pStyle w:val="Voetnoottekst"/>
        <w:rPr>
          <w:lang w:val="nl-BE"/>
        </w:rPr>
      </w:pPr>
      <w:r>
        <w:rPr>
          <w:rStyle w:val="Voetnootmarkering"/>
        </w:rPr>
        <w:footnoteRef/>
      </w:r>
      <w:r>
        <w:t xml:space="preserve"> </w:t>
      </w:r>
      <w:r>
        <w:rPr>
          <w:lang w:val="nl-BE"/>
        </w:rPr>
        <w:t xml:space="preserve">NATIONALE KAMER VAN GERECHTSDEURWAARDERS, </w:t>
      </w:r>
      <w:r>
        <w:rPr>
          <w:i/>
          <w:lang w:val="nl-BE"/>
        </w:rPr>
        <w:t xml:space="preserve">Jaarverslag 2010, </w:t>
      </w:r>
      <w:r>
        <w:rPr>
          <w:lang w:val="nl-BE"/>
        </w:rPr>
        <w:t>2011, 23.</w:t>
      </w:r>
    </w:p>
  </w:footnote>
  <w:footnote w:id="137">
    <w:p w14:paraId="039185F7" w14:textId="47754595" w:rsidR="005B1119" w:rsidRPr="004C70B2" w:rsidRDefault="005B1119">
      <w:pPr>
        <w:pStyle w:val="Voetnoottekst"/>
        <w:rPr>
          <w:lang w:val="nl-BE"/>
        </w:rPr>
      </w:pPr>
      <w:r>
        <w:rPr>
          <w:rStyle w:val="Voetnootmarkering"/>
        </w:rPr>
        <w:footnoteRef/>
      </w:r>
      <w:r>
        <w:t xml:space="preserve"> </w:t>
      </w:r>
      <w:r>
        <w:rPr>
          <w:lang w:val="nl-BE"/>
        </w:rPr>
        <w:t xml:space="preserve">Wetsontwerp tot wijziging van het statuut van de gerechtsdeurwaarders, </w:t>
      </w:r>
      <w:r>
        <w:rPr>
          <w:i/>
          <w:lang w:val="nl-BE"/>
        </w:rPr>
        <w:t xml:space="preserve">Parl.St. </w:t>
      </w:r>
      <w:r>
        <w:rPr>
          <w:lang w:val="nl-BE"/>
        </w:rPr>
        <w:t>Kamer 2012-2013, nr. 53-2937/001, 7.</w:t>
      </w:r>
    </w:p>
  </w:footnote>
  <w:footnote w:id="138">
    <w:p w14:paraId="4A9C5BA8" w14:textId="19D67A5A" w:rsidR="005B1119" w:rsidRPr="007A0FF7" w:rsidRDefault="005B1119">
      <w:pPr>
        <w:pStyle w:val="Voetnoottekst"/>
        <w:rPr>
          <w:i/>
          <w:lang w:val="nl-BE"/>
        </w:rPr>
      </w:pPr>
      <w:r>
        <w:rPr>
          <w:rStyle w:val="Voetnootmarkering"/>
        </w:rPr>
        <w:footnoteRef/>
      </w:r>
      <w:r>
        <w:t xml:space="preserve"> </w:t>
      </w:r>
      <w:r>
        <w:rPr>
          <w:i/>
          <w:lang w:val="nl-BE"/>
        </w:rPr>
        <w:t>Ibid.</w:t>
      </w:r>
    </w:p>
  </w:footnote>
  <w:footnote w:id="139">
    <w:p w14:paraId="657D0521" w14:textId="672AAD4A" w:rsidR="005B1119" w:rsidRPr="0069152A" w:rsidRDefault="005B1119">
      <w:pPr>
        <w:pStyle w:val="Voetnoottekst"/>
        <w:rPr>
          <w:lang w:val="nl-BE"/>
        </w:rPr>
      </w:pPr>
      <w:r>
        <w:rPr>
          <w:rStyle w:val="Voetnootmarkering"/>
        </w:rPr>
        <w:footnoteRef/>
      </w:r>
      <w:r>
        <w:t xml:space="preserve"> </w:t>
      </w:r>
      <w:r>
        <w:rPr>
          <w:lang w:val="nl-BE"/>
        </w:rPr>
        <w:t xml:space="preserve">artt. 223 t.e.m. 230 wet van 25 april 2014 houdende diverse bepalingen inzake Justite, </w:t>
      </w:r>
      <w:r>
        <w:rPr>
          <w:lang w:val="nl-BE"/>
        </w:rPr>
        <w:br/>
      </w:r>
      <w:r>
        <w:rPr>
          <w:i/>
          <w:lang w:val="nl-BE"/>
        </w:rPr>
        <w:t xml:space="preserve">BS </w:t>
      </w:r>
      <w:r>
        <w:rPr>
          <w:lang w:val="nl-BE"/>
        </w:rPr>
        <w:t>14 mei 2014.</w:t>
      </w:r>
    </w:p>
  </w:footnote>
  <w:footnote w:id="140">
    <w:p w14:paraId="3EE41480" w14:textId="550226B3" w:rsidR="005B1119" w:rsidRPr="005B5EF1" w:rsidRDefault="005B1119">
      <w:pPr>
        <w:pStyle w:val="Voetnoottekst"/>
        <w:rPr>
          <w:lang w:val="nl-BE"/>
        </w:rPr>
      </w:pPr>
      <w:r>
        <w:rPr>
          <w:rStyle w:val="Voetnootmarkering"/>
        </w:rPr>
        <w:footnoteRef/>
      </w:r>
      <w:r>
        <w:t xml:space="preserve"> </w:t>
      </w:r>
      <w:r>
        <w:rPr>
          <w:lang w:val="nl-BE"/>
        </w:rPr>
        <w:t>oud art. 531, eerste lid Ger.W.</w:t>
      </w:r>
    </w:p>
  </w:footnote>
  <w:footnote w:id="141">
    <w:p w14:paraId="6123B7B6" w14:textId="38BC645A" w:rsidR="005B1119" w:rsidRPr="00A12D96" w:rsidRDefault="005B1119">
      <w:pPr>
        <w:pStyle w:val="Voetnoottekst"/>
        <w:rPr>
          <w:i/>
          <w:lang w:val="nl-BE"/>
        </w:rPr>
      </w:pPr>
      <w:r>
        <w:rPr>
          <w:rStyle w:val="Voetnootmarkering"/>
        </w:rPr>
        <w:footnoteRef/>
      </w:r>
      <w:r>
        <w:t xml:space="preserve"> </w:t>
      </w:r>
      <w:r>
        <w:rPr>
          <w:i/>
          <w:lang w:val="nl-BE"/>
        </w:rPr>
        <w:t>Ibid.</w:t>
      </w:r>
    </w:p>
  </w:footnote>
  <w:footnote w:id="142">
    <w:p w14:paraId="742961F8" w14:textId="73ED7E59" w:rsidR="005B1119" w:rsidRPr="00A809EB" w:rsidRDefault="005B1119">
      <w:pPr>
        <w:pStyle w:val="Voetnoottekst"/>
        <w:rPr>
          <w:lang w:val="nl-BE"/>
        </w:rPr>
      </w:pPr>
      <w:r>
        <w:rPr>
          <w:rStyle w:val="Voetnootmarkering"/>
        </w:rPr>
        <w:footnoteRef/>
      </w:r>
      <w:r>
        <w:t xml:space="preserve"> </w:t>
      </w:r>
      <w:r>
        <w:rPr>
          <w:lang w:val="nl-BE"/>
        </w:rPr>
        <w:t>oud art. 531bis, eerste lid Ger.W.</w:t>
      </w:r>
    </w:p>
  </w:footnote>
  <w:footnote w:id="143">
    <w:p w14:paraId="10DF1883" w14:textId="0C195C70" w:rsidR="005B1119" w:rsidRPr="00B2343A" w:rsidRDefault="005B1119">
      <w:pPr>
        <w:pStyle w:val="Voetnoottekst"/>
        <w:rPr>
          <w:lang w:val="nl-BE"/>
        </w:rPr>
      </w:pPr>
      <w:r>
        <w:rPr>
          <w:rStyle w:val="Voetnootmarkering"/>
        </w:rPr>
        <w:footnoteRef/>
      </w:r>
      <w:r>
        <w:t xml:space="preserve"> </w:t>
      </w:r>
      <w:r>
        <w:rPr>
          <w:i/>
          <w:lang w:val="nl-BE"/>
        </w:rPr>
        <w:t>Ibid.</w:t>
      </w:r>
      <w:r>
        <w:rPr>
          <w:lang w:val="nl-BE"/>
        </w:rPr>
        <w:t>, derde lid</w:t>
      </w:r>
    </w:p>
  </w:footnote>
  <w:footnote w:id="144">
    <w:p w14:paraId="78EFBB53" w14:textId="14423287" w:rsidR="005B1119" w:rsidRPr="00B2343A" w:rsidRDefault="005B1119">
      <w:pPr>
        <w:pStyle w:val="Voetnoottekst"/>
        <w:rPr>
          <w:lang w:val="nl-BE"/>
        </w:rPr>
      </w:pPr>
      <w:r>
        <w:rPr>
          <w:rStyle w:val="Voetnootmarkering"/>
        </w:rPr>
        <w:footnoteRef/>
      </w:r>
      <w:r>
        <w:t xml:space="preserve"> </w:t>
      </w:r>
      <w:r>
        <w:rPr>
          <w:i/>
          <w:lang w:val="nl-BE"/>
        </w:rPr>
        <w:t>Ibid.</w:t>
      </w:r>
      <w:r>
        <w:rPr>
          <w:lang w:val="nl-BE"/>
        </w:rPr>
        <w:t>, tweede lid</w:t>
      </w:r>
    </w:p>
  </w:footnote>
  <w:footnote w:id="145">
    <w:p w14:paraId="184BF582" w14:textId="09F35EA6" w:rsidR="005B1119" w:rsidRPr="00E01ED5" w:rsidRDefault="005B1119">
      <w:pPr>
        <w:pStyle w:val="Voetnoottekst"/>
      </w:pPr>
      <w:r>
        <w:rPr>
          <w:rStyle w:val="Voetnootmarkering"/>
        </w:rPr>
        <w:footnoteRef/>
      </w:r>
      <w:r>
        <w:t xml:space="preserve"> zie </w:t>
      </w:r>
      <w:r>
        <w:rPr>
          <w:i/>
        </w:rPr>
        <w:t xml:space="preserve">infra, </w:t>
      </w:r>
      <w:r>
        <w:t>nr. 62</w:t>
      </w:r>
    </w:p>
  </w:footnote>
  <w:footnote w:id="146">
    <w:p w14:paraId="07938713" w14:textId="773903D2" w:rsidR="005B1119" w:rsidRPr="003C0C03" w:rsidRDefault="005B1119">
      <w:pPr>
        <w:pStyle w:val="Voetnoottekst"/>
        <w:rPr>
          <w:lang w:val="nl-BE"/>
        </w:rPr>
      </w:pPr>
      <w:r>
        <w:rPr>
          <w:rStyle w:val="Voetnootmarkering"/>
        </w:rPr>
        <w:footnoteRef/>
      </w:r>
      <w:r>
        <w:t xml:space="preserve"> </w:t>
      </w:r>
      <w:r>
        <w:rPr>
          <w:lang w:val="nl-BE"/>
        </w:rPr>
        <w:t xml:space="preserve">K. SLABBAERT, </w:t>
      </w:r>
      <w:r>
        <w:rPr>
          <w:i/>
          <w:lang w:val="nl-BE"/>
        </w:rPr>
        <w:t xml:space="preserve">Het nieuwe tuchtrecht in de Wet tot wijziging van het statuut van de gerechtsdeurwaarders, </w:t>
      </w:r>
      <w:r>
        <w:rPr>
          <w:lang w:val="nl-BE"/>
        </w:rPr>
        <w:t>D&amp;T, 2014, nr. 1, 3-11.</w:t>
      </w:r>
    </w:p>
  </w:footnote>
  <w:footnote w:id="147">
    <w:p w14:paraId="781DCBBD" w14:textId="71741B73" w:rsidR="005B1119" w:rsidRPr="00DB5788" w:rsidRDefault="005B1119">
      <w:pPr>
        <w:pStyle w:val="Voetnoottekst"/>
        <w:rPr>
          <w:lang w:val="nl-BE"/>
        </w:rPr>
      </w:pPr>
      <w:r>
        <w:rPr>
          <w:rStyle w:val="Voetnootmarkering"/>
        </w:rPr>
        <w:footnoteRef/>
      </w:r>
      <w:r>
        <w:t xml:space="preserve"> </w:t>
      </w:r>
      <w:r>
        <w:rPr>
          <w:i/>
          <w:lang w:val="nl-BE"/>
        </w:rPr>
        <w:t>Ibid.</w:t>
      </w:r>
      <w:r>
        <w:rPr>
          <w:lang w:val="nl-BE"/>
        </w:rPr>
        <w:t>, 5.</w:t>
      </w:r>
    </w:p>
  </w:footnote>
  <w:footnote w:id="148">
    <w:p w14:paraId="21D211B8" w14:textId="7CDBCD0D" w:rsidR="005B1119" w:rsidRPr="00A13445" w:rsidRDefault="005B1119">
      <w:pPr>
        <w:pStyle w:val="Voetnoottekst"/>
        <w:rPr>
          <w:lang w:val="nl-BE"/>
        </w:rPr>
      </w:pPr>
      <w:r>
        <w:rPr>
          <w:rStyle w:val="Voetnootmarkering"/>
        </w:rPr>
        <w:footnoteRef/>
      </w:r>
      <w:r>
        <w:t xml:space="preserve"> NATIONALE KAMER VAN GERECHTSDEURWAARDERS, </w:t>
      </w:r>
      <w:r>
        <w:rPr>
          <w:i/>
        </w:rPr>
        <w:t>Jaarverslag 2012</w:t>
      </w:r>
      <w:r>
        <w:t xml:space="preserve">, 2013, 31. </w:t>
      </w:r>
    </w:p>
  </w:footnote>
  <w:footnote w:id="149">
    <w:p w14:paraId="17C0E264" w14:textId="05309AD9" w:rsidR="005B1119" w:rsidRPr="00A13445" w:rsidRDefault="005B1119">
      <w:pPr>
        <w:pStyle w:val="Voetnoottekst"/>
        <w:rPr>
          <w:lang w:val="nl-BE"/>
        </w:rPr>
      </w:pPr>
      <w:r>
        <w:rPr>
          <w:rStyle w:val="Voetnootmarkering"/>
        </w:rPr>
        <w:footnoteRef/>
      </w:r>
      <w:r>
        <w:t xml:space="preserve"> </w:t>
      </w:r>
      <w:r>
        <w:rPr>
          <w:lang w:val="nl-BE"/>
        </w:rPr>
        <w:t xml:space="preserve">K. SLABBAERT, </w:t>
      </w:r>
      <w:r>
        <w:rPr>
          <w:i/>
          <w:lang w:val="nl-BE"/>
        </w:rPr>
        <w:t xml:space="preserve">Het nieuwe tuchtrecht in de Wet tot wijziging van het statuut van de gerechtsdeurwaarders, </w:t>
      </w:r>
      <w:r>
        <w:rPr>
          <w:lang w:val="nl-BE"/>
        </w:rPr>
        <w:t>D&amp;T, 2014, nr. 1, 5.</w:t>
      </w:r>
    </w:p>
  </w:footnote>
  <w:footnote w:id="150">
    <w:p w14:paraId="00438DB3" w14:textId="06293E2B" w:rsidR="005B1119" w:rsidRPr="003609BA" w:rsidRDefault="005B1119">
      <w:pPr>
        <w:pStyle w:val="Voetnoottekst"/>
        <w:rPr>
          <w:lang w:val="nl-BE"/>
        </w:rPr>
      </w:pPr>
      <w:r>
        <w:rPr>
          <w:rStyle w:val="Voetnootmarkering"/>
        </w:rPr>
        <w:footnoteRef/>
      </w:r>
      <w:r>
        <w:t xml:space="preserve"> </w:t>
      </w:r>
      <w:r>
        <w:rPr>
          <w:lang w:val="nl-BE"/>
        </w:rPr>
        <w:t>oud art. 532 Ger.W.</w:t>
      </w:r>
    </w:p>
  </w:footnote>
  <w:footnote w:id="151">
    <w:p w14:paraId="6C649BEF" w14:textId="3ED1A3AC" w:rsidR="005B1119" w:rsidRPr="008D4BF7" w:rsidRDefault="005B1119">
      <w:pPr>
        <w:pStyle w:val="Voetnoottekst"/>
        <w:rPr>
          <w:lang w:val="nl-BE"/>
        </w:rPr>
      </w:pPr>
      <w:r>
        <w:rPr>
          <w:rStyle w:val="Voetnootmarkering"/>
        </w:rPr>
        <w:footnoteRef/>
      </w:r>
      <w:r>
        <w:t xml:space="preserve"> </w:t>
      </w:r>
      <w:r>
        <w:rPr>
          <w:lang w:val="nl-BE"/>
        </w:rPr>
        <w:t xml:space="preserve">K. SLABBAERT, </w:t>
      </w:r>
      <w:r>
        <w:rPr>
          <w:i/>
          <w:lang w:val="nl-BE"/>
        </w:rPr>
        <w:t xml:space="preserve">Het nieuwe tuchtrecht in de Wet tot wijziging van het statuut van de gerechtsdeurwaarders, </w:t>
      </w:r>
      <w:r>
        <w:rPr>
          <w:lang w:val="nl-BE"/>
        </w:rPr>
        <w:t>D&amp;T, 2014, nr. 1, 6.</w:t>
      </w:r>
    </w:p>
  </w:footnote>
  <w:footnote w:id="152">
    <w:p w14:paraId="1C590FB6" w14:textId="0E10BF5E" w:rsidR="005B1119" w:rsidRPr="003C438D" w:rsidRDefault="005B1119">
      <w:pPr>
        <w:pStyle w:val="Voetnoottekst"/>
        <w:rPr>
          <w:lang w:val="en-US"/>
        </w:rPr>
      </w:pPr>
      <w:r>
        <w:rPr>
          <w:rStyle w:val="Voetnootmarkering"/>
        </w:rPr>
        <w:footnoteRef/>
      </w:r>
      <w:r w:rsidRPr="003C438D">
        <w:rPr>
          <w:lang w:val="en-US"/>
        </w:rPr>
        <w:t xml:space="preserve"> art. 519, §1 </w:t>
      </w:r>
      <w:proofErr w:type="spellStart"/>
      <w:r w:rsidRPr="003C438D">
        <w:rPr>
          <w:lang w:val="en-US"/>
        </w:rPr>
        <w:t>Ger.W</w:t>
      </w:r>
      <w:proofErr w:type="spellEnd"/>
      <w:r w:rsidRPr="003C438D">
        <w:rPr>
          <w:lang w:val="en-US"/>
        </w:rPr>
        <w:t>.</w:t>
      </w:r>
    </w:p>
  </w:footnote>
  <w:footnote w:id="153">
    <w:p w14:paraId="6DF2A8A6" w14:textId="5ABA59C6" w:rsidR="005B1119" w:rsidRPr="003C438D" w:rsidRDefault="005B1119">
      <w:pPr>
        <w:pStyle w:val="Voetnoottekst"/>
        <w:rPr>
          <w:lang w:val="en-US"/>
        </w:rPr>
      </w:pPr>
      <w:r>
        <w:rPr>
          <w:rStyle w:val="Voetnootmarkering"/>
        </w:rPr>
        <w:footnoteRef/>
      </w:r>
      <w:r w:rsidRPr="003C438D">
        <w:rPr>
          <w:lang w:val="en-US"/>
        </w:rPr>
        <w:t xml:space="preserve"> art. 522/1, §1 </w:t>
      </w:r>
      <w:proofErr w:type="spellStart"/>
      <w:r w:rsidRPr="003C438D">
        <w:rPr>
          <w:lang w:val="en-US"/>
        </w:rPr>
        <w:t>Ger.W</w:t>
      </w:r>
      <w:proofErr w:type="spellEnd"/>
      <w:r w:rsidRPr="003C438D">
        <w:rPr>
          <w:lang w:val="en-US"/>
        </w:rPr>
        <w:t>.</w:t>
      </w:r>
    </w:p>
  </w:footnote>
  <w:footnote w:id="154">
    <w:p w14:paraId="145A699A" w14:textId="73891853" w:rsidR="005B1119" w:rsidRPr="006705F9" w:rsidRDefault="005B1119">
      <w:pPr>
        <w:pStyle w:val="Voetnoottekst"/>
        <w:rPr>
          <w:lang w:val="nl-BE"/>
        </w:rPr>
      </w:pPr>
      <w:r>
        <w:rPr>
          <w:rStyle w:val="Voetnootmarkering"/>
        </w:rPr>
        <w:footnoteRef/>
      </w:r>
      <w:r>
        <w:t xml:space="preserve"> </w:t>
      </w:r>
      <w:r>
        <w:rPr>
          <w:lang w:val="nl-BE"/>
        </w:rPr>
        <w:t>art. 520, §2 Ger.W.</w:t>
      </w:r>
    </w:p>
  </w:footnote>
  <w:footnote w:id="155">
    <w:p w14:paraId="678CB2E2" w14:textId="709367CE" w:rsidR="005B1119" w:rsidRPr="00CE34A7" w:rsidRDefault="005B1119">
      <w:pPr>
        <w:pStyle w:val="Voetnoottekst"/>
        <w:rPr>
          <w:lang w:val="nl-BE"/>
        </w:rPr>
      </w:pPr>
      <w:r>
        <w:rPr>
          <w:rStyle w:val="Voetnootmarkering"/>
        </w:rPr>
        <w:footnoteRef/>
      </w:r>
      <w:r>
        <w:t xml:space="preserve"> </w:t>
      </w:r>
      <w:r>
        <w:rPr>
          <w:lang w:val="nl-BE"/>
        </w:rPr>
        <w:t xml:space="preserve">art. 509, §3 Ger.W., ingevoegd bij art. 223 wet van 25 april 2014 houdende diverse bepalingen inzake Justitie, </w:t>
      </w:r>
      <w:r>
        <w:rPr>
          <w:i/>
          <w:lang w:val="nl-BE"/>
        </w:rPr>
        <w:t xml:space="preserve">BS </w:t>
      </w:r>
      <w:r>
        <w:rPr>
          <w:lang w:val="nl-BE"/>
        </w:rPr>
        <w:t xml:space="preserve">14 mei 2014. </w:t>
      </w:r>
    </w:p>
  </w:footnote>
  <w:footnote w:id="156">
    <w:p w14:paraId="358250BC" w14:textId="1ED9476D" w:rsidR="005B1119" w:rsidRPr="00CE34A7" w:rsidRDefault="005B1119">
      <w:pPr>
        <w:pStyle w:val="Voetnoottekst"/>
        <w:rPr>
          <w:lang w:val="nl-BE"/>
        </w:rPr>
      </w:pPr>
      <w:r>
        <w:rPr>
          <w:rStyle w:val="Voetnootmarkering"/>
        </w:rPr>
        <w:footnoteRef/>
      </w:r>
      <w:r>
        <w:t xml:space="preserve"> art. 522, §1, tweede lid </w:t>
      </w:r>
      <w:proofErr w:type="spellStart"/>
      <w:r>
        <w:t>Ger.W</w:t>
      </w:r>
      <w:proofErr w:type="spellEnd"/>
      <w:r>
        <w:t>.</w:t>
      </w:r>
    </w:p>
  </w:footnote>
  <w:footnote w:id="157">
    <w:p w14:paraId="788B5026" w14:textId="6D7719E4" w:rsidR="005B1119" w:rsidRPr="003C438D" w:rsidRDefault="005B1119">
      <w:pPr>
        <w:pStyle w:val="Voetnoottekst"/>
        <w:rPr>
          <w:lang w:val="en-US"/>
        </w:rPr>
      </w:pPr>
      <w:r>
        <w:rPr>
          <w:rStyle w:val="Voetnootmarkering"/>
        </w:rPr>
        <w:footnoteRef/>
      </w:r>
      <w:r w:rsidRPr="003C438D">
        <w:rPr>
          <w:lang w:val="en-US"/>
        </w:rPr>
        <w:t xml:space="preserve"> art. 530 </w:t>
      </w:r>
      <w:proofErr w:type="spellStart"/>
      <w:r w:rsidRPr="003C438D">
        <w:rPr>
          <w:lang w:val="en-US"/>
        </w:rPr>
        <w:t>Ger.W</w:t>
      </w:r>
      <w:proofErr w:type="spellEnd"/>
      <w:r w:rsidRPr="003C438D">
        <w:rPr>
          <w:lang w:val="en-US"/>
        </w:rPr>
        <w:t>.</w:t>
      </w:r>
    </w:p>
  </w:footnote>
  <w:footnote w:id="158">
    <w:p w14:paraId="537A27E2" w14:textId="3C532DC1" w:rsidR="005B1119" w:rsidRPr="003C438D" w:rsidRDefault="005B1119">
      <w:pPr>
        <w:pStyle w:val="Voetnoottekst"/>
        <w:rPr>
          <w:lang w:val="en-US"/>
        </w:rPr>
      </w:pPr>
      <w:r>
        <w:rPr>
          <w:rStyle w:val="Voetnootmarkering"/>
        </w:rPr>
        <w:footnoteRef/>
      </w:r>
      <w:r w:rsidRPr="003C438D">
        <w:rPr>
          <w:lang w:val="en-US"/>
        </w:rPr>
        <w:t xml:space="preserve"> art. 555/1, §1, 1° </w:t>
      </w:r>
      <w:proofErr w:type="spellStart"/>
      <w:r w:rsidRPr="003C438D">
        <w:rPr>
          <w:lang w:val="en-US"/>
        </w:rPr>
        <w:t>Ger.W</w:t>
      </w:r>
      <w:proofErr w:type="spellEnd"/>
      <w:r w:rsidRPr="003C438D">
        <w:rPr>
          <w:lang w:val="en-US"/>
        </w:rPr>
        <w:t>.</w:t>
      </w:r>
    </w:p>
  </w:footnote>
  <w:footnote w:id="159">
    <w:p w14:paraId="0967E347" w14:textId="205188BF" w:rsidR="005B1119" w:rsidRPr="00D024EB" w:rsidRDefault="005B1119">
      <w:pPr>
        <w:pStyle w:val="Voetnoottekst"/>
        <w:rPr>
          <w:lang w:val="nl-BE"/>
        </w:rPr>
      </w:pPr>
      <w:r>
        <w:rPr>
          <w:rStyle w:val="Voetnootmarkering"/>
        </w:rPr>
        <w:footnoteRef/>
      </w:r>
      <w:r>
        <w:t xml:space="preserve"> </w:t>
      </w:r>
      <w:r>
        <w:rPr>
          <w:lang w:val="nl-BE"/>
        </w:rPr>
        <w:t xml:space="preserve">Wetsontwerp tot wijziging van het statuut van de gerechtsdeurwaarders, </w:t>
      </w:r>
      <w:r>
        <w:rPr>
          <w:i/>
          <w:lang w:val="nl-BE"/>
        </w:rPr>
        <w:t xml:space="preserve">Parl.St. </w:t>
      </w:r>
      <w:r>
        <w:rPr>
          <w:lang w:val="nl-BE"/>
        </w:rPr>
        <w:t>Kamer 2012-2013, nr. 53-2937/001, 22.</w:t>
      </w:r>
    </w:p>
  </w:footnote>
  <w:footnote w:id="160">
    <w:p w14:paraId="212A10EF" w14:textId="44681AFD" w:rsidR="005B1119" w:rsidRPr="00DF3752" w:rsidRDefault="005B1119">
      <w:pPr>
        <w:pStyle w:val="Voetnoottekst"/>
        <w:rPr>
          <w:lang w:val="nl-BE"/>
        </w:rPr>
      </w:pPr>
      <w:r>
        <w:rPr>
          <w:rStyle w:val="Voetnootmarkering"/>
        </w:rPr>
        <w:footnoteRef/>
      </w:r>
      <w:r w:rsidRPr="00DF3752">
        <w:rPr>
          <w:lang w:val="nl-BE"/>
        </w:rPr>
        <w:t xml:space="preserve"> art. 534, §1 Ger.W.</w:t>
      </w:r>
    </w:p>
  </w:footnote>
  <w:footnote w:id="161">
    <w:p w14:paraId="7512636F" w14:textId="68D02148" w:rsidR="005B1119" w:rsidRPr="00FF5579" w:rsidRDefault="005B1119">
      <w:pPr>
        <w:pStyle w:val="Voetnoottekst"/>
      </w:pPr>
      <w:r>
        <w:rPr>
          <w:rStyle w:val="Voetnootmarkering"/>
        </w:rPr>
        <w:footnoteRef/>
      </w:r>
      <w:r>
        <w:t xml:space="preserve">  zie </w:t>
      </w:r>
      <w:r>
        <w:rPr>
          <w:i/>
        </w:rPr>
        <w:t xml:space="preserve">supra </w:t>
      </w:r>
      <w:r>
        <w:t>26, nr. 57.</w:t>
      </w:r>
    </w:p>
  </w:footnote>
  <w:footnote w:id="162">
    <w:p w14:paraId="2C1BFE11" w14:textId="33DD3B25" w:rsidR="005B1119" w:rsidRPr="00DF3752" w:rsidRDefault="005B1119">
      <w:pPr>
        <w:pStyle w:val="Voetnoottekst"/>
        <w:rPr>
          <w:lang w:val="en-US"/>
        </w:rPr>
      </w:pPr>
      <w:r>
        <w:rPr>
          <w:rStyle w:val="Voetnootmarkering"/>
        </w:rPr>
        <w:footnoteRef/>
      </w:r>
      <w:r w:rsidRPr="00DF3752">
        <w:rPr>
          <w:lang w:val="en-US"/>
        </w:rPr>
        <w:t xml:space="preserve"> art. 535 </w:t>
      </w:r>
      <w:proofErr w:type="spellStart"/>
      <w:r w:rsidRPr="00DF3752">
        <w:rPr>
          <w:lang w:val="en-US"/>
        </w:rPr>
        <w:t>Ger.W</w:t>
      </w:r>
      <w:proofErr w:type="spellEnd"/>
      <w:r w:rsidRPr="00DF3752">
        <w:rPr>
          <w:lang w:val="en-US"/>
        </w:rPr>
        <w:t>.</w:t>
      </w:r>
    </w:p>
  </w:footnote>
  <w:footnote w:id="163">
    <w:p w14:paraId="542573C8" w14:textId="6B320318" w:rsidR="005B1119" w:rsidRPr="00DF3752" w:rsidRDefault="005B1119">
      <w:pPr>
        <w:pStyle w:val="Voetnoottekst"/>
        <w:rPr>
          <w:lang w:val="en-US"/>
        </w:rPr>
      </w:pPr>
      <w:r>
        <w:rPr>
          <w:rStyle w:val="Voetnootmarkering"/>
        </w:rPr>
        <w:footnoteRef/>
      </w:r>
      <w:r w:rsidRPr="00DF3752">
        <w:rPr>
          <w:lang w:val="en-US"/>
        </w:rPr>
        <w:t xml:space="preserve"> art. 537, §1 </w:t>
      </w:r>
      <w:proofErr w:type="spellStart"/>
      <w:r w:rsidRPr="00DF3752">
        <w:rPr>
          <w:lang w:val="en-US"/>
        </w:rPr>
        <w:t>Ger.W</w:t>
      </w:r>
      <w:proofErr w:type="spellEnd"/>
      <w:r w:rsidRPr="00DF3752">
        <w:rPr>
          <w:lang w:val="en-US"/>
        </w:rPr>
        <w:t>.</w:t>
      </w:r>
    </w:p>
  </w:footnote>
  <w:footnote w:id="164">
    <w:p w14:paraId="0EDEF2CD" w14:textId="3662408E" w:rsidR="005B1119" w:rsidRPr="0008739B" w:rsidRDefault="005B1119">
      <w:pPr>
        <w:pStyle w:val="Voetnoottekst"/>
        <w:rPr>
          <w:lang w:val="nl-BE"/>
        </w:rPr>
      </w:pPr>
      <w:r>
        <w:rPr>
          <w:rStyle w:val="Voetnootmarkering"/>
        </w:rPr>
        <w:footnoteRef/>
      </w:r>
      <w:r>
        <w:t xml:space="preserve"> </w:t>
      </w:r>
      <w:r>
        <w:rPr>
          <w:i/>
          <w:lang w:val="nl-BE"/>
        </w:rPr>
        <w:t>Ibid.</w:t>
      </w:r>
      <w:r>
        <w:rPr>
          <w:lang w:val="nl-BE"/>
        </w:rPr>
        <w:t>, §2.</w:t>
      </w:r>
    </w:p>
  </w:footnote>
  <w:footnote w:id="165">
    <w:p w14:paraId="7A5CB06A" w14:textId="0F051301" w:rsidR="005B1119" w:rsidRPr="004A2212" w:rsidRDefault="005B1119">
      <w:pPr>
        <w:pStyle w:val="Voetnoottekst"/>
        <w:rPr>
          <w:lang w:val="nl-BE"/>
        </w:rPr>
      </w:pPr>
      <w:r>
        <w:rPr>
          <w:rStyle w:val="Voetnootmarkering"/>
        </w:rPr>
        <w:footnoteRef/>
      </w:r>
      <w:r>
        <w:t xml:space="preserve"> </w:t>
      </w:r>
      <w:r>
        <w:rPr>
          <w:lang w:val="nl-BE"/>
        </w:rPr>
        <w:t xml:space="preserve">K. SLABBAERT, </w:t>
      </w:r>
      <w:r>
        <w:rPr>
          <w:i/>
          <w:lang w:val="nl-BE"/>
        </w:rPr>
        <w:t xml:space="preserve">Het nieuwe tuchtrecht in de Wet tot wijziging van het statuut van de gerechtsdeurwaarders, </w:t>
      </w:r>
      <w:r>
        <w:rPr>
          <w:lang w:val="nl-BE"/>
        </w:rPr>
        <w:t>D&amp;T, 2014, nr. 1, 6.</w:t>
      </w:r>
    </w:p>
  </w:footnote>
  <w:footnote w:id="166">
    <w:p w14:paraId="1E192A73" w14:textId="07CC645D" w:rsidR="005B1119" w:rsidRPr="008036F8" w:rsidRDefault="005B1119">
      <w:pPr>
        <w:pStyle w:val="Voetnoottekst"/>
        <w:rPr>
          <w:lang w:val="nl-BE"/>
        </w:rPr>
      </w:pPr>
      <w:r>
        <w:rPr>
          <w:rStyle w:val="Voetnootmarkering"/>
        </w:rPr>
        <w:footnoteRef/>
      </w:r>
      <w:r>
        <w:t xml:space="preserve"> art. 534, §1, derde lid </w:t>
      </w:r>
      <w:proofErr w:type="spellStart"/>
      <w:r>
        <w:t>Ger.W</w:t>
      </w:r>
      <w:proofErr w:type="spellEnd"/>
      <w:r>
        <w:t>.</w:t>
      </w:r>
    </w:p>
  </w:footnote>
  <w:footnote w:id="167">
    <w:p w14:paraId="5F57B900" w14:textId="39F7B28D" w:rsidR="005B1119" w:rsidRPr="007F1D99" w:rsidRDefault="005B1119">
      <w:pPr>
        <w:pStyle w:val="Voetnoottekst"/>
        <w:rPr>
          <w:lang w:val="nl-BE"/>
        </w:rPr>
      </w:pPr>
      <w:r>
        <w:rPr>
          <w:rStyle w:val="Voetnootmarkering"/>
        </w:rPr>
        <w:footnoteRef/>
      </w:r>
      <w:r>
        <w:t xml:space="preserve"> </w:t>
      </w:r>
      <w:r>
        <w:rPr>
          <w:lang w:val="nl-BE"/>
        </w:rPr>
        <w:t>art. 534 §3, tweede lid Ger.W.</w:t>
      </w:r>
    </w:p>
  </w:footnote>
  <w:footnote w:id="168">
    <w:p w14:paraId="2ECCDD3F" w14:textId="03B13CB8" w:rsidR="005B1119" w:rsidRPr="007F1D99" w:rsidRDefault="005B1119">
      <w:pPr>
        <w:pStyle w:val="Voetnoottekst"/>
        <w:rPr>
          <w:lang w:val="nl-BE"/>
        </w:rPr>
      </w:pPr>
      <w:r>
        <w:rPr>
          <w:rStyle w:val="Voetnootmarkering"/>
        </w:rPr>
        <w:footnoteRef/>
      </w:r>
      <w:r>
        <w:t xml:space="preserve"> </w:t>
      </w:r>
      <w:r>
        <w:rPr>
          <w:lang w:val="nl-BE"/>
        </w:rPr>
        <w:t>art. 539, eerste lid Ger.W.</w:t>
      </w:r>
    </w:p>
  </w:footnote>
  <w:footnote w:id="169">
    <w:p w14:paraId="55A80648" w14:textId="64759150" w:rsidR="005B1119" w:rsidRPr="00703021" w:rsidRDefault="005B1119">
      <w:pPr>
        <w:pStyle w:val="Voetnoottekst"/>
        <w:rPr>
          <w:lang w:val="nl-BE"/>
        </w:rPr>
      </w:pPr>
      <w:r>
        <w:rPr>
          <w:rStyle w:val="Voetnootmarkering"/>
        </w:rPr>
        <w:footnoteRef/>
      </w:r>
      <w:r>
        <w:t xml:space="preserve"> </w:t>
      </w:r>
      <w:r>
        <w:rPr>
          <w:i/>
        </w:rPr>
        <w:t>Ibid.</w:t>
      </w:r>
      <w:r>
        <w:t>, derde lid</w:t>
      </w:r>
    </w:p>
  </w:footnote>
  <w:footnote w:id="170">
    <w:p w14:paraId="49FC1A6E" w14:textId="06577CAE" w:rsidR="005B1119" w:rsidRDefault="005B1119">
      <w:pPr>
        <w:pStyle w:val="Voetnoottekst"/>
      </w:pPr>
      <w:r>
        <w:rPr>
          <w:rStyle w:val="Voetnootmarkering"/>
        </w:rPr>
        <w:footnoteRef/>
      </w:r>
      <w:r>
        <w:t xml:space="preserve"> </w:t>
      </w:r>
      <w:r>
        <w:rPr>
          <w:rFonts w:ascii="Calibri" w:hAnsi="Calibri" w:cs="Arial"/>
        </w:rPr>
        <w:t xml:space="preserve">zie </w:t>
      </w:r>
      <w:r>
        <w:rPr>
          <w:rFonts w:ascii="Calibri" w:hAnsi="Calibri" w:cs="Arial"/>
          <w:i/>
        </w:rPr>
        <w:t xml:space="preserve">supra, </w:t>
      </w:r>
      <w:r>
        <w:rPr>
          <w:rFonts w:ascii="Calibri" w:hAnsi="Calibri" w:cs="Arial"/>
        </w:rPr>
        <w:t>nr. 56</w:t>
      </w:r>
    </w:p>
  </w:footnote>
  <w:footnote w:id="171">
    <w:p w14:paraId="2CC3F19C" w14:textId="4A5BBD90" w:rsidR="005B1119" w:rsidRPr="00DF3752" w:rsidRDefault="005B1119">
      <w:pPr>
        <w:pStyle w:val="Voetnoottekst"/>
        <w:rPr>
          <w:lang w:val="en-US"/>
        </w:rPr>
      </w:pPr>
      <w:r>
        <w:rPr>
          <w:rStyle w:val="Voetnootmarkering"/>
        </w:rPr>
        <w:footnoteRef/>
      </w:r>
      <w:r w:rsidRPr="00DF3752">
        <w:rPr>
          <w:lang w:val="en-US"/>
        </w:rPr>
        <w:t xml:space="preserve"> art. 544 </w:t>
      </w:r>
      <w:proofErr w:type="spellStart"/>
      <w:r w:rsidRPr="00DF3752">
        <w:rPr>
          <w:lang w:val="en-US"/>
        </w:rPr>
        <w:t>Ger.W</w:t>
      </w:r>
      <w:proofErr w:type="spellEnd"/>
      <w:r w:rsidRPr="00DF3752">
        <w:rPr>
          <w:lang w:val="en-US"/>
        </w:rPr>
        <w:t>.</w:t>
      </w:r>
    </w:p>
  </w:footnote>
  <w:footnote w:id="172">
    <w:p w14:paraId="3AD9EF50" w14:textId="7BB94C47" w:rsidR="005B1119" w:rsidRPr="00DF3752" w:rsidRDefault="005B1119">
      <w:pPr>
        <w:pStyle w:val="Voetnoottekst"/>
        <w:rPr>
          <w:lang w:val="en-US"/>
        </w:rPr>
      </w:pPr>
      <w:r>
        <w:rPr>
          <w:rStyle w:val="Voetnootmarkering"/>
        </w:rPr>
        <w:footnoteRef/>
      </w:r>
      <w:r w:rsidRPr="00DF3752">
        <w:rPr>
          <w:lang w:val="en-US"/>
        </w:rPr>
        <w:t xml:space="preserve"> art. 532, §2 </w:t>
      </w:r>
      <w:proofErr w:type="spellStart"/>
      <w:r w:rsidRPr="00DF3752">
        <w:rPr>
          <w:lang w:val="en-US"/>
        </w:rPr>
        <w:t>Ger.W</w:t>
      </w:r>
      <w:proofErr w:type="spellEnd"/>
      <w:r w:rsidRPr="00DF3752">
        <w:rPr>
          <w:lang w:val="en-US"/>
        </w:rPr>
        <w:t>.</w:t>
      </w:r>
    </w:p>
  </w:footnote>
  <w:footnote w:id="173">
    <w:p w14:paraId="19A27640" w14:textId="45DDCC17" w:rsidR="005B1119" w:rsidRPr="00E13A54" w:rsidRDefault="005B1119">
      <w:pPr>
        <w:pStyle w:val="Voetnoottekst"/>
        <w:rPr>
          <w:lang w:val="nl-BE"/>
        </w:rPr>
      </w:pPr>
      <w:r>
        <w:rPr>
          <w:rStyle w:val="Voetnootmarkering"/>
        </w:rPr>
        <w:footnoteRef/>
      </w:r>
      <w:r>
        <w:t xml:space="preserve"> </w:t>
      </w:r>
      <w:r>
        <w:rPr>
          <w:lang w:val="nl-BE"/>
        </w:rPr>
        <w:t>art. 542, eerste lid. Ger.W.</w:t>
      </w:r>
    </w:p>
  </w:footnote>
  <w:footnote w:id="174">
    <w:p w14:paraId="2E747A9E" w14:textId="1305E478" w:rsidR="005B1119" w:rsidRPr="00945FF5" w:rsidRDefault="005B1119">
      <w:pPr>
        <w:pStyle w:val="Voetnoottekst"/>
        <w:rPr>
          <w:lang w:val="nl-BE"/>
        </w:rPr>
      </w:pPr>
      <w:r>
        <w:rPr>
          <w:rStyle w:val="Voetnootmarkering"/>
        </w:rPr>
        <w:footnoteRef/>
      </w:r>
      <w:r>
        <w:t xml:space="preserve"> </w:t>
      </w:r>
      <w:r>
        <w:rPr>
          <w:lang w:val="nl-BE"/>
        </w:rPr>
        <w:t>art. 545, eerste lid Ger.W.</w:t>
      </w:r>
    </w:p>
  </w:footnote>
  <w:footnote w:id="175">
    <w:p w14:paraId="563D38B4" w14:textId="389326BD" w:rsidR="005B1119" w:rsidRPr="003C438D" w:rsidRDefault="005B1119">
      <w:pPr>
        <w:pStyle w:val="Voetnoottekst"/>
        <w:rPr>
          <w:lang w:val="en-US"/>
        </w:rPr>
      </w:pPr>
      <w:r>
        <w:rPr>
          <w:rStyle w:val="Voetnootmarkering"/>
        </w:rPr>
        <w:footnoteRef/>
      </w:r>
      <w:r w:rsidRPr="003C438D">
        <w:rPr>
          <w:lang w:val="en-US"/>
        </w:rPr>
        <w:t xml:space="preserve"> art. 546, §2 </w:t>
      </w:r>
      <w:proofErr w:type="spellStart"/>
      <w:r w:rsidRPr="003C438D">
        <w:rPr>
          <w:lang w:val="en-US"/>
        </w:rPr>
        <w:t>Ger.W</w:t>
      </w:r>
      <w:proofErr w:type="spellEnd"/>
      <w:r w:rsidRPr="003C438D">
        <w:rPr>
          <w:lang w:val="en-US"/>
        </w:rPr>
        <w:t>.</w:t>
      </w:r>
    </w:p>
  </w:footnote>
  <w:footnote w:id="176">
    <w:p w14:paraId="2EA5190A" w14:textId="66649229" w:rsidR="005B1119" w:rsidRPr="003C438D" w:rsidRDefault="005B1119">
      <w:pPr>
        <w:pStyle w:val="Voetnoottekst"/>
        <w:rPr>
          <w:lang w:val="en-US"/>
        </w:rPr>
      </w:pPr>
      <w:r>
        <w:rPr>
          <w:rStyle w:val="Voetnootmarkering"/>
        </w:rPr>
        <w:footnoteRef/>
      </w:r>
      <w:r w:rsidRPr="003C438D">
        <w:rPr>
          <w:lang w:val="en-US"/>
        </w:rPr>
        <w:t xml:space="preserve"> art. 548, §1 </w:t>
      </w:r>
      <w:proofErr w:type="spellStart"/>
      <w:r w:rsidRPr="003C438D">
        <w:rPr>
          <w:lang w:val="en-US"/>
        </w:rPr>
        <w:t>Ger.W</w:t>
      </w:r>
      <w:proofErr w:type="spellEnd"/>
      <w:r w:rsidRPr="003C438D">
        <w:rPr>
          <w:lang w:val="en-US"/>
        </w:rPr>
        <w:t>.</w:t>
      </w:r>
    </w:p>
  </w:footnote>
  <w:footnote w:id="177">
    <w:p w14:paraId="74BF1357" w14:textId="26FCE6A0" w:rsidR="005B1119" w:rsidRPr="00DD769A" w:rsidRDefault="005B1119">
      <w:pPr>
        <w:pStyle w:val="Voetnoottekst"/>
        <w:rPr>
          <w:lang w:val="nl-BE"/>
        </w:rPr>
      </w:pPr>
      <w:r>
        <w:rPr>
          <w:rStyle w:val="Voetnootmarkering"/>
        </w:rPr>
        <w:footnoteRef/>
      </w:r>
      <w:r>
        <w:t xml:space="preserve"> </w:t>
      </w:r>
      <w:r>
        <w:rPr>
          <w:i/>
          <w:lang w:val="nl-BE"/>
        </w:rPr>
        <w:t>Ibid.</w:t>
      </w:r>
      <w:r>
        <w:rPr>
          <w:lang w:val="nl-BE"/>
        </w:rPr>
        <w:t xml:space="preserve">, §2 </w:t>
      </w:r>
    </w:p>
  </w:footnote>
  <w:footnote w:id="178">
    <w:p w14:paraId="1AF6C642" w14:textId="6526E52B" w:rsidR="005B1119" w:rsidRPr="00B010C7" w:rsidRDefault="005B1119">
      <w:pPr>
        <w:pStyle w:val="Voetnoottekst"/>
      </w:pPr>
      <w:r>
        <w:rPr>
          <w:rStyle w:val="Voetnootmarkering"/>
        </w:rPr>
        <w:footnoteRef/>
      </w:r>
      <w:r>
        <w:t xml:space="preserve"> zie </w:t>
      </w:r>
      <w:r>
        <w:rPr>
          <w:i/>
        </w:rPr>
        <w:t xml:space="preserve">supra, </w:t>
      </w:r>
      <w:r>
        <w:t>blz.</w:t>
      </w:r>
      <w:r>
        <w:rPr>
          <w:i/>
        </w:rPr>
        <w:t xml:space="preserve">  </w:t>
      </w:r>
      <w:r>
        <w:t>4</w:t>
      </w:r>
    </w:p>
  </w:footnote>
  <w:footnote w:id="179">
    <w:p w14:paraId="68D3A218" w14:textId="06B7BEA7" w:rsidR="005B1119" w:rsidRPr="00026923" w:rsidRDefault="005B1119">
      <w:pPr>
        <w:pStyle w:val="Voetnoottekst"/>
      </w:pPr>
      <w:r>
        <w:rPr>
          <w:rStyle w:val="Voetnootmarkering"/>
        </w:rPr>
        <w:footnoteRef/>
      </w:r>
      <w:r>
        <w:t xml:space="preserve"> zie </w:t>
      </w:r>
      <w:r>
        <w:rPr>
          <w:i/>
        </w:rPr>
        <w:t xml:space="preserve">supra, </w:t>
      </w:r>
      <w:r>
        <w:t>nr. 20.</w:t>
      </w:r>
    </w:p>
  </w:footnote>
  <w:footnote w:id="180">
    <w:p w14:paraId="3E71D9B2" w14:textId="55DB4D8E" w:rsidR="005B1119" w:rsidRPr="00026923" w:rsidRDefault="005B1119">
      <w:pPr>
        <w:pStyle w:val="Voetnoottekst"/>
      </w:pPr>
      <w:r>
        <w:rPr>
          <w:rStyle w:val="Voetnootmarkering"/>
        </w:rPr>
        <w:footnoteRef/>
      </w:r>
      <w:r>
        <w:t xml:space="preserve"> zie </w:t>
      </w:r>
      <w:r>
        <w:rPr>
          <w:i/>
        </w:rPr>
        <w:t xml:space="preserve">supra, </w:t>
      </w:r>
      <w:r>
        <w:t>nr. 21 e.v.</w:t>
      </w:r>
    </w:p>
  </w:footnote>
  <w:footnote w:id="181">
    <w:p w14:paraId="2644982B" w14:textId="7C74E87A" w:rsidR="005B1119" w:rsidRPr="00083FF4" w:rsidRDefault="005B1119">
      <w:pPr>
        <w:pStyle w:val="Voetnoottekst"/>
      </w:pPr>
      <w:r>
        <w:rPr>
          <w:rStyle w:val="Voetnootmarkering"/>
        </w:rPr>
        <w:footnoteRef/>
      </w:r>
      <w:r>
        <w:t xml:space="preserve"> zie </w:t>
      </w:r>
      <w:r>
        <w:rPr>
          <w:i/>
        </w:rPr>
        <w:t xml:space="preserve">supra, </w:t>
      </w:r>
      <w:r>
        <w:t>nr. 14</w:t>
      </w:r>
    </w:p>
  </w:footnote>
  <w:footnote w:id="182">
    <w:p w14:paraId="7B20A747" w14:textId="33751FFE" w:rsidR="005B1119" w:rsidRPr="00E120BF" w:rsidRDefault="005B1119">
      <w:pPr>
        <w:pStyle w:val="Voetnoottekst"/>
      </w:pPr>
      <w:r>
        <w:rPr>
          <w:rStyle w:val="Voetnootmarkering"/>
        </w:rPr>
        <w:footnoteRef/>
      </w:r>
      <w:r>
        <w:t xml:space="preserve"> KB van 2 april 2014 tot uitvoering van de wet van 7 januari 2014 tot wijziging van het statuut van de gerechtsdeurwaarders, </w:t>
      </w:r>
      <w:r>
        <w:rPr>
          <w:i/>
        </w:rPr>
        <w:t xml:space="preserve">BS </w:t>
      </w:r>
      <w:r>
        <w:t>24 april 2014.</w:t>
      </w:r>
    </w:p>
  </w:footnote>
  <w:footnote w:id="183">
    <w:p w14:paraId="62DC1C79" w14:textId="0CB44509" w:rsidR="005B1119" w:rsidRDefault="005B1119">
      <w:pPr>
        <w:pStyle w:val="Voetnoottekst"/>
      </w:pPr>
      <w:r>
        <w:rPr>
          <w:rStyle w:val="Voetnootmarkering"/>
        </w:rPr>
        <w:footnoteRef/>
      </w:r>
      <w:r>
        <w:t xml:space="preserve"> </w:t>
      </w:r>
      <w:r>
        <w:rPr>
          <w:rFonts w:ascii="Calibri" w:hAnsi="Calibri" w:cs="Arial"/>
          <w:lang w:val="nl-BE"/>
        </w:rPr>
        <w:t xml:space="preserve">zie </w:t>
      </w:r>
      <w:r>
        <w:rPr>
          <w:rFonts w:ascii="Calibri" w:hAnsi="Calibri" w:cs="Arial"/>
          <w:i/>
          <w:lang w:val="nl-BE"/>
        </w:rPr>
        <w:t xml:space="preserve">supra, </w:t>
      </w:r>
      <w:r>
        <w:rPr>
          <w:rFonts w:ascii="Calibri" w:hAnsi="Calibri" w:cs="Arial"/>
          <w:lang w:val="nl-BE"/>
        </w:rPr>
        <w:t>deel 2, hoofdstuk 2</w:t>
      </w:r>
    </w:p>
  </w:footnote>
  <w:footnote w:id="184">
    <w:p w14:paraId="0419A74F" w14:textId="77777777" w:rsidR="005B1119" w:rsidRPr="00EF3488" w:rsidRDefault="005B1119" w:rsidP="000E4C7C">
      <w:pPr>
        <w:pStyle w:val="Voetnoottekst"/>
      </w:pPr>
      <w:r>
        <w:rPr>
          <w:rStyle w:val="Voetnootmarkering"/>
        </w:rPr>
        <w:footnoteRef/>
      </w:r>
      <w:r>
        <w:t xml:space="preserve"> P. LOMBARDI, </w:t>
      </w:r>
      <w:r>
        <w:rPr>
          <w:i/>
        </w:rPr>
        <w:t>Het nieuwe statuut van gerechtsdeurwaarders onder de loep</w:t>
      </w:r>
      <w:r>
        <w:t>, RW 2013-2014, nr. 32, 1246.</w:t>
      </w:r>
    </w:p>
  </w:footnote>
  <w:footnote w:id="185">
    <w:p w14:paraId="67343EEA" w14:textId="323574A2" w:rsidR="005B1119" w:rsidRDefault="005B1119" w:rsidP="000E4C7C">
      <w:pPr>
        <w:pStyle w:val="Voetnoottekst"/>
      </w:pPr>
      <w:r>
        <w:rPr>
          <w:rStyle w:val="Voetnootmarkering"/>
        </w:rPr>
        <w:footnoteRef/>
      </w:r>
      <w:r>
        <w:t xml:space="preserve"> Veelal gaat het om betekeningen</w:t>
      </w:r>
      <w:r w:rsidR="008C7FDF">
        <w:t xml:space="preserve"> van dagvaardingen en/of vonnissen</w:t>
      </w:r>
      <w:r>
        <w:t xml:space="preserve"> conform art. 33 e.v. </w:t>
      </w:r>
      <w:proofErr w:type="spellStart"/>
      <w:r>
        <w:t>Ger.W</w:t>
      </w:r>
      <w:proofErr w:type="spellEnd"/>
      <w:r>
        <w:t>.</w:t>
      </w:r>
    </w:p>
  </w:footnote>
  <w:footnote w:id="186">
    <w:p w14:paraId="2FC0AA3B" w14:textId="2EFE74AE" w:rsidR="005B1119" w:rsidRDefault="005B1119">
      <w:pPr>
        <w:pStyle w:val="Voetnoottekst"/>
      </w:pPr>
      <w:r>
        <w:rPr>
          <w:rStyle w:val="Voetnootmarkering"/>
        </w:rPr>
        <w:footnoteRef/>
      </w:r>
      <w:r>
        <w:t xml:space="preserve"> Het verbod voor gerechtsdeurwaarders om tijdens hun plaatsvervanging zelf ambtshandelingen uit te voeren. </w:t>
      </w:r>
    </w:p>
  </w:footnote>
  <w:footnote w:id="187">
    <w:p w14:paraId="1E9B6B44" w14:textId="7D9CE97A" w:rsidR="005B1119" w:rsidRPr="00AF00BB" w:rsidRDefault="005B1119">
      <w:pPr>
        <w:pStyle w:val="Voetnoottekst"/>
      </w:pPr>
      <w:r>
        <w:rPr>
          <w:rStyle w:val="Voetnootmarkering"/>
        </w:rPr>
        <w:footnoteRef/>
      </w:r>
      <w:r>
        <w:t xml:space="preserve"> zie </w:t>
      </w:r>
      <w:r>
        <w:rPr>
          <w:i/>
        </w:rPr>
        <w:t>supra</w:t>
      </w:r>
      <w:r>
        <w:t>, nr. 71.</w:t>
      </w:r>
    </w:p>
  </w:footnote>
  <w:footnote w:id="188">
    <w:p w14:paraId="365AD336" w14:textId="2AFE9B13" w:rsidR="005B1119" w:rsidRPr="00AD029C" w:rsidRDefault="005B1119">
      <w:pPr>
        <w:pStyle w:val="Voetnoottekst"/>
      </w:pPr>
      <w:r>
        <w:rPr>
          <w:rStyle w:val="Voetnootmarkering"/>
        </w:rPr>
        <w:footnoteRef/>
      </w:r>
      <w:r>
        <w:t xml:space="preserve"> zie </w:t>
      </w:r>
      <w:r>
        <w:rPr>
          <w:i/>
        </w:rPr>
        <w:t xml:space="preserve">supra, </w:t>
      </w:r>
      <w:r>
        <w:t>nr. 48</w:t>
      </w:r>
    </w:p>
  </w:footnote>
  <w:footnote w:id="189">
    <w:p w14:paraId="69B075D1" w14:textId="5169D900" w:rsidR="005B1119" w:rsidRDefault="005B1119">
      <w:pPr>
        <w:pStyle w:val="Voetnoottekst"/>
      </w:pPr>
      <w:r>
        <w:rPr>
          <w:rStyle w:val="Voetnootmarkering"/>
        </w:rPr>
        <w:footnoteRef/>
      </w:r>
      <w:r>
        <w:t xml:space="preserve"> zie </w:t>
      </w:r>
      <w:r>
        <w:rPr>
          <w:i/>
        </w:rPr>
        <w:t>supra</w:t>
      </w:r>
      <w:r>
        <w:t>, nr. 48</w:t>
      </w:r>
    </w:p>
  </w:footnote>
  <w:footnote w:id="190">
    <w:p w14:paraId="52518087" w14:textId="3F1CC8A8" w:rsidR="005B1119" w:rsidRDefault="005B1119">
      <w:pPr>
        <w:pStyle w:val="Voetnoottekst"/>
      </w:pPr>
      <w:r>
        <w:rPr>
          <w:rStyle w:val="Voetnootmarkering"/>
        </w:rPr>
        <w:footnoteRef/>
      </w:r>
      <w:r>
        <w:t xml:space="preserve"> Dit is verreikend: van gesloten verbintenissen tot louter materiële zaken of computersoftware (art. 524  </w:t>
      </w:r>
      <w:proofErr w:type="spellStart"/>
      <w:r>
        <w:t>Ger.W</w:t>
      </w:r>
      <w:proofErr w:type="spellEnd"/>
      <w:r>
        <w:t>.).</w:t>
      </w:r>
    </w:p>
  </w:footnote>
  <w:footnote w:id="191">
    <w:p w14:paraId="0D047987" w14:textId="5B6C670A" w:rsidR="005B1119" w:rsidRPr="00A964A4" w:rsidRDefault="005B1119">
      <w:pPr>
        <w:pStyle w:val="Voetnoottekst"/>
      </w:pPr>
      <w:r>
        <w:rPr>
          <w:rStyle w:val="Voetnootmarkering"/>
        </w:rPr>
        <w:footnoteRef/>
      </w:r>
      <w:r>
        <w:t xml:space="preserve"> zie </w:t>
      </w:r>
      <w:r>
        <w:rPr>
          <w:i/>
        </w:rPr>
        <w:t xml:space="preserve">supra, </w:t>
      </w:r>
      <w:r>
        <w:t>nr. 60</w:t>
      </w:r>
    </w:p>
  </w:footnote>
  <w:footnote w:id="192">
    <w:p w14:paraId="5AA8918C" w14:textId="55D87D98" w:rsidR="005B1119" w:rsidRPr="00E20310" w:rsidRDefault="005B1119">
      <w:pPr>
        <w:pStyle w:val="Voetnoottekst"/>
      </w:pPr>
      <w:r>
        <w:rPr>
          <w:rStyle w:val="Voetnootmarkering"/>
        </w:rPr>
        <w:footnoteRef/>
      </w:r>
      <w:r>
        <w:t xml:space="preserve"> zie </w:t>
      </w:r>
      <w:r>
        <w:rPr>
          <w:i/>
        </w:rPr>
        <w:t xml:space="preserve">supra, </w:t>
      </w:r>
      <w:r>
        <w:t>nr. 57</w:t>
      </w:r>
    </w:p>
  </w:footnote>
  <w:footnote w:id="193">
    <w:p w14:paraId="1006CEBE" w14:textId="77777777" w:rsidR="005B1119" w:rsidRPr="00A964A4" w:rsidRDefault="005B1119" w:rsidP="00A964A4">
      <w:pPr>
        <w:pStyle w:val="Voetnoottekst"/>
      </w:pPr>
      <w:r>
        <w:rPr>
          <w:rStyle w:val="Voetnootmarkering"/>
        </w:rPr>
        <w:footnoteRef/>
      </w:r>
      <w:r>
        <w:t xml:space="preserve"> zie </w:t>
      </w:r>
      <w:r>
        <w:rPr>
          <w:i/>
        </w:rPr>
        <w:t xml:space="preserve">supra, </w:t>
      </w:r>
      <w:r>
        <w:t>nr. 5</w:t>
      </w:r>
    </w:p>
  </w:footnote>
  <w:footnote w:id="194">
    <w:p w14:paraId="5117F51A" w14:textId="7649A7B7" w:rsidR="005B1119" w:rsidRPr="0005538C" w:rsidRDefault="005B1119">
      <w:pPr>
        <w:pStyle w:val="Voetnoottekst"/>
      </w:pPr>
      <w:r>
        <w:rPr>
          <w:rStyle w:val="Voetnootmarkering"/>
        </w:rPr>
        <w:footnoteRef/>
      </w:r>
      <w:r>
        <w:t xml:space="preserve"> zie </w:t>
      </w:r>
      <w:r>
        <w:rPr>
          <w:i/>
        </w:rPr>
        <w:t xml:space="preserve">supra, </w:t>
      </w:r>
      <w:r>
        <w:t>nr. 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DD2"/>
    <w:multiLevelType w:val="hybridMultilevel"/>
    <w:tmpl w:val="7F2AF5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3157C1"/>
    <w:multiLevelType w:val="hybridMultilevel"/>
    <w:tmpl w:val="B7220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AC1BE8"/>
    <w:multiLevelType w:val="hybridMultilevel"/>
    <w:tmpl w:val="A08204B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4D575B"/>
    <w:multiLevelType w:val="hybridMultilevel"/>
    <w:tmpl w:val="2A208B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6909AA"/>
    <w:multiLevelType w:val="hybridMultilevel"/>
    <w:tmpl w:val="921A9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832909"/>
    <w:multiLevelType w:val="hybridMultilevel"/>
    <w:tmpl w:val="0AD852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5722F5"/>
    <w:multiLevelType w:val="hybridMultilevel"/>
    <w:tmpl w:val="732CF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DC3CAE"/>
    <w:multiLevelType w:val="hybridMultilevel"/>
    <w:tmpl w:val="26167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321081"/>
    <w:multiLevelType w:val="hybridMultilevel"/>
    <w:tmpl w:val="9168CB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42406A"/>
    <w:multiLevelType w:val="hybridMultilevel"/>
    <w:tmpl w:val="B75CF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635BCB"/>
    <w:multiLevelType w:val="hybridMultilevel"/>
    <w:tmpl w:val="3CE468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7"/>
  </w:num>
  <w:num w:numId="5">
    <w:abstractNumId w:val="1"/>
  </w:num>
  <w:num w:numId="6">
    <w:abstractNumId w:val="2"/>
  </w:num>
  <w:num w:numId="7">
    <w:abstractNumId w:val="6"/>
  </w:num>
  <w:num w:numId="8">
    <w:abstractNumId w:val="8"/>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B9"/>
    <w:rsid w:val="000018CC"/>
    <w:rsid w:val="000023BD"/>
    <w:rsid w:val="00002984"/>
    <w:rsid w:val="000030A3"/>
    <w:rsid w:val="000031BA"/>
    <w:rsid w:val="000031BB"/>
    <w:rsid w:val="00003C6D"/>
    <w:rsid w:val="000110A8"/>
    <w:rsid w:val="000130D6"/>
    <w:rsid w:val="0001670C"/>
    <w:rsid w:val="00020098"/>
    <w:rsid w:val="000217A0"/>
    <w:rsid w:val="00021E58"/>
    <w:rsid w:val="00023631"/>
    <w:rsid w:val="0002454E"/>
    <w:rsid w:val="00024875"/>
    <w:rsid w:val="00026923"/>
    <w:rsid w:val="00032F33"/>
    <w:rsid w:val="0003457A"/>
    <w:rsid w:val="00036670"/>
    <w:rsid w:val="00036F3E"/>
    <w:rsid w:val="00037005"/>
    <w:rsid w:val="00041C65"/>
    <w:rsid w:val="00044340"/>
    <w:rsid w:val="00050138"/>
    <w:rsid w:val="00050A6B"/>
    <w:rsid w:val="000512F9"/>
    <w:rsid w:val="000514BB"/>
    <w:rsid w:val="0005538C"/>
    <w:rsid w:val="00055A03"/>
    <w:rsid w:val="00056474"/>
    <w:rsid w:val="0005653C"/>
    <w:rsid w:val="00057F63"/>
    <w:rsid w:val="00060F62"/>
    <w:rsid w:val="00063181"/>
    <w:rsid w:val="00063EE8"/>
    <w:rsid w:val="00065646"/>
    <w:rsid w:val="00065712"/>
    <w:rsid w:val="00065AB7"/>
    <w:rsid w:val="0006659C"/>
    <w:rsid w:val="0007162E"/>
    <w:rsid w:val="000716AB"/>
    <w:rsid w:val="00071B7B"/>
    <w:rsid w:val="00072183"/>
    <w:rsid w:val="00072743"/>
    <w:rsid w:val="0007357E"/>
    <w:rsid w:val="000739A6"/>
    <w:rsid w:val="00073C9B"/>
    <w:rsid w:val="0007669D"/>
    <w:rsid w:val="000777FF"/>
    <w:rsid w:val="000800E7"/>
    <w:rsid w:val="00080413"/>
    <w:rsid w:val="00080829"/>
    <w:rsid w:val="00082EFA"/>
    <w:rsid w:val="00083FF4"/>
    <w:rsid w:val="00086EB7"/>
    <w:rsid w:val="0008739B"/>
    <w:rsid w:val="000878BB"/>
    <w:rsid w:val="000879AB"/>
    <w:rsid w:val="000920E5"/>
    <w:rsid w:val="00093529"/>
    <w:rsid w:val="00094874"/>
    <w:rsid w:val="00097E4C"/>
    <w:rsid w:val="00097F4E"/>
    <w:rsid w:val="000A0235"/>
    <w:rsid w:val="000A1246"/>
    <w:rsid w:val="000A322C"/>
    <w:rsid w:val="000A5F68"/>
    <w:rsid w:val="000B07DC"/>
    <w:rsid w:val="000B0988"/>
    <w:rsid w:val="000B213F"/>
    <w:rsid w:val="000B2145"/>
    <w:rsid w:val="000B29FB"/>
    <w:rsid w:val="000B38F6"/>
    <w:rsid w:val="000B66A1"/>
    <w:rsid w:val="000C1FC2"/>
    <w:rsid w:val="000C2063"/>
    <w:rsid w:val="000C5CFC"/>
    <w:rsid w:val="000C70F6"/>
    <w:rsid w:val="000C7C50"/>
    <w:rsid w:val="000D1216"/>
    <w:rsid w:val="000D1516"/>
    <w:rsid w:val="000D1EC5"/>
    <w:rsid w:val="000D22C7"/>
    <w:rsid w:val="000D517A"/>
    <w:rsid w:val="000D7465"/>
    <w:rsid w:val="000D7EA0"/>
    <w:rsid w:val="000E1C1F"/>
    <w:rsid w:val="000E2790"/>
    <w:rsid w:val="000E2B6F"/>
    <w:rsid w:val="000E4C7C"/>
    <w:rsid w:val="000E5D53"/>
    <w:rsid w:val="000E5DA1"/>
    <w:rsid w:val="000E69C2"/>
    <w:rsid w:val="000E710A"/>
    <w:rsid w:val="000E77C7"/>
    <w:rsid w:val="000F047A"/>
    <w:rsid w:val="000F22F9"/>
    <w:rsid w:val="000F2384"/>
    <w:rsid w:val="000F2543"/>
    <w:rsid w:val="000F2A01"/>
    <w:rsid w:val="000F395E"/>
    <w:rsid w:val="000F41F7"/>
    <w:rsid w:val="000F7029"/>
    <w:rsid w:val="000F7D68"/>
    <w:rsid w:val="00101ACD"/>
    <w:rsid w:val="0010459E"/>
    <w:rsid w:val="001045F8"/>
    <w:rsid w:val="00104990"/>
    <w:rsid w:val="00105059"/>
    <w:rsid w:val="00111F23"/>
    <w:rsid w:val="00114B97"/>
    <w:rsid w:val="001165BB"/>
    <w:rsid w:val="00117F19"/>
    <w:rsid w:val="001214C0"/>
    <w:rsid w:val="00123685"/>
    <w:rsid w:val="001266B5"/>
    <w:rsid w:val="00130B13"/>
    <w:rsid w:val="00134250"/>
    <w:rsid w:val="00135149"/>
    <w:rsid w:val="001366FD"/>
    <w:rsid w:val="0013771D"/>
    <w:rsid w:val="0014213D"/>
    <w:rsid w:val="00144CFF"/>
    <w:rsid w:val="00145B08"/>
    <w:rsid w:val="001520B1"/>
    <w:rsid w:val="00153A7F"/>
    <w:rsid w:val="00154F98"/>
    <w:rsid w:val="00161DF9"/>
    <w:rsid w:val="00162F10"/>
    <w:rsid w:val="0016314B"/>
    <w:rsid w:val="00164F52"/>
    <w:rsid w:val="00165740"/>
    <w:rsid w:val="00166EC9"/>
    <w:rsid w:val="00167318"/>
    <w:rsid w:val="00170A07"/>
    <w:rsid w:val="001730F4"/>
    <w:rsid w:val="00173DFE"/>
    <w:rsid w:val="001741FE"/>
    <w:rsid w:val="00174BA7"/>
    <w:rsid w:val="00176275"/>
    <w:rsid w:val="00176717"/>
    <w:rsid w:val="00177CCD"/>
    <w:rsid w:val="0018100A"/>
    <w:rsid w:val="00183E5D"/>
    <w:rsid w:val="00186402"/>
    <w:rsid w:val="001902B1"/>
    <w:rsid w:val="001918CE"/>
    <w:rsid w:val="00194639"/>
    <w:rsid w:val="001947F4"/>
    <w:rsid w:val="001949DC"/>
    <w:rsid w:val="00195763"/>
    <w:rsid w:val="00195961"/>
    <w:rsid w:val="00196E57"/>
    <w:rsid w:val="001A02B4"/>
    <w:rsid w:val="001A098C"/>
    <w:rsid w:val="001A1D7C"/>
    <w:rsid w:val="001A2874"/>
    <w:rsid w:val="001A337E"/>
    <w:rsid w:val="001A6C7C"/>
    <w:rsid w:val="001B15B4"/>
    <w:rsid w:val="001B44A2"/>
    <w:rsid w:val="001B46C3"/>
    <w:rsid w:val="001B48EF"/>
    <w:rsid w:val="001B4BAA"/>
    <w:rsid w:val="001C0768"/>
    <w:rsid w:val="001C1B7F"/>
    <w:rsid w:val="001C2CD0"/>
    <w:rsid w:val="001C6971"/>
    <w:rsid w:val="001C7122"/>
    <w:rsid w:val="001D0064"/>
    <w:rsid w:val="001D1A38"/>
    <w:rsid w:val="001D1ABC"/>
    <w:rsid w:val="001D1DF0"/>
    <w:rsid w:val="001D225E"/>
    <w:rsid w:val="001D4750"/>
    <w:rsid w:val="001D4A69"/>
    <w:rsid w:val="001D58AB"/>
    <w:rsid w:val="001D6D93"/>
    <w:rsid w:val="001D72DA"/>
    <w:rsid w:val="001D76DD"/>
    <w:rsid w:val="001E2B78"/>
    <w:rsid w:val="001F0A3C"/>
    <w:rsid w:val="001F0B02"/>
    <w:rsid w:val="001F260D"/>
    <w:rsid w:val="001F3196"/>
    <w:rsid w:val="0020143D"/>
    <w:rsid w:val="00201D56"/>
    <w:rsid w:val="002023C7"/>
    <w:rsid w:val="00202667"/>
    <w:rsid w:val="00202CD9"/>
    <w:rsid w:val="00203982"/>
    <w:rsid w:val="00204AEA"/>
    <w:rsid w:val="00206A76"/>
    <w:rsid w:val="00206FEA"/>
    <w:rsid w:val="002071F0"/>
    <w:rsid w:val="0020722F"/>
    <w:rsid w:val="00207CCB"/>
    <w:rsid w:val="00211CBF"/>
    <w:rsid w:val="00211CC4"/>
    <w:rsid w:val="002124D5"/>
    <w:rsid w:val="002127B8"/>
    <w:rsid w:val="00212A2A"/>
    <w:rsid w:val="002130F2"/>
    <w:rsid w:val="00215783"/>
    <w:rsid w:val="00221C1D"/>
    <w:rsid w:val="00222006"/>
    <w:rsid w:val="00224F6B"/>
    <w:rsid w:val="00227E92"/>
    <w:rsid w:val="00233140"/>
    <w:rsid w:val="00240768"/>
    <w:rsid w:val="00241101"/>
    <w:rsid w:val="0024121F"/>
    <w:rsid w:val="0024152D"/>
    <w:rsid w:val="0024239A"/>
    <w:rsid w:val="0024253B"/>
    <w:rsid w:val="0024535F"/>
    <w:rsid w:val="002455C2"/>
    <w:rsid w:val="002500AC"/>
    <w:rsid w:val="00250128"/>
    <w:rsid w:val="00250290"/>
    <w:rsid w:val="0025153B"/>
    <w:rsid w:val="0025279D"/>
    <w:rsid w:val="002532B7"/>
    <w:rsid w:val="00255292"/>
    <w:rsid w:val="00255BA8"/>
    <w:rsid w:val="002609BE"/>
    <w:rsid w:val="002621EF"/>
    <w:rsid w:val="0026360D"/>
    <w:rsid w:val="002642C8"/>
    <w:rsid w:val="0026696D"/>
    <w:rsid w:val="00270C5A"/>
    <w:rsid w:val="00272837"/>
    <w:rsid w:val="00272C20"/>
    <w:rsid w:val="002752BC"/>
    <w:rsid w:val="00276BFF"/>
    <w:rsid w:val="00277B60"/>
    <w:rsid w:val="00283C8F"/>
    <w:rsid w:val="002849F1"/>
    <w:rsid w:val="00286177"/>
    <w:rsid w:val="00286F72"/>
    <w:rsid w:val="0028796D"/>
    <w:rsid w:val="00287F0F"/>
    <w:rsid w:val="00291A7D"/>
    <w:rsid w:val="00292939"/>
    <w:rsid w:val="0029360C"/>
    <w:rsid w:val="002943EC"/>
    <w:rsid w:val="002953F5"/>
    <w:rsid w:val="002968D9"/>
    <w:rsid w:val="002979CB"/>
    <w:rsid w:val="00297DD5"/>
    <w:rsid w:val="002A0763"/>
    <w:rsid w:val="002A1ACE"/>
    <w:rsid w:val="002A1F98"/>
    <w:rsid w:val="002A22B8"/>
    <w:rsid w:val="002A260A"/>
    <w:rsid w:val="002A6909"/>
    <w:rsid w:val="002A768B"/>
    <w:rsid w:val="002B1CA3"/>
    <w:rsid w:val="002B23D0"/>
    <w:rsid w:val="002B365E"/>
    <w:rsid w:val="002B3AF7"/>
    <w:rsid w:val="002B4277"/>
    <w:rsid w:val="002B49C3"/>
    <w:rsid w:val="002B4C28"/>
    <w:rsid w:val="002B5C40"/>
    <w:rsid w:val="002B6768"/>
    <w:rsid w:val="002C0679"/>
    <w:rsid w:val="002C0D61"/>
    <w:rsid w:val="002C32EA"/>
    <w:rsid w:val="002C37B4"/>
    <w:rsid w:val="002C3884"/>
    <w:rsid w:val="002C3DE5"/>
    <w:rsid w:val="002C5313"/>
    <w:rsid w:val="002C5360"/>
    <w:rsid w:val="002C5BC5"/>
    <w:rsid w:val="002C6249"/>
    <w:rsid w:val="002C6535"/>
    <w:rsid w:val="002C7661"/>
    <w:rsid w:val="002D0B3A"/>
    <w:rsid w:val="002D12E6"/>
    <w:rsid w:val="002D1F72"/>
    <w:rsid w:val="002D269A"/>
    <w:rsid w:val="002D387C"/>
    <w:rsid w:val="002D5082"/>
    <w:rsid w:val="002D74FE"/>
    <w:rsid w:val="002E00E4"/>
    <w:rsid w:val="002E23E0"/>
    <w:rsid w:val="002E3E2C"/>
    <w:rsid w:val="002E3F73"/>
    <w:rsid w:val="002E5943"/>
    <w:rsid w:val="002E67C9"/>
    <w:rsid w:val="002E748D"/>
    <w:rsid w:val="002E7A96"/>
    <w:rsid w:val="002F02BB"/>
    <w:rsid w:val="002F19AB"/>
    <w:rsid w:val="002F4889"/>
    <w:rsid w:val="002F69E8"/>
    <w:rsid w:val="00300D7E"/>
    <w:rsid w:val="00303F16"/>
    <w:rsid w:val="003047CE"/>
    <w:rsid w:val="00305C73"/>
    <w:rsid w:val="00310708"/>
    <w:rsid w:val="00310E0C"/>
    <w:rsid w:val="00311731"/>
    <w:rsid w:val="003123DE"/>
    <w:rsid w:val="00313FEF"/>
    <w:rsid w:val="003145A4"/>
    <w:rsid w:val="00314DC3"/>
    <w:rsid w:val="003157A8"/>
    <w:rsid w:val="003160D8"/>
    <w:rsid w:val="00316CFB"/>
    <w:rsid w:val="00317733"/>
    <w:rsid w:val="00317797"/>
    <w:rsid w:val="00317EB9"/>
    <w:rsid w:val="003204D2"/>
    <w:rsid w:val="00321CF4"/>
    <w:rsid w:val="00323C09"/>
    <w:rsid w:val="0032449A"/>
    <w:rsid w:val="00324D7E"/>
    <w:rsid w:val="003269E7"/>
    <w:rsid w:val="003342E6"/>
    <w:rsid w:val="00336791"/>
    <w:rsid w:val="00337714"/>
    <w:rsid w:val="003419E8"/>
    <w:rsid w:val="0034269C"/>
    <w:rsid w:val="00344786"/>
    <w:rsid w:val="0034563F"/>
    <w:rsid w:val="00345943"/>
    <w:rsid w:val="003510AA"/>
    <w:rsid w:val="003551C4"/>
    <w:rsid w:val="003605E8"/>
    <w:rsid w:val="003609BA"/>
    <w:rsid w:val="00360E5E"/>
    <w:rsid w:val="00362A40"/>
    <w:rsid w:val="003638CC"/>
    <w:rsid w:val="003639CC"/>
    <w:rsid w:val="00363DBF"/>
    <w:rsid w:val="00364A48"/>
    <w:rsid w:val="00365D48"/>
    <w:rsid w:val="00365DA1"/>
    <w:rsid w:val="00365DAA"/>
    <w:rsid w:val="00367639"/>
    <w:rsid w:val="003703CB"/>
    <w:rsid w:val="00370C50"/>
    <w:rsid w:val="003744B0"/>
    <w:rsid w:val="00375C2C"/>
    <w:rsid w:val="00375D8A"/>
    <w:rsid w:val="00380D66"/>
    <w:rsid w:val="003814C7"/>
    <w:rsid w:val="003817FC"/>
    <w:rsid w:val="00381A00"/>
    <w:rsid w:val="00381C18"/>
    <w:rsid w:val="003847F8"/>
    <w:rsid w:val="00385A2B"/>
    <w:rsid w:val="003901EA"/>
    <w:rsid w:val="0039163A"/>
    <w:rsid w:val="003930C3"/>
    <w:rsid w:val="0039404A"/>
    <w:rsid w:val="00394E18"/>
    <w:rsid w:val="003A0F01"/>
    <w:rsid w:val="003A55D3"/>
    <w:rsid w:val="003A7A90"/>
    <w:rsid w:val="003B337F"/>
    <w:rsid w:val="003B68D4"/>
    <w:rsid w:val="003B6D49"/>
    <w:rsid w:val="003C0C03"/>
    <w:rsid w:val="003C303B"/>
    <w:rsid w:val="003C438D"/>
    <w:rsid w:val="003C4C4D"/>
    <w:rsid w:val="003C52FF"/>
    <w:rsid w:val="003C5E22"/>
    <w:rsid w:val="003D4490"/>
    <w:rsid w:val="003D4BAF"/>
    <w:rsid w:val="003D4C52"/>
    <w:rsid w:val="003D6456"/>
    <w:rsid w:val="003D731D"/>
    <w:rsid w:val="003E177D"/>
    <w:rsid w:val="003E1FFE"/>
    <w:rsid w:val="003E4786"/>
    <w:rsid w:val="003E4A6D"/>
    <w:rsid w:val="003E4EB3"/>
    <w:rsid w:val="003E577D"/>
    <w:rsid w:val="003F0391"/>
    <w:rsid w:val="003F3756"/>
    <w:rsid w:val="003F4EA2"/>
    <w:rsid w:val="003F506D"/>
    <w:rsid w:val="003F76B0"/>
    <w:rsid w:val="00402313"/>
    <w:rsid w:val="0040463D"/>
    <w:rsid w:val="004051B1"/>
    <w:rsid w:val="0041250B"/>
    <w:rsid w:val="00413AAF"/>
    <w:rsid w:val="00414553"/>
    <w:rsid w:val="00414DDE"/>
    <w:rsid w:val="00415FA4"/>
    <w:rsid w:val="0041605E"/>
    <w:rsid w:val="004202B0"/>
    <w:rsid w:val="00421782"/>
    <w:rsid w:val="004224C6"/>
    <w:rsid w:val="00424BAB"/>
    <w:rsid w:val="00427DDA"/>
    <w:rsid w:val="00427FE0"/>
    <w:rsid w:val="00431B1A"/>
    <w:rsid w:val="004320E1"/>
    <w:rsid w:val="0043223F"/>
    <w:rsid w:val="00432457"/>
    <w:rsid w:val="00432ED9"/>
    <w:rsid w:val="0043431D"/>
    <w:rsid w:val="00434712"/>
    <w:rsid w:val="00436E10"/>
    <w:rsid w:val="00436FC6"/>
    <w:rsid w:val="004428BF"/>
    <w:rsid w:val="00442C6A"/>
    <w:rsid w:val="00444CB5"/>
    <w:rsid w:val="00445863"/>
    <w:rsid w:val="00446B04"/>
    <w:rsid w:val="0044724A"/>
    <w:rsid w:val="0044727A"/>
    <w:rsid w:val="004507AF"/>
    <w:rsid w:val="00450AFF"/>
    <w:rsid w:val="004544D9"/>
    <w:rsid w:val="00455C28"/>
    <w:rsid w:val="00462563"/>
    <w:rsid w:val="00464A3C"/>
    <w:rsid w:val="00465E13"/>
    <w:rsid w:val="004669BA"/>
    <w:rsid w:val="004673CB"/>
    <w:rsid w:val="00470B50"/>
    <w:rsid w:val="004778EF"/>
    <w:rsid w:val="004807F1"/>
    <w:rsid w:val="0048290D"/>
    <w:rsid w:val="004833E5"/>
    <w:rsid w:val="00484020"/>
    <w:rsid w:val="00484B61"/>
    <w:rsid w:val="00485F5B"/>
    <w:rsid w:val="004864B8"/>
    <w:rsid w:val="00486CCA"/>
    <w:rsid w:val="00490822"/>
    <w:rsid w:val="00492614"/>
    <w:rsid w:val="0049337E"/>
    <w:rsid w:val="004946CB"/>
    <w:rsid w:val="004948A2"/>
    <w:rsid w:val="004953AA"/>
    <w:rsid w:val="004957CA"/>
    <w:rsid w:val="004A2212"/>
    <w:rsid w:val="004A2B01"/>
    <w:rsid w:val="004A6690"/>
    <w:rsid w:val="004A6935"/>
    <w:rsid w:val="004A70ED"/>
    <w:rsid w:val="004B26B3"/>
    <w:rsid w:val="004B34B8"/>
    <w:rsid w:val="004B3C05"/>
    <w:rsid w:val="004B3DFC"/>
    <w:rsid w:val="004B4E26"/>
    <w:rsid w:val="004B5713"/>
    <w:rsid w:val="004C03B9"/>
    <w:rsid w:val="004C12BA"/>
    <w:rsid w:val="004C2730"/>
    <w:rsid w:val="004C2C76"/>
    <w:rsid w:val="004C3B4C"/>
    <w:rsid w:val="004C47B3"/>
    <w:rsid w:val="004C6163"/>
    <w:rsid w:val="004C70B2"/>
    <w:rsid w:val="004D12BB"/>
    <w:rsid w:val="004D2293"/>
    <w:rsid w:val="004D39D4"/>
    <w:rsid w:val="004D40EC"/>
    <w:rsid w:val="004D541C"/>
    <w:rsid w:val="004E35C7"/>
    <w:rsid w:val="004E4401"/>
    <w:rsid w:val="004E62B9"/>
    <w:rsid w:val="004E7CF8"/>
    <w:rsid w:val="004F0433"/>
    <w:rsid w:val="004F287C"/>
    <w:rsid w:val="004F2A35"/>
    <w:rsid w:val="004F2B3B"/>
    <w:rsid w:val="004F327A"/>
    <w:rsid w:val="004F37C2"/>
    <w:rsid w:val="004F3A18"/>
    <w:rsid w:val="004F6416"/>
    <w:rsid w:val="004F7432"/>
    <w:rsid w:val="004F7E48"/>
    <w:rsid w:val="00500081"/>
    <w:rsid w:val="00501094"/>
    <w:rsid w:val="0050442A"/>
    <w:rsid w:val="0050477B"/>
    <w:rsid w:val="00504EA1"/>
    <w:rsid w:val="00506380"/>
    <w:rsid w:val="00506456"/>
    <w:rsid w:val="00506471"/>
    <w:rsid w:val="00506CB2"/>
    <w:rsid w:val="005119E5"/>
    <w:rsid w:val="0051307C"/>
    <w:rsid w:val="005215AC"/>
    <w:rsid w:val="0052381B"/>
    <w:rsid w:val="00523B92"/>
    <w:rsid w:val="00527FF1"/>
    <w:rsid w:val="00530091"/>
    <w:rsid w:val="00530B80"/>
    <w:rsid w:val="005335C5"/>
    <w:rsid w:val="00533864"/>
    <w:rsid w:val="00534582"/>
    <w:rsid w:val="005346E6"/>
    <w:rsid w:val="00542363"/>
    <w:rsid w:val="00545CC6"/>
    <w:rsid w:val="00547423"/>
    <w:rsid w:val="00547C14"/>
    <w:rsid w:val="005500D5"/>
    <w:rsid w:val="005504A1"/>
    <w:rsid w:val="00551840"/>
    <w:rsid w:val="00553740"/>
    <w:rsid w:val="00554A69"/>
    <w:rsid w:val="005557F5"/>
    <w:rsid w:val="00555C61"/>
    <w:rsid w:val="005603C2"/>
    <w:rsid w:val="0056060D"/>
    <w:rsid w:val="005644DE"/>
    <w:rsid w:val="0056597B"/>
    <w:rsid w:val="00565DF0"/>
    <w:rsid w:val="00566327"/>
    <w:rsid w:val="005663AA"/>
    <w:rsid w:val="005710E9"/>
    <w:rsid w:val="0057266C"/>
    <w:rsid w:val="00572A2F"/>
    <w:rsid w:val="00572CEB"/>
    <w:rsid w:val="005733B2"/>
    <w:rsid w:val="00574C9E"/>
    <w:rsid w:val="0057570E"/>
    <w:rsid w:val="00576870"/>
    <w:rsid w:val="00585AC4"/>
    <w:rsid w:val="00586D5C"/>
    <w:rsid w:val="005876D4"/>
    <w:rsid w:val="005906D5"/>
    <w:rsid w:val="00590E56"/>
    <w:rsid w:val="00590F81"/>
    <w:rsid w:val="00590FF1"/>
    <w:rsid w:val="005915DF"/>
    <w:rsid w:val="00596530"/>
    <w:rsid w:val="005A31E2"/>
    <w:rsid w:val="005A7991"/>
    <w:rsid w:val="005B1119"/>
    <w:rsid w:val="005B357C"/>
    <w:rsid w:val="005B45AA"/>
    <w:rsid w:val="005B51B7"/>
    <w:rsid w:val="005B5989"/>
    <w:rsid w:val="005B5EF1"/>
    <w:rsid w:val="005C03B9"/>
    <w:rsid w:val="005C08C2"/>
    <w:rsid w:val="005C0DD5"/>
    <w:rsid w:val="005C29EE"/>
    <w:rsid w:val="005C3104"/>
    <w:rsid w:val="005C4F82"/>
    <w:rsid w:val="005C53F7"/>
    <w:rsid w:val="005C5CEF"/>
    <w:rsid w:val="005C6669"/>
    <w:rsid w:val="005C71FC"/>
    <w:rsid w:val="005C7CD4"/>
    <w:rsid w:val="005D2336"/>
    <w:rsid w:val="005D3C3E"/>
    <w:rsid w:val="005E008D"/>
    <w:rsid w:val="005E05A2"/>
    <w:rsid w:val="005E2051"/>
    <w:rsid w:val="005E23F2"/>
    <w:rsid w:val="005E2574"/>
    <w:rsid w:val="005E2C15"/>
    <w:rsid w:val="005E38D4"/>
    <w:rsid w:val="005E4560"/>
    <w:rsid w:val="005E47B5"/>
    <w:rsid w:val="005E608D"/>
    <w:rsid w:val="005E6715"/>
    <w:rsid w:val="005E6B5C"/>
    <w:rsid w:val="005E6D24"/>
    <w:rsid w:val="005F30EB"/>
    <w:rsid w:val="0060513F"/>
    <w:rsid w:val="0060556A"/>
    <w:rsid w:val="006071ED"/>
    <w:rsid w:val="00607AEF"/>
    <w:rsid w:val="00613899"/>
    <w:rsid w:val="0062349D"/>
    <w:rsid w:val="00624459"/>
    <w:rsid w:val="00626736"/>
    <w:rsid w:val="00627610"/>
    <w:rsid w:val="00630958"/>
    <w:rsid w:val="00631D5D"/>
    <w:rsid w:val="00631F21"/>
    <w:rsid w:val="00633AE1"/>
    <w:rsid w:val="0063582B"/>
    <w:rsid w:val="00637866"/>
    <w:rsid w:val="006405CD"/>
    <w:rsid w:val="00640744"/>
    <w:rsid w:val="00643A25"/>
    <w:rsid w:val="0064492B"/>
    <w:rsid w:val="00645505"/>
    <w:rsid w:val="006458B9"/>
    <w:rsid w:val="00646DAF"/>
    <w:rsid w:val="0064721C"/>
    <w:rsid w:val="00650056"/>
    <w:rsid w:val="00651BF8"/>
    <w:rsid w:val="00653B4A"/>
    <w:rsid w:val="00657AA8"/>
    <w:rsid w:val="00660146"/>
    <w:rsid w:val="006617CF"/>
    <w:rsid w:val="00662325"/>
    <w:rsid w:val="00662B41"/>
    <w:rsid w:val="0066388F"/>
    <w:rsid w:val="00667A3A"/>
    <w:rsid w:val="006705F9"/>
    <w:rsid w:val="006708A7"/>
    <w:rsid w:val="006750D0"/>
    <w:rsid w:val="00675E98"/>
    <w:rsid w:val="00677273"/>
    <w:rsid w:val="00680EAF"/>
    <w:rsid w:val="00681047"/>
    <w:rsid w:val="00687F48"/>
    <w:rsid w:val="0069009D"/>
    <w:rsid w:val="0069152A"/>
    <w:rsid w:val="006917DC"/>
    <w:rsid w:val="00691FE7"/>
    <w:rsid w:val="00695BB9"/>
    <w:rsid w:val="006A02FB"/>
    <w:rsid w:val="006A0C02"/>
    <w:rsid w:val="006A0DD8"/>
    <w:rsid w:val="006A1DE9"/>
    <w:rsid w:val="006A2B30"/>
    <w:rsid w:val="006A60C2"/>
    <w:rsid w:val="006A6C08"/>
    <w:rsid w:val="006B02B3"/>
    <w:rsid w:val="006B0C77"/>
    <w:rsid w:val="006B227F"/>
    <w:rsid w:val="006B261A"/>
    <w:rsid w:val="006C0BF6"/>
    <w:rsid w:val="006C106E"/>
    <w:rsid w:val="006C1DBA"/>
    <w:rsid w:val="006C4CDF"/>
    <w:rsid w:val="006C5391"/>
    <w:rsid w:val="006C56FB"/>
    <w:rsid w:val="006C5ECB"/>
    <w:rsid w:val="006C66C7"/>
    <w:rsid w:val="006D0C74"/>
    <w:rsid w:val="006D0FDF"/>
    <w:rsid w:val="006D271A"/>
    <w:rsid w:val="006D358F"/>
    <w:rsid w:val="006D3C20"/>
    <w:rsid w:val="006D5F8E"/>
    <w:rsid w:val="006D7471"/>
    <w:rsid w:val="006E32BD"/>
    <w:rsid w:val="006E452B"/>
    <w:rsid w:val="006E4BDF"/>
    <w:rsid w:val="006E741F"/>
    <w:rsid w:val="006E78F4"/>
    <w:rsid w:val="006F2080"/>
    <w:rsid w:val="006F5161"/>
    <w:rsid w:val="0070009C"/>
    <w:rsid w:val="007011D7"/>
    <w:rsid w:val="00703021"/>
    <w:rsid w:val="007042B3"/>
    <w:rsid w:val="007060D7"/>
    <w:rsid w:val="00707322"/>
    <w:rsid w:val="00707E18"/>
    <w:rsid w:val="007125E5"/>
    <w:rsid w:val="007147BC"/>
    <w:rsid w:val="00715F09"/>
    <w:rsid w:val="00716661"/>
    <w:rsid w:val="00717D77"/>
    <w:rsid w:val="007201B5"/>
    <w:rsid w:val="00721BE8"/>
    <w:rsid w:val="00723EEF"/>
    <w:rsid w:val="00724615"/>
    <w:rsid w:val="0072536B"/>
    <w:rsid w:val="00726AD9"/>
    <w:rsid w:val="007300C0"/>
    <w:rsid w:val="007306F9"/>
    <w:rsid w:val="00730F3C"/>
    <w:rsid w:val="007317E7"/>
    <w:rsid w:val="00732E82"/>
    <w:rsid w:val="007336FF"/>
    <w:rsid w:val="00734471"/>
    <w:rsid w:val="00735074"/>
    <w:rsid w:val="00736A66"/>
    <w:rsid w:val="00736CDC"/>
    <w:rsid w:val="007374D4"/>
    <w:rsid w:val="007404F3"/>
    <w:rsid w:val="00741A44"/>
    <w:rsid w:val="0074627D"/>
    <w:rsid w:val="00746A42"/>
    <w:rsid w:val="00752078"/>
    <w:rsid w:val="00752605"/>
    <w:rsid w:val="00753B1A"/>
    <w:rsid w:val="00753D07"/>
    <w:rsid w:val="0075468D"/>
    <w:rsid w:val="00755C80"/>
    <w:rsid w:val="00761034"/>
    <w:rsid w:val="00763005"/>
    <w:rsid w:val="007631B2"/>
    <w:rsid w:val="00766D27"/>
    <w:rsid w:val="00770000"/>
    <w:rsid w:val="0077076A"/>
    <w:rsid w:val="007711D6"/>
    <w:rsid w:val="00772887"/>
    <w:rsid w:val="0077344E"/>
    <w:rsid w:val="00777DF6"/>
    <w:rsid w:val="007800DC"/>
    <w:rsid w:val="00780886"/>
    <w:rsid w:val="00783B85"/>
    <w:rsid w:val="00783F65"/>
    <w:rsid w:val="0079080D"/>
    <w:rsid w:val="00792AF8"/>
    <w:rsid w:val="00792FAB"/>
    <w:rsid w:val="00796A14"/>
    <w:rsid w:val="0079719D"/>
    <w:rsid w:val="0079790D"/>
    <w:rsid w:val="007A0705"/>
    <w:rsid w:val="007A0FF7"/>
    <w:rsid w:val="007A28F1"/>
    <w:rsid w:val="007A3440"/>
    <w:rsid w:val="007A617C"/>
    <w:rsid w:val="007B05E7"/>
    <w:rsid w:val="007B0BA0"/>
    <w:rsid w:val="007B0C02"/>
    <w:rsid w:val="007B19F5"/>
    <w:rsid w:val="007B3992"/>
    <w:rsid w:val="007B735D"/>
    <w:rsid w:val="007C1E80"/>
    <w:rsid w:val="007C238B"/>
    <w:rsid w:val="007C428D"/>
    <w:rsid w:val="007C4F5C"/>
    <w:rsid w:val="007D038B"/>
    <w:rsid w:val="007D2C05"/>
    <w:rsid w:val="007D2F90"/>
    <w:rsid w:val="007D3E62"/>
    <w:rsid w:val="007D5D38"/>
    <w:rsid w:val="007D6248"/>
    <w:rsid w:val="007E137B"/>
    <w:rsid w:val="007E3DE2"/>
    <w:rsid w:val="007E452B"/>
    <w:rsid w:val="007E45CC"/>
    <w:rsid w:val="007E5558"/>
    <w:rsid w:val="007E5B28"/>
    <w:rsid w:val="007F133B"/>
    <w:rsid w:val="007F1A3A"/>
    <w:rsid w:val="007F1D99"/>
    <w:rsid w:val="007F39D3"/>
    <w:rsid w:val="007F5D8B"/>
    <w:rsid w:val="007F6E5F"/>
    <w:rsid w:val="007F6F49"/>
    <w:rsid w:val="0080099B"/>
    <w:rsid w:val="00801826"/>
    <w:rsid w:val="00802A5C"/>
    <w:rsid w:val="008035A5"/>
    <w:rsid w:val="008036F8"/>
    <w:rsid w:val="00804A14"/>
    <w:rsid w:val="00806D49"/>
    <w:rsid w:val="008079F2"/>
    <w:rsid w:val="00812118"/>
    <w:rsid w:val="008121CE"/>
    <w:rsid w:val="008133E0"/>
    <w:rsid w:val="0081341D"/>
    <w:rsid w:val="008145B0"/>
    <w:rsid w:val="0081574C"/>
    <w:rsid w:val="00815A2B"/>
    <w:rsid w:val="00815A59"/>
    <w:rsid w:val="00816AC7"/>
    <w:rsid w:val="00816CD0"/>
    <w:rsid w:val="00816FDF"/>
    <w:rsid w:val="00817F86"/>
    <w:rsid w:val="00820A90"/>
    <w:rsid w:val="0082582D"/>
    <w:rsid w:val="00826240"/>
    <w:rsid w:val="00827B3F"/>
    <w:rsid w:val="0083007D"/>
    <w:rsid w:val="00831619"/>
    <w:rsid w:val="00840CE9"/>
    <w:rsid w:val="0084537B"/>
    <w:rsid w:val="00847C65"/>
    <w:rsid w:val="00851327"/>
    <w:rsid w:val="00851D19"/>
    <w:rsid w:val="008521A2"/>
    <w:rsid w:val="00855CC4"/>
    <w:rsid w:val="0085697A"/>
    <w:rsid w:val="0086006B"/>
    <w:rsid w:val="00862222"/>
    <w:rsid w:val="008622FD"/>
    <w:rsid w:val="00862B33"/>
    <w:rsid w:val="00864F4E"/>
    <w:rsid w:val="00865E88"/>
    <w:rsid w:val="00871295"/>
    <w:rsid w:val="00871CA0"/>
    <w:rsid w:val="008721B2"/>
    <w:rsid w:val="008721BB"/>
    <w:rsid w:val="008723BF"/>
    <w:rsid w:val="00874E13"/>
    <w:rsid w:val="00875083"/>
    <w:rsid w:val="008754AF"/>
    <w:rsid w:val="00877568"/>
    <w:rsid w:val="00877C59"/>
    <w:rsid w:val="00882B1D"/>
    <w:rsid w:val="008832F1"/>
    <w:rsid w:val="00884170"/>
    <w:rsid w:val="00886F77"/>
    <w:rsid w:val="00887013"/>
    <w:rsid w:val="0089026C"/>
    <w:rsid w:val="008902DE"/>
    <w:rsid w:val="00890F77"/>
    <w:rsid w:val="008964A0"/>
    <w:rsid w:val="00896A1F"/>
    <w:rsid w:val="008A1330"/>
    <w:rsid w:val="008A2D56"/>
    <w:rsid w:val="008A3E0C"/>
    <w:rsid w:val="008A46AD"/>
    <w:rsid w:val="008A4E3E"/>
    <w:rsid w:val="008A612A"/>
    <w:rsid w:val="008A6258"/>
    <w:rsid w:val="008B02DE"/>
    <w:rsid w:val="008B3DFA"/>
    <w:rsid w:val="008B3FB8"/>
    <w:rsid w:val="008B5F72"/>
    <w:rsid w:val="008C4C85"/>
    <w:rsid w:val="008C5718"/>
    <w:rsid w:val="008C7289"/>
    <w:rsid w:val="008C7FDF"/>
    <w:rsid w:val="008D128F"/>
    <w:rsid w:val="008D21F9"/>
    <w:rsid w:val="008D3A64"/>
    <w:rsid w:val="008D4BF7"/>
    <w:rsid w:val="008D6BA8"/>
    <w:rsid w:val="008E2369"/>
    <w:rsid w:val="008E236C"/>
    <w:rsid w:val="008E2CB8"/>
    <w:rsid w:val="008E6246"/>
    <w:rsid w:val="008E65A4"/>
    <w:rsid w:val="008E680E"/>
    <w:rsid w:val="008E6AB8"/>
    <w:rsid w:val="008E6C4B"/>
    <w:rsid w:val="008F0ED5"/>
    <w:rsid w:val="008F1142"/>
    <w:rsid w:val="008F1AD6"/>
    <w:rsid w:val="008F2C7D"/>
    <w:rsid w:val="008F7EA8"/>
    <w:rsid w:val="00900A2B"/>
    <w:rsid w:val="00901E0D"/>
    <w:rsid w:val="009026CB"/>
    <w:rsid w:val="00903DC3"/>
    <w:rsid w:val="009058A6"/>
    <w:rsid w:val="00906108"/>
    <w:rsid w:val="009065EF"/>
    <w:rsid w:val="00911859"/>
    <w:rsid w:val="00914643"/>
    <w:rsid w:val="00914872"/>
    <w:rsid w:val="00914B94"/>
    <w:rsid w:val="00916CF4"/>
    <w:rsid w:val="009216B7"/>
    <w:rsid w:val="00922508"/>
    <w:rsid w:val="00922E93"/>
    <w:rsid w:val="009237D7"/>
    <w:rsid w:val="00932004"/>
    <w:rsid w:val="0093254E"/>
    <w:rsid w:val="00932BB6"/>
    <w:rsid w:val="00936512"/>
    <w:rsid w:val="00936997"/>
    <w:rsid w:val="00936FC7"/>
    <w:rsid w:val="00941BBC"/>
    <w:rsid w:val="009422F0"/>
    <w:rsid w:val="00944514"/>
    <w:rsid w:val="00944805"/>
    <w:rsid w:val="00945FF5"/>
    <w:rsid w:val="00946C9B"/>
    <w:rsid w:val="00947620"/>
    <w:rsid w:val="00952C27"/>
    <w:rsid w:val="00954BB3"/>
    <w:rsid w:val="00955C29"/>
    <w:rsid w:val="00956987"/>
    <w:rsid w:val="00963849"/>
    <w:rsid w:val="00965774"/>
    <w:rsid w:val="00970667"/>
    <w:rsid w:val="009725D7"/>
    <w:rsid w:val="00974B21"/>
    <w:rsid w:val="00974D59"/>
    <w:rsid w:val="00976F5E"/>
    <w:rsid w:val="00976F77"/>
    <w:rsid w:val="009805C9"/>
    <w:rsid w:val="00980949"/>
    <w:rsid w:val="00983135"/>
    <w:rsid w:val="0098352A"/>
    <w:rsid w:val="009852BB"/>
    <w:rsid w:val="009876A1"/>
    <w:rsid w:val="00990A58"/>
    <w:rsid w:val="00992A88"/>
    <w:rsid w:val="00994913"/>
    <w:rsid w:val="0099508E"/>
    <w:rsid w:val="00995108"/>
    <w:rsid w:val="0099691E"/>
    <w:rsid w:val="009A055C"/>
    <w:rsid w:val="009A0B35"/>
    <w:rsid w:val="009A0C04"/>
    <w:rsid w:val="009A13F6"/>
    <w:rsid w:val="009A4F59"/>
    <w:rsid w:val="009A562A"/>
    <w:rsid w:val="009A5BB5"/>
    <w:rsid w:val="009A604A"/>
    <w:rsid w:val="009A6076"/>
    <w:rsid w:val="009A67FD"/>
    <w:rsid w:val="009B40F9"/>
    <w:rsid w:val="009B4F60"/>
    <w:rsid w:val="009B5D4D"/>
    <w:rsid w:val="009C1091"/>
    <w:rsid w:val="009C1D35"/>
    <w:rsid w:val="009C1E67"/>
    <w:rsid w:val="009C32E2"/>
    <w:rsid w:val="009C4CEA"/>
    <w:rsid w:val="009C62E9"/>
    <w:rsid w:val="009D2490"/>
    <w:rsid w:val="009D26F7"/>
    <w:rsid w:val="009D5D36"/>
    <w:rsid w:val="009D72F1"/>
    <w:rsid w:val="009E0146"/>
    <w:rsid w:val="009E10FE"/>
    <w:rsid w:val="009E1A80"/>
    <w:rsid w:val="009E1A91"/>
    <w:rsid w:val="009E3F92"/>
    <w:rsid w:val="009E4711"/>
    <w:rsid w:val="009E48A0"/>
    <w:rsid w:val="009E50D7"/>
    <w:rsid w:val="009E55AB"/>
    <w:rsid w:val="009F174C"/>
    <w:rsid w:val="009F2C38"/>
    <w:rsid w:val="009F41D0"/>
    <w:rsid w:val="009F5291"/>
    <w:rsid w:val="009F6A77"/>
    <w:rsid w:val="00A002E1"/>
    <w:rsid w:val="00A0226C"/>
    <w:rsid w:val="00A0254F"/>
    <w:rsid w:val="00A02FD2"/>
    <w:rsid w:val="00A036A9"/>
    <w:rsid w:val="00A04CBD"/>
    <w:rsid w:val="00A0598E"/>
    <w:rsid w:val="00A0614B"/>
    <w:rsid w:val="00A06264"/>
    <w:rsid w:val="00A07030"/>
    <w:rsid w:val="00A0738E"/>
    <w:rsid w:val="00A10472"/>
    <w:rsid w:val="00A12D96"/>
    <w:rsid w:val="00A13445"/>
    <w:rsid w:val="00A13E14"/>
    <w:rsid w:val="00A14881"/>
    <w:rsid w:val="00A16032"/>
    <w:rsid w:val="00A1674B"/>
    <w:rsid w:val="00A17569"/>
    <w:rsid w:val="00A20B92"/>
    <w:rsid w:val="00A214C3"/>
    <w:rsid w:val="00A217B1"/>
    <w:rsid w:val="00A22145"/>
    <w:rsid w:val="00A2586E"/>
    <w:rsid w:val="00A27B6F"/>
    <w:rsid w:val="00A27FF1"/>
    <w:rsid w:val="00A329F5"/>
    <w:rsid w:val="00A3494C"/>
    <w:rsid w:val="00A34B1F"/>
    <w:rsid w:val="00A352C7"/>
    <w:rsid w:val="00A42D5D"/>
    <w:rsid w:val="00A43828"/>
    <w:rsid w:val="00A43BB9"/>
    <w:rsid w:val="00A470C5"/>
    <w:rsid w:val="00A47CBD"/>
    <w:rsid w:val="00A52AC0"/>
    <w:rsid w:val="00A52F84"/>
    <w:rsid w:val="00A534C2"/>
    <w:rsid w:val="00A53509"/>
    <w:rsid w:val="00A54588"/>
    <w:rsid w:val="00A556A2"/>
    <w:rsid w:val="00A55868"/>
    <w:rsid w:val="00A57BDA"/>
    <w:rsid w:val="00A60DC5"/>
    <w:rsid w:val="00A6153C"/>
    <w:rsid w:val="00A6188E"/>
    <w:rsid w:val="00A6272C"/>
    <w:rsid w:val="00A6303E"/>
    <w:rsid w:val="00A70917"/>
    <w:rsid w:val="00A709A1"/>
    <w:rsid w:val="00A70ADF"/>
    <w:rsid w:val="00A71D85"/>
    <w:rsid w:val="00A742AA"/>
    <w:rsid w:val="00A76B14"/>
    <w:rsid w:val="00A774DA"/>
    <w:rsid w:val="00A776EC"/>
    <w:rsid w:val="00A7787B"/>
    <w:rsid w:val="00A809EB"/>
    <w:rsid w:val="00A80A62"/>
    <w:rsid w:val="00A816EC"/>
    <w:rsid w:val="00A8215B"/>
    <w:rsid w:val="00A8280D"/>
    <w:rsid w:val="00A82833"/>
    <w:rsid w:val="00A830FB"/>
    <w:rsid w:val="00A83BF0"/>
    <w:rsid w:val="00A853B1"/>
    <w:rsid w:val="00A859CA"/>
    <w:rsid w:val="00A9114E"/>
    <w:rsid w:val="00A920CE"/>
    <w:rsid w:val="00A92A2B"/>
    <w:rsid w:val="00A93706"/>
    <w:rsid w:val="00A93895"/>
    <w:rsid w:val="00A964A4"/>
    <w:rsid w:val="00A97B3F"/>
    <w:rsid w:val="00AA0A4C"/>
    <w:rsid w:val="00AA11F8"/>
    <w:rsid w:val="00AA67F2"/>
    <w:rsid w:val="00AA72E7"/>
    <w:rsid w:val="00AB1055"/>
    <w:rsid w:val="00AB2605"/>
    <w:rsid w:val="00AB3763"/>
    <w:rsid w:val="00AB4AA7"/>
    <w:rsid w:val="00AB4C14"/>
    <w:rsid w:val="00AB6626"/>
    <w:rsid w:val="00AB6F4C"/>
    <w:rsid w:val="00AB7D74"/>
    <w:rsid w:val="00AC07ED"/>
    <w:rsid w:val="00AC1229"/>
    <w:rsid w:val="00AC3C8D"/>
    <w:rsid w:val="00AC69AA"/>
    <w:rsid w:val="00AD029C"/>
    <w:rsid w:val="00AD0589"/>
    <w:rsid w:val="00AD0D66"/>
    <w:rsid w:val="00AD3807"/>
    <w:rsid w:val="00AD4A15"/>
    <w:rsid w:val="00AD4FC7"/>
    <w:rsid w:val="00AD5EC1"/>
    <w:rsid w:val="00AD7409"/>
    <w:rsid w:val="00AD76BE"/>
    <w:rsid w:val="00AE0C8B"/>
    <w:rsid w:val="00AE723D"/>
    <w:rsid w:val="00AF00BB"/>
    <w:rsid w:val="00AF27E3"/>
    <w:rsid w:val="00AF2B63"/>
    <w:rsid w:val="00AF300A"/>
    <w:rsid w:val="00AF31B3"/>
    <w:rsid w:val="00AF6E44"/>
    <w:rsid w:val="00AF7993"/>
    <w:rsid w:val="00B010C7"/>
    <w:rsid w:val="00B01DD0"/>
    <w:rsid w:val="00B049BE"/>
    <w:rsid w:val="00B056E6"/>
    <w:rsid w:val="00B07237"/>
    <w:rsid w:val="00B118D2"/>
    <w:rsid w:val="00B118E7"/>
    <w:rsid w:val="00B1207A"/>
    <w:rsid w:val="00B12402"/>
    <w:rsid w:val="00B168E3"/>
    <w:rsid w:val="00B17E5D"/>
    <w:rsid w:val="00B203DD"/>
    <w:rsid w:val="00B21048"/>
    <w:rsid w:val="00B21E3D"/>
    <w:rsid w:val="00B23239"/>
    <w:rsid w:val="00B2343A"/>
    <w:rsid w:val="00B24299"/>
    <w:rsid w:val="00B246CA"/>
    <w:rsid w:val="00B2568F"/>
    <w:rsid w:val="00B2610C"/>
    <w:rsid w:val="00B31478"/>
    <w:rsid w:val="00B35176"/>
    <w:rsid w:val="00B354BD"/>
    <w:rsid w:val="00B36B67"/>
    <w:rsid w:val="00B37088"/>
    <w:rsid w:val="00B408A8"/>
    <w:rsid w:val="00B4532B"/>
    <w:rsid w:val="00B461A5"/>
    <w:rsid w:val="00B505D7"/>
    <w:rsid w:val="00B50920"/>
    <w:rsid w:val="00B51B88"/>
    <w:rsid w:val="00B51C69"/>
    <w:rsid w:val="00B53FFB"/>
    <w:rsid w:val="00B55B1F"/>
    <w:rsid w:val="00B56EB5"/>
    <w:rsid w:val="00B616EC"/>
    <w:rsid w:val="00B61E09"/>
    <w:rsid w:val="00B62AE8"/>
    <w:rsid w:val="00B644BB"/>
    <w:rsid w:val="00B64802"/>
    <w:rsid w:val="00B6548A"/>
    <w:rsid w:val="00B66637"/>
    <w:rsid w:val="00B67C27"/>
    <w:rsid w:val="00B70266"/>
    <w:rsid w:val="00B7237D"/>
    <w:rsid w:val="00B73BC9"/>
    <w:rsid w:val="00B74CE2"/>
    <w:rsid w:val="00B7694E"/>
    <w:rsid w:val="00B800FE"/>
    <w:rsid w:val="00B8086F"/>
    <w:rsid w:val="00B826D6"/>
    <w:rsid w:val="00B82BD0"/>
    <w:rsid w:val="00B830D3"/>
    <w:rsid w:val="00B84892"/>
    <w:rsid w:val="00B8511F"/>
    <w:rsid w:val="00B86283"/>
    <w:rsid w:val="00B86CA7"/>
    <w:rsid w:val="00B86F50"/>
    <w:rsid w:val="00B90DC1"/>
    <w:rsid w:val="00B913CE"/>
    <w:rsid w:val="00B92CA3"/>
    <w:rsid w:val="00B93F0C"/>
    <w:rsid w:val="00B94471"/>
    <w:rsid w:val="00B9500C"/>
    <w:rsid w:val="00B962D5"/>
    <w:rsid w:val="00B9705C"/>
    <w:rsid w:val="00BA40B7"/>
    <w:rsid w:val="00BA6A95"/>
    <w:rsid w:val="00BA73CB"/>
    <w:rsid w:val="00BB0521"/>
    <w:rsid w:val="00BB1518"/>
    <w:rsid w:val="00BB2B06"/>
    <w:rsid w:val="00BB399A"/>
    <w:rsid w:val="00BB3F04"/>
    <w:rsid w:val="00BB69B8"/>
    <w:rsid w:val="00BB7F84"/>
    <w:rsid w:val="00BC0F91"/>
    <w:rsid w:val="00BC40BD"/>
    <w:rsid w:val="00BC55A8"/>
    <w:rsid w:val="00BC5F6A"/>
    <w:rsid w:val="00BC625F"/>
    <w:rsid w:val="00BC6512"/>
    <w:rsid w:val="00BD1658"/>
    <w:rsid w:val="00BD54CE"/>
    <w:rsid w:val="00BE0CFF"/>
    <w:rsid w:val="00BE1277"/>
    <w:rsid w:val="00BE201E"/>
    <w:rsid w:val="00BE2890"/>
    <w:rsid w:val="00BE2BA2"/>
    <w:rsid w:val="00BE32AE"/>
    <w:rsid w:val="00BE3ED3"/>
    <w:rsid w:val="00BE486A"/>
    <w:rsid w:val="00BE505D"/>
    <w:rsid w:val="00BE5AE4"/>
    <w:rsid w:val="00BE6077"/>
    <w:rsid w:val="00BE6DD4"/>
    <w:rsid w:val="00BE712A"/>
    <w:rsid w:val="00BF0750"/>
    <w:rsid w:val="00BF42A1"/>
    <w:rsid w:val="00BF6040"/>
    <w:rsid w:val="00BF723B"/>
    <w:rsid w:val="00C016FA"/>
    <w:rsid w:val="00C03408"/>
    <w:rsid w:val="00C04DEC"/>
    <w:rsid w:val="00C05E21"/>
    <w:rsid w:val="00C075E7"/>
    <w:rsid w:val="00C104F5"/>
    <w:rsid w:val="00C11972"/>
    <w:rsid w:val="00C12F34"/>
    <w:rsid w:val="00C140C1"/>
    <w:rsid w:val="00C1460E"/>
    <w:rsid w:val="00C147B6"/>
    <w:rsid w:val="00C157EB"/>
    <w:rsid w:val="00C2014C"/>
    <w:rsid w:val="00C20B68"/>
    <w:rsid w:val="00C22A77"/>
    <w:rsid w:val="00C326A1"/>
    <w:rsid w:val="00C32832"/>
    <w:rsid w:val="00C3326B"/>
    <w:rsid w:val="00C334AF"/>
    <w:rsid w:val="00C33A00"/>
    <w:rsid w:val="00C34BA5"/>
    <w:rsid w:val="00C35A12"/>
    <w:rsid w:val="00C361C7"/>
    <w:rsid w:val="00C36AC6"/>
    <w:rsid w:val="00C37417"/>
    <w:rsid w:val="00C42DDC"/>
    <w:rsid w:val="00C45062"/>
    <w:rsid w:val="00C51914"/>
    <w:rsid w:val="00C52CB4"/>
    <w:rsid w:val="00C52CDC"/>
    <w:rsid w:val="00C5559E"/>
    <w:rsid w:val="00C578A1"/>
    <w:rsid w:val="00C57C24"/>
    <w:rsid w:val="00C608FC"/>
    <w:rsid w:val="00C60FEB"/>
    <w:rsid w:val="00C65F93"/>
    <w:rsid w:val="00C6775C"/>
    <w:rsid w:val="00C723BC"/>
    <w:rsid w:val="00C72964"/>
    <w:rsid w:val="00C7533C"/>
    <w:rsid w:val="00C75526"/>
    <w:rsid w:val="00C7560E"/>
    <w:rsid w:val="00C80CE2"/>
    <w:rsid w:val="00C85301"/>
    <w:rsid w:val="00C90378"/>
    <w:rsid w:val="00C9358F"/>
    <w:rsid w:val="00C94510"/>
    <w:rsid w:val="00C95694"/>
    <w:rsid w:val="00CA1535"/>
    <w:rsid w:val="00CA7E46"/>
    <w:rsid w:val="00CB199B"/>
    <w:rsid w:val="00CB1EE4"/>
    <w:rsid w:val="00CB31BD"/>
    <w:rsid w:val="00CB5A2C"/>
    <w:rsid w:val="00CC0379"/>
    <w:rsid w:val="00CC08D0"/>
    <w:rsid w:val="00CC095C"/>
    <w:rsid w:val="00CC0F73"/>
    <w:rsid w:val="00CC6BEE"/>
    <w:rsid w:val="00CD1C26"/>
    <w:rsid w:val="00CD277C"/>
    <w:rsid w:val="00CD43E6"/>
    <w:rsid w:val="00CD6943"/>
    <w:rsid w:val="00CD76F5"/>
    <w:rsid w:val="00CD7792"/>
    <w:rsid w:val="00CE2B2B"/>
    <w:rsid w:val="00CE34A7"/>
    <w:rsid w:val="00CE36F0"/>
    <w:rsid w:val="00CE5C37"/>
    <w:rsid w:val="00CE6018"/>
    <w:rsid w:val="00CF1E87"/>
    <w:rsid w:val="00CF220E"/>
    <w:rsid w:val="00CF34AD"/>
    <w:rsid w:val="00CF35E3"/>
    <w:rsid w:val="00CF3B40"/>
    <w:rsid w:val="00CF4EBA"/>
    <w:rsid w:val="00CF5A5F"/>
    <w:rsid w:val="00CF730B"/>
    <w:rsid w:val="00CF7451"/>
    <w:rsid w:val="00CF75C8"/>
    <w:rsid w:val="00CF7AA3"/>
    <w:rsid w:val="00D024EB"/>
    <w:rsid w:val="00D068D8"/>
    <w:rsid w:val="00D079E9"/>
    <w:rsid w:val="00D10EA4"/>
    <w:rsid w:val="00D14F05"/>
    <w:rsid w:val="00D15916"/>
    <w:rsid w:val="00D17A3E"/>
    <w:rsid w:val="00D206AE"/>
    <w:rsid w:val="00D20952"/>
    <w:rsid w:val="00D20CA9"/>
    <w:rsid w:val="00D22219"/>
    <w:rsid w:val="00D22313"/>
    <w:rsid w:val="00D24417"/>
    <w:rsid w:val="00D272E0"/>
    <w:rsid w:val="00D31A41"/>
    <w:rsid w:val="00D31F12"/>
    <w:rsid w:val="00D3337B"/>
    <w:rsid w:val="00D358DC"/>
    <w:rsid w:val="00D35C93"/>
    <w:rsid w:val="00D409A9"/>
    <w:rsid w:val="00D4103B"/>
    <w:rsid w:val="00D41F85"/>
    <w:rsid w:val="00D42516"/>
    <w:rsid w:val="00D44BC5"/>
    <w:rsid w:val="00D45056"/>
    <w:rsid w:val="00D46DE7"/>
    <w:rsid w:val="00D478C4"/>
    <w:rsid w:val="00D508C6"/>
    <w:rsid w:val="00D50C93"/>
    <w:rsid w:val="00D51291"/>
    <w:rsid w:val="00D5198D"/>
    <w:rsid w:val="00D51AAB"/>
    <w:rsid w:val="00D538D7"/>
    <w:rsid w:val="00D63723"/>
    <w:rsid w:val="00D658EF"/>
    <w:rsid w:val="00D65DC3"/>
    <w:rsid w:val="00D67092"/>
    <w:rsid w:val="00D70CC5"/>
    <w:rsid w:val="00D7256B"/>
    <w:rsid w:val="00D734E6"/>
    <w:rsid w:val="00D743F6"/>
    <w:rsid w:val="00D74BE6"/>
    <w:rsid w:val="00D7636D"/>
    <w:rsid w:val="00D80194"/>
    <w:rsid w:val="00D80788"/>
    <w:rsid w:val="00D81EFD"/>
    <w:rsid w:val="00D8242F"/>
    <w:rsid w:val="00D83E08"/>
    <w:rsid w:val="00D86F4A"/>
    <w:rsid w:val="00D9172E"/>
    <w:rsid w:val="00D91F8E"/>
    <w:rsid w:val="00D922EA"/>
    <w:rsid w:val="00D92BAB"/>
    <w:rsid w:val="00D942BF"/>
    <w:rsid w:val="00D9659C"/>
    <w:rsid w:val="00D972EA"/>
    <w:rsid w:val="00DA1D79"/>
    <w:rsid w:val="00DA2F8B"/>
    <w:rsid w:val="00DA5761"/>
    <w:rsid w:val="00DA57DA"/>
    <w:rsid w:val="00DB1D54"/>
    <w:rsid w:val="00DB2C1C"/>
    <w:rsid w:val="00DB41F9"/>
    <w:rsid w:val="00DB5788"/>
    <w:rsid w:val="00DC20A7"/>
    <w:rsid w:val="00DC3B0E"/>
    <w:rsid w:val="00DC5276"/>
    <w:rsid w:val="00DC54EE"/>
    <w:rsid w:val="00DC5ACE"/>
    <w:rsid w:val="00DC7105"/>
    <w:rsid w:val="00DD0AEA"/>
    <w:rsid w:val="00DD11EA"/>
    <w:rsid w:val="00DD147F"/>
    <w:rsid w:val="00DD32F1"/>
    <w:rsid w:val="00DD45BF"/>
    <w:rsid w:val="00DD4B47"/>
    <w:rsid w:val="00DD5F8A"/>
    <w:rsid w:val="00DD769A"/>
    <w:rsid w:val="00DE35F8"/>
    <w:rsid w:val="00DE7D14"/>
    <w:rsid w:val="00DF3752"/>
    <w:rsid w:val="00DF3C30"/>
    <w:rsid w:val="00DF40C6"/>
    <w:rsid w:val="00DF40E9"/>
    <w:rsid w:val="00DF5CBD"/>
    <w:rsid w:val="00DF62E5"/>
    <w:rsid w:val="00DF6AC6"/>
    <w:rsid w:val="00E00130"/>
    <w:rsid w:val="00E01ED5"/>
    <w:rsid w:val="00E03A0A"/>
    <w:rsid w:val="00E053C6"/>
    <w:rsid w:val="00E05BE1"/>
    <w:rsid w:val="00E05FFF"/>
    <w:rsid w:val="00E06568"/>
    <w:rsid w:val="00E07857"/>
    <w:rsid w:val="00E10551"/>
    <w:rsid w:val="00E10E65"/>
    <w:rsid w:val="00E120BF"/>
    <w:rsid w:val="00E1269F"/>
    <w:rsid w:val="00E12817"/>
    <w:rsid w:val="00E12FDE"/>
    <w:rsid w:val="00E13A54"/>
    <w:rsid w:val="00E14559"/>
    <w:rsid w:val="00E14AC8"/>
    <w:rsid w:val="00E15610"/>
    <w:rsid w:val="00E1563C"/>
    <w:rsid w:val="00E1769B"/>
    <w:rsid w:val="00E200F0"/>
    <w:rsid w:val="00E20310"/>
    <w:rsid w:val="00E20405"/>
    <w:rsid w:val="00E20504"/>
    <w:rsid w:val="00E21349"/>
    <w:rsid w:val="00E2209E"/>
    <w:rsid w:val="00E231C5"/>
    <w:rsid w:val="00E23C43"/>
    <w:rsid w:val="00E267EA"/>
    <w:rsid w:val="00E26F82"/>
    <w:rsid w:val="00E27787"/>
    <w:rsid w:val="00E30FC0"/>
    <w:rsid w:val="00E32742"/>
    <w:rsid w:val="00E3498A"/>
    <w:rsid w:val="00E3647E"/>
    <w:rsid w:val="00E37C82"/>
    <w:rsid w:val="00E40816"/>
    <w:rsid w:val="00E41252"/>
    <w:rsid w:val="00E41D30"/>
    <w:rsid w:val="00E421A7"/>
    <w:rsid w:val="00E425C7"/>
    <w:rsid w:val="00E426BA"/>
    <w:rsid w:val="00E45BCF"/>
    <w:rsid w:val="00E463BF"/>
    <w:rsid w:val="00E4723D"/>
    <w:rsid w:val="00E47DDF"/>
    <w:rsid w:val="00E5053B"/>
    <w:rsid w:val="00E528BD"/>
    <w:rsid w:val="00E536C2"/>
    <w:rsid w:val="00E5390F"/>
    <w:rsid w:val="00E552E2"/>
    <w:rsid w:val="00E555DF"/>
    <w:rsid w:val="00E5790D"/>
    <w:rsid w:val="00E600EB"/>
    <w:rsid w:val="00E6248A"/>
    <w:rsid w:val="00E62F5F"/>
    <w:rsid w:val="00E64AEA"/>
    <w:rsid w:val="00E709E5"/>
    <w:rsid w:val="00E720B0"/>
    <w:rsid w:val="00E73BED"/>
    <w:rsid w:val="00E74892"/>
    <w:rsid w:val="00E76AAE"/>
    <w:rsid w:val="00E76EBB"/>
    <w:rsid w:val="00E77589"/>
    <w:rsid w:val="00E775AE"/>
    <w:rsid w:val="00E8076F"/>
    <w:rsid w:val="00E837B4"/>
    <w:rsid w:val="00E83B67"/>
    <w:rsid w:val="00E83D24"/>
    <w:rsid w:val="00E8446B"/>
    <w:rsid w:val="00E8477E"/>
    <w:rsid w:val="00E84B55"/>
    <w:rsid w:val="00E87868"/>
    <w:rsid w:val="00E9006A"/>
    <w:rsid w:val="00E91F82"/>
    <w:rsid w:val="00E94281"/>
    <w:rsid w:val="00E94E37"/>
    <w:rsid w:val="00E95AE4"/>
    <w:rsid w:val="00EA062D"/>
    <w:rsid w:val="00EA5E18"/>
    <w:rsid w:val="00EA6E2C"/>
    <w:rsid w:val="00EB09D8"/>
    <w:rsid w:val="00EB1A30"/>
    <w:rsid w:val="00EB2993"/>
    <w:rsid w:val="00EB2F39"/>
    <w:rsid w:val="00EB6BC3"/>
    <w:rsid w:val="00EB786A"/>
    <w:rsid w:val="00EC3C4E"/>
    <w:rsid w:val="00EC5286"/>
    <w:rsid w:val="00EC61B2"/>
    <w:rsid w:val="00EC7835"/>
    <w:rsid w:val="00ED1A5F"/>
    <w:rsid w:val="00ED36A3"/>
    <w:rsid w:val="00ED5D34"/>
    <w:rsid w:val="00ED6B71"/>
    <w:rsid w:val="00ED727A"/>
    <w:rsid w:val="00EE76FC"/>
    <w:rsid w:val="00EE7C38"/>
    <w:rsid w:val="00EF012F"/>
    <w:rsid w:val="00EF0BD7"/>
    <w:rsid w:val="00EF1D04"/>
    <w:rsid w:val="00EF2166"/>
    <w:rsid w:val="00EF3488"/>
    <w:rsid w:val="00F004C6"/>
    <w:rsid w:val="00F00ECD"/>
    <w:rsid w:val="00F0282D"/>
    <w:rsid w:val="00F05F88"/>
    <w:rsid w:val="00F07965"/>
    <w:rsid w:val="00F10BA4"/>
    <w:rsid w:val="00F11E6E"/>
    <w:rsid w:val="00F12F4D"/>
    <w:rsid w:val="00F14249"/>
    <w:rsid w:val="00F15DFC"/>
    <w:rsid w:val="00F15FDB"/>
    <w:rsid w:val="00F202D7"/>
    <w:rsid w:val="00F21E62"/>
    <w:rsid w:val="00F23940"/>
    <w:rsid w:val="00F23ADA"/>
    <w:rsid w:val="00F23B61"/>
    <w:rsid w:val="00F247C6"/>
    <w:rsid w:val="00F2642A"/>
    <w:rsid w:val="00F275D2"/>
    <w:rsid w:val="00F30447"/>
    <w:rsid w:val="00F3094F"/>
    <w:rsid w:val="00F31EF3"/>
    <w:rsid w:val="00F32458"/>
    <w:rsid w:val="00F3433A"/>
    <w:rsid w:val="00F34C69"/>
    <w:rsid w:val="00F35D1C"/>
    <w:rsid w:val="00F369B3"/>
    <w:rsid w:val="00F402F0"/>
    <w:rsid w:val="00F41A14"/>
    <w:rsid w:val="00F421CA"/>
    <w:rsid w:val="00F43C09"/>
    <w:rsid w:val="00F4666C"/>
    <w:rsid w:val="00F53CF6"/>
    <w:rsid w:val="00F541E8"/>
    <w:rsid w:val="00F553A7"/>
    <w:rsid w:val="00F553FC"/>
    <w:rsid w:val="00F6356F"/>
    <w:rsid w:val="00F647C3"/>
    <w:rsid w:val="00F64C50"/>
    <w:rsid w:val="00F65288"/>
    <w:rsid w:val="00F72365"/>
    <w:rsid w:val="00F723D7"/>
    <w:rsid w:val="00F7500C"/>
    <w:rsid w:val="00F75F8D"/>
    <w:rsid w:val="00F76F1F"/>
    <w:rsid w:val="00F81646"/>
    <w:rsid w:val="00F83402"/>
    <w:rsid w:val="00F83558"/>
    <w:rsid w:val="00F85F35"/>
    <w:rsid w:val="00F8757D"/>
    <w:rsid w:val="00F90445"/>
    <w:rsid w:val="00F91AA7"/>
    <w:rsid w:val="00F930B5"/>
    <w:rsid w:val="00F94071"/>
    <w:rsid w:val="00F959BE"/>
    <w:rsid w:val="00F97B41"/>
    <w:rsid w:val="00FA070D"/>
    <w:rsid w:val="00FA35EB"/>
    <w:rsid w:val="00FA6004"/>
    <w:rsid w:val="00FA7691"/>
    <w:rsid w:val="00FB202F"/>
    <w:rsid w:val="00FB28AF"/>
    <w:rsid w:val="00FB3853"/>
    <w:rsid w:val="00FB442B"/>
    <w:rsid w:val="00FB6809"/>
    <w:rsid w:val="00FB73DC"/>
    <w:rsid w:val="00FC121A"/>
    <w:rsid w:val="00FC151D"/>
    <w:rsid w:val="00FC5B24"/>
    <w:rsid w:val="00FC6EAE"/>
    <w:rsid w:val="00FD0476"/>
    <w:rsid w:val="00FD0E24"/>
    <w:rsid w:val="00FD20C0"/>
    <w:rsid w:val="00FD2991"/>
    <w:rsid w:val="00FD37E3"/>
    <w:rsid w:val="00FD43C4"/>
    <w:rsid w:val="00FE20F8"/>
    <w:rsid w:val="00FE24B2"/>
    <w:rsid w:val="00FE272A"/>
    <w:rsid w:val="00FE41E3"/>
    <w:rsid w:val="00FE7AE0"/>
    <w:rsid w:val="00FF30A3"/>
    <w:rsid w:val="00FF4790"/>
    <w:rsid w:val="00FF4947"/>
    <w:rsid w:val="00FF5579"/>
    <w:rsid w:val="00FF7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37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39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F30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F30A3"/>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FF30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3BED"/>
    <w:pPr>
      <w:ind w:left="720"/>
      <w:contextualSpacing/>
    </w:pPr>
  </w:style>
  <w:style w:type="paragraph" w:styleId="Normaalweb">
    <w:name w:val="Normal (Web)"/>
    <w:basedOn w:val="Standaard"/>
    <w:uiPriority w:val="99"/>
    <w:unhideWhenUsed/>
    <w:rsid w:val="00CF3B40"/>
    <w:pPr>
      <w:spacing w:before="100" w:beforeAutospacing="1" w:after="100" w:afterAutospacing="1"/>
    </w:pPr>
    <w:rPr>
      <w:rFonts w:ascii="Times New Roman" w:hAnsi="Times New Roman" w:cs="Times New Roman"/>
      <w:lang w:eastAsia="nl-NL"/>
    </w:rPr>
  </w:style>
  <w:style w:type="paragraph" w:styleId="Koptekst">
    <w:name w:val="header"/>
    <w:basedOn w:val="Standaard"/>
    <w:link w:val="KoptekstChar"/>
    <w:uiPriority w:val="99"/>
    <w:unhideWhenUsed/>
    <w:rsid w:val="00161DF9"/>
    <w:pPr>
      <w:tabs>
        <w:tab w:val="center" w:pos="4536"/>
        <w:tab w:val="right" w:pos="9072"/>
      </w:tabs>
    </w:pPr>
  </w:style>
  <w:style w:type="character" w:customStyle="1" w:styleId="KoptekstChar">
    <w:name w:val="Koptekst Char"/>
    <w:basedOn w:val="Standaardalinea-lettertype"/>
    <w:link w:val="Koptekst"/>
    <w:uiPriority w:val="99"/>
    <w:rsid w:val="00161DF9"/>
  </w:style>
  <w:style w:type="paragraph" w:styleId="Voettekst">
    <w:name w:val="footer"/>
    <w:basedOn w:val="Standaard"/>
    <w:link w:val="VoettekstChar"/>
    <w:uiPriority w:val="99"/>
    <w:unhideWhenUsed/>
    <w:rsid w:val="00161DF9"/>
    <w:pPr>
      <w:tabs>
        <w:tab w:val="center" w:pos="4536"/>
        <w:tab w:val="right" w:pos="9072"/>
      </w:tabs>
    </w:pPr>
  </w:style>
  <w:style w:type="character" w:customStyle="1" w:styleId="VoettekstChar">
    <w:name w:val="Voettekst Char"/>
    <w:basedOn w:val="Standaardalinea-lettertype"/>
    <w:link w:val="Voettekst"/>
    <w:uiPriority w:val="99"/>
    <w:rsid w:val="00161DF9"/>
  </w:style>
  <w:style w:type="paragraph" w:styleId="Voetnoottekst">
    <w:name w:val="footnote text"/>
    <w:basedOn w:val="Standaard"/>
    <w:link w:val="VoetnoottekstChar"/>
    <w:uiPriority w:val="99"/>
    <w:unhideWhenUsed/>
    <w:rsid w:val="0066388F"/>
  </w:style>
  <w:style w:type="character" w:customStyle="1" w:styleId="VoetnoottekstChar">
    <w:name w:val="Voetnoottekst Char"/>
    <w:basedOn w:val="Standaardalinea-lettertype"/>
    <w:link w:val="Voetnoottekst"/>
    <w:uiPriority w:val="99"/>
    <w:rsid w:val="0066388F"/>
  </w:style>
  <w:style w:type="character" w:styleId="Voetnootmarkering">
    <w:name w:val="footnote reference"/>
    <w:basedOn w:val="Standaardalinea-lettertype"/>
    <w:uiPriority w:val="99"/>
    <w:unhideWhenUsed/>
    <w:rsid w:val="0066388F"/>
    <w:rPr>
      <w:vertAlign w:val="superscript"/>
    </w:rPr>
  </w:style>
  <w:style w:type="character" w:styleId="Hyperlink">
    <w:name w:val="Hyperlink"/>
    <w:basedOn w:val="Standaardalinea-lettertype"/>
    <w:uiPriority w:val="99"/>
    <w:unhideWhenUsed/>
    <w:rsid w:val="0066388F"/>
    <w:rPr>
      <w:color w:val="0563C1" w:themeColor="hyperlink"/>
      <w:u w:val="single"/>
    </w:rPr>
  </w:style>
  <w:style w:type="paragraph" w:styleId="Eindnoottekst">
    <w:name w:val="endnote text"/>
    <w:basedOn w:val="Standaard"/>
    <w:link w:val="EindnoottekstChar"/>
    <w:uiPriority w:val="99"/>
    <w:unhideWhenUsed/>
    <w:rsid w:val="00A13445"/>
  </w:style>
  <w:style w:type="character" w:customStyle="1" w:styleId="EindnoottekstChar">
    <w:name w:val="Eindnoottekst Char"/>
    <w:basedOn w:val="Standaardalinea-lettertype"/>
    <w:link w:val="Eindnoottekst"/>
    <w:uiPriority w:val="99"/>
    <w:rsid w:val="00A13445"/>
  </w:style>
  <w:style w:type="character" w:styleId="Eindnootmarkering">
    <w:name w:val="endnote reference"/>
    <w:basedOn w:val="Standaardalinea-lettertype"/>
    <w:uiPriority w:val="99"/>
    <w:unhideWhenUsed/>
    <w:rsid w:val="00A13445"/>
    <w:rPr>
      <w:vertAlign w:val="superscript"/>
    </w:rPr>
  </w:style>
  <w:style w:type="character" w:styleId="Paginanummer">
    <w:name w:val="page number"/>
    <w:basedOn w:val="Standaardalinea-lettertype"/>
    <w:uiPriority w:val="99"/>
    <w:semiHidden/>
    <w:unhideWhenUsed/>
    <w:rsid w:val="007A0705"/>
  </w:style>
  <w:style w:type="character" w:customStyle="1" w:styleId="Kop1Char">
    <w:name w:val="Kop 1 Char"/>
    <w:basedOn w:val="Standaardalinea-lettertype"/>
    <w:link w:val="Kop1"/>
    <w:uiPriority w:val="9"/>
    <w:rsid w:val="00203982"/>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F30A3"/>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FF30A3"/>
    <w:pPr>
      <w:spacing w:before="240" w:after="120"/>
    </w:pPr>
    <w:rPr>
      <w:rFonts w:cstheme="minorHAnsi"/>
      <w:b/>
      <w:bCs/>
      <w:sz w:val="20"/>
      <w:szCs w:val="20"/>
    </w:rPr>
  </w:style>
  <w:style w:type="paragraph" w:styleId="Inhopg2">
    <w:name w:val="toc 2"/>
    <w:basedOn w:val="Standaard"/>
    <w:next w:val="Standaard"/>
    <w:autoRedefine/>
    <w:uiPriority w:val="39"/>
    <w:unhideWhenUsed/>
    <w:rsid w:val="00FF30A3"/>
    <w:pPr>
      <w:spacing w:before="120"/>
      <w:ind w:left="240"/>
    </w:pPr>
    <w:rPr>
      <w:rFonts w:cstheme="minorHAnsi"/>
      <w:i/>
      <w:iCs/>
      <w:sz w:val="20"/>
      <w:szCs w:val="20"/>
    </w:rPr>
  </w:style>
  <w:style w:type="paragraph" w:styleId="Inhopg3">
    <w:name w:val="toc 3"/>
    <w:basedOn w:val="Standaard"/>
    <w:next w:val="Standaard"/>
    <w:autoRedefine/>
    <w:uiPriority w:val="39"/>
    <w:unhideWhenUsed/>
    <w:rsid w:val="00FF30A3"/>
    <w:pPr>
      <w:ind w:left="480"/>
    </w:pPr>
    <w:rPr>
      <w:rFonts w:cstheme="minorHAnsi"/>
      <w:sz w:val="20"/>
      <w:szCs w:val="20"/>
    </w:rPr>
  </w:style>
  <w:style w:type="paragraph" w:styleId="Inhopg4">
    <w:name w:val="toc 4"/>
    <w:basedOn w:val="Standaard"/>
    <w:next w:val="Standaard"/>
    <w:autoRedefine/>
    <w:uiPriority w:val="39"/>
    <w:semiHidden/>
    <w:unhideWhenUsed/>
    <w:rsid w:val="00FF30A3"/>
    <w:pPr>
      <w:ind w:left="720"/>
    </w:pPr>
    <w:rPr>
      <w:rFonts w:cstheme="minorHAnsi"/>
      <w:sz w:val="20"/>
      <w:szCs w:val="20"/>
    </w:rPr>
  </w:style>
  <w:style w:type="paragraph" w:styleId="Inhopg5">
    <w:name w:val="toc 5"/>
    <w:basedOn w:val="Standaard"/>
    <w:next w:val="Standaard"/>
    <w:autoRedefine/>
    <w:uiPriority w:val="39"/>
    <w:semiHidden/>
    <w:unhideWhenUsed/>
    <w:rsid w:val="00FF30A3"/>
    <w:pPr>
      <w:ind w:left="960"/>
    </w:pPr>
    <w:rPr>
      <w:rFonts w:cstheme="minorHAnsi"/>
      <w:sz w:val="20"/>
      <w:szCs w:val="20"/>
    </w:rPr>
  </w:style>
  <w:style w:type="paragraph" w:styleId="Inhopg6">
    <w:name w:val="toc 6"/>
    <w:basedOn w:val="Standaard"/>
    <w:next w:val="Standaard"/>
    <w:autoRedefine/>
    <w:uiPriority w:val="39"/>
    <w:semiHidden/>
    <w:unhideWhenUsed/>
    <w:rsid w:val="00FF30A3"/>
    <w:pPr>
      <w:ind w:left="1200"/>
    </w:pPr>
    <w:rPr>
      <w:rFonts w:cstheme="minorHAnsi"/>
      <w:sz w:val="20"/>
      <w:szCs w:val="20"/>
    </w:rPr>
  </w:style>
  <w:style w:type="paragraph" w:styleId="Inhopg7">
    <w:name w:val="toc 7"/>
    <w:basedOn w:val="Standaard"/>
    <w:next w:val="Standaard"/>
    <w:autoRedefine/>
    <w:uiPriority w:val="39"/>
    <w:semiHidden/>
    <w:unhideWhenUsed/>
    <w:rsid w:val="00FF30A3"/>
    <w:pPr>
      <w:ind w:left="1440"/>
    </w:pPr>
    <w:rPr>
      <w:rFonts w:cstheme="minorHAnsi"/>
      <w:sz w:val="20"/>
      <w:szCs w:val="20"/>
    </w:rPr>
  </w:style>
  <w:style w:type="paragraph" w:styleId="Inhopg8">
    <w:name w:val="toc 8"/>
    <w:basedOn w:val="Standaard"/>
    <w:next w:val="Standaard"/>
    <w:autoRedefine/>
    <w:uiPriority w:val="39"/>
    <w:semiHidden/>
    <w:unhideWhenUsed/>
    <w:rsid w:val="00FF30A3"/>
    <w:pPr>
      <w:ind w:left="1680"/>
    </w:pPr>
    <w:rPr>
      <w:rFonts w:cstheme="minorHAnsi"/>
      <w:sz w:val="20"/>
      <w:szCs w:val="20"/>
    </w:rPr>
  </w:style>
  <w:style w:type="paragraph" w:styleId="Inhopg9">
    <w:name w:val="toc 9"/>
    <w:basedOn w:val="Standaard"/>
    <w:next w:val="Standaard"/>
    <w:autoRedefine/>
    <w:uiPriority w:val="39"/>
    <w:semiHidden/>
    <w:unhideWhenUsed/>
    <w:rsid w:val="00FF30A3"/>
    <w:pPr>
      <w:ind w:left="1920"/>
    </w:pPr>
    <w:rPr>
      <w:rFonts w:cstheme="minorHAnsi"/>
      <w:sz w:val="20"/>
      <w:szCs w:val="20"/>
    </w:rPr>
  </w:style>
  <w:style w:type="character" w:customStyle="1" w:styleId="Kop2Char">
    <w:name w:val="Kop 2 Char"/>
    <w:basedOn w:val="Standaardalinea-lettertype"/>
    <w:link w:val="Kop2"/>
    <w:uiPriority w:val="9"/>
    <w:rsid w:val="00FF30A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FF30A3"/>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rsid w:val="00FF30A3"/>
    <w:rPr>
      <w:rFonts w:asciiTheme="majorHAnsi" w:eastAsiaTheme="majorEastAsia" w:hAnsiTheme="majorHAnsi" w:cstheme="majorBidi"/>
      <w:i/>
      <w:iCs/>
      <w:color w:val="2F5496" w:themeColor="accent1" w:themeShade="BF"/>
    </w:rPr>
  </w:style>
  <w:style w:type="character" w:styleId="GevolgdeHyperlink">
    <w:name w:val="FollowedHyperlink"/>
    <w:basedOn w:val="Standaardalinea-lettertype"/>
    <w:uiPriority w:val="99"/>
    <w:semiHidden/>
    <w:unhideWhenUsed/>
    <w:rsid w:val="00B21E3D"/>
    <w:rPr>
      <w:color w:val="954F72" w:themeColor="followedHyperlink"/>
      <w:u w:val="single"/>
    </w:rPr>
  </w:style>
  <w:style w:type="character" w:styleId="Onopgelostemelding">
    <w:name w:val="Unresolved Mention"/>
    <w:basedOn w:val="Standaardalinea-lettertype"/>
    <w:uiPriority w:val="99"/>
    <w:rsid w:val="00B21E3D"/>
    <w:rPr>
      <w:color w:val="605E5C"/>
      <w:shd w:val="clear" w:color="auto" w:fill="E1DFDD"/>
    </w:rPr>
  </w:style>
  <w:style w:type="character" w:styleId="Regelnummer">
    <w:name w:val="line number"/>
    <w:basedOn w:val="Standaardalinea-lettertype"/>
    <w:uiPriority w:val="99"/>
    <w:semiHidden/>
    <w:unhideWhenUsed/>
    <w:rsid w:val="0080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6969">
      <w:bodyDiv w:val="1"/>
      <w:marLeft w:val="0"/>
      <w:marRight w:val="0"/>
      <w:marTop w:val="0"/>
      <w:marBottom w:val="0"/>
      <w:divBdr>
        <w:top w:val="none" w:sz="0" w:space="0" w:color="auto"/>
        <w:left w:val="none" w:sz="0" w:space="0" w:color="auto"/>
        <w:bottom w:val="none" w:sz="0" w:space="0" w:color="auto"/>
        <w:right w:val="none" w:sz="0" w:space="0" w:color="auto"/>
      </w:divBdr>
      <w:divsChild>
        <w:div w:id="1552695704">
          <w:marLeft w:val="0"/>
          <w:marRight w:val="0"/>
          <w:marTop w:val="0"/>
          <w:marBottom w:val="0"/>
          <w:divBdr>
            <w:top w:val="none" w:sz="0" w:space="0" w:color="auto"/>
            <w:left w:val="none" w:sz="0" w:space="0" w:color="auto"/>
            <w:bottom w:val="none" w:sz="0" w:space="0" w:color="auto"/>
            <w:right w:val="none" w:sz="0" w:space="0" w:color="auto"/>
          </w:divBdr>
          <w:divsChild>
            <w:div w:id="736054857">
              <w:marLeft w:val="0"/>
              <w:marRight w:val="0"/>
              <w:marTop w:val="0"/>
              <w:marBottom w:val="0"/>
              <w:divBdr>
                <w:top w:val="none" w:sz="0" w:space="0" w:color="auto"/>
                <w:left w:val="none" w:sz="0" w:space="0" w:color="auto"/>
                <w:bottom w:val="none" w:sz="0" w:space="0" w:color="auto"/>
                <w:right w:val="none" w:sz="0" w:space="0" w:color="auto"/>
              </w:divBdr>
              <w:divsChild>
                <w:div w:id="12516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5028">
      <w:bodyDiv w:val="1"/>
      <w:marLeft w:val="0"/>
      <w:marRight w:val="0"/>
      <w:marTop w:val="0"/>
      <w:marBottom w:val="0"/>
      <w:divBdr>
        <w:top w:val="none" w:sz="0" w:space="0" w:color="auto"/>
        <w:left w:val="none" w:sz="0" w:space="0" w:color="auto"/>
        <w:bottom w:val="none" w:sz="0" w:space="0" w:color="auto"/>
        <w:right w:val="none" w:sz="0" w:space="0" w:color="auto"/>
      </w:divBdr>
      <w:divsChild>
        <w:div w:id="75783001">
          <w:marLeft w:val="0"/>
          <w:marRight w:val="0"/>
          <w:marTop w:val="0"/>
          <w:marBottom w:val="0"/>
          <w:divBdr>
            <w:top w:val="none" w:sz="0" w:space="0" w:color="auto"/>
            <w:left w:val="none" w:sz="0" w:space="0" w:color="auto"/>
            <w:bottom w:val="none" w:sz="0" w:space="0" w:color="auto"/>
            <w:right w:val="none" w:sz="0" w:space="0" w:color="auto"/>
          </w:divBdr>
        </w:div>
      </w:divsChild>
    </w:div>
    <w:div w:id="300883790">
      <w:bodyDiv w:val="1"/>
      <w:marLeft w:val="0"/>
      <w:marRight w:val="0"/>
      <w:marTop w:val="0"/>
      <w:marBottom w:val="0"/>
      <w:divBdr>
        <w:top w:val="none" w:sz="0" w:space="0" w:color="auto"/>
        <w:left w:val="none" w:sz="0" w:space="0" w:color="auto"/>
        <w:bottom w:val="none" w:sz="0" w:space="0" w:color="auto"/>
        <w:right w:val="none" w:sz="0" w:space="0" w:color="auto"/>
      </w:divBdr>
      <w:divsChild>
        <w:div w:id="668869011">
          <w:marLeft w:val="0"/>
          <w:marRight w:val="0"/>
          <w:marTop w:val="0"/>
          <w:marBottom w:val="0"/>
          <w:divBdr>
            <w:top w:val="none" w:sz="0" w:space="0" w:color="auto"/>
            <w:left w:val="none" w:sz="0" w:space="0" w:color="auto"/>
            <w:bottom w:val="none" w:sz="0" w:space="0" w:color="auto"/>
            <w:right w:val="none" w:sz="0" w:space="0" w:color="auto"/>
          </w:divBdr>
        </w:div>
      </w:divsChild>
    </w:div>
    <w:div w:id="301470560">
      <w:bodyDiv w:val="1"/>
      <w:marLeft w:val="0"/>
      <w:marRight w:val="0"/>
      <w:marTop w:val="0"/>
      <w:marBottom w:val="0"/>
      <w:divBdr>
        <w:top w:val="none" w:sz="0" w:space="0" w:color="auto"/>
        <w:left w:val="none" w:sz="0" w:space="0" w:color="auto"/>
        <w:bottom w:val="none" w:sz="0" w:space="0" w:color="auto"/>
        <w:right w:val="none" w:sz="0" w:space="0" w:color="auto"/>
      </w:divBdr>
    </w:div>
    <w:div w:id="346561198">
      <w:bodyDiv w:val="1"/>
      <w:marLeft w:val="0"/>
      <w:marRight w:val="0"/>
      <w:marTop w:val="0"/>
      <w:marBottom w:val="0"/>
      <w:divBdr>
        <w:top w:val="none" w:sz="0" w:space="0" w:color="auto"/>
        <w:left w:val="none" w:sz="0" w:space="0" w:color="auto"/>
        <w:bottom w:val="none" w:sz="0" w:space="0" w:color="auto"/>
        <w:right w:val="none" w:sz="0" w:space="0" w:color="auto"/>
      </w:divBdr>
      <w:divsChild>
        <w:div w:id="1025401533">
          <w:marLeft w:val="0"/>
          <w:marRight w:val="0"/>
          <w:marTop w:val="0"/>
          <w:marBottom w:val="0"/>
          <w:divBdr>
            <w:top w:val="none" w:sz="0" w:space="0" w:color="auto"/>
            <w:left w:val="none" w:sz="0" w:space="0" w:color="auto"/>
            <w:bottom w:val="none" w:sz="0" w:space="0" w:color="auto"/>
            <w:right w:val="none" w:sz="0" w:space="0" w:color="auto"/>
          </w:divBdr>
        </w:div>
      </w:divsChild>
    </w:div>
    <w:div w:id="390690749">
      <w:bodyDiv w:val="1"/>
      <w:marLeft w:val="0"/>
      <w:marRight w:val="0"/>
      <w:marTop w:val="0"/>
      <w:marBottom w:val="0"/>
      <w:divBdr>
        <w:top w:val="none" w:sz="0" w:space="0" w:color="auto"/>
        <w:left w:val="none" w:sz="0" w:space="0" w:color="auto"/>
        <w:bottom w:val="none" w:sz="0" w:space="0" w:color="auto"/>
        <w:right w:val="none" w:sz="0" w:space="0" w:color="auto"/>
      </w:divBdr>
      <w:divsChild>
        <w:div w:id="1254825136">
          <w:marLeft w:val="0"/>
          <w:marRight w:val="0"/>
          <w:marTop w:val="0"/>
          <w:marBottom w:val="0"/>
          <w:divBdr>
            <w:top w:val="none" w:sz="0" w:space="0" w:color="auto"/>
            <w:left w:val="none" w:sz="0" w:space="0" w:color="auto"/>
            <w:bottom w:val="none" w:sz="0" w:space="0" w:color="auto"/>
            <w:right w:val="none" w:sz="0" w:space="0" w:color="auto"/>
          </w:divBdr>
          <w:divsChild>
            <w:div w:id="624774198">
              <w:marLeft w:val="0"/>
              <w:marRight w:val="0"/>
              <w:marTop w:val="0"/>
              <w:marBottom w:val="0"/>
              <w:divBdr>
                <w:top w:val="none" w:sz="0" w:space="0" w:color="auto"/>
                <w:left w:val="none" w:sz="0" w:space="0" w:color="auto"/>
                <w:bottom w:val="none" w:sz="0" w:space="0" w:color="auto"/>
                <w:right w:val="none" w:sz="0" w:space="0" w:color="auto"/>
              </w:divBdr>
              <w:divsChild>
                <w:div w:id="2487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99647">
      <w:bodyDiv w:val="1"/>
      <w:marLeft w:val="0"/>
      <w:marRight w:val="0"/>
      <w:marTop w:val="0"/>
      <w:marBottom w:val="0"/>
      <w:divBdr>
        <w:top w:val="none" w:sz="0" w:space="0" w:color="auto"/>
        <w:left w:val="none" w:sz="0" w:space="0" w:color="auto"/>
        <w:bottom w:val="none" w:sz="0" w:space="0" w:color="auto"/>
        <w:right w:val="none" w:sz="0" w:space="0" w:color="auto"/>
      </w:divBdr>
      <w:divsChild>
        <w:div w:id="1145246572">
          <w:marLeft w:val="0"/>
          <w:marRight w:val="0"/>
          <w:marTop w:val="0"/>
          <w:marBottom w:val="0"/>
          <w:divBdr>
            <w:top w:val="none" w:sz="0" w:space="0" w:color="auto"/>
            <w:left w:val="none" w:sz="0" w:space="0" w:color="auto"/>
            <w:bottom w:val="none" w:sz="0" w:space="0" w:color="auto"/>
            <w:right w:val="none" w:sz="0" w:space="0" w:color="auto"/>
          </w:divBdr>
        </w:div>
      </w:divsChild>
    </w:div>
    <w:div w:id="484586653">
      <w:bodyDiv w:val="1"/>
      <w:marLeft w:val="0"/>
      <w:marRight w:val="0"/>
      <w:marTop w:val="0"/>
      <w:marBottom w:val="0"/>
      <w:divBdr>
        <w:top w:val="none" w:sz="0" w:space="0" w:color="auto"/>
        <w:left w:val="none" w:sz="0" w:space="0" w:color="auto"/>
        <w:bottom w:val="none" w:sz="0" w:space="0" w:color="auto"/>
        <w:right w:val="none" w:sz="0" w:space="0" w:color="auto"/>
      </w:divBdr>
      <w:divsChild>
        <w:div w:id="201984128">
          <w:marLeft w:val="0"/>
          <w:marRight w:val="0"/>
          <w:marTop w:val="0"/>
          <w:marBottom w:val="0"/>
          <w:divBdr>
            <w:top w:val="none" w:sz="0" w:space="0" w:color="auto"/>
            <w:left w:val="none" w:sz="0" w:space="0" w:color="auto"/>
            <w:bottom w:val="none" w:sz="0" w:space="0" w:color="auto"/>
            <w:right w:val="none" w:sz="0" w:space="0" w:color="auto"/>
          </w:divBdr>
          <w:divsChild>
            <w:div w:id="1818837807">
              <w:marLeft w:val="0"/>
              <w:marRight w:val="0"/>
              <w:marTop w:val="0"/>
              <w:marBottom w:val="0"/>
              <w:divBdr>
                <w:top w:val="none" w:sz="0" w:space="0" w:color="auto"/>
                <w:left w:val="none" w:sz="0" w:space="0" w:color="auto"/>
                <w:bottom w:val="none" w:sz="0" w:space="0" w:color="auto"/>
                <w:right w:val="none" w:sz="0" w:space="0" w:color="auto"/>
              </w:divBdr>
              <w:divsChild>
                <w:div w:id="7994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5666">
      <w:bodyDiv w:val="1"/>
      <w:marLeft w:val="0"/>
      <w:marRight w:val="0"/>
      <w:marTop w:val="0"/>
      <w:marBottom w:val="0"/>
      <w:divBdr>
        <w:top w:val="none" w:sz="0" w:space="0" w:color="auto"/>
        <w:left w:val="none" w:sz="0" w:space="0" w:color="auto"/>
        <w:bottom w:val="none" w:sz="0" w:space="0" w:color="auto"/>
        <w:right w:val="none" w:sz="0" w:space="0" w:color="auto"/>
      </w:divBdr>
      <w:divsChild>
        <w:div w:id="1165392745">
          <w:marLeft w:val="0"/>
          <w:marRight w:val="0"/>
          <w:marTop w:val="0"/>
          <w:marBottom w:val="0"/>
          <w:divBdr>
            <w:top w:val="none" w:sz="0" w:space="0" w:color="auto"/>
            <w:left w:val="none" w:sz="0" w:space="0" w:color="auto"/>
            <w:bottom w:val="none" w:sz="0" w:space="0" w:color="auto"/>
            <w:right w:val="none" w:sz="0" w:space="0" w:color="auto"/>
          </w:divBdr>
          <w:divsChild>
            <w:div w:id="1270048033">
              <w:marLeft w:val="0"/>
              <w:marRight w:val="0"/>
              <w:marTop w:val="0"/>
              <w:marBottom w:val="0"/>
              <w:divBdr>
                <w:top w:val="none" w:sz="0" w:space="0" w:color="auto"/>
                <w:left w:val="none" w:sz="0" w:space="0" w:color="auto"/>
                <w:bottom w:val="none" w:sz="0" w:space="0" w:color="auto"/>
                <w:right w:val="none" w:sz="0" w:space="0" w:color="auto"/>
              </w:divBdr>
              <w:divsChild>
                <w:div w:id="8656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5907">
      <w:bodyDiv w:val="1"/>
      <w:marLeft w:val="0"/>
      <w:marRight w:val="0"/>
      <w:marTop w:val="0"/>
      <w:marBottom w:val="0"/>
      <w:divBdr>
        <w:top w:val="none" w:sz="0" w:space="0" w:color="auto"/>
        <w:left w:val="none" w:sz="0" w:space="0" w:color="auto"/>
        <w:bottom w:val="none" w:sz="0" w:space="0" w:color="auto"/>
        <w:right w:val="none" w:sz="0" w:space="0" w:color="auto"/>
      </w:divBdr>
      <w:divsChild>
        <w:div w:id="430247911">
          <w:marLeft w:val="0"/>
          <w:marRight w:val="0"/>
          <w:marTop w:val="0"/>
          <w:marBottom w:val="0"/>
          <w:divBdr>
            <w:top w:val="none" w:sz="0" w:space="0" w:color="auto"/>
            <w:left w:val="none" w:sz="0" w:space="0" w:color="auto"/>
            <w:bottom w:val="none" w:sz="0" w:space="0" w:color="auto"/>
            <w:right w:val="none" w:sz="0" w:space="0" w:color="auto"/>
          </w:divBdr>
        </w:div>
      </w:divsChild>
    </w:div>
    <w:div w:id="758479544">
      <w:bodyDiv w:val="1"/>
      <w:marLeft w:val="0"/>
      <w:marRight w:val="0"/>
      <w:marTop w:val="0"/>
      <w:marBottom w:val="0"/>
      <w:divBdr>
        <w:top w:val="none" w:sz="0" w:space="0" w:color="auto"/>
        <w:left w:val="none" w:sz="0" w:space="0" w:color="auto"/>
        <w:bottom w:val="none" w:sz="0" w:space="0" w:color="auto"/>
        <w:right w:val="none" w:sz="0" w:space="0" w:color="auto"/>
      </w:divBdr>
      <w:divsChild>
        <w:div w:id="572855362">
          <w:marLeft w:val="0"/>
          <w:marRight w:val="0"/>
          <w:marTop w:val="0"/>
          <w:marBottom w:val="0"/>
          <w:divBdr>
            <w:top w:val="none" w:sz="0" w:space="0" w:color="auto"/>
            <w:left w:val="none" w:sz="0" w:space="0" w:color="auto"/>
            <w:bottom w:val="none" w:sz="0" w:space="0" w:color="auto"/>
            <w:right w:val="none" w:sz="0" w:space="0" w:color="auto"/>
          </w:divBdr>
          <w:divsChild>
            <w:div w:id="566838204">
              <w:marLeft w:val="0"/>
              <w:marRight w:val="0"/>
              <w:marTop w:val="0"/>
              <w:marBottom w:val="0"/>
              <w:divBdr>
                <w:top w:val="none" w:sz="0" w:space="0" w:color="auto"/>
                <w:left w:val="none" w:sz="0" w:space="0" w:color="auto"/>
                <w:bottom w:val="none" w:sz="0" w:space="0" w:color="auto"/>
                <w:right w:val="none" w:sz="0" w:space="0" w:color="auto"/>
              </w:divBdr>
              <w:divsChild>
                <w:div w:id="11595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4107">
      <w:bodyDiv w:val="1"/>
      <w:marLeft w:val="0"/>
      <w:marRight w:val="0"/>
      <w:marTop w:val="0"/>
      <w:marBottom w:val="0"/>
      <w:divBdr>
        <w:top w:val="none" w:sz="0" w:space="0" w:color="auto"/>
        <w:left w:val="none" w:sz="0" w:space="0" w:color="auto"/>
        <w:bottom w:val="none" w:sz="0" w:space="0" w:color="auto"/>
        <w:right w:val="none" w:sz="0" w:space="0" w:color="auto"/>
      </w:divBdr>
      <w:divsChild>
        <w:div w:id="631790840">
          <w:marLeft w:val="0"/>
          <w:marRight w:val="0"/>
          <w:marTop w:val="0"/>
          <w:marBottom w:val="0"/>
          <w:divBdr>
            <w:top w:val="none" w:sz="0" w:space="0" w:color="auto"/>
            <w:left w:val="none" w:sz="0" w:space="0" w:color="auto"/>
            <w:bottom w:val="none" w:sz="0" w:space="0" w:color="auto"/>
            <w:right w:val="none" w:sz="0" w:space="0" w:color="auto"/>
          </w:divBdr>
          <w:divsChild>
            <w:div w:id="1100368432">
              <w:marLeft w:val="0"/>
              <w:marRight w:val="0"/>
              <w:marTop w:val="0"/>
              <w:marBottom w:val="0"/>
              <w:divBdr>
                <w:top w:val="none" w:sz="0" w:space="0" w:color="auto"/>
                <w:left w:val="none" w:sz="0" w:space="0" w:color="auto"/>
                <w:bottom w:val="none" w:sz="0" w:space="0" w:color="auto"/>
                <w:right w:val="none" w:sz="0" w:space="0" w:color="auto"/>
              </w:divBdr>
              <w:divsChild>
                <w:div w:id="7695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62178">
      <w:bodyDiv w:val="1"/>
      <w:marLeft w:val="0"/>
      <w:marRight w:val="0"/>
      <w:marTop w:val="0"/>
      <w:marBottom w:val="0"/>
      <w:divBdr>
        <w:top w:val="none" w:sz="0" w:space="0" w:color="auto"/>
        <w:left w:val="none" w:sz="0" w:space="0" w:color="auto"/>
        <w:bottom w:val="none" w:sz="0" w:space="0" w:color="auto"/>
        <w:right w:val="none" w:sz="0" w:space="0" w:color="auto"/>
      </w:divBdr>
      <w:divsChild>
        <w:div w:id="1036807290">
          <w:marLeft w:val="0"/>
          <w:marRight w:val="0"/>
          <w:marTop w:val="0"/>
          <w:marBottom w:val="0"/>
          <w:divBdr>
            <w:top w:val="none" w:sz="0" w:space="0" w:color="auto"/>
            <w:left w:val="none" w:sz="0" w:space="0" w:color="auto"/>
            <w:bottom w:val="none" w:sz="0" w:space="0" w:color="auto"/>
            <w:right w:val="none" w:sz="0" w:space="0" w:color="auto"/>
          </w:divBdr>
          <w:divsChild>
            <w:div w:id="1489521691">
              <w:marLeft w:val="0"/>
              <w:marRight w:val="0"/>
              <w:marTop w:val="0"/>
              <w:marBottom w:val="0"/>
              <w:divBdr>
                <w:top w:val="none" w:sz="0" w:space="0" w:color="auto"/>
                <w:left w:val="none" w:sz="0" w:space="0" w:color="auto"/>
                <w:bottom w:val="none" w:sz="0" w:space="0" w:color="auto"/>
                <w:right w:val="none" w:sz="0" w:space="0" w:color="auto"/>
              </w:divBdr>
              <w:divsChild>
                <w:div w:id="15116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3065">
      <w:bodyDiv w:val="1"/>
      <w:marLeft w:val="0"/>
      <w:marRight w:val="0"/>
      <w:marTop w:val="0"/>
      <w:marBottom w:val="0"/>
      <w:divBdr>
        <w:top w:val="none" w:sz="0" w:space="0" w:color="auto"/>
        <w:left w:val="none" w:sz="0" w:space="0" w:color="auto"/>
        <w:bottom w:val="none" w:sz="0" w:space="0" w:color="auto"/>
        <w:right w:val="none" w:sz="0" w:space="0" w:color="auto"/>
      </w:divBdr>
      <w:divsChild>
        <w:div w:id="200675354">
          <w:marLeft w:val="0"/>
          <w:marRight w:val="0"/>
          <w:marTop w:val="0"/>
          <w:marBottom w:val="0"/>
          <w:divBdr>
            <w:top w:val="none" w:sz="0" w:space="0" w:color="auto"/>
            <w:left w:val="none" w:sz="0" w:space="0" w:color="auto"/>
            <w:bottom w:val="none" w:sz="0" w:space="0" w:color="auto"/>
            <w:right w:val="none" w:sz="0" w:space="0" w:color="auto"/>
          </w:divBdr>
          <w:divsChild>
            <w:div w:id="643969224">
              <w:marLeft w:val="0"/>
              <w:marRight w:val="0"/>
              <w:marTop w:val="0"/>
              <w:marBottom w:val="0"/>
              <w:divBdr>
                <w:top w:val="none" w:sz="0" w:space="0" w:color="auto"/>
                <w:left w:val="none" w:sz="0" w:space="0" w:color="auto"/>
                <w:bottom w:val="none" w:sz="0" w:space="0" w:color="auto"/>
                <w:right w:val="none" w:sz="0" w:space="0" w:color="auto"/>
              </w:divBdr>
              <w:divsChild>
                <w:div w:id="16297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8643">
      <w:bodyDiv w:val="1"/>
      <w:marLeft w:val="0"/>
      <w:marRight w:val="0"/>
      <w:marTop w:val="0"/>
      <w:marBottom w:val="0"/>
      <w:divBdr>
        <w:top w:val="none" w:sz="0" w:space="0" w:color="auto"/>
        <w:left w:val="none" w:sz="0" w:space="0" w:color="auto"/>
        <w:bottom w:val="none" w:sz="0" w:space="0" w:color="auto"/>
        <w:right w:val="none" w:sz="0" w:space="0" w:color="auto"/>
      </w:divBdr>
      <w:divsChild>
        <w:div w:id="314728751">
          <w:marLeft w:val="0"/>
          <w:marRight w:val="0"/>
          <w:marTop w:val="0"/>
          <w:marBottom w:val="0"/>
          <w:divBdr>
            <w:top w:val="none" w:sz="0" w:space="0" w:color="auto"/>
            <w:left w:val="none" w:sz="0" w:space="0" w:color="auto"/>
            <w:bottom w:val="none" w:sz="0" w:space="0" w:color="auto"/>
            <w:right w:val="none" w:sz="0" w:space="0" w:color="auto"/>
          </w:divBdr>
          <w:divsChild>
            <w:div w:id="1360427694">
              <w:marLeft w:val="0"/>
              <w:marRight w:val="0"/>
              <w:marTop w:val="0"/>
              <w:marBottom w:val="0"/>
              <w:divBdr>
                <w:top w:val="none" w:sz="0" w:space="0" w:color="auto"/>
                <w:left w:val="none" w:sz="0" w:space="0" w:color="auto"/>
                <w:bottom w:val="none" w:sz="0" w:space="0" w:color="auto"/>
                <w:right w:val="none" w:sz="0" w:space="0" w:color="auto"/>
              </w:divBdr>
              <w:divsChild>
                <w:div w:id="19188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9488">
      <w:bodyDiv w:val="1"/>
      <w:marLeft w:val="0"/>
      <w:marRight w:val="0"/>
      <w:marTop w:val="0"/>
      <w:marBottom w:val="0"/>
      <w:divBdr>
        <w:top w:val="none" w:sz="0" w:space="0" w:color="auto"/>
        <w:left w:val="none" w:sz="0" w:space="0" w:color="auto"/>
        <w:bottom w:val="none" w:sz="0" w:space="0" w:color="auto"/>
        <w:right w:val="none" w:sz="0" w:space="0" w:color="auto"/>
      </w:divBdr>
      <w:divsChild>
        <w:div w:id="1414621391">
          <w:marLeft w:val="0"/>
          <w:marRight w:val="0"/>
          <w:marTop w:val="0"/>
          <w:marBottom w:val="0"/>
          <w:divBdr>
            <w:top w:val="none" w:sz="0" w:space="0" w:color="auto"/>
            <w:left w:val="none" w:sz="0" w:space="0" w:color="auto"/>
            <w:bottom w:val="none" w:sz="0" w:space="0" w:color="auto"/>
            <w:right w:val="none" w:sz="0" w:space="0" w:color="auto"/>
          </w:divBdr>
          <w:divsChild>
            <w:div w:id="1838375551">
              <w:marLeft w:val="0"/>
              <w:marRight w:val="0"/>
              <w:marTop w:val="0"/>
              <w:marBottom w:val="0"/>
              <w:divBdr>
                <w:top w:val="none" w:sz="0" w:space="0" w:color="auto"/>
                <w:left w:val="none" w:sz="0" w:space="0" w:color="auto"/>
                <w:bottom w:val="none" w:sz="0" w:space="0" w:color="auto"/>
                <w:right w:val="none" w:sz="0" w:space="0" w:color="auto"/>
              </w:divBdr>
              <w:divsChild>
                <w:div w:id="8629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erechtsdeurwaarders.be/sam-tes/examenprogramma" TargetMode="External"/><Relationship Id="rId18" Type="http://schemas.openxmlformats.org/officeDocument/2006/relationships/hyperlink" Target="https://www.gerechtsdeurwaarders.be/sites/gerechtsdeurwaarders.be/files/publication_attachements/jaarverslag_nl_-_online.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udebordet.com/nl/gerechtsdeurwaarder/het-statuut-van-de-gerechtsdeurwaarder/" TargetMode="External"/><Relationship Id="rId7" Type="http://schemas.openxmlformats.org/officeDocument/2006/relationships/endnotes" Target="endnotes.xml"/><Relationship Id="rId12" Type="http://schemas.openxmlformats.org/officeDocument/2006/relationships/hyperlink" Target="https://justitie.belgium.be/nl/nieuws/persberichten/news_pers_2013-03-29" TargetMode="External"/><Relationship Id="rId17" Type="http://schemas.openxmlformats.org/officeDocument/2006/relationships/hyperlink" Target="https://www.gerechtsdeurwaarders.be/sites/gerechtsdeurwaarders.be/files/publication_attachements/20160502_jaarverslag_2015.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erechtsdeurwaarders.be/sites/gerechtsdeurwaarders.be/files/publication_attachements/jaarverslag_2014_webformaat.pdf" TargetMode="External"/><Relationship Id="rId20" Type="http://schemas.openxmlformats.org/officeDocument/2006/relationships/hyperlink" Target="https://www.dekamer.be/kvvcr/pdf_sections/searchlist/Regeerakkoord_1_december_20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tie.belgium.be/nl/rechterlijke_orde/hervorming_justitie/nieuws/news_pers_2014-04-01" TargetMode="External"/><Relationship Id="rId24" Type="http://schemas.openxmlformats.org/officeDocument/2006/relationships/hyperlink" Target="https://www.gerechtsdeurwaarders.be/nkgb-cnhb/de-gerechtsdeurwaarder/wie-de-gerechtsdeurwaarder" TargetMode="External"/><Relationship Id="rId5" Type="http://schemas.openxmlformats.org/officeDocument/2006/relationships/webSettings" Target="webSettings.xml"/><Relationship Id="rId15" Type="http://schemas.openxmlformats.org/officeDocument/2006/relationships/hyperlink" Target="https://www.gerechtsdeurwaarders.be/sites/gerechtsdeurwaarders.be/files/publication_attachements/jaarverslag_2013.pdf" TargetMode="External"/><Relationship Id="rId23" Type="http://schemas.openxmlformats.org/officeDocument/2006/relationships/hyperlink" Target="https://www.modero.be/nl/nieuws/2014-objectivering-en-modernisering-door-nieuw-statuut-gerechtsdeurwaarder" TargetMode="External"/><Relationship Id="rId28" Type="http://schemas.openxmlformats.org/officeDocument/2006/relationships/theme" Target="theme/theme1.xml"/><Relationship Id="rId10" Type="http://schemas.openxmlformats.org/officeDocument/2006/relationships/hyperlink" Target="https://www.gerechtsdeurwaarders.be/sites/gerechtsdeurwaarders.be/files/publication_attachements/20200102_-_vergelijkend_examen_stagiair-gdws_2020_-_oproep_tot_kandidaten.pdf" TargetMode="External"/><Relationship Id="rId19" Type="http://schemas.openxmlformats.org/officeDocument/2006/relationships/hyperlink" Target="https://www.gerechtsdeurwaarders.be/sites/gerechtsdeurwaarders.be/files/publication_attachements/20191022_jaarverslag_2018_nl_finale_versie.pdf" TargetMode="External"/><Relationship Id="rId4" Type="http://schemas.openxmlformats.org/officeDocument/2006/relationships/settings" Target="settings.xml"/><Relationship Id="rId9" Type="http://schemas.openxmlformats.org/officeDocument/2006/relationships/hyperlink" Target="https://lib.ugent.be/fulltxt/RUG01/002/304/238/RUG01-002304238_2016_0001_AC.pdf" TargetMode="External"/><Relationship Id="rId14" Type="http://schemas.openxmlformats.org/officeDocument/2006/relationships/hyperlink" Target="https://www.gerechtsdeurwaarders.be/sites/gerechtsdeurwaarders.be/files/publication_attachements/jaarverslag_2010.pdf" TargetMode="External"/><Relationship Id="rId22" Type="http://schemas.openxmlformats.org/officeDocument/2006/relationships/hyperlink" Target="https://legalworld.wolterskluwer.be/nl/oplossingen/publicaties/njw/doctrine/njw-345-29-juni-2016/nieuw-statuut-gerechtsdeurwaarde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erechtsdeurwaarders.be/nkgb-cnhb/de-gerechtsdeurwaarder/wie-de-gerechtsdeurwaard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B896B-7300-D245-8F0E-74A500BC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46</Pages>
  <Words>15310</Words>
  <Characters>84206</Characters>
  <Application>Microsoft Office Word</Application>
  <DocSecurity>0</DocSecurity>
  <Lines>701</Lines>
  <Paragraphs>198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De Moor</dc:creator>
  <cp:keywords/>
  <dc:description/>
  <cp:lastModifiedBy>Lucas De Moor</cp:lastModifiedBy>
  <cp:revision>23</cp:revision>
  <cp:lastPrinted>2020-04-27T08:20:00Z</cp:lastPrinted>
  <dcterms:created xsi:type="dcterms:W3CDTF">2020-05-26T15:20:00Z</dcterms:created>
  <dcterms:modified xsi:type="dcterms:W3CDTF">2020-10-04T12:26:00Z</dcterms:modified>
</cp:coreProperties>
</file>