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F9357" w14:textId="77777777" w:rsidR="00E1141A" w:rsidRPr="00A33930" w:rsidRDefault="00E1141A" w:rsidP="00D83DA7">
      <w:pPr>
        <w:widowControl w:val="0"/>
        <w:autoSpaceDE w:val="0"/>
        <w:autoSpaceDN w:val="0"/>
        <w:spacing w:before="7" w:line="360" w:lineRule="auto"/>
        <w:jc w:val="both"/>
        <w:rPr>
          <w:rFonts w:eastAsia="Verdana" w:cs="Verdana"/>
          <w:sz w:val="6"/>
          <w:szCs w:val="18"/>
          <w:lang w:val="nl-NL"/>
        </w:rPr>
      </w:pPr>
    </w:p>
    <w:p w14:paraId="706867FC" w14:textId="77777777" w:rsidR="00A655D0" w:rsidRPr="00A33930" w:rsidRDefault="00A655D0" w:rsidP="00A655D0">
      <w:pPr>
        <w:widowControl w:val="0"/>
        <w:autoSpaceDE w:val="0"/>
        <w:autoSpaceDN w:val="0"/>
        <w:spacing w:line="360" w:lineRule="auto"/>
        <w:ind w:left="110"/>
        <w:jc w:val="both"/>
        <w:rPr>
          <w:rFonts w:eastAsia="Verdana" w:cs="Verdana"/>
          <w:iCs/>
          <w:szCs w:val="18"/>
          <w:lang w:val="nl-NL"/>
        </w:rPr>
      </w:pPr>
      <w:bookmarkStart w:id="0" w:name="_Toc71879755"/>
      <w:bookmarkStart w:id="1" w:name="_Toc71981223"/>
      <w:bookmarkStart w:id="2" w:name="_Toc71981262"/>
      <w:r w:rsidRPr="00A33930">
        <w:rPr>
          <w:rFonts w:eastAsia="Verdana" w:cs="Verdana"/>
          <w:iCs/>
          <w:noProof/>
          <w:szCs w:val="18"/>
          <w:lang w:val="nl-NL" w:eastAsia="en-GB"/>
        </w:rPr>
        <w:drawing>
          <wp:inline distT="0" distB="0" distL="0" distR="0" wp14:anchorId="7475E9F9" wp14:editId="6A9DF0A3">
            <wp:extent cx="6018254" cy="140589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6018254" cy="1405890"/>
                    </a:xfrm>
                    <a:prstGeom prst="rect">
                      <a:avLst/>
                    </a:prstGeom>
                  </pic:spPr>
                </pic:pic>
              </a:graphicData>
            </a:graphic>
          </wp:inline>
        </w:drawing>
      </w:r>
    </w:p>
    <w:p w14:paraId="706A23F5" w14:textId="77777777" w:rsidR="00A655D0" w:rsidRPr="00A33930" w:rsidRDefault="00A655D0" w:rsidP="00A655D0">
      <w:pPr>
        <w:widowControl w:val="0"/>
        <w:autoSpaceDE w:val="0"/>
        <w:autoSpaceDN w:val="0"/>
        <w:spacing w:line="360" w:lineRule="auto"/>
        <w:jc w:val="both"/>
        <w:rPr>
          <w:rFonts w:eastAsia="Verdana" w:cs="Verdana"/>
          <w:iCs/>
          <w:szCs w:val="18"/>
          <w:lang w:val="nl-NL"/>
        </w:rPr>
      </w:pPr>
    </w:p>
    <w:p w14:paraId="32F2601F" w14:textId="77777777" w:rsidR="00A655D0" w:rsidRPr="00A33930" w:rsidRDefault="00A655D0" w:rsidP="00A655D0">
      <w:pPr>
        <w:widowControl w:val="0"/>
        <w:autoSpaceDE w:val="0"/>
        <w:autoSpaceDN w:val="0"/>
        <w:spacing w:line="360" w:lineRule="auto"/>
        <w:jc w:val="both"/>
        <w:rPr>
          <w:rFonts w:eastAsia="Verdana" w:cs="Verdana"/>
          <w:iCs/>
          <w:szCs w:val="18"/>
          <w:lang w:val="nl-NL"/>
        </w:rPr>
      </w:pPr>
    </w:p>
    <w:p w14:paraId="175E5151" w14:textId="77777777" w:rsidR="00A655D0" w:rsidRPr="00A33930" w:rsidRDefault="00A655D0" w:rsidP="00A655D0">
      <w:pPr>
        <w:widowControl w:val="0"/>
        <w:autoSpaceDE w:val="0"/>
        <w:autoSpaceDN w:val="0"/>
        <w:spacing w:line="360" w:lineRule="auto"/>
        <w:jc w:val="both"/>
        <w:rPr>
          <w:rFonts w:eastAsia="Verdana" w:cs="Verdana"/>
          <w:iCs/>
          <w:szCs w:val="18"/>
          <w:lang w:val="nl-NL"/>
        </w:rPr>
      </w:pPr>
    </w:p>
    <w:p w14:paraId="186251EA" w14:textId="77777777" w:rsidR="00A655D0" w:rsidRPr="00A33930" w:rsidRDefault="00A655D0" w:rsidP="00A655D0">
      <w:pPr>
        <w:widowControl w:val="0"/>
        <w:autoSpaceDE w:val="0"/>
        <w:autoSpaceDN w:val="0"/>
        <w:spacing w:before="9" w:line="360" w:lineRule="auto"/>
        <w:jc w:val="both"/>
        <w:rPr>
          <w:rFonts w:eastAsia="Verdana" w:cs="Verdana"/>
          <w:iCs/>
          <w:sz w:val="28"/>
          <w:szCs w:val="18"/>
          <w:lang w:val="nl-NL"/>
        </w:rPr>
      </w:pPr>
    </w:p>
    <w:p w14:paraId="0EED4E69" w14:textId="77777777" w:rsidR="00A655D0" w:rsidRPr="00A33930" w:rsidRDefault="00A655D0" w:rsidP="00A655D0">
      <w:pPr>
        <w:widowControl w:val="0"/>
        <w:autoSpaceDE w:val="0"/>
        <w:autoSpaceDN w:val="0"/>
        <w:spacing w:before="9" w:line="360" w:lineRule="auto"/>
        <w:jc w:val="both"/>
        <w:rPr>
          <w:rFonts w:eastAsia="Verdana" w:cs="Verdana"/>
          <w:iCs/>
          <w:sz w:val="28"/>
          <w:szCs w:val="18"/>
          <w:lang w:val="nl-NL"/>
        </w:rPr>
      </w:pPr>
    </w:p>
    <w:p w14:paraId="40E5C1CD" w14:textId="77777777" w:rsidR="00A655D0" w:rsidRPr="00A33930" w:rsidRDefault="00A655D0" w:rsidP="00A655D0">
      <w:pPr>
        <w:widowControl w:val="0"/>
        <w:autoSpaceDE w:val="0"/>
        <w:autoSpaceDN w:val="0"/>
        <w:spacing w:before="9" w:line="360" w:lineRule="auto"/>
        <w:jc w:val="both"/>
        <w:rPr>
          <w:rFonts w:eastAsia="Verdana" w:cs="Verdana"/>
          <w:iCs/>
          <w:sz w:val="28"/>
          <w:szCs w:val="18"/>
          <w:lang w:val="nl-NL"/>
        </w:rPr>
      </w:pPr>
    </w:p>
    <w:p w14:paraId="49489D07" w14:textId="77777777" w:rsidR="00A655D0" w:rsidRPr="00A33930" w:rsidRDefault="00A655D0" w:rsidP="00A655D0">
      <w:pPr>
        <w:widowControl w:val="0"/>
        <w:autoSpaceDE w:val="0"/>
        <w:autoSpaceDN w:val="0"/>
        <w:spacing w:before="101"/>
        <w:ind w:firstLine="708"/>
        <w:jc w:val="both"/>
        <w:rPr>
          <w:rFonts w:eastAsia="Verdana" w:cs="Verdana"/>
          <w:b/>
          <w:iCs/>
          <w:sz w:val="40"/>
          <w:lang w:val="nl-NL"/>
        </w:rPr>
      </w:pPr>
      <w:r w:rsidRPr="00A33930">
        <w:rPr>
          <w:rFonts w:eastAsia="Verdana" w:cs="Verdana"/>
          <w:b/>
          <w:w w:val="105"/>
          <w:sz w:val="40"/>
          <w:lang w:val="nl-NL"/>
        </w:rPr>
        <w:t>Faculteit Rechten</w:t>
      </w:r>
    </w:p>
    <w:p w14:paraId="01BD014B" w14:textId="77777777" w:rsidR="00A655D0" w:rsidRPr="00A33930" w:rsidRDefault="00A655D0" w:rsidP="00A655D0">
      <w:pPr>
        <w:widowControl w:val="0"/>
        <w:autoSpaceDE w:val="0"/>
        <w:autoSpaceDN w:val="0"/>
        <w:spacing w:before="124"/>
        <w:ind w:firstLine="708"/>
        <w:jc w:val="both"/>
        <w:rPr>
          <w:rFonts w:eastAsia="Verdana" w:cs="Verdana"/>
          <w:iCs/>
          <w:sz w:val="40"/>
          <w:lang w:val="nl-NL"/>
        </w:rPr>
      </w:pPr>
      <w:r w:rsidRPr="00A33930">
        <w:rPr>
          <w:rFonts w:eastAsia="Verdana" w:cs="Verdana"/>
          <w:sz w:val="40"/>
          <w:lang w:val="nl-NL"/>
        </w:rPr>
        <w:t>master in de rechten</w:t>
      </w:r>
    </w:p>
    <w:p w14:paraId="4AE7555D" w14:textId="77777777" w:rsidR="00A655D0" w:rsidRPr="00A33930" w:rsidRDefault="00A655D0" w:rsidP="00A655D0">
      <w:pPr>
        <w:widowControl w:val="0"/>
        <w:autoSpaceDE w:val="0"/>
        <w:autoSpaceDN w:val="0"/>
        <w:spacing w:before="256" w:line="360" w:lineRule="auto"/>
        <w:ind w:firstLine="708"/>
        <w:jc w:val="both"/>
        <w:rPr>
          <w:rFonts w:eastAsia="Verdana" w:cs="Verdana"/>
          <w:b/>
          <w:i/>
          <w:iCs/>
          <w:szCs w:val="18"/>
          <w:lang w:val="nl-NL"/>
        </w:rPr>
      </w:pPr>
      <w:r w:rsidRPr="00A33930">
        <w:rPr>
          <w:rFonts w:eastAsia="Verdana" w:cs="Verdana"/>
          <w:b/>
          <w:i/>
          <w:w w:val="120"/>
          <w:szCs w:val="18"/>
          <w:lang w:val="nl-NL"/>
        </w:rPr>
        <w:t>Masterscriptie 2022-2023</w:t>
      </w:r>
    </w:p>
    <w:p w14:paraId="27C2B6B1" w14:textId="77777777" w:rsidR="00A655D0" w:rsidRPr="00A33930" w:rsidRDefault="00A655D0" w:rsidP="00A655D0">
      <w:pPr>
        <w:widowControl w:val="0"/>
        <w:autoSpaceDE w:val="0"/>
        <w:autoSpaceDN w:val="0"/>
        <w:spacing w:line="360" w:lineRule="auto"/>
        <w:jc w:val="both"/>
        <w:rPr>
          <w:rFonts w:eastAsia="Verdana" w:cs="Verdana"/>
          <w:b/>
          <w:i/>
          <w:iCs/>
          <w:sz w:val="26"/>
          <w:szCs w:val="18"/>
          <w:lang w:val="nl-NL"/>
        </w:rPr>
      </w:pPr>
    </w:p>
    <w:p w14:paraId="73E76FFA" w14:textId="77777777" w:rsidR="00A655D0" w:rsidRPr="00A33930" w:rsidRDefault="00A655D0" w:rsidP="00A655D0">
      <w:pPr>
        <w:widowControl w:val="0"/>
        <w:autoSpaceDE w:val="0"/>
        <w:autoSpaceDN w:val="0"/>
        <w:spacing w:line="360" w:lineRule="auto"/>
        <w:jc w:val="both"/>
        <w:rPr>
          <w:rFonts w:eastAsia="Verdana" w:cs="Verdana"/>
          <w:b/>
          <w:i/>
          <w:iCs/>
          <w:sz w:val="31"/>
          <w:szCs w:val="18"/>
          <w:lang w:val="nl-NL"/>
        </w:rPr>
      </w:pPr>
    </w:p>
    <w:p w14:paraId="10BFB532" w14:textId="77777777" w:rsidR="00A655D0" w:rsidRPr="00A33930" w:rsidRDefault="00A655D0" w:rsidP="00A655D0">
      <w:pPr>
        <w:widowControl w:val="0"/>
        <w:autoSpaceDE w:val="0"/>
        <w:autoSpaceDN w:val="0"/>
        <w:spacing w:before="11" w:line="360" w:lineRule="auto"/>
        <w:jc w:val="both"/>
        <w:rPr>
          <w:rFonts w:eastAsia="Verdana" w:cs="Verdana"/>
          <w:b/>
          <w:i/>
          <w:iCs/>
          <w:lang w:val="nl-NL"/>
        </w:rPr>
      </w:pPr>
    </w:p>
    <w:p w14:paraId="2596FDE2" w14:textId="3DE38CBA" w:rsidR="00A655D0" w:rsidRPr="00A33930" w:rsidRDefault="00A655D0" w:rsidP="00A655D0">
      <w:pPr>
        <w:widowControl w:val="0"/>
        <w:autoSpaceDE w:val="0"/>
        <w:autoSpaceDN w:val="0"/>
        <w:spacing w:before="11" w:line="360" w:lineRule="auto"/>
        <w:ind w:left="708"/>
        <w:jc w:val="both"/>
        <w:rPr>
          <w:rFonts w:eastAsia="Verdana" w:cs="Verdana"/>
          <w:b/>
          <w:i/>
          <w:iCs/>
          <w:sz w:val="20"/>
          <w:szCs w:val="28"/>
          <w:lang w:val="nl-NL"/>
        </w:rPr>
      </w:pPr>
      <w:r w:rsidRPr="00A33930">
        <w:rPr>
          <w:rFonts w:eastAsia="Verdana" w:cs="Verdana"/>
          <w:b/>
          <w:i/>
          <w:sz w:val="20"/>
          <w:szCs w:val="28"/>
          <w:lang w:val="nl-NL"/>
        </w:rPr>
        <w:t xml:space="preserve">Het recht op persoonlijk contact van het kind. Een analyse van het wetgevend kader vanuit mensenrechtelijk en rechtsvergelijkend perspectief. Is </w:t>
      </w:r>
      <w:r w:rsidR="00F10A96" w:rsidRPr="00A33930">
        <w:rPr>
          <w:rFonts w:eastAsia="Verdana" w:cs="Verdana"/>
          <w:b/>
          <w:i/>
          <w:sz w:val="20"/>
          <w:szCs w:val="28"/>
          <w:lang w:val="nl-NL"/>
        </w:rPr>
        <w:t>het</w:t>
      </w:r>
      <w:r w:rsidRPr="00A33930">
        <w:rPr>
          <w:rFonts w:eastAsia="Verdana" w:cs="Verdana"/>
          <w:b/>
          <w:i/>
          <w:sz w:val="20"/>
          <w:szCs w:val="28"/>
          <w:lang w:val="nl-NL"/>
        </w:rPr>
        <w:t xml:space="preserve"> Burgerlijk Wetboek aan een update toe?</w:t>
      </w:r>
    </w:p>
    <w:p w14:paraId="2C967BDA" w14:textId="77777777" w:rsidR="00A655D0" w:rsidRPr="00A33930" w:rsidRDefault="00A655D0" w:rsidP="00A655D0">
      <w:pPr>
        <w:widowControl w:val="0"/>
        <w:autoSpaceDE w:val="0"/>
        <w:autoSpaceDN w:val="0"/>
        <w:spacing w:before="11" w:line="276" w:lineRule="auto"/>
        <w:jc w:val="both"/>
        <w:rPr>
          <w:rFonts w:eastAsia="Verdana" w:cs="Verdana"/>
          <w:b/>
          <w:i/>
          <w:iCs/>
          <w:sz w:val="17"/>
          <w:szCs w:val="18"/>
          <w:lang w:val="nl-NL"/>
        </w:rPr>
      </w:pPr>
    </w:p>
    <w:p w14:paraId="241A2F3E" w14:textId="77777777" w:rsidR="00A655D0" w:rsidRPr="00A33930" w:rsidRDefault="00A655D0" w:rsidP="00A655D0">
      <w:pPr>
        <w:widowControl w:val="0"/>
        <w:autoSpaceDE w:val="0"/>
        <w:autoSpaceDN w:val="0"/>
        <w:spacing w:line="360" w:lineRule="auto"/>
        <w:ind w:firstLine="708"/>
        <w:jc w:val="both"/>
        <w:rPr>
          <w:rFonts w:eastAsia="Verdana" w:cs="Verdana"/>
          <w:b/>
          <w:bCs/>
          <w:iCs/>
          <w:w w:val="110"/>
          <w:lang w:val="nl-NL"/>
        </w:rPr>
      </w:pPr>
      <w:r w:rsidRPr="00A33930">
        <w:rPr>
          <w:rFonts w:eastAsia="Verdana" w:cs="Verdana"/>
          <w:b/>
          <w:bCs/>
          <w:w w:val="110"/>
          <w:lang w:val="nl-NL"/>
        </w:rPr>
        <w:t>Amber Jans</w:t>
      </w:r>
    </w:p>
    <w:p w14:paraId="1B931739" w14:textId="77777777" w:rsidR="00A655D0" w:rsidRPr="00A33930" w:rsidRDefault="00A655D0" w:rsidP="00A655D0">
      <w:pPr>
        <w:widowControl w:val="0"/>
        <w:autoSpaceDE w:val="0"/>
        <w:autoSpaceDN w:val="0"/>
        <w:spacing w:line="360" w:lineRule="auto"/>
        <w:ind w:left="708"/>
        <w:jc w:val="both"/>
        <w:rPr>
          <w:rFonts w:eastAsia="Verdana" w:cs="Verdana"/>
          <w:iCs/>
          <w:w w:val="110"/>
          <w:szCs w:val="22"/>
          <w:lang w:val="nl-NL"/>
        </w:rPr>
      </w:pPr>
      <w:r w:rsidRPr="00A33930">
        <w:rPr>
          <w:rFonts w:eastAsia="Verdana" w:cs="Verdana"/>
          <w:w w:val="110"/>
          <w:szCs w:val="22"/>
          <w:lang w:val="nl-NL"/>
        </w:rPr>
        <w:t>Scriptie ingediend tot het behalen van de graad van master in de rechten, afstudeerrichting rechten.</w:t>
      </w:r>
    </w:p>
    <w:p w14:paraId="74EE93EF" w14:textId="77777777" w:rsidR="00A655D0" w:rsidRPr="00A33930" w:rsidRDefault="00A655D0" w:rsidP="00A655D0">
      <w:pPr>
        <w:widowControl w:val="0"/>
        <w:autoSpaceDE w:val="0"/>
        <w:autoSpaceDN w:val="0"/>
        <w:spacing w:line="360" w:lineRule="auto"/>
        <w:jc w:val="both"/>
        <w:rPr>
          <w:rFonts w:eastAsia="Verdana" w:cs="Verdana"/>
          <w:iCs/>
          <w:w w:val="110"/>
          <w:sz w:val="16"/>
          <w:lang w:val="nl-NL"/>
        </w:rPr>
      </w:pPr>
    </w:p>
    <w:p w14:paraId="7FAE3ACC" w14:textId="77777777" w:rsidR="00A655D0" w:rsidRPr="00A33930" w:rsidRDefault="00A655D0" w:rsidP="00A655D0">
      <w:pPr>
        <w:widowControl w:val="0"/>
        <w:autoSpaceDE w:val="0"/>
        <w:autoSpaceDN w:val="0"/>
        <w:spacing w:line="360" w:lineRule="auto"/>
        <w:jc w:val="both"/>
        <w:rPr>
          <w:rFonts w:eastAsia="Verdana" w:cs="Verdana"/>
          <w:iCs/>
          <w:szCs w:val="18"/>
          <w:lang w:val="nl-NL"/>
        </w:rPr>
      </w:pPr>
    </w:p>
    <w:p w14:paraId="5A12916E" w14:textId="77777777" w:rsidR="00A655D0" w:rsidRPr="00A33930" w:rsidRDefault="00A655D0" w:rsidP="00A655D0">
      <w:pPr>
        <w:widowControl w:val="0"/>
        <w:autoSpaceDE w:val="0"/>
        <w:autoSpaceDN w:val="0"/>
        <w:spacing w:line="360" w:lineRule="auto"/>
        <w:jc w:val="both"/>
        <w:rPr>
          <w:rFonts w:eastAsia="Verdana" w:cs="Verdana"/>
          <w:iCs/>
          <w:szCs w:val="18"/>
          <w:lang w:val="nl-NL"/>
        </w:rPr>
      </w:pPr>
    </w:p>
    <w:p w14:paraId="15620367" w14:textId="77777777" w:rsidR="00A655D0" w:rsidRPr="00A33930" w:rsidRDefault="00A655D0" w:rsidP="00A655D0">
      <w:pPr>
        <w:spacing w:line="360" w:lineRule="auto"/>
        <w:jc w:val="both"/>
        <w:rPr>
          <w:b/>
          <w:iCs/>
          <w:w w:val="115"/>
          <w:lang w:val="nl-NL"/>
        </w:rPr>
      </w:pPr>
    </w:p>
    <w:p w14:paraId="6C29431C" w14:textId="77777777" w:rsidR="00A655D0" w:rsidRPr="00A33930" w:rsidRDefault="00A655D0" w:rsidP="00A655D0">
      <w:pPr>
        <w:spacing w:line="360" w:lineRule="auto"/>
        <w:jc w:val="both"/>
        <w:rPr>
          <w:b/>
          <w:iCs/>
          <w:w w:val="115"/>
          <w:lang w:val="nl-NL"/>
        </w:rPr>
      </w:pPr>
    </w:p>
    <w:p w14:paraId="060067F6" w14:textId="77777777" w:rsidR="00A655D0" w:rsidRPr="00A33930" w:rsidRDefault="00A655D0" w:rsidP="00A655D0">
      <w:pPr>
        <w:spacing w:line="360" w:lineRule="auto"/>
        <w:ind w:firstLine="708"/>
        <w:jc w:val="both"/>
        <w:rPr>
          <w:b/>
          <w:iCs/>
          <w:szCs w:val="18"/>
          <w:lang w:val="nl-NL"/>
        </w:rPr>
      </w:pPr>
      <w:r w:rsidRPr="00A33930">
        <w:rPr>
          <w:b/>
          <w:w w:val="115"/>
          <w:szCs w:val="18"/>
          <w:lang w:val="nl-NL"/>
        </w:rPr>
        <w:t>PROMOTOR:</w:t>
      </w:r>
    </w:p>
    <w:p w14:paraId="58A0F34D" w14:textId="77777777" w:rsidR="00A655D0" w:rsidRPr="00A33930" w:rsidRDefault="00A655D0" w:rsidP="00A655D0">
      <w:pPr>
        <w:spacing w:line="360" w:lineRule="auto"/>
        <w:ind w:firstLine="708"/>
        <w:jc w:val="both"/>
        <w:rPr>
          <w:iCs/>
          <w:szCs w:val="18"/>
          <w:lang w:val="nl-NL"/>
        </w:rPr>
      </w:pPr>
      <w:r w:rsidRPr="00A33930">
        <w:rPr>
          <w:szCs w:val="18"/>
          <w:lang w:val="nl-NL"/>
        </w:rPr>
        <w:t>Prof. dr. Charlotte DECLERCK</w:t>
      </w:r>
    </w:p>
    <w:p w14:paraId="31A2ADE3" w14:textId="77777777" w:rsidR="00A655D0" w:rsidRPr="00A33930" w:rsidRDefault="00A655D0" w:rsidP="00A655D0">
      <w:pPr>
        <w:spacing w:line="360" w:lineRule="auto"/>
        <w:ind w:firstLine="708"/>
        <w:jc w:val="both"/>
        <w:rPr>
          <w:iCs/>
          <w:szCs w:val="18"/>
          <w:lang w:val="nl-NL"/>
        </w:rPr>
      </w:pPr>
    </w:p>
    <w:p w14:paraId="48F599EF" w14:textId="57A85850" w:rsidR="00A655D0" w:rsidRPr="00A33930" w:rsidRDefault="00A655D0" w:rsidP="00A655D0">
      <w:pPr>
        <w:spacing w:line="360" w:lineRule="auto"/>
        <w:ind w:firstLine="708"/>
        <w:jc w:val="both"/>
        <w:rPr>
          <w:b/>
          <w:iCs/>
          <w:w w:val="115"/>
          <w:szCs w:val="18"/>
          <w:lang w:val="nl-NL"/>
        </w:rPr>
      </w:pPr>
      <w:r w:rsidRPr="00A33930">
        <w:rPr>
          <w:b/>
          <w:w w:val="115"/>
          <w:szCs w:val="18"/>
          <w:lang w:val="nl-NL"/>
        </w:rPr>
        <w:t>COPROMOTOR:</w:t>
      </w:r>
    </w:p>
    <w:p w14:paraId="72D9A834" w14:textId="77777777" w:rsidR="007C7390" w:rsidRPr="00A33930" w:rsidRDefault="00A655D0" w:rsidP="00A655D0">
      <w:pPr>
        <w:spacing w:line="360" w:lineRule="auto"/>
        <w:ind w:firstLine="708"/>
        <w:jc w:val="both"/>
        <w:rPr>
          <w:szCs w:val="18"/>
          <w:lang w:val="nl-NL"/>
        </w:rPr>
      </w:pPr>
      <w:r w:rsidRPr="00A33930">
        <w:rPr>
          <w:szCs w:val="18"/>
          <w:lang w:val="nl-NL"/>
        </w:rPr>
        <w:t>Prof. dr. Tim WUYT</w:t>
      </w:r>
      <w:r w:rsidR="007C7390" w:rsidRPr="00A33930">
        <w:rPr>
          <w:szCs w:val="18"/>
          <w:lang w:val="nl-NL"/>
        </w:rPr>
        <w:t>S</w:t>
      </w:r>
    </w:p>
    <w:p w14:paraId="3E034D96" w14:textId="77777777" w:rsidR="007C7390" w:rsidRPr="00A33930" w:rsidRDefault="007C7390" w:rsidP="00A655D0">
      <w:pPr>
        <w:spacing w:line="360" w:lineRule="auto"/>
        <w:ind w:firstLine="708"/>
        <w:jc w:val="both"/>
        <w:rPr>
          <w:szCs w:val="18"/>
          <w:lang w:val="nl-NL"/>
        </w:rPr>
      </w:pPr>
    </w:p>
    <w:p w14:paraId="4889EB0B" w14:textId="77777777" w:rsidR="007C7390" w:rsidRPr="00A33930" w:rsidRDefault="007C7390" w:rsidP="00A655D0">
      <w:pPr>
        <w:spacing w:line="360" w:lineRule="auto"/>
        <w:ind w:firstLine="708"/>
        <w:jc w:val="both"/>
        <w:rPr>
          <w:szCs w:val="18"/>
          <w:lang w:val="nl-NL"/>
        </w:rPr>
      </w:pPr>
    </w:p>
    <w:p w14:paraId="29D7B079" w14:textId="7E9EC04D" w:rsidR="007C7390" w:rsidRPr="00A33930" w:rsidRDefault="007C7390" w:rsidP="00A655D0">
      <w:pPr>
        <w:spacing w:line="360" w:lineRule="auto"/>
        <w:ind w:firstLine="708"/>
        <w:jc w:val="both"/>
        <w:rPr>
          <w:szCs w:val="18"/>
          <w:lang w:val="nl-NL"/>
        </w:rPr>
        <w:sectPr w:rsidR="007C7390" w:rsidRPr="00A33930" w:rsidSect="00710FDA">
          <w:footerReference w:type="even" r:id="rId9"/>
          <w:footerReference w:type="default" r:id="rId10"/>
          <w:footerReference w:type="first" r:id="rId11"/>
          <w:pgSz w:w="11906" w:h="16838"/>
          <w:pgMar w:top="1417" w:right="1417" w:bottom="1417" w:left="1417" w:header="708" w:footer="708" w:gutter="0"/>
          <w:pgNumType w:fmt="upperRoman" w:start="1"/>
          <w:cols w:space="708"/>
          <w:titlePg/>
          <w:docGrid w:linePitch="360"/>
        </w:sectPr>
      </w:pPr>
    </w:p>
    <w:p w14:paraId="78C54544" w14:textId="7407A18D" w:rsidR="00E31AA8" w:rsidRPr="00A33930" w:rsidRDefault="005C58AC" w:rsidP="00EC6570">
      <w:pPr>
        <w:spacing w:after="240"/>
        <w:rPr>
          <w:b/>
          <w:bCs/>
          <w:sz w:val="22"/>
          <w:szCs w:val="36"/>
          <w:lang w:val="nl-NL" w:eastAsia="en-US"/>
        </w:rPr>
      </w:pPr>
      <w:r w:rsidRPr="00A33930">
        <w:rPr>
          <w:b/>
          <w:bCs/>
          <w:sz w:val="22"/>
          <w:szCs w:val="36"/>
          <w:lang w:val="nl-NL" w:eastAsia="en-US"/>
        </w:rPr>
        <w:lastRenderedPageBreak/>
        <w:t>SAMENVATTING</w:t>
      </w:r>
    </w:p>
    <w:p w14:paraId="2C3DD39D" w14:textId="550316DA" w:rsidR="00DA515E" w:rsidRPr="00A33930" w:rsidRDefault="00F40BC3" w:rsidP="00DA515E">
      <w:pPr>
        <w:spacing w:line="360" w:lineRule="auto"/>
        <w:jc w:val="both"/>
        <w:rPr>
          <w:lang w:val="nl-NL" w:eastAsia="en-US"/>
        </w:rPr>
      </w:pPr>
      <w:r w:rsidRPr="00A33930">
        <w:rPr>
          <w:lang w:val="nl-NL" w:eastAsia="en-US"/>
        </w:rPr>
        <w:t>Centraal in deze masterscriptie staat het recht op persoonlijk contact</w:t>
      </w:r>
      <w:r w:rsidR="003A37B3" w:rsidRPr="00A33930">
        <w:rPr>
          <w:lang w:val="nl-NL" w:eastAsia="en-US"/>
        </w:rPr>
        <w:t>. Dit</w:t>
      </w:r>
      <w:r w:rsidR="002D0DF6" w:rsidRPr="00A33930">
        <w:rPr>
          <w:lang w:val="nl-NL" w:eastAsia="en-US"/>
        </w:rPr>
        <w:t xml:space="preserve"> </w:t>
      </w:r>
      <w:r w:rsidR="003A37B3" w:rsidRPr="00A33930">
        <w:rPr>
          <w:lang w:val="nl-NL" w:eastAsia="en-US"/>
        </w:rPr>
        <w:t>is</w:t>
      </w:r>
      <w:r w:rsidR="002D0DF6" w:rsidRPr="00A33930">
        <w:rPr>
          <w:lang w:val="nl-NL" w:eastAsia="en-US"/>
        </w:rPr>
        <w:t xml:space="preserve"> </w:t>
      </w:r>
      <w:r w:rsidR="00357B75" w:rsidRPr="00A33930">
        <w:rPr>
          <w:lang w:val="nl-NL" w:eastAsia="en-US"/>
        </w:rPr>
        <w:t xml:space="preserve">het recht om op regelmatige wijze </w:t>
      </w:r>
      <w:r w:rsidR="00DF539B" w:rsidRPr="00A33930">
        <w:rPr>
          <w:lang w:val="nl-NL" w:eastAsia="en-US"/>
        </w:rPr>
        <w:t xml:space="preserve">contact te hebben </w:t>
      </w:r>
      <w:r w:rsidR="00357B75" w:rsidRPr="00A33930">
        <w:rPr>
          <w:lang w:val="nl-NL" w:eastAsia="en-US"/>
        </w:rPr>
        <w:t xml:space="preserve">met een minderjarig kind. </w:t>
      </w:r>
      <w:r w:rsidR="00EC6570" w:rsidRPr="00A33930">
        <w:rPr>
          <w:lang w:val="nl-NL" w:eastAsia="en-US"/>
        </w:rPr>
        <w:t xml:space="preserve">Omwille van de </w:t>
      </w:r>
      <w:r w:rsidR="002D0DF6" w:rsidRPr="00A33930">
        <w:rPr>
          <w:lang w:val="nl-NL" w:eastAsia="en-US"/>
        </w:rPr>
        <w:t>huidige</w:t>
      </w:r>
      <w:r w:rsidR="00EC6570" w:rsidRPr="00A33930">
        <w:rPr>
          <w:lang w:val="nl-NL" w:eastAsia="en-US"/>
        </w:rPr>
        <w:t>, mondige positie van het kind</w:t>
      </w:r>
      <w:r w:rsidR="00DA515E" w:rsidRPr="00A33930">
        <w:rPr>
          <w:lang w:val="nl-NL" w:eastAsia="en-US"/>
        </w:rPr>
        <w:t xml:space="preserve"> lijkt </w:t>
      </w:r>
      <w:r w:rsidR="00EC6570" w:rsidRPr="00A33930">
        <w:rPr>
          <w:lang w:val="nl-NL" w:eastAsia="en-US"/>
        </w:rPr>
        <w:t xml:space="preserve">het </w:t>
      </w:r>
      <w:r w:rsidR="00DA515E" w:rsidRPr="00A33930">
        <w:rPr>
          <w:lang w:val="nl-NL" w:eastAsia="en-US"/>
        </w:rPr>
        <w:t xml:space="preserve">vanzelfsprekend dat </w:t>
      </w:r>
      <w:r w:rsidR="00DF539B" w:rsidRPr="00A33930">
        <w:rPr>
          <w:lang w:val="nl-NL" w:eastAsia="en-US"/>
        </w:rPr>
        <w:t>het kind</w:t>
      </w:r>
      <w:r w:rsidR="00DA515E" w:rsidRPr="00A33930">
        <w:rPr>
          <w:lang w:val="nl-NL" w:eastAsia="en-US"/>
        </w:rPr>
        <w:t xml:space="preserve"> contacten mag houden met wie en wanneer hij of zij </w:t>
      </w:r>
      <w:r w:rsidR="00487EB8" w:rsidRPr="00A33930">
        <w:rPr>
          <w:lang w:val="nl-NL" w:eastAsia="en-US"/>
        </w:rPr>
        <w:t xml:space="preserve">dat </w:t>
      </w:r>
      <w:r w:rsidR="00DA515E" w:rsidRPr="00A33930">
        <w:rPr>
          <w:lang w:val="nl-NL" w:eastAsia="en-US"/>
        </w:rPr>
        <w:t xml:space="preserve">wil. </w:t>
      </w:r>
      <w:r w:rsidR="001057A7" w:rsidRPr="00A33930">
        <w:rPr>
          <w:lang w:val="nl-NL" w:eastAsia="en-US"/>
        </w:rPr>
        <w:t xml:space="preserve">Toch is dat niet het geval. </w:t>
      </w:r>
      <w:r w:rsidR="00EC6570" w:rsidRPr="00A33930">
        <w:rPr>
          <w:rFonts w:eastAsia="Verdana" w:cs="Verdana"/>
          <w:szCs w:val="18"/>
          <w:lang w:val="nl-NL"/>
        </w:rPr>
        <w:t xml:space="preserve">Een </w:t>
      </w:r>
      <w:r w:rsidR="00E57778" w:rsidRPr="00A33930">
        <w:rPr>
          <w:rFonts w:eastAsia="Verdana" w:cs="Verdana"/>
          <w:szCs w:val="18"/>
          <w:lang w:val="nl-NL"/>
        </w:rPr>
        <w:t xml:space="preserve">kindperspectief </w:t>
      </w:r>
      <w:r w:rsidR="00EC6570" w:rsidRPr="00A33930">
        <w:rPr>
          <w:rFonts w:eastAsia="Verdana" w:cs="Verdana"/>
          <w:szCs w:val="18"/>
          <w:lang w:val="nl-NL"/>
        </w:rPr>
        <w:t xml:space="preserve">dat het kind ook effectief in de hoofdrol plaatst </w:t>
      </w:r>
      <w:r w:rsidR="002D0DF6" w:rsidRPr="00A33930">
        <w:rPr>
          <w:rFonts w:eastAsia="Verdana" w:cs="Verdana"/>
          <w:szCs w:val="18"/>
          <w:lang w:val="nl-NL"/>
        </w:rPr>
        <w:t>vormt</w:t>
      </w:r>
      <w:r w:rsidR="00EC6570" w:rsidRPr="00A33930">
        <w:rPr>
          <w:lang w:val="nl-NL" w:eastAsia="en-US"/>
        </w:rPr>
        <w:t xml:space="preserve"> sinds 1989 het uitgangspunt</w:t>
      </w:r>
      <w:r w:rsidR="003A37B3" w:rsidRPr="00A33930">
        <w:rPr>
          <w:lang w:val="nl-NL" w:eastAsia="en-US"/>
        </w:rPr>
        <w:t xml:space="preserve"> in het IVRK</w:t>
      </w:r>
      <w:r w:rsidR="002D0DF6" w:rsidRPr="00A33930">
        <w:rPr>
          <w:lang w:val="nl-NL" w:eastAsia="en-US"/>
        </w:rPr>
        <w:t>.</w:t>
      </w:r>
      <w:r w:rsidR="00EC6570" w:rsidRPr="00A33930">
        <w:rPr>
          <w:lang w:val="nl-NL" w:eastAsia="en-US"/>
        </w:rPr>
        <w:t xml:space="preserve"> </w:t>
      </w:r>
      <w:r w:rsidR="002D0DF6" w:rsidRPr="00A33930">
        <w:rPr>
          <w:lang w:val="nl-NL" w:eastAsia="en-US"/>
        </w:rPr>
        <w:t xml:space="preserve">Niet ieder </w:t>
      </w:r>
      <w:r w:rsidR="00A804BE" w:rsidRPr="00A33930">
        <w:rPr>
          <w:lang w:val="nl-NL" w:eastAsia="en-US"/>
        </w:rPr>
        <w:t>rechtsstelsel</w:t>
      </w:r>
      <w:r w:rsidR="002D0DF6" w:rsidRPr="00A33930">
        <w:rPr>
          <w:lang w:val="nl-NL" w:eastAsia="en-US"/>
        </w:rPr>
        <w:t xml:space="preserve"> gaat echter even ver in het waarborgen ervan.</w:t>
      </w:r>
      <w:r w:rsidR="00EC6570" w:rsidRPr="00A33930">
        <w:rPr>
          <w:lang w:val="nl-NL" w:eastAsia="en-US"/>
        </w:rPr>
        <w:t xml:space="preserve"> </w:t>
      </w:r>
      <w:r w:rsidR="00A804BE" w:rsidRPr="00A33930">
        <w:rPr>
          <w:lang w:val="nl-NL" w:eastAsia="en-US"/>
        </w:rPr>
        <w:t>Voor de Belgische wetgever is dat</w:t>
      </w:r>
      <w:r w:rsidR="00DA515E" w:rsidRPr="00A33930">
        <w:rPr>
          <w:lang w:val="nl-NL" w:eastAsia="en-US"/>
        </w:rPr>
        <w:t xml:space="preserve"> </w:t>
      </w:r>
      <w:r w:rsidR="00EC6570" w:rsidRPr="00A33930">
        <w:rPr>
          <w:lang w:val="nl-NL" w:eastAsia="en-US"/>
        </w:rPr>
        <w:t xml:space="preserve">modern </w:t>
      </w:r>
      <w:r w:rsidR="00E57778" w:rsidRPr="00A33930">
        <w:rPr>
          <w:rFonts w:eastAsia="Verdana" w:cs="Verdana"/>
          <w:szCs w:val="18"/>
          <w:lang w:val="nl-NL"/>
        </w:rPr>
        <w:t xml:space="preserve">kindperspectief </w:t>
      </w:r>
      <w:r w:rsidR="00A804BE" w:rsidRPr="00A33930">
        <w:rPr>
          <w:lang w:val="nl-NL" w:eastAsia="en-US"/>
        </w:rPr>
        <w:t xml:space="preserve">geen </w:t>
      </w:r>
      <w:r w:rsidR="00DF539B" w:rsidRPr="00A33930">
        <w:rPr>
          <w:lang w:val="nl-NL" w:eastAsia="en-US"/>
        </w:rPr>
        <w:t>sinecure</w:t>
      </w:r>
      <w:r w:rsidR="00DA515E" w:rsidRPr="00A33930">
        <w:rPr>
          <w:lang w:val="nl-NL" w:eastAsia="en-US"/>
        </w:rPr>
        <w:t>.</w:t>
      </w:r>
      <w:r w:rsidR="00357B75" w:rsidRPr="00A33930">
        <w:rPr>
          <w:lang w:val="nl-NL" w:eastAsia="en-US"/>
        </w:rPr>
        <w:t xml:space="preserve"> </w:t>
      </w:r>
      <w:r w:rsidR="00A804BE" w:rsidRPr="00A33930">
        <w:rPr>
          <w:lang w:val="nl-NL" w:eastAsia="en-US"/>
        </w:rPr>
        <w:t>Het</w:t>
      </w:r>
      <w:r w:rsidR="00357B75" w:rsidRPr="00A33930">
        <w:rPr>
          <w:lang w:val="nl-NL" w:eastAsia="en-US"/>
        </w:rPr>
        <w:t xml:space="preserve"> </w:t>
      </w:r>
      <w:r w:rsidR="002D0DF6" w:rsidRPr="00A33930">
        <w:rPr>
          <w:lang w:val="nl-NL" w:eastAsia="en-US"/>
        </w:rPr>
        <w:t>contactrecht</w:t>
      </w:r>
      <w:r w:rsidR="00357B75" w:rsidRPr="00A33930">
        <w:rPr>
          <w:lang w:val="nl-NL" w:eastAsia="en-US"/>
        </w:rPr>
        <w:t xml:space="preserve"> </w:t>
      </w:r>
      <w:r w:rsidR="00DF539B" w:rsidRPr="00A33930">
        <w:rPr>
          <w:lang w:val="nl-NL" w:eastAsia="en-US"/>
        </w:rPr>
        <w:t>lijkt</w:t>
      </w:r>
      <w:r w:rsidR="00357B75" w:rsidRPr="00A33930">
        <w:rPr>
          <w:lang w:val="nl-NL" w:eastAsia="en-US"/>
        </w:rPr>
        <w:t xml:space="preserve"> vandaag </w:t>
      </w:r>
      <w:r w:rsidR="00A804BE" w:rsidRPr="00A33930">
        <w:rPr>
          <w:lang w:val="nl-NL" w:eastAsia="en-US"/>
        </w:rPr>
        <w:t xml:space="preserve">namelijk </w:t>
      </w:r>
      <w:r w:rsidR="00357B75" w:rsidRPr="00A33930">
        <w:rPr>
          <w:lang w:val="nl-NL" w:eastAsia="en-US"/>
        </w:rPr>
        <w:t>eenrichtingsverkeer te zijn: het is een recht van de meerderjarige ten aanzien van het kind en niet omgekeerd.</w:t>
      </w:r>
    </w:p>
    <w:p w14:paraId="08DFD43A" w14:textId="77777777" w:rsidR="00DA515E" w:rsidRPr="00A33930" w:rsidRDefault="00DA515E" w:rsidP="00DA515E">
      <w:pPr>
        <w:spacing w:line="360" w:lineRule="auto"/>
        <w:jc w:val="both"/>
        <w:rPr>
          <w:lang w:val="nl-NL" w:eastAsia="en-US"/>
        </w:rPr>
      </w:pPr>
    </w:p>
    <w:p w14:paraId="52D0D16F" w14:textId="1A6C58CB" w:rsidR="00357B75" w:rsidRPr="00A33930" w:rsidRDefault="00357B75" w:rsidP="00DA515E">
      <w:pPr>
        <w:spacing w:line="360" w:lineRule="auto"/>
        <w:jc w:val="both"/>
        <w:rPr>
          <w:rFonts w:eastAsia="Verdana" w:cs="Verdana"/>
          <w:szCs w:val="18"/>
          <w:lang w:val="nl-NL"/>
        </w:rPr>
      </w:pPr>
      <w:r w:rsidRPr="00A33930">
        <w:rPr>
          <w:rFonts w:eastAsia="Verdana" w:cs="Verdana"/>
          <w:szCs w:val="18"/>
          <w:lang w:val="nl-NL"/>
        </w:rPr>
        <w:t xml:space="preserve">Het </w:t>
      </w:r>
      <w:r w:rsidR="002D0DF6" w:rsidRPr="00A33930">
        <w:rPr>
          <w:rFonts w:eastAsia="Verdana" w:cs="Verdana"/>
          <w:szCs w:val="18"/>
          <w:lang w:val="nl-NL"/>
        </w:rPr>
        <w:t>contact</w:t>
      </w:r>
      <w:r w:rsidRPr="00A33930">
        <w:rPr>
          <w:rFonts w:eastAsia="Verdana" w:cs="Verdana"/>
          <w:szCs w:val="18"/>
          <w:lang w:val="nl-NL"/>
        </w:rPr>
        <w:t xml:space="preserve"> van (groot)ouder(s) of derden met het kind vormt een fundamenteel element van het privé-, familie- en gezinsleven </w:t>
      </w:r>
      <w:r w:rsidR="00A804BE" w:rsidRPr="00A33930">
        <w:rPr>
          <w:rFonts w:eastAsia="Verdana" w:cs="Verdana"/>
          <w:szCs w:val="18"/>
          <w:lang w:val="nl-NL"/>
        </w:rPr>
        <w:t>en</w:t>
      </w:r>
      <w:r w:rsidRPr="00A33930">
        <w:rPr>
          <w:rFonts w:eastAsia="Verdana" w:cs="Verdana"/>
          <w:szCs w:val="18"/>
          <w:lang w:val="nl-NL"/>
        </w:rPr>
        <w:t xml:space="preserve"> wordt beschermd door artikel 8.1 EVRM. In artikel 9.3 IVRK wordt dit zelfs verankerd als een recht van het kind. </w:t>
      </w:r>
      <w:r w:rsidR="00DA515E" w:rsidRPr="00A33930">
        <w:rPr>
          <w:rFonts w:eastAsia="Verdana" w:cs="Verdana"/>
          <w:szCs w:val="18"/>
          <w:lang w:val="nl-NL"/>
        </w:rPr>
        <w:t xml:space="preserve">Het IVRK stelt </w:t>
      </w:r>
      <w:r w:rsidR="00DF539B" w:rsidRPr="00A33930">
        <w:rPr>
          <w:rFonts w:eastAsia="Verdana" w:cs="Verdana"/>
          <w:szCs w:val="18"/>
          <w:lang w:val="nl-NL"/>
        </w:rPr>
        <w:t>hierbij</w:t>
      </w:r>
      <w:r w:rsidR="00DA515E" w:rsidRPr="00A33930">
        <w:rPr>
          <w:rFonts w:eastAsia="Verdana" w:cs="Verdana"/>
          <w:szCs w:val="18"/>
          <w:lang w:val="nl-NL"/>
        </w:rPr>
        <w:t xml:space="preserve"> dat kinderen geen rechtsobjecten maar rechtssubjecten zijn. Zij zijn dus drager van eigen rechten.</w:t>
      </w:r>
      <w:r w:rsidR="00EC6570" w:rsidRPr="00A33930">
        <w:rPr>
          <w:rFonts w:eastAsia="Verdana" w:cs="Verdana"/>
          <w:szCs w:val="18"/>
          <w:lang w:val="nl-NL"/>
        </w:rPr>
        <w:t xml:space="preserve"> Dat wil zeggen dat het kind zelf in de mogelijkheid moet zijn om zijn rechten te kunnen invullen</w:t>
      </w:r>
      <w:r w:rsidRPr="00A33930">
        <w:rPr>
          <w:rFonts w:eastAsia="Verdana" w:cs="Verdana"/>
          <w:szCs w:val="18"/>
          <w:lang w:val="nl-NL"/>
        </w:rPr>
        <w:t xml:space="preserve">, </w:t>
      </w:r>
      <w:r w:rsidR="00EC6570" w:rsidRPr="00A33930">
        <w:rPr>
          <w:rFonts w:eastAsia="Verdana" w:cs="Verdana"/>
          <w:szCs w:val="18"/>
          <w:lang w:val="nl-NL"/>
        </w:rPr>
        <w:t>uitoefenen</w:t>
      </w:r>
      <w:r w:rsidRPr="00A33930">
        <w:rPr>
          <w:rFonts w:eastAsia="Verdana" w:cs="Verdana"/>
          <w:szCs w:val="18"/>
          <w:lang w:val="nl-NL"/>
        </w:rPr>
        <w:t xml:space="preserve"> en afdwingen</w:t>
      </w:r>
      <w:r w:rsidR="00EC6570" w:rsidRPr="00A33930">
        <w:rPr>
          <w:rFonts w:eastAsia="Verdana" w:cs="Verdana"/>
          <w:szCs w:val="18"/>
          <w:lang w:val="nl-NL"/>
        </w:rPr>
        <w:t>.</w:t>
      </w:r>
      <w:r w:rsidR="00DA515E" w:rsidRPr="00A33930">
        <w:rPr>
          <w:rFonts w:eastAsia="Verdana" w:cs="Verdana"/>
          <w:szCs w:val="18"/>
          <w:lang w:val="nl-NL"/>
        </w:rPr>
        <w:t xml:space="preserve"> Tot op </w:t>
      </w:r>
      <w:r w:rsidR="008969F1" w:rsidRPr="00A33930">
        <w:rPr>
          <w:rFonts w:eastAsia="Verdana" w:cs="Verdana"/>
          <w:szCs w:val="18"/>
          <w:lang w:val="nl-NL"/>
        </w:rPr>
        <w:t>heden</w:t>
      </w:r>
      <w:r w:rsidR="00DA515E" w:rsidRPr="00A33930">
        <w:rPr>
          <w:rFonts w:eastAsia="Verdana" w:cs="Verdana"/>
          <w:szCs w:val="18"/>
          <w:lang w:val="nl-NL"/>
        </w:rPr>
        <w:t xml:space="preserve"> is </w:t>
      </w:r>
      <w:r w:rsidR="000A26AF" w:rsidRPr="00A33930">
        <w:rPr>
          <w:rFonts w:eastAsia="Verdana" w:cs="Verdana"/>
          <w:szCs w:val="18"/>
          <w:lang w:val="nl-NL"/>
        </w:rPr>
        <w:t>het oud Burgerlijk Wetboek</w:t>
      </w:r>
      <w:r w:rsidR="00DA515E" w:rsidRPr="00A33930">
        <w:rPr>
          <w:rFonts w:eastAsia="Verdana" w:cs="Verdana"/>
          <w:szCs w:val="18"/>
          <w:lang w:val="nl-NL"/>
        </w:rPr>
        <w:t xml:space="preserve"> echter ingebed in </w:t>
      </w:r>
      <w:r w:rsidR="00A40BA9" w:rsidRPr="00A33930">
        <w:rPr>
          <w:rFonts w:eastAsia="Verdana" w:cs="Verdana"/>
          <w:szCs w:val="18"/>
          <w:lang w:val="nl-NL"/>
        </w:rPr>
        <w:t>het</w:t>
      </w:r>
      <w:r w:rsidR="00DA515E" w:rsidRPr="00A33930">
        <w:rPr>
          <w:rFonts w:eastAsia="Verdana" w:cs="Verdana"/>
          <w:szCs w:val="18"/>
          <w:lang w:val="nl-NL"/>
        </w:rPr>
        <w:t xml:space="preserve"> idee dat enkel volwassenen </w:t>
      </w:r>
      <w:r w:rsidRPr="00A33930">
        <w:rPr>
          <w:rFonts w:eastAsia="Verdana" w:cs="Verdana"/>
          <w:szCs w:val="18"/>
          <w:lang w:val="nl-NL"/>
        </w:rPr>
        <w:t>dat kunnen</w:t>
      </w:r>
      <w:r w:rsidR="00DA515E" w:rsidRPr="00A33930">
        <w:rPr>
          <w:rFonts w:eastAsia="Verdana" w:cs="Verdana"/>
          <w:szCs w:val="18"/>
          <w:lang w:val="nl-NL"/>
        </w:rPr>
        <w:t>, ook wanneer het om het recht op persoonlijk contact gaat</w:t>
      </w:r>
      <w:r w:rsidR="00EC6570" w:rsidRPr="00A33930">
        <w:rPr>
          <w:rFonts w:eastAsia="Verdana" w:cs="Verdana"/>
          <w:szCs w:val="18"/>
          <w:lang w:val="nl-NL"/>
        </w:rPr>
        <w:t xml:space="preserve">. </w:t>
      </w:r>
      <w:r w:rsidR="00C302F2" w:rsidRPr="00A33930">
        <w:rPr>
          <w:rFonts w:eastAsia="Verdana" w:cs="Verdana"/>
          <w:szCs w:val="18"/>
          <w:lang w:val="nl-NL"/>
        </w:rPr>
        <w:t>Traditioneel wordt namelijk aangenomen dat art</w:t>
      </w:r>
      <w:r w:rsidR="008969F1" w:rsidRPr="00A33930">
        <w:rPr>
          <w:rFonts w:eastAsia="Verdana" w:cs="Verdana"/>
          <w:szCs w:val="18"/>
          <w:lang w:val="nl-NL"/>
        </w:rPr>
        <w:t xml:space="preserve">ikel 374, §1, vierde lid </w:t>
      </w:r>
      <w:r w:rsidR="008969F1" w:rsidRPr="00A33930">
        <w:rPr>
          <w:rFonts w:eastAsia="Verdana" w:cs="Verdana"/>
          <w:i/>
          <w:iCs/>
          <w:szCs w:val="18"/>
          <w:lang w:val="nl-NL"/>
        </w:rPr>
        <w:t>juncto</w:t>
      </w:r>
      <w:r w:rsidR="008969F1" w:rsidRPr="00A33930">
        <w:rPr>
          <w:rFonts w:eastAsia="Verdana" w:cs="Verdana"/>
          <w:szCs w:val="18"/>
          <w:lang w:val="nl-NL"/>
        </w:rPr>
        <w:t xml:space="preserve"> artikel</w:t>
      </w:r>
      <w:r w:rsidR="00C302F2" w:rsidRPr="00A33930">
        <w:rPr>
          <w:rFonts w:eastAsia="Verdana" w:cs="Verdana"/>
          <w:szCs w:val="18"/>
          <w:lang w:val="nl-NL"/>
        </w:rPr>
        <w:t xml:space="preserve"> 375</w:t>
      </w:r>
      <w:r w:rsidR="00C302F2" w:rsidRPr="00A33930">
        <w:rPr>
          <w:rFonts w:eastAsia="Verdana" w:cs="Verdana"/>
          <w:i/>
          <w:iCs/>
          <w:szCs w:val="18"/>
          <w:lang w:val="nl-NL"/>
        </w:rPr>
        <w:t>bis</w:t>
      </w:r>
      <w:r w:rsidR="00C302F2" w:rsidRPr="00A33930">
        <w:rPr>
          <w:rFonts w:eastAsia="Verdana" w:cs="Verdana"/>
          <w:szCs w:val="18"/>
          <w:lang w:val="nl-NL"/>
        </w:rPr>
        <w:t xml:space="preserve"> oud BW uitsluitend </w:t>
      </w:r>
      <w:r w:rsidR="001057A7" w:rsidRPr="00A33930">
        <w:rPr>
          <w:rFonts w:eastAsia="Verdana" w:cs="Verdana"/>
          <w:szCs w:val="18"/>
          <w:lang w:val="nl-NL"/>
        </w:rPr>
        <w:t>voorzie</w:t>
      </w:r>
      <w:r w:rsidR="00ED66F2" w:rsidRPr="00A33930">
        <w:rPr>
          <w:rFonts w:eastAsia="Verdana" w:cs="Verdana"/>
          <w:szCs w:val="18"/>
          <w:lang w:val="nl-NL"/>
        </w:rPr>
        <w:t>n</w:t>
      </w:r>
      <w:r w:rsidR="001057A7" w:rsidRPr="00A33930">
        <w:rPr>
          <w:rFonts w:eastAsia="Verdana" w:cs="Verdana"/>
          <w:szCs w:val="18"/>
          <w:lang w:val="nl-NL"/>
        </w:rPr>
        <w:t xml:space="preserve"> in een recht van </w:t>
      </w:r>
      <w:r w:rsidR="00C302F2" w:rsidRPr="00A33930">
        <w:rPr>
          <w:rFonts w:eastAsia="Verdana" w:cs="Verdana"/>
          <w:szCs w:val="18"/>
          <w:lang w:val="nl-NL"/>
        </w:rPr>
        <w:t>de meerderjarige op persoonlijk contact met een minderjarige, maar niet omgekeerd. Dat heeft verschillende redenen. Zo</w:t>
      </w:r>
      <w:r w:rsidR="00EC6570" w:rsidRPr="00A33930">
        <w:rPr>
          <w:rFonts w:eastAsia="Verdana" w:cs="Verdana"/>
          <w:szCs w:val="18"/>
          <w:lang w:val="nl-NL"/>
        </w:rPr>
        <w:t xml:space="preserve"> lijkt </w:t>
      </w:r>
      <w:r w:rsidR="00C302F2" w:rsidRPr="00A33930">
        <w:rPr>
          <w:rFonts w:eastAsia="Verdana" w:cs="Verdana"/>
          <w:szCs w:val="18"/>
          <w:lang w:val="nl-NL"/>
        </w:rPr>
        <w:t xml:space="preserve">dit </w:t>
      </w:r>
      <w:r w:rsidR="00EC6570" w:rsidRPr="00A33930">
        <w:rPr>
          <w:rFonts w:eastAsia="Verdana" w:cs="Verdana"/>
          <w:szCs w:val="18"/>
          <w:lang w:val="nl-NL"/>
        </w:rPr>
        <w:t xml:space="preserve">zijn oorsprong te vinden </w:t>
      </w:r>
      <w:r w:rsidRPr="00A33930">
        <w:rPr>
          <w:rFonts w:eastAsia="Verdana" w:cs="Verdana"/>
          <w:szCs w:val="18"/>
          <w:lang w:val="nl-NL"/>
        </w:rPr>
        <w:t>in het</w:t>
      </w:r>
      <w:r w:rsidR="00EC6570" w:rsidRPr="00A33930">
        <w:rPr>
          <w:rFonts w:eastAsia="Verdana" w:cs="Verdana"/>
          <w:szCs w:val="18"/>
          <w:lang w:val="nl-NL"/>
        </w:rPr>
        <w:t xml:space="preserve"> </w:t>
      </w:r>
      <w:r w:rsidR="000A26AF" w:rsidRPr="00A33930">
        <w:rPr>
          <w:rFonts w:eastAsia="Verdana" w:cs="Verdana"/>
          <w:szCs w:val="18"/>
          <w:lang w:val="nl-NL"/>
        </w:rPr>
        <w:t xml:space="preserve">gehanteerde </w:t>
      </w:r>
      <w:r w:rsidR="00E57778" w:rsidRPr="00A33930">
        <w:rPr>
          <w:rFonts w:eastAsia="Verdana" w:cs="Verdana"/>
          <w:szCs w:val="18"/>
          <w:lang w:val="nl-NL"/>
        </w:rPr>
        <w:t xml:space="preserve">kindperspectief </w:t>
      </w:r>
      <w:r w:rsidR="00EC6570" w:rsidRPr="00A33930">
        <w:rPr>
          <w:rFonts w:eastAsia="Verdana" w:cs="Verdana"/>
          <w:szCs w:val="18"/>
          <w:lang w:val="nl-NL"/>
        </w:rPr>
        <w:t xml:space="preserve">en </w:t>
      </w:r>
      <w:r w:rsidR="00A40BA9" w:rsidRPr="00A33930">
        <w:rPr>
          <w:rFonts w:eastAsia="Verdana" w:cs="Verdana"/>
          <w:szCs w:val="18"/>
          <w:lang w:val="nl-NL"/>
        </w:rPr>
        <w:t>bijbehorende</w:t>
      </w:r>
      <w:r w:rsidR="00EC6570" w:rsidRPr="00A33930">
        <w:rPr>
          <w:rFonts w:eastAsia="Verdana" w:cs="Verdana"/>
          <w:szCs w:val="18"/>
          <w:lang w:val="nl-NL"/>
        </w:rPr>
        <w:t xml:space="preserve"> competentiedebat, </w:t>
      </w:r>
      <w:r w:rsidR="00C302F2" w:rsidRPr="00A33930">
        <w:rPr>
          <w:rFonts w:eastAsia="Verdana" w:cs="Verdana"/>
          <w:szCs w:val="18"/>
          <w:lang w:val="nl-NL"/>
        </w:rPr>
        <w:t>de</w:t>
      </w:r>
      <w:r w:rsidR="00EC6570" w:rsidRPr="00A33930">
        <w:rPr>
          <w:rFonts w:eastAsia="Verdana" w:cs="Verdana"/>
          <w:szCs w:val="18"/>
          <w:lang w:val="nl-NL"/>
        </w:rPr>
        <w:t xml:space="preserve"> ouderlijk</w:t>
      </w:r>
      <w:r w:rsidR="00C302F2" w:rsidRPr="00A33930">
        <w:rPr>
          <w:rFonts w:eastAsia="Verdana" w:cs="Verdana"/>
          <w:szCs w:val="18"/>
          <w:lang w:val="nl-NL"/>
        </w:rPr>
        <w:t>e</w:t>
      </w:r>
      <w:r w:rsidR="00EC6570" w:rsidRPr="00A33930">
        <w:rPr>
          <w:rFonts w:eastAsia="Verdana" w:cs="Verdana"/>
          <w:szCs w:val="18"/>
          <w:lang w:val="nl-NL"/>
        </w:rPr>
        <w:t xml:space="preserve"> </w:t>
      </w:r>
      <w:r w:rsidR="00C302F2" w:rsidRPr="00A33930">
        <w:rPr>
          <w:rFonts w:eastAsia="Verdana" w:cs="Verdana"/>
          <w:szCs w:val="18"/>
          <w:lang w:val="nl-NL"/>
        </w:rPr>
        <w:t>verantwoordelijkheden</w:t>
      </w:r>
      <w:r w:rsidR="00EC6570" w:rsidRPr="00A33930">
        <w:rPr>
          <w:rFonts w:eastAsia="Verdana" w:cs="Verdana"/>
          <w:szCs w:val="18"/>
          <w:lang w:val="nl-NL"/>
        </w:rPr>
        <w:t xml:space="preserve"> en de principiële procesonbekwaamheid van het kind. </w:t>
      </w:r>
      <w:r w:rsidR="00C302F2" w:rsidRPr="00A33930">
        <w:rPr>
          <w:rFonts w:eastAsia="Verdana" w:cs="Verdana"/>
          <w:szCs w:val="18"/>
          <w:lang w:val="nl-NL"/>
        </w:rPr>
        <w:t xml:space="preserve">Bijkomend wordt het aanvaarden van een recht op persoonlijk contact ten aanzien van een meerderjarige in strijd geacht met diens fundamenteel recht op persoonlijke vrijheid. </w:t>
      </w:r>
      <w:r w:rsidR="00EC6570" w:rsidRPr="00A33930">
        <w:rPr>
          <w:rFonts w:eastAsia="Verdana" w:cs="Verdana"/>
          <w:szCs w:val="18"/>
          <w:lang w:val="nl-NL"/>
        </w:rPr>
        <w:t>De</w:t>
      </w:r>
      <w:r w:rsidR="001057A7" w:rsidRPr="00A33930">
        <w:rPr>
          <w:rFonts w:eastAsia="Verdana" w:cs="Verdana"/>
          <w:szCs w:val="18"/>
          <w:lang w:val="nl-NL"/>
        </w:rPr>
        <w:t>ze</w:t>
      </w:r>
      <w:r w:rsidR="00DA515E" w:rsidRPr="00A33930">
        <w:rPr>
          <w:rFonts w:eastAsia="Verdana" w:cs="Verdana"/>
          <w:szCs w:val="18"/>
          <w:lang w:val="nl-NL"/>
        </w:rPr>
        <w:t xml:space="preserve"> traditionele Belgische opvatting </w:t>
      </w:r>
      <w:r w:rsidR="008969F1" w:rsidRPr="00A33930">
        <w:rPr>
          <w:rFonts w:eastAsia="Verdana" w:cs="Verdana"/>
          <w:szCs w:val="18"/>
          <w:lang w:val="nl-NL"/>
        </w:rPr>
        <w:t>ligt</w:t>
      </w:r>
      <w:r w:rsidR="00EC6570" w:rsidRPr="00A33930">
        <w:rPr>
          <w:rFonts w:eastAsia="Verdana" w:cs="Verdana"/>
          <w:szCs w:val="18"/>
          <w:lang w:val="nl-NL"/>
        </w:rPr>
        <w:t xml:space="preserve"> dus </w:t>
      </w:r>
      <w:r w:rsidR="008969F1" w:rsidRPr="00A33930">
        <w:rPr>
          <w:rFonts w:eastAsia="Verdana" w:cs="Verdana"/>
          <w:szCs w:val="18"/>
          <w:lang w:val="nl-NL"/>
        </w:rPr>
        <w:t>niet in lijn</w:t>
      </w:r>
      <w:r w:rsidR="00EC6570" w:rsidRPr="00A33930">
        <w:rPr>
          <w:rFonts w:eastAsia="Verdana" w:cs="Verdana"/>
          <w:szCs w:val="18"/>
          <w:lang w:val="nl-NL"/>
        </w:rPr>
        <w:t xml:space="preserve"> met wat het IVRK </w:t>
      </w:r>
      <w:r w:rsidR="001057A7" w:rsidRPr="00A33930">
        <w:rPr>
          <w:rFonts w:eastAsia="Verdana" w:cs="Verdana"/>
          <w:szCs w:val="18"/>
          <w:lang w:val="nl-NL"/>
        </w:rPr>
        <w:t>wil</w:t>
      </w:r>
      <w:r w:rsidR="00EC6570" w:rsidRPr="00A33930">
        <w:rPr>
          <w:rFonts w:eastAsia="Verdana" w:cs="Verdana"/>
          <w:szCs w:val="18"/>
          <w:lang w:val="nl-NL"/>
        </w:rPr>
        <w:t xml:space="preserve"> bereiken: het toekennen van een eigen recht op </w:t>
      </w:r>
      <w:r w:rsidR="00C1287D" w:rsidRPr="00A33930">
        <w:rPr>
          <w:rFonts w:eastAsia="Verdana" w:cs="Verdana"/>
          <w:szCs w:val="18"/>
          <w:lang w:val="nl-NL"/>
        </w:rPr>
        <w:t xml:space="preserve">persoonlijk </w:t>
      </w:r>
      <w:r w:rsidR="00EC6570" w:rsidRPr="00A33930">
        <w:rPr>
          <w:rFonts w:eastAsia="Verdana" w:cs="Verdana"/>
          <w:szCs w:val="18"/>
          <w:lang w:val="nl-NL"/>
        </w:rPr>
        <w:t>contact aan het kind.</w:t>
      </w:r>
    </w:p>
    <w:p w14:paraId="41ADC809" w14:textId="77777777" w:rsidR="008969F1" w:rsidRPr="00A33930" w:rsidRDefault="008969F1" w:rsidP="00DA515E">
      <w:pPr>
        <w:spacing w:line="360" w:lineRule="auto"/>
        <w:jc w:val="both"/>
        <w:rPr>
          <w:lang w:val="nl-NL" w:eastAsia="en-US"/>
        </w:rPr>
      </w:pPr>
    </w:p>
    <w:p w14:paraId="09DD48F9" w14:textId="71BC1E66" w:rsidR="00254C7E" w:rsidRPr="00A33930" w:rsidRDefault="00DA515E" w:rsidP="00DA515E">
      <w:pPr>
        <w:spacing w:line="360" w:lineRule="auto"/>
        <w:jc w:val="both"/>
        <w:rPr>
          <w:lang w:val="nl-NL" w:eastAsia="en-US"/>
        </w:rPr>
      </w:pPr>
      <w:r w:rsidRPr="00A33930">
        <w:rPr>
          <w:lang w:val="nl-NL" w:eastAsia="en-US"/>
        </w:rPr>
        <w:t xml:space="preserve">Het rechtsvergelijkend deel onderzoekt en vergelijkt de invulling van het recht op persoonlijk contact in de wet en in de praktijk. </w:t>
      </w:r>
      <w:r w:rsidR="00254C7E" w:rsidRPr="00A33930">
        <w:rPr>
          <w:lang w:val="nl-NL" w:eastAsia="en-US"/>
        </w:rPr>
        <w:t xml:space="preserve">De basis </w:t>
      </w:r>
      <w:r w:rsidR="00357B75" w:rsidRPr="00A33930">
        <w:rPr>
          <w:lang w:val="nl-NL" w:eastAsia="en-US"/>
        </w:rPr>
        <w:t>voor de</w:t>
      </w:r>
      <w:r w:rsidR="005D59F2" w:rsidRPr="00A33930">
        <w:rPr>
          <w:lang w:val="nl-NL" w:eastAsia="en-US"/>
        </w:rPr>
        <w:t>ze</w:t>
      </w:r>
      <w:r w:rsidR="00357B75" w:rsidRPr="00A33930">
        <w:rPr>
          <w:lang w:val="nl-NL" w:eastAsia="en-US"/>
        </w:rPr>
        <w:t xml:space="preserve"> </w:t>
      </w:r>
      <w:r w:rsidR="005D59F2" w:rsidRPr="00A33930">
        <w:rPr>
          <w:lang w:val="nl-NL" w:eastAsia="en-US"/>
        </w:rPr>
        <w:t>rechtsvergelijking</w:t>
      </w:r>
      <w:r w:rsidR="00357B75" w:rsidRPr="00A33930">
        <w:rPr>
          <w:lang w:val="nl-NL" w:eastAsia="en-US"/>
        </w:rPr>
        <w:t xml:space="preserve"> vormen</w:t>
      </w:r>
      <w:r w:rsidR="00254C7E" w:rsidRPr="00A33930">
        <w:rPr>
          <w:lang w:val="nl-NL" w:eastAsia="en-US"/>
        </w:rPr>
        <w:t xml:space="preserve"> het IVRK en het EVRM</w:t>
      </w:r>
      <w:r w:rsidR="00357B75" w:rsidRPr="00A33930">
        <w:rPr>
          <w:lang w:val="nl-NL" w:eastAsia="en-US"/>
        </w:rPr>
        <w:t xml:space="preserve">. Sommige van onze buurlanden hebben een contactrecht als wederkerig recht in de wet verankerd waardoor ook </w:t>
      </w:r>
      <w:r w:rsidRPr="00A33930">
        <w:rPr>
          <w:lang w:val="nl-NL" w:eastAsia="en-US"/>
        </w:rPr>
        <w:t xml:space="preserve">de invulling in het Nederlands en Duits recht wordt </w:t>
      </w:r>
      <w:r w:rsidR="00357B75" w:rsidRPr="00A33930">
        <w:rPr>
          <w:lang w:val="nl-NL" w:eastAsia="en-US"/>
        </w:rPr>
        <w:t>uitgelicht</w:t>
      </w:r>
      <w:r w:rsidRPr="00A33930">
        <w:rPr>
          <w:lang w:val="nl-NL" w:eastAsia="en-US"/>
        </w:rPr>
        <w:t>. Een analyse van de buitenlandse rechtsstelsels laat toe om te onderzoeken of de Belgische wetgever hier inspiratie</w:t>
      </w:r>
      <w:r w:rsidR="00ED66F2" w:rsidRPr="00A33930">
        <w:rPr>
          <w:lang w:val="nl-NL" w:eastAsia="en-US"/>
        </w:rPr>
        <w:t xml:space="preserve"> aan</w:t>
      </w:r>
      <w:r w:rsidRPr="00A33930">
        <w:rPr>
          <w:lang w:val="nl-NL" w:eastAsia="en-US"/>
        </w:rPr>
        <w:t xml:space="preserve"> kan </w:t>
      </w:r>
      <w:r w:rsidR="00ED66F2" w:rsidRPr="00A33930">
        <w:rPr>
          <w:lang w:val="nl-NL" w:eastAsia="en-US"/>
        </w:rPr>
        <w:t>ontlenen</w:t>
      </w:r>
      <w:r w:rsidRPr="00A33930">
        <w:rPr>
          <w:lang w:val="nl-NL" w:eastAsia="en-US"/>
        </w:rPr>
        <w:t>.</w:t>
      </w:r>
    </w:p>
    <w:p w14:paraId="6FCEE6F1" w14:textId="77777777" w:rsidR="00DA515E" w:rsidRPr="00A33930" w:rsidRDefault="00DA515E" w:rsidP="00DA515E">
      <w:pPr>
        <w:spacing w:line="360" w:lineRule="auto"/>
        <w:jc w:val="both"/>
        <w:rPr>
          <w:lang w:val="nl-NL" w:eastAsia="en-US"/>
        </w:rPr>
      </w:pPr>
    </w:p>
    <w:p w14:paraId="1B06C18B" w14:textId="106492D8" w:rsidR="00710FDA" w:rsidRPr="00A33930" w:rsidRDefault="00DA515E" w:rsidP="00ED66F2">
      <w:pPr>
        <w:spacing w:line="360" w:lineRule="auto"/>
        <w:jc w:val="both"/>
        <w:rPr>
          <w:lang w:val="nl-NL" w:eastAsia="en-US"/>
        </w:rPr>
      </w:pPr>
      <w:r w:rsidRPr="00A33930">
        <w:rPr>
          <w:lang w:val="nl-NL" w:eastAsia="en-US"/>
        </w:rPr>
        <w:t>Tot slot biedt het laatste deel een antwoord op de</w:t>
      </w:r>
      <w:r w:rsidR="00A17E14" w:rsidRPr="00A33930">
        <w:rPr>
          <w:lang w:val="nl-NL" w:eastAsia="en-US"/>
        </w:rPr>
        <w:t xml:space="preserve"> centrale onderzoeks</w:t>
      </w:r>
      <w:r w:rsidRPr="00A33930">
        <w:rPr>
          <w:lang w:val="nl-NL" w:eastAsia="en-US"/>
        </w:rPr>
        <w:t>vraag</w:t>
      </w:r>
      <w:r w:rsidR="003A37B3" w:rsidRPr="00A33930">
        <w:rPr>
          <w:lang w:val="nl-NL" w:eastAsia="en-US"/>
        </w:rPr>
        <w:t xml:space="preserve">. De vraag die hierbij wordt gesteld is </w:t>
      </w:r>
      <w:r w:rsidRPr="00A33930">
        <w:rPr>
          <w:lang w:val="nl-NL" w:eastAsia="en-US"/>
        </w:rPr>
        <w:t>hoe</w:t>
      </w:r>
      <w:r w:rsidRPr="00A33930">
        <w:rPr>
          <w:rFonts w:eastAsia="Verdana" w:cs="Verdana"/>
          <w:szCs w:val="18"/>
          <w:lang w:val="nl-NL"/>
        </w:rPr>
        <w:t xml:space="preserve"> de Belgische regelgeving betreffende het recht op persoonlijk contact van het kind in overeenstemming gebracht kan worden met de mensenrechtelijke verplichtingen uit artikel 9.3 IVRK en artikel 8.1 EVRM. Naast een algemene conclusie worden tevens voorstellen aangereikt om tot een coherente Belgische regeling te komen.</w:t>
      </w:r>
      <w:r w:rsidR="00357B75" w:rsidRPr="00A33930">
        <w:rPr>
          <w:rFonts w:eastAsia="Verdana" w:cs="Verdana"/>
          <w:szCs w:val="18"/>
          <w:lang w:val="nl-NL"/>
        </w:rPr>
        <w:t xml:space="preserve"> Een wettelijke verankering van een eigen contactrecht </w:t>
      </w:r>
      <w:r w:rsidR="001057A7" w:rsidRPr="00A33930">
        <w:rPr>
          <w:rFonts w:eastAsia="Verdana" w:cs="Verdana"/>
          <w:szCs w:val="18"/>
          <w:lang w:val="nl-NL"/>
        </w:rPr>
        <w:t>van</w:t>
      </w:r>
      <w:r w:rsidR="00357B75" w:rsidRPr="00A33930">
        <w:rPr>
          <w:rFonts w:eastAsia="Verdana" w:cs="Verdana"/>
          <w:szCs w:val="18"/>
          <w:lang w:val="nl-NL"/>
        </w:rPr>
        <w:t xml:space="preserve"> het kind zou er namelijk voor zorgen dat de </w:t>
      </w:r>
      <w:r w:rsidR="00357B75" w:rsidRPr="00A33930">
        <w:rPr>
          <w:rFonts w:eastAsia="Verdana" w:cs="Verdana"/>
          <w:i/>
          <w:iCs/>
          <w:szCs w:val="18"/>
          <w:lang w:val="nl-NL"/>
        </w:rPr>
        <w:t>goodwill</w:t>
      </w:r>
      <w:r w:rsidR="00357B75" w:rsidRPr="00A33930">
        <w:rPr>
          <w:rFonts w:eastAsia="Verdana" w:cs="Verdana"/>
          <w:szCs w:val="18"/>
          <w:lang w:val="nl-NL"/>
        </w:rPr>
        <w:t xml:space="preserve"> van volwassenen </w:t>
      </w:r>
      <w:r w:rsidR="00A17E14" w:rsidRPr="00A33930">
        <w:rPr>
          <w:rFonts w:eastAsia="Verdana" w:cs="Verdana"/>
          <w:szCs w:val="18"/>
          <w:lang w:val="nl-NL"/>
        </w:rPr>
        <w:t>overbodig</w:t>
      </w:r>
      <w:r w:rsidR="00357B75" w:rsidRPr="00A33930">
        <w:rPr>
          <w:rFonts w:eastAsia="Verdana" w:cs="Verdana"/>
          <w:szCs w:val="18"/>
          <w:lang w:val="nl-NL"/>
        </w:rPr>
        <w:t xml:space="preserve"> wordt</w:t>
      </w:r>
      <w:r w:rsidR="00A17E14" w:rsidRPr="00A33930">
        <w:rPr>
          <w:rFonts w:eastAsia="Verdana" w:cs="Verdana"/>
          <w:szCs w:val="18"/>
          <w:lang w:val="nl-NL"/>
        </w:rPr>
        <w:t>. Dat zou een kinderrecht doen ontstaan dat zijn naam waardig is</w:t>
      </w:r>
      <w:r w:rsidR="005D59F2" w:rsidRPr="00A33930">
        <w:rPr>
          <w:rFonts w:eastAsia="Verdana" w:cs="Verdana"/>
          <w:szCs w:val="18"/>
          <w:lang w:val="nl-NL"/>
        </w:rPr>
        <w:t>.</w:t>
      </w:r>
      <w:bookmarkEnd w:id="0"/>
      <w:bookmarkEnd w:id="1"/>
      <w:bookmarkEnd w:id="2"/>
    </w:p>
    <w:p w14:paraId="1F04222A" w14:textId="7C9F7008" w:rsidR="00ED66F2" w:rsidRPr="00A33930" w:rsidRDefault="00ED66F2" w:rsidP="00ED66F2">
      <w:pPr>
        <w:spacing w:after="160" w:line="259" w:lineRule="auto"/>
        <w:rPr>
          <w:lang w:val="nl-NL" w:eastAsia="en-US"/>
        </w:rPr>
      </w:pPr>
      <w:r w:rsidRPr="00A33930">
        <w:rPr>
          <w:lang w:val="nl-NL" w:eastAsia="en-US"/>
        </w:rPr>
        <w:br w:type="page"/>
      </w:r>
    </w:p>
    <w:p w14:paraId="1DE00A0E" w14:textId="77777777" w:rsidR="007C7390" w:rsidRPr="00A33930" w:rsidRDefault="007C7390">
      <w:pPr>
        <w:spacing w:after="160" w:line="259" w:lineRule="auto"/>
        <w:rPr>
          <w:b/>
          <w:bCs/>
          <w:sz w:val="22"/>
          <w:szCs w:val="36"/>
          <w:lang w:val="nl-NL" w:eastAsia="en-US"/>
        </w:rPr>
      </w:pPr>
      <w:r w:rsidRPr="00A33930">
        <w:rPr>
          <w:b/>
          <w:bCs/>
          <w:sz w:val="22"/>
          <w:szCs w:val="36"/>
          <w:lang w:val="nl-NL" w:eastAsia="en-US"/>
        </w:rPr>
        <w:lastRenderedPageBreak/>
        <w:br w:type="page"/>
      </w:r>
    </w:p>
    <w:p w14:paraId="3DA39B5D" w14:textId="08CF9050" w:rsidR="004358A3" w:rsidRPr="00A33930" w:rsidRDefault="00CB5E29" w:rsidP="005C58AC">
      <w:pPr>
        <w:spacing w:after="240"/>
        <w:rPr>
          <w:b/>
          <w:bCs/>
          <w:sz w:val="22"/>
          <w:szCs w:val="36"/>
          <w:lang w:val="nl-NL" w:eastAsia="en-US"/>
        </w:rPr>
      </w:pPr>
      <w:r w:rsidRPr="00A33930">
        <w:rPr>
          <w:b/>
          <w:bCs/>
          <w:sz w:val="22"/>
          <w:szCs w:val="36"/>
          <w:lang w:val="nl-NL" w:eastAsia="en-US"/>
        </w:rPr>
        <w:lastRenderedPageBreak/>
        <w:t>DANKWOORD</w:t>
      </w:r>
    </w:p>
    <w:p w14:paraId="2A8A852D" w14:textId="4CB3CFC3" w:rsidR="004F6728" w:rsidRPr="00A33930" w:rsidRDefault="004F6728" w:rsidP="0078417C">
      <w:pPr>
        <w:spacing w:line="360" w:lineRule="auto"/>
        <w:jc w:val="both"/>
        <w:rPr>
          <w:szCs w:val="18"/>
          <w:lang w:val="nl-NL"/>
        </w:rPr>
      </w:pPr>
      <w:r w:rsidRPr="00A33930">
        <w:rPr>
          <w:szCs w:val="18"/>
          <w:lang w:val="nl-NL"/>
        </w:rPr>
        <w:t xml:space="preserve">Na vijf intense jaren vormt deze masterscriptie het sluitstuk van mijn opleiding aan de Universiteit Hasselt tot master in de rechten. Deze jaren </w:t>
      </w:r>
      <w:r w:rsidR="00ED66F2" w:rsidRPr="00A33930">
        <w:rPr>
          <w:szCs w:val="18"/>
          <w:lang w:val="nl-NL"/>
        </w:rPr>
        <w:t>vormden</w:t>
      </w:r>
      <w:r w:rsidRPr="00A33930">
        <w:rPr>
          <w:szCs w:val="18"/>
          <w:lang w:val="nl-NL"/>
        </w:rPr>
        <w:t xml:space="preserve"> voor mij een boeiend leerproces. Het waren jaren waarin ik niet alleen veel kennis heb vergaard, maar ook enorm ben gegroeid als persoon. Aan de Universiteit Hasselt kreeg ik de kans om te denken en te doen met een open blik. Hierin heeft het probleemgestuurd onderwijs een grote rol gespeeld. Van het stille meisje uit 2018 naar een vrouw met een eigen, onderbouwde en duidelijke mening in 2023. De transformatie die je doormaakt tijdens een universitaire studie is onbeschrijfelijk.</w:t>
      </w:r>
    </w:p>
    <w:p w14:paraId="1F23D0D6" w14:textId="77777777" w:rsidR="004F6728" w:rsidRPr="00A33930" w:rsidRDefault="004F6728" w:rsidP="0078417C">
      <w:pPr>
        <w:spacing w:line="360" w:lineRule="auto"/>
        <w:jc w:val="both"/>
        <w:rPr>
          <w:szCs w:val="18"/>
          <w:lang w:val="nl-NL"/>
        </w:rPr>
      </w:pPr>
    </w:p>
    <w:p w14:paraId="3C0F7224" w14:textId="47BFE20D" w:rsidR="004F6728" w:rsidRPr="00A33930" w:rsidRDefault="004F6728" w:rsidP="0078417C">
      <w:pPr>
        <w:spacing w:line="360" w:lineRule="auto"/>
        <w:jc w:val="both"/>
        <w:rPr>
          <w:szCs w:val="18"/>
          <w:lang w:val="nl-NL"/>
        </w:rPr>
      </w:pPr>
      <w:r w:rsidRPr="00A33930">
        <w:rPr>
          <w:szCs w:val="18"/>
          <w:lang w:val="nl-NL"/>
        </w:rPr>
        <w:t>In de eerste plaats ben ik aan mijn promotor</w:t>
      </w:r>
      <w:r w:rsidR="00C1287D" w:rsidRPr="00A33930">
        <w:rPr>
          <w:szCs w:val="18"/>
          <w:lang w:val="nl-NL"/>
        </w:rPr>
        <w:t>,</w:t>
      </w:r>
      <w:r w:rsidRPr="00A33930">
        <w:rPr>
          <w:szCs w:val="18"/>
          <w:lang w:val="nl-NL"/>
        </w:rPr>
        <w:t xml:space="preserve"> prof. dr. Charlotte DECLERCK, en aan mijn copromotor, prof. dr. Tim WUYTS, veel dank verschuldigd. Dit niet alleen voor het aanreiken van dit boeiend onderwerp, maar ook voor de uitgebreide feedback en de nodige doordenkers. Enkel hierdoor kon ik mijn masterscriptie telkens weer naar een hoger niveau tillen. Jullie passie voor het vak vormt voor mij een grote inspiratiebron. Dankzij jullie voel ik mij thuis in het personen- en familierecht. Bedankt om dit aan mij door te geven.</w:t>
      </w:r>
    </w:p>
    <w:p w14:paraId="379AA519" w14:textId="77777777" w:rsidR="004F6728" w:rsidRPr="00A33930" w:rsidRDefault="004F6728" w:rsidP="0078417C">
      <w:pPr>
        <w:spacing w:line="360" w:lineRule="auto"/>
        <w:jc w:val="both"/>
        <w:rPr>
          <w:szCs w:val="18"/>
          <w:lang w:val="nl-NL"/>
        </w:rPr>
      </w:pPr>
    </w:p>
    <w:p w14:paraId="42BC77A4" w14:textId="62CD8C28" w:rsidR="004F6728" w:rsidRPr="00A33930" w:rsidRDefault="004F6728" w:rsidP="0078417C">
      <w:pPr>
        <w:spacing w:line="360" w:lineRule="auto"/>
        <w:jc w:val="both"/>
        <w:rPr>
          <w:szCs w:val="18"/>
          <w:lang w:val="nl-NL"/>
        </w:rPr>
      </w:pPr>
      <w:r w:rsidRPr="00A33930">
        <w:rPr>
          <w:szCs w:val="18"/>
          <w:lang w:val="nl-NL"/>
        </w:rPr>
        <w:t xml:space="preserve">Aan mijn mama, bedankt voor jouw luisterend oor en geruststellende knuffels op de dagen dat het wat minder ging. Jouw </w:t>
      </w:r>
      <w:r w:rsidR="00C1287D" w:rsidRPr="00A33930">
        <w:rPr>
          <w:szCs w:val="18"/>
          <w:lang w:val="nl-NL"/>
        </w:rPr>
        <w:t xml:space="preserve">onvoorwaardelijke </w:t>
      </w:r>
      <w:r w:rsidRPr="00A33930">
        <w:rPr>
          <w:szCs w:val="18"/>
          <w:lang w:val="nl-NL"/>
        </w:rPr>
        <w:t xml:space="preserve">steun en </w:t>
      </w:r>
      <w:r w:rsidR="00C1287D" w:rsidRPr="00A33930">
        <w:rPr>
          <w:szCs w:val="18"/>
          <w:lang w:val="nl-NL"/>
        </w:rPr>
        <w:t>aanmoedigende woorden</w:t>
      </w:r>
      <w:r w:rsidRPr="00A33930">
        <w:rPr>
          <w:szCs w:val="18"/>
          <w:lang w:val="nl-NL"/>
        </w:rPr>
        <w:t xml:space="preserve"> zijn de afgelopen </w:t>
      </w:r>
      <w:r w:rsidR="00ED66F2" w:rsidRPr="00A33930">
        <w:rPr>
          <w:szCs w:val="18"/>
          <w:lang w:val="nl-NL"/>
        </w:rPr>
        <w:t xml:space="preserve">tijd </w:t>
      </w:r>
      <w:r w:rsidRPr="00A33930">
        <w:rPr>
          <w:szCs w:val="18"/>
          <w:lang w:val="nl-NL"/>
        </w:rPr>
        <w:t>een belangrijke houvast voor mij geweest. Dat zal ook altijd zo blijven.</w:t>
      </w:r>
    </w:p>
    <w:p w14:paraId="534693F6" w14:textId="77777777" w:rsidR="004F6728" w:rsidRPr="00A33930" w:rsidRDefault="004F6728" w:rsidP="0078417C">
      <w:pPr>
        <w:spacing w:line="360" w:lineRule="auto"/>
        <w:jc w:val="both"/>
        <w:rPr>
          <w:szCs w:val="18"/>
          <w:lang w:val="nl-NL"/>
        </w:rPr>
      </w:pPr>
    </w:p>
    <w:p w14:paraId="3C55115B" w14:textId="2B859794" w:rsidR="00F93EB2" w:rsidRPr="00A33930" w:rsidRDefault="004F6728" w:rsidP="0078417C">
      <w:pPr>
        <w:spacing w:line="360" w:lineRule="auto"/>
        <w:jc w:val="both"/>
        <w:rPr>
          <w:szCs w:val="18"/>
          <w:lang w:val="nl-NL"/>
        </w:rPr>
      </w:pPr>
      <w:r w:rsidRPr="00A33930">
        <w:rPr>
          <w:szCs w:val="18"/>
          <w:lang w:val="nl-NL"/>
        </w:rPr>
        <w:t xml:space="preserve">Tot slot zeg ik ook nog graag dankjewel aan mijn familie en vrienden. Met regelmaat hebben jullie mijn “aha”-momenten en bekommernissen moeten aanhoren, maar jullie zorgden ook voor de nodige afleiding, ontspannende uitstappen en </w:t>
      </w:r>
      <w:r w:rsidR="00C1287D" w:rsidRPr="00A33930">
        <w:rPr>
          <w:szCs w:val="18"/>
          <w:lang w:val="nl-NL"/>
        </w:rPr>
        <w:t>opkikkertjes</w:t>
      </w:r>
      <w:r w:rsidRPr="00A33930">
        <w:rPr>
          <w:szCs w:val="18"/>
          <w:lang w:val="nl-NL"/>
        </w:rPr>
        <w:t>. Dankjewel.</w:t>
      </w:r>
    </w:p>
    <w:p w14:paraId="7E07A017" w14:textId="77777777" w:rsidR="004F6728" w:rsidRPr="00A33930" w:rsidRDefault="004F6728" w:rsidP="0078417C">
      <w:pPr>
        <w:spacing w:line="360" w:lineRule="auto"/>
        <w:jc w:val="both"/>
        <w:rPr>
          <w:szCs w:val="18"/>
          <w:lang w:val="nl-NL"/>
        </w:rPr>
      </w:pPr>
    </w:p>
    <w:p w14:paraId="4457BEA8" w14:textId="77777777" w:rsidR="00340842" w:rsidRPr="00A33930" w:rsidRDefault="00340842" w:rsidP="0078417C">
      <w:pPr>
        <w:spacing w:line="360" w:lineRule="auto"/>
        <w:jc w:val="both"/>
        <w:rPr>
          <w:szCs w:val="18"/>
          <w:lang w:val="nl-NL"/>
        </w:rPr>
      </w:pPr>
    </w:p>
    <w:p w14:paraId="72740CB5" w14:textId="69188312" w:rsidR="0079775F" w:rsidRPr="00A33930" w:rsidRDefault="009621E8" w:rsidP="0078417C">
      <w:pPr>
        <w:spacing w:line="360" w:lineRule="auto"/>
        <w:jc w:val="both"/>
        <w:rPr>
          <w:szCs w:val="18"/>
          <w:lang w:val="nl-NL"/>
        </w:rPr>
      </w:pPr>
      <w:r w:rsidRPr="00A33930">
        <w:rPr>
          <w:szCs w:val="18"/>
          <w:lang w:val="nl-NL"/>
        </w:rPr>
        <w:t>Amber Jans</w:t>
      </w:r>
    </w:p>
    <w:p w14:paraId="1E62059A" w14:textId="5AED0E01" w:rsidR="00710FDA" w:rsidRPr="00A33930" w:rsidRDefault="0097678D" w:rsidP="00ED66F2">
      <w:pPr>
        <w:spacing w:before="120" w:line="360" w:lineRule="auto"/>
        <w:jc w:val="both"/>
        <w:rPr>
          <w:i/>
          <w:iCs/>
          <w:szCs w:val="18"/>
          <w:lang w:val="nl-NL"/>
        </w:rPr>
      </w:pPr>
      <w:r w:rsidRPr="00A33930">
        <w:rPr>
          <w:i/>
          <w:iCs/>
          <w:szCs w:val="18"/>
          <w:lang w:val="nl-NL"/>
        </w:rPr>
        <w:t>Beringen</w:t>
      </w:r>
      <w:r w:rsidR="0079775F" w:rsidRPr="00A33930">
        <w:rPr>
          <w:i/>
          <w:iCs/>
          <w:szCs w:val="18"/>
          <w:lang w:val="nl-NL"/>
        </w:rPr>
        <w:t xml:space="preserve">, </w:t>
      </w:r>
      <w:r w:rsidR="00533332" w:rsidRPr="00A33930">
        <w:rPr>
          <w:i/>
          <w:iCs/>
          <w:szCs w:val="18"/>
          <w:lang w:val="nl-NL"/>
        </w:rPr>
        <w:t>1</w:t>
      </w:r>
      <w:r w:rsidR="00340842" w:rsidRPr="00A33930">
        <w:rPr>
          <w:i/>
          <w:iCs/>
          <w:szCs w:val="18"/>
          <w:lang w:val="nl-NL"/>
        </w:rPr>
        <w:t>5</w:t>
      </w:r>
      <w:r w:rsidR="009621E8" w:rsidRPr="00A33930">
        <w:rPr>
          <w:i/>
          <w:iCs/>
          <w:szCs w:val="18"/>
          <w:lang w:val="nl-NL"/>
        </w:rPr>
        <w:t xml:space="preserve"> mei </w:t>
      </w:r>
      <w:r w:rsidR="00A655D0" w:rsidRPr="00A33930">
        <w:rPr>
          <w:i/>
          <w:iCs/>
          <w:szCs w:val="18"/>
          <w:lang w:val="nl-NL"/>
        </w:rPr>
        <w:t>2023</w:t>
      </w:r>
    </w:p>
    <w:p w14:paraId="3D98E6EA" w14:textId="77777777" w:rsidR="00ED66F2" w:rsidRPr="00A33930" w:rsidRDefault="00ED66F2">
      <w:pPr>
        <w:spacing w:after="160" w:line="259" w:lineRule="auto"/>
        <w:rPr>
          <w:b/>
          <w:bCs/>
          <w:sz w:val="22"/>
          <w:szCs w:val="22"/>
          <w:lang w:val="nl-NL"/>
        </w:rPr>
      </w:pPr>
      <w:r w:rsidRPr="00A33930">
        <w:rPr>
          <w:b/>
          <w:bCs/>
          <w:sz w:val="22"/>
          <w:szCs w:val="22"/>
          <w:lang w:val="nl-NL"/>
        </w:rPr>
        <w:br w:type="page"/>
      </w:r>
    </w:p>
    <w:p w14:paraId="78FF6356" w14:textId="77777777" w:rsidR="007C7390" w:rsidRPr="00A33930" w:rsidRDefault="007C7390">
      <w:pPr>
        <w:spacing w:after="160" w:line="259" w:lineRule="auto"/>
        <w:rPr>
          <w:b/>
          <w:bCs/>
          <w:sz w:val="22"/>
          <w:szCs w:val="22"/>
          <w:lang w:val="nl-NL"/>
        </w:rPr>
      </w:pPr>
      <w:r w:rsidRPr="00A33930">
        <w:rPr>
          <w:b/>
          <w:bCs/>
          <w:sz w:val="22"/>
          <w:szCs w:val="22"/>
          <w:lang w:val="nl-NL"/>
        </w:rPr>
        <w:lastRenderedPageBreak/>
        <w:br w:type="page"/>
      </w:r>
    </w:p>
    <w:p w14:paraId="6D789036" w14:textId="36EE8F62" w:rsidR="005C58AC" w:rsidRPr="00A33930" w:rsidRDefault="005C58AC" w:rsidP="005C58AC">
      <w:pPr>
        <w:spacing w:line="360" w:lineRule="auto"/>
        <w:jc w:val="both"/>
        <w:rPr>
          <w:rFonts w:eastAsiaTheme="majorEastAsia" w:cstheme="majorBidi"/>
          <w:b/>
          <w:bCs/>
          <w:sz w:val="22"/>
          <w:szCs w:val="22"/>
          <w:lang w:val="nl-NL"/>
        </w:rPr>
      </w:pPr>
      <w:r w:rsidRPr="00A33930">
        <w:rPr>
          <w:b/>
          <w:bCs/>
          <w:sz w:val="22"/>
          <w:szCs w:val="22"/>
          <w:lang w:val="nl-NL"/>
        </w:rPr>
        <w:lastRenderedPageBreak/>
        <w:t>INHOUDSOPGAVE</w:t>
      </w:r>
    </w:p>
    <w:sdt>
      <w:sdtPr>
        <w:rPr>
          <w:rFonts w:ascii="Verdana" w:hAnsi="Verdana" w:cs="Times New Roman"/>
          <w:b w:val="0"/>
          <w:bCs w:val="0"/>
          <w:caps w:val="0"/>
          <w:sz w:val="18"/>
          <w:szCs w:val="24"/>
          <w:lang w:val="nl-NL"/>
        </w:rPr>
        <w:id w:val="1838413772"/>
        <w:docPartObj>
          <w:docPartGallery w:val="Table of Contents"/>
          <w:docPartUnique/>
        </w:docPartObj>
      </w:sdtPr>
      <w:sdtEndPr>
        <w:rPr>
          <w:noProof/>
          <w:szCs w:val="18"/>
        </w:rPr>
      </w:sdtEndPr>
      <w:sdtContent>
        <w:p w14:paraId="3476CBA7" w14:textId="29A8EA9F" w:rsidR="008E2D05" w:rsidRPr="00A33930" w:rsidRDefault="0013587B">
          <w:pPr>
            <w:pStyle w:val="Inhopg1"/>
            <w:tabs>
              <w:tab w:val="right" w:leader="dot" w:pos="9062"/>
            </w:tabs>
            <w:rPr>
              <w:rFonts w:eastAsiaTheme="minorEastAsia" w:cstheme="minorBidi"/>
              <w:b w:val="0"/>
              <w:bCs w:val="0"/>
              <w:caps w:val="0"/>
              <w:noProof/>
              <w:kern w:val="2"/>
              <w:sz w:val="24"/>
              <w:szCs w:val="24"/>
              <w:lang w:val="nl-NL"/>
              <w14:ligatures w14:val="standardContextual"/>
            </w:rPr>
          </w:pPr>
          <w:r w:rsidRPr="00A33930">
            <w:rPr>
              <w:rFonts w:eastAsiaTheme="minorHAnsi" w:cstheme="minorBidi"/>
              <w:lang w:val="nl-NL" w:eastAsia="en-US"/>
            </w:rPr>
            <w:fldChar w:fldCharType="begin"/>
          </w:r>
          <w:r w:rsidRPr="00A33930">
            <w:rPr>
              <w:lang w:val="nl-NL"/>
            </w:rPr>
            <w:instrText>TOC \o "1-3" \h \z \u</w:instrText>
          </w:r>
          <w:r w:rsidRPr="00A33930">
            <w:rPr>
              <w:rFonts w:eastAsiaTheme="minorHAnsi" w:cstheme="minorBidi"/>
              <w:lang w:val="nl-NL" w:eastAsia="en-US"/>
            </w:rPr>
            <w:fldChar w:fldCharType="separate"/>
          </w:r>
          <w:hyperlink w:anchor="_Toc134621162" w:history="1">
            <w:r w:rsidR="008E2D05" w:rsidRPr="00A33930">
              <w:rPr>
                <w:rStyle w:val="Hyperlink"/>
                <w:rFonts w:eastAsiaTheme="majorEastAsia"/>
                <w:noProof/>
                <w:color w:val="auto"/>
                <w:lang w:val="nl-NL"/>
              </w:rPr>
              <w:t>INLEIDING</w:t>
            </w:r>
            <w:r w:rsidR="008E2D05" w:rsidRPr="00A33930">
              <w:rPr>
                <w:noProof/>
                <w:webHidden/>
                <w:lang w:val="nl-NL"/>
              </w:rPr>
              <w:tab/>
            </w:r>
            <w:r w:rsidR="008E2D05" w:rsidRPr="00A33930">
              <w:rPr>
                <w:noProof/>
                <w:webHidden/>
                <w:lang w:val="nl-NL"/>
              </w:rPr>
              <w:fldChar w:fldCharType="begin"/>
            </w:r>
            <w:r w:rsidR="008E2D05" w:rsidRPr="00A33930">
              <w:rPr>
                <w:noProof/>
                <w:webHidden/>
                <w:lang w:val="nl-NL"/>
              </w:rPr>
              <w:instrText xml:space="preserve"> PAGEREF _Toc134621162 \h </w:instrText>
            </w:r>
            <w:r w:rsidR="008E2D05" w:rsidRPr="00A33930">
              <w:rPr>
                <w:noProof/>
                <w:webHidden/>
                <w:lang w:val="nl-NL"/>
              </w:rPr>
            </w:r>
            <w:r w:rsidR="008E2D05" w:rsidRPr="00A33930">
              <w:rPr>
                <w:noProof/>
                <w:webHidden/>
                <w:lang w:val="nl-NL"/>
              </w:rPr>
              <w:fldChar w:fldCharType="separate"/>
            </w:r>
            <w:r w:rsidR="003278B1">
              <w:rPr>
                <w:noProof/>
                <w:webHidden/>
                <w:lang w:val="nl-NL"/>
              </w:rPr>
              <w:t>1</w:t>
            </w:r>
            <w:r w:rsidR="008E2D05" w:rsidRPr="00A33930">
              <w:rPr>
                <w:noProof/>
                <w:webHidden/>
                <w:lang w:val="nl-NL"/>
              </w:rPr>
              <w:fldChar w:fldCharType="end"/>
            </w:r>
          </w:hyperlink>
        </w:p>
        <w:p w14:paraId="4C6FA4FA" w14:textId="68F0FF57" w:rsidR="008E2D05" w:rsidRPr="00A33930" w:rsidRDefault="00000000">
          <w:pPr>
            <w:pStyle w:val="Inhopg2"/>
            <w:tabs>
              <w:tab w:val="left" w:pos="1583"/>
              <w:tab w:val="right" w:leader="dot" w:pos="9062"/>
            </w:tabs>
            <w:rPr>
              <w:rFonts w:eastAsiaTheme="minorEastAsia" w:cstheme="minorBidi"/>
              <w:smallCaps w:val="0"/>
              <w:noProof/>
              <w:kern w:val="2"/>
              <w:sz w:val="24"/>
              <w:szCs w:val="24"/>
              <w:lang w:val="nl-NL"/>
              <w14:ligatures w14:val="standardContextual"/>
            </w:rPr>
          </w:pPr>
          <w:hyperlink w:anchor="_Toc134621163" w:history="1">
            <w:r w:rsidR="008E2D05" w:rsidRPr="00A33930">
              <w:rPr>
                <w:rStyle w:val="Hyperlink"/>
                <w:rFonts w:eastAsiaTheme="majorEastAsia"/>
                <w:noProof/>
                <w:color w:val="auto"/>
                <w:lang w:val="nl-NL"/>
              </w:rPr>
              <w:t>HOOFDSTUK I.</w:t>
            </w:r>
            <w:r w:rsidR="008E2D05" w:rsidRPr="00A33930">
              <w:rPr>
                <w:rFonts w:eastAsiaTheme="minorEastAsia" w:cstheme="minorBidi"/>
                <w:smallCaps w:val="0"/>
                <w:noProof/>
                <w:kern w:val="2"/>
                <w:sz w:val="24"/>
                <w:szCs w:val="24"/>
                <w:lang w:val="nl-NL"/>
                <w14:ligatures w14:val="standardContextual"/>
              </w:rPr>
              <w:tab/>
            </w:r>
            <w:r w:rsidR="008E2D05" w:rsidRPr="00A33930">
              <w:rPr>
                <w:rStyle w:val="Hyperlink"/>
                <w:rFonts w:eastAsiaTheme="majorEastAsia"/>
                <w:noProof/>
                <w:color w:val="auto"/>
                <w:lang w:val="nl-NL"/>
              </w:rPr>
              <w:t>ONDERZOEKSCONTEXT</w:t>
            </w:r>
            <w:r w:rsidR="008E2D05" w:rsidRPr="00A33930">
              <w:rPr>
                <w:noProof/>
                <w:webHidden/>
                <w:lang w:val="nl-NL"/>
              </w:rPr>
              <w:tab/>
            </w:r>
            <w:r w:rsidR="008E2D05" w:rsidRPr="00A33930">
              <w:rPr>
                <w:noProof/>
                <w:webHidden/>
                <w:lang w:val="nl-NL"/>
              </w:rPr>
              <w:fldChar w:fldCharType="begin"/>
            </w:r>
            <w:r w:rsidR="008E2D05" w:rsidRPr="00A33930">
              <w:rPr>
                <w:noProof/>
                <w:webHidden/>
                <w:lang w:val="nl-NL"/>
              </w:rPr>
              <w:instrText xml:space="preserve"> PAGEREF _Toc134621163 \h </w:instrText>
            </w:r>
            <w:r w:rsidR="008E2D05" w:rsidRPr="00A33930">
              <w:rPr>
                <w:noProof/>
                <w:webHidden/>
                <w:lang w:val="nl-NL"/>
              </w:rPr>
            </w:r>
            <w:r w:rsidR="008E2D05" w:rsidRPr="00A33930">
              <w:rPr>
                <w:noProof/>
                <w:webHidden/>
                <w:lang w:val="nl-NL"/>
              </w:rPr>
              <w:fldChar w:fldCharType="separate"/>
            </w:r>
            <w:r w:rsidR="003278B1">
              <w:rPr>
                <w:noProof/>
                <w:webHidden/>
                <w:lang w:val="nl-NL"/>
              </w:rPr>
              <w:t>1</w:t>
            </w:r>
            <w:r w:rsidR="008E2D05" w:rsidRPr="00A33930">
              <w:rPr>
                <w:noProof/>
                <w:webHidden/>
                <w:lang w:val="nl-NL"/>
              </w:rPr>
              <w:fldChar w:fldCharType="end"/>
            </w:r>
          </w:hyperlink>
        </w:p>
        <w:p w14:paraId="7218E674" w14:textId="60FFAF10" w:rsidR="008E2D05" w:rsidRPr="00A33930" w:rsidRDefault="00000000">
          <w:pPr>
            <w:pStyle w:val="Inhopg3"/>
            <w:tabs>
              <w:tab w:val="left" w:pos="1440"/>
              <w:tab w:val="right" w:leader="dot" w:pos="9062"/>
            </w:tabs>
            <w:rPr>
              <w:rFonts w:eastAsiaTheme="minorEastAsia" w:cstheme="minorBidi"/>
              <w:i w:val="0"/>
              <w:iCs w:val="0"/>
              <w:noProof/>
              <w:kern w:val="2"/>
              <w:sz w:val="24"/>
              <w:szCs w:val="24"/>
              <w:lang w:val="nl-NL"/>
              <w14:ligatures w14:val="standardContextual"/>
            </w:rPr>
          </w:pPr>
          <w:hyperlink w:anchor="_Toc134621164" w:history="1">
            <w:r w:rsidR="008E2D05" w:rsidRPr="00A33930">
              <w:rPr>
                <w:rStyle w:val="Hyperlink"/>
                <w:rFonts w:eastAsiaTheme="majorEastAsia"/>
                <w:noProof/>
                <w:color w:val="auto"/>
                <w:lang w:val="nl-NL"/>
              </w:rPr>
              <w:t>Afdeling I.</w:t>
            </w:r>
            <w:r w:rsidR="008E2D05" w:rsidRPr="00A33930">
              <w:rPr>
                <w:rFonts w:eastAsiaTheme="minorEastAsia" w:cstheme="minorBidi"/>
                <w:i w:val="0"/>
                <w:iCs w:val="0"/>
                <w:noProof/>
                <w:kern w:val="2"/>
                <w:sz w:val="24"/>
                <w:szCs w:val="24"/>
                <w:lang w:val="nl-NL"/>
                <w14:ligatures w14:val="standardContextual"/>
              </w:rPr>
              <w:tab/>
            </w:r>
            <w:r w:rsidR="008E2D05" w:rsidRPr="00A33930">
              <w:rPr>
                <w:rStyle w:val="Hyperlink"/>
                <w:rFonts w:eastAsiaTheme="majorEastAsia"/>
                <w:noProof/>
                <w:color w:val="auto"/>
                <w:lang w:val="nl-NL"/>
              </w:rPr>
              <w:t xml:space="preserve"> Onderwerp van het onderzoek</w:t>
            </w:r>
            <w:r w:rsidR="008E2D05" w:rsidRPr="00A33930">
              <w:rPr>
                <w:noProof/>
                <w:webHidden/>
                <w:lang w:val="nl-NL"/>
              </w:rPr>
              <w:tab/>
            </w:r>
            <w:r w:rsidR="008E2D05" w:rsidRPr="00A33930">
              <w:rPr>
                <w:noProof/>
                <w:webHidden/>
                <w:lang w:val="nl-NL"/>
              </w:rPr>
              <w:fldChar w:fldCharType="begin"/>
            </w:r>
            <w:r w:rsidR="008E2D05" w:rsidRPr="00A33930">
              <w:rPr>
                <w:noProof/>
                <w:webHidden/>
                <w:lang w:val="nl-NL"/>
              </w:rPr>
              <w:instrText xml:space="preserve"> PAGEREF _Toc134621164 \h </w:instrText>
            </w:r>
            <w:r w:rsidR="008E2D05" w:rsidRPr="00A33930">
              <w:rPr>
                <w:noProof/>
                <w:webHidden/>
                <w:lang w:val="nl-NL"/>
              </w:rPr>
            </w:r>
            <w:r w:rsidR="008E2D05" w:rsidRPr="00A33930">
              <w:rPr>
                <w:noProof/>
                <w:webHidden/>
                <w:lang w:val="nl-NL"/>
              </w:rPr>
              <w:fldChar w:fldCharType="separate"/>
            </w:r>
            <w:r w:rsidR="003278B1">
              <w:rPr>
                <w:noProof/>
                <w:webHidden/>
                <w:lang w:val="nl-NL"/>
              </w:rPr>
              <w:t>1</w:t>
            </w:r>
            <w:r w:rsidR="008E2D05" w:rsidRPr="00A33930">
              <w:rPr>
                <w:noProof/>
                <w:webHidden/>
                <w:lang w:val="nl-NL"/>
              </w:rPr>
              <w:fldChar w:fldCharType="end"/>
            </w:r>
          </w:hyperlink>
        </w:p>
        <w:p w14:paraId="404DF5F6" w14:textId="335312E8" w:rsidR="008E2D05" w:rsidRPr="00A33930" w:rsidRDefault="00000000">
          <w:pPr>
            <w:pStyle w:val="Inhopg3"/>
            <w:tabs>
              <w:tab w:val="left" w:pos="1469"/>
              <w:tab w:val="right" w:leader="dot" w:pos="9062"/>
            </w:tabs>
            <w:rPr>
              <w:rFonts w:eastAsiaTheme="minorEastAsia" w:cstheme="minorBidi"/>
              <w:i w:val="0"/>
              <w:iCs w:val="0"/>
              <w:noProof/>
              <w:kern w:val="2"/>
              <w:sz w:val="24"/>
              <w:szCs w:val="24"/>
              <w:lang w:val="nl-NL"/>
              <w14:ligatures w14:val="standardContextual"/>
            </w:rPr>
          </w:pPr>
          <w:hyperlink w:anchor="_Toc134621165" w:history="1">
            <w:r w:rsidR="008E2D05" w:rsidRPr="00A33930">
              <w:rPr>
                <w:rStyle w:val="Hyperlink"/>
                <w:rFonts w:eastAsiaTheme="majorEastAsia"/>
                <w:noProof/>
                <w:color w:val="auto"/>
                <w:lang w:val="nl-NL"/>
              </w:rPr>
              <w:t>Afdeling II.</w:t>
            </w:r>
            <w:r w:rsidR="008E2D05" w:rsidRPr="00A33930">
              <w:rPr>
                <w:rFonts w:eastAsiaTheme="minorEastAsia" w:cstheme="minorBidi"/>
                <w:i w:val="0"/>
                <w:iCs w:val="0"/>
                <w:noProof/>
                <w:kern w:val="2"/>
                <w:sz w:val="24"/>
                <w:szCs w:val="24"/>
                <w:lang w:val="nl-NL"/>
                <w14:ligatures w14:val="standardContextual"/>
              </w:rPr>
              <w:tab/>
            </w:r>
            <w:r w:rsidR="008E2D05" w:rsidRPr="00A33930">
              <w:rPr>
                <w:rStyle w:val="Hyperlink"/>
                <w:rFonts w:eastAsiaTheme="majorEastAsia"/>
                <w:noProof/>
                <w:color w:val="auto"/>
                <w:lang w:val="nl-NL"/>
              </w:rPr>
              <w:t xml:space="preserve"> Probleemstelling</w:t>
            </w:r>
            <w:r w:rsidR="008E2D05" w:rsidRPr="00A33930">
              <w:rPr>
                <w:noProof/>
                <w:webHidden/>
                <w:lang w:val="nl-NL"/>
              </w:rPr>
              <w:tab/>
            </w:r>
            <w:r w:rsidR="008E2D05" w:rsidRPr="00A33930">
              <w:rPr>
                <w:noProof/>
                <w:webHidden/>
                <w:lang w:val="nl-NL"/>
              </w:rPr>
              <w:fldChar w:fldCharType="begin"/>
            </w:r>
            <w:r w:rsidR="008E2D05" w:rsidRPr="00A33930">
              <w:rPr>
                <w:noProof/>
                <w:webHidden/>
                <w:lang w:val="nl-NL"/>
              </w:rPr>
              <w:instrText xml:space="preserve"> PAGEREF _Toc134621165 \h </w:instrText>
            </w:r>
            <w:r w:rsidR="008E2D05" w:rsidRPr="00A33930">
              <w:rPr>
                <w:noProof/>
                <w:webHidden/>
                <w:lang w:val="nl-NL"/>
              </w:rPr>
            </w:r>
            <w:r w:rsidR="008E2D05" w:rsidRPr="00A33930">
              <w:rPr>
                <w:noProof/>
                <w:webHidden/>
                <w:lang w:val="nl-NL"/>
              </w:rPr>
              <w:fldChar w:fldCharType="separate"/>
            </w:r>
            <w:r w:rsidR="003278B1">
              <w:rPr>
                <w:noProof/>
                <w:webHidden/>
                <w:lang w:val="nl-NL"/>
              </w:rPr>
              <w:t>2</w:t>
            </w:r>
            <w:r w:rsidR="008E2D05" w:rsidRPr="00A33930">
              <w:rPr>
                <w:noProof/>
                <w:webHidden/>
                <w:lang w:val="nl-NL"/>
              </w:rPr>
              <w:fldChar w:fldCharType="end"/>
            </w:r>
          </w:hyperlink>
        </w:p>
        <w:p w14:paraId="09E1C818" w14:textId="18164450" w:rsidR="008E2D05" w:rsidRPr="00A33930" w:rsidRDefault="00000000">
          <w:pPr>
            <w:pStyle w:val="Inhopg3"/>
            <w:tabs>
              <w:tab w:val="left" w:pos="1519"/>
              <w:tab w:val="right" w:leader="dot" w:pos="9062"/>
            </w:tabs>
            <w:rPr>
              <w:rFonts w:eastAsiaTheme="minorEastAsia" w:cstheme="minorBidi"/>
              <w:i w:val="0"/>
              <w:iCs w:val="0"/>
              <w:noProof/>
              <w:kern w:val="2"/>
              <w:sz w:val="24"/>
              <w:szCs w:val="24"/>
              <w:lang w:val="nl-NL"/>
              <w14:ligatures w14:val="standardContextual"/>
            </w:rPr>
          </w:pPr>
          <w:hyperlink w:anchor="_Toc134621166" w:history="1">
            <w:r w:rsidR="008E2D05" w:rsidRPr="00A33930">
              <w:rPr>
                <w:rStyle w:val="Hyperlink"/>
                <w:rFonts w:eastAsiaTheme="majorEastAsia"/>
                <w:noProof/>
                <w:color w:val="auto"/>
                <w:lang w:val="nl-NL"/>
              </w:rPr>
              <w:t>Afdeling III.</w:t>
            </w:r>
            <w:r w:rsidR="008E2D05" w:rsidRPr="00A33930">
              <w:rPr>
                <w:rFonts w:eastAsiaTheme="minorEastAsia" w:cstheme="minorBidi"/>
                <w:i w:val="0"/>
                <w:iCs w:val="0"/>
                <w:noProof/>
                <w:kern w:val="2"/>
                <w:sz w:val="24"/>
                <w:szCs w:val="24"/>
                <w:lang w:val="nl-NL"/>
                <w14:ligatures w14:val="standardContextual"/>
              </w:rPr>
              <w:tab/>
            </w:r>
            <w:r w:rsidR="008E2D05" w:rsidRPr="00A33930">
              <w:rPr>
                <w:rStyle w:val="Hyperlink"/>
                <w:rFonts w:eastAsiaTheme="majorEastAsia"/>
                <w:noProof/>
                <w:color w:val="auto"/>
                <w:lang w:val="nl-NL"/>
              </w:rPr>
              <w:t xml:space="preserve"> Beperkingen</w:t>
            </w:r>
            <w:r w:rsidR="008E2D05" w:rsidRPr="00A33930">
              <w:rPr>
                <w:noProof/>
                <w:webHidden/>
                <w:lang w:val="nl-NL"/>
              </w:rPr>
              <w:tab/>
            </w:r>
            <w:r w:rsidR="008E2D05" w:rsidRPr="00A33930">
              <w:rPr>
                <w:noProof/>
                <w:webHidden/>
                <w:lang w:val="nl-NL"/>
              </w:rPr>
              <w:fldChar w:fldCharType="begin"/>
            </w:r>
            <w:r w:rsidR="008E2D05" w:rsidRPr="00A33930">
              <w:rPr>
                <w:noProof/>
                <w:webHidden/>
                <w:lang w:val="nl-NL"/>
              </w:rPr>
              <w:instrText xml:space="preserve"> PAGEREF _Toc134621166 \h </w:instrText>
            </w:r>
            <w:r w:rsidR="008E2D05" w:rsidRPr="00A33930">
              <w:rPr>
                <w:noProof/>
                <w:webHidden/>
                <w:lang w:val="nl-NL"/>
              </w:rPr>
            </w:r>
            <w:r w:rsidR="008E2D05" w:rsidRPr="00A33930">
              <w:rPr>
                <w:noProof/>
                <w:webHidden/>
                <w:lang w:val="nl-NL"/>
              </w:rPr>
              <w:fldChar w:fldCharType="separate"/>
            </w:r>
            <w:r w:rsidR="003278B1">
              <w:rPr>
                <w:noProof/>
                <w:webHidden/>
                <w:lang w:val="nl-NL"/>
              </w:rPr>
              <w:t>3</w:t>
            </w:r>
            <w:r w:rsidR="008E2D05" w:rsidRPr="00A33930">
              <w:rPr>
                <w:noProof/>
                <w:webHidden/>
                <w:lang w:val="nl-NL"/>
              </w:rPr>
              <w:fldChar w:fldCharType="end"/>
            </w:r>
          </w:hyperlink>
        </w:p>
        <w:p w14:paraId="35C5FF82" w14:textId="3319B19B" w:rsidR="008E2D05" w:rsidRPr="00A33930" w:rsidRDefault="00000000">
          <w:pPr>
            <w:pStyle w:val="Inhopg2"/>
            <w:tabs>
              <w:tab w:val="left" w:pos="1633"/>
              <w:tab w:val="right" w:leader="dot" w:pos="9062"/>
            </w:tabs>
            <w:rPr>
              <w:rFonts w:eastAsiaTheme="minorEastAsia" w:cstheme="minorBidi"/>
              <w:smallCaps w:val="0"/>
              <w:noProof/>
              <w:kern w:val="2"/>
              <w:sz w:val="24"/>
              <w:szCs w:val="24"/>
              <w:lang w:val="nl-NL"/>
              <w14:ligatures w14:val="standardContextual"/>
            </w:rPr>
          </w:pPr>
          <w:hyperlink w:anchor="_Toc134621167" w:history="1">
            <w:r w:rsidR="008E2D05" w:rsidRPr="00A33930">
              <w:rPr>
                <w:rStyle w:val="Hyperlink"/>
                <w:rFonts w:eastAsiaTheme="majorEastAsia"/>
                <w:noProof/>
                <w:color w:val="auto"/>
                <w:lang w:val="nl-NL"/>
              </w:rPr>
              <w:t>HOOFDSTUK II.</w:t>
            </w:r>
            <w:r w:rsidR="008E2D05" w:rsidRPr="00A33930">
              <w:rPr>
                <w:rFonts w:eastAsiaTheme="minorEastAsia" w:cstheme="minorBidi"/>
                <w:smallCaps w:val="0"/>
                <w:noProof/>
                <w:kern w:val="2"/>
                <w:sz w:val="24"/>
                <w:szCs w:val="24"/>
                <w:lang w:val="nl-NL"/>
                <w14:ligatures w14:val="standardContextual"/>
              </w:rPr>
              <w:tab/>
            </w:r>
            <w:r w:rsidR="008E2D05" w:rsidRPr="00A33930">
              <w:rPr>
                <w:rStyle w:val="Hyperlink"/>
                <w:rFonts w:eastAsiaTheme="majorEastAsia"/>
                <w:noProof/>
                <w:color w:val="auto"/>
                <w:lang w:val="nl-NL"/>
              </w:rPr>
              <w:t>ONDERZOEKSVRAGEN</w:t>
            </w:r>
            <w:r w:rsidR="008E2D05" w:rsidRPr="00A33930">
              <w:rPr>
                <w:noProof/>
                <w:webHidden/>
                <w:lang w:val="nl-NL"/>
              </w:rPr>
              <w:tab/>
            </w:r>
            <w:r w:rsidR="008E2D05" w:rsidRPr="00A33930">
              <w:rPr>
                <w:noProof/>
                <w:webHidden/>
                <w:lang w:val="nl-NL"/>
              </w:rPr>
              <w:fldChar w:fldCharType="begin"/>
            </w:r>
            <w:r w:rsidR="008E2D05" w:rsidRPr="00A33930">
              <w:rPr>
                <w:noProof/>
                <w:webHidden/>
                <w:lang w:val="nl-NL"/>
              </w:rPr>
              <w:instrText xml:space="preserve"> PAGEREF _Toc134621167 \h </w:instrText>
            </w:r>
            <w:r w:rsidR="008E2D05" w:rsidRPr="00A33930">
              <w:rPr>
                <w:noProof/>
                <w:webHidden/>
                <w:lang w:val="nl-NL"/>
              </w:rPr>
            </w:r>
            <w:r w:rsidR="008E2D05" w:rsidRPr="00A33930">
              <w:rPr>
                <w:noProof/>
                <w:webHidden/>
                <w:lang w:val="nl-NL"/>
              </w:rPr>
              <w:fldChar w:fldCharType="separate"/>
            </w:r>
            <w:r w:rsidR="003278B1">
              <w:rPr>
                <w:noProof/>
                <w:webHidden/>
                <w:lang w:val="nl-NL"/>
              </w:rPr>
              <w:t>5</w:t>
            </w:r>
            <w:r w:rsidR="008E2D05" w:rsidRPr="00A33930">
              <w:rPr>
                <w:noProof/>
                <w:webHidden/>
                <w:lang w:val="nl-NL"/>
              </w:rPr>
              <w:fldChar w:fldCharType="end"/>
            </w:r>
          </w:hyperlink>
        </w:p>
        <w:p w14:paraId="07E80050" w14:textId="78ED55BD" w:rsidR="008E2D05" w:rsidRPr="00A33930" w:rsidRDefault="00000000">
          <w:pPr>
            <w:pStyle w:val="Inhopg2"/>
            <w:tabs>
              <w:tab w:val="left" w:pos="1684"/>
              <w:tab w:val="right" w:leader="dot" w:pos="9062"/>
            </w:tabs>
            <w:rPr>
              <w:rFonts w:eastAsiaTheme="minorEastAsia" w:cstheme="minorBidi"/>
              <w:smallCaps w:val="0"/>
              <w:noProof/>
              <w:kern w:val="2"/>
              <w:sz w:val="24"/>
              <w:szCs w:val="24"/>
              <w:lang w:val="nl-NL"/>
              <w14:ligatures w14:val="standardContextual"/>
            </w:rPr>
          </w:pPr>
          <w:hyperlink w:anchor="_Toc134621168" w:history="1">
            <w:r w:rsidR="008E2D05" w:rsidRPr="00A33930">
              <w:rPr>
                <w:rStyle w:val="Hyperlink"/>
                <w:rFonts w:eastAsiaTheme="majorEastAsia"/>
                <w:noProof/>
                <w:color w:val="auto"/>
                <w:lang w:val="nl-NL"/>
              </w:rPr>
              <w:t>HOOFDSTUK III.</w:t>
            </w:r>
            <w:r w:rsidR="008E2D05" w:rsidRPr="00A33930">
              <w:rPr>
                <w:rFonts w:eastAsiaTheme="minorEastAsia" w:cstheme="minorBidi"/>
                <w:smallCaps w:val="0"/>
                <w:noProof/>
                <w:kern w:val="2"/>
                <w:sz w:val="24"/>
                <w:szCs w:val="24"/>
                <w:lang w:val="nl-NL"/>
                <w14:ligatures w14:val="standardContextual"/>
              </w:rPr>
              <w:tab/>
            </w:r>
            <w:r w:rsidR="008E2D05" w:rsidRPr="00A33930">
              <w:rPr>
                <w:rStyle w:val="Hyperlink"/>
                <w:rFonts w:eastAsiaTheme="majorEastAsia"/>
                <w:noProof/>
                <w:color w:val="auto"/>
                <w:lang w:val="nl-NL"/>
              </w:rPr>
              <w:t>ONDERZOEKSMETHODE</w:t>
            </w:r>
            <w:r w:rsidR="008E2D05" w:rsidRPr="00A33930">
              <w:rPr>
                <w:noProof/>
                <w:webHidden/>
                <w:lang w:val="nl-NL"/>
              </w:rPr>
              <w:tab/>
            </w:r>
            <w:r w:rsidR="008E2D05" w:rsidRPr="00A33930">
              <w:rPr>
                <w:noProof/>
                <w:webHidden/>
                <w:lang w:val="nl-NL"/>
              </w:rPr>
              <w:fldChar w:fldCharType="begin"/>
            </w:r>
            <w:r w:rsidR="008E2D05" w:rsidRPr="00A33930">
              <w:rPr>
                <w:noProof/>
                <w:webHidden/>
                <w:lang w:val="nl-NL"/>
              </w:rPr>
              <w:instrText xml:space="preserve"> PAGEREF _Toc134621168 \h </w:instrText>
            </w:r>
            <w:r w:rsidR="008E2D05" w:rsidRPr="00A33930">
              <w:rPr>
                <w:noProof/>
                <w:webHidden/>
                <w:lang w:val="nl-NL"/>
              </w:rPr>
            </w:r>
            <w:r w:rsidR="008E2D05" w:rsidRPr="00A33930">
              <w:rPr>
                <w:noProof/>
                <w:webHidden/>
                <w:lang w:val="nl-NL"/>
              </w:rPr>
              <w:fldChar w:fldCharType="separate"/>
            </w:r>
            <w:r w:rsidR="003278B1">
              <w:rPr>
                <w:noProof/>
                <w:webHidden/>
                <w:lang w:val="nl-NL"/>
              </w:rPr>
              <w:t>7</w:t>
            </w:r>
            <w:r w:rsidR="008E2D05" w:rsidRPr="00A33930">
              <w:rPr>
                <w:noProof/>
                <w:webHidden/>
                <w:lang w:val="nl-NL"/>
              </w:rPr>
              <w:fldChar w:fldCharType="end"/>
            </w:r>
          </w:hyperlink>
        </w:p>
        <w:p w14:paraId="6A60A79F" w14:textId="30E2B21E" w:rsidR="008E2D05" w:rsidRPr="00A33930" w:rsidRDefault="00000000">
          <w:pPr>
            <w:pStyle w:val="Inhopg3"/>
            <w:tabs>
              <w:tab w:val="left" w:pos="1440"/>
              <w:tab w:val="right" w:leader="dot" w:pos="9062"/>
            </w:tabs>
            <w:rPr>
              <w:rFonts w:eastAsiaTheme="minorEastAsia" w:cstheme="minorBidi"/>
              <w:i w:val="0"/>
              <w:iCs w:val="0"/>
              <w:noProof/>
              <w:kern w:val="2"/>
              <w:sz w:val="24"/>
              <w:szCs w:val="24"/>
              <w:lang w:val="nl-NL"/>
              <w14:ligatures w14:val="standardContextual"/>
            </w:rPr>
          </w:pPr>
          <w:hyperlink w:anchor="_Toc134621169" w:history="1">
            <w:r w:rsidR="008E2D05" w:rsidRPr="00A33930">
              <w:rPr>
                <w:rStyle w:val="Hyperlink"/>
                <w:rFonts w:eastAsiaTheme="majorEastAsia"/>
                <w:noProof/>
                <w:color w:val="auto"/>
                <w:lang w:val="nl-NL"/>
              </w:rPr>
              <w:t>Afdeling I.</w:t>
            </w:r>
            <w:r w:rsidR="008E2D05" w:rsidRPr="00A33930">
              <w:rPr>
                <w:rFonts w:eastAsiaTheme="minorEastAsia" w:cstheme="minorBidi"/>
                <w:i w:val="0"/>
                <w:iCs w:val="0"/>
                <w:noProof/>
                <w:kern w:val="2"/>
                <w:sz w:val="24"/>
                <w:szCs w:val="24"/>
                <w:lang w:val="nl-NL"/>
                <w14:ligatures w14:val="standardContextual"/>
              </w:rPr>
              <w:tab/>
            </w:r>
            <w:r w:rsidR="008E2D05" w:rsidRPr="00A33930">
              <w:rPr>
                <w:rStyle w:val="Hyperlink"/>
                <w:rFonts w:eastAsiaTheme="majorEastAsia"/>
                <w:noProof/>
                <w:color w:val="auto"/>
                <w:lang w:val="nl-NL"/>
              </w:rPr>
              <w:t xml:space="preserve"> Methodologie</w:t>
            </w:r>
            <w:r w:rsidR="008E2D05" w:rsidRPr="00A33930">
              <w:rPr>
                <w:noProof/>
                <w:webHidden/>
                <w:lang w:val="nl-NL"/>
              </w:rPr>
              <w:tab/>
            </w:r>
            <w:r w:rsidR="008E2D05" w:rsidRPr="00A33930">
              <w:rPr>
                <w:noProof/>
                <w:webHidden/>
                <w:lang w:val="nl-NL"/>
              </w:rPr>
              <w:fldChar w:fldCharType="begin"/>
            </w:r>
            <w:r w:rsidR="008E2D05" w:rsidRPr="00A33930">
              <w:rPr>
                <w:noProof/>
                <w:webHidden/>
                <w:lang w:val="nl-NL"/>
              </w:rPr>
              <w:instrText xml:space="preserve"> PAGEREF _Toc134621169 \h </w:instrText>
            </w:r>
            <w:r w:rsidR="008E2D05" w:rsidRPr="00A33930">
              <w:rPr>
                <w:noProof/>
                <w:webHidden/>
                <w:lang w:val="nl-NL"/>
              </w:rPr>
            </w:r>
            <w:r w:rsidR="008E2D05" w:rsidRPr="00A33930">
              <w:rPr>
                <w:noProof/>
                <w:webHidden/>
                <w:lang w:val="nl-NL"/>
              </w:rPr>
              <w:fldChar w:fldCharType="separate"/>
            </w:r>
            <w:r w:rsidR="003278B1">
              <w:rPr>
                <w:noProof/>
                <w:webHidden/>
                <w:lang w:val="nl-NL"/>
              </w:rPr>
              <w:t>7</w:t>
            </w:r>
            <w:r w:rsidR="008E2D05" w:rsidRPr="00A33930">
              <w:rPr>
                <w:noProof/>
                <w:webHidden/>
                <w:lang w:val="nl-NL"/>
              </w:rPr>
              <w:fldChar w:fldCharType="end"/>
            </w:r>
          </w:hyperlink>
        </w:p>
        <w:p w14:paraId="190B5F32" w14:textId="116F3884" w:rsidR="008E2D05" w:rsidRPr="00A33930" w:rsidRDefault="00000000">
          <w:pPr>
            <w:pStyle w:val="Inhopg3"/>
            <w:tabs>
              <w:tab w:val="left" w:pos="1469"/>
              <w:tab w:val="right" w:leader="dot" w:pos="9062"/>
            </w:tabs>
            <w:rPr>
              <w:rFonts w:eastAsiaTheme="minorEastAsia" w:cstheme="minorBidi"/>
              <w:i w:val="0"/>
              <w:iCs w:val="0"/>
              <w:noProof/>
              <w:kern w:val="2"/>
              <w:sz w:val="24"/>
              <w:szCs w:val="24"/>
              <w:lang w:val="nl-NL"/>
              <w14:ligatures w14:val="standardContextual"/>
            </w:rPr>
          </w:pPr>
          <w:hyperlink w:anchor="_Toc134621170" w:history="1">
            <w:r w:rsidR="008E2D05" w:rsidRPr="00A33930">
              <w:rPr>
                <w:rStyle w:val="Hyperlink"/>
                <w:rFonts w:eastAsiaTheme="majorEastAsia"/>
                <w:noProof/>
                <w:color w:val="auto"/>
                <w:lang w:val="nl-NL"/>
              </w:rPr>
              <w:t>Afdeling II.</w:t>
            </w:r>
            <w:r w:rsidR="008E2D05" w:rsidRPr="00A33930">
              <w:rPr>
                <w:rFonts w:eastAsiaTheme="minorEastAsia" w:cstheme="minorBidi"/>
                <w:i w:val="0"/>
                <w:iCs w:val="0"/>
                <w:noProof/>
                <w:kern w:val="2"/>
                <w:sz w:val="24"/>
                <w:szCs w:val="24"/>
                <w:lang w:val="nl-NL"/>
                <w14:ligatures w14:val="standardContextual"/>
              </w:rPr>
              <w:tab/>
            </w:r>
            <w:r w:rsidR="008E2D05" w:rsidRPr="00A33930">
              <w:rPr>
                <w:rStyle w:val="Hyperlink"/>
                <w:rFonts w:eastAsiaTheme="majorEastAsia"/>
                <w:noProof/>
                <w:color w:val="auto"/>
                <w:lang w:val="nl-NL"/>
              </w:rPr>
              <w:t xml:space="preserve"> Opbouw van het onderzoek</w:t>
            </w:r>
            <w:r w:rsidR="008E2D05" w:rsidRPr="00A33930">
              <w:rPr>
                <w:noProof/>
                <w:webHidden/>
                <w:lang w:val="nl-NL"/>
              </w:rPr>
              <w:tab/>
            </w:r>
            <w:r w:rsidR="008E2D05" w:rsidRPr="00A33930">
              <w:rPr>
                <w:noProof/>
                <w:webHidden/>
                <w:lang w:val="nl-NL"/>
              </w:rPr>
              <w:fldChar w:fldCharType="begin"/>
            </w:r>
            <w:r w:rsidR="008E2D05" w:rsidRPr="00A33930">
              <w:rPr>
                <w:noProof/>
                <w:webHidden/>
                <w:lang w:val="nl-NL"/>
              </w:rPr>
              <w:instrText xml:space="preserve"> PAGEREF _Toc134621170 \h </w:instrText>
            </w:r>
            <w:r w:rsidR="008E2D05" w:rsidRPr="00A33930">
              <w:rPr>
                <w:noProof/>
                <w:webHidden/>
                <w:lang w:val="nl-NL"/>
              </w:rPr>
            </w:r>
            <w:r w:rsidR="008E2D05" w:rsidRPr="00A33930">
              <w:rPr>
                <w:noProof/>
                <w:webHidden/>
                <w:lang w:val="nl-NL"/>
              </w:rPr>
              <w:fldChar w:fldCharType="separate"/>
            </w:r>
            <w:r w:rsidR="003278B1">
              <w:rPr>
                <w:noProof/>
                <w:webHidden/>
                <w:lang w:val="nl-NL"/>
              </w:rPr>
              <w:t>9</w:t>
            </w:r>
            <w:r w:rsidR="008E2D05" w:rsidRPr="00A33930">
              <w:rPr>
                <w:noProof/>
                <w:webHidden/>
                <w:lang w:val="nl-NL"/>
              </w:rPr>
              <w:fldChar w:fldCharType="end"/>
            </w:r>
          </w:hyperlink>
        </w:p>
        <w:p w14:paraId="644FD23C" w14:textId="5DBA0A6A" w:rsidR="008E2D05" w:rsidRPr="00A33930" w:rsidRDefault="00000000">
          <w:pPr>
            <w:pStyle w:val="Inhopg1"/>
            <w:tabs>
              <w:tab w:val="left" w:pos="900"/>
              <w:tab w:val="right" w:leader="dot" w:pos="9062"/>
            </w:tabs>
            <w:rPr>
              <w:rFonts w:eastAsiaTheme="minorEastAsia" w:cstheme="minorBidi"/>
              <w:b w:val="0"/>
              <w:bCs w:val="0"/>
              <w:caps w:val="0"/>
              <w:noProof/>
              <w:kern w:val="2"/>
              <w:sz w:val="24"/>
              <w:szCs w:val="24"/>
              <w:lang w:val="nl-NL"/>
              <w14:ligatures w14:val="standardContextual"/>
            </w:rPr>
          </w:pPr>
          <w:hyperlink w:anchor="_Toc134621171" w:history="1">
            <w:r w:rsidR="008E2D05" w:rsidRPr="00A33930">
              <w:rPr>
                <w:rStyle w:val="Hyperlink"/>
                <w:rFonts w:eastAsiaTheme="majorEastAsia"/>
                <w:noProof/>
                <w:color w:val="auto"/>
                <w:lang w:val="nl-NL"/>
              </w:rPr>
              <w:t>DEEL I.</w:t>
            </w:r>
            <w:r w:rsidR="008E2D05" w:rsidRPr="00A33930">
              <w:rPr>
                <w:rFonts w:eastAsiaTheme="minorEastAsia" w:cstheme="minorBidi"/>
                <w:b w:val="0"/>
                <w:bCs w:val="0"/>
                <w:caps w:val="0"/>
                <w:noProof/>
                <w:kern w:val="2"/>
                <w:sz w:val="24"/>
                <w:szCs w:val="24"/>
                <w:lang w:val="nl-NL"/>
                <w14:ligatures w14:val="standardContextual"/>
              </w:rPr>
              <w:tab/>
            </w:r>
            <w:r w:rsidR="008E2D05" w:rsidRPr="00A33930">
              <w:rPr>
                <w:rStyle w:val="Hyperlink"/>
                <w:rFonts w:eastAsiaTheme="majorEastAsia"/>
                <w:noProof/>
                <w:color w:val="auto"/>
                <w:lang w:val="nl-NL"/>
              </w:rPr>
              <w:t>HET RECHT OP PERSOONLIJK CONTACT VAN HET KIND IN HET INTERNATIONAAL EN EUROPEES RECHT</w:t>
            </w:r>
            <w:r w:rsidR="008E2D05" w:rsidRPr="00A33930">
              <w:rPr>
                <w:noProof/>
                <w:webHidden/>
                <w:lang w:val="nl-NL"/>
              </w:rPr>
              <w:tab/>
            </w:r>
            <w:r w:rsidR="008E2D05" w:rsidRPr="00A33930">
              <w:rPr>
                <w:noProof/>
                <w:webHidden/>
                <w:lang w:val="nl-NL"/>
              </w:rPr>
              <w:tab/>
            </w:r>
            <w:r w:rsidR="008E2D05" w:rsidRPr="00A33930">
              <w:rPr>
                <w:noProof/>
                <w:webHidden/>
                <w:lang w:val="nl-NL"/>
              </w:rPr>
              <w:fldChar w:fldCharType="begin"/>
            </w:r>
            <w:r w:rsidR="008E2D05" w:rsidRPr="00A33930">
              <w:rPr>
                <w:noProof/>
                <w:webHidden/>
                <w:lang w:val="nl-NL"/>
              </w:rPr>
              <w:instrText xml:space="preserve"> PAGEREF _Toc134621171 \h </w:instrText>
            </w:r>
            <w:r w:rsidR="008E2D05" w:rsidRPr="00A33930">
              <w:rPr>
                <w:noProof/>
                <w:webHidden/>
                <w:lang w:val="nl-NL"/>
              </w:rPr>
            </w:r>
            <w:r w:rsidR="008E2D05" w:rsidRPr="00A33930">
              <w:rPr>
                <w:noProof/>
                <w:webHidden/>
                <w:lang w:val="nl-NL"/>
              </w:rPr>
              <w:fldChar w:fldCharType="separate"/>
            </w:r>
            <w:r w:rsidR="003278B1">
              <w:rPr>
                <w:noProof/>
                <w:webHidden/>
                <w:lang w:val="nl-NL"/>
              </w:rPr>
              <w:t>11</w:t>
            </w:r>
            <w:r w:rsidR="008E2D05" w:rsidRPr="00A33930">
              <w:rPr>
                <w:noProof/>
                <w:webHidden/>
                <w:lang w:val="nl-NL"/>
              </w:rPr>
              <w:fldChar w:fldCharType="end"/>
            </w:r>
          </w:hyperlink>
        </w:p>
        <w:p w14:paraId="6541362A" w14:textId="21CBECA4" w:rsidR="008E2D05" w:rsidRPr="00A33930" w:rsidRDefault="00000000">
          <w:pPr>
            <w:pStyle w:val="Inhopg2"/>
            <w:tabs>
              <w:tab w:val="left" w:pos="1583"/>
              <w:tab w:val="right" w:leader="dot" w:pos="9062"/>
            </w:tabs>
            <w:rPr>
              <w:rFonts w:eastAsiaTheme="minorEastAsia" w:cstheme="minorBidi"/>
              <w:smallCaps w:val="0"/>
              <w:noProof/>
              <w:kern w:val="2"/>
              <w:sz w:val="24"/>
              <w:szCs w:val="24"/>
              <w:lang w:val="nl-NL"/>
              <w14:ligatures w14:val="standardContextual"/>
            </w:rPr>
          </w:pPr>
          <w:hyperlink w:anchor="_Toc134621172" w:history="1">
            <w:r w:rsidR="008E2D05" w:rsidRPr="00A33930">
              <w:rPr>
                <w:rStyle w:val="Hyperlink"/>
                <w:rFonts w:eastAsiaTheme="majorEastAsia"/>
                <w:noProof/>
                <w:color w:val="auto"/>
                <w:lang w:val="nl-NL"/>
              </w:rPr>
              <w:t>HOOFDSTUK I.</w:t>
            </w:r>
            <w:r w:rsidR="008E2D05" w:rsidRPr="00A33930">
              <w:rPr>
                <w:rFonts w:eastAsiaTheme="minorEastAsia" w:cstheme="minorBidi"/>
                <w:smallCaps w:val="0"/>
                <w:noProof/>
                <w:kern w:val="2"/>
                <w:sz w:val="24"/>
                <w:szCs w:val="24"/>
                <w:lang w:val="nl-NL"/>
                <w14:ligatures w14:val="standardContextual"/>
              </w:rPr>
              <w:tab/>
            </w:r>
            <w:r w:rsidR="008E2D05" w:rsidRPr="00A33930">
              <w:rPr>
                <w:rStyle w:val="Hyperlink"/>
                <w:rFonts w:eastAsiaTheme="majorEastAsia"/>
                <w:noProof/>
                <w:color w:val="auto"/>
                <w:lang w:val="nl-NL"/>
              </w:rPr>
              <w:t>INTERNATIONAAL VERDRAG INZAKE DE RECHTEN VAN HET KIND</w:t>
            </w:r>
            <w:r w:rsidR="008E2D05" w:rsidRPr="00A33930">
              <w:rPr>
                <w:noProof/>
                <w:webHidden/>
                <w:lang w:val="nl-NL"/>
              </w:rPr>
              <w:tab/>
            </w:r>
            <w:r w:rsidR="008E2D05" w:rsidRPr="00A33930">
              <w:rPr>
                <w:noProof/>
                <w:webHidden/>
                <w:lang w:val="nl-NL"/>
              </w:rPr>
              <w:fldChar w:fldCharType="begin"/>
            </w:r>
            <w:r w:rsidR="008E2D05" w:rsidRPr="00A33930">
              <w:rPr>
                <w:noProof/>
                <w:webHidden/>
                <w:lang w:val="nl-NL"/>
              </w:rPr>
              <w:instrText xml:space="preserve"> PAGEREF _Toc134621172 \h </w:instrText>
            </w:r>
            <w:r w:rsidR="008E2D05" w:rsidRPr="00A33930">
              <w:rPr>
                <w:noProof/>
                <w:webHidden/>
                <w:lang w:val="nl-NL"/>
              </w:rPr>
            </w:r>
            <w:r w:rsidR="008E2D05" w:rsidRPr="00A33930">
              <w:rPr>
                <w:noProof/>
                <w:webHidden/>
                <w:lang w:val="nl-NL"/>
              </w:rPr>
              <w:fldChar w:fldCharType="separate"/>
            </w:r>
            <w:r w:rsidR="003278B1">
              <w:rPr>
                <w:noProof/>
                <w:webHidden/>
                <w:lang w:val="nl-NL"/>
              </w:rPr>
              <w:t>13</w:t>
            </w:r>
            <w:r w:rsidR="008E2D05" w:rsidRPr="00A33930">
              <w:rPr>
                <w:noProof/>
                <w:webHidden/>
                <w:lang w:val="nl-NL"/>
              </w:rPr>
              <w:fldChar w:fldCharType="end"/>
            </w:r>
          </w:hyperlink>
        </w:p>
        <w:p w14:paraId="11C7D874" w14:textId="2C0E6FA7" w:rsidR="008E2D05" w:rsidRPr="00A33930" w:rsidRDefault="00000000">
          <w:pPr>
            <w:pStyle w:val="Inhopg3"/>
            <w:tabs>
              <w:tab w:val="left" w:pos="1440"/>
              <w:tab w:val="right" w:leader="dot" w:pos="9062"/>
            </w:tabs>
            <w:rPr>
              <w:rFonts w:eastAsiaTheme="minorEastAsia" w:cstheme="minorBidi"/>
              <w:i w:val="0"/>
              <w:iCs w:val="0"/>
              <w:noProof/>
              <w:kern w:val="2"/>
              <w:sz w:val="24"/>
              <w:szCs w:val="24"/>
              <w:lang w:val="nl-NL"/>
              <w14:ligatures w14:val="standardContextual"/>
            </w:rPr>
          </w:pPr>
          <w:hyperlink w:anchor="_Toc134621173" w:history="1">
            <w:r w:rsidR="008E2D05" w:rsidRPr="00A33930">
              <w:rPr>
                <w:rStyle w:val="Hyperlink"/>
                <w:rFonts w:eastAsiaTheme="majorEastAsia"/>
                <w:noProof/>
                <w:color w:val="auto"/>
                <w:lang w:val="nl-NL"/>
              </w:rPr>
              <w:t>Afdeling I.</w:t>
            </w:r>
            <w:r w:rsidR="008E2D05" w:rsidRPr="00A33930">
              <w:rPr>
                <w:rFonts w:eastAsiaTheme="minorEastAsia" w:cstheme="minorBidi"/>
                <w:i w:val="0"/>
                <w:iCs w:val="0"/>
                <w:noProof/>
                <w:kern w:val="2"/>
                <w:sz w:val="24"/>
                <w:szCs w:val="24"/>
                <w:lang w:val="nl-NL"/>
                <w14:ligatures w14:val="standardContextual"/>
              </w:rPr>
              <w:tab/>
            </w:r>
            <w:r w:rsidR="008E2D05" w:rsidRPr="00A33930">
              <w:rPr>
                <w:rStyle w:val="Hyperlink"/>
                <w:rFonts w:eastAsiaTheme="majorEastAsia"/>
                <w:noProof/>
                <w:color w:val="auto"/>
                <w:lang w:val="nl-NL"/>
              </w:rPr>
              <w:t xml:space="preserve"> Inleidende beschouwingen</w:t>
            </w:r>
            <w:r w:rsidR="008E2D05" w:rsidRPr="00A33930">
              <w:rPr>
                <w:noProof/>
                <w:webHidden/>
                <w:lang w:val="nl-NL"/>
              </w:rPr>
              <w:tab/>
            </w:r>
            <w:r w:rsidR="008E2D05" w:rsidRPr="00A33930">
              <w:rPr>
                <w:noProof/>
                <w:webHidden/>
                <w:lang w:val="nl-NL"/>
              </w:rPr>
              <w:fldChar w:fldCharType="begin"/>
            </w:r>
            <w:r w:rsidR="008E2D05" w:rsidRPr="00A33930">
              <w:rPr>
                <w:noProof/>
                <w:webHidden/>
                <w:lang w:val="nl-NL"/>
              </w:rPr>
              <w:instrText xml:space="preserve"> PAGEREF _Toc134621173 \h </w:instrText>
            </w:r>
            <w:r w:rsidR="008E2D05" w:rsidRPr="00A33930">
              <w:rPr>
                <w:noProof/>
                <w:webHidden/>
                <w:lang w:val="nl-NL"/>
              </w:rPr>
            </w:r>
            <w:r w:rsidR="008E2D05" w:rsidRPr="00A33930">
              <w:rPr>
                <w:noProof/>
                <w:webHidden/>
                <w:lang w:val="nl-NL"/>
              </w:rPr>
              <w:fldChar w:fldCharType="separate"/>
            </w:r>
            <w:r w:rsidR="003278B1">
              <w:rPr>
                <w:noProof/>
                <w:webHidden/>
                <w:lang w:val="nl-NL"/>
              </w:rPr>
              <w:t>13</w:t>
            </w:r>
            <w:r w:rsidR="008E2D05" w:rsidRPr="00A33930">
              <w:rPr>
                <w:noProof/>
                <w:webHidden/>
                <w:lang w:val="nl-NL"/>
              </w:rPr>
              <w:fldChar w:fldCharType="end"/>
            </w:r>
          </w:hyperlink>
        </w:p>
        <w:p w14:paraId="3AC7A2E6" w14:textId="27201743" w:rsidR="008E2D05" w:rsidRPr="00A33930" w:rsidRDefault="00000000">
          <w:pPr>
            <w:pStyle w:val="Inhopg3"/>
            <w:tabs>
              <w:tab w:val="left" w:pos="1469"/>
              <w:tab w:val="right" w:leader="dot" w:pos="9062"/>
            </w:tabs>
            <w:rPr>
              <w:rFonts w:eastAsiaTheme="minorEastAsia" w:cstheme="minorBidi"/>
              <w:i w:val="0"/>
              <w:iCs w:val="0"/>
              <w:noProof/>
              <w:kern w:val="2"/>
              <w:sz w:val="24"/>
              <w:szCs w:val="24"/>
              <w:lang w:val="nl-NL"/>
              <w14:ligatures w14:val="standardContextual"/>
            </w:rPr>
          </w:pPr>
          <w:hyperlink w:anchor="_Toc134621174" w:history="1">
            <w:r w:rsidR="008E2D05" w:rsidRPr="00A33930">
              <w:rPr>
                <w:rStyle w:val="Hyperlink"/>
                <w:rFonts w:eastAsiaTheme="majorEastAsia"/>
                <w:noProof/>
                <w:color w:val="auto"/>
                <w:lang w:val="nl-NL"/>
              </w:rPr>
              <w:t>Afdeling II.</w:t>
            </w:r>
            <w:r w:rsidR="008E2D05" w:rsidRPr="00A33930">
              <w:rPr>
                <w:rFonts w:eastAsiaTheme="minorEastAsia" w:cstheme="minorBidi"/>
                <w:i w:val="0"/>
                <w:iCs w:val="0"/>
                <w:noProof/>
                <w:kern w:val="2"/>
                <w:sz w:val="24"/>
                <w:szCs w:val="24"/>
                <w:lang w:val="nl-NL"/>
                <w14:ligatures w14:val="standardContextual"/>
              </w:rPr>
              <w:tab/>
            </w:r>
            <w:r w:rsidR="008E2D05" w:rsidRPr="00A33930">
              <w:rPr>
                <w:rStyle w:val="Hyperlink"/>
                <w:rFonts w:eastAsiaTheme="majorEastAsia"/>
                <w:noProof/>
                <w:color w:val="auto"/>
                <w:lang w:val="nl-NL"/>
              </w:rPr>
              <w:t xml:space="preserve"> Juridische doorwerking</w:t>
            </w:r>
            <w:r w:rsidR="008E2D05" w:rsidRPr="00A33930">
              <w:rPr>
                <w:noProof/>
                <w:webHidden/>
                <w:lang w:val="nl-NL"/>
              </w:rPr>
              <w:tab/>
            </w:r>
            <w:r w:rsidR="008E2D05" w:rsidRPr="00A33930">
              <w:rPr>
                <w:noProof/>
                <w:webHidden/>
                <w:lang w:val="nl-NL"/>
              </w:rPr>
              <w:fldChar w:fldCharType="begin"/>
            </w:r>
            <w:r w:rsidR="008E2D05" w:rsidRPr="00A33930">
              <w:rPr>
                <w:noProof/>
                <w:webHidden/>
                <w:lang w:val="nl-NL"/>
              </w:rPr>
              <w:instrText xml:space="preserve"> PAGEREF _Toc134621174 \h </w:instrText>
            </w:r>
            <w:r w:rsidR="008E2D05" w:rsidRPr="00A33930">
              <w:rPr>
                <w:noProof/>
                <w:webHidden/>
                <w:lang w:val="nl-NL"/>
              </w:rPr>
            </w:r>
            <w:r w:rsidR="008E2D05" w:rsidRPr="00A33930">
              <w:rPr>
                <w:noProof/>
                <w:webHidden/>
                <w:lang w:val="nl-NL"/>
              </w:rPr>
              <w:fldChar w:fldCharType="separate"/>
            </w:r>
            <w:r w:rsidR="003278B1">
              <w:rPr>
                <w:noProof/>
                <w:webHidden/>
                <w:lang w:val="nl-NL"/>
              </w:rPr>
              <w:t>14</w:t>
            </w:r>
            <w:r w:rsidR="008E2D05" w:rsidRPr="00A33930">
              <w:rPr>
                <w:noProof/>
                <w:webHidden/>
                <w:lang w:val="nl-NL"/>
              </w:rPr>
              <w:fldChar w:fldCharType="end"/>
            </w:r>
          </w:hyperlink>
        </w:p>
        <w:p w14:paraId="17C11358" w14:textId="6927A7DD" w:rsidR="008E2D05" w:rsidRPr="00A33930" w:rsidRDefault="00000000">
          <w:pPr>
            <w:pStyle w:val="Inhopg3"/>
            <w:tabs>
              <w:tab w:val="left" w:pos="1519"/>
              <w:tab w:val="right" w:leader="dot" w:pos="9062"/>
            </w:tabs>
            <w:rPr>
              <w:rFonts w:eastAsiaTheme="minorEastAsia" w:cstheme="minorBidi"/>
              <w:i w:val="0"/>
              <w:iCs w:val="0"/>
              <w:noProof/>
              <w:kern w:val="2"/>
              <w:sz w:val="24"/>
              <w:szCs w:val="24"/>
              <w:lang w:val="nl-NL"/>
              <w14:ligatures w14:val="standardContextual"/>
            </w:rPr>
          </w:pPr>
          <w:hyperlink w:anchor="_Toc134621175" w:history="1">
            <w:r w:rsidR="008E2D05" w:rsidRPr="00A33930">
              <w:rPr>
                <w:rStyle w:val="Hyperlink"/>
                <w:rFonts w:eastAsiaTheme="majorEastAsia"/>
                <w:noProof/>
                <w:color w:val="auto"/>
                <w:lang w:val="nl-NL"/>
              </w:rPr>
              <w:t>Afdeling III.</w:t>
            </w:r>
            <w:r w:rsidR="008E2D05" w:rsidRPr="00A33930">
              <w:rPr>
                <w:rFonts w:eastAsiaTheme="minorEastAsia" w:cstheme="minorBidi"/>
                <w:i w:val="0"/>
                <w:iCs w:val="0"/>
                <w:noProof/>
                <w:kern w:val="2"/>
                <w:sz w:val="24"/>
                <w:szCs w:val="24"/>
                <w:lang w:val="nl-NL"/>
                <w14:ligatures w14:val="standardContextual"/>
              </w:rPr>
              <w:tab/>
            </w:r>
            <w:r w:rsidR="008E2D05" w:rsidRPr="00A33930">
              <w:rPr>
                <w:rStyle w:val="Hyperlink"/>
                <w:rFonts w:eastAsiaTheme="majorEastAsia"/>
                <w:noProof/>
                <w:color w:val="auto"/>
                <w:lang w:val="nl-NL"/>
              </w:rPr>
              <w:t xml:space="preserve"> Leidende beginselen</w:t>
            </w:r>
            <w:r w:rsidR="008E2D05" w:rsidRPr="00A33930">
              <w:rPr>
                <w:noProof/>
                <w:webHidden/>
                <w:lang w:val="nl-NL"/>
              </w:rPr>
              <w:tab/>
            </w:r>
            <w:r w:rsidR="008E2D05" w:rsidRPr="00A33930">
              <w:rPr>
                <w:noProof/>
                <w:webHidden/>
                <w:lang w:val="nl-NL"/>
              </w:rPr>
              <w:fldChar w:fldCharType="begin"/>
            </w:r>
            <w:r w:rsidR="008E2D05" w:rsidRPr="00A33930">
              <w:rPr>
                <w:noProof/>
                <w:webHidden/>
                <w:lang w:val="nl-NL"/>
              </w:rPr>
              <w:instrText xml:space="preserve"> PAGEREF _Toc134621175 \h </w:instrText>
            </w:r>
            <w:r w:rsidR="008E2D05" w:rsidRPr="00A33930">
              <w:rPr>
                <w:noProof/>
                <w:webHidden/>
                <w:lang w:val="nl-NL"/>
              </w:rPr>
            </w:r>
            <w:r w:rsidR="008E2D05" w:rsidRPr="00A33930">
              <w:rPr>
                <w:noProof/>
                <w:webHidden/>
                <w:lang w:val="nl-NL"/>
              </w:rPr>
              <w:fldChar w:fldCharType="separate"/>
            </w:r>
            <w:r w:rsidR="003278B1">
              <w:rPr>
                <w:noProof/>
                <w:webHidden/>
                <w:lang w:val="nl-NL"/>
              </w:rPr>
              <w:t>17</w:t>
            </w:r>
            <w:r w:rsidR="008E2D05" w:rsidRPr="00A33930">
              <w:rPr>
                <w:noProof/>
                <w:webHidden/>
                <w:lang w:val="nl-NL"/>
              </w:rPr>
              <w:fldChar w:fldCharType="end"/>
            </w:r>
          </w:hyperlink>
        </w:p>
        <w:p w14:paraId="650FDCE0" w14:textId="42DE50CA" w:rsidR="008E2D05" w:rsidRPr="00A33930" w:rsidRDefault="00000000">
          <w:pPr>
            <w:pStyle w:val="Inhopg2"/>
            <w:tabs>
              <w:tab w:val="left" w:pos="1633"/>
              <w:tab w:val="right" w:leader="dot" w:pos="9062"/>
            </w:tabs>
            <w:rPr>
              <w:rFonts w:eastAsiaTheme="minorEastAsia" w:cstheme="minorBidi"/>
              <w:smallCaps w:val="0"/>
              <w:noProof/>
              <w:kern w:val="2"/>
              <w:sz w:val="24"/>
              <w:szCs w:val="24"/>
              <w:lang w:val="nl-NL"/>
              <w14:ligatures w14:val="standardContextual"/>
            </w:rPr>
          </w:pPr>
          <w:hyperlink w:anchor="_Toc134621176" w:history="1">
            <w:r w:rsidR="008E2D05" w:rsidRPr="00A33930">
              <w:rPr>
                <w:rStyle w:val="Hyperlink"/>
                <w:rFonts w:eastAsiaTheme="majorEastAsia"/>
                <w:noProof/>
                <w:color w:val="auto"/>
                <w:lang w:val="nl-NL"/>
              </w:rPr>
              <w:t>HOOFDSTUK II.</w:t>
            </w:r>
            <w:r w:rsidR="008E2D05" w:rsidRPr="00A33930">
              <w:rPr>
                <w:rFonts w:eastAsiaTheme="minorEastAsia" w:cstheme="minorBidi"/>
                <w:smallCaps w:val="0"/>
                <w:noProof/>
                <w:kern w:val="2"/>
                <w:sz w:val="24"/>
                <w:szCs w:val="24"/>
                <w:lang w:val="nl-NL"/>
                <w14:ligatures w14:val="standardContextual"/>
              </w:rPr>
              <w:tab/>
            </w:r>
            <w:r w:rsidR="008E2D05" w:rsidRPr="00A33930">
              <w:rPr>
                <w:rStyle w:val="Hyperlink"/>
                <w:rFonts w:eastAsiaTheme="majorEastAsia"/>
                <w:noProof/>
                <w:color w:val="auto"/>
                <w:lang w:val="nl-NL"/>
              </w:rPr>
              <w:t>EUROPEES VERDRAG VOOR DE RECHTEN VAN DE MENS</w:t>
            </w:r>
            <w:r w:rsidR="008E2D05" w:rsidRPr="00A33930">
              <w:rPr>
                <w:noProof/>
                <w:webHidden/>
                <w:lang w:val="nl-NL"/>
              </w:rPr>
              <w:tab/>
            </w:r>
            <w:r w:rsidR="008E2D05" w:rsidRPr="00A33930">
              <w:rPr>
                <w:noProof/>
                <w:webHidden/>
                <w:lang w:val="nl-NL"/>
              </w:rPr>
              <w:fldChar w:fldCharType="begin"/>
            </w:r>
            <w:r w:rsidR="008E2D05" w:rsidRPr="00A33930">
              <w:rPr>
                <w:noProof/>
                <w:webHidden/>
                <w:lang w:val="nl-NL"/>
              </w:rPr>
              <w:instrText xml:space="preserve"> PAGEREF _Toc134621176 \h </w:instrText>
            </w:r>
            <w:r w:rsidR="008E2D05" w:rsidRPr="00A33930">
              <w:rPr>
                <w:noProof/>
                <w:webHidden/>
                <w:lang w:val="nl-NL"/>
              </w:rPr>
            </w:r>
            <w:r w:rsidR="008E2D05" w:rsidRPr="00A33930">
              <w:rPr>
                <w:noProof/>
                <w:webHidden/>
                <w:lang w:val="nl-NL"/>
              </w:rPr>
              <w:fldChar w:fldCharType="separate"/>
            </w:r>
            <w:r w:rsidR="003278B1">
              <w:rPr>
                <w:noProof/>
                <w:webHidden/>
                <w:lang w:val="nl-NL"/>
              </w:rPr>
              <w:t>25</w:t>
            </w:r>
            <w:r w:rsidR="008E2D05" w:rsidRPr="00A33930">
              <w:rPr>
                <w:noProof/>
                <w:webHidden/>
                <w:lang w:val="nl-NL"/>
              </w:rPr>
              <w:fldChar w:fldCharType="end"/>
            </w:r>
          </w:hyperlink>
        </w:p>
        <w:p w14:paraId="2C996946" w14:textId="3177F512" w:rsidR="008E2D05" w:rsidRPr="00A33930" w:rsidRDefault="00000000">
          <w:pPr>
            <w:pStyle w:val="Inhopg3"/>
            <w:tabs>
              <w:tab w:val="left" w:pos="1440"/>
              <w:tab w:val="right" w:leader="dot" w:pos="9062"/>
            </w:tabs>
            <w:rPr>
              <w:rFonts w:eastAsiaTheme="minorEastAsia" w:cstheme="minorBidi"/>
              <w:i w:val="0"/>
              <w:iCs w:val="0"/>
              <w:noProof/>
              <w:kern w:val="2"/>
              <w:sz w:val="24"/>
              <w:szCs w:val="24"/>
              <w:lang w:val="nl-NL"/>
              <w14:ligatures w14:val="standardContextual"/>
            </w:rPr>
          </w:pPr>
          <w:hyperlink w:anchor="_Toc134621177" w:history="1">
            <w:r w:rsidR="008E2D05" w:rsidRPr="00A33930">
              <w:rPr>
                <w:rStyle w:val="Hyperlink"/>
                <w:rFonts w:eastAsiaTheme="majorEastAsia"/>
                <w:noProof/>
                <w:color w:val="auto"/>
                <w:lang w:val="nl-NL"/>
              </w:rPr>
              <w:t>Afdeling I.</w:t>
            </w:r>
            <w:r w:rsidR="008E2D05" w:rsidRPr="00A33930">
              <w:rPr>
                <w:rFonts w:eastAsiaTheme="minorEastAsia" w:cstheme="minorBidi"/>
                <w:i w:val="0"/>
                <w:iCs w:val="0"/>
                <w:noProof/>
                <w:kern w:val="2"/>
                <w:sz w:val="24"/>
                <w:szCs w:val="24"/>
                <w:lang w:val="nl-NL"/>
                <w14:ligatures w14:val="standardContextual"/>
              </w:rPr>
              <w:tab/>
            </w:r>
            <w:r w:rsidR="008E2D05" w:rsidRPr="00A33930">
              <w:rPr>
                <w:rStyle w:val="Hyperlink"/>
                <w:rFonts w:eastAsiaTheme="majorEastAsia"/>
                <w:noProof/>
                <w:color w:val="auto"/>
                <w:lang w:val="nl-NL"/>
              </w:rPr>
              <w:t xml:space="preserve"> Inleidende beschouwingen</w:t>
            </w:r>
            <w:r w:rsidR="008E2D05" w:rsidRPr="00A33930">
              <w:rPr>
                <w:noProof/>
                <w:webHidden/>
                <w:lang w:val="nl-NL"/>
              </w:rPr>
              <w:tab/>
            </w:r>
            <w:r w:rsidR="008E2D05" w:rsidRPr="00A33930">
              <w:rPr>
                <w:noProof/>
                <w:webHidden/>
                <w:lang w:val="nl-NL"/>
              </w:rPr>
              <w:fldChar w:fldCharType="begin"/>
            </w:r>
            <w:r w:rsidR="008E2D05" w:rsidRPr="00A33930">
              <w:rPr>
                <w:noProof/>
                <w:webHidden/>
                <w:lang w:val="nl-NL"/>
              </w:rPr>
              <w:instrText xml:space="preserve"> PAGEREF _Toc134621177 \h </w:instrText>
            </w:r>
            <w:r w:rsidR="008E2D05" w:rsidRPr="00A33930">
              <w:rPr>
                <w:noProof/>
                <w:webHidden/>
                <w:lang w:val="nl-NL"/>
              </w:rPr>
            </w:r>
            <w:r w:rsidR="008E2D05" w:rsidRPr="00A33930">
              <w:rPr>
                <w:noProof/>
                <w:webHidden/>
                <w:lang w:val="nl-NL"/>
              </w:rPr>
              <w:fldChar w:fldCharType="separate"/>
            </w:r>
            <w:r w:rsidR="003278B1">
              <w:rPr>
                <w:noProof/>
                <w:webHidden/>
                <w:lang w:val="nl-NL"/>
              </w:rPr>
              <w:t>25</w:t>
            </w:r>
            <w:r w:rsidR="008E2D05" w:rsidRPr="00A33930">
              <w:rPr>
                <w:noProof/>
                <w:webHidden/>
                <w:lang w:val="nl-NL"/>
              </w:rPr>
              <w:fldChar w:fldCharType="end"/>
            </w:r>
          </w:hyperlink>
        </w:p>
        <w:p w14:paraId="14686B7D" w14:textId="6EF5E6CA" w:rsidR="008E2D05" w:rsidRPr="00A33930" w:rsidRDefault="00000000">
          <w:pPr>
            <w:pStyle w:val="Inhopg3"/>
            <w:tabs>
              <w:tab w:val="left" w:pos="1469"/>
              <w:tab w:val="right" w:leader="dot" w:pos="9062"/>
            </w:tabs>
            <w:rPr>
              <w:rFonts w:eastAsiaTheme="minorEastAsia" w:cstheme="minorBidi"/>
              <w:i w:val="0"/>
              <w:iCs w:val="0"/>
              <w:noProof/>
              <w:kern w:val="2"/>
              <w:sz w:val="24"/>
              <w:szCs w:val="24"/>
              <w:lang w:val="nl-NL"/>
              <w14:ligatures w14:val="standardContextual"/>
            </w:rPr>
          </w:pPr>
          <w:hyperlink w:anchor="_Toc134621178" w:history="1">
            <w:r w:rsidR="008E2D05" w:rsidRPr="00A33930">
              <w:rPr>
                <w:rStyle w:val="Hyperlink"/>
                <w:rFonts w:eastAsiaTheme="majorEastAsia"/>
                <w:noProof/>
                <w:color w:val="auto"/>
                <w:lang w:val="nl-NL"/>
              </w:rPr>
              <w:t>Afdeling II.</w:t>
            </w:r>
            <w:r w:rsidR="008E2D05" w:rsidRPr="00A33930">
              <w:rPr>
                <w:rFonts w:eastAsiaTheme="minorEastAsia" w:cstheme="minorBidi"/>
                <w:i w:val="0"/>
                <w:iCs w:val="0"/>
                <w:noProof/>
                <w:kern w:val="2"/>
                <w:sz w:val="24"/>
                <w:szCs w:val="24"/>
                <w:lang w:val="nl-NL"/>
                <w14:ligatures w14:val="standardContextual"/>
              </w:rPr>
              <w:tab/>
            </w:r>
            <w:r w:rsidR="008E2D05" w:rsidRPr="00A33930">
              <w:rPr>
                <w:rStyle w:val="Hyperlink"/>
                <w:rFonts w:eastAsiaTheme="majorEastAsia"/>
                <w:noProof/>
                <w:color w:val="auto"/>
                <w:lang w:val="nl-NL"/>
              </w:rPr>
              <w:t xml:space="preserve"> Juridische doorwerking</w:t>
            </w:r>
            <w:r w:rsidR="008E2D05" w:rsidRPr="00A33930">
              <w:rPr>
                <w:noProof/>
                <w:webHidden/>
                <w:lang w:val="nl-NL"/>
              </w:rPr>
              <w:tab/>
            </w:r>
            <w:r w:rsidR="008E2D05" w:rsidRPr="00A33930">
              <w:rPr>
                <w:noProof/>
                <w:webHidden/>
                <w:lang w:val="nl-NL"/>
              </w:rPr>
              <w:fldChar w:fldCharType="begin"/>
            </w:r>
            <w:r w:rsidR="008E2D05" w:rsidRPr="00A33930">
              <w:rPr>
                <w:noProof/>
                <w:webHidden/>
                <w:lang w:val="nl-NL"/>
              </w:rPr>
              <w:instrText xml:space="preserve"> PAGEREF _Toc134621178 \h </w:instrText>
            </w:r>
            <w:r w:rsidR="008E2D05" w:rsidRPr="00A33930">
              <w:rPr>
                <w:noProof/>
                <w:webHidden/>
                <w:lang w:val="nl-NL"/>
              </w:rPr>
            </w:r>
            <w:r w:rsidR="008E2D05" w:rsidRPr="00A33930">
              <w:rPr>
                <w:noProof/>
                <w:webHidden/>
                <w:lang w:val="nl-NL"/>
              </w:rPr>
              <w:fldChar w:fldCharType="separate"/>
            </w:r>
            <w:r w:rsidR="003278B1">
              <w:rPr>
                <w:noProof/>
                <w:webHidden/>
                <w:lang w:val="nl-NL"/>
              </w:rPr>
              <w:t>26</w:t>
            </w:r>
            <w:r w:rsidR="008E2D05" w:rsidRPr="00A33930">
              <w:rPr>
                <w:noProof/>
                <w:webHidden/>
                <w:lang w:val="nl-NL"/>
              </w:rPr>
              <w:fldChar w:fldCharType="end"/>
            </w:r>
          </w:hyperlink>
        </w:p>
        <w:p w14:paraId="04F051B6" w14:textId="281608F8" w:rsidR="008E2D05" w:rsidRPr="00A33930" w:rsidRDefault="00000000">
          <w:pPr>
            <w:pStyle w:val="Inhopg3"/>
            <w:tabs>
              <w:tab w:val="left" w:pos="1519"/>
              <w:tab w:val="right" w:leader="dot" w:pos="9062"/>
            </w:tabs>
            <w:rPr>
              <w:rFonts w:eastAsiaTheme="minorEastAsia" w:cstheme="minorBidi"/>
              <w:i w:val="0"/>
              <w:iCs w:val="0"/>
              <w:noProof/>
              <w:kern w:val="2"/>
              <w:sz w:val="24"/>
              <w:szCs w:val="24"/>
              <w:lang w:val="nl-NL"/>
              <w14:ligatures w14:val="standardContextual"/>
            </w:rPr>
          </w:pPr>
          <w:hyperlink w:anchor="_Toc134621179" w:history="1">
            <w:r w:rsidR="008E2D05" w:rsidRPr="00A33930">
              <w:rPr>
                <w:rStyle w:val="Hyperlink"/>
                <w:rFonts w:eastAsiaTheme="majorEastAsia"/>
                <w:noProof/>
                <w:color w:val="auto"/>
                <w:lang w:val="nl-NL"/>
              </w:rPr>
              <w:t>Afdeling III.</w:t>
            </w:r>
            <w:r w:rsidR="008E2D05" w:rsidRPr="00A33930">
              <w:rPr>
                <w:rFonts w:eastAsiaTheme="minorEastAsia" w:cstheme="minorBidi"/>
                <w:i w:val="0"/>
                <w:iCs w:val="0"/>
                <w:noProof/>
                <w:kern w:val="2"/>
                <w:sz w:val="24"/>
                <w:szCs w:val="24"/>
                <w:lang w:val="nl-NL"/>
                <w14:ligatures w14:val="standardContextual"/>
              </w:rPr>
              <w:tab/>
            </w:r>
            <w:r w:rsidR="008E2D05" w:rsidRPr="00A33930">
              <w:rPr>
                <w:rStyle w:val="Hyperlink"/>
                <w:rFonts w:eastAsiaTheme="majorEastAsia"/>
                <w:noProof/>
                <w:color w:val="auto"/>
                <w:lang w:val="nl-NL"/>
              </w:rPr>
              <w:t xml:space="preserve"> Leidende beginselen</w:t>
            </w:r>
            <w:r w:rsidR="008E2D05" w:rsidRPr="00A33930">
              <w:rPr>
                <w:noProof/>
                <w:webHidden/>
                <w:lang w:val="nl-NL"/>
              </w:rPr>
              <w:tab/>
            </w:r>
            <w:r w:rsidR="008E2D05" w:rsidRPr="00A33930">
              <w:rPr>
                <w:noProof/>
                <w:webHidden/>
                <w:lang w:val="nl-NL"/>
              </w:rPr>
              <w:fldChar w:fldCharType="begin"/>
            </w:r>
            <w:r w:rsidR="008E2D05" w:rsidRPr="00A33930">
              <w:rPr>
                <w:noProof/>
                <w:webHidden/>
                <w:lang w:val="nl-NL"/>
              </w:rPr>
              <w:instrText xml:space="preserve"> PAGEREF _Toc134621179 \h </w:instrText>
            </w:r>
            <w:r w:rsidR="008E2D05" w:rsidRPr="00A33930">
              <w:rPr>
                <w:noProof/>
                <w:webHidden/>
                <w:lang w:val="nl-NL"/>
              </w:rPr>
            </w:r>
            <w:r w:rsidR="008E2D05" w:rsidRPr="00A33930">
              <w:rPr>
                <w:noProof/>
                <w:webHidden/>
                <w:lang w:val="nl-NL"/>
              </w:rPr>
              <w:fldChar w:fldCharType="separate"/>
            </w:r>
            <w:r w:rsidR="003278B1">
              <w:rPr>
                <w:noProof/>
                <w:webHidden/>
                <w:lang w:val="nl-NL"/>
              </w:rPr>
              <w:t>29</w:t>
            </w:r>
            <w:r w:rsidR="008E2D05" w:rsidRPr="00A33930">
              <w:rPr>
                <w:noProof/>
                <w:webHidden/>
                <w:lang w:val="nl-NL"/>
              </w:rPr>
              <w:fldChar w:fldCharType="end"/>
            </w:r>
          </w:hyperlink>
        </w:p>
        <w:p w14:paraId="127B688B" w14:textId="1981555C" w:rsidR="008E2D05" w:rsidRPr="00A33930" w:rsidRDefault="00000000">
          <w:pPr>
            <w:pStyle w:val="Inhopg1"/>
            <w:tabs>
              <w:tab w:val="right" w:leader="dot" w:pos="9062"/>
            </w:tabs>
            <w:rPr>
              <w:rFonts w:eastAsiaTheme="minorEastAsia" w:cstheme="minorBidi"/>
              <w:b w:val="0"/>
              <w:bCs w:val="0"/>
              <w:caps w:val="0"/>
              <w:noProof/>
              <w:kern w:val="2"/>
              <w:sz w:val="24"/>
              <w:szCs w:val="24"/>
              <w:lang w:val="nl-NL"/>
              <w14:ligatures w14:val="standardContextual"/>
            </w:rPr>
          </w:pPr>
          <w:hyperlink w:anchor="_Toc134621180" w:history="1">
            <w:r w:rsidR="008E2D05" w:rsidRPr="00A33930">
              <w:rPr>
                <w:rStyle w:val="Hyperlink"/>
                <w:rFonts w:eastAsiaTheme="majorEastAsia"/>
                <w:noProof/>
                <w:color w:val="auto"/>
                <w:lang w:val="nl-NL"/>
              </w:rPr>
              <w:t>TUSSENBESLUIT</w:t>
            </w:r>
            <w:r w:rsidR="008E2D05" w:rsidRPr="00A33930">
              <w:rPr>
                <w:noProof/>
                <w:webHidden/>
                <w:lang w:val="nl-NL"/>
              </w:rPr>
              <w:tab/>
            </w:r>
            <w:r w:rsidR="008E2D05" w:rsidRPr="00A33930">
              <w:rPr>
                <w:noProof/>
                <w:webHidden/>
                <w:lang w:val="nl-NL"/>
              </w:rPr>
              <w:fldChar w:fldCharType="begin"/>
            </w:r>
            <w:r w:rsidR="008E2D05" w:rsidRPr="00A33930">
              <w:rPr>
                <w:noProof/>
                <w:webHidden/>
                <w:lang w:val="nl-NL"/>
              </w:rPr>
              <w:instrText xml:space="preserve"> PAGEREF _Toc134621180 \h </w:instrText>
            </w:r>
            <w:r w:rsidR="008E2D05" w:rsidRPr="00A33930">
              <w:rPr>
                <w:noProof/>
                <w:webHidden/>
                <w:lang w:val="nl-NL"/>
              </w:rPr>
            </w:r>
            <w:r w:rsidR="008E2D05" w:rsidRPr="00A33930">
              <w:rPr>
                <w:noProof/>
                <w:webHidden/>
                <w:lang w:val="nl-NL"/>
              </w:rPr>
              <w:fldChar w:fldCharType="separate"/>
            </w:r>
            <w:r w:rsidR="003278B1">
              <w:rPr>
                <w:noProof/>
                <w:webHidden/>
                <w:lang w:val="nl-NL"/>
              </w:rPr>
              <w:t>35</w:t>
            </w:r>
            <w:r w:rsidR="008E2D05" w:rsidRPr="00A33930">
              <w:rPr>
                <w:noProof/>
                <w:webHidden/>
                <w:lang w:val="nl-NL"/>
              </w:rPr>
              <w:fldChar w:fldCharType="end"/>
            </w:r>
          </w:hyperlink>
        </w:p>
        <w:p w14:paraId="23666388" w14:textId="4FE4CDD4" w:rsidR="008E2D05" w:rsidRPr="00A33930" w:rsidRDefault="00000000">
          <w:pPr>
            <w:pStyle w:val="Inhopg1"/>
            <w:tabs>
              <w:tab w:val="left" w:pos="900"/>
              <w:tab w:val="right" w:leader="dot" w:pos="9062"/>
            </w:tabs>
            <w:rPr>
              <w:rFonts w:eastAsiaTheme="minorEastAsia" w:cstheme="minorBidi"/>
              <w:b w:val="0"/>
              <w:bCs w:val="0"/>
              <w:caps w:val="0"/>
              <w:noProof/>
              <w:kern w:val="2"/>
              <w:sz w:val="24"/>
              <w:szCs w:val="24"/>
              <w:lang w:val="nl-NL"/>
              <w14:ligatures w14:val="standardContextual"/>
            </w:rPr>
          </w:pPr>
          <w:hyperlink w:anchor="_Toc134621181" w:history="1">
            <w:r w:rsidR="008E2D05" w:rsidRPr="00A33930">
              <w:rPr>
                <w:rStyle w:val="Hyperlink"/>
                <w:rFonts w:eastAsiaTheme="majorEastAsia"/>
                <w:noProof/>
                <w:color w:val="auto"/>
                <w:lang w:val="nl-NL"/>
              </w:rPr>
              <w:t>DEEL II.</w:t>
            </w:r>
            <w:r w:rsidR="008E2D05" w:rsidRPr="00A33930">
              <w:rPr>
                <w:rFonts w:eastAsiaTheme="minorEastAsia" w:cstheme="minorBidi"/>
                <w:b w:val="0"/>
                <w:bCs w:val="0"/>
                <w:caps w:val="0"/>
                <w:noProof/>
                <w:kern w:val="2"/>
                <w:sz w:val="24"/>
                <w:szCs w:val="24"/>
                <w:lang w:val="nl-NL"/>
                <w14:ligatures w14:val="standardContextual"/>
              </w:rPr>
              <w:tab/>
            </w:r>
            <w:r w:rsidR="008E2D05" w:rsidRPr="00A33930">
              <w:rPr>
                <w:rStyle w:val="Hyperlink"/>
                <w:rFonts w:eastAsiaTheme="majorEastAsia"/>
                <w:noProof/>
                <w:color w:val="auto"/>
                <w:lang w:val="nl-NL"/>
              </w:rPr>
              <w:t>HET RECHT OP PERSOONLIJK CONTACT VAN HET KIND IN BELGIË – DE LEGE LATA</w:t>
            </w:r>
            <w:r w:rsidR="008E2D05" w:rsidRPr="00A33930">
              <w:rPr>
                <w:noProof/>
                <w:webHidden/>
                <w:lang w:val="nl-NL"/>
              </w:rPr>
              <w:tab/>
            </w:r>
            <w:r w:rsidR="008E2D05" w:rsidRPr="00A33930">
              <w:rPr>
                <w:noProof/>
                <w:webHidden/>
                <w:lang w:val="nl-NL"/>
              </w:rPr>
              <w:fldChar w:fldCharType="begin"/>
            </w:r>
            <w:r w:rsidR="008E2D05" w:rsidRPr="00A33930">
              <w:rPr>
                <w:noProof/>
                <w:webHidden/>
                <w:lang w:val="nl-NL"/>
              </w:rPr>
              <w:instrText xml:space="preserve"> PAGEREF _Toc134621181 \h </w:instrText>
            </w:r>
            <w:r w:rsidR="008E2D05" w:rsidRPr="00A33930">
              <w:rPr>
                <w:noProof/>
                <w:webHidden/>
                <w:lang w:val="nl-NL"/>
              </w:rPr>
            </w:r>
            <w:r w:rsidR="008E2D05" w:rsidRPr="00A33930">
              <w:rPr>
                <w:noProof/>
                <w:webHidden/>
                <w:lang w:val="nl-NL"/>
              </w:rPr>
              <w:fldChar w:fldCharType="separate"/>
            </w:r>
            <w:r w:rsidR="003278B1">
              <w:rPr>
                <w:noProof/>
                <w:webHidden/>
                <w:lang w:val="nl-NL"/>
              </w:rPr>
              <w:t>37</w:t>
            </w:r>
            <w:r w:rsidR="008E2D05" w:rsidRPr="00A33930">
              <w:rPr>
                <w:noProof/>
                <w:webHidden/>
                <w:lang w:val="nl-NL"/>
              </w:rPr>
              <w:fldChar w:fldCharType="end"/>
            </w:r>
          </w:hyperlink>
        </w:p>
        <w:p w14:paraId="2A051360" w14:textId="34C367FD" w:rsidR="008E2D05" w:rsidRPr="00A33930" w:rsidRDefault="00000000">
          <w:pPr>
            <w:pStyle w:val="Inhopg2"/>
            <w:tabs>
              <w:tab w:val="left" w:pos="1583"/>
              <w:tab w:val="right" w:leader="dot" w:pos="9062"/>
            </w:tabs>
            <w:rPr>
              <w:rFonts w:eastAsiaTheme="minorEastAsia" w:cstheme="minorBidi"/>
              <w:smallCaps w:val="0"/>
              <w:noProof/>
              <w:kern w:val="2"/>
              <w:sz w:val="24"/>
              <w:szCs w:val="24"/>
              <w:lang w:val="nl-NL"/>
              <w14:ligatures w14:val="standardContextual"/>
            </w:rPr>
          </w:pPr>
          <w:hyperlink w:anchor="_Toc134621182" w:history="1">
            <w:r w:rsidR="008E2D05" w:rsidRPr="00A33930">
              <w:rPr>
                <w:rStyle w:val="Hyperlink"/>
                <w:rFonts w:eastAsiaTheme="majorEastAsia"/>
                <w:noProof/>
                <w:color w:val="auto"/>
                <w:lang w:val="nl-NL"/>
              </w:rPr>
              <w:t>HOOFDSTUK I.</w:t>
            </w:r>
            <w:r w:rsidR="008E2D05" w:rsidRPr="00A33930">
              <w:rPr>
                <w:rFonts w:eastAsiaTheme="minorEastAsia" w:cstheme="minorBidi"/>
                <w:smallCaps w:val="0"/>
                <w:noProof/>
                <w:kern w:val="2"/>
                <w:sz w:val="24"/>
                <w:szCs w:val="24"/>
                <w:lang w:val="nl-NL"/>
                <w14:ligatures w14:val="standardContextual"/>
              </w:rPr>
              <w:tab/>
            </w:r>
            <w:r w:rsidR="008E2D05" w:rsidRPr="00A33930">
              <w:rPr>
                <w:rStyle w:val="Hyperlink"/>
                <w:rFonts w:eastAsiaTheme="majorEastAsia"/>
                <w:noProof/>
                <w:color w:val="auto"/>
                <w:lang w:val="nl-NL"/>
              </w:rPr>
              <w:t>POSITIE KIND IN HET BELGISCH FAMILIERECHT</w:t>
            </w:r>
            <w:r w:rsidR="008E2D05" w:rsidRPr="00A33930">
              <w:rPr>
                <w:noProof/>
                <w:webHidden/>
                <w:lang w:val="nl-NL"/>
              </w:rPr>
              <w:tab/>
            </w:r>
            <w:r w:rsidR="008E2D05" w:rsidRPr="00A33930">
              <w:rPr>
                <w:noProof/>
                <w:webHidden/>
                <w:lang w:val="nl-NL"/>
              </w:rPr>
              <w:fldChar w:fldCharType="begin"/>
            </w:r>
            <w:r w:rsidR="008E2D05" w:rsidRPr="00A33930">
              <w:rPr>
                <w:noProof/>
                <w:webHidden/>
                <w:lang w:val="nl-NL"/>
              </w:rPr>
              <w:instrText xml:space="preserve"> PAGEREF _Toc134621182 \h </w:instrText>
            </w:r>
            <w:r w:rsidR="008E2D05" w:rsidRPr="00A33930">
              <w:rPr>
                <w:noProof/>
                <w:webHidden/>
                <w:lang w:val="nl-NL"/>
              </w:rPr>
            </w:r>
            <w:r w:rsidR="008E2D05" w:rsidRPr="00A33930">
              <w:rPr>
                <w:noProof/>
                <w:webHidden/>
                <w:lang w:val="nl-NL"/>
              </w:rPr>
              <w:fldChar w:fldCharType="separate"/>
            </w:r>
            <w:r w:rsidR="003278B1">
              <w:rPr>
                <w:noProof/>
                <w:webHidden/>
                <w:lang w:val="nl-NL"/>
              </w:rPr>
              <w:t>37</w:t>
            </w:r>
            <w:r w:rsidR="008E2D05" w:rsidRPr="00A33930">
              <w:rPr>
                <w:noProof/>
                <w:webHidden/>
                <w:lang w:val="nl-NL"/>
              </w:rPr>
              <w:fldChar w:fldCharType="end"/>
            </w:r>
          </w:hyperlink>
        </w:p>
        <w:p w14:paraId="1FC521D8" w14:textId="0C34ADC2" w:rsidR="008E2D05" w:rsidRPr="00A33930" w:rsidRDefault="00000000">
          <w:pPr>
            <w:pStyle w:val="Inhopg3"/>
            <w:tabs>
              <w:tab w:val="left" w:pos="1440"/>
              <w:tab w:val="right" w:leader="dot" w:pos="9062"/>
            </w:tabs>
            <w:rPr>
              <w:rFonts w:eastAsiaTheme="minorEastAsia" w:cstheme="minorBidi"/>
              <w:i w:val="0"/>
              <w:iCs w:val="0"/>
              <w:noProof/>
              <w:kern w:val="2"/>
              <w:sz w:val="24"/>
              <w:szCs w:val="24"/>
              <w:lang w:val="nl-NL"/>
              <w14:ligatures w14:val="standardContextual"/>
            </w:rPr>
          </w:pPr>
          <w:hyperlink w:anchor="_Toc134621183" w:history="1">
            <w:r w:rsidR="008E2D05" w:rsidRPr="00A33930">
              <w:rPr>
                <w:rStyle w:val="Hyperlink"/>
                <w:rFonts w:eastAsiaTheme="majorEastAsia"/>
                <w:noProof/>
                <w:color w:val="auto"/>
                <w:lang w:val="nl-NL"/>
              </w:rPr>
              <w:t>Afdeling I.</w:t>
            </w:r>
            <w:r w:rsidR="008E2D05" w:rsidRPr="00A33930">
              <w:rPr>
                <w:rFonts w:eastAsiaTheme="minorEastAsia" w:cstheme="minorBidi"/>
                <w:i w:val="0"/>
                <w:iCs w:val="0"/>
                <w:noProof/>
                <w:kern w:val="2"/>
                <w:sz w:val="24"/>
                <w:szCs w:val="24"/>
                <w:lang w:val="nl-NL"/>
                <w14:ligatures w14:val="standardContextual"/>
              </w:rPr>
              <w:tab/>
            </w:r>
            <w:r w:rsidR="008E2D05" w:rsidRPr="00A33930">
              <w:rPr>
                <w:rStyle w:val="Hyperlink"/>
                <w:rFonts w:eastAsiaTheme="majorEastAsia"/>
                <w:noProof/>
                <w:color w:val="auto"/>
                <w:lang w:val="nl-NL"/>
              </w:rPr>
              <w:t xml:space="preserve"> Inleidende beschouwingen</w:t>
            </w:r>
            <w:r w:rsidR="008E2D05" w:rsidRPr="00A33930">
              <w:rPr>
                <w:noProof/>
                <w:webHidden/>
                <w:lang w:val="nl-NL"/>
              </w:rPr>
              <w:tab/>
            </w:r>
            <w:r w:rsidR="008E2D05" w:rsidRPr="00A33930">
              <w:rPr>
                <w:noProof/>
                <w:webHidden/>
                <w:lang w:val="nl-NL"/>
              </w:rPr>
              <w:fldChar w:fldCharType="begin"/>
            </w:r>
            <w:r w:rsidR="008E2D05" w:rsidRPr="00A33930">
              <w:rPr>
                <w:noProof/>
                <w:webHidden/>
                <w:lang w:val="nl-NL"/>
              </w:rPr>
              <w:instrText xml:space="preserve"> PAGEREF _Toc134621183 \h </w:instrText>
            </w:r>
            <w:r w:rsidR="008E2D05" w:rsidRPr="00A33930">
              <w:rPr>
                <w:noProof/>
                <w:webHidden/>
                <w:lang w:val="nl-NL"/>
              </w:rPr>
            </w:r>
            <w:r w:rsidR="008E2D05" w:rsidRPr="00A33930">
              <w:rPr>
                <w:noProof/>
                <w:webHidden/>
                <w:lang w:val="nl-NL"/>
              </w:rPr>
              <w:fldChar w:fldCharType="separate"/>
            </w:r>
            <w:r w:rsidR="003278B1">
              <w:rPr>
                <w:noProof/>
                <w:webHidden/>
                <w:lang w:val="nl-NL"/>
              </w:rPr>
              <w:t>37</w:t>
            </w:r>
            <w:r w:rsidR="008E2D05" w:rsidRPr="00A33930">
              <w:rPr>
                <w:noProof/>
                <w:webHidden/>
                <w:lang w:val="nl-NL"/>
              </w:rPr>
              <w:fldChar w:fldCharType="end"/>
            </w:r>
          </w:hyperlink>
        </w:p>
        <w:p w14:paraId="68B01862" w14:textId="37CAD2A9" w:rsidR="008E2D05" w:rsidRPr="00A33930" w:rsidRDefault="00000000">
          <w:pPr>
            <w:pStyle w:val="Inhopg3"/>
            <w:tabs>
              <w:tab w:val="left" w:pos="1469"/>
              <w:tab w:val="right" w:leader="dot" w:pos="9062"/>
            </w:tabs>
            <w:rPr>
              <w:rFonts w:eastAsiaTheme="minorEastAsia" w:cstheme="minorBidi"/>
              <w:i w:val="0"/>
              <w:iCs w:val="0"/>
              <w:noProof/>
              <w:kern w:val="2"/>
              <w:sz w:val="24"/>
              <w:szCs w:val="24"/>
              <w:lang w:val="nl-NL"/>
              <w14:ligatures w14:val="standardContextual"/>
            </w:rPr>
          </w:pPr>
          <w:hyperlink w:anchor="_Toc134621184" w:history="1">
            <w:r w:rsidR="008E2D05" w:rsidRPr="00A33930">
              <w:rPr>
                <w:rStyle w:val="Hyperlink"/>
                <w:rFonts w:eastAsiaTheme="majorEastAsia"/>
                <w:noProof/>
                <w:color w:val="auto"/>
                <w:lang w:val="nl-NL"/>
              </w:rPr>
              <w:t>Afdeling II.</w:t>
            </w:r>
            <w:r w:rsidR="008E2D05" w:rsidRPr="00A33930">
              <w:rPr>
                <w:rFonts w:eastAsiaTheme="minorEastAsia" w:cstheme="minorBidi"/>
                <w:i w:val="0"/>
                <w:iCs w:val="0"/>
                <w:noProof/>
                <w:kern w:val="2"/>
                <w:sz w:val="24"/>
                <w:szCs w:val="24"/>
                <w:lang w:val="nl-NL"/>
                <w14:ligatures w14:val="standardContextual"/>
              </w:rPr>
              <w:tab/>
            </w:r>
            <w:r w:rsidR="008E2D05" w:rsidRPr="00A33930">
              <w:rPr>
                <w:rStyle w:val="Hyperlink"/>
                <w:rFonts w:eastAsiaTheme="majorEastAsia"/>
                <w:noProof/>
                <w:color w:val="auto"/>
                <w:lang w:val="nl-NL"/>
              </w:rPr>
              <w:t xml:space="preserve"> Kindperspectief: kind als rechtsobject</w:t>
            </w:r>
            <w:r w:rsidR="008E2D05" w:rsidRPr="00A33930">
              <w:rPr>
                <w:noProof/>
                <w:webHidden/>
                <w:lang w:val="nl-NL"/>
              </w:rPr>
              <w:tab/>
            </w:r>
            <w:r w:rsidR="008E2D05" w:rsidRPr="00A33930">
              <w:rPr>
                <w:noProof/>
                <w:webHidden/>
                <w:lang w:val="nl-NL"/>
              </w:rPr>
              <w:fldChar w:fldCharType="begin"/>
            </w:r>
            <w:r w:rsidR="008E2D05" w:rsidRPr="00A33930">
              <w:rPr>
                <w:noProof/>
                <w:webHidden/>
                <w:lang w:val="nl-NL"/>
              </w:rPr>
              <w:instrText xml:space="preserve"> PAGEREF _Toc134621184 \h </w:instrText>
            </w:r>
            <w:r w:rsidR="008E2D05" w:rsidRPr="00A33930">
              <w:rPr>
                <w:noProof/>
                <w:webHidden/>
                <w:lang w:val="nl-NL"/>
              </w:rPr>
            </w:r>
            <w:r w:rsidR="008E2D05" w:rsidRPr="00A33930">
              <w:rPr>
                <w:noProof/>
                <w:webHidden/>
                <w:lang w:val="nl-NL"/>
              </w:rPr>
              <w:fldChar w:fldCharType="separate"/>
            </w:r>
            <w:r w:rsidR="003278B1">
              <w:rPr>
                <w:noProof/>
                <w:webHidden/>
                <w:lang w:val="nl-NL"/>
              </w:rPr>
              <w:t>39</w:t>
            </w:r>
            <w:r w:rsidR="008E2D05" w:rsidRPr="00A33930">
              <w:rPr>
                <w:noProof/>
                <w:webHidden/>
                <w:lang w:val="nl-NL"/>
              </w:rPr>
              <w:fldChar w:fldCharType="end"/>
            </w:r>
          </w:hyperlink>
        </w:p>
        <w:p w14:paraId="46A45B4A" w14:textId="5983E625" w:rsidR="008E2D05" w:rsidRPr="00A33930" w:rsidRDefault="00000000">
          <w:pPr>
            <w:pStyle w:val="Inhopg3"/>
            <w:tabs>
              <w:tab w:val="left" w:pos="1519"/>
              <w:tab w:val="right" w:leader="dot" w:pos="9062"/>
            </w:tabs>
            <w:rPr>
              <w:rFonts w:eastAsiaTheme="minorEastAsia" w:cstheme="minorBidi"/>
              <w:i w:val="0"/>
              <w:iCs w:val="0"/>
              <w:noProof/>
              <w:kern w:val="2"/>
              <w:sz w:val="24"/>
              <w:szCs w:val="24"/>
              <w:lang w:val="nl-NL"/>
              <w14:ligatures w14:val="standardContextual"/>
            </w:rPr>
          </w:pPr>
          <w:hyperlink w:anchor="_Toc134621185" w:history="1">
            <w:r w:rsidR="008E2D05" w:rsidRPr="00A33930">
              <w:rPr>
                <w:rStyle w:val="Hyperlink"/>
                <w:rFonts w:eastAsiaTheme="majorEastAsia"/>
                <w:noProof/>
                <w:color w:val="auto"/>
                <w:lang w:val="nl-NL"/>
              </w:rPr>
              <w:t>Afdeling III.</w:t>
            </w:r>
            <w:r w:rsidR="008E2D05" w:rsidRPr="00A33930">
              <w:rPr>
                <w:rFonts w:eastAsiaTheme="minorEastAsia" w:cstheme="minorBidi"/>
                <w:i w:val="0"/>
                <w:iCs w:val="0"/>
                <w:noProof/>
                <w:kern w:val="2"/>
                <w:sz w:val="24"/>
                <w:szCs w:val="24"/>
                <w:lang w:val="nl-NL"/>
                <w14:ligatures w14:val="standardContextual"/>
              </w:rPr>
              <w:tab/>
            </w:r>
            <w:r w:rsidR="008E2D05" w:rsidRPr="00A33930">
              <w:rPr>
                <w:rStyle w:val="Hyperlink"/>
                <w:rFonts w:eastAsiaTheme="majorEastAsia"/>
                <w:noProof/>
                <w:color w:val="auto"/>
                <w:lang w:val="nl-NL"/>
              </w:rPr>
              <w:t xml:space="preserve"> Invulling belang van het kind</w:t>
            </w:r>
            <w:r w:rsidR="008E2D05" w:rsidRPr="00A33930">
              <w:rPr>
                <w:noProof/>
                <w:webHidden/>
                <w:lang w:val="nl-NL"/>
              </w:rPr>
              <w:tab/>
            </w:r>
            <w:r w:rsidR="008E2D05" w:rsidRPr="00A33930">
              <w:rPr>
                <w:noProof/>
                <w:webHidden/>
                <w:lang w:val="nl-NL"/>
              </w:rPr>
              <w:fldChar w:fldCharType="begin"/>
            </w:r>
            <w:r w:rsidR="008E2D05" w:rsidRPr="00A33930">
              <w:rPr>
                <w:noProof/>
                <w:webHidden/>
                <w:lang w:val="nl-NL"/>
              </w:rPr>
              <w:instrText xml:space="preserve"> PAGEREF _Toc134621185 \h </w:instrText>
            </w:r>
            <w:r w:rsidR="008E2D05" w:rsidRPr="00A33930">
              <w:rPr>
                <w:noProof/>
                <w:webHidden/>
                <w:lang w:val="nl-NL"/>
              </w:rPr>
            </w:r>
            <w:r w:rsidR="008E2D05" w:rsidRPr="00A33930">
              <w:rPr>
                <w:noProof/>
                <w:webHidden/>
                <w:lang w:val="nl-NL"/>
              </w:rPr>
              <w:fldChar w:fldCharType="separate"/>
            </w:r>
            <w:r w:rsidR="003278B1">
              <w:rPr>
                <w:noProof/>
                <w:webHidden/>
                <w:lang w:val="nl-NL"/>
              </w:rPr>
              <w:t>44</w:t>
            </w:r>
            <w:r w:rsidR="008E2D05" w:rsidRPr="00A33930">
              <w:rPr>
                <w:noProof/>
                <w:webHidden/>
                <w:lang w:val="nl-NL"/>
              </w:rPr>
              <w:fldChar w:fldCharType="end"/>
            </w:r>
          </w:hyperlink>
        </w:p>
        <w:p w14:paraId="2A4F111B" w14:textId="6EFF6461" w:rsidR="008E2D05" w:rsidRPr="00A33930" w:rsidRDefault="00000000">
          <w:pPr>
            <w:pStyle w:val="Inhopg2"/>
            <w:tabs>
              <w:tab w:val="left" w:pos="1633"/>
              <w:tab w:val="right" w:leader="dot" w:pos="9062"/>
            </w:tabs>
            <w:rPr>
              <w:rFonts w:eastAsiaTheme="minorEastAsia" w:cstheme="minorBidi"/>
              <w:smallCaps w:val="0"/>
              <w:noProof/>
              <w:kern w:val="2"/>
              <w:sz w:val="24"/>
              <w:szCs w:val="24"/>
              <w:lang w:val="nl-NL"/>
              <w14:ligatures w14:val="standardContextual"/>
            </w:rPr>
          </w:pPr>
          <w:hyperlink w:anchor="_Toc134621186" w:history="1">
            <w:r w:rsidR="008E2D05" w:rsidRPr="00A33930">
              <w:rPr>
                <w:rStyle w:val="Hyperlink"/>
                <w:rFonts w:eastAsiaTheme="majorEastAsia"/>
                <w:noProof/>
                <w:color w:val="auto"/>
                <w:lang w:val="nl-NL"/>
              </w:rPr>
              <w:t>HOOFDSTUK II.</w:t>
            </w:r>
            <w:r w:rsidR="008E2D05" w:rsidRPr="00A33930">
              <w:rPr>
                <w:rFonts w:eastAsiaTheme="minorEastAsia" w:cstheme="minorBidi"/>
                <w:smallCaps w:val="0"/>
                <w:noProof/>
                <w:kern w:val="2"/>
                <w:sz w:val="24"/>
                <w:szCs w:val="24"/>
                <w:lang w:val="nl-NL"/>
                <w14:ligatures w14:val="standardContextual"/>
              </w:rPr>
              <w:tab/>
            </w:r>
            <w:r w:rsidR="008E2D05" w:rsidRPr="00A33930">
              <w:rPr>
                <w:rStyle w:val="Hyperlink"/>
                <w:rFonts w:eastAsiaTheme="majorEastAsia"/>
                <w:noProof/>
                <w:color w:val="auto"/>
                <w:lang w:val="nl-NL"/>
              </w:rPr>
              <w:t>CONTACTRECHTEN IN HET BELGISCH FAMILIERECHT</w:t>
            </w:r>
            <w:r w:rsidR="008E2D05" w:rsidRPr="00A33930">
              <w:rPr>
                <w:noProof/>
                <w:webHidden/>
                <w:lang w:val="nl-NL"/>
              </w:rPr>
              <w:tab/>
            </w:r>
            <w:r w:rsidR="008E2D05" w:rsidRPr="00A33930">
              <w:rPr>
                <w:noProof/>
                <w:webHidden/>
                <w:lang w:val="nl-NL"/>
              </w:rPr>
              <w:fldChar w:fldCharType="begin"/>
            </w:r>
            <w:r w:rsidR="008E2D05" w:rsidRPr="00A33930">
              <w:rPr>
                <w:noProof/>
                <w:webHidden/>
                <w:lang w:val="nl-NL"/>
              </w:rPr>
              <w:instrText xml:space="preserve"> PAGEREF _Toc134621186 \h </w:instrText>
            </w:r>
            <w:r w:rsidR="008E2D05" w:rsidRPr="00A33930">
              <w:rPr>
                <w:noProof/>
                <w:webHidden/>
                <w:lang w:val="nl-NL"/>
              </w:rPr>
            </w:r>
            <w:r w:rsidR="008E2D05" w:rsidRPr="00A33930">
              <w:rPr>
                <w:noProof/>
                <w:webHidden/>
                <w:lang w:val="nl-NL"/>
              </w:rPr>
              <w:fldChar w:fldCharType="separate"/>
            </w:r>
            <w:r w:rsidR="003278B1">
              <w:rPr>
                <w:noProof/>
                <w:webHidden/>
                <w:lang w:val="nl-NL"/>
              </w:rPr>
              <w:t>47</w:t>
            </w:r>
            <w:r w:rsidR="008E2D05" w:rsidRPr="00A33930">
              <w:rPr>
                <w:noProof/>
                <w:webHidden/>
                <w:lang w:val="nl-NL"/>
              </w:rPr>
              <w:fldChar w:fldCharType="end"/>
            </w:r>
          </w:hyperlink>
        </w:p>
        <w:p w14:paraId="36500FE0" w14:textId="55A679A6" w:rsidR="008E2D05" w:rsidRPr="00A33930" w:rsidRDefault="00000000">
          <w:pPr>
            <w:pStyle w:val="Inhopg3"/>
            <w:tabs>
              <w:tab w:val="left" w:pos="1440"/>
              <w:tab w:val="right" w:leader="dot" w:pos="9062"/>
            </w:tabs>
            <w:rPr>
              <w:rFonts w:eastAsiaTheme="minorEastAsia" w:cstheme="minorBidi"/>
              <w:i w:val="0"/>
              <w:iCs w:val="0"/>
              <w:noProof/>
              <w:kern w:val="2"/>
              <w:sz w:val="24"/>
              <w:szCs w:val="24"/>
              <w:lang w:val="nl-NL"/>
              <w14:ligatures w14:val="standardContextual"/>
            </w:rPr>
          </w:pPr>
          <w:hyperlink w:anchor="_Toc134621187" w:history="1">
            <w:r w:rsidR="008E2D05" w:rsidRPr="00A33930">
              <w:rPr>
                <w:rStyle w:val="Hyperlink"/>
                <w:rFonts w:eastAsiaTheme="majorEastAsia"/>
                <w:noProof/>
                <w:color w:val="auto"/>
                <w:lang w:val="nl-NL"/>
              </w:rPr>
              <w:t>Afdeling I.</w:t>
            </w:r>
            <w:r w:rsidR="008E2D05" w:rsidRPr="00A33930">
              <w:rPr>
                <w:rFonts w:eastAsiaTheme="minorEastAsia" w:cstheme="minorBidi"/>
                <w:i w:val="0"/>
                <w:iCs w:val="0"/>
                <w:noProof/>
                <w:kern w:val="2"/>
                <w:sz w:val="24"/>
                <w:szCs w:val="24"/>
                <w:lang w:val="nl-NL"/>
                <w14:ligatures w14:val="standardContextual"/>
              </w:rPr>
              <w:tab/>
            </w:r>
            <w:r w:rsidR="008E2D05" w:rsidRPr="00A33930">
              <w:rPr>
                <w:rStyle w:val="Hyperlink"/>
                <w:rFonts w:eastAsiaTheme="majorEastAsia"/>
                <w:noProof/>
                <w:color w:val="auto"/>
                <w:lang w:val="nl-NL"/>
              </w:rPr>
              <w:t xml:space="preserve"> In de wet</w:t>
            </w:r>
            <w:r w:rsidR="008E2D05" w:rsidRPr="00A33930">
              <w:rPr>
                <w:noProof/>
                <w:webHidden/>
                <w:lang w:val="nl-NL"/>
              </w:rPr>
              <w:tab/>
            </w:r>
            <w:r w:rsidR="008E2D05" w:rsidRPr="00A33930">
              <w:rPr>
                <w:noProof/>
                <w:webHidden/>
                <w:lang w:val="nl-NL"/>
              </w:rPr>
              <w:fldChar w:fldCharType="begin"/>
            </w:r>
            <w:r w:rsidR="008E2D05" w:rsidRPr="00A33930">
              <w:rPr>
                <w:noProof/>
                <w:webHidden/>
                <w:lang w:val="nl-NL"/>
              </w:rPr>
              <w:instrText xml:space="preserve"> PAGEREF _Toc134621187 \h </w:instrText>
            </w:r>
            <w:r w:rsidR="008E2D05" w:rsidRPr="00A33930">
              <w:rPr>
                <w:noProof/>
                <w:webHidden/>
                <w:lang w:val="nl-NL"/>
              </w:rPr>
            </w:r>
            <w:r w:rsidR="008E2D05" w:rsidRPr="00A33930">
              <w:rPr>
                <w:noProof/>
                <w:webHidden/>
                <w:lang w:val="nl-NL"/>
              </w:rPr>
              <w:fldChar w:fldCharType="separate"/>
            </w:r>
            <w:r w:rsidR="003278B1">
              <w:rPr>
                <w:noProof/>
                <w:webHidden/>
                <w:lang w:val="nl-NL"/>
              </w:rPr>
              <w:t>47</w:t>
            </w:r>
            <w:r w:rsidR="008E2D05" w:rsidRPr="00A33930">
              <w:rPr>
                <w:noProof/>
                <w:webHidden/>
                <w:lang w:val="nl-NL"/>
              </w:rPr>
              <w:fldChar w:fldCharType="end"/>
            </w:r>
          </w:hyperlink>
        </w:p>
        <w:p w14:paraId="387DE0C3" w14:textId="7EF155AC" w:rsidR="008E2D05" w:rsidRPr="00A33930" w:rsidRDefault="00000000">
          <w:pPr>
            <w:pStyle w:val="Inhopg3"/>
            <w:tabs>
              <w:tab w:val="left" w:pos="1469"/>
              <w:tab w:val="right" w:leader="dot" w:pos="9062"/>
            </w:tabs>
            <w:rPr>
              <w:rFonts w:eastAsiaTheme="minorEastAsia" w:cstheme="minorBidi"/>
              <w:i w:val="0"/>
              <w:iCs w:val="0"/>
              <w:noProof/>
              <w:kern w:val="2"/>
              <w:sz w:val="24"/>
              <w:szCs w:val="24"/>
              <w:lang w:val="nl-NL"/>
              <w14:ligatures w14:val="standardContextual"/>
            </w:rPr>
          </w:pPr>
          <w:hyperlink w:anchor="_Toc134621188" w:history="1">
            <w:r w:rsidR="008E2D05" w:rsidRPr="00A33930">
              <w:rPr>
                <w:rStyle w:val="Hyperlink"/>
                <w:rFonts w:eastAsiaTheme="majorEastAsia"/>
                <w:noProof/>
                <w:color w:val="auto"/>
                <w:lang w:val="nl-NL"/>
              </w:rPr>
              <w:t>Afdeling II.</w:t>
            </w:r>
            <w:r w:rsidR="008E2D05" w:rsidRPr="00A33930">
              <w:rPr>
                <w:rFonts w:eastAsiaTheme="minorEastAsia" w:cstheme="minorBidi"/>
                <w:i w:val="0"/>
                <w:iCs w:val="0"/>
                <w:noProof/>
                <w:kern w:val="2"/>
                <w:sz w:val="24"/>
                <w:szCs w:val="24"/>
                <w:lang w:val="nl-NL"/>
                <w14:ligatures w14:val="standardContextual"/>
              </w:rPr>
              <w:tab/>
            </w:r>
            <w:r w:rsidR="008E2D05" w:rsidRPr="00A33930">
              <w:rPr>
                <w:rStyle w:val="Hyperlink"/>
                <w:rFonts w:eastAsiaTheme="majorEastAsia"/>
                <w:noProof/>
                <w:color w:val="auto"/>
                <w:lang w:val="nl-NL"/>
              </w:rPr>
              <w:t xml:space="preserve"> In de praktijk</w:t>
            </w:r>
            <w:r w:rsidR="008E2D05" w:rsidRPr="00A33930">
              <w:rPr>
                <w:noProof/>
                <w:webHidden/>
                <w:lang w:val="nl-NL"/>
              </w:rPr>
              <w:tab/>
            </w:r>
            <w:r w:rsidR="008E2D05" w:rsidRPr="00A33930">
              <w:rPr>
                <w:noProof/>
                <w:webHidden/>
                <w:lang w:val="nl-NL"/>
              </w:rPr>
              <w:fldChar w:fldCharType="begin"/>
            </w:r>
            <w:r w:rsidR="008E2D05" w:rsidRPr="00A33930">
              <w:rPr>
                <w:noProof/>
                <w:webHidden/>
                <w:lang w:val="nl-NL"/>
              </w:rPr>
              <w:instrText xml:space="preserve"> PAGEREF _Toc134621188 \h </w:instrText>
            </w:r>
            <w:r w:rsidR="008E2D05" w:rsidRPr="00A33930">
              <w:rPr>
                <w:noProof/>
                <w:webHidden/>
                <w:lang w:val="nl-NL"/>
              </w:rPr>
            </w:r>
            <w:r w:rsidR="008E2D05" w:rsidRPr="00A33930">
              <w:rPr>
                <w:noProof/>
                <w:webHidden/>
                <w:lang w:val="nl-NL"/>
              </w:rPr>
              <w:fldChar w:fldCharType="separate"/>
            </w:r>
            <w:r w:rsidR="003278B1">
              <w:rPr>
                <w:noProof/>
                <w:webHidden/>
                <w:lang w:val="nl-NL"/>
              </w:rPr>
              <w:t>56</w:t>
            </w:r>
            <w:r w:rsidR="008E2D05" w:rsidRPr="00A33930">
              <w:rPr>
                <w:noProof/>
                <w:webHidden/>
                <w:lang w:val="nl-NL"/>
              </w:rPr>
              <w:fldChar w:fldCharType="end"/>
            </w:r>
          </w:hyperlink>
        </w:p>
        <w:p w14:paraId="50247141" w14:textId="799EF68C" w:rsidR="008E2D05" w:rsidRPr="00A33930" w:rsidRDefault="00000000">
          <w:pPr>
            <w:pStyle w:val="Inhopg3"/>
            <w:tabs>
              <w:tab w:val="left" w:pos="1519"/>
              <w:tab w:val="right" w:leader="dot" w:pos="9062"/>
            </w:tabs>
            <w:rPr>
              <w:rFonts w:eastAsiaTheme="minorEastAsia" w:cstheme="minorBidi"/>
              <w:i w:val="0"/>
              <w:iCs w:val="0"/>
              <w:noProof/>
              <w:kern w:val="2"/>
              <w:sz w:val="24"/>
              <w:szCs w:val="24"/>
              <w:lang w:val="nl-NL"/>
              <w14:ligatures w14:val="standardContextual"/>
            </w:rPr>
          </w:pPr>
          <w:hyperlink w:anchor="_Toc134621189" w:history="1">
            <w:r w:rsidR="008E2D05" w:rsidRPr="00A33930">
              <w:rPr>
                <w:rStyle w:val="Hyperlink"/>
                <w:rFonts w:eastAsiaTheme="majorEastAsia"/>
                <w:noProof/>
                <w:color w:val="auto"/>
                <w:lang w:val="nl-NL"/>
              </w:rPr>
              <w:t>Afdeling III.</w:t>
            </w:r>
            <w:r w:rsidR="008E2D05" w:rsidRPr="00A33930">
              <w:rPr>
                <w:rFonts w:eastAsiaTheme="minorEastAsia" w:cstheme="minorBidi"/>
                <w:i w:val="0"/>
                <w:iCs w:val="0"/>
                <w:noProof/>
                <w:kern w:val="2"/>
                <w:sz w:val="24"/>
                <w:szCs w:val="24"/>
                <w:lang w:val="nl-NL"/>
                <w14:ligatures w14:val="standardContextual"/>
              </w:rPr>
              <w:tab/>
            </w:r>
            <w:r w:rsidR="008E2D05" w:rsidRPr="00A33930">
              <w:rPr>
                <w:rStyle w:val="Hyperlink"/>
                <w:rFonts w:eastAsiaTheme="majorEastAsia"/>
                <w:noProof/>
                <w:color w:val="auto"/>
                <w:lang w:val="nl-NL"/>
              </w:rPr>
              <w:t xml:space="preserve"> Afdwingbaarheid</w:t>
            </w:r>
            <w:r w:rsidR="008E2D05" w:rsidRPr="00A33930">
              <w:rPr>
                <w:noProof/>
                <w:webHidden/>
                <w:lang w:val="nl-NL"/>
              </w:rPr>
              <w:tab/>
            </w:r>
            <w:r w:rsidR="008E2D05" w:rsidRPr="00A33930">
              <w:rPr>
                <w:noProof/>
                <w:webHidden/>
                <w:lang w:val="nl-NL"/>
              </w:rPr>
              <w:fldChar w:fldCharType="begin"/>
            </w:r>
            <w:r w:rsidR="008E2D05" w:rsidRPr="00A33930">
              <w:rPr>
                <w:noProof/>
                <w:webHidden/>
                <w:lang w:val="nl-NL"/>
              </w:rPr>
              <w:instrText xml:space="preserve"> PAGEREF _Toc134621189 \h </w:instrText>
            </w:r>
            <w:r w:rsidR="008E2D05" w:rsidRPr="00A33930">
              <w:rPr>
                <w:noProof/>
                <w:webHidden/>
                <w:lang w:val="nl-NL"/>
              </w:rPr>
            </w:r>
            <w:r w:rsidR="008E2D05" w:rsidRPr="00A33930">
              <w:rPr>
                <w:noProof/>
                <w:webHidden/>
                <w:lang w:val="nl-NL"/>
              </w:rPr>
              <w:fldChar w:fldCharType="separate"/>
            </w:r>
            <w:r w:rsidR="003278B1">
              <w:rPr>
                <w:noProof/>
                <w:webHidden/>
                <w:lang w:val="nl-NL"/>
              </w:rPr>
              <w:t>58</w:t>
            </w:r>
            <w:r w:rsidR="008E2D05" w:rsidRPr="00A33930">
              <w:rPr>
                <w:noProof/>
                <w:webHidden/>
                <w:lang w:val="nl-NL"/>
              </w:rPr>
              <w:fldChar w:fldCharType="end"/>
            </w:r>
          </w:hyperlink>
        </w:p>
        <w:p w14:paraId="2119B158" w14:textId="6319C386" w:rsidR="008E2D05" w:rsidRPr="00A33930" w:rsidRDefault="00000000">
          <w:pPr>
            <w:pStyle w:val="Inhopg2"/>
            <w:tabs>
              <w:tab w:val="left" w:pos="1684"/>
              <w:tab w:val="right" w:leader="dot" w:pos="9062"/>
            </w:tabs>
            <w:rPr>
              <w:rFonts w:eastAsiaTheme="minorEastAsia" w:cstheme="minorBidi"/>
              <w:smallCaps w:val="0"/>
              <w:noProof/>
              <w:kern w:val="2"/>
              <w:sz w:val="24"/>
              <w:szCs w:val="24"/>
              <w:lang w:val="nl-NL"/>
              <w14:ligatures w14:val="standardContextual"/>
            </w:rPr>
          </w:pPr>
          <w:hyperlink w:anchor="_Toc134621190" w:history="1">
            <w:r w:rsidR="008E2D05" w:rsidRPr="00A33930">
              <w:rPr>
                <w:rStyle w:val="Hyperlink"/>
                <w:rFonts w:eastAsiaTheme="majorEastAsia"/>
                <w:noProof/>
                <w:color w:val="auto"/>
                <w:lang w:val="nl-NL"/>
              </w:rPr>
              <w:t>HOOFDSTUK III.</w:t>
            </w:r>
            <w:r w:rsidR="008E2D05" w:rsidRPr="00A33930">
              <w:rPr>
                <w:rFonts w:eastAsiaTheme="minorEastAsia" w:cstheme="minorBidi"/>
                <w:smallCaps w:val="0"/>
                <w:noProof/>
                <w:kern w:val="2"/>
                <w:sz w:val="24"/>
                <w:szCs w:val="24"/>
                <w:lang w:val="nl-NL"/>
                <w14:ligatures w14:val="standardContextual"/>
              </w:rPr>
              <w:tab/>
            </w:r>
            <w:r w:rsidR="008E2D05" w:rsidRPr="00A33930">
              <w:rPr>
                <w:rStyle w:val="Hyperlink"/>
                <w:rFonts w:eastAsiaTheme="majorEastAsia"/>
                <w:noProof/>
                <w:color w:val="auto"/>
                <w:lang w:val="nl-NL"/>
              </w:rPr>
              <w:t>OVEREENSTEMMING BELGISCH RECHT OP PERSOONLIJK CONTACT MET MENSENRECHTELIJKE VERPLICHTINGEN</w:t>
            </w:r>
            <w:r w:rsidR="008E2D05" w:rsidRPr="00A33930">
              <w:rPr>
                <w:noProof/>
                <w:webHidden/>
                <w:lang w:val="nl-NL"/>
              </w:rPr>
              <w:tab/>
            </w:r>
            <w:r w:rsidR="008E2D05" w:rsidRPr="00A33930">
              <w:rPr>
                <w:noProof/>
                <w:webHidden/>
                <w:lang w:val="nl-NL"/>
              </w:rPr>
              <w:fldChar w:fldCharType="begin"/>
            </w:r>
            <w:r w:rsidR="008E2D05" w:rsidRPr="00A33930">
              <w:rPr>
                <w:noProof/>
                <w:webHidden/>
                <w:lang w:val="nl-NL"/>
              </w:rPr>
              <w:instrText xml:space="preserve"> PAGEREF _Toc134621190 \h </w:instrText>
            </w:r>
            <w:r w:rsidR="008E2D05" w:rsidRPr="00A33930">
              <w:rPr>
                <w:noProof/>
                <w:webHidden/>
                <w:lang w:val="nl-NL"/>
              </w:rPr>
            </w:r>
            <w:r w:rsidR="008E2D05" w:rsidRPr="00A33930">
              <w:rPr>
                <w:noProof/>
                <w:webHidden/>
                <w:lang w:val="nl-NL"/>
              </w:rPr>
              <w:fldChar w:fldCharType="separate"/>
            </w:r>
            <w:r w:rsidR="003278B1">
              <w:rPr>
                <w:noProof/>
                <w:webHidden/>
                <w:lang w:val="nl-NL"/>
              </w:rPr>
              <w:t>61</w:t>
            </w:r>
            <w:r w:rsidR="008E2D05" w:rsidRPr="00A33930">
              <w:rPr>
                <w:noProof/>
                <w:webHidden/>
                <w:lang w:val="nl-NL"/>
              </w:rPr>
              <w:fldChar w:fldCharType="end"/>
            </w:r>
          </w:hyperlink>
        </w:p>
        <w:p w14:paraId="71B53191" w14:textId="2CB5D8CE" w:rsidR="008E2D05" w:rsidRPr="00A33930" w:rsidRDefault="00000000">
          <w:pPr>
            <w:pStyle w:val="Inhopg1"/>
            <w:tabs>
              <w:tab w:val="right" w:leader="dot" w:pos="9062"/>
            </w:tabs>
            <w:rPr>
              <w:rFonts w:eastAsiaTheme="minorEastAsia" w:cstheme="minorBidi"/>
              <w:b w:val="0"/>
              <w:bCs w:val="0"/>
              <w:caps w:val="0"/>
              <w:noProof/>
              <w:kern w:val="2"/>
              <w:sz w:val="24"/>
              <w:szCs w:val="24"/>
              <w:lang w:val="nl-NL"/>
              <w14:ligatures w14:val="standardContextual"/>
            </w:rPr>
          </w:pPr>
          <w:hyperlink w:anchor="_Toc134621191" w:history="1">
            <w:r w:rsidR="008E2D05" w:rsidRPr="00A33930">
              <w:rPr>
                <w:rStyle w:val="Hyperlink"/>
                <w:rFonts w:eastAsiaTheme="majorEastAsia"/>
                <w:noProof/>
                <w:color w:val="auto"/>
                <w:lang w:val="nl-NL"/>
              </w:rPr>
              <w:t>TUSSENBESLUIT</w:t>
            </w:r>
            <w:r w:rsidR="008E2D05" w:rsidRPr="00A33930">
              <w:rPr>
                <w:noProof/>
                <w:webHidden/>
                <w:lang w:val="nl-NL"/>
              </w:rPr>
              <w:tab/>
            </w:r>
            <w:r w:rsidR="008E2D05" w:rsidRPr="00A33930">
              <w:rPr>
                <w:noProof/>
                <w:webHidden/>
                <w:lang w:val="nl-NL"/>
              </w:rPr>
              <w:fldChar w:fldCharType="begin"/>
            </w:r>
            <w:r w:rsidR="008E2D05" w:rsidRPr="00A33930">
              <w:rPr>
                <w:noProof/>
                <w:webHidden/>
                <w:lang w:val="nl-NL"/>
              </w:rPr>
              <w:instrText xml:space="preserve"> PAGEREF _Toc134621191 \h </w:instrText>
            </w:r>
            <w:r w:rsidR="008E2D05" w:rsidRPr="00A33930">
              <w:rPr>
                <w:noProof/>
                <w:webHidden/>
                <w:lang w:val="nl-NL"/>
              </w:rPr>
            </w:r>
            <w:r w:rsidR="008E2D05" w:rsidRPr="00A33930">
              <w:rPr>
                <w:noProof/>
                <w:webHidden/>
                <w:lang w:val="nl-NL"/>
              </w:rPr>
              <w:fldChar w:fldCharType="separate"/>
            </w:r>
            <w:r w:rsidR="003278B1">
              <w:rPr>
                <w:noProof/>
                <w:webHidden/>
                <w:lang w:val="nl-NL"/>
              </w:rPr>
              <w:t>65</w:t>
            </w:r>
            <w:r w:rsidR="008E2D05" w:rsidRPr="00A33930">
              <w:rPr>
                <w:noProof/>
                <w:webHidden/>
                <w:lang w:val="nl-NL"/>
              </w:rPr>
              <w:fldChar w:fldCharType="end"/>
            </w:r>
          </w:hyperlink>
        </w:p>
        <w:p w14:paraId="4F3B7525" w14:textId="7A0774FC" w:rsidR="008E2D05" w:rsidRPr="00A33930" w:rsidRDefault="00000000">
          <w:pPr>
            <w:pStyle w:val="Inhopg1"/>
            <w:tabs>
              <w:tab w:val="left" w:pos="1080"/>
              <w:tab w:val="right" w:leader="dot" w:pos="9062"/>
            </w:tabs>
            <w:rPr>
              <w:rFonts w:eastAsiaTheme="minorEastAsia" w:cstheme="minorBidi"/>
              <w:b w:val="0"/>
              <w:bCs w:val="0"/>
              <w:caps w:val="0"/>
              <w:noProof/>
              <w:kern w:val="2"/>
              <w:sz w:val="24"/>
              <w:szCs w:val="24"/>
              <w:lang w:val="nl-NL"/>
              <w14:ligatures w14:val="standardContextual"/>
            </w:rPr>
          </w:pPr>
          <w:hyperlink w:anchor="_Toc134621192" w:history="1">
            <w:r w:rsidR="008E2D05" w:rsidRPr="00A33930">
              <w:rPr>
                <w:rStyle w:val="Hyperlink"/>
                <w:rFonts w:eastAsiaTheme="majorEastAsia"/>
                <w:noProof/>
                <w:color w:val="auto"/>
                <w:lang w:val="nl-NL"/>
              </w:rPr>
              <w:t>DEEL III.</w:t>
            </w:r>
            <w:r w:rsidR="008E2D05" w:rsidRPr="00A33930">
              <w:rPr>
                <w:rFonts w:eastAsiaTheme="minorEastAsia" w:cstheme="minorBidi"/>
                <w:b w:val="0"/>
                <w:bCs w:val="0"/>
                <w:caps w:val="0"/>
                <w:noProof/>
                <w:kern w:val="2"/>
                <w:sz w:val="24"/>
                <w:szCs w:val="24"/>
                <w:lang w:val="nl-NL"/>
                <w14:ligatures w14:val="standardContextual"/>
              </w:rPr>
              <w:tab/>
            </w:r>
            <w:r w:rsidR="008E2D05" w:rsidRPr="00A33930">
              <w:rPr>
                <w:rStyle w:val="Hyperlink"/>
                <w:rFonts w:eastAsiaTheme="majorEastAsia"/>
                <w:noProof/>
                <w:color w:val="auto"/>
                <w:lang w:val="nl-NL"/>
              </w:rPr>
              <w:t>EEN BLIK OVER DE GRENZEN</w:t>
            </w:r>
            <w:r w:rsidR="008E2D05" w:rsidRPr="00A33930">
              <w:rPr>
                <w:noProof/>
                <w:webHidden/>
                <w:lang w:val="nl-NL"/>
              </w:rPr>
              <w:tab/>
            </w:r>
            <w:r w:rsidR="008E2D05" w:rsidRPr="00A33930">
              <w:rPr>
                <w:noProof/>
                <w:webHidden/>
                <w:lang w:val="nl-NL"/>
              </w:rPr>
              <w:fldChar w:fldCharType="begin"/>
            </w:r>
            <w:r w:rsidR="008E2D05" w:rsidRPr="00A33930">
              <w:rPr>
                <w:noProof/>
                <w:webHidden/>
                <w:lang w:val="nl-NL"/>
              </w:rPr>
              <w:instrText xml:space="preserve"> PAGEREF _Toc134621192 \h </w:instrText>
            </w:r>
            <w:r w:rsidR="008E2D05" w:rsidRPr="00A33930">
              <w:rPr>
                <w:noProof/>
                <w:webHidden/>
                <w:lang w:val="nl-NL"/>
              </w:rPr>
            </w:r>
            <w:r w:rsidR="008E2D05" w:rsidRPr="00A33930">
              <w:rPr>
                <w:noProof/>
                <w:webHidden/>
                <w:lang w:val="nl-NL"/>
              </w:rPr>
              <w:fldChar w:fldCharType="separate"/>
            </w:r>
            <w:r w:rsidR="003278B1">
              <w:rPr>
                <w:noProof/>
                <w:webHidden/>
                <w:lang w:val="nl-NL"/>
              </w:rPr>
              <w:t>67</w:t>
            </w:r>
            <w:r w:rsidR="008E2D05" w:rsidRPr="00A33930">
              <w:rPr>
                <w:noProof/>
                <w:webHidden/>
                <w:lang w:val="nl-NL"/>
              </w:rPr>
              <w:fldChar w:fldCharType="end"/>
            </w:r>
          </w:hyperlink>
        </w:p>
        <w:p w14:paraId="3709F4D1" w14:textId="5E5BACEA" w:rsidR="008E2D05" w:rsidRPr="00A33930" w:rsidRDefault="00000000">
          <w:pPr>
            <w:pStyle w:val="Inhopg2"/>
            <w:tabs>
              <w:tab w:val="left" w:pos="1583"/>
              <w:tab w:val="right" w:leader="dot" w:pos="9062"/>
            </w:tabs>
            <w:rPr>
              <w:rFonts w:eastAsiaTheme="minorEastAsia" w:cstheme="minorBidi"/>
              <w:smallCaps w:val="0"/>
              <w:noProof/>
              <w:kern w:val="2"/>
              <w:sz w:val="24"/>
              <w:szCs w:val="24"/>
              <w:lang w:val="nl-NL"/>
              <w14:ligatures w14:val="standardContextual"/>
            </w:rPr>
          </w:pPr>
          <w:hyperlink w:anchor="_Toc134621193" w:history="1">
            <w:r w:rsidR="008E2D05" w:rsidRPr="00A33930">
              <w:rPr>
                <w:rStyle w:val="Hyperlink"/>
                <w:rFonts w:eastAsiaTheme="majorEastAsia"/>
                <w:noProof/>
                <w:color w:val="auto"/>
                <w:lang w:val="nl-NL"/>
              </w:rPr>
              <w:t>HOOFDSTUK I.</w:t>
            </w:r>
            <w:r w:rsidR="008E2D05" w:rsidRPr="00A33930">
              <w:rPr>
                <w:rFonts w:eastAsiaTheme="minorEastAsia" w:cstheme="minorBidi"/>
                <w:smallCaps w:val="0"/>
                <w:noProof/>
                <w:kern w:val="2"/>
                <w:sz w:val="24"/>
                <w:szCs w:val="24"/>
                <w:lang w:val="nl-NL"/>
                <w14:ligatures w14:val="standardContextual"/>
              </w:rPr>
              <w:tab/>
            </w:r>
            <w:r w:rsidR="008E2D05" w:rsidRPr="00A33930">
              <w:rPr>
                <w:rStyle w:val="Hyperlink"/>
                <w:rFonts w:eastAsiaTheme="majorEastAsia"/>
                <w:noProof/>
                <w:color w:val="auto"/>
                <w:lang w:val="nl-NL"/>
              </w:rPr>
              <w:t>NEDERLAND</w:t>
            </w:r>
            <w:r w:rsidR="008E2D05" w:rsidRPr="00A33930">
              <w:rPr>
                <w:noProof/>
                <w:webHidden/>
                <w:lang w:val="nl-NL"/>
              </w:rPr>
              <w:tab/>
            </w:r>
            <w:r w:rsidR="008E2D05" w:rsidRPr="00A33930">
              <w:rPr>
                <w:noProof/>
                <w:webHidden/>
                <w:lang w:val="nl-NL"/>
              </w:rPr>
              <w:fldChar w:fldCharType="begin"/>
            </w:r>
            <w:r w:rsidR="008E2D05" w:rsidRPr="00A33930">
              <w:rPr>
                <w:noProof/>
                <w:webHidden/>
                <w:lang w:val="nl-NL"/>
              </w:rPr>
              <w:instrText xml:space="preserve"> PAGEREF _Toc134621193 \h </w:instrText>
            </w:r>
            <w:r w:rsidR="008E2D05" w:rsidRPr="00A33930">
              <w:rPr>
                <w:noProof/>
                <w:webHidden/>
                <w:lang w:val="nl-NL"/>
              </w:rPr>
            </w:r>
            <w:r w:rsidR="008E2D05" w:rsidRPr="00A33930">
              <w:rPr>
                <w:noProof/>
                <w:webHidden/>
                <w:lang w:val="nl-NL"/>
              </w:rPr>
              <w:fldChar w:fldCharType="separate"/>
            </w:r>
            <w:r w:rsidR="003278B1">
              <w:rPr>
                <w:noProof/>
                <w:webHidden/>
                <w:lang w:val="nl-NL"/>
              </w:rPr>
              <w:t>67</w:t>
            </w:r>
            <w:r w:rsidR="008E2D05" w:rsidRPr="00A33930">
              <w:rPr>
                <w:noProof/>
                <w:webHidden/>
                <w:lang w:val="nl-NL"/>
              </w:rPr>
              <w:fldChar w:fldCharType="end"/>
            </w:r>
          </w:hyperlink>
        </w:p>
        <w:p w14:paraId="1401D0BE" w14:textId="329A69BC" w:rsidR="008E2D05" w:rsidRPr="00A33930" w:rsidRDefault="00000000">
          <w:pPr>
            <w:pStyle w:val="Inhopg3"/>
            <w:tabs>
              <w:tab w:val="left" w:pos="1440"/>
              <w:tab w:val="right" w:leader="dot" w:pos="9062"/>
            </w:tabs>
            <w:rPr>
              <w:rFonts w:eastAsiaTheme="minorEastAsia" w:cstheme="minorBidi"/>
              <w:i w:val="0"/>
              <w:iCs w:val="0"/>
              <w:noProof/>
              <w:kern w:val="2"/>
              <w:sz w:val="24"/>
              <w:szCs w:val="24"/>
              <w:lang w:val="nl-NL"/>
              <w14:ligatures w14:val="standardContextual"/>
            </w:rPr>
          </w:pPr>
          <w:hyperlink w:anchor="_Toc134621194" w:history="1">
            <w:r w:rsidR="008E2D05" w:rsidRPr="00A33930">
              <w:rPr>
                <w:rStyle w:val="Hyperlink"/>
                <w:rFonts w:eastAsiaTheme="majorEastAsia"/>
                <w:noProof/>
                <w:color w:val="auto"/>
                <w:lang w:val="nl-NL"/>
              </w:rPr>
              <w:t>Afdeling I.</w:t>
            </w:r>
            <w:r w:rsidR="008E2D05" w:rsidRPr="00A33930">
              <w:rPr>
                <w:rFonts w:eastAsiaTheme="minorEastAsia" w:cstheme="minorBidi"/>
                <w:i w:val="0"/>
                <w:iCs w:val="0"/>
                <w:noProof/>
                <w:kern w:val="2"/>
                <w:sz w:val="24"/>
                <w:szCs w:val="24"/>
                <w:lang w:val="nl-NL"/>
                <w14:ligatures w14:val="standardContextual"/>
              </w:rPr>
              <w:tab/>
            </w:r>
            <w:r w:rsidR="008E2D05" w:rsidRPr="00A33930">
              <w:rPr>
                <w:rStyle w:val="Hyperlink"/>
                <w:rFonts w:eastAsiaTheme="majorEastAsia"/>
                <w:noProof/>
                <w:color w:val="auto"/>
                <w:lang w:val="nl-NL"/>
              </w:rPr>
              <w:t>In de wet</w:t>
            </w:r>
            <w:r w:rsidR="008E2D05" w:rsidRPr="00A33930">
              <w:rPr>
                <w:noProof/>
                <w:webHidden/>
                <w:lang w:val="nl-NL"/>
              </w:rPr>
              <w:tab/>
            </w:r>
            <w:r w:rsidR="008E2D05" w:rsidRPr="00A33930">
              <w:rPr>
                <w:noProof/>
                <w:webHidden/>
                <w:lang w:val="nl-NL"/>
              </w:rPr>
              <w:fldChar w:fldCharType="begin"/>
            </w:r>
            <w:r w:rsidR="008E2D05" w:rsidRPr="00A33930">
              <w:rPr>
                <w:noProof/>
                <w:webHidden/>
                <w:lang w:val="nl-NL"/>
              </w:rPr>
              <w:instrText xml:space="preserve"> PAGEREF _Toc134621194 \h </w:instrText>
            </w:r>
            <w:r w:rsidR="008E2D05" w:rsidRPr="00A33930">
              <w:rPr>
                <w:noProof/>
                <w:webHidden/>
                <w:lang w:val="nl-NL"/>
              </w:rPr>
            </w:r>
            <w:r w:rsidR="008E2D05" w:rsidRPr="00A33930">
              <w:rPr>
                <w:noProof/>
                <w:webHidden/>
                <w:lang w:val="nl-NL"/>
              </w:rPr>
              <w:fldChar w:fldCharType="separate"/>
            </w:r>
            <w:r w:rsidR="003278B1">
              <w:rPr>
                <w:noProof/>
                <w:webHidden/>
                <w:lang w:val="nl-NL"/>
              </w:rPr>
              <w:t>67</w:t>
            </w:r>
            <w:r w:rsidR="008E2D05" w:rsidRPr="00A33930">
              <w:rPr>
                <w:noProof/>
                <w:webHidden/>
                <w:lang w:val="nl-NL"/>
              </w:rPr>
              <w:fldChar w:fldCharType="end"/>
            </w:r>
          </w:hyperlink>
        </w:p>
        <w:p w14:paraId="24B1C232" w14:textId="20347FAF" w:rsidR="008E2D05" w:rsidRPr="00A33930" w:rsidRDefault="00000000">
          <w:pPr>
            <w:pStyle w:val="Inhopg3"/>
            <w:tabs>
              <w:tab w:val="left" w:pos="1469"/>
              <w:tab w:val="right" w:leader="dot" w:pos="9062"/>
            </w:tabs>
            <w:rPr>
              <w:rFonts w:eastAsiaTheme="minorEastAsia" w:cstheme="minorBidi"/>
              <w:i w:val="0"/>
              <w:iCs w:val="0"/>
              <w:noProof/>
              <w:kern w:val="2"/>
              <w:sz w:val="24"/>
              <w:szCs w:val="24"/>
              <w:lang w:val="nl-NL"/>
              <w14:ligatures w14:val="standardContextual"/>
            </w:rPr>
          </w:pPr>
          <w:hyperlink w:anchor="_Toc134621195" w:history="1">
            <w:r w:rsidR="008E2D05" w:rsidRPr="00A33930">
              <w:rPr>
                <w:rStyle w:val="Hyperlink"/>
                <w:rFonts w:eastAsiaTheme="majorEastAsia"/>
                <w:noProof/>
                <w:color w:val="auto"/>
                <w:lang w:val="nl-NL"/>
              </w:rPr>
              <w:t>Afdeling II.</w:t>
            </w:r>
            <w:r w:rsidR="008E2D05" w:rsidRPr="00A33930">
              <w:rPr>
                <w:rFonts w:eastAsiaTheme="minorEastAsia" w:cstheme="minorBidi"/>
                <w:i w:val="0"/>
                <w:iCs w:val="0"/>
                <w:noProof/>
                <w:kern w:val="2"/>
                <w:sz w:val="24"/>
                <w:szCs w:val="24"/>
                <w:lang w:val="nl-NL"/>
                <w14:ligatures w14:val="standardContextual"/>
              </w:rPr>
              <w:tab/>
            </w:r>
            <w:r w:rsidR="008E2D05" w:rsidRPr="00A33930">
              <w:rPr>
                <w:rStyle w:val="Hyperlink"/>
                <w:rFonts w:eastAsiaTheme="majorEastAsia"/>
                <w:noProof/>
                <w:color w:val="auto"/>
                <w:lang w:val="nl-NL"/>
              </w:rPr>
              <w:t>In de praktijk</w:t>
            </w:r>
            <w:r w:rsidR="008E2D05" w:rsidRPr="00A33930">
              <w:rPr>
                <w:noProof/>
                <w:webHidden/>
                <w:lang w:val="nl-NL"/>
              </w:rPr>
              <w:tab/>
            </w:r>
            <w:r w:rsidR="008E2D05" w:rsidRPr="00A33930">
              <w:rPr>
                <w:noProof/>
                <w:webHidden/>
                <w:lang w:val="nl-NL"/>
              </w:rPr>
              <w:fldChar w:fldCharType="begin"/>
            </w:r>
            <w:r w:rsidR="008E2D05" w:rsidRPr="00A33930">
              <w:rPr>
                <w:noProof/>
                <w:webHidden/>
                <w:lang w:val="nl-NL"/>
              </w:rPr>
              <w:instrText xml:space="preserve"> PAGEREF _Toc134621195 \h </w:instrText>
            </w:r>
            <w:r w:rsidR="008E2D05" w:rsidRPr="00A33930">
              <w:rPr>
                <w:noProof/>
                <w:webHidden/>
                <w:lang w:val="nl-NL"/>
              </w:rPr>
            </w:r>
            <w:r w:rsidR="008E2D05" w:rsidRPr="00A33930">
              <w:rPr>
                <w:noProof/>
                <w:webHidden/>
                <w:lang w:val="nl-NL"/>
              </w:rPr>
              <w:fldChar w:fldCharType="separate"/>
            </w:r>
            <w:r w:rsidR="003278B1">
              <w:rPr>
                <w:noProof/>
                <w:webHidden/>
                <w:lang w:val="nl-NL"/>
              </w:rPr>
              <w:t>71</w:t>
            </w:r>
            <w:r w:rsidR="008E2D05" w:rsidRPr="00A33930">
              <w:rPr>
                <w:noProof/>
                <w:webHidden/>
                <w:lang w:val="nl-NL"/>
              </w:rPr>
              <w:fldChar w:fldCharType="end"/>
            </w:r>
          </w:hyperlink>
        </w:p>
        <w:p w14:paraId="5273C258" w14:textId="0E5DF1BD" w:rsidR="008E2D05" w:rsidRPr="00A33930" w:rsidRDefault="00000000">
          <w:pPr>
            <w:pStyle w:val="Inhopg3"/>
            <w:tabs>
              <w:tab w:val="left" w:pos="1519"/>
              <w:tab w:val="right" w:leader="dot" w:pos="9062"/>
            </w:tabs>
            <w:rPr>
              <w:rFonts w:eastAsiaTheme="minorEastAsia" w:cstheme="minorBidi"/>
              <w:i w:val="0"/>
              <w:iCs w:val="0"/>
              <w:noProof/>
              <w:kern w:val="2"/>
              <w:sz w:val="24"/>
              <w:szCs w:val="24"/>
              <w:lang w:val="nl-NL"/>
              <w14:ligatures w14:val="standardContextual"/>
            </w:rPr>
          </w:pPr>
          <w:hyperlink w:anchor="_Toc134621196" w:history="1">
            <w:r w:rsidR="008E2D05" w:rsidRPr="00A33930">
              <w:rPr>
                <w:rStyle w:val="Hyperlink"/>
                <w:rFonts w:eastAsiaTheme="majorEastAsia"/>
                <w:noProof/>
                <w:color w:val="auto"/>
                <w:lang w:val="nl-NL"/>
              </w:rPr>
              <w:t>Afdeling III.</w:t>
            </w:r>
            <w:r w:rsidR="008E2D05" w:rsidRPr="00A33930">
              <w:rPr>
                <w:rFonts w:eastAsiaTheme="minorEastAsia" w:cstheme="minorBidi"/>
                <w:i w:val="0"/>
                <w:iCs w:val="0"/>
                <w:noProof/>
                <w:kern w:val="2"/>
                <w:sz w:val="24"/>
                <w:szCs w:val="24"/>
                <w:lang w:val="nl-NL"/>
                <w14:ligatures w14:val="standardContextual"/>
              </w:rPr>
              <w:tab/>
            </w:r>
            <w:r w:rsidR="008E2D05" w:rsidRPr="00A33930">
              <w:rPr>
                <w:rStyle w:val="Hyperlink"/>
                <w:rFonts w:eastAsiaTheme="majorEastAsia"/>
                <w:noProof/>
                <w:color w:val="auto"/>
                <w:lang w:val="nl-NL"/>
              </w:rPr>
              <w:t>Afdwingbaarheid</w:t>
            </w:r>
            <w:r w:rsidR="008E2D05" w:rsidRPr="00A33930">
              <w:rPr>
                <w:noProof/>
                <w:webHidden/>
                <w:lang w:val="nl-NL"/>
              </w:rPr>
              <w:tab/>
            </w:r>
            <w:r w:rsidR="008E2D05" w:rsidRPr="00A33930">
              <w:rPr>
                <w:noProof/>
                <w:webHidden/>
                <w:lang w:val="nl-NL"/>
              </w:rPr>
              <w:fldChar w:fldCharType="begin"/>
            </w:r>
            <w:r w:rsidR="008E2D05" w:rsidRPr="00A33930">
              <w:rPr>
                <w:noProof/>
                <w:webHidden/>
                <w:lang w:val="nl-NL"/>
              </w:rPr>
              <w:instrText xml:space="preserve"> PAGEREF _Toc134621196 \h </w:instrText>
            </w:r>
            <w:r w:rsidR="008E2D05" w:rsidRPr="00A33930">
              <w:rPr>
                <w:noProof/>
                <w:webHidden/>
                <w:lang w:val="nl-NL"/>
              </w:rPr>
            </w:r>
            <w:r w:rsidR="008E2D05" w:rsidRPr="00A33930">
              <w:rPr>
                <w:noProof/>
                <w:webHidden/>
                <w:lang w:val="nl-NL"/>
              </w:rPr>
              <w:fldChar w:fldCharType="separate"/>
            </w:r>
            <w:r w:rsidR="003278B1">
              <w:rPr>
                <w:noProof/>
                <w:webHidden/>
                <w:lang w:val="nl-NL"/>
              </w:rPr>
              <w:t>73</w:t>
            </w:r>
            <w:r w:rsidR="008E2D05" w:rsidRPr="00A33930">
              <w:rPr>
                <w:noProof/>
                <w:webHidden/>
                <w:lang w:val="nl-NL"/>
              </w:rPr>
              <w:fldChar w:fldCharType="end"/>
            </w:r>
          </w:hyperlink>
        </w:p>
        <w:p w14:paraId="3DF37D11" w14:textId="02B1AA33" w:rsidR="008E2D05" w:rsidRPr="00A33930" w:rsidRDefault="00000000">
          <w:pPr>
            <w:pStyle w:val="Inhopg2"/>
            <w:tabs>
              <w:tab w:val="left" w:pos="1633"/>
              <w:tab w:val="right" w:leader="dot" w:pos="9062"/>
            </w:tabs>
            <w:rPr>
              <w:rFonts w:eastAsiaTheme="minorEastAsia" w:cstheme="minorBidi"/>
              <w:smallCaps w:val="0"/>
              <w:noProof/>
              <w:kern w:val="2"/>
              <w:sz w:val="24"/>
              <w:szCs w:val="24"/>
              <w:lang w:val="nl-NL"/>
              <w14:ligatures w14:val="standardContextual"/>
            </w:rPr>
          </w:pPr>
          <w:hyperlink w:anchor="_Toc134621197" w:history="1">
            <w:r w:rsidR="008E2D05" w:rsidRPr="00A33930">
              <w:rPr>
                <w:rStyle w:val="Hyperlink"/>
                <w:rFonts w:eastAsiaTheme="majorEastAsia"/>
                <w:noProof/>
                <w:color w:val="auto"/>
                <w:lang w:val="nl-NL"/>
              </w:rPr>
              <w:t>HOOFDSTUK II.</w:t>
            </w:r>
            <w:r w:rsidR="008E2D05" w:rsidRPr="00A33930">
              <w:rPr>
                <w:rFonts w:eastAsiaTheme="minorEastAsia" w:cstheme="minorBidi"/>
                <w:smallCaps w:val="0"/>
                <w:noProof/>
                <w:kern w:val="2"/>
                <w:sz w:val="24"/>
                <w:szCs w:val="24"/>
                <w:lang w:val="nl-NL"/>
                <w14:ligatures w14:val="standardContextual"/>
              </w:rPr>
              <w:tab/>
            </w:r>
            <w:r w:rsidR="008E2D05" w:rsidRPr="00A33930">
              <w:rPr>
                <w:rStyle w:val="Hyperlink"/>
                <w:rFonts w:eastAsiaTheme="majorEastAsia"/>
                <w:noProof/>
                <w:color w:val="auto"/>
                <w:lang w:val="nl-NL"/>
              </w:rPr>
              <w:t>DUITSLAND</w:t>
            </w:r>
            <w:r w:rsidR="008E2D05" w:rsidRPr="00A33930">
              <w:rPr>
                <w:noProof/>
                <w:webHidden/>
                <w:lang w:val="nl-NL"/>
              </w:rPr>
              <w:tab/>
            </w:r>
            <w:r w:rsidR="008E2D05" w:rsidRPr="00A33930">
              <w:rPr>
                <w:noProof/>
                <w:webHidden/>
                <w:lang w:val="nl-NL"/>
              </w:rPr>
              <w:fldChar w:fldCharType="begin"/>
            </w:r>
            <w:r w:rsidR="008E2D05" w:rsidRPr="00A33930">
              <w:rPr>
                <w:noProof/>
                <w:webHidden/>
                <w:lang w:val="nl-NL"/>
              </w:rPr>
              <w:instrText xml:space="preserve"> PAGEREF _Toc134621197 \h </w:instrText>
            </w:r>
            <w:r w:rsidR="008E2D05" w:rsidRPr="00A33930">
              <w:rPr>
                <w:noProof/>
                <w:webHidden/>
                <w:lang w:val="nl-NL"/>
              </w:rPr>
            </w:r>
            <w:r w:rsidR="008E2D05" w:rsidRPr="00A33930">
              <w:rPr>
                <w:noProof/>
                <w:webHidden/>
                <w:lang w:val="nl-NL"/>
              </w:rPr>
              <w:fldChar w:fldCharType="separate"/>
            </w:r>
            <w:r w:rsidR="003278B1">
              <w:rPr>
                <w:noProof/>
                <w:webHidden/>
                <w:lang w:val="nl-NL"/>
              </w:rPr>
              <w:t>75</w:t>
            </w:r>
            <w:r w:rsidR="008E2D05" w:rsidRPr="00A33930">
              <w:rPr>
                <w:noProof/>
                <w:webHidden/>
                <w:lang w:val="nl-NL"/>
              </w:rPr>
              <w:fldChar w:fldCharType="end"/>
            </w:r>
          </w:hyperlink>
        </w:p>
        <w:p w14:paraId="4111B983" w14:textId="14AF67F9" w:rsidR="008E2D05" w:rsidRPr="00A33930" w:rsidRDefault="00000000">
          <w:pPr>
            <w:pStyle w:val="Inhopg3"/>
            <w:tabs>
              <w:tab w:val="left" w:pos="1440"/>
              <w:tab w:val="right" w:leader="dot" w:pos="9062"/>
            </w:tabs>
            <w:rPr>
              <w:rFonts w:eastAsiaTheme="minorEastAsia" w:cstheme="minorBidi"/>
              <w:i w:val="0"/>
              <w:iCs w:val="0"/>
              <w:noProof/>
              <w:kern w:val="2"/>
              <w:sz w:val="24"/>
              <w:szCs w:val="24"/>
              <w:lang w:val="nl-NL"/>
              <w14:ligatures w14:val="standardContextual"/>
            </w:rPr>
          </w:pPr>
          <w:hyperlink w:anchor="_Toc134621198" w:history="1">
            <w:r w:rsidR="008E2D05" w:rsidRPr="00A33930">
              <w:rPr>
                <w:rStyle w:val="Hyperlink"/>
                <w:rFonts w:eastAsiaTheme="majorEastAsia"/>
                <w:noProof/>
                <w:color w:val="auto"/>
                <w:lang w:val="nl-NL"/>
              </w:rPr>
              <w:t>Afdeling I.</w:t>
            </w:r>
            <w:r w:rsidR="008E2D05" w:rsidRPr="00A33930">
              <w:rPr>
                <w:rFonts w:eastAsiaTheme="minorEastAsia" w:cstheme="minorBidi"/>
                <w:i w:val="0"/>
                <w:iCs w:val="0"/>
                <w:noProof/>
                <w:kern w:val="2"/>
                <w:sz w:val="24"/>
                <w:szCs w:val="24"/>
                <w:lang w:val="nl-NL"/>
                <w14:ligatures w14:val="standardContextual"/>
              </w:rPr>
              <w:tab/>
            </w:r>
            <w:r w:rsidR="008E2D05" w:rsidRPr="00A33930">
              <w:rPr>
                <w:rStyle w:val="Hyperlink"/>
                <w:rFonts w:eastAsiaTheme="majorEastAsia"/>
                <w:noProof/>
                <w:color w:val="auto"/>
                <w:lang w:val="nl-NL"/>
              </w:rPr>
              <w:t>In de wet</w:t>
            </w:r>
            <w:r w:rsidR="008E2D05" w:rsidRPr="00A33930">
              <w:rPr>
                <w:noProof/>
                <w:webHidden/>
                <w:lang w:val="nl-NL"/>
              </w:rPr>
              <w:tab/>
            </w:r>
            <w:r w:rsidR="008E2D05" w:rsidRPr="00A33930">
              <w:rPr>
                <w:noProof/>
                <w:webHidden/>
                <w:lang w:val="nl-NL"/>
              </w:rPr>
              <w:fldChar w:fldCharType="begin"/>
            </w:r>
            <w:r w:rsidR="008E2D05" w:rsidRPr="00A33930">
              <w:rPr>
                <w:noProof/>
                <w:webHidden/>
                <w:lang w:val="nl-NL"/>
              </w:rPr>
              <w:instrText xml:space="preserve"> PAGEREF _Toc134621198 \h </w:instrText>
            </w:r>
            <w:r w:rsidR="008E2D05" w:rsidRPr="00A33930">
              <w:rPr>
                <w:noProof/>
                <w:webHidden/>
                <w:lang w:val="nl-NL"/>
              </w:rPr>
            </w:r>
            <w:r w:rsidR="008E2D05" w:rsidRPr="00A33930">
              <w:rPr>
                <w:noProof/>
                <w:webHidden/>
                <w:lang w:val="nl-NL"/>
              </w:rPr>
              <w:fldChar w:fldCharType="separate"/>
            </w:r>
            <w:r w:rsidR="003278B1">
              <w:rPr>
                <w:noProof/>
                <w:webHidden/>
                <w:lang w:val="nl-NL"/>
              </w:rPr>
              <w:t>75</w:t>
            </w:r>
            <w:r w:rsidR="008E2D05" w:rsidRPr="00A33930">
              <w:rPr>
                <w:noProof/>
                <w:webHidden/>
                <w:lang w:val="nl-NL"/>
              </w:rPr>
              <w:fldChar w:fldCharType="end"/>
            </w:r>
          </w:hyperlink>
        </w:p>
        <w:p w14:paraId="6006A33D" w14:textId="7DD2E107" w:rsidR="008E2D05" w:rsidRPr="00A33930" w:rsidRDefault="00000000">
          <w:pPr>
            <w:pStyle w:val="Inhopg3"/>
            <w:tabs>
              <w:tab w:val="left" w:pos="1469"/>
              <w:tab w:val="right" w:leader="dot" w:pos="9062"/>
            </w:tabs>
            <w:rPr>
              <w:rFonts w:eastAsiaTheme="minorEastAsia" w:cstheme="minorBidi"/>
              <w:i w:val="0"/>
              <w:iCs w:val="0"/>
              <w:noProof/>
              <w:kern w:val="2"/>
              <w:sz w:val="24"/>
              <w:szCs w:val="24"/>
              <w:lang w:val="nl-NL"/>
              <w14:ligatures w14:val="standardContextual"/>
            </w:rPr>
          </w:pPr>
          <w:hyperlink w:anchor="_Toc134621199" w:history="1">
            <w:r w:rsidR="008E2D05" w:rsidRPr="00A33930">
              <w:rPr>
                <w:rStyle w:val="Hyperlink"/>
                <w:rFonts w:eastAsiaTheme="majorEastAsia"/>
                <w:noProof/>
                <w:color w:val="auto"/>
                <w:lang w:val="nl-NL"/>
              </w:rPr>
              <w:t>Afdeling II.</w:t>
            </w:r>
            <w:r w:rsidR="008E2D05" w:rsidRPr="00A33930">
              <w:rPr>
                <w:rFonts w:eastAsiaTheme="minorEastAsia" w:cstheme="minorBidi"/>
                <w:i w:val="0"/>
                <w:iCs w:val="0"/>
                <w:noProof/>
                <w:kern w:val="2"/>
                <w:sz w:val="24"/>
                <w:szCs w:val="24"/>
                <w:lang w:val="nl-NL"/>
                <w14:ligatures w14:val="standardContextual"/>
              </w:rPr>
              <w:tab/>
            </w:r>
            <w:r w:rsidR="008E2D05" w:rsidRPr="00A33930">
              <w:rPr>
                <w:rStyle w:val="Hyperlink"/>
                <w:rFonts w:eastAsiaTheme="majorEastAsia"/>
                <w:noProof/>
                <w:color w:val="auto"/>
                <w:lang w:val="nl-NL"/>
              </w:rPr>
              <w:t>In de praktijk</w:t>
            </w:r>
            <w:r w:rsidR="008E2D05" w:rsidRPr="00A33930">
              <w:rPr>
                <w:noProof/>
                <w:webHidden/>
                <w:lang w:val="nl-NL"/>
              </w:rPr>
              <w:tab/>
            </w:r>
            <w:r w:rsidR="008E2D05" w:rsidRPr="00A33930">
              <w:rPr>
                <w:noProof/>
                <w:webHidden/>
                <w:lang w:val="nl-NL"/>
              </w:rPr>
              <w:fldChar w:fldCharType="begin"/>
            </w:r>
            <w:r w:rsidR="008E2D05" w:rsidRPr="00A33930">
              <w:rPr>
                <w:noProof/>
                <w:webHidden/>
                <w:lang w:val="nl-NL"/>
              </w:rPr>
              <w:instrText xml:space="preserve"> PAGEREF _Toc134621199 \h </w:instrText>
            </w:r>
            <w:r w:rsidR="008E2D05" w:rsidRPr="00A33930">
              <w:rPr>
                <w:noProof/>
                <w:webHidden/>
                <w:lang w:val="nl-NL"/>
              </w:rPr>
            </w:r>
            <w:r w:rsidR="008E2D05" w:rsidRPr="00A33930">
              <w:rPr>
                <w:noProof/>
                <w:webHidden/>
                <w:lang w:val="nl-NL"/>
              </w:rPr>
              <w:fldChar w:fldCharType="separate"/>
            </w:r>
            <w:r w:rsidR="003278B1">
              <w:rPr>
                <w:noProof/>
                <w:webHidden/>
                <w:lang w:val="nl-NL"/>
              </w:rPr>
              <w:t>78</w:t>
            </w:r>
            <w:r w:rsidR="008E2D05" w:rsidRPr="00A33930">
              <w:rPr>
                <w:noProof/>
                <w:webHidden/>
                <w:lang w:val="nl-NL"/>
              </w:rPr>
              <w:fldChar w:fldCharType="end"/>
            </w:r>
          </w:hyperlink>
        </w:p>
        <w:p w14:paraId="79B15464" w14:textId="5F2E70F5" w:rsidR="008E2D05" w:rsidRPr="00A33930" w:rsidRDefault="00000000">
          <w:pPr>
            <w:pStyle w:val="Inhopg3"/>
            <w:tabs>
              <w:tab w:val="left" w:pos="1519"/>
              <w:tab w:val="right" w:leader="dot" w:pos="9062"/>
            </w:tabs>
            <w:rPr>
              <w:rFonts w:eastAsiaTheme="minorEastAsia" w:cstheme="minorBidi"/>
              <w:i w:val="0"/>
              <w:iCs w:val="0"/>
              <w:noProof/>
              <w:kern w:val="2"/>
              <w:sz w:val="24"/>
              <w:szCs w:val="24"/>
              <w:lang w:val="nl-NL"/>
              <w14:ligatures w14:val="standardContextual"/>
            </w:rPr>
          </w:pPr>
          <w:hyperlink w:anchor="_Toc134621200" w:history="1">
            <w:r w:rsidR="008E2D05" w:rsidRPr="00A33930">
              <w:rPr>
                <w:rStyle w:val="Hyperlink"/>
                <w:rFonts w:eastAsiaTheme="majorEastAsia"/>
                <w:noProof/>
                <w:color w:val="auto"/>
                <w:lang w:val="nl-NL"/>
              </w:rPr>
              <w:t>Afdeling III.</w:t>
            </w:r>
            <w:r w:rsidR="008E2D05" w:rsidRPr="00A33930">
              <w:rPr>
                <w:rFonts w:eastAsiaTheme="minorEastAsia" w:cstheme="minorBidi"/>
                <w:i w:val="0"/>
                <w:iCs w:val="0"/>
                <w:noProof/>
                <w:kern w:val="2"/>
                <w:sz w:val="24"/>
                <w:szCs w:val="24"/>
                <w:lang w:val="nl-NL"/>
                <w14:ligatures w14:val="standardContextual"/>
              </w:rPr>
              <w:tab/>
            </w:r>
            <w:r w:rsidR="008E2D05" w:rsidRPr="00A33930">
              <w:rPr>
                <w:rStyle w:val="Hyperlink"/>
                <w:rFonts w:eastAsiaTheme="majorEastAsia"/>
                <w:noProof/>
                <w:color w:val="auto"/>
                <w:lang w:val="nl-NL"/>
              </w:rPr>
              <w:t>Afdwingbaarheid</w:t>
            </w:r>
            <w:r w:rsidR="008E2D05" w:rsidRPr="00A33930">
              <w:rPr>
                <w:noProof/>
                <w:webHidden/>
                <w:lang w:val="nl-NL"/>
              </w:rPr>
              <w:tab/>
            </w:r>
            <w:r w:rsidR="008E2D05" w:rsidRPr="00A33930">
              <w:rPr>
                <w:noProof/>
                <w:webHidden/>
                <w:lang w:val="nl-NL"/>
              </w:rPr>
              <w:fldChar w:fldCharType="begin"/>
            </w:r>
            <w:r w:rsidR="008E2D05" w:rsidRPr="00A33930">
              <w:rPr>
                <w:noProof/>
                <w:webHidden/>
                <w:lang w:val="nl-NL"/>
              </w:rPr>
              <w:instrText xml:space="preserve"> PAGEREF _Toc134621200 \h </w:instrText>
            </w:r>
            <w:r w:rsidR="008E2D05" w:rsidRPr="00A33930">
              <w:rPr>
                <w:noProof/>
                <w:webHidden/>
                <w:lang w:val="nl-NL"/>
              </w:rPr>
            </w:r>
            <w:r w:rsidR="008E2D05" w:rsidRPr="00A33930">
              <w:rPr>
                <w:noProof/>
                <w:webHidden/>
                <w:lang w:val="nl-NL"/>
              </w:rPr>
              <w:fldChar w:fldCharType="separate"/>
            </w:r>
            <w:r w:rsidR="003278B1">
              <w:rPr>
                <w:noProof/>
                <w:webHidden/>
                <w:lang w:val="nl-NL"/>
              </w:rPr>
              <w:t>79</w:t>
            </w:r>
            <w:r w:rsidR="008E2D05" w:rsidRPr="00A33930">
              <w:rPr>
                <w:noProof/>
                <w:webHidden/>
                <w:lang w:val="nl-NL"/>
              </w:rPr>
              <w:fldChar w:fldCharType="end"/>
            </w:r>
          </w:hyperlink>
        </w:p>
        <w:p w14:paraId="22FF7C7D" w14:textId="70B95654" w:rsidR="008E2D05" w:rsidRPr="00A33930" w:rsidRDefault="00000000">
          <w:pPr>
            <w:pStyle w:val="Inhopg2"/>
            <w:tabs>
              <w:tab w:val="left" w:pos="1684"/>
              <w:tab w:val="right" w:leader="dot" w:pos="9062"/>
            </w:tabs>
            <w:rPr>
              <w:rFonts w:eastAsiaTheme="minorEastAsia" w:cstheme="minorBidi"/>
              <w:smallCaps w:val="0"/>
              <w:noProof/>
              <w:kern w:val="2"/>
              <w:sz w:val="24"/>
              <w:szCs w:val="24"/>
              <w:lang w:val="nl-NL"/>
              <w14:ligatures w14:val="standardContextual"/>
            </w:rPr>
          </w:pPr>
          <w:hyperlink w:anchor="_Toc134621201" w:history="1">
            <w:r w:rsidR="008E2D05" w:rsidRPr="00A33930">
              <w:rPr>
                <w:rStyle w:val="Hyperlink"/>
                <w:rFonts w:eastAsiaTheme="majorEastAsia"/>
                <w:noProof/>
                <w:color w:val="auto"/>
                <w:lang w:val="nl-NL"/>
              </w:rPr>
              <w:t>HOOFDSTUK III.</w:t>
            </w:r>
            <w:r w:rsidR="008E2D05" w:rsidRPr="00A33930">
              <w:rPr>
                <w:rFonts w:eastAsiaTheme="minorEastAsia" w:cstheme="minorBidi"/>
                <w:smallCaps w:val="0"/>
                <w:noProof/>
                <w:kern w:val="2"/>
                <w:sz w:val="24"/>
                <w:szCs w:val="24"/>
                <w:lang w:val="nl-NL"/>
                <w14:ligatures w14:val="standardContextual"/>
              </w:rPr>
              <w:tab/>
            </w:r>
            <w:r w:rsidR="008E2D05" w:rsidRPr="00A33930">
              <w:rPr>
                <w:rStyle w:val="Hyperlink"/>
                <w:rFonts w:eastAsiaTheme="majorEastAsia"/>
                <w:noProof/>
                <w:color w:val="auto"/>
                <w:lang w:val="nl-NL"/>
              </w:rPr>
              <w:t>VERGELIJKING VAN DE NATIONALE RECHTSSTELSELS</w:t>
            </w:r>
            <w:r w:rsidR="008E2D05" w:rsidRPr="00A33930">
              <w:rPr>
                <w:noProof/>
                <w:webHidden/>
                <w:lang w:val="nl-NL"/>
              </w:rPr>
              <w:tab/>
            </w:r>
            <w:r w:rsidR="008E2D05" w:rsidRPr="00A33930">
              <w:rPr>
                <w:noProof/>
                <w:webHidden/>
                <w:lang w:val="nl-NL"/>
              </w:rPr>
              <w:fldChar w:fldCharType="begin"/>
            </w:r>
            <w:r w:rsidR="008E2D05" w:rsidRPr="00A33930">
              <w:rPr>
                <w:noProof/>
                <w:webHidden/>
                <w:lang w:val="nl-NL"/>
              </w:rPr>
              <w:instrText xml:space="preserve"> PAGEREF _Toc134621201 \h </w:instrText>
            </w:r>
            <w:r w:rsidR="008E2D05" w:rsidRPr="00A33930">
              <w:rPr>
                <w:noProof/>
                <w:webHidden/>
                <w:lang w:val="nl-NL"/>
              </w:rPr>
            </w:r>
            <w:r w:rsidR="008E2D05" w:rsidRPr="00A33930">
              <w:rPr>
                <w:noProof/>
                <w:webHidden/>
                <w:lang w:val="nl-NL"/>
              </w:rPr>
              <w:fldChar w:fldCharType="separate"/>
            </w:r>
            <w:r w:rsidR="003278B1">
              <w:rPr>
                <w:noProof/>
                <w:webHidden/>
                <w:lang w:val="nl-NL"/>
              </w:rPr>
              <w:t>83</w:t>
            </w:r>
            <w:r w:rsidR="008E2D05" w:rsidRPr="00A33930">
              <w:rPr>
                <w:noProof/>
                <w:webHidden/>
                <w:lang w:val="nl-NL"/>
              </w:rPr>
              <w:fldChar w:fldCharType="end"/>
            </w:r>
          </w:hyperlink>
        </w:p>
        <w:p w14:paraId="3E577A23" w14:textId="3F8F4A75" w:rsidR="008E2D05" w:rsidRPr="00A33930" w:rsidRDefault="00000000">
          <w:pPr>
            <w:pStyle w:val="Inhopg1"/>
            <w:tabs>
              <w:tab w:val="left" w:pos="1080"/>
              <w:tab w:val="right" w:leader="dot" w:pos="9062"/>
            </w:tabs>
            <w:rPr>
              <w:rFonts w:eastAsiaTheme="minorEastAsia" w:cstheme="minorBidi"/>
              <w:b w:val="0"/>
              <w:bCs w:val="0"/>
              <w:caps w:val="0"/>
              <w:noProof/>
              <w:kern w:val="2"/>
              <w:sz w:val="24"/>
              <w:szCs w:val="24"/>
              <w:lang w:val="nl-NL"/>
              <w14:ligatures w14:val="standardContextual"/>
            </w:rPr>
          </w:pPr>
          <w:hyperlink w:anchor="_Toc134621202" w:history="1">
            <w:r w:rsidR="008E2D05" w:rsidRPr="00A33930">
              <w:rPr>
                <w:rStyle w:val="Hyperlink"/>
                <w:rFonts w:eastAsiaTheme="majorEastAsia"/>
                <w:noProof/>
                <w:color w:val="auto"/>
                <w:lang w:val="nl-NL"/>
              </w:rPr>
              <w:t>DEEL IV.</w:t>
            </w:r>
            <w:r w:rsidR="008E2D05" w:rsidRPr="00A33930">
              <w:rPr>
                <w:rFonts w:eastAsiaTheme="minorEastAsia" w:cstheme="minorBidi"/>
                <w:b w:val="0"/>
                <w:bCs w:val="0"/>
                <w:caps w:val="0"/>
                <w:noProof/>
                <w:kern w:val="2"/>
                <w:sz w:val="24"/>
                <w:szCs w:val="24"/>
                <w:lang w:val="nl-NL"/>
                <w14:ligatures w14:val="standardContextual"/>
              </w:rPr>
              <w:tab/>
            </w:r>
            <w:r w:rsidR="008E2D05" w:rsidRPr="00A33930">
              <w:rPr>
                <w:rStyle w:val="Hyperlink"/>
                <w:rFonts w:eastAsiaTheme="majorEastAsia"/>
                <w:noProof/>
                <w:color w:val="auto"/>
                <w:lang w:val="nl-NL"/>
              </w:rPr>
              <w:t>BESLUIT: HET RECHT OP PERSOONLIJK CONTACT VAN HET KIND – DE LEGE FERENDA</w:t>
            </w:r>
            <w:r w:rsidR="008E2D05" w:rsidRPr="00A33930">
              <w:rPr>
                <w:noProof/>
                <w:webHidden/>
                <w:lang w:val="nl-NL"/>
              </w:rPr>
              <w:tab/>
            </w:r>
            <w:r w:rsidR="008E2D05" w:rsidRPr="00A33930">
              <w:rPr>
                <w:noProof/>
                <w:webHidden/>
                <w:lang w:val="nl-NL"/>
              </w:rPr>
              <w:fldChar w:fldCharType="begin"/>
            </w:r>
            <w:r w:rsidR="008E2D05" w:rsidRPr="00A33930">
              <w:rPr>
                <w:noProof/>
                <w:webHidden/>
                <w:lang w:val="nl-NL"/>
              </w:rPr>
              <w:instrText xml:space="preserve"> PAGEREF _Toc134621202 \h </w:instrText>
            </w:r>
            <w:r w:rsidR="008E2D05" w:rsidRPr="00A33930">
              <w:rPr>
                <w:noProof/>
                <w:webHidden/>
                <w:lang w:val="nl-NL"/>
              </w:rPr>
            </w:r>
            <w:r w:rsidR="008E2D05" w:rsidRPr="00A33930">
              <w:rPr>
                <w:noProof/>
                <w:webHidden/>
                <w:lang w:val="nl-NL"/>
              </w:rPr>
              <w:fldChar w:fldCharType="separate"/>
            </w:r>
            <w:r w:rsidR="003278B1">
              <w:rPr>
                <w:noProof/>
                <w:webHidden/>
                <w:lang w:val="nl-NL"/>
              </w:rPr>
              <w:t>85</w:t>
            </w:r>
            <w:r w:rsidR="008E2D05" w:rsidRPr="00A33930">
              <w:rPr>
                <w:noProof/>
                <w:webHidden/>
                <w:lang w:val="nl-NL"/>
              </w:rPr>
              <w:fldChar w:fldCharType="end"/>
            </w:r>
          </w:hyperlink>
        </w:p>
        <w:p w14:paraId="3CF5696E" w14:textId="5C857027" w:rsidR="008E2D05" w:rsidRPr="00A33930" w:rsidRDefault="00000000">
          <w:pPr>
            <w:pStyle w:val="Inhopg2"/>
            <w:tabs>
              <w:tab w:val="left" w:pos="1583"/>
              <w:tab w:val="right" w:leader="dot" w:pos="9062"/>
            </w:tabs>
            <w:rPr>
              <w:rFonts w:eastAsiaTheme="minorEastAsia" w:cstheme="minorBidi"/>
              <w:smallCaps w:val="0"/>
              <w:noProof/>
              <w:kern w:val="2"/>
              <w:sz w:val="24"/>
              <w:szCs w:val="24"/>
              <w:lang w:val="nl-NL"/>
              <w14:ligatures w14:val="standardContextual"/>
            </w:rPr>
          </w:pPr>
          <w:hyperlink w:anchor="_Toc134621203" w:history="1">
            <w:r w:rsidR="008E2D05" w:rsidRPr="00A33930">
              <w:rPr>
                <w:rStyle w:val="Hyperlink"/>
                <w:rFonts w:eastAsiaTheme="majorEastAsia"/>
                <w:noProof/>
                <w:color w:val="auto"/>
                <w:lang w:val="nl-NL"/>
              </w:rPr>
              <w:t>HOOFDSTUK I.</w:t>
            </w:r>
            <w:r w:rsidR="008E2D05" w:rsidRPr="00A33930">
              <w:rPr>
                <w:rFonts w:eastAsiaTheme="minorEastAsia" w:cstheme="minorBidi"/>
                <w:smallCaps w:val="0"/>
                <w:noProof/>
                <w:kern w:val="2"/>
                <w:sz w:val="24"/>
                <w:szCs w:val="24"/>
                <w:lang w:val="nl-NL"/>
                <w14:ligatures w14:val="standardContextual"/>
              </w:rPr>
              <w:tab/>
            </w:r>
            <w:r w:rsidR="008E2D05" w:rsidRPr="00A33930">
              <w:rPr>
                <w:rStyle w:val="Hyperlink"/>
                <w:rFonts w:eastAsiaTheme="majorEastAsia"/>
                <w:noProof/>
                <w:color w:val="auto"/>
                <w:lang w:val="nl-NL"/>
              </w:rPr>
              <w:t>NOODZAAK AAN EIGEN RECHT OP PERSOONLIJK CONTACT?</w:t>
            </w:r>
            <w:r w:rsidR="008E2D05" w:rsidRPr="00A33930">
              <w:rPr>
                <w:noProof/>
                <w:webHidden/>
                <w:lang w:val="nl-NL"/>
              </w:rPr>
              <w:tab/>
            </w:r>
            <w:r w:rsidR="008E2D05" w:rsidRPr="00A33930">
              <w:rPr>
                <w:noProof/>
                <w:webHidden/>
                <w:lang w:val="nl-NL"/>
              </w:rPr>
              <w:fldChar w:fldCharType="begin"/>
            </w:r>
            <w:r w:rsidR="008E2D05" w:rsidRPr="00A33930">
              <w:rPr>
                <w:noProof/>
                <w:webHidden/>
                <w:lang w:val="nl-NL"/>
              </w:rPr>
              <w:instrText xml:space="preserve"> PAGEREF _Toc134621203 \h </w:instrText>
            </w:r>
            <w:r w:rsidR="008E2D05" w:rsidRPr="00A33930">
              <w:rPr>
                <w:noProof/>
                <w:webHidden/>
                <w:lang w:val="nl-NL"/>
              </w:rPr>
            </w:r>
            <w:r w:rsidR="008E2D05" w:rsidRPr="00A33930">
              <w:rPr>
                <w:noProof/>
                <w:webHidden/>
                <w:lang w:val="nl-NL"/>
              </w:rPr>
              <w:fldChar w:fldCharType="separate"/>
            </w:r>
            <w:r w:rsidR="003278B1">
              <w:rPr>
                <w:noProof/>
                <w:webHidden/>
                <w:lang w:val="nl-NL"/>
              </w:rPr>
              <w:t>85</w:t>
            </w:r>
            <w:r w:rsidR="008E2D05" w:rsidRPr="00A33930">
              <w:rPr>
                <w:noProof/>
                <w:webHidden/>
                <w:lang w:val="nl-NL"/>
              </w:rPr>
              <w:fldChar w:fldCharType="end"/>
            </w:r>
          </w:hyperlink>
        </w:p>
        <w:p w14:paraId="2DDA7D33" w14:textId="6FC9F79F" w:rsidR="008E2D05" w:rsidRPr="00A33930" w:rsidRDefault="00000000">
          <w:pPr>
            <w:pStyle w:val="Inhopg2"/>
            <w:tabs>
              <w:tab w:val="left" w:pos="1633"/>
              <w:tab w:val="right" w:leader="dot" w:pos="9062"/>
            </w:tabs>
            <w:rPr>
              <w:rFonts w:eastAsiaTheme="minorEastAsia" w:cstheme="minorBidi"/>
              <w:smallCaps w:val="0"/>
              <w:noProof/>
              <w:kern w:val="2"/>
              <w:sz w:val="24"/>
              <w:szCs w:val="24"/>
              <w:lang w:val="nl-NL"/>
              <w14:ligatures w14:val="standardContextual"/>
            </w:rPr>
          </w:pPr>
          <w:hyperlink w:anchor="_Toc134621204" w:history="1">
            <w:r w:rsidR="008E2D05" w:rsidRPr="00A33930">
              <w:rPr>
                <w:rStyle w:val="Hyperlink"/>
                <w:rFonts w:eastAsiaTheme="majorEastAsia"/>
                <w:noProof/>
                <w:color w:val="auto"/>
                <w:lang w:val="nl-NL"/>
              </w:rPr>
              <w:t>HOOFDSTUK II.</w:t>
            </w:r>
            <w:r w:rsidR="008E2D05" w:rsidRPr="00A33930">
              <w:rPr>
                <w:rFonts w:eastAsiaTheme="minorEastAsia" w:cstheme="minorBidi"/>
                <w:smallCaps w:val="0"/>
                <w:noProof/>
                <w:kern w:val="2"/>
                <w:sz w:val="24"/>
                <w:szCs w:val="24"/>
                <w:lang w:val="nl-NL"/>
                <w14:ligatures w14:val="standardContextual"/>
              </w:rPr>
              <w:tab/>
            </w:r>
            <w:r w:rsidR="008E2D05" w:rsidRPr="00A33930">
              <w:rPr>
                <w:rStyle w:val="Hyperlink"/>
                <w:rFonts w:eastAsiaTheme="majorEastAsia"/>
                <w:noProof/>
                <w:color w:val="auto"/>
                <w:lang w:val="nl-NL"/>
              </w:rPr>
              <w:t>AANBEVELINGEN: HOE KAN DE WETGEVER DIT AANPAKKEN?</w:t>
            </w:r>
            <w:r w:rsidR="008E2D05" w:rsidRPr="00A33930">
              <w:rPr>
                <w:noProof/>
                <w:webHidden/>
                <w:lang w:val="nl-NL"/>
              </w:rPr>
              <w:tab/>
            </w:r>
            <w:r w:rsidR="008E2D05" w:rsidRPr="00A33930">
              <w:rPr>
                <w:noProof/>
                <w:webHidden/>
                <w:lang w:val="nl-NL"/>
              </w:rPr>
              <w:fldChar w:fldCharType="begin"/>
            </w:r>
            <w:r w:rsidR="008E2D05" w:rsidRPr="00A33930">
              <w:rPr>
                <w:noProof/>
                <w:webHidden/>
                <w:lang w:val="nl-NL"/>
              </w:rPr>
              <w:instrText xml:space="preserve"> PAGEREF _Toc134621204 \h </w:instrText>
            </w:r>
            <w:r w:rsidR="008E2D05" w:rsidRPr="00A33930">
              <w:rPr>
                <w:noProof/>
                <w:webHidden/>
                <w:lang w:val="nl-NL"/>
              </w:rPr>
            </w:r>
            <w:r w:rsidR="008E2D05" w:rsidRPr="00A33930">
              <w:rPr>
                <w:noProof/>
                <w:webHidden/>
                <w:lang w:val="nl-NL"/>
              </w:rPr>
              <w:fldChar w:fldCharType="separate"/>
            </w:r>
            <w:r w:rsidR="003278B1">
              <w:rPr>
                <w:noProof/>
                <w:webHidden/>
                <w:lang w:val="nl-NL"/>
              </w:rPr>
              <w:t>87</w:t>
            </w:r>
            <w:r w:rsidR="008E2D05" w:rsidRPr="00A33930">
              <w:rPr>
                <w:noProof/>
                <w:webHidden/>
                <w:lang w:val="nl-NL"/>
              </w:rPr>
              <w:fldChar w:fldCharType="end"/>
            </w:r>
          </w:hyperlink>
        </w:p>
        <w:p w14:paraId="3201D802" w14:textId="150C96EF" w:rsidR="008E2D05" w:rsidRPr="00A33930" w:rsidRDefault="00000000">
          <w:pPr>
            <w:pStyle w:val="Inhopg1"/>
            <w:tabs>
              <w:tab w:val="right" w:leader="dot" w:pos="9062"/>
            </w:tabs>
            <w:rPr>
              <w:rFonts w:eastAsiaTheme="minorEastAsia" w:cstheme="minorBidi"/>
              <w:b w:val="0"/>
              <w:bCs w:val="0"/>
              <w:caps w:val="0"/>
              <w:noProof/>
              <w:kern w:val="2"/>
              <w:sz w:val="24"/>
              <w:szCs w:val="24"/>
              <w:lang w:val="nl-NL"/>
              <w14:ligatures w14:val="standardContextual"/>
            </w:rPr>
          </w:pPr>
          <w:hyperlink w:anchor="_Toc134621205" w:history="1">
            <w:r w:rsidR="008E2D05" w:rsidRPr="00A33930">
              <w:rPr>
                <w:rStyle w:val="Hyperlink"/>
                <w:rFonts w:eastAsiaTheme="majorEastAsia"/>
                <w:noProof/>
                <w:color w:val="auto"/>
                <w:lang w:val="nl-NL"/>
              </w:rPr>
              <w:t>BIBLIOGRAFIE</w:t>
            </w:r>
            <w:r w:rsidR="008E2D05" w:rsidRPr="00A33930">
              <w:rPr>
                <w:noProof/>
                <w:webHidden/>
                <w:lang w:val="nl-NL"/>
              </w:rPr>
              <w:tab/>
            </w:r>
            <w:r w:rsidR="008E2D05" w:rsidRPr="00A33930">
              <w:rPr>
                <w:noProof/>
                <w:webHidden/>
                <w:lang w:val="nl-NL"/>
              </w:rPr>
              <w:fldChar w:fldCharType="begin"/>
            </w:r>
            <w:r w:rsidR="008E2D05" w:rsidRPr="00A33930">
              <w:rPr>
                <w:noProof/>
                <w:webHidden/>
                <w:lang w:val="nl-NL"/>
              </w:rPr>
              <w:instrText xml:space="preserve"> PAGEREF _Toc134621205 \h </w:instrText>
            </w:r>
            <w:r w:rsidR="008E2D05" w:rsidRPr="00A33930">
              <w:rPr>
                <w:noProof/>
                <w:webHidden/>
                <w:lang w:val="nl-NL"/>
              </w:rPr>
            </w:r>
            <w:r w:rsidR="008E2D05" w:rsidRPr="00A33930">
              <w:rPr>
                <w:noProof/>
                <w:webHidden/>
                <w:lang w:val="nl-NL"/>
              </w:rPr>
              <w:fldChar w:fldCharType="separate"/>
            </w:r>
            <w:r w:rsidR="003278B1">
              <w:rPr>
                <w:noProof/>
                <w:webHidden/>
                <w:lang w:val="nl-NL"/>
              </w:rPr>
              <w:t>93</w:t>
            </w:r>
            <w:r w:rsidR="008E2D05" w:rsidRPr="00A33930">
              <w:rPr>
                <w:noProof/>
                <w:webHidden/>
                <w:lang w:val="nl-NL"/>
              </w:rPr>
              <w:fldChar w:fldCharType="end"/>
            </w:r>
          </w:hyperlink>
        </w:p>
        <w:p w14:paraId="0BC88D56" w14:textId="6C74242F" w:rsidR="008E2D05" w:rsidRPr="00A33930" w:rsidRDefault="00000000">
          <w:pPr>
            <w:pStyle w:val="Inhopg1"/>
            <w:tabs>
              <w:tab w:val="right" w:leader="dot" w:pos="9062"/>
            </w:tabs>
            <w:rPr>
              <w:rFonts w:eastAsiaTheme="minorEastAsia" w:cstheme="minorBidi"/>
              <w:b w:val="0"/>
              <w:bCs w:val="0"/>
              <w:caps w:val="0"/>
              <w:noProof/>
              <w:kern w:val="2"/>
              <w:sz w:val="24"/>
              <w:szCs w:val="24"/>
              <w:lang w:val="nl-NL"/>
              <w14:ligatures w14:val="standardContextual"/>
            </w:rPr>
          </w:pPr>
          <w:hyperlink w:anchor="_Toc134621206" w:history="1">
            <w:r w:rsidR="008E2D05" w:rsidRPr="00A33930">
              <w:rPr>
                <w:rStyle w:val="Hyperlink"/>
                <w:rFonts w:eastAsiaTheme="majorEastAsia"/>
                <w:noProof/>
                <w:color w:val="auto"/>
                <w:lang w:val="nl-NL"/>
              </w:rPr>
              <w:t>BIJLAGE 1: SCHETS OVERIGE MENSENRECHTELIJKE VERDRAGEN</w:t>
            </w:r>
            <w:r w:rsidR="008E2D05" w:rsidRPr="00A33930">
              <w:rPr>
                <w:noProof/>
                <w:webHidden/>
                <w:lang w:val="nl-NL"/>
              </w:rPr>
              <w:tab/>
            </w:r>
            <w:r w:rsidR="008E2D05" w:rsidRPr="00A33930">
              <w:rPr>
                <w:noProof/>
                <w:webHidden/>
                <w:lang w:val="nl-NL"/>
              </w:rPr>
              <w:fldChar w:fldCharType="begin"/>
            </w:r>
            <w:r w:rsidR="008E2D05" w:rsidRPr="00A33930">
              <w:rPr>
                <w:noProof/>
                <w:webHidden/>
                <w:lang w:val="nl-NL"/>
              </w:rPr>
              <w:instrText xml:space="preserve"> PAGEREF _Toc134621206 \h </w:instrText>
            </w:r>
            <w:r w:rsidR="008E2D05" w:rsidRPr="00A33930">
              <w:rPr>
                <w:noProof/>
                <w:webHidden/>
                <w:lang w:val="nl-NL"/>
              </w:rPr>
            </w:r>
            <w:r w:rsidR="008E2D05" w:rsidRPr="00A33930">
              <w:rPr>
                <w:noProof/>
                <w:webHidden/>
                <w:lang w:val="nl-NL"/>
              </w:rPr>
              <w:fldChar w:fldCharType="separate"/>
            </w:r>
            <w:r w:rsidR="003278B1">
              <w:rPr>
                <w:noProof/>
                <w:webHidden/>
                <w:lang w:val="nl-NL"/>
              </w:rPr>
              <w:t>117</w:t>
            </w:r>
            <w:r w:rsidR="008E2D05" w:rsidRPr="00A33930">
              <w:rPr>
                <w:noProof/>
                <w:webHidden/>
                <w:lang w:val="nl-NL"/>
              </w:rPr>
              <w:fldChar w:fldCharType="end"/>
            </w:r>
          </w:hyperlink>
        </w:p>
        <w:p w14:paraId="27E2D018" w14:textId="29D1BA7B" w:rsidR="008E2D05" w:rsidRPr="00A33930" w:rsidRDefault="00000000">
          <w:pPr>
            <w:pStyle w:val="Inhopg1"/>
            <w:tabs>
              <w:tab w:val="right" w:leader="dot" w:pos="9062"/>
            </w:tabs>
            <w:rPr>
              <w:rFonts w:eastAsiaTheme="minorEastAsia" w:cstheme="minorBidi"/>
              <w:b w:val="0"/>
              <w:bCs w:val="0"/>
              <w:caps w:val="0"/>
              <w:noProof/>
              <w:kern w:val="2"/>
              <w:sz w:val="24"/>
              <w:szCs w:val="24"/>
              <w:lang w:val="nl-NL"/>
              <w14:ligatures w14:val="standardContextual"/>
            </w:rPr>
          </w:pPr>
          <w:hyperlink w:anchor="_Toc134621207" w:history="1">
            <w:r w:rsidR="008E2D05" w:rsidRPr="00A33930">
              <w:rPr>
                <w:rStyle w:val="Hyperlink"/>
                <w:rFonts w:eastAsiaTheme="majorEastAsia"/>
                <w:noProof/>
                <w:color w:val="auto"/>
                <w:lang w:val="nl-NL"/>
              </w:rPr>
              <w:t>BIJLAGE 2: OVERZICHTSTABEL RECHTSVERGELIJKING</w:t>
            </w:r>
            <w:r w:rsidR="008E2D05" w:rsidRPr="00A33930">
              <w:rPr>
                <w:noProof/>
                <w:webHidden/>
                <w:lang w:val="nl-NL"/>
              </w:rPr>
              <w:tab/>
            </w:r>
            <w:r w:rsidR="008E2D05" w:rsidRPr="00A33930">
              <w:rPr>
                <w:noProof/>
                <w:webHidden/>
                <w:lang w:val="nl-NL"/>
              </w:rPr>
              <w:fldChar w:fldCharType="begin"/>
            </w:r>
            <w:r w:rsidR="008E2D05" w:rsidRPr="00A33930">
              <w:rPr>
                <w:noProof/>
                <w:webHidden/>
                <w:lang w:val="nl-NL"/>
              </w:rPr>
              <w:instrText xml:space="preserve"> PAGEREF _Toc134621207 \h </w:instrText>
            </w:r>
            <w:r w:rsidR="008E2D05" w:rsidRPr="00A33930">
              <w:rPr>
                <w:noProof/>
                <w:webHidden/>
                <w:lang w:val="nl-NL"/>
              </w:rPr>
            </w:r>
            <w:r w:rsidR="008E2D05" w:rsidRPr="00A33930">
              <w:rPr>
                <w:noProof/>
                <w:webHidden/>
                <w:lang w:val="nl-NL"/>
              </w:rPr>
              <w:fldChar w:fldCharType="separate"/>
            </w:r>
            <w:r w:rsidR="003278B1">
              <w:rPr>
                <w:noProof/>
                <w:webHidden/>
                <w:lang w:val="nl-NL"/>
              </w:rPr>
              <w:t>124</w:t>
            </w:r>
            <w:r w:rsidR="008E2D05" w:rsidRPr="00A33930">
              <w:rPr>
                <w:noProof/>
                <w:webHidden/>
                <w:lang w:val="nl-NL"/>
              </w:rPr>
              <w:fldChar w:fldCharType="end"/>
            </w:r>
          </w:hyperlink>
        </w:p>
        <w:p w14:paraId="361ACF5A" w14:textId="4355F6DE" w:rsidR="00710FDA" w:rsidRPr="00A33930" w:rsidRDefault="0013587B" w:rsidP="00710FDA">
          <w:pPr>
            <w:spacing w:line="360" w:lineRule="auto"/>
            <w:jc w:val="both"/>
            <w:rPr>
              <w:noProof/>
              <w:szCs w:val="18"/>
              <w:lang w:val="nl-NL"/>
            </w:rPr>
          </w:pPr>
          <w:r w:rsidRPr="00A33930">
            <w:rPr>
              <w:b/>
              <w:bCs/>
              <w:noProof/>
              <w:szCs w:val="18"/>
              <w:lang w:val="nl-NL"/>
            </w:rPr>
            <w:lastRenderedPageBreak/>
            <w:fldChar w:fldCharType="end"/>
          </w:r>
        </w:p>
      </w:sdtContent>
    </w:sdt>
    <w:p w14:paraId="0718574A" w14:textId="77777777" w:rsidR="00ED66F2" w:rsidRPr="00A33930" w:rsidRDefault="00ED66F2">
      <w:pPr>
        <w:spacing w:after="160" w:line="259" w:lineRule="auto"/>
        <w:rPr>
          <w:b/>
          <w:bCs/>
          <w:sz w:val="22"/>
          <w:szCs w:val="22"/>
          <w:lang w:val="nl-NL"/>
        </w:rPr>
      </w:pPr>
      <w:r w:rsidRPr="00A33930">
        <w:rPr>
          <w:b/>
          <w:bCs/>
          <w:sz w:val="22"/>
          <w:szCs w:val="22"/>
          <w:lang w:val="nl-NL"/>
        </w:rPr>
        <w:br w:type="page"/>
      </w:r>
    </w:p>
    <w:p w14:paraId="2AA884AD" w14:textId="0286C3F6" w:rsidR="00CB5E29" w:rsidRPr="00A33930" w:rsidRDefault="00CB5E29" w:rsidP="00710FDA">
      <w:pPr>
        <w:spacing w:line="360" w:lineRule="auto"/>
        <w:jc w:val="both"/>
        <w:rPr>
          <w:lang w:val="nl-NL"/>
        </w:rPr>
      </w:pPr>
      <w:r w:rsidRPr="00A33930">
        <w:rPr>
          <w:b/>
          <w:bCs/>
          <w:sz w:val="22"/>
          <w:szCs w:val="22"/>
          <w:lang w:val="nl-NL"/>
        </w:rPr>
        <w:lastRenderedPageBreak/>
        <w:t>LIJST VAN AFKORTINGEN</w:t>
      </w:r>
    </w:p>
    <w:p w14:paraId="06FE2FEB" w14:textId="77777777" w:rsidR="00CA3125" w:rsidRPr="00A33930" w:rsidRDefault="00CA3125" w:rsidP="007A26E0">
      <w:pPr>
        <w:spacing w:line="360" w:lineRule="auto"/>
        <w:rPr>
          <w:rFonts w:eastAsia="Verdana" w:cs="Verdana"/>
          <w:szCs w:val="18"/>
          <w:lang w:val="nl-NL"/>
        </w:rPr>
      </w:pPr>
      <w:r w:rsidRPr="00A33930">
        <w:rPr>
          <w:rFonts w:eastAsia="Verdana" w:cs="Verdana"/>
          <w:szCs w:val="18"/>
          <w:lang w:val="nl-NL"/>
        </w:rPr>
        <w:t>BGB</w:t>
      </w:r>
      <w:r w:rsidRPr="00A33930">
        <w:rPr>
          <w:rFonts w:eastAsia="Verdana" w:cs="Verdana"/>
          <w:szCs w:val="18"/>
          <w:lang w:val="nl-NL"/>
        </w:rPr>
        <w:tab/>
      </w:r>
      <w:r w:rsidRPr="00A33930">
        <w:rPr>
          <w:rFonts w:eastAsia="Verdana" w:cs="Verdana"/>
          <w:szCs w:val="18"/>
          <w:lang w:val="nl-NL"/>
        </w:rPr>
        <w:tab/>
      </w:r>
      <w:r w:rsidRPr="00A33930">
        <w:rPr>
          <w:rFonts w:eastAsia="Verdana" w:cs="Verdana"/>
          <w:szCs w:val="18"/>
          <w:lang w:val="nl-NL"/>
        </w:rPr>
        <w:tab/>
        <w:t>Bürgerliches Gesetzbuch</w:t>
      </w:r>
    </w:p>
    <w:p w14:paraId="50635652" w14:textId="159B8C3C" w:rsidR="00CA3125" w:rsidRPr="00A33930" w:rsidRDefault="00CA3125" w:rsidP="007A26E0">
      <w:pPr>
        <w:spacing w:line="360" w:lineRule="auto"/>
        <w:rPr>
          <w:rFonts w:eastAsia="Verdana" w:cs="Verdana"/>
          <w:szCs w:val="18"/>
          <w:lang w:val="nl-NL"/>
        </w:rPr>
      </w:pPr>
      <w:r w:rsidRPr="00A33930">
        <w:rPr>
          <w:rFonts w:eastAsia="Verdana" w:cs="Verdana"/>
          <w:szCs w:val="18"/>
          <w:lang w:val="nl-NL"/>
        </w:rPr>
        <w:t>BVerfG</w:t>
      </w:r>
      <w:r w:rsidRPr="00A33930">
        <w:rPr>
          <w:rFonts w:eastAsia="Verdana" w:cs="Verdana"/>
          <w:szCs w:val="18"/>
          <w:lang w:val="nl-NL"/>
        </w:rPr>
        <w:tab/>
      </w:r>
      <w:r w:rsidRPr="00A33930">
        <w:rPr>
          <w:rFonts w:eastAsia="Verdana" w:cs="Verdana"/>
          <w:szCs w:val="18"/>
          <w:lang w:val="nl-NL"/>
        </w:rPr>
        <w:tab/>
      </w:r>
      <w:r w:rsidRPr="00A33930">
        <w:rPr>
          <w:rFonts w:eastAsia="Verdana" w:cs="Verdana"/>
          <w:szCs w:val="18"/>
          <w:lang w:val="nl-NL"/>
        </w:rPr>
        <w:tab/>
        <w:t>Bundesverfassungsgericht</w:t>
      </w:r>
    </w:p>
    <w:p w14:paraId="0B5F8FD3" w14:textId="4E2D8B00" w:rsidR="00DC6BA9" w:rsidRPr="00A33930" w:rsidRDefault="00DC6BA9" w:rsidP="007A26E0">
      <w:pPr>
        <w:spacing w:line="360" w:lineRule="auto"/>
        <w:rPr>
          <w:rFonts w:eastAsia="Verdana" w:cs="Verdana"/>
          <w:i/>
          <w:iCs/>
          <w:szCs w:val="18"/>
          <w:lang w:val="nl-NL"/>
        </w:rPr>
      </w:pPr>
      <w:r w:rsidRPr="00A33930">
        <w:rPr>
          <w:rFonts w:eastAsia="Verdana" w:cs="Verdana"/>
          <w:szCs w:val="18"/>
          <w:lang w:val="nl-NL"/>
        </w:rPr>
        <w:t>BGH</w:t>
      </w:r>
      <w:r w:rsidRPr="00A33930">
        <w:rPr>
          <w:rFonts w:eastAsia="Verdana" w:cs="Verdana"/>
          <w:szCs w:val="18"/>
          <w:lang w:val="nl-NL"/>
        </w:rPr>
        <w:tab/>
      </w:r>
      <w:r w:rsidRPr="00A33930">
        <w:rPr>
          <w:rFonts w:eastAsia="Verdana" w:cs="Verdana"/>
          <w:szCs w:val="18"/>
          <w:lang w:val="nl-NL"/>
        </w:rPr>
        <w:tab/>
      </w:r>
      <w:r w:rsidRPr="00A33930">
        <w:rPr>
          <w:rFonts w:eastAsia="Verdana" w:cs="Verdana"/>
          <w:szCs w:val="18"/>
          <w:lang w:val="nl-NL"/>
        </w:rPr>
        <w:tab/>
        <w:t>Bundesgerechtshof</w:t>
      </w:r>
    </w:p>
    <w:p w14:paraId="4F08F73C" w14:textId="77777777" w:rsidR="00CA3125" w:rsidRPr="00A33930" w:rsidRDefault="00CA3125" w:rsidP="007A26E0">
      <w:pPr>
        <w:spacing w:line="360" w:lineRule="auto"/>
        <w:rPr>
          <w:lang w:val="nl-NL" w:eastAsia="en-US"/>
        </w:rPr>
      </w:pPr>
      <w:r w:rsidRPr="00A33930">
        <w:rPr>
          <w:lang w:val="nl-NL" w:eastAsia="en-US"/>
        </w:rPr>
        <w:t>CRC</w:t>
      </w:r>
      <w:r w:rsidRPr="00A33930">
        <w:rPr>
          <w:lang w:val="nl-NL" w:eastAsia="en-US"/>
        </w:rPr>
        <w:tab/>
      </w:r>
      <w:r w:rsidRPr="00A33930">
        <w:rPr>
          <w:lang w:val="nl-NL" w:eastAsia="en-US"/>
        </w:rPr>
        <w:tab/>
      </w:r>
      <w:r w:rsidRPr="00A33930">
        <w:rPr>
          <w:lang w:val="nl-NL" w:eastAsia="en-US"/>
        </w:rPr>
        <w:tab/>
        <w:t>Committee on the Rights of the Child / VN-Kinderrechtencomité</w:t>
      </w:r>
    </w:p>
    <w:p w14:paraId="2601970F" w14:textId="53F8A61B" w:rsidR="00CA3125" w:rsidRPr="00A33930" w:rsidRDefault="00CA3125" w:rsidP="007A26E0">
      <w:pPr>
        <w:spacing w:line="360" w:lineRule="auto"/>
        <w:rPr>
          <w:lang w:val="nl-NL" w:eastAsia="en-US"/>
        </w:rPr>
      </w:pPr>
      <w:r w:rsidRPr="00A33930">
        <w:rPr>
          <w:lang w:val="nl-NL" w:eastAsia="en-US"/>
        </w:rPr>
        <w:t>EHRM</w:t>
      </w:r>
      <w:r w:rsidRPr="00A33930">
        <w:rPr>
          <w:lang w:val="nl-NL" w:eastAsia="en-US"/>
        </w:rPr>
        <w:tab/>
      </w:r>
      <w:r w:rsidRPr="00A33930">
        <w:rPr>
          <w:lang w:val="nl-NL" w:eastAsia="en-US"/>
        </w:rPr>
        <w:tab/>
      </w:r>
      <w:r w:rsidRPr="00A33930">
        <w:rPr>
          <w:lang w:val="nl-NL" w:eastAsia="en-US"/>
        </w:rPr>
        <w:tab/>
        <w:t>Europees Hof voor de Rechten van de Mens</w:t>
      </w:r>
    </w:p>
    <w:p w14:paraId="260CE142" w14:textId="77777777" w:rsidR="00CA3125" w:rsidRPr="00A33930" w:rsidRDefault="00CA3125" w:rsidP="007A26E0">
      <w:pPr>
        <w:spacing w:line="360" w:lineRule="auto"/>
        <w:rPr>
          <w:lang w:val="nl-NL" w:eastAsia="en-US"/>
        </w:rPr>
      </w:pPr>
      <w:r w:rsidRPr="00A33930">
        <w:rPr>
          <w:lang w:val="nl-NL" w:eastAsia="en-US"/>
        </w:rPr>
        <w:t>EVRM</w:t>
      </w:r>
      <w:r w:rsidRPr="00A33930">
        <w:rPr>
          <w:lang w:val="nl-NL" w:eastAsia="en-US"/>
        </w:rPr>
        <w:tab/>
      </w:r>
      <w:r w:rsidRPr="00A33930">
        <w:rPr>
          <w:lang w:val="nl-NL" w:eastAsia="en-US"/>
        </w:rPr>
        <w:tab/>
      </w:r>
      <w:r w:rsidRPr="00A33930">
        <w:rPr>
          <w:lang w:val="nl-NL" w:eastAsia="en-US"/>
        </w:rPr>
        <w:tab/>
        <w:t>Europees Verdrag inzake de Rechten van de Mens</w:t>
      </w:r>
    </w:p>
    <w:p w14:paraId="572A6D67" w14:textId="77777777" w:rsidR="00CA3125" w:rsidRPr="00A33930" w:rsidRDefault="00CA3125" w:rsidP="007A26E0">
      <w:pPr>
        <w:spacing w:line="360" w:lineRule="auto"/>
        <w:rPr>
          <w:rFonts w:eastAsia="Verdana" w:cs="Verdana"/>
          <w:szCs w:val="18"/>
          <w:lang w:val="nl-NL"/>
        </w:rPr>
      </w:pPr>
      <w:r w:rsidRPr="00A33930">
        <w:rPr>
          <w:lang w:val="nl-NL" w:eastAsia="en-US"/>
        </w:rPr>
        <w:t>EVURK</w:t>
      </w:r>
      <w:r w:rsidRPr="00A33930">
        <w:rPr>
          <w:lang w:val="nl-NL" w:eastAsia="en-US"/>
        </w:rPr>
        <w:tab/>
      </w:r>
      <w:r w:rsidRPr="00A33930">
        <w:rPr>
          <w:lang w:val="nl-NL" w:eastAsia="en-US"/>
        </w:rPr>
        <w:tab/>
      </w:r>
      <w:r w:rsidRPr="00A33930">
        <w:rPr>
          <w:lang w:val="nl-NL" w:eastAsia="en-US"/>
        </w:rPr>
        <w:tab/>
      </w:r>
      <w:r w:rsidRPr="00A33930">
        <w:rPr>
          <w:rFonts w:eastAsia="Verdana" w:cs="Verdana"/>
          <w:szCs w:val="18"/>
          <w:lang w:val="nl-NL"/>
        </w:rPr>
        <w:t>Europees Verdrag inzake de Uitoefening van de Rechten van het Kind</w:t>
      </w:r>
    </w:p>
    <w:p w14:paraId="11B3ECC0" w14:textId="77777777" w:rsidR="00CA3125" w:rsidRPr="00A33930" w:rsidRDefault="00CA3125" w:rsidP="007A26E0">
      <w:pPr>
        <w:spacing w:line="360" w:lineRule="auto"/>
        <w:rPr>
          <w:lang w:val="nl-NL" w:eastAsia="en-US"/>
        </w:rPr>
      </w:pPr>
      <w:r w:rsidRPr="00A33930">
        <w:rPr>
          <w:lang w:val="nl-NL" w:eastAsia="en-US"/>
        </w:rPr>
        <w:t>IVRK</w:t>
      </w:r>
      <w:r w:rsidRPr="00A33930">
        <w:rPr>
          <w:lang w:val="nl-NL" w:eastAsia="en-US"/>
        </w:rPr>
        <w:tab/>
      </w:r>
      <w:r w:rsidRPr="00A33930">
        <w:rPr>
          <w:lang w:val="nl-NL" w:eastAsia="en-US"/>
        </w:rPr>
        <w:tab/>
      </w:r>
      <w:r w:rsidRPr="00A33930">
        <w:rPr>
          <w:lang w:val="nl-NL" w:eastAsia="en-US"/>
        </w:rPr>
        <w:tab/>
        <w:t>Internationaal Verdrag inzake de Rechten van het Kind</w:t>
      </w:r>
    </w:p>
    <w:p w14:paraId="3E8E3D8B" w14:textId="77777777" w:rsidR="00CA3125" w:rsidRPr="00A33930" w:rsidRDefault="00CA3125" w:rsidP="007A26E0">
      <w:pPr>
        <w:spacing w:line="360" w:lineRule="auto"/>
        <w:rPr>
          <w:rFonts w:eastAsia="Verdana" w:cs="Verdana"/>
          <w:szCs w:val="18"/>
          <w:lang w:val="nl-NL"/>
        </w:rPr>
      </w:pPr>
      <w:r w:rsidRPr="00A33930">
        <w:rPr>
          <w:rFonts w:eastAsia="Verdana" w:cs="Verdana"/>
          <w:szCs w:val="18"/>
          <w:lang w:val="nl-NL"/>
        </w:rPr>
        <w:t>NBW</w:t>
      </w:r>
      <w:r w:rsidRPr="00A33930">
        <w:rPr>
          <w:rFonts w:eastAsia="Verdana" w:cs="Verdana"/>
          <w:szCs w:val="18"/>
          <w:lang w:val="nl-NL"/>
        </w:rPr>
        <w:tab/>
      </w:r>
      <w:r w:rsidRPr="00A33930">
        <w:rPr>
          <w:rFonts w:eastAsia="Verdana" w:cs="Verdana"/>
          <w:szCs w:val="18"/>
          <w:lang w:val="nl-NL"/>
        </w:rPr>
        <w:tab/>
      </w:r>
      <w:r w:rsidRPr="00A33930">
        <w:rPr>
          <w:rFonts w:eastAsia="Verdana" w:cs="Verdana"/>
          <w:szCs w:val="18"/>
          <w:lang w:val="nl-NL"/>
        </w:rPr>
        <w:tab/>
        <w:t>Nederlands Burgerlijk Wetboek</w:t>
      </w:r>
    </w:p>
    <w:p w14:paraId="71DBD562" w14:textId="06A4C5D7" w:rsidR="00CA3125" w:rsidRPr="00A33930" w:rsidRDefault="00CA3125" w:rsidP="007A26E0">
      <w:pPr>
        <w:spacing w:line="360" w:lineRule="auto"/>
        <w:rPr>
          <w:lang w:val="nl-NL" w:eastAsia="en-US"/>
        </w:rPr>
      </w:pPr>
      <w:r w:rsidRPr="00A33930">
        <w:rPr>
          <w:lang w:val="nl-NL" w:eastAsia="en-US"/>
        </w:rPr>
        <w:t>oud BW</w:t>
      </w:r>
      <w:r w:rsidRPr="00A33930">
        <w:rPr>
          <w:lang w:val="nl-NL" w:eastAsia="en-US"/>
        </w:rPr>
        <w:tab/>
      </w:r>
      <w:r w:rsidRPr="00A33930">
        <w:rPr>
          <w:lang w:val="nl-NL" w:eastAsia="en-US"/>
        </w:rPr>
        <w:tab/>
      </w:r>
      <w:r w:rsidRPr="00A33930">
        <w:rPr>
          <w:lang w:val="nl-NL" w:eastAsia="en-US"/>
        </w:rPr>
        <w:tab/>
      </w:r>
      <w:r w:rsidR="00522F68" w:rsidRPr="00A33930">
        <w:rPr>
          <w:lang w:val="nl-NL" w:eastAsia="en-US"/>
        </w:rPr>
        <w:t>o</w:t>
      </w:r>
      <w:r w:rsidRPr="00A33930">
        <w:rPr>
          <w:lang w:val="nl-NL" w:eastAsia="en-US"/>
        </w:rPr>
        <w:t>ud Burgerlijk Wetboek</w:t>
      </w:r>
    </w:p>
    <w:p w14:paraId="19961347" w14:textId="77777777" w:rsidR="00CA3125" w:rsidRPr="00A33930" w:rsidRDefault="00CA3125" w:rsidP="007A26E0">
      <w:pPr>
        <w:spacing w:line="360" w:lineRule="auto"/>
        <w:rPr>
          <w:rFonts w:eastAsia="Verdana" w:cs="Verdana"/>
          <w:szCs w:val="18"/>
          <w:lang w:val="nl-NL"/>
        </w:rPr>
      </w:pPr>
      <w:r w:rsidRPr="00A33930">
        <w:rPr>
          <w:rFonts w:eastAsia="Verdana" w:cs="Verdana"/>
          <w:szCs w:val="18"/>
          <w:lang w:val="nl-NL"/>
        </w:rPr>
        <w:t>RvE</w:t>
      </w:r>
      <w:r w:rsidRPr="00A33930">
        <w:rPr>
          <w:rFonts w:eastAsia="Verdana" w:cs="Verdana"/>
          <w:szCs w:val="18"/>
          <w:lang w:val="nl-NL"/>
        </w:rPr>
        <w:tab/>
      </w:r>
      <w:r w:rsidRPr="00A33930">
        <w:rPr>
          <w:rFonts w:eastAsia="Verdana" w:cs="Verdana"/>
          <w:szCs w:val="18"/>
          <w:lang w:val="nl-NL"/>
        </w:rPr>
        <w:tab/>
      </w:r>
      <w:r w:rsidRPr="00A33930">
        <w:rPr>
          <w:rFonts w:eastAsia="Verdana" w:cs="Verdana"/>
          <w:szCs w:val="18"/>
          <w:lang w:val="nl-NL"/>
        </w:rPr>
        <w:tab/>
        <w:t>Raad van Europa</w:t>
      </w:r>
    </w:p>
    <w:p w14:paraId="2D6E5C3E" w14:textId="77777777" w:rsidR="00CA3125" w:rsidRPr="00A33930" w:rsidRDefault="00CA3125" w:rsidP="007A26E0">
      <w:pPr>
        <w:spacing w:line="360" w:lineRule="auto"/>
        <w:rPr>
          <w:lang w:val="nl-NL" w:eastAsia="en-US"/>
        </w:rPr>
      </w:pPr>
      <w:r w:rsidRPr="00A33930">
        <w:rPr>
          <w:lang w:val="nl-NL" w:eastAsia="en-US"/>
        </w:rPr>
        <w:t>UVRM</w:t>
      </w:r>
      <w:r w:rsidRPr="00A33930">
        <w:rPr>
          <w:lang w:val="nl-NL" w:eastAsia="en-US"/>
        </w:rPr>
        <w:tab/>
      </w:r>
      <w:r w:rsidRPr="00A33930">
        <w:rPr>
          <w:lang w:val="nl-NL" w:eastAsia="en-US"/>
        </w:rPr>
        <w:tab/>
      </w:r>
      <w:r w:rsidRPr="00A33930">
        <w:rPr>
          <w:lang w:val="nl-NL" w:eastAsia="en-US"/>
        </w:rPr>
        <w:tab/>
      </w:r>
      <w:r w:rsidRPr="00A33930">
        <w:rPr>
          <w:rFonts w:eastAsia="Verdana" w:cs="Verdana"/>
          <w:szCs w:val="18"/>
          <w:lang w:val="nl-NL"/>
        </w:rPr>
        <w:t>Universele Verklaring van de Rechten van de Mens</w:t>
      </w:r>
    </w:p>
    <w:p w14:paraId="74E171C5" w14:textId="77777777" w:rsidR="00CA3125" w:rsidRPr="00A33930" w:rsidRDefault="00CA3125" w:rsidP="007A26E0">
      <w:pPr>
        <w:spacing w:line="360" w:lineRule="auto"/>
        <w:rPr>
          <w:lang w:val="nl-NL" w:eastAsia="en-US"/>
        </w:rPr>
      </w:pPr>
    </w:p>
    <w:p w14:paraId="2BDFCAD3" w14:textId="3E5CB31C" w:rsidR="007C7390" w:rsidRPr="00A33930" w:rsidRDefault="007C7390">
      <w:pPr>
        <w:spacing w:after="160" w:line="259" w:lineRule="auto"/>
        <w:rPr>
          <w:lang w:val="nl-NL" w:eastAsia="en-US"/>
        </w:rPr>
      </w:pPr>
      <w:r w:rsidRPr="00A33930">
        <w:rPr>
          <w:lang w:val="nl-NL" w:eastAsia="en-US"/>
        </w:rPr>
        <w:br w:type="page"/>
      </w:r>
    </w:p>
    <w:p w14:paraId="055012B7" w14:textId="77777777" w:rsidR="007A26E0" w:rsidRPr="00A33930" w:rsidRDefault="007A26E0" w:rsidP="007A26E0">
      <w:pPr>
        <w:spacing w:line="360" w:lineRule="auto"/>
        <w:rPr>
          <w:lang w:val="nl-NL" w:eastAsia="en-US"/>
        </w:rPr>
      </w:pPr>
    </w:p>
    <w:p w14:paraId="5D14EEFC" w14:textId="77777777" w:rsidR="00D80EF1" w:rsidRPr="00A33930" w:rsidRDefault="00D80EF1">
      <w:pPr>
        <w:spacing w:after="160" w:line="259" w:lineRule="auto"/>
        <w:rPr>
          <w:sz w:val="22"/>
          <w:szCs w:val="28"/>
          <w:lang w:val="nl-NL"/>
        </w:rPr>
        <w:sectPr w:rsidR="00D80EF1" w:rsidRPr="00A33930" w:rsidSect="007C739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fmt="upperRoman" w:start="1"/>
          <w:cols w:space="708"/>
          <w:titlePg/>
          <w:docGrid w:linePitch="360"/>
        </w:sectPr>
      </w:pPr>
    </w:p>
    <w:p w14:paraId="2639159D" w14:textId="56B8FF65" w:rsidR="006A2625" w:rsidRPr="00A33930" w:rsidRDefault="005A08F7" w:rsidP="00F10A96">
      <w:pPr>
        <w:pStyle w:val="Kop1"/>
        <w:jc w:val="both"/>
        <w:rPr>
          <w:sz w:val="22"/>
          <w:szCs w:val="28"/>
          <w:lang w:val="nl-NL"/>
        </w:rPr>
      </w:pPr>
      <w:bookmarkStart w:id="3" w:name="_Toc134621162"/>
      <w:r w:rsidRPr="00A33930">
        <w:rPr>
          <w:sz w:val="22"/>
          <w:szCs w:val="28"/>
          <w:lang w:val="nl-NL"/>
        </w:rPr>
        <w:lastRenderedPageBreak/>
        <w:t>INLEIDING</w:t>
      </w:r>
      <w:bookmarkEnd w:id="3"/>
    </w:p>
    <w:p w14:paraId="34BEAB4E" w14:textId="3D3E9729" w:rsidR="004D631D" w:rsidRPr="00A33930" w:rsidRDefault="00C808FF" w:rsidP="004D631D">
      <w:pPr>
        <w:pStyle w:val="Kop2"/>
        <w:numPr>
          <w:ilvl w:val="0"/>
          <w:numId w:val="0"/>
        </w:numPr>
        <w:jc w:val="both"/>
        <w:rPr>
          <w:sz w:val="20"/>
          <w:szCs w:val="28"/>
          <w:lang w:val="nl-NL"/>
        </w:rPr>
      </w:pPr>
      <w:bookmarkStart w:id="4" w:name="_Toc134621163"/>
      <w:r w:rsidRPr="00A33930">
        <w:rPr>
          <w:sz w:val="20"/>
          <w:szCs w:val="28"/>
          <w:lang w:val="nl-NL"/>
        </w:rPr>
        <w:t>HOOFDSTUK I.</w:t>
      </w:r>
      <w:r w:rsidRPr="00A33930">
        <w:rPr>
          <w:sz w:val="20"/>
          <w:szCs w:val="28"/>
          <w:lang w:val="nl-NL"/>
        </w:rPr>
        <w:tab/>
        <w:t>ONDERZOEKSCONTEXT</w:t>
      </w:r>
      <w:bookmarkEnd w:id="4"/>
    </w:p>
    <w:p w14:paraId="769FEAF5" w14:textId="5859F4D9" w:rsidR="00C808FF" w:rsidRPr="00A33930" w:rsidRDefault="00C808FF" w:rsidP="00C808FF">
      <w:pPr>
        <w:pStyle w:val="Kop3"/>
        <w:numPr>
          <w:ilvl w:val="0"/>
          <w:numId w:val="0"/>
        </w:numPr>
        <w:ind w:left="360" w:hanging="360"/>
        <w:jc w:val="both"/>
        <w:rPr>
          <w:lang w:val="nl-NL"/>
        </w:rPr>
      </w:pPr>
      <w:bookmarkStart w:id="5" w:name="_Toc134621164"/>
      <w:r w:rsidRPr="00A33930">
        <w:rPr>
          <w:lang w:val="nl-NL"/>
        </w:rPr>
        <w:t>Afdeling I.</w:t>
      </w:r>
      <w:r w:rsidR="0097678D" w:rsidRPr="00A33930">
        <w:rPr>
          <w:lang w:val="nl-NL"/>
        </w:rPr>
        <w:tab/>
      </w:r>
      <w:r w:rsidR="0097678D" w:rsidRPr="00A33930">
        <w:rPr>
          <w:lang w:val="nl-NL"/>
        </w:rPr>
        <w:tab/>
      </w:r>
      <w:r w:rsidRPr="00A33930">
        <w:rPr>
          <w:lang w:val="nl-NL"/>
        </w:rPr>
        <w:t>Onderwerp</w:t>
      </w:r>
      <w:r w:rsidR="005400BF" w:rsidRPr="00A33930">
        <w:rPr>
          <w:lang w:val="nl-NL"/>
        </w:rPr>
        <w:t xml:space="preserve"> van het onderzoek</w:t>
      </w:r>
      <w:bookmarkEnd w:id="5"/>
    </w:p>
    <w:p w14:paraId="03B434F7" w14:textId="4B780349" w:rsidR="003948F3" w:rsidRPr="00A33930" w:rsidRDefault="003948F3" w:rsidP="003948F3">
      <w:pPr>
        <w:pStyle w:val="Lijstalinea"/>
        <w:spacing w:before="200" w:after="0"/>
        <w:ind w:left="0"/>
        <w:jc w:val="both"/>
        <w:rPr>
          <w:rFonts w:eastAsia="Verdana" w:cs="Verdana"/>
          <w:i/>
          <w:iCs/>
          <w:szCs w:val="18"/>
          <w:lang w:val="nl-NL"/>
        </w:rPr>
      </w:pPr>
      <w:r w:rsidRPr="00886337">
        <w:rPr>
          <w:rFonts w:eastAsia="Verdana" w:cs="Verdana"/>
          <w:i/>
          <w:iCs/>
          <w:szCs w:val="18"/>
          <w:lang w:val="en-US"/>
        </w:rPr>
        <w:t xml:space="preserve">“Traditionally, the child has been seen as a dependent, invisible and passive family member. </w:t>
      </w:r>
      <w:r w:rsidRPr="00A33930">
        <w:rPr>
          <w:rFonts w:eastAsia="Verdana" w:cs="Verdana"/>
          <w:i/>
          <w:iCs/>
          <w:szCs w:val="18"/>
          <w:lang w:val="nl-NL"/>
        </w:rPr>
        <w:t>Only recently has he or she become ‘seen’ and, furthermore, the movement is growing to give him or her the space to be heard and respected</w:t>
      </w:r>
      <w:r w:rsidR="00D841C5" w:rsidRPr="00A33930">
        <w:rPr>
          <w:rFonts w:eastAsia="Verdana" w:cs="Verdana"/>
          <w:i/>
          <w:iCs/>
          <w:szCs w:val="18"/>
          <w:lang w:val="nl-NL"/>
        </w:rPr>
        <w:t xml:space="preserve">. </w:t>
      </w:r>
      <w:r w:rsidR="00E15E2A" w:rsidRPr="00886337">
        <w:rPr>
          <w:rFonts w:eastAsia="Verdana" w:cs="Verdana"/>
          <w:i/>
          <w:iCs/>
          <w:szCs w:val="18"/>
          <w:lang w:val="en-US"/>
        </w:rPr>
        <w:t>(…) Is this only a dream or should it also be envisaged as a precise and challenging task?</w:t>
      </w:r>
      <w:r w:rsidRPr="00886337">
        <w:rPr>
          <w:rFonts w:eastAsia="Verdana" w:cs="Verdana"/>
          <w:i/>
          <w:iCs/>
          <w:szCs w:val="18"/>
          <w:lang w:val="en-US"/>
        </w:rPr>
        <w:t>”.</w:t>
      </w:r>
      <w:r w:rsidRPr="00A33930">
        <w:rPr>
          <w:rStyle w:val="Voetnootmarkering"/>
          <w:rFonts w:eastAsia="Verdana" w:cs="Verdana"/>
          <w:i/>
          <w:iCs/>
          <w:szCs w:val="18"/>
          <w:lang w:val="nl-NL"/>
        </w:rPr>
        <w:footnoteReference w:id="1"/>
      </w:r>
    </w:p>
    <w:p w14:paraId="1FD2F6C8" w14:textId="7B5211FF" w:rsidR="00E2691E" w:rsidRPr="00886337" w:rsidRDefault="00E2691E" w:rsidP="003948F3">
      <w:pPr>
        <w:pStyle w:val="Lijstalinea"/>
        <w:spacing w:before="200" w:after="0"/>
        <w:ind w:left="0"/>
        <w:jc w:val="both"/>
        <w:rPr>
          <w:rFonts w:eastAsia="Verdana" w:cs="Verdana"/>
          <w:szCs w:val="18"/>
          <w:lang w:val="en-US"/>
        </w:rPr>
      </w:pPr>
    </w:p>
    <w:p w14:paraId="384E6B29" w14:textId="4C0F249F" w:rsidR="00577A5E" w:rsidRPr="00A33930" w:rsidRDefault="00E2691E" w:rsidP="003948F3">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Steeds meer wordt Justitie </w:t>
      </w:r>
      <w:r w:rsidR="00577A5E" w:rsidRPr="00A33930">
        <w:rPr>
          <w:rFonts w:eastAsia="Verdana" w:cs="Verdana"/>
          <w:szCs w:val="18"/>
          <w:lang w:val="nl-NL"/>
        </w:rPr>
        <w:t>“</w:t>
      </w:r>
      <w:r w:rsidRPr="00A33930">
        <w:rPr>
          <w:rFonts w:eastAsia="Verdana" w:cs="Verdana"/>
          <w:szCs w:val="18"/>
          <w:lang w:val="nl-NL"/>
        </w:rPr>
        <w:t>menselijker</w:t>
      </w:r>
      <w:r w:rsidR="00577A5E" w:rsidRPr="00A33930">
        <w:rPr>
          <w:rFonts w:eastAsia="Verdana" w:cs="Verdana"/>
          <w:szCs w:val="18"/>
          <w:lang w:val="nl-NL"/>
        </w:rPr>
        <w:t>, sneller en straffer”</w:t>
      </w:r>
      <w:r w:rsidR="00577A5E" w:rsidRPr="00A33930">
        <w:rPr>
          <w:rStyle w:val="Voetnootmarkering"/>
          <w:rFonts w:eastAsia="Verdana" w:cs="Verdana"/>
          <w:szCs w:val="18"/>
          <w:lang w:val="nl-NL"/>
        </w:rPr>
        <w:footnoteReference w:id="2"/>
      </w:r>
      <w:r w:rsidRPr="00A33930">
        <w:rPr>
          <w:rFonts w:eastAsia="Verdana" w:cs="Verdana"/>
          <w:szCs w:val="18"/>
          <w:lang w:val="nl-NL"/>
        </w:rPr>
        <w:t xml:space="preserve"> met een sterke focus op de persoon en zijn belangen</w:t>
      </w:r>
      <w:r w:rsidR="00FE5835" w:rsidRPr="00A33930">
        <w:rPr>
          <w:rFonts w:eastAsia="Verdana" w:cs="Verdana"/>
          <w:szCs w:val="18"/>
          <w:lang w:val="nl-NL"/>
        </w:rPr>
        <w:t>.</w:t>
      </w:r>
      <w:r w:rsidRPr="00A33930">
        <w:rPr>
          <w:rFonts w:eastAsia="Verdana" w:cs="Verdana"/>
          <w:szCs w:val="18"/>
          <w:lang w:val="nl-NL"/>
        </w:rPr>
        <w:t xml:space="preserve"> </w:t>
      </w:r>
      <w:r w:rsidR="00FE5835" w:rsidRPr="00A33930">
        <w:rPr>
          <w:rFonts w:eastAsia="Verdana" w:cs="Verdana"/>
          <w:szCs w:val="18"/>
          <w:lang w:val="nl-NL"/>
        </w:rPr>
        <w:t>D</w:t>
      </w:r>
      <w:r w:rsidRPr="00A33930">
        <w:rPr>
          <w:rFonts w:eastAsia="Verdana" w:cs="Verdana"/>
          <w:szCs w:val="18"/>
          <w:lang w:val="nl-NL"/>
        </w:rPr>
        <w:t xml:space="preserve">at is niet anders voor kinderrechten. Een </w:t>
      </w:r>
      <w:r w:rsidR="000F6EEE" w:rsidRPr="00A33930">
        <w:rPr>
          <w:rFonts w:eastAsia="Verdana" w:cs="Verdana"/>
          <w:szCs w:val="18"/>
          <w:lang w:val="nl-NL"/>
        </w:rPr>
        <w:t xml:space="preserve">kindperspectief </w:t>
      </w:r>
      <w:r w:rsidRPr="00A33930">
        <w:rPr>
          <w:rFonts w:eastAsia="Verdana" w:cs="Verdana"/>
          <w:szCs w:val="18"/>
          <w:lang w:val="nl-NL"/>
        </w:rPr>
        <w:t>dat het kind ook effectief in de hoofdrol plaatst is steeds meer aan de orde</w:t>
      </w:r>
      <w:r w:rsidR="00397F19" w:rsidRPr="00A33930">
        <w:rPr>
          <w:rFonts w:eastAsia="Verdana" w:cs="Verdana"/>
          <w:szCs w:val="18"/>
          <w:lang w:val="nl-NL"/>
        </w:rPr>
        <w:t>.</w:t>
      </w:r>
      <w:r w:rsidRPr="00A33930">
        <w:rPr>
          <w:rFonts w:eastAsia="Verdana" w:cs="Verdana"/>
          <w:szCs w:val="18"/>
          <w:lang w:val="nl-NL"/>
        </w:rPr>
        <w:t xml:space="preserve"> </w:t>
      </w:r>
      <w:r w:rsidR="00EB0BED" w:rsidRPr="00A33930">
        <w:rPr>
          <w:rFonts w:eastAsia="Verdana" w:cs="Verdana"/>
          <w:szCs w:val="18"/>
          <w:lang w:val="nl-NL"/>
        </w:rPr>
        <w:t>Sinds</w:t>
      </w:r>
      <w:r w:rsidR="006800ED" w:rsidRPr="00A33930">
        <w:rPr>
          <w:rFonts w:eastAsia="Verdana" w:cs="Verdana"/>
          <w:szCs w:val="18"/>
          <w:lang w:val="nl-NL"/>
        </w:rPr>
        <w:t xml:space="preserve"> het ontstaan van het IVRK in </w:t>
      </w:r>
      <w:r w:rsidR="00B625EE" w:rsidRPr="00A33930">
        <w:rPr>
          <w:rFonts w:eastAsia="Verdana" w:cs="Verdana"/>
          <w:szCs w:val="18"/>
          <w:lang w:val="nl-NL"/>
        </w:rPr>
        <w:t>1989</w:t>
      </w:r>
      <w:r w:rsidR="006800ED" w:rsidRPr="00A33930">
        <w:rPr>
          <w:rFonts w:eastAsia="Verdana" w:cs="Verdana"/>
          <w:szCs w:val="18"/>
          <w:lang w:val="nl-NL"/>
        </w:rPr>
        <w:t xml:space="preserve"> </w:t>
      </w:r>
      <w:r w:rsidR="00B625EE" w:rsidRPr="00A33930">
        <w:rPr>
          <w:rFonts w:eastAsia="Verdana" w:cs="Verdana"/>
          <w:szCs w:val="18"/>
          <w:lang w:val="nl-NL"/>
        </w:rPr>
        <w:t xml:space="preserve">wordt op mensenrechtelijk niveau een kindvriendelijk </w:t>
      </w:r>
      <w:r w:rsidR="00E57778" w:rsidRPr="00A33930">
        <w:rPr>
          <w:rFonts w:eastAsia="Verdana" w:cs="Verdana"/>
          <w:szCs w:val="18"/>
          <w:lang w:val="nl-NL"/>
        </w:rPr>
        <w:t xml:space="preserve">kindperspectief </w:t>
      </w:r>
      <w:r w:rsidR="00B625EE" w:rsidRPr="00A33930">
        <w:rPr>
          <w:rFonts w:eastAsia="Verdana" w:cs="Verdana"/>
          <w:szCs w:val="18"/>
          <w:lang w:val="nl-NL"/>
        </w:rPr>
        <w:t>gehanteerd (</w:t>
      </w:r>
      <w:r w:rsidR="00B625EE" w:rsidRPr="00A33930">
        <w:rPr>
          <w:rFonts w:eastAsia="Verdana" w:cs="Verdana"/>
          <w:i/>
          <w:iCs/>
          <w:szCs w:val="18"/>
          <w:lang w:val="nl-NL"/>
        </w:rPr>
        <w:t>infra</w:t>
      </w:r>
      <w:r w:rsidR="00B625EE" w:rsidRPr="00A33930">
        <w:rPr>
          <w:rFonts w:eastAsia="Verdana" w:cs="Verdana"/>
          <w:szCs w:val="18"/>
          <w:lang w:val="nl-NL"/>
        </w:rPr>
        <w:t>, nr.</w:t>
      </w:r>
      <w:r w:rsidR="00B458A2" w:rsidRPr="00A33930">
        <w:rPr>
          <w:rFonts w:eastAsia="Verdana" w:cs="Verdana"/>
          <w:szCs w:val="18"/>
          <w:lang w:val="nl-NL"/>
        </w:rPr>
        <w:t xml:space="preserve"> 32</w:t>
      </w:r>
      <w:r w:rsidR="00B625EE" w:rsidRPr="00A33930">
        <w:rPr>
          <w:rFonts w:eastAsia="Verdana" w:cs="Verdana"/>
          <w:szCs w:val="18"/>
          <w:lang w:val="nl-NL"/>
        </w:rPr>
        <w:t>).</w:t>
      </w:r>
      <w:r w:rsidR="00B625EE" w:rsidRPr="00A33930">
        <w:rPr>
          <w:rStyle w:val="Voetnootmarkering"/>
          <w:rFonts w:eastAsia="Verdana" w:cs="Verdana"/>
          <w:szCs w:val="18"/>
          <w:lang w:val="nl-NL"/>
        </w:rPr>
        <w:footnoteReference w:id="3"/>
      </w:r>
      <w:r w:rsidR="00B625EE" w:rsidRPr="00A33930">
        <w:rPr>
          <w:rFonts w:eastAsia="Verdana" w:cs="Verdana"/>
          <w:szCs w:val="18"/>
          <w:lang w:val="nl-NL"/>
        </w:rPr>
        <w:t xml:space="preserve"> Het IVRK stelt namelijk dat kinderen geen rechtsobjecten maar rechtssubjecten zijn</w:t>
      </w:r>
      <w:r w:rsidR="006800ED" w:rsidRPr="00A33930">
        <w:rPr>
          <w:rFonts w:eastAsia="Verdana" w:cs="Verdana"/>
          <w:szCs w:val="18"/>
          <w:lang w:val="nl-NL"/>
        </w:rPr>
        <w:t>.</w:t>
      </w:r>
      <w:r w:rsidR="004D498E" w:rsidRPr="00A33930">
        <w:rPr>
          <w:rFonts w:eastAsia="Verdana" w:cs="Verdana"/>
          <w:szCs w:val="18"/>
          <w:lang w:val="nl-NL"/>
        </w:rPr>
        <w:t xml:space="preserve"> </w:t>
      </w:r>
      <w:r w:rsidR="006800ED" w:rsidRPr="00A33930">
        <w:rPr>
          <w:rFonts w:eastAsia="Verdana" w:cs="Verdana"/>
          <w:szCs w:val="18"/>
          <w:lang w:val="nl-NL"/>
        </w:rPr>
        <w:t xml:space="preserve">Zij zijn dus </w:t>
      </w:r>
      <w:r w:rsidR="00B625EE" w:rsidRPr="00A33930">
        <w:rPr>
          <w:rFonts w:eastAsia="Verdana" w:cs="Verdana"/>
          <w:szCs w:val="18"/>
          <w:lang w:val="nl-NL"/>
        </w:rPr>
        <w:t xml:space="preserve">drager van eigen rechten. </w:t>
      </w:r>
      <w:r w:rsidRPr="00A33930">
        <w:rPr>
          <w:rFonts w:eastAsia="Verdana" w:cs="Verdana"/>
          <w:szCs w:val="18"/>
          <w:lang w:val="nl-NL"/>
        </w:rPr>
        <w:t xml:space="preserve">Tot op </w:t>
      </w:r>
      <w:r w:rsidR="004832A9" w:rsidRPr="00A33930">
        <w:rPr>
          <w:rFonts w:eastAsia="Verdana" w:cs="Verdana"/>
          <w:szCs w:val="18"/>
          <w:lang w:val="nl-NL"/>
        </w:rPr>
        <w:t>heden</w:t>
      </w:r>
      <w:r w:rsidRPr="00A33930">
        <w:rPr>
          <w:rFonts w:eastAsia="Verdana" w:cs="Verdana"/>
          <w:szCs w:val="18"/>
          <w:lang w:val="nl-NL"/>
        </w:rPr>
        <w:t xml:space="preserve"> is de Belgische wetgeving</w:t>
      </w:r>
      <w:r w:rsidR="00EB0BED" w:rsidRPr="00A33930">
        <w:rPr>
          <w:rFonts w:eastAsia="Verdana" w:cs="Verdana"/>
          <w:szCs w:val="18"/>
          <w:lang w:val="nl-NL"/>
        </w:rPr>
        <w:t xml:space="preserve"> echter</w:t>
      </w:r>
      <w:r w:rsidRPr="00A33930">
        <w:rPr>
          <w:rFonts w:eastAsia="Verdana" w:cs="Verdana"/>
          <w:szCs w:val="18"/>
          <w:lang w:val="nl-NL"/>
        </w:rPr>
        <w:t xml:space="preserve"> ingebed in </w:t>
      </w:r>
      <w:r w:rsidR="00A40BA9" w:rsidRPr="00A33930">
        <w:rPr>
          <w:rFonts w:eastAsia="Verdana" w:cs="Verdana"/>
          <w:szCs w:val="18"/>
          <w:lang w:val="nl-NL"/>
        </w:rPr>
        <w:t>het</w:t>
      </w:r>
      <w:r w:rsidRPr="00A33930">
        <w:rPr>
          <w:rFonts w:eastAsia="Verdana" w:cs="Verdana"/>
          <w:szCs w:val="18"/>
          <w:lang w:val="nl-NL"/>
        </w:rPr>
        <w:t xml:space="preserve"> idee dat enkel volwassenen rechten kunnen uitoefenen en afdwingen, ook wanneer het om het recht op persoonlijk contact gaat</w:t>
      </w:r>
      <w:r w:rsidR="00577A5E" w:rsidRPr="00A33930">
        <w:rPr>
          <w:rFonts w:eastAsia="Verdana" w:cs="Verdana"/>
          <w:szCs w:val="18"/>
          <w:lang w:val="nl-NL"/>
        </w:rPr>
        <w:t xml:space="preserve"> (</w:t>
      </w:r>
      <w:r w:rsidR="00577A5E" w:rsidRPr="00A33930">
        <w:rPr>
          <w:rFonts w:eastAsia="Verdana" w:cs="Verdana"/>
          <w:i/>
          <w:iCs/>
          <w:szCs w:val="18"/>
          <w:lang w:val="nl-NL"/>
        </w:rPr>
        <w:t>infra</w:t>
      </w:r>
      <w:r w:rsidR="00577A5E" w:rsidRPr="00A33930">
        <w:rPr>
          <w:rFonts w:eastAsia="Verdana" w:cs="Verdana"/>
          <w:szCs w:val="18"/>
          <w:lang w:val="nl-NL"/>
        </w:rPr>
        <w:t xml:space="preserve">, nr. </w:t>
      </w:r>
      <w:r w:rsidR="00F15185" w:rsidRPr="00A33930">
        <w:rPr>
          <w:rFonts w:eastAsia="Verdana" w:cs="Verdana"/>
          <w:szCs w:val="18"/>
          <w:lang w:val="nl-NL"/>
        </w:rPr>
        <w:t>96</w:t>
      </w:r>
      <w:r w:rsidR="00577A5E" w:rsidRPr="00A33930">
        <w:rPr>
          <w:rFonts w:eastAsia="Verdana" w:cs="Verdana"/>
          <w:szCs w:val="18"/>
          <w:lang w:val="nl-NL"/>
        </w:rPr>
        <w:t>)</w:t>
      </w:r>
      <w:r w:rsidR="00397F19" w:rsidRPr="00A33930">
        <w:rPr>
          <w:rFonts w:eastAsia="Verdana" w:cs="Verdana"/>
          <w:szCs w:val="18"/>
          <w:lang w:val="nl-NL"/>
        </w:rPr>
        <w:t>.</w:t>
      </w:r>
      <w:r w:rsidRPr="00A33930">
        <w:rPr>
          <w:rFonts w:eastAsia="Verdana" w:cs="Verdana"/>
          <w:szCs w:val="18"/>
          <w:lang w:val="nl-NL"/>
        </w:rPr>
        <w:t xml:space="preserve"> </w:t>
      </w:r>
      <w:r w:rsidR="00EB0BED" w:rsidRPr="00A33930">
        <w:rPr>
          <w:rFonts w:eastAsia="Verdana" w:cs="Verdana"/>
          <w:szCs w:val="18"/>
          <w:lang w:val="nl-NL"/>
        </w:rPr>
        <w:t>Deze traditionele Belgische opvatting strookt niet (meer) met de opvatting op mensenrechtelijk niveau.</w:t>
      </w:r>
    </w:p>
    <w:p w14:paraId="3109B5D8" w14:textId="77777777" w:rsidR="00577A5E" w:rsidRPr="00A33930" w:rsidRDefault="00577A5E" w:rsidP="00577A5E">
      <w:pPr>
        <w:pStyle w:val="Lijstalinea"/>
        <w:spacing w:before="200" w:after="0"/>
        <w:ind w:left="0"/>
        <w:jc w:val="both"/>
        <w:rPr>
          <w:rFonts w:eastAsia="Verdana" w:cs="Verdana"/>
          <w:szCs w:val="18"/>
          <w:lang w:val="nl-NL"/>
        </w:rPr>
      </w:pPr>
    </w:p>
    <w:p w14:paraId="3EAEFC3E" w14:textId="77777777" w:rsidR="009F35BF" w:rsidRPr="00A33930" w:rsidRDefault="00577A5E" w:rsidP="00B625EE">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Naar Belgisch recht zit het recht op persoonlijk contact namelijk vervat in het recht van bewaring dat door de ouder(s) met het ouderlijk gezag wordt uitgeoefend. Dit geeft de ouder(s) het recht om de dagelijkse zorg over het kind waar te nemen en om te beslissen over de opvoeding. Indien de ouders niet meer samenleven en gezamenlijk ouderlijk gezag uitoefenen, wordt het recht op persoonlijk contact voor hen geconcretiseerd in een verblijfsregeling</w:t>
      </w:r>
      <w:r w:rsidR="00ED6F59" w:rsidRPr="00A33930">
        <w:rPr>
          <w:rFonts w:eastAsia="Verdana" w:cs="Verdana"/>
          <w:szCs w:val="18"/>
          <w:lang w:val="nl-NL"/>
        </w:rPr>
        <w:t>.</w:t>
      </w:r>
      <w:r w:rsidR="00ED6F59" w:rsidRPr="00A33930">
        <w:rPr>
          <w:rStyle w:val="Voetnootmarkering"/>
          <w:rFonts w:eastAsia="Verdana" w:cs="Verdana"/>
          <w:szCs w:val="18"/>
          <w:lang w:val="nl-NL"/>
        </w:rPr>
        <w:footnoteReference w:id="4"/>
      </w:r>
      <w:r w:rsidRPr="00A33930">
        <w:rPr>
          <w:rFonts w:eastAsia="Verdana" w:cs="Verdana"/>
          <w:szCs w:val="18"/>
          <w:lang w:val="nl-NL"/>
        </w:rPr>
        <w:t xml:space="preserve"> Indien er geen gezamenlijk ouderlijk gezag wordt uitgeoefend, heeft de ouder zonder dit gezag </w:t>
      </w:r>
      <w:r w:rsidR="009F35BF" w:rsidRPr="00A33930">
        <w:rPr>
          <w:rFonts w:eastAsia="Verdana" w:cs="Verdana"/>
          <w:szCs w:val="18"/>
          <w:lang w:val="nl-NL"/>
        </w:rPr>
        <w:t xml:space="preserve">het </w:t>
      </w:r>
      <w:r w:rsidRPr="00A33930">
        <w:rPr>
          <w:rFonts w:eastAsia="Verdana" w:cs="Verdana"/>
          <w:szCs w:val="18"/>
          <w:lang w:val="nl-NL"/>
        </w:rPr>
        <w:t>recht op het onderhouden van persoonlijk contact met het kind.</w:t>
      </w:r>
      <w:r w:rsidRPr="00A33930">
        <w:rPr>
          <w:rStyle w:val="Voetnootmarkering"/>
          <w:rFonts w:eastAsia="Verdana" w:cs="Verdana"/>
          <w:szCs w:val="18"/>
          <w:lang w:val="nl-NL"/>
        </w:rPr>
        <w:footnoteReference w:id="5"/>
      </w:r>
      <w:r w:rsidR="00B625EE" w:rsidRPr="00A33930">
        <w:rPr>
          <w:rFonts w:eastAsia="Verdana" w:cs="Verdana"/>
          <w:szCs w:val="18"/>
          <w:lang w:val="nl-NL"/>
        </w:rPr>
        <w:t xml:space="preserve"> </w:t>
      </w:r>
    </w:p>
    <w:p w14:paraId="5A0FA4AC" w14:textId="77777777" w:rsidR="009F35BF" w:rsidRPr="00A33930" w:rsidRDefault="009F35BF" w:rsidP="009F35BF">
      <w:pPr>
        <w:pStyle w:val="Lijstalinea"/>
        <w:rPr>
          <w:rFonts w:eastAsia="Verdana" w:cs="Verdana"/>
          <w:szCs w:val="18"/>
          <w:lang w:val="nl-NL"/>
        </w:rPr>
      </w:pPr>
    </w:p>
    <w:p w14:paraId="03183B72" w14:textId="4A75DA4C" w:rsidR="00B625EE" w:rsidRPr="00A33930" w:rsidRDefault="00577A5E" w:rsidP="009F35BF">
      <w:pPr>
        <w:pStyle w:val="Lijstalinea"/>
        <w:spacing w:before="200" w:after="0"/>
        <w:ind w:left="0"/>
        <w:jc w:val="both"/>
        <w:rPr>
          <w:rFonts w:eastAsia="Verdana" w:cs="Verdana"/>
          <w:szCs w:val="18"/>
          <w:lang w:val="nl-NL"/>
        </w:rPr>
      </w:pPr>
      <w:r w:rsidRPr="00A33930">
        <w:rPr>
          <w:rFonts w:eastAsia="Verdana" w:cs="Verdana"/>
          <w:szCs w:val="18"/>
          <w:lang w:val="nl-NL"/>
        </w:rPr>
        <w:t>Het “recht op persoonlijk contact”, “omgangsrecht” en “contactrecht” zijn synoniemen die afwisselend worden gebruikt. Ondanks de verschillende termen lijkt dit recht</w:t>
      </w:r>
      <w:r w:rsidR="00B625EE" w:rsidRPr="00A33930">
        <w:rPr>
          <w:rFonts w:eastAsia="Verdana" w:cs="Verdana"/>
          <w:szCs w:val="18"/>
          <w:lang w:val="nl-NL"/>
        </w:rPr>
        <w:t>, mede</w:t>
      </w:r>
      <w:r w:rsidRPr="00A33930">
        <w:rPr>
          <w:rFonts w:eastAsia="Verdana" w:cs="Verdana"/>
          <w:szCs w:val="18"/>
          <w:lang w:val="nl-NL"/>
        </w:rPr>
        <w:t xml:space="preserve"> door de huidige opvattingen uit de academische wereld en het algemeen kader voorzien in Boek III (personen), Titel IX (ouderlijk gezag en pleegzorg) oud BW, steeds een recht van de meerderjarige ten aanzien van het kind te zijn. Hierbij lijkt het te gaan om eenrichtingsverkeer: van volwassene naar kind en niet omgekeerd.</w:t>
      </w:r>
      <w:r w:rsidR="00B625EE" w:rsidRPr="00A33930">
        <w:rPr>
          <w:rFonts w:eastAsia="Verdana" w:cs="Verdana"/>
          <w:szCs w:val="18"/>
          <w:lang w:val="nl-NL"/>
        </w:rPr>
        <w:t xml:space="preserve"> </w:t>
      </w:r>
      <w:r w:rsidR="004E6D09" w:rsidRPr="00A33930">
        <w:rPr>
          <w:rFonts w:eastAsia="Verdana" w:cs="Verdana"/>
          <w:szCs w:val="18"/>
          <w:lang w:val="nl-NL"/>
        </w:rPr>
        <w:t xml:space="preserve">Dergelijk eenrichtingsverkeer heeft tot gevolg dat een adolescent van 17 jaar </w:t>
      </w:r>
      <w:r w:rsidR="00ED6F59" w:rsidRPr="00A33930">
        <w:rPr>
          <w:rFonts w:eastAsia="Verdana" w:cs="Verdana"/>
          <w:szCs w:val="18"/>
          <w:lang w:val="nl-NL"/>
        </w:rPr>
        <w:t>een regeling betreffend</w:t>
      </w:r>
      <w:r w:rsidR="00A40BA9" w:rsidRPr="00A33930">
        <w:rPr>
          <w:rFonts w:eastAsia="Verdana" w:cs="Verdana"/>
          <w:szCs w:val="18"/>
          <w:lang w:val="nl-NL"/>
        </w:rPr>
        <w:t>e</w:t>
      </w:r>
      <w:r w:rsidR="00ED6F59" w:rsidRPr="00A33930">
        <w:rPr>
          <w:rFonts w:eastAsia="Verdana" w:cs="Verdana"/>
          <w:szCs w:val="18"/>
          <w:lang w:val="nl-NL"/>
        </w:rPr>
        <w:t xml:space="preserve"> het persoonlijk contact</w:t>
      </w:r>
      <w:r w:rsidR="00A40BA9" w:rsidRPr="00A33930">
        <w:rPr>
          <w:rFonts w:eastAsia="Verdana" w:cs="Verdana"/>
          <w:szCs w:val="18"/>
          <w:lang w:val="nl-NL"/>
        </w:rPr>
        <w:t>,</w:t>
      </w:r>
      <w:r w:rsidR="00ED6F59" w:rsidRPr="00A33930">
        <w:rPr>
          <w:rFonts w:eastAsia="Verdana" w:cs="Verdana"/>
          <w:szCs w:val="18"/>
          <w:lang w:val="nl-NL"/>
        </w:rPr>
        <w:t xml:space="preserve"> opgesteld toen hij 3 jaar was, </w:t>
      </w:r>
      <w:r w:rsidR="004E6D09" w:rsidRPr="00A33930">
        <w:rPr>
          <w:rFonts w:eastAsia="Verdana" w:cs="Verdana"/>
          <w:szCs w:val="18"/>
          <w:lang w:val="nl-NL"/>
        </w:rPr>
        <w:t>niet op eigen houtje</w:t>
      </w:r>
      <w:r w:rsidR="00ED6F59" w:rsidRPr="00A33930">
        <w:rPr>
          <w:rFonts w:eastAsia="Verdana" w:cs="Verdana"/>
          <w:szCs w:val="18"/>
          <w:lang w:val="nl-NL"/>
        </w:rPr>
        <w:t xml:space="preserve"> en </w:t>
      </w:r>
      <w:r w:rsidR="00ED6F59" w:rsidRPr="00A33930">
        <w:rPr>
          <w:rFonts w:eastAsia="Verdana" w:cs="Verdana"/>
          <w:szCs w:val="18"/>
          <w:lang w:val="nl-NL"/>
        </w:rPr>
        <w:lastRenderedPageBreak/>
        <w:t>dus</w:t>
      </w:r>
      <w:r w:rsidR="004E6D09" w:rsidRPr="00A33930">
        <w:rPr>
          <w:rFonts w:eastAsia="Verdana" w:cs="Verdana"/>
          <w:szCs w:val="18"/>
          <w:lang w:val="nl-NL"/>
        </w:rPr>
        <w:t xml:space="preserve"> als titularis van zijn recht</w:t>
      </w:r>
      <w:r w:rsidR="00ED6F59" w:rsidRPr="00A33930">
        <w:rPr>
          <w:rFonts w:eastAsia="Verdana" w:cs="Verdana"/>
          <w:szCs w:val="18"/>
          <w:lang w:val="nl-NL"/>
        </w:rPr>
        <w:t xml:space="preserve"> </w:t>
      </w:r>
      <w:r w:rsidR="004E6D09" w:rsidRPr="00A33930">
        <w:rPr>
          <w:rFonts w:eastAsia="Verdana" w:cs="Verdana"/>
          <w:szCs w:val="18"/>
          <w:lang w:val="nl-NL"/>
        </w:rPr>
        <w:t>kan veranderen</w:t>
      </w:r>
      <w:r w:rsidR="00ED6F59" w:rsidRPr="00A33930">
        <w:rPr>
          <w:rFonts w:eastAsia="Verdana" w:cs="Verdana"/>
          <w:szCs w:val="18"/>
          <w:lang w:val="nl-NL"/>
        </w:rPr>
        <w:t xml:space="preserve">. </w:t>
      </w:r>
      <w:r w:rsidR="009F35BF" w:rsidRPr="00A33930">
        <w:rPr>
          <w:rFonts w:eastAsia="Verdana" w:cs="Verdana"/>
          <w:szCs w:val="18"/>
          <w:lang w:val="nl-NL"/>
        </w:rPr>
        <w:t>Zelfs</w:t>
      </w:r>
      <w:r w:rsidR="00ED6F59" w:rsidRPr="00A33930">
        <w:rPr>
          <w:rFonts w:eastAsia="Verdana" w:cs="Verdana"/>
          <w:szCs w:val="18"/>
          <w:lang w:val="nl-NL"/>
        </w:rPr>
        <w:t xml:space="preserve"> </w:t>
      </w:r>
      <w:r w:rsidR="00FE5835" w:rsidRPr="00A33930">
        <w:rPr>
          <w:rFonts w:eastAsia="Verdana" w:cs="Verdana"/>
          <w:szCs w:val="18"/>
          <w:lang w:val="nl-NL"/>
        </w:rPr>
        <w:t>wanneer</w:t>
      </w:r>
      <w:r w:rsidR="00ED6F59" w:rsidRPr="00A33930">
        <w:rPr>
          <w:rFonts w:eastAsia="Verdana" w:cs="Verdana"/>
          <w:szCs w:val="18"/>
          <w:lang w:val="nl-NL"/>
        </w:rPr>
        <w:t xml:space="preserve"> dat is wat hij heel </w:t>
      </w:r>
      <w:r w:rsidR="004E6D09" w:rsidRPr="00A33930">
        <w:rPr>
          <w:rFonts w:eastAsia="Verdana" w:cs="Verdana"/>
          <w:szCs w:val="18"/>
          <w:lang w:val="nl-NL"/>
        </w:rPr>
        <w:t>graag</w:t>
      </w:r>
      <w:r w:rsidR="00ED6F59" w:rsidRPr="00A33930">
        <w:rPr>
          <w:rFonts w:eastAsia="Verdana" w:cs="Verdana"/>
          <w:szCs w:val="18"/>
          <w:lang w:val="nl-NL"/>
        </w:rPr>
        <w:t xml:space="preserve"> wil</w:t>
      </w:r>
      <w:r w:rsidR="004E6D09" w:rsidRPr="00A33930">
        <w:rPr>
          <w:rFonts w:eastAsia="Verdana" w:cs="Verdana"/>
          <w:szCs w:val="18"/>
          <w:lang w:val="nl-NL"/>
        </w:rPr>
        <w:t xml:space="preserve">. Een belangrijke vraag die hierbij rijst, is welk recht op persoonlijk contact het kind </w:t>
      </w:r>
      <w:r w:rsidR="004E6D09" w:rsidRPr="00A33930">
        <w:rPr>
          <w:rFonts w:eastAsia="Verdana" w:cs="Verdana"/>
          <w:i/>
          <w:szCs w:val="18"/>
          <w:lang w:val="nl-NL"/>
        </w:rPr>
        <w:t>zelf</w:t>
      </w:r>
      <w:r w:rsidR="004E6D09" w:rsidRPr="00A33930">
        <w:rPr>
          <w:rFonts w:eastAsia="Verdana" w:cs="Verdana"/>
          <w:szCs w:val="18"/>
          <w:lang w:val="nl-NL"/>
        </w:rPr>
        <w:t xml:space="preserve"> heeft anno 2023.</w:t>
      </w:r>
    </w:p>
    <w:p w14:paraId="6677DD62" w14:textId="437EBEB2" w:rsidR="00B625EE" w:rsidRPr="00A33930" w:rsidRDefault="00C808FF" w:rsidP="00B625EE">
      <w:pPr>
        <w:pStyle w:val="Kop3"/>
        <w:numPr>
          <w:ilvl w:val="0"/>
          <w:numId w:val="0"/>
        </w:numPr>
        <w:ind w:left="357" w:hanging="357"/>
        <w:jc w:val="both"/>
        <w:rPr>
          <w:lang w:val="nl-NL"/>
        </w:rPr>
      </w:pPr>
      <w:bookmarkStart w:id="6" w:name="_Toc134621165"/>
      <w:r w:rsidRPr="00A33930">
        <w:rPr>
          <w:lang w:val="nl-NL"/>
        </w:rPr>
        <w:t>Afdeling II.</w:t>
      </w:r>
      <w:r w:rsidR="0097678D" w:rsidRPr="00A33930">
        <w:rPr>
          <w:lang w:val="nl-NL"/>
        </w:rPr>
        <w:tab/>
      </w:r>
      <w:r w:rsidR="0097678D" w:rsidRPr="00A33930">
        <w:rPr>
          <w:lang w:val="nl-NL"/>
        </w:rPr>
        <w:tab/>
      </w:r>
      <w:r w:rsidRPr="00A33930">
        <w:rPr>
          <w:lang w:val="nl-NL"/>
        </w:rPr>
        <w:t>Probleemstelling</w:t>
      </w:r>
      <w:bookmarkEnd w:id="6"/>
    </w:p>
    <w:p w14:paraId="19EEA8A7" w14:textId="01A81535" w:rsidR="00B625EE" w:rsidRPr="00A33930" w:rsidRDefault="00DA3ECE" w:rsidP="00B625EE">
      <w:pPr>
        <w:pStyle w:val="Lijstalinea"/>
        <w:numPr>
          <w:ilvl w:val="0"/>
          <w:numId w:val="4"/>
        </w:numPr>
        <w:ind w:left="0" w:firstLine="0"/>
        <w:jc w:val="both"/>
        <w:rPr>
          <w:rFonts w:cs="Verdana"/>
          <w:szCs w:val="18"/>
          <w:lang w:val="nl-NL"/>
        </w:rPr>
      </w:pPr>
      <w:r w:rsidRPr="00A33930">
        <w:rPr>
          <w:rFonts w:eastAsia="Verdana" w:cs="Verdana"/>
          <w:szCs w:val="18"/>
          <w:lang w:val="nl-NL"/>
        </w:rPr>
        <w:t xml:space="preserve">De kinderen van vandaag zijn onafhankelijker en vervullen een actievere rol in de samenleving. </w:t>
      </w:r>
      <w:r w:rsidR="00B625EE" w:rsidRPr="00A33930">
        <w:rPr>
          <w:rFonts w:eastAsia="Verdana" w:cs="Verdana"/>
          <w:szCs w:val="18"/>
          <w:lang w:val="nl-NL"/>
        </w:rPr>
        <w:t>De</w:t>
      </w:r>
      <w:r w:rsidR="006A6922" w:rsidRPr="00A33930">
        <w:rPr>
          <w:rFonts w:eastAsia="Verdana" w:cs="Verdana"/>
          <w:szCs w:val="18"/>
          <w:lang w:val="nl-NL"/>
        </w:rPr>
        <w:t xml:space="preserve"> beelden van jongeren die overal ter wereld de straat op gaan </w:t>
      </w:r>
      <w:r w:rsidR="00362CAA" w:rsidRPr="00A33930">
        <w:rPr>
          <w:rFonts w:eastAsia="Verdana" w:cs="Verdana"/>
          <w:szCs w:val="18"/>
          <w:lang w:val="nl-NL"/>
        </w:rPr>
        <w:t xml:space="preserve">ter </w:t>
      </w:r>
      <w:r w:rsidR="0095737D" w:rsidRPr="00A33930">
        <w:rPr>
          <w:rFonts w:eastAsia="Verdana" w:cs="Verdana"/>
          <w:szCs w:val="18"/>
          <w:lang w:val="nl-NL"/>
        </w:rPr>
        <w:t>verdediging</w:t>
      </w:r>
      <w:r w:rsidR="00362CAA" w:rsidRPr="00A33930">
        <w:rPr>
          <w:rFonts w:eastAsia="Verdana" w:cs="Verdana"/>
          <w:szCs w:val="18"/>
          <w:lang w:val="nl-NL"/>
        </w:rPr>
        <w:t xml:space="preserve"> van mensenrechten </w:t>
      </w:r>
      <w:r w:rsidR="00B625EE" w:rsidRPr="00A33930">
        <w:rPr>
          <w:rFonts w:eastAsia="Verdana" w:cs="Verdana"/>
          <w:szCs w:val="18"/>
          <w:lang w:val="nl-NL"/>
        </w:rPr>
        <w:t>laten</w:t>
      </w:r>
      <w:r w:rsidR="00362CAA" w:rsidRPr="00A33930">
        <w:rPr>
          <w:rFonts w:eastAsia="Verdana" w:cs="Verdana"/>
          <w:szCs w:val="18"/>
          <w:lang w:val="nl-NL"/>
        </w:rPr>
        <w:t xml:space="preserve"> duidelijk zien dat </w:t>
      </w:r>
      <w:r w:rsidR="00687A7B" w:rsidRPr="00A33930">
        <w:rPr>
          <w:rFonts w:eastAsia="Verdana" w:cs="Verdana"/>
          <w:szCs w:val="18"/>
          <w:lang w:val="nl-NL"/>
        </w:rPr>
        <w:t>zij</w:t>
      </w:r>
      <w:r w:rsidR="00362CAA" w:rsidRPr="00A33930">
        <w:rPr>
          <w:rFonts w:eastAsia="Verdana" w:cs="Verdana"/>
          <w:szCs w:val="18"/>
          <w:lang w:val="nl-NL"/>
        </w:rPr>
        <w:t xml:space="preserve"> actieve burgers zijn </w:t>
      </w:r>
      <w:r w:rsidR="00FE5835" w:rsidRPr="00A33930">
        <w:rPr>
          <w:rFonts w:eastAsia="Verdana" w:cs="Verdana"/>
          <w:szCs w:val="18"/>
          <w:lang w:val="nl-NL"/>
        </w:rPr>
        <w:t>die</w:t>
      </w:r>
      <w:r w:rsidR="00362CAA" w:rsidRPr="00A33930">
        <w:rPr>
          <w:rFonts w:eastAsia="Verdana" w:cs="Verdana"/>
          <w:szCs w:val="18"/>
          <w:lang w:val="nl-NL"/>
        </w:rPr>
        <w:t xml:space="preserve"> verandering willen.</w:t>
      </w:r>
      <w:r w:rsidR="00362CAA" w:rsidRPr="00A33930">
        <w:rPr>
          <w:rStyle w:val="Voetnootmarkering"/>
          <w:rFonts w:eastAsia="Verdana" w:cs="Verdana"/>
          <w:szCs w:val="18"/>
          <w:lang w:val="nl-NL"/>
        </w:rPr>
        <w:footnoteReference w:id="6"/>
      </w:r>
      <w:r w:rsidR="007A32A6" w:rsidRPr="00A33930">
        <w:rPr>
          <w:rFonts w:eastAsia="Verdana" w:cs="Verdana"/>
          <w:szCs w:val="18"/>
          <w:lang w:val="nl-NL"/>
        </w:rPr>
        <w:t xml:space="preserve"> Minderjarigen zijn zowel op maatschappelijk vlak als in relationele verhoudingen steeds zelfstandiger en treden sterker op de voorgrond. Denk </w:t>
      </w:r>
      <w:r w:rsidR="0095737D" w:rsidRPr="00A33930">
        <w:rPr>
          <w:rFonts w:eastAsia="Verdana" w:cs="Verdana"/>
          <w:szCs w:val="18"/>
          <w:lang w:val="nl-NL"/>
        </w:rPr>
        <w:t xml:space="preserve">hierbij </w:t>
      </w:r>
      <w:r w:rsidR="007A32A6" w:rsidRPr="00A33930">
        <w:rPr>
          <w:rFonts w:eastAsia="Verdana" w:cs="Verdana"/>
          <w:szCs w:val="18"/>
          <w:lang w:val="nl-NL"/>
        </w:rPr>
        <w:t>bijvoorbeeld aan het werken als jobstudent, zelfstandig wonen, een straf op school, online aankopen doen…</w:t>
      </w:r>
      <w:r w:rsidR="007A32A6" w:rsidRPr="00A33930">
        <w:rPr>
          <w:rStyle w:val="Voetnootmarkering"/>
          <w:rFonts w:eastAsia="Verdana" w:cs="Verdana"/>
          <w:szCs w:val="18"/>
          <w:lang w:val="nl-NL"/>
        </w:rPr>
        <w:footnoteReference w:id="7"/>
      </w:r>
      <w:r w:rsidR="00362CAA" w:rsidRPr="00A33930">
        <w:rPr>
          <w:rFonts w:eastAsia="Verdana" w:cs="Verdana"/>
          <w:szCs w:val="18"/>
          <w:lang w:val="nl-NL"/>
        </w:rPr>
        <w:t xml:space="preserve"> </w:t>
      </w:r>
      <w:r w:rsidRPr="00A33930">
        <w:rPr>
          <w:rFonts w:eastAsia="Verdana" w:cs="Verdana"/>
          <w:szCs w:val="18"/>
          <w:lang w:val="nl-NL"/>
        </w:rPr>
        <w:t xml:space="preserve">Op </w:t>
      </w:r>
      <w:r w:rsidR="00026D80" w:rsidRPr="00A33930">
        <w:rPr>
          <w:rFonts w:eastAsia="Verdana" w:cs="Verdana"/>
          <w:szCs w:val="18"/>
          <w:lang w:val="nl-NL"/>
        </w:rPr>
        <w:t>mensenrechtelijk</w:t>
      </w:r>
      <w:r w:rsidRPr="00A33930">
        <w:rPr>
          <w:rFonts w:eastAsia="Verdana" w:cs="Verdana"/>
          <w:szCs w:val="18"/>
          <w:lang w:val="nl-NL"/>
        </w:rPr>
        <w:t xml:space="preserve"> niveau </w:t>
      </w:r>
      <w:r w:rsidR="00B458A2" w:rsidRPr="00A33930">
        <w:rPr>
          <w:rFonts w:eastAsia="Verdana" w:cs="Verdana"/>
          <w:szCs w:val="18"/>
          <w:lang w:val="nl-NL"/>
        </w:rPr>
        <w:t>bestaat</w:t>
      </w:r>
      <w:r w:rsidRPr="00A33930">
        <w:rPr>
          <w:rFonts w:eastAsia="Verdana" w:cs="Verdana"/>
          <w:szCs w:val="18"/>
          <w:lang w:val="nl-NL"/>
        </w:rPr>
        <w:t xml:space="preserve"> er een gewijzigde houding ten aanzien van kinderen</w:t>
      </w:r>
      <w:r w:rsidR="00026D80" w:rsidRPr="00A33930">
        <w:rPr>
          <w:rFonts w:eastAsia="Verdana" w:cs="Verdana"/>
          <w:szCs w:val="18"/>
          <w:lang w:val="nl-NL"/>
        </w:rPr>
        <w:t xml:space="preserve">, </w:t>
      </w:r>
      <w:r w:rsidR="009E69C3" w:rsidRPr="00A33930">
        <w:rPr>
          <w:rFonts w:eastAsia="Verdana" w:cs="Verdana"/>
          <w:szCs w:val="18"/>
          <w:lang w:val="nl-NL"/>
        </w:rPr>
        <w:t xml:space="preserve">wordt meer ingezet op het </w:t>
      </w:r>
      <w:r w:rsidR="00E57778" w:rsidRPr="00A33930">
        <w:rPr>
          <w:rFonts w:eastAsia="Verdana" w:cs="Verdana"/>
          <w:szCs w:val="18"/>
          <w:lang w:val="nl-NL"/>
        </w:rPr>
        <w:t xml:space="preserve">kindperspectief </w:t>
      </w:r>
      <w:r w:rsidR="009E69C3" w:rsidRPr="00A33930">
        <w:rPr>
          <w:rFonts w:eastAsia="Verdana" w:cs="Verdana"/>
          <w:szCs w:val="18"/>
          <w:lang w:val="nl-NL"/>
        </w:rPr>
        <w:t xml:space="preserve">en </w:t>
      </w:r>
      <w:r w:rsidR="00B458A2" w:rsidRPr="00A33930">
        <w:rPr>
          <w:rFonts w:eastAsia="Verdana" w:cs="Verdana"/>
          <w:szCs w:val="18"/>
          <w:lang w:val="nl-NL"/>
        </w:rPr>
        <w:t>wordt een</w:t>
      </w:r>
      <w:r w:rsidR="009E69C3" w:rsidRPr="00A33930">
        <w:rPr>
          <w:rFonts w:eastAsia="Verdana" w:cs="Verdana"/>
          <w:szCs w:val="18"/>
          <w:lang w:val="nl-NL"/>
        </w:rPr>
        <w:t xml:space="preserve"> </w:t>
      </w:r>
      <w:r w:rsidR="00B458A2" w:rsidRPr="00A33930">
        <w:rPr>
          <w:rFonts w:eastAsia="Verdana" w:cs="Verdana"/>
          <w:szCs w:val="18"/>
          <w:lang w:val="nl-NL"/>
        </w:rPr>
        <w:t xml:space="preserve">aanzet gegeven tot meer </w:t>
      </w:r>
      <w:r w:rsidR="009E69C3" w:rsidRPr="00A33930">
        <w:rPr>
          <w:rFonts w:eastAsia="Verdana" w:cs="Verdana"/>
          <w:szCs w:val="18"/>
          <w:lang w:val="nl-NL"/>
        </w:rPr>
        <w:t>autonomie in materies betreffende het ouderlijk gezag en persoonlijke relaties</w:t>
      </w:r>
      <w:r w:rsidR="00B625EE" w:rsidRPr="00A33930">
        <w:rPr>
          <w:rFonts w:eastAsia="Verdana" w:cs="Verdana"/>
          <w:szCs w:val="18"/>
          <w:lang w:val="nl-NL"/>
        </w:rPr>
        <w:t xml:space="preserve"> (</w:t>
      </w:r>
      <w:r w:rsidR="00B625EE" w:rsidRPr="00A33930">
        <w:rPr>
          <w:rFonts w:eastAsia="Verdana" w:cs="Verdana"/>
          <w:i/>
          <w:iCs/>
          <w:szCs w:val="18"/>
          <w:lang w:val="nl-NL"/>
        </w:rPr>
        <w:t>infra</w:t>
      </w:r>
      <w:r w:rsidR="00B625EE" w:rsidRPr="00A33930">
        <w:rPr>
          <w:rFonts w:eastAsia="Verdana" w:cs="Verdana"/>
          <w:szCs w:val="18"/>
          <w:lang w:val="nl-NL"/>
        </w:rPr>
        <w:t xml:space="preserve">, nr. </w:t>
      </w:r>
      <w:r w:rsidR="00F15185" w:rsidRPr="00A33930">
        <w:rPr>
          <w:rFonts w:eastAsia="Verdana" w:cs="Verdana"/>
          <w:szCs w:val="18"/>
          <w:lang w:val="nl-NL"/>
        </w:rPr>
        <w:t>59</w:t>
      </w:r>
      <w:r w:rsidR="00B625EE" w:rsidRPr="00A33930">
        <w:rPr>
          <w:rFonts w:eastAsia="Verdana" w:cs="Verdana"/>
          <w:szCs w:val="18"/>
          <w:lang w:val="nl-NL"/>
        </w:rPr>
        <w:t>)</w:t>
      </w:r>
      <w:r w:rsidR="009E69C3" w:rsidRPr="00A33930">
        <w:rPr>
          <w:rFonts w:eastAsia="Verdana" w:cs="Verdana"/>
          <w:szCs w:val="18"/>
          <w:lang w:val="nl-NL"/>
        </w:rPr>
        <w:t>.</w:t>
      </w:r>
      <w:r w:rsidR="00026D80" w:rsidRPr="00A33930">
        <w:rPr>
          <w:rStyle w:val="Voetnootmarkering"/>
          <w:rFonts w:eastAsia="Verdana" w:cs="Verdana"/>
          <w:szCs w:val="18"/>
          <w:lang w:val="nl-NL"/>
        </w:rPr>
        <w:footnoteReference w:id="8"/>
      </w:r>
      <w:r w:rsidR="009E69C3" w:rsidRPr="00A33930">
        <w:rPr>
          <w:rFonts w:eastAsia="Verdana" w:cs="Verdana"/>
          <w:szCs w:val="18"/>
          <w:lang w:val="nl-NL"/>
        </w:rPr>
        <w:t xml:space="preserve"> </w:t>
      </w:r>
      <w:r w:rsidRPr="00A33930">
        <w:rPr>
          <w:rFonts w:eastAsia="Verdana" w:cs="Verdana"/>
          <w:szCs w:val="18"/>
          <w:lang w:val="nl-NL"/>
        </w:rPr>
        <w:t>De nationale wetgever beweegt zich langzaamaan ook in deze richting</w:t>
      </w:r>
      <w:r w:rsidR="009A5E6E" w:rsidRPr="00A33930">
        <w:rPr>
          <w:rFonts w:eastAsia="Verdana" w:cs="Verdana"/>
          <w:szCs w:val="18"/>
          <w:lang w:val="nl-NL"/>
        </w:rPr>
        <w:t>.</w:t>
      </w:r>
      <w:r w:rsidR="009A5E6E" w:rsidRPr="00A33930">
        <w:rPr>
          <w:rStyle w:val="Voetnootmarkering"/>
          <w:rFonts w:eastAsia="Verdana" w:cs="Verdana"/>
          <w:szCs w:val="18"/>
          <w:lang w:val="nl-NL"/>
        </w:rPr>
        <w:footnoteReference w:id="9"/>
      </w:r>
      <w:r w:rsidR="009A5E6E" w:rsidRPr="00A33930">
        <w:rPr>
          <w:rFonts w:eastAsia="Verdana" w:cs="Verdana"/>
          <w:szCs w:val="18"/>
          <w:lang w:val="nl-NL"/>
        </w:rPr>
        <w:t xml:space="preserve"> </w:t>
      </w:r>
      <w:r w:rsidR="00B625EE" w:rsidRPr="00A33930">
        <w:rPr>
          <w:rFonts w:eastAsia="Verdana" w:cs="Verdana"/>
          <w:szCs w:val="18"/>
          <w:lang w:val="nl-NL"/>
        </w:rPr>
        <w:t xml:space="preserve">Het </w:t>
      </w:r>
      <w:r w:rsidR="009A5E6E" w:rsidRPr="00A33930">
        <w:rPr>
          <w:rFonts w:eastAsia="Verdana" w:cs="Verdana"/>
          <w:szCs w:val="18"/>
          <w:lang w:val="nl-NL"/>
        </w:rPr>
        <w:t xml:space="preserve">Kinderrechtencommissariaat benadrukt </w:t>
      </w:r>
      <w:r w:rsidR="00B625EE" w:rsidRPr="00A33930">
        <w:rPr>
          <w:rFonts w:eastAsia="Verdana" w:cs="Verdana"/>
          <w:szCs w:val="18"/>
          <w:lang w:val="nl-NL"/>
        </w:rPr>
        <w:t xml:space="preserve">daarbij </w:t>
      </w:r>
      <w:r w:rsidR="009A5E6E" w:rsidRPr="00A33930">
        <w:rPr>
          <w:rFonts w:eastAsia="Verdana" w:cs="Verdana"/>
          <w:szCs w:val="18"/>
          <w:lang w:val="nl-NL"/>
        </w:rPr>
        <w:t>meer en meer de actieve positie van het kind in de samenleving</w:t>
      </w:r>
      <w:r w:rsidR="009866F0" w:rsidRPr="00A33930">
        <w:rPr>
          <w:rFonts w:eastAsia="Verdana" w:cs="Verdana"/>
          <w:szCs w:val="18"/>
          <w:lang w:val="nl-NL"/>
        </w:rPr>
        <w:t>.</w:t>
      </w:r>
      <w:r w:rsidRPr="00A33930">
        <w:rPr>
          <w:rStyle w:val="Voetnootmarkering"/>
          <w:rFonts w:eastAsia="Verdana" w:cs="Verdana"/>
          <w:szCs w:val="18"/>
          <w:lang w:val="nl-NL"/>
        </w:rPr>
        <w:footnoteReference w:id="10"/>
      </w:r>
      <w:r w:rsidRPr="00A33930">
        <w:rPr>
          <w:rFonts w:eastAsia="Verdana" w:cs="Verdana"/>
          <w:szCs w:val="18"/>
          <w:lang w:val="nl-NL"/>
        </w:rPr>
        <w:t xml:space="preserve"> Stilaan </w:t>
      </w:r>
      <w:r w:rsidR="009E69C3" w:rsidRPr="00A33930">
        <w:rPr>
          <w:rFonts w:eastAsia="Verdana" w:cs="Verdana"/>
          <w:szCs w:val="18"/>
          <w:lang w:val="nl-NL"/>
        </w:rPr>
        <w:t>lijkt</w:t>
      </w:r>
      <w:r w:rsidRPr="00A33930">
        <w:rPr>
          <w:rFonts w:eastAsia="Verdana" w:cs="Verdana"/>
          <w:szCs w:val="18"/>
          <w:lang w:val="nl-NL"/>
        </w:rPr>
        <w:t xml:space="preserve"> er </w:t>
      </w:r>
      <w:r w:rsidR="00B625EE" w:rsidRPr="00A33930">
        <w:rPr>
          <w:rFonts w:eastAsia="Verdana" w:cs="Verdana"/>
          <w:szCs w:val="18"/>
          <w:lang w:val="nl-NL"/>
        </w:rPr>
        <w:t xml:space="preserve">dus </w:t>
      </w:r>
      <w:r w:rsidRPr="00A33930">
        <w:rPr>
          <w:rFonts w:eastAsia="Verdana" w:cs="Verdana"/>
          <w:szCs w:val="18"/>
          <w:lang w:val="nl-NL"/>
        </w:rPr>
        <w:t xml:space="preserve">nood </w:t>
      </w:r>
      <w:r w:rsidR="009E69C3" w:rsidRPr="00A33930">
        <w:rPr>
          <w:rFonts w:eastAsia="Verdana" w:cs="Verdana"/>
          <w:szCs w:val="18"/>
          <w:lang w:val="nl-NL"/>
        </w:rPr>
        <w:t xml:space="preserve">te zijn </w:t>
      </w:r>
      <w:r w:rsidRPr="00A33930">
        <w:rPr>
          <w:rFonts w:eastAsia="Verdana" w:cs="Verdana"/>
          <w:szCs w:val="18"/>
          <w:lang w:val="nl-NL"/>
        </w:rPr>
        <w:t>aan concrete</w:t>
      </w:r>
      <w:r w:rsidR="00A40BA9" w:rsidRPr="00A33930">
        <w:rPr>
          <w:rFonts w:eastAsia="Verdana" w:cs="Verdana"/>
          <w:szCs w:val="18"/>
          <w:lang w:val="nl-NL"/>
        </w:rPr>
        <w:t>re</w:t>
      </w:r>
      <w:r w:rsidRPr="00A33930">
        <w:rPr>
          <w:rFonts w:eastAsia="Verdana" w:cs="Verdana"/>
          <w:szCs w:val="18"/>
          <w:lang w:val="nl-NL"/>
        </w:rPr>
        <w:t xml:space="preserve"> initiatieven om de rechtspositie van minderjarigen te versterken.</w:t>
      </w:r>
      <w:r w:rsidRPr="00A33930">
        <w:rPr>
          <w:rStyle w:val="Voetnootmarkering"/>
          <w:rFonts w:eastAsia="Verdana" w:cs="Verdana"/>
          <w:szCs w:val="18"/>
          <w:lang w:val="nl-NL"/>
        </w:rPr>
        <w:footnoteReference w:id="11"/>
      </w:r>
    </w:p>
    <w:p w14:paraId="7ABB155B" w14:textId="77777777" w:rsidR="00B625EE" w:rsidRPr="00A33930" w:rsidRDefault="00B625EE" w:rsidP="00B625EE">
      <w:pPr>
        <w:pStyle w:val="Lijstalinea"/>
        <w:ind w:left="0"/>
        <w:jc w:val="both"/>
        <w:rPr>
          <w:rFonts w:cs="Verdana"/>
          <w:szCs w:val="18"/>
          <w:lang w:val="nl-NL"/>
        </w:rPr>
      </w:pPr>
    </w:p>
    <w:p w14:paraId="4FF43093" w14:textId="0B710B70" w:rsidR="00026D80" w:rsidRPr="00A33930" w:rsidRDefault="00DA3ECE" w:rsidP="00B625EE">
      <w:pPr>
        <w:pStyle w:val="Lijstalinea"/>
        <w:numPr>
          <w:ilvl w:val="0"/>
          <w:numId w:val="4"/>
        </w:numPr>
        <w:ind w:left="0" w:firstLine="0"/>
        <w:jc w:val="both"/>
        <w:rPr>
          <w:rFonts w:cs="Verdana"/>
          <w:szCs w:val="18"/>
          <w:lang w:val="nl-NL"/>
        </w:rPr>
      </w:pPr>
      <w:r w:rsidRPr="00A33930">
        <w:rPr>
          <w:rFonts w:eastAsia="Verdana" w:cs="Verdana"/>
          <w:szCs w:val="18"/>
          <w:lang w:val="nl-NL"/>
        </w:rPr>
        <w:t xml:space="preserve">In België bestaat de schijnbare onmogelijkheid </w:t>
      </w:r>
      <w:r w:rsidR="00397F19" w:rsidRPr="00A33930">
        <w:rPr>
          <w:rFonts w:eastAsia="Verdana" w:cs="Verdana"/>
          <w:szCs w:val="18"/>
          <w:lang w:val="nl-NL"/>
        </w:rPr>
        <w:t xml:space="preserve">– </w:t>
      </w:r>
      <w:r w:rsidRPr="00A33930">
        <w:rPr>
          <w:rFonts w:eastAsia="Verdana" w:cs="Verdana"/>
          <w:szCs w:val="18"/>
          <w:lang w:val="nl-NL"/>
        </w:rPr>
        <w:t>of onwenselijkheid?</w:t>
      </w:r>
      <w:r w:rsidR="00397F19" w:rsidRPr="00A33930">
        <w:rPr>
          <w:rFonts w:eastAsia="Verdana" w:cs="Verdana"/>
          <w:szCs w:val="18"/>
          <w:lang w:val="nl-NL"/>
        </w:rPr>
        <w:t xml:space="preserve"> – </w:t>
      </w:r>
      <w:r w:rsidRPr="00A33930">
        <w:rPr>
          <w:rFonts w:eastAsia="Verdana" w:cs="Verdana"/>
          <w:szCs w:val="18"/>
          <w:lang w:val="nl-NL"/>
        </w:rPr>
        <w:t xml:space="preserve">om het recht op persoonlijk contact aan het kind zelf toe te kennen. </w:t>
      </w:r>
      <w:r w:rsidR="00026D80" w:rsidRPr="00A33930">
        <w:rPr>
          <w:rFonts w:eastAsia="Verdana" w:cs="Verdana"/>
          <w:szCs w:val="18"/>
          <w:lang w:val="nl-NL"/>
        </w:rPr>
        <w:t xml:space="preserve">De uitoefening van dit recht op persoonlijk contact lijkt afhankelijk te zijn van de </w:t>
      </w:r>
      <w:r w:rsidR="00026D80" w:rsidRPr="00A33930">
        <w:rPr>
          <w:rFonts w:eastAsia="Verdana" w:cs="Verdana"/>
          <w:i/>
          <w:szCs w:val="18"/>
          <w:lang w:val="nl-NL"/>
        </w:rPr>
        <w:t>goodwill</w:t>
      </w:r>
      <w:r w:rsidR="00026D80" w:rsidRPr="00A33930">
        <w:rPr>
          <w:rFonts w:eastAsia="Verdana" w:cs="Verdana"/>
          <w:szCs w:val="18"/>
          <w:lang w:val="nl-NL"/>
        </w:rPr>
        <w:t xml:space="preserve"> van ouders, opvoedingsverantwoordelijken, gemeenschappen</w:t>
      </w:r>
      <w:r w:rsidR="00397F19" w:rsidRPr="00A33930">
        <w:rPr>
          <w:rFonts w:eastAsia="Verdana" w:cs="Verdana"/>
          <w:szCs w:val="18"/>
          <w:lang w:val="nl-NL"/>
        </w:rPr>
        <w:t xml:space="preserve"> etc.</w:t>
      </w:r>
      <w:r w:rsidR="00B625EE" w:rsidRPr="00A33930">
        <w:rPr>
          <w:rFonts w:eastAsia="Verdana" w:cs="Verdana"/>
          <w:szCs w:val="18"/>
          <w:lang w:val="nl-NL"/>
        </w:rPr>
        <w:t xml:space="preserve"> Familiale banden onderhouden is en blijft in onze samenleving erg belangrijk. Wat gebeurt er wanneer een kind geen contact meer wil met de (groot)ouder maar dit recht op persoonlijk contact door de rechtbank werd uitgesproken?</w:t>
      </w:r>
      <w:r w:rsidR="00B625EE" w:rsidRPr="00A33930">
        <w:rPr>
          <w:rStyle w:val="Voetnootmarkering"/>
          <w:rFonts w:eastAsia="Verdana" w:cs="Verdana"/>
          <w:szCs w:val="18"/>
          <w:lang w:val="nl-NL"/>
        </w:rPr>
        <w:footnoteReference w:id="12"/>
      </w:r>
      <w:r w:rsidR="00B625EE" w:rsidRPr="00A33930">
        <w:rPr>
          <w:rFonts w:eastAsia="Verdana" w:cs="Verdana"/>
          <w:szCs w:val="18"/>
          <w:lang w:val="nl-NL"/>
        </w:rPr>
        <w:t xml:space="preserve"> Wat indien de (groot)ouder wel contact wenst met het kind</w:t>
      </w:r>
      <w:r w:rsidR="00397F19" w:rsidRPr="00A33930">
        <w:rPr>
          <w:rFonts w:eastAsia="Verdana" w:cs="Verdana"/>
          <w:szCs w:val="18"/>
          <w:lang w:val="nl-NL"/>
        </w:rPr>
        <w:t xml:space="preserve"> </w:t>
      </w:r>
      <w:r w:rsidR="00B625EE" w:rsidRPr="00A33930">
        <w:rPr>
          <w:rFonts w:eastAsia="Verdana" w:cs="Verdana"/>
          <w:szCs w:val="18"/>
          <w:lang w:val="nl-NL"/>
        </w:rPr>
        <w:t xml:space="preserve">maar het kind hier zelf geen behoefte aan heeft? Of precies omgekeerd: wat als </w:t>
      </w:r>
      <w:r w:rsidR="00B625EE" w:rsidRPr="00A33930">
        <w:rPr>
          <w:rFonts w:eastAsia="Verdana" w:cs="Verdana"/>
          <w:szCs w:val="18"/>
          <w:lang w:val="nl-NL"/>
        </w:rPr>
        <w:lastRenderedPageBreak/>
        <w:t xml:space="preserve">het kind contact wenst met de </w:t>
      </w:r>
      <w:r w:rsidR="007147A3" w:rsidRPr="00A33930">
        <w:rPr>
          <w:rFonts w:eastAsia="Verdana" w:cs="Verdana"/>
          <w:szCs w:val="18"/>
          <w:lang w:val="nl-NL"/>
        </w:rPr>
        <w:t>(</w:t>
      </w:r>
      <w:r w:rsidR="00B625EE" w:rsidRPr="00A33930">
        <w:rPr>
          <w:rFonts w:eastAsia="Verdana" w:cs="Verdana"/>
          <w:szCs w:val="18"/>
          <w:lang w:val="nl-NL"/>
        </w:rPr>
        <w:t>groot</w:t>
      </w:r>
      <w:r w:rsidR="007147A3" w:rsidRPr="00A33930">
        <w:rPr>
          <w:rFonts w:eastAsia="Verdana" w:cs="Verdana"/>
          <w:szCs w:val="18"/>
          <w:lang w:val="nl-NL"/>
        </w:rPr>
        <w:t>)</w:t>
      </w:r>
      <w:r w:rsidR="00B625EE" w:rsidRPr="00A33930">
        <w:rPr>
          <w:rFonts w:eastAsia="Verdana" w:cs="Verdana"/>
          <w:szCs w:val="18"/>
          <w:lang w:val="nl-NL"/>
        </w:rPr>
        <w:t xml:space="preserve">ouder maar de </w:t>
      </w:r>
      <w:r w:rsidR="007147A3" w:rsidRPr="00A33930">
        <w:rPr>
          <w:rFonts w:eastAsia="Verdana" w:cs="Verdana"/>
          <w:szCs w:val="18"/>
          <w:lang w:val="nl-NL"/>
        </w:rPr>
        <w:t>(</w:t>
      </w:r>
      <w:r w:rsidR="00B625EE" w:rsidRPr="00A33930">
        <w:rPr>
          <w:rFonts w:eastAsia="Verdana" w:cs="Verdana"/>
          <w:szCs w:val="18"/>
          <w:lang w:val="nl-NL"/>
        </w:rPr>
        <w:t>groot</w:t>
      </w:r>
      <w:r w:rsidR="007147A3" w:rsidRPr="00A33930">
        <w:rPr>
          <w:rFonts w:eastAsia="Verdana" w:cs="Verdana"/>
          <w:szCs w:val="18"/>
          <w:lang w:val="nl-NL"/>
        </w:rPr>
        <w:t>)</w:t>
      </w:r>
      <w:r w:rsidR="00B625EE" w:rsidRPr="00A33930">
        <w:rPr>
          <w:rFonts w:eastAsia="Verdana" w:cs="Verdana"/>
          <w:szCs w:val="18"/>
          <w:lang w:val="nl-NL"/>
        </w:rPr>
        <w:t xml:space="preserve">ouder dit weigert? </w:t>
      </w:r>
      <w:r w:rsidR="00026D80" w:rsidRPr="00A33930">
        <w:rPr>
          <w:rFonts w:eastAsia="Verdana" w:cs="Verdana"/>
          <w:szCs w:val="18"/>
          <w:lang w:val="nl-NL"/>
        </w:rPr>
        <w:t xml:space="preserve">Aangezien het kind in België niet beschikt over een subjectief </w:t>
      </w:r>
      <w:r w:rsidR="00B625EE" w:rsidRPr="00A33930">
        <w:rPr>
          <w:rFonts w:eastAsia="Verdana" w:cs="Verdana"/>
          <w:szCs w:val="18"/>
          <w:lang w:val="nl-NL"/>
        </w:rPr>
        <w:t>recht op persoonlijk contact</w:t>
      </w:r>
      <w:r w:rsidR="00026D80" w:rsidRPr="00A33930">
        <w:rPr>
          <w:rFonts w:eastAsia="Verdana" w:cs="Verdana"/>
          <w:szCs w:val="18"/>
          <w:lang w:val="nl-NL"/>
        </w:rPr>
        <w:t>, wordt het</w:t>
      </w:r>
      <w:r w:rsidR="00FE5835" w:rsidRPr="00A33930">
        <w:rPr>
          <w:rFonts w:eastAsia="Verdana" w:cs="Verdana"/>
          <w:szCs w:val="18"/>
          <w:lang w:val="nl-NL"/>
        </w:rPr>
        <w:t xml:space="preserve"> hierin</w:t>
      </w:r>
      <w:r w:rsidR="00026D80" w:rsidRPr="00A33930">
        <w:rPr>
          <w:rFonts w:eastAsia="Verdana" w:cs="Verdana"/>
          <w:szCs w:val="18"/>
          <w:lang w:val="nl-NL"/>
        </w:rPr>
        <w:t xml:space="preserve"> enkel indirect betrokken bij de beoordeling van zijn belangen</w:t>
      </w:r>
      <w:r w:rsidR="00397F19" w:rsidRPr="00A33930">
        <w:rPr>
          <w:rFonts w:eastAsia="Verdana" w:cs="Verdana"/>
          <w:szCs w:val="18"/>
          <w:lang w:val="nl-NL"/>
        </w:rPr>
        <w:t xml:space="preserve"> (</w:t>
      </w:r>
      <w:r w:rsidR="00397F19" w:rsidRPr="00A33930">
        <w:rPr>
          <w:rFonts w:eastAsia="Verdana" w:cs="Verdana"/>
          <w:i/>
          <w:iCs/>
          <w:szCs w:val="18"/>
          <w:lang w:val="nl-NL"/>
        </w:rPr>
        <w:t>infra</w:t>
      </w:r>
      <w:r w:rsidR="00397F19" w:rsidRPr="00A33930">
        <w:rPr>
          <w:rFonts w:eastAsia="Verdana" w:cs="Verdana"/>
          <w:szCs w:val="18"/>
          <w:lang w:val="nl-NL"/>
        </w:rPr>
        <w:t xml:space="preserve">, nr. </w:t>
      </w:r>
      <w:r w:rsidR="009C704C" w:rsidRPr="00A33930">
        <w:rPr>
          <w:rFonts w:eastAsia="Verdana" w:cs="Verdana"/>
          <w:szCs w:val="18"/>
          <w:lang w:val="nl-NL"/>
        </w:rPr>
        <w:t>79</w:t>
      </w:r>
      <w:r w:rsidR="006402BF" w:rsidRPr="00A33930">
        <w:rPr>
          <w:rFonts w:eastAsia="Verdana" w:cs="Verdana"/>
          <w:szCs w:val="18"/>
          <w:lang w:val="nl-NL"/>
        </w:rPr>
        <w:t>-80</w:t>
      </w:r>
      <w:r w:rsidR="00397F19" w:rsidRPr="00A33930">
        <w:rPr>
          <w:rFonts w:eastAsia="Verdana" w:cs="Verdana"/>
          <w:szCs w:val="18"/>
          <w:lang w:val="nl-NL"/>
        </w:rPr>
        <w:t>)</w:t>
      </w:r>
      <w:r w:rsidR="00026D80" w:rsidRPr="00A33930">
        <w:rPr>
          <w:rFonts w:eastAsia="Verdana" w:cs="Verdana"/>
          <w:szCs w:val="18"/>
          <w:lang w:val="nl-NL"/>
        </w:rPr>
        <w:t>.</w:t>
      </w:r>
      <w:r w:rsidR="00026D80" w:rsidRPr="00A33930">
        <w:rPr>
          <w:rStyle w:val="Voetnootmarkering"/>
          <w:rFonts w:eastAsia="Verdana" w:cs="Verdana"/>
          <w:szCs w:val="18"/>
          <w:lang w:val="nl-NL"/>
        </w:rPr>
        <w:footnoteReference w:id="13"/>
      </w:r>
      <w:r w:rsidR="00026D80" w:rsidRPr="00A33930">
        <w:rPr>
          <w:rFonts w:eastAsia="Verdana" w:cs="Verdana"/>
          <w:szCs w:val="18"/>
          <w:lang w:val="nl-NL"/>
        </w:rPr>
        <w:t xml:space="preserve"> Een voldoende duidelijke en nauwkeurige wettelijke verankering van het </w:t>
      </w:r>
      <w:r w:rsidR="00B625EE" w:rsidRPr="00A33930">
        <w:rPr>
          <w:rFonts w:eastAsia="Verdana" w:cs="Verdana"/>
          <w:i/>
          <w:iCs/>
          <w:szCs w:val="18"/>
          <w:lang w:val="nl-NL"/>
        </w:rPr>
        <w:t>eigen</w:t>
      </w:r>
      <w:r w:rsidR="00B625EE" w:rsidRPr="00A33930">
        <w:rPr>
          <w:rFonts w:eastAsia="Verdana" w:cs="Verdana"/>
          <w:szCs w:val="18"/>
          <w:lang w:val="nl-NL"/>
        </w:rPr>
        <w:t xml:space="preserve"> </w:t>
      </w:r>
      <w:r w:rsidR="00026D80" w:rsidRPr="00A33930">
        <w:rPr>
          <w:rFonts w:eastAsia="Verdana" w:cs="Verdana"/>
          <w:szCs w:val="18"/>
          <w:lang w:val="nl-NL"/>
        </w:rPr>
        <w:t xml:space="preserve">recht van het kind op persoonlijk contact met anderen zorgt voor een maximale waarborging van zijn belangen, onafhankelijk van de </w:t>
      </w:r>
      <w:r w:rsidR="00B625EE" w:rsidRPr="00A33930">
        <w:rPr>
          <w:rFonts w:eastAsia="Verdana" w:cs="Verdana"/>
          <w:i/>
          <w:iCs/>
          <w:szCs w:val="18"/>
          <w:lang w:val="nl-NL"/>
        </w:rPr>
        <w:t>goodwill</w:t>
      </w:r>
      <w:r w:rsidR="00026D80" w:rsidRPr="00A33930">
        <w:rPr>
          <w:rFonts w:eastAsia="Verdana" w:cs="Verdana"/>
          <w:szCs w:val="18"/>
          <w:lang w:val="nl-NL"/>
        </w:rPr>
        <w:t xml:space="preserve"> van anderen.</w:t>
      </w:r>
    </w:p>
    <w:p w14:paraId="516BC0DD" w14:textId="77777777" w:rsidR="00DA3ECE" w:rsidRPr="00A33930" w:rsidRDefault="00DA3ECE" w:rsidP="00DA3ECE">
      <w:pPr>
        <w:pStyle w:val="Lijstalinea"/>
        <w:spacing w:before="200"/>
        <w:ind w:left="0"/>
        <w:jc w:val="both"/>
        <w:rPr>
          <w:rFonts w:eastAsia="Verdana" w:cs="Verdana"/>
          <w:szCs w:val="18"/>
          <w:lang w:val="nl-NL"/>
        </w:rPr>
      </w:pPr>
    </w:p>
    <w:p w14:paraId="52B805E5" w14:textId="60BBD5B9" w:rsidR="00DA3ECE" w:rsidRPr="00A33930" w:rsidRDefault="00DA3ECE" w:rsidP="00B625EE">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Gelet op de evoluties in het familiale leven en de huidige opvatting</w:t>
      </w:r>
      <w:r w:rsidR="00E7275C" w:rsidRPr="00A33930">
        <w:rPr>
          <w:rFonts w:eastAsia="Verdana" w:cs="Verdana"/>
          <w:szCs w:val="18"/>
          <w:lang w:val="nl-NL"/>
        </w:rPr>
        <w:t>en</w:t>
      </w:r>
      <w:r w:rsidRPr="00A33930">
        <w:rPr>
          <w:rFonts w:eastAsia="Verdana" w:cs="Verdana"/>
          <w:szCs w:val="18"/>
          <w:lang w:val="nl-NL"/>
        </w:rPr>
        <w:t xml:space="preserve"> over </w:t>
      </w:r>
      <w:r w:rsidR="00E7275C" w:rsidRPr="00A33930">
        <w:rPr>
          <w:rFonts w:eastAsia="Verdana" w:cs="Verdana"/>
          <w:szCs w:val="18"/>
          <w:lang w:val="nl-NL"/>
        </w:rPr>
        <w:t xml:space="preserve">het </w:t>
      </w:r>
      <w:r w:rsidRPr="00A33930">
        <w:rPr>
          <w:rFonts w:eastAsia="Verdana" w:cs="Verdana"/>
          <w:szCs w:val="18"/>
          <w:lang w:val="nl-NL"/>
        </w:rPr>
        <w:t>familie- en gezinsleven</w:t>
      </w:r>
      <w:r w:rsidRPr="00A33930">
        <w:rPr>
          <w:rStyle w:val="Voetnootmarkering"/>
          <w:rFonts w:eastAsia="Verdana" w:cs="Verdana"/>
          <w:szCs w:val="18"/>
          <w:lang w:val="nl-NL"/>
        </w:rPr>
        <w:footnoteReference w:id="14"/>
      </w:r>
      <w:r w:rsidRPr="00A33930">
        <w:rPr>
          <w:rFonts w:eastAsia="Verdana" w:cs="Verdana"/>
          <w:szCs w:val="18"/>
          <w:lang w:val="nl-NL"/>
        </w:rPr>
        <w:t xml:space="preserve">, is het van belang om </w:t>
      </w:r>
      <w:r w:rsidR="00B625EE" w:rsidRPr="00A33930">
        <w:rPr>
          <w:rFonts w:eastAsia="Verdana" w:cs="Verdana"/>
          <w:szCs w:val="18"/>
          <w:lang w:val="nl-NL"/>
        </w:rPr>
        <w:t>dit</w:t>
      </w:r>
      <w:r w:rsidRPr="00A33930">
        <w:rPr>
          <w:rFonts w:eastAsia="Verdana" w:cs="Verdana"/>
          <w:szCs w:val="18"/>
          <w:lang w:val="nl-NL"/>
        </w:rPr>
        <w:t xml:space="preserve"> recht op persoonlijk contact onder de loep te nemen.</w:t>
      </w:r>
      <w:r w:rsidRPr="00A33930">
        <w:rPr>
          <w:vertAlign w:val="superscript"/>
          <w:lang w:val="nl-NL"/>
        </w:rPr>
        <w:footnoteReference w:id="15"/>
      </w:r>
      <w:r w:rsidRPr="00A33930">
        <w:rPr>
          <w:rFonts w:eastAsia="Verdana" w:cs="Verdana"/>
          <w:szCs w:val="18"/>
          <w:lang w:val="nl-NL"/>
        </w:rPr>
        <w:t xml:space="preserve"> </w:t>
      </w:r>
      <w:r w:rsidR="00B625EE" w:rsidRPr="00A33930">
        <w:rPr>
          <w:rFonts w:eastAsia="Verdana" w:cs="Verdana"/>
          <w:szCs w:val="18"/>
          <w:lang w:val="nl-NL"/>
        </w:rPr>
        <w:t xml:space="preserve">Het onderzoek </w:t>
      </w:r>
      <w:r w:rsidR="004F5C99" w:rsidRPr="00A33930">
        <w:rPr>
          <w:rFonts w:eastAsia="Verdana" w:cs="Verdana"/>
          <w:szCs w:val="18"/>
          <w:lang w:val="nl-NL"/>
        </w:rPr>
        <w:t>zal inhaken op</w:t>
      </w:r>
      <w:r w:rsidR="00B625EE" w:rsidRPr="00A33930">
        <w:rPr>
          <w:rFonts w:eastAsia="Verdana" w:cs="Verdana"/>
          <w:szCs w:val="18"/>
          <w:lang w:val="nl-NL"/>
        </w:rPr>
        <w:t xml:space="preserve"> de algemene hervorming van, in het bijzonder, boek 2 BW. </w:t>
      </w:r>
      <w:r w:rsidR="00E5233D" w:rsidRPr="00A33930">
        <w:rPr>
          <w:rFonts w:eastAsia="Verdana" w:cs="Verdana"/>
          <w:szCs w:val="18"/>
          <w:lang w:val="nl-NL"/>
        </w:rPr>
        <w:t>Dit onderzoek onderscheidt zich van andere masterscripties door de focus te leggen o</w:t>
      </w:r>
      <w:r w:rsidR="00B625EE" w:rsidRPr="00A33930">
        <w:rPr>
          <w:rFonts w:eastAsia="Verdana" w:cs="Verdana"/>
          <w:szCs w:val="18"/>
          <w:lang w:val="nl-NL"/>
        </w:rPr>
        <w:t>p het perspectief van het kind</w:t>
      </w:r>
      <w:r w:rsidR="00E5233D" w:rsidRPr="00A33930">
        <w:rPr>
          <w:rFonts w:eastAsia="Verdana" w:cs="Verdana"/>
          <w:szCs w:val="18"/>
          <w:lang w:val="nl-NL"/>
        </w:rPr>
        <w:t xml:space="preserve">. </w:t>
      </w:r>
      <w:r w:rsidR="005934A5" w:rsidRPr="00A33930">
        <w:rPr>
          <w:rFonts w:eastAsia="Verdana" w:cs="Verdana"/>
          <w:szCs w:val="18"/>
          <w:lang w:val="nl-NL"/>
        </w:rPr>
        <w:t>In h</w:t>
      </w:r>
      <w:r w:rsidR="00E5233D" w:rsidRPr="00A33930">
        <w:rPr>
          <w:rFonts w:eastAsia="Verdana" w:cs="Verdana"/>
          <w:szCs w:val="18"/>
          <w:lang w:val="nl-NL"/>
        </w:rPr>
        <w:t xml:space="preserve">et Belgisch recht ontbreekt </w:t>
      </w:r>
      <w:r w:rsidR="00B625EE" w:rsidRPr="00A33930">
        <w:rPr>
          <w:rFonts w:eastAsia="Verdana" w:cs="Verdana"/>
          <w:szCs w:val="18"/>
          <w:lang w:val="nl-NL"/>
        </w:rPr>
        <w:t xml:space="preserve">op het eerste gezicht </w:t>
      </w:r>
      <w:r w:rsidR="00E5233D" w:rsidRPr="00A33930">
        <w:rPr>
          <w:rFonts w:eastAsia="Verdana" w:cs="Verdana"/>
          <w:szCs w:val="18"/>
          <w:lang w:val="nl-NL"/>
        </w:rPr>
        <w:t>d</w:t>
      </w:r>
      <w:r w:rsidR="00B625EE" w:rsidRPr="00A33930">
        <w:rPr>
          <w:rFonts w:eastAsia="Verdana" w:cs="Verdana"/>
          <w:szCs w:val="18"/>
          <w:lang w:val="nl-NL"/>
        </w:rPr>
        <w:t>it perspectief</w:t>
      </w:r>
      <w:r w:rsidR="00E5233D" w:rsidRPr="00A33930">
        <w:rPr>
          <w:rFonts w:eastAsia="Verdana" w:cs="Verdana"/>
          <w:szCs w:val="18"/>
          <w:lang w:val="nl-NL"/>
        </w:rPr>
        <w:t xml:space="preserve">, </w:t>
      </w:r>
      <w:r w:rsidR="00FE5835" w:rsidRPr="00A33930">
        <w:rPr>
          <w:rFonts w:eastAsia="Verdana" w:cs="Verdana"/>
          <w:szCs w:val="18"/>
          <w:lang w:val="nl-NL"/>
        </w:rPr>
        <w:t>doordat</w:t>
      </w:r>
      <w:r w:rsidR="00E5233D" w:rsidRPr="00A33930">
        <w:rPr>
          <w:rFonts w:eastAsia="Verdana" w:cs="Verdana"/>
          <w:szCs w:val="18"/>
          <w:lang w:val="nl-NL"/>
        </w:rPr>
        <w:t xml:space="preserve"> </w:t>
      </w:r>
      <w:r w:rsidR="000D1B4D" w:rsidRPr="00A33930">
        <w:rPr>
          <w:rFonts w:eastAsia="Verdana" w:cs="Verdana"/>
          <w:szCs w:val="18"/>
          <w:lang w:val="nl-NL"/>
        </w:rPr>
        <w:t>e</w:t>
      </w:r>
      <w:r w:rsidRPr="00A33930">
        <w:rPr>
          <w:rFonts w:eastAsia="Verdana" w:cs="Verdana"/>
          <w:szCs w:val="18"/>
          <w:lang w:val="nl-NL"/>
        </w:rPr>
        <w:t xml:space="preserve">en minderjarige </w:t>
      </w:r>
      <w:r w:rsidR="009E69C3" w:rsidRPr="00A33930">
        <w:rPr>
          <w:rFonts w:eastAsia="Verdana" w:cs="Verdana"/>
          <w:szCs w:val="18"/>
          <w:lang w:val="nl-NL"/>
        </w:rPr>
        <w:t>principieel handelingsonbekwaam en</w:t>
      </w:r>
      <w:r w:rsidRPr="00A33930">
        <w:rPr>
          <w:rFonts w:eastAsia="Verdana" w:cs="Verdana"/>
          <w:szCs w:val="18"/>
          <w:lang w:val="nl-NL"/>
        </w:rPr>
        <w:t xml:space="preserve"> vooralsnog voorwerp van het </w:t>
      </w:r>
      <w:r w:rsidR="00E5233D" w:rsidRPr="00A33930">
        <w:rPr>
          <w:rFonts w:eastAsia="Verdana" w:cs="Verdana"/>
          <w:szCs w:val="18"/>
          <w:lang w:val="nl-NL"/>
        </w:rPr>
        <w:t xml:space="preserve">ouderlijk </w:t>
      </w:r>
      <w:r w:rsidRPr="00A33930">
        <w:rPr>
          <w:rFonts w:eastAsia="Verdana" w:cs="Verdana"/>
          <w:szCs w:val="18"/>
          <w:lang w:val="nl-NL"/>
        </w:rPr>
        <w:t xml:space="preserve">gezag </w:t>
      </w:r>
      <w:r w:rsidR="000D1B4D" w:rsidRPr="00A33930">
        <w:rPr>
          <w:rFonts w:eastAsia="Verdana" w:cs="Verdana"/>
          <w:szCs w:val="18"/>
          <w:lang w:val="nl-NL"/>
        </w:rPr>
        <w:t>is</w:t>
      </w:r>
      <w:r w:rsidRPr="00A33930">
        <w:rPr>
          <w:rFonts w:eastAsia="Verdana" w:cs="Verdana"/>
          <w:szCs w:val="18"/>
          <w:lang w:val="nl-NL"/>
        </w:rPr>
        <w:t xml:space="preserve">. De vraag </w:t>
      </w:r>
      <w:r w:rsidR="00F10A96" w:rsidRPr="00A33930">
        <w:rPr>
          <w:rFonts w:eastAsia="Verdana" w:cs="Verdana"/>
          <w:szCs w:val="18"/>
          <w:lang w:val="nl-NL"/>
        </w:rPr>
        <w:t xml:space="preserve">rijst </w:t>
      </w:r>
      <w:r w:rsidRPr="00A33930">
        <w:rPr>
          <w:rFonts w:eastAsia="Verdana" w:cs="Verdana"/>
          <w:szCs w:val="18"/>
          <w:lang w:val="nl-NL"/>
        </w:rPr>
        <w:t xml:space="preserve">of het </w:t>
      </w:r>
      <w:r w:rsidR="000D1B4D" w:rsidRPr="00A33930">
        <w:rPr>
          <w:rFonts w:eastAsia="Verdana" w:cs="Verdana"/>
          <w:szCs w:val="18"/>
          <w:lang w:val="nl-NL"/>
        </w:rPr>
        <w:t>oud BW</w:t>
      </w:r>
      <w:r w:rsidRPr="00A33930">
        <w:rPr>
          <w:rFonts w:eastAsia="Verdana" w:cs="Verdana"/>
          <w:szCs w:val="18"/>
          <w:lang w:val="nl-NL"/>
        </w:rPr>
        <w:t xml:space="preserve"> nog strookt met de huidige maatschappelijke normen en het collectieve bewustzijn over het kind en zijn persoonlijke relaties. </w:t>
      </w:r>
      <w:r w:rsidR="00B625EE" w:rsidRPr="00A33930">
        <w:rPr>
          <w:rFonts w:eastAsia="Verdana" w:cs="Verdana"/>
          <w:szCs w:val="18"/>
          <w:lang w:val="nl-NL"/>
        </w:rPr>
        <w:t>Teneinde dit te bestuderen wordt de vraag gesteld of er nood is</w:t>
      </w:r>
      <w:r w:rsidRPr="00A33930">
        <w:rPr>
          <w:rFonts w:eastAsia="Verdana" w:cs="Verdana"/>
          <w:szCs w:val="18"/>
          <w:lang w:val="nl-NL"/>
        </w:rPr>
        <w:t xml:space="preserve"> aan een hervorming van het</w:t>
      </w:r>
      <w:r w:rsidR="00F10A96" w:rsidRPr="00A33930">
        <w:rPr>
          <w:rFonts w:eastAsia="Verdana" w:cs="Verdana"/>
          <w:szCs w:val="18"/>
          <w:lang w:val="nl-NL"/>
        </w:rPr>
        <w:t xml:space="preserve"> </w:t>
      </w:r>
      <w:r w:rsidRPr="00A33930">
        <w:rPr>
          <w:rFonts w:eastAsia="Verdana" w:cs="Verdana"/>
          <w:szCs w:val="18"/>
          <w:lang w:val="nl-NL"/>
        </w:rPr>
        <w:t>recht op persoonlijk contact, ditmaal uitgaande van het kind zelf</w:t>
      </w:r>
      <w:r w:rsidR="00B625EE" w:rsidRPr="00A33930">
        <w:rPr>
          <w:rFonts w:eastAsia="Verdana" w:cs="Verdana"/>
          <w:szCs w:val="18"/>
          <w:lang w:val="nl-NL"/>
        </w:rPr>
        <w:t>.</w:t>
      </w:r>
    </w:p>
    <w:p w14:paraId="07376512" w14:textId="2C90A47C" w:rsidR="00C808FF" w:rsidRPr="00A33930" w:rsidRDefault="00C808FF" w:rsidP="00C808FF">
      <w:pPr>
        <w:pStyle w:val="Kop3"/>
        <w:numPr>
          <w:ilvl w:val="0"/>
          <w:numId w:val="0"/>
        </w:numPr>
        <w:ind w:left="360" w:hanging="360"/>
        <w:jc w:val="both"/>
        <w:rPr>
          <w:lang w:val="nl-NL"/>
        </w:rPr>
      </w:pPr>
      <w:bookmarkStart w:id="7" w:name="_Toc134621166"/>
      <w:r w:rsidRPr="00A33930">
        <w:rPr>
          <w:lang w:val="nl-NL"/>
        </w:rPr>
        <w:t>Afdeling I</w:t>
      </w:r>
      <w:r w:rsidR="005D2BDD" w:rsidRPr="00A33930">
        <w:rPr>
          <w:lang w:val="nl-NL"/>
        </w:rPr>
        <w:t>II</w:t>
      </w:r>
      <w:r w:rsidRPr="00A33930">
        <w:rPr>
          <w:lang w:val="nl-NL"/>
        </w:rPr>
        <w:t>.</w:t>
      </w:r>
      <w:r w:rsidR="0097678D" w:rsidRPr="00A33930">
        <w:rPr>
          <w:lang w:val="nl-NL"/>
        </w:rPr>
        <w:tab/>
      </w:r>
      <w:r w:rsidR="0097678D" w:rsidRPr="00A33930">
        <w:rPr>
          <w:lang w:val="nl-NL"/>
        </w:rPr>
        <w:tab/>
      </w:r>
      <w:r w:rsidRPr="00A33930">
        <w:rPr>
          <w:lang w:val="nl-NL"/>
        </w:rPr>
        <w:t>Beperkingen</w:t>
      </w:r>
      <w:bookmarkEnd w:id="7"/>
    </w:p>
    <w:p w14:paraId="0E2A9042" w14:textId="5A0BDF7B" w:rsidR="006800ED" w:rsidRPr="00A33930" w:rsidRDefault="006800ED" w:rsidP="0053603C">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Dit onderzoek wil een aanzet geven tot het analyseren van het recht op persoonlijk contact als een recht van het kind en het formuleren van aanbevelingen ter aanpassing van boek 2 BW</w:t>
      </w:r>
      <w:r w:rsidR="00FE5835" w:rsidRPr="00A33930">
        <w:rPr>
          <w:rFonts w:eastAsia="Verdana" w:cs="Verdana"/>
          <w:szCs w:val="18"/>
          <w:lang w:val="nl-NL"/>
        </w:rPr>
        <w:t>,</w:t>
      </w:r>
      <w:r w:rsidR="00FF4A11" w:rsidRPr="00A33930">
        <w:rPr>
          <w:rFonts w:eastAsia="Verdana" w:cs="Verdana"/>
          <w:szCs w:val="18"/>
          <w:lang w:val="nl-NL"/>
        </w:rPr>
        <w:t xml:space="preserve"> </w:t>
      </w:r>
      <w:r w:rsidR="004A3842" w:rsidRPr="00A33930">
        <w:rPr>
          <w:rFonts w:eastAsia="Verdana" w:cs="Verdana"/>
          <w:szCs w:val="18"/>
          <w:lang w:val="nl-NL"/>
        </w:rPr>
        <w:t>wanneer</w:t>
      </w:r>
      <w:r w:rsidR="00FF4A11" w:rsidRPr="00A33930">
        <w:rPr>
          <w:rFonts w:eastAsia="Verdana" w:cs="Verdana"/>
          <w:szCs w:val="18"/>
          <w:lang w:val="nl-NL"/>
        </w:rPr>
        <w:t xml:space="preserve"> </w:t>
      </w:r>
      <w:r w:rsidR="00FE5835" w:rsidRPr="00A33930">
        <w:rPr>
          <w:rFonts w:eastAsia="Verdana" w:cs="Verdana"/>
          <w:szCs w:val="18"/>
          <w:lang w:val="nl-NL"/>
        </w:rPr>
        <w:t>de huidige wetgeving</w:t>
      </w:r>
      <w:r w:rsidR="00FF4A11" w:rsidRPr="00A33930">
        <w:rPr>
          <w:rFonts w:eastAsia="Verdana" w:cs="Verdana"/>
          <w:szCs w:val="18"/>
          <w:lang w:val="nl-NL"/>
        </w:rPr>
        <w:t xml:space="preserve"> niet in overeenstemming </w:t>
      </w:r>
      <w:r w:rsidR="004A3842" w:rsidRPr="00A33930">
        <w:rPr>
          <w:rFonts w:eastAsia="Verdana" w:cs="Verdana"/>
          <w:szCs w:val="18"/>
          <w:lang w:val="nl-NL"/>
        </w:rPr>
        <w:t>blijkt</w:t>
      </w:r>
      <w:r w:rsidR="00FF4A11" w:rsidRPr="00A33930">
        <w:rPr>
          <w:rFonts w:eastAsia="Verdana" w:cs="Verdana"/>
          <w:szCs w:val="18"/>
          <w:lang w:val="nl-NL"/>
        </w:rPr>
        <w:t xml:space="preserve"> te zijn met de verplichtingen op mensenrechtelijk niveau</w:t>
      </w:r>
      <w:r w:rsidRPr="00A33930">
        <w:rPr>
          <w:rFonts w:eastAsia="Verdana" w:cs="Verdana"/>
          <w:szCs w:val="18"/>
          <w:lang w:val="nl-NL"/>
        </w:rPr>
        <w:t xml:space="preserve">. Hierbij heeft dit onderzoek </w:t>
      </w:r>
      <w:r w:rsidR="00E5233D" w:rsidRPr="00A33930">
        <w:rPr>
          <w:rFonts w:eastAsia="Verdana" w:cs="Verdana"/>
          <w:iCs/>
          <w:szCs w:val="18"/>
          <w:lang w:val="nl-NL"/>
        </w:rPr>
        <w:t xml:space="preserve">het burgerlijk recht tot voorwerp. De focus ligt op het perspectief van het kind en zijn recht op persoonlijk contact ten aanzien van </w:t>
      </w:r>
      <w:r w:rsidR="00FE5835" w:rsidRPr="00A33930">
        <w:rPr>
          <w:rFonts w:eastAsia="Verdana" w:cs="Verdana"/>
          <w:iCs/>
          <w:szCs w:val="18"/>
          <w:lang w:val="nl-NL"/>
        </w:rPr>
        <w:t>volwassenen</w:t>
      </w:r>
      <w:r w:rsidR="00E5233D" w:rsidRPr="00A33930">
        <w:rPr>
          <w:rFonts w:eastAsia="Verdana" w:cs="Verdana"/>
          <w:iCs/>
          <w:szCs w:val="18"/>
          <w:lang w:val="nl-NL"/>
        </w:rPr>
        <w:t>.</w:t>
      </w:r>
    </w:p>
    <w:p w14:paraId="05207A0E" w14:textId="77777777" w:rsidR="004A3842" w:rsidRPr="00A33930" w:rsidRDefault="004A3842" w:rsidP="004A3842">
      <w:pPr>
        <w:pStyle w:val="Lijstalinea"/>
        <w:spacing w:before="200" w:after="0"/>
        <w:ind w:left="0"/>
        <w:jc w:val="both"/>
        <w:rPr>
          <w:rFonts w:eastAsia="Verdana" w:cs="Verdana"/>
          <w:szCs w:val="18"/>
          <w:lang w:val="nl-NL"/>
        </w:rPr>
      </w:pPr>
    </w:p>
    <w:p w14:paraId="0EAEAD88" w14:textId="50A672D9" w:rsidR="00F10A96" w:rsidRPr="00A33930" w:rsidRDefault="00397F19" w:rsidP="006800ED">
      <w:pPr>
        <w:pStyle w:val="Lijstalinea"/>
        <w:numPr>
          <w:ilvl w:val="0"/>
          <w:numId w:val="4"/>
        </w:numPr>
        <w:spacing w:before="200" w:after="0"/>
        <w:ind w:left="0" w:firstLine="0"/>
        <w:jc w:val="both"/>
        <w:rPr>
          <w:rFonts w:eastAsia="Verdana" w:cs="Verdana"/>
          <w:szCs w:val="18"/>
          <w:lang w:val="nl-NL"/>
        </w:rPr>
      </w:pPr>
      <w:r w:rsidRPr="00A33930">
        <w:rPr>
          <w:rFonts w:eastAsia="Verdana" w:cs="Verdana"/>
          <w:iCs/>
          <w:szCs w:val="18"/>
          <w:lang w:val="nl-NL"/>
        </w:rPr>
        <w:t xml:space="preserve">Teneinde het recht op persoonlijk contact te </w:t>
      </w:r>
      <w:r w:rsidR="00FF4A11" w:rsidRPr="00A33930">
        <w:rPr>
          <w:rFonts w:eastAsia="Verdana" w:cs="Verdana"/>
          <w:iCs/>
          <w:szCs w:val="18"/>
          <w:lang w:val="nl-NL"/>
        </w:rPr>
        <w:t>bestuderen</w:t>
      </w:r>
      <w:r w:rsidRPr="00A33930">
        <w:rPr>
          <w:rFonts w:eastAsia="Verdana" w:cs="Verdana"/>
          <w:iCs/>
          <w:szCs w:val="18"/>
          <w:lang w:val="nl-NL"/>
        </w:rPr>
        <w:t xml:space="preserve"> </w:t>
      </w:r>
      <w:r w:rsidR="00D271F5" w:rsidRPr="00A33930">
        <w:rPr>
          <w:rFonts w:eastAsia="Verdana" w:cs="Verdana"/>
          <w:iCs/>
          <w:szCs w:val="18"/>
          <w:lang w:val="nl-NL"/>
        </w:rPr>
        <w:t xml:space="preserve">wordt een grondige analyse gemaakt van het Europese en het internationale recht alsook van het Belgisch, Nederlands en Duits recht </w:t>
      </w:r>
      <w:r w:rsidR="006800ED" w:rsidRPr="00A33930">
        <w:rPr>
          <w:rFonts w:eastAsia="Verdana" w:cs="Verdana"/>
          <w:iCs/>
          <w:szCs w:val="18"/>
          <w:lang w:val="nl-NL"/>
        </w:rPr>
        <w:t>op persoonlijk contact</w:t>
      </w:r>
      <w:r w:rsidR="00D271F5" w:rsidRPr="00A33930">
        <w:rPr>
          <w:rFonts w:eastAsia="Verdana" w:cs="Verdana"/>
          <w:iCs/>
          <w:szCs w:val="18"/>
          <w:lang w:val="nl-NL"/>
        </w:rPr>
        <w:t xml:space="preserve">. </w:t>
      </w:r>
      <w:r w:rsidR="00FF4A11" w:rsidRPr="00A33930">
        <w:rPr>
          <w:rFonts w:eastAsia="Verdana" w:cs="Verdana"/>
          <w:iCs/>
          <w:szCs w:val="18"/>
          <w:lang w:val="nl-NL"/>
        </w:rPr>
        <w:t xml:space="preserve">In dit onderzoek wordt het Europees rechtsstelsel en zijn invulling als geldend regionaal systeem op het Europese vasteland bestudeerd. </w:t>
      </w:r>
      <w:r w:rsidR="00F22F44" w:rsidRPr="00A33930">
        <w:rPr>
          <w:rFonts w:eastAsia="Verdana" w:cs="Verdana"/>
          <w:iCs/>
          <w:szCs w:val="18"/>
          <w:lang w:val="nl-NL"/>
        </w:rPr>
        <w:t xml:space="preserve">Er wordt geen onderzoek gedaan naar of vergelijking gemaakt met andere regionale systemen zoals het Inter-Amerikaans of Afrikaans rechtsstelsel. </w:t>
      </w:r>
      <w:r w:rsidR="006800ED" w:rsidRPr="00A33930">
        <w:rPr>
          <w:rFonts w:eastAsia="Verdana" w:cs="Verdana"/>
          <w:iCs/>
          <w:szCs w:val="18"/>
          <w:lang w:val="nl-NL"/>
        </w:rPr>
        <w:t xml:space="preserve">Deze rechtsstelsels kennen </w:t>
      </w:r>
      <w:r w:rsidR="00EB0BED" w:rsidRPr="00A33930">
        <w:rPr>
          <w:rFonts w:eastAsia="Verdana" w:cs="Verdana"/>
          <w:iCs/>
          <w:szCs w:val="18"/>
          <w:lang w:val="nl-NL"/>
        </w:rPr>
        <w:t>tevens</w:t>
      </w:r>
      <w:r w:rsidR="006800ED" w:rsidRPr="00A33930">
        <w:rPr>
          <w:rFonts w:eastAsia="Verdana" w:cs="Verdana"/>
          <w:iCs/>
          <w:szCs w:val="18"/>
          <w:lang w:val="nl-NL"/>
        </w:rPr>
        <w:t xml:space="preserve"> een toepassing van </w:t>
      </w:r>
      <w:r w:rsidR="00FF4A11" w:rsidRPr="00A33930">
        <w:rPr>
          <w:rFonts w:eastAsia="Verdana" w:cs="Verdana"/>
          <w:iCs/>
          <w:szCs w:val="18"/>
          <w:lang w:val="nl-NL"/>
        </w:rPr>
        <w:t>de mensenrechtelijke verplichtingen</w:t>
      </w:r>
      <w:r w:rsidR="006800ED" w:rsidRPr="00A33930">
        <w:rPr>
          <w:rFonts w:eastAsia="Verdana" w:cs="Verdana"/>
          <w:iCs/>
          <w:szCs w:val="18"/>
          <w:lang w:val="nl-NL"/>
        </w:rPr>
        <w:t xml:space="preserve"> maar zijn hierbij onderhevig aan lokale, politieke en sociaalwenselijke </w:t>
      </w:r>
      <w:r w:rsidR="009C704C" w:rsidRPr="00A33930">
        <w:rPr>
          <w:rFonts w:eastAsia="Verdana" w:cs="Verdana"/>
          <w:iCs/>
          <w:szCs w:val="18"/>
          <w:lang w:val="nl-NL"/>
        </w:rPr>
        <w:t>waarden en normen</w:t>
      </w:r>
      <w:r w:rsidR="006800ED" w:rsidRPr="00A33930">
        <w:rPr>
          <w:rFonts w:eastAsia="Verdana" w:cs="Verdana"/>
          <w:iCs/>
          <w:szCs w:val="18"/>
          <w:lang w:val="nl-NL"/>
        </w:rPr>
        <w:t>.</w:t>
      </w:r>
      <w:r w:rsidR="006800ED" w:rsidRPr="00A33930">
        <w:rPr>
          <w:rStyle w:val="Voetnootmarkering"/>
          <w:rFonts w:eastAsia="Verdana" w:cs="Verdana"/>
          <w:iCs/>
          <w:szCs w:val="18"/>
          <w:lang w:val="nl-NL"/>
        </w:rPr>
        <w:footnoteReference w:id="16"/>
      </w:r>
      <w:r w:rsidR="00FE5835" w:rsidRPr="00A33930">
        <w:rPr>
          <w:rFonts w:eastAsia="Verdana" w:cs="Verdana"/>
          <w:iCs/>
          <w:szCs w:val="18"/>
          <w:lang w:val="nl-NL"/>
        </w:rPr>
        <w:t xml:space="preserve"> Het analyseren van een wereldwijd recht op persoonlijk contact vormt mogelijks interessante materie voor verder onderzoek. </w:t>
      </w:r>
    </w:p>
    <w:p w14:paraId="2872F028" w14:textId="7416C4EE" w:rsidR="00DA3ECE" w:rsidRPr="00A33930" w:rsidRDefault="00DA3ECE" w:rsidP="0053603C">
      <w:pPr>
        <w:pStyle w:val="Lijstalinea"/>
        <w:numPr>
          <w:ilvl w:val="0"/>
          <w:numId w:val="4"/>
        </w:numPr>
        <w:spacing w:before="200" w:after="0"/>
        <w:ind w:left="0" w:firstLine="0"/>
        <w:jc w:val="both"/>
        <w:rPr>
          <w:rFonts w:eastAsia="Verdana" w:cs="Verdana"/>
          <w:szCs w:val="18"/>
          <w:lang w:val="nl-NL"/>
        </w:rPr>
      </w:pPr>
      <w:r w:rsidRPr="00A33930">
        <w:rPr>
          <w:sz w:val="20"/>
          <w:szCs w:val="28"/>
          <w:lang w:val="nl-NL"/>
        </w:rPr>
        <w:br w:type="page"/>
      </w:r>
    </w:p>
    <w:p w14:paraId="3B42DBA5" w14:textId="77777777" w:rsidR="008329A0" w:rsidRPr="00A33930" w:rsidRDefault="008329A0">
      <w:pPr>
        <w:spacing w:after="160" w:line="259" w:lineRule="auto"/>
        <w:rPr>
          <w:rFonts w:eastAsiaTheme="majorEastAsia" w:cstheme="majorBidi"/>
          <w:b/>
          <w:sz w:val="20"/>
          <w:szCs w:val="28"/>
          <w:lang w:val="nl-NL" w:eastAsia="en-US"/>
        </w:rPr>
      </w:pPr>
      <w:r w:rsidRPr="00A33930">
        <w:rPr>
          <w:sz w:val="20"/>
          <w:szCs w:val="28"/>
          <w:lang w:val="nl-NL"/>
        </w:rPr>
        <w:lastRenderedPageBreak/>
        <w:br w:type="page"/>
      </w:r>
    </w:p>
    <w:p w14:paraId="36AD4B8D" w14:textId="6873BDBD" w:rsidR="004D631D" w:rsidRPr="00A33930" w:rsidRDefault="00C808FF" w:rsidP="004D631D">
      <w:pPr>
        <w:pStyle w:val="Kop2"/>
        <w:numPr>
          <w:ilvl w:val="0"/>
          <w:numId w:val="0"/>
        </w:numPr>
        <w:jc w:val="both"/>
        <w:rPr>
          <w:sz w:val="20"/>
          <w:szCs w:val="28"/>
          <w:lang w:val="nl-NL"/>
        </w:rPr>
      </w:pPr>
      <w:bookmarkStart w:id="8" w:name="_Toc134621167"/>
      <w:r w:rsidRPr="00A33930">
        <w:rPr>
          <w:sz w:val="20"/>
          <w:szCs w:val="28"/>
          <w:lang w:val="nl-NL"/>
        </w:rPr>
        <w:lastRenderedPageBreak/>
        <w:t>HOOFDSTUK II.</w:t>
      </w:r>
      <w:r w:rsidR="0012420A" w:rsidRPr="00A33930">
        <w:rPr>
          <w:sz w:val="20"/>
          <w:szCs w:val="28"/>
          <w:lang w:val="nl-NL"/>
        </w:rPr>
        <w:tab/>
      </w:r>
      <w:r w:rsidRPr="00A33930">
        <w:rPr>
          <w:sz w:val="20"/>
          <w:szCs w:val="28"/>
          <w:lang w:val="nl-NL"/>
        </w:rPr>
        <w:t>ONDERZOEKSVRAGEN</w:t>
      </w:r>
      <w:bookmarkEnd w:id="8"/>
    </w:p>
    <w:p w14:paraId="563E530C" w14:textId="36468CFB" w:rsidR="000D1B4D" w:rsidRPr="00A33930" w:rsidRDefault="000D1B4D" w:rsidP="00A74B82">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De manier waarop het Belgisch recht het recht op persoonlijk contact van het kind garandeert lijkt uit bovenstaande probleemstelling op het eerste gezicht niet hetzelfde te zijn als op mensenrechtelijk niveau. </w:t>
      </w:r>
      <w:r w:rsidR="004F5C99" w:rsidRPr="00A33930">
        <w:rPr>
          <w:rFonts w:eastAsia="Verdana" w:cs="Verdana"/>
          <w:szCs w:val="18"/>
          <w:lang w:val="nl-NL"/>
        </w:rPr>
        <w:t xml:space="preserve">Centraal in dit onderzoek staat de zoektocht naar de wenselijkheid van een herziening van het recht op persoonlijk contact van het kind. </w:t>
      </w:r>
      <w:r w:rsidRPr="00A33930">
        <w:rPr>
          <w:rFonts w:eastAsia="Verdana" w:cs="Verdana"/>
          <w:szCs w:val="18"/>
          <w:lang w:val="nl-NL"/>
        </w:rPr>
        <w:t>Op dit punt wordt in het voorgenomen onderzoek dieper ingegaan. De centrale onderzoeksvraag in deze masterscriptie luidt dan ook</w:t>
      </w:r>
      <w:r w:rsidR="004F5C99" w:rsidRPr="00A33930">
        <w:rPr>
          <w:rFonts w:eastAsia="Verdana" w:cs="Verdana"/>
          <w:szCs w:val="18"/>
          <w:lang w:val="nl-NL"/>
        </w:rPr>
        <w:t xml:space="preserve"> als volgt</w:t>
      </w:r>
      <w:r w:rsidRPr="00A33930">
        <w:rPr>
          <w:rFonts w:eastAsia="Verdana" w:cs="Verdana"/>
          <w:szCs w:val="18"/>
          <w:lang w:val="nl-NL"/>
        </w:rPr>
        <w:t xml:space="preserve">: </w:t>
      </w:r>
      <w:r w:rsidR="004F5C99" w:rsidRPr="00A33930">
        <w:rPr>
          <w:rFonts w:eastAsia="Verdana" w:cs="Verdana"/>
          <w:szCs w:val="18"/>
          <w:lang w:val="nl-NL"/>
        </w:rPr>
        <w:t>“</w:t>
      </w:r>
      <w:r w:rsidRPr="00A33930">
        <w:rPr>
          <w:rFonts w:eastAsia="Verdana" w:cs="Verdana"/>
          <w:szCs w:val="18"/>
          <w:lang w:val="nl-NL"/>
        </w:rPr>
        <w:t xml:space="preserve">Hoe kan de Belgische regelgeving betreffende het recht op persoonlijk contact van het kind in overeenstemming gebracht worden met </w:t>
      </w:r>
      <w:r w:rsidR="00AB76DB" w:rsidRPr="00A33930">
        <w:rPr>
          <w:rFonts w:eastAsia="Verdana" w:cs="Verdana"/>
          <w:szCs w:val="18"/>
          <w:lang w:val="nl-NL"/>
        </w:rPr>
        <w:t xml:space="preserve">de </w:t>
      </w:r>
      <w:r w:rsidR="002F6600" w:rsidRPr="00A33930">
        <w:rPr>
          <w:rFonts w:eastAsia="Verdana" w:cs="Verdana"/>
          <w:szCs w:val="18"/>
          <w:lang w:val="nl-NL"/>
        </w:rPr>
        <w:t xml:space="preserve">mogelijke </w:t>
      </w:r>
      <w:r w:rsidRPr="00A33930">
        <w:rPr>
          <w:rFonts w:eastAsia="Verdana" w:cs="Verdana"/>
          <w:szCs w:val="18"/>
          <w:lang w:val="nl-NL"/>
        </w:rPr>
        <w:t xml:space="preserve">mensenrechtelijke verplichtingen uit </w:t>
      </w:r>
      <w:r w:rsidR="006D5DC5" w:rsidRPr="00A33930">
        <w:rPr>
          <w:rFonts w:eastAsia="Verdana" w:cs="Verdana"/>
          <w:szCs w:val="18"/>
          <w:lang w:val="nl-NL"/>
        </w:rPr>
        <w:t>artikel 9.3</w:t>
      </w:r>
      <w:r w:rsidRPr="00A33930">
        <w:rPr>
          <w:rFonts w:eastAsia="Verdana" w:cs="Verdana"/>
          <w:szCs w:val="18"/>
          <w:lang w:val="nl-NL"/>
        </w:rPr>
        <w:t xml:space="preserve"> IVRK en </w:t>
      </w:r>
      <w:r w:rsidR="006D5DC5" w:rsidRPr="00A33930">
        <w:rPr>
          <w:rFonts w:eastAsia="Verdana" w:cs="Verdana"/>
          <w:szCs w:val="18"/>
          <w:lang w:val="nl-NL"/>
        </w:rPr>
        <w:t>artikel 8</w:t>
      </w:r>
      <w:r w:rsidR="009E1A96" w:rsidRPr="00A33930">
        <w:rPr>
          <w:rFonts w:eastAsia="Verdana" w:cs="Verdana"/>
          <w:szCs w:val="18"/>
          <w:lang w:val="nl-NL"/>
        </w:rPr>
        <w:t>.1</w:t>
      </w:r>
      <w:r w:rsidRPr="00A33930">
        <w:rPr>
          <w:rFonts w:eastAsia="Verdana" w:cs="Verdana"/>
          <w:szCs w:val="18"/>
          <w:lang w:val="nl-NL"/>
        </w:rPr>
        <w:t xml:space="preserve"> EVRM?</w:t>
      </w:r>
      <w:r w:rsidR="004F5C99" w:rsidRPr="00A33930">
        <w:rPr>
          <w:rFonts w:eastAsia="Verdana" w:cs="Verdana"/>
          <w:szCs w:val="18"/>
          <w:lang w:val="nl-NL"/>
        </w:rPr>
        <w:t>”. Derhalve is het uitgangspunt van dit onderzoek een normatieve en aanbevelende vraagstelling</w:t>
      </w:r>
      <w:r w:rsidR="00740985" w:rsidRPr="00A33930">
        <w:rPr>
          <w:rFonts w:eastAsia="Verdana" w:cs="Verdana"/>
          <w:szCs w:val="18"/>
          <w:lang w:val="nl-NL"/>
        </w:rPr>
        <w:t xml:space="preserve">, met als voornaamste </w:t>
      </w:r>
      <w:r w:rsidR="00740985" w:rsidRPr="00A33930">
        <w:rPr>
          <w:rFonts w:eastAsia="Verdana" w:cs="Verdana"/>
          <w:i/>
          <w:iCs/>
          <w:szCs w:val="18"/>
          <w:lang w:val="nl-NL"/>
        </w:rPr>
        <w:t>output</w:t>
      </w:r>
      <w:r w:rsidR="00740985" w:rsidRPr="00A33930">
        <w:rPr>
          <w:rFonts w:eastAsia="Verdana" w:cs="Verdana"/>
          <w:szCs w:val="18"/>
          <w:lang w:val="nl-NL"/>
        </w:rPr>
        <w:t xml:space="preserve"> in concrete aanbevelingen te voorzien om het Belgisch</w:t>
      </w:r>
      <w:r w:rsidR="00C0600D" w:rsidRPr="00A33930">
        <w:rPr>
          <w:rFonts w:eastAsia="Verdana" w:cs="Verdana"/>
          <w:szCs w:val="18"/>
          <w:lang w:val="nl-NL"/>
        </w:rPr>
        <w:t xml:space="preserve"> </w:t>
      </w:r>
      <w:r w:rsidR="00740985" w:rsidRPr="00A33930">
        <w:rPr>
          <w:rFonts w:eastAsia="Verdana" w:cs="Verdana"/>
          <w:szCs w:val="18"/>
          <w:lang w:val="nl-NL"/>
        </w:rPr>
        <w:t>recht indien nodig aan te passen.</w:t>
      </w:r>
    </w:p>
    <w:p w14:paraId="4F6A358D" w14:textId="77777777" w:rsidR="005D2BDD" w:rsidRPr="00A33930" w:rsidRDefault="005D2BDD" w:rsidP="005D2BDD">
      <w:pPr>
        <w:pStyle w:val="Lijstalinea"/>
        <w:spacing w:before="200" w:after="0"/>
        <w:ind w:left="0"/>
        <w:jc w:val="both"/>
        <w:rPr>
          <w:rFonts w:eastAsia="Verdana" w:cs="Verdana"/>
          <w:szCs w:val="18"/>
          <w:lang w:val="nl-NL"/>
        </w:rPr>
      </w:pPr>
    </w:p>
    <w:p w14:paraId="754604CA" w14:textId="5C5A1E59" w:rsidR="00DA3ECE" w:rsidRPr="00A33930" w:rsidRDefault="00DA3ECE">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Teneinde deze centrale onderzoeksvraag te beantwoorden, </w:t>
      </w:r>
      <w:r w:rsidR="005D2BDD" w:rsidRPr="00A33930">
        <w:rPr>
          <w:rFonts w:eastAsia="Verdana" w:cs="Verdana"/>
          <w:szCs w:val="18"/>
          <w:lang w:val="nl-NL"/>
        </w:rPr>
        <w:t>wordt eerst een antwoord geformuleerd op</w:t>
      </w:r>
      <w:r w:rsidRPr="00A33930">
        <w:rPr>
          <w:rFonts w:eastAsia="Verdana" w:cs="Verdana"/>
          <w:szCs w:val="18"/>
          <w:lang w:val="nl-NL"/>
        </w:rPr>
        <w:t xml:space="preserve"> volgende subonderzoeksvragen:</w:t>
      </w:r>
    </w:p>
    <w:p w14:paraId="1A32C068" w14:textId="7AB826F6" w:rsidR="00DA3ECE" w:rsidRPr="00A33930" w:rsidRDefault="00410F6D">
      <w:pPr>
        <w:numPr>
          <w:ilvl w:val="0"/>
          <w:numId w:val="5"/>
        </w:numPr>
        <w:spacing w:line="360" w:lineRule="auto"/>
        <w:jc w:val="both"/>
        <w:rPr>
          <w:rFonts w:eastAsia="Verdana" w:cs="Verdana"/>
          <w:szCs w:val="18"/>
          <w:lang w:val="nl-NL"/>
        </w:rPr>
      </w:pPr>
      <w:r w:rsidRPr="00A33930">
        <w:rPr>
          <w:rFonts w:eastAsia="Verdana" w:cs="Verdana"/>
          <w:szCs w:val="18"/>
          <w:lang w:val="nl-NL"/>
        </w:rPr>
        <w:t>Bestaat er op mensenrechtelijk vlak een recht op persoonlijk contact van het kind? (normatieve en beschrijvende onderzoeksvraag)</w:t>
      </w:r>
    </w:p>
    <w:p w14:paraId="280C158C" w14:textId="3804C221" w:rsidR="00DA3ECE" w:rsidRPr="00A33930" w:rsidRDefault="00AF7C8C">
      <w:pPr>
        <w:numPr>
          <w:ilvl w:val="0"/>
          <w:numId w:val="5"/>
        </w:numPr>
        <w:spacing w:line="360" w:lineRule="auto"/>
        <w:jc w:val="both"/>
        <w:rPr>
          <w:rFonts w:eastAsia="Verdana" w:cs="Verdana"/>
          <w:szCs w:val="18"/>
          <w:lang w:val="nl-NL"/>
        </w:rPr>
      </w:pPr>
      <w:r w:rsidRPr="00A33930">
        <w:rPr>
          <w:rFonts w:eastAsia="Verdana" w:cs="Verdana"/>
          <w:szCs w:val="18"/>
          <w:lang w:val="nl-NL"/>
        </w:rPr>
        <w:t>Wordt in het Belgische recht voorzien in een recht op persoonlijk contact van het kind?</w:t>
      </w:r>
      <w:r w:rsidR="00ED3B78" w:rsidRPr="00A33930">
        <w:rPr>
          <w:rFonts w:eastAsia="Verdana" w:cs="Verdana"/>
          <w:szCs w:val="18"/>
          <w:lang w:val="nl-NL"/>
        </w:rPr>
        <w:t xml:space="preserve"> (beschrijvende </w:t>
      </w:r>
      <w:r w:rsidR="0012420A" w:rsidRPr="00A33930">
        <w:rPr>
          <w:rFonts w:eastAsia="Verdana" w:cs="Verdana"/>
          <w:szCs w:val="18"/>
          <w:lang w:val="nl-NL"/>
        </w:rPr>
        <w:t>sub</w:t>
      </w:r>
      <w:r w:rsidR="00ED3B78" w:rsidRPr="00A33930">
        <w:rPr>
          <w:rFonts w:eastAsia="Verdana" w:cs="Verdana"/>
          <w:szCs w:val="18"/>
          <w:lang w:val="nl-NL"/>
        </w:rPr>
        <w:t>onderzoeksvraag)</w:t>
      </w:r>
    </w:p>
    <w:p w14:paraId="722EC386" w14:textId="461C990F" w:rsidR="00F72FA0" w:rsidRPr="00A33930" w:rsidRDefault="00410F6D" w:rsidP="00F72FA0">
      <w:pPr>
        <w:numPr>
          <w:ilvl w:val="0"/>
          <w:numId w:val="5"/>
        </w:numPr>
        <w:spacing w:line="360" w:lineRule="auto"/>
        <w:jc w:val="both"/>
        <w:rPr>
          <w:rFonts w:eastAsia="Verdana" w:cs="Verdana"/>
          <w:szCs w:val="18"/>
          <w:lang w:val="nl-NL"/>
        </w:rPr>
      </w:pPr>
      <w:r w:rsidRPr="00A33930">
        <w:rPr>
          <w:rFonts w:eastAsia="Verdana" w:cs="Verdana"/>
          <w:szCs w:val="18"/>
          <w:lang w:val="nl-NL"/>
        </w:rPr>
        <w:t xml:space="preserve">Hanteert de Belgische wetgever een verschillend </w:t>
      </w:r>
      <w:r w:rsidR="00E57778" w:rsidRPr="00A33930">
        <w:rPr>
          <w:rFonts w:eastAsia="Verdana" w:cs="Verdana"/>
          <w:szCs w:val="18"/>
          <w:lang w:val="nl-NL"/>
        </w:rPr>
        <w:t xml:space="preserve">kindperspectief </w:t>
      </w:r>
      <w:r w:rsidRPr="00A33930">
        <w:rPr>
          <w:rFonts w:eastAsia="Verdana" w:cs="Verdana"/>
          <w:szCs w:val="18"/>
          <w:lang w:val="nl-NL"/>
        </w:rPr>
        <w:t>dan op mensenrechtelijk vlak voorgeschreven en zo ja, hoe kan dit worden verklaard? (verklarende subonderzoeksvraag)</w:t>
      </w:r>
    </w:p>
    <w:p w14:paraId="72A36570" w14:textId="612147AA" w:rsidR="00DA3ECE" w:rsidRPr="00A33930" w:rsidRDefault="00DA3ECE">
      <w:pPr>
        <w:numPr>
          <w:ilvl w:val="0"/>
          <w:numId w:val="5"/>
        </w:numPr>
        <w:spacing w:line="360" w:lineRule="auto"/>
        <w:jc w:val="both"/>
        <w:rPr>
          <w:rFonts w:eastAsia="Verdana" w:cs="Verdana"/>
          <w:szCs w:val="18"/>
          <w:lang w:val="nl-NL"/>
        </w:rPr>
      </w:pPr>
      <w:r w:rsidRPr="00A33930">
        <w:rPr>
          <w:rFonts w:eastAsia="Verdana" w:cs="Verdana"/>
          <w:szCs w:val="18"/>
          <w:lang w:val="nl-NL"/>
        </w:rPr>
        <w:t xml:space="preserve">Is de huidige Belgische regelgeving omtrent het recht op persoonlijk contact van het kind in overeenstemming met de </w:t>
      </w:r>
      <w:r w:rsidR="00410F6D" w:rsidRPr="00A33930">
        <w:rPr>
          <w:rFonts w:eastAsia="Verdana" w:cs="Verdana"/>
          <w:szCs w:val="18"/>
          <w:lang w:val="nl-NL"/>
        </w:rPr>
        <w:t>mensenrechtelijke</w:t>
      </w:r>
      <w:r w:rsidRPr="00A33930">
        <w:rPr>
          <w:rFonts w:eastAsia="Verdana" w:cs="Verdana"/>
          <w:szCs w:val="18"/>
          <w:lang w:val="nl-NL"/>
        </w:rPr>
        <w:t xml:space="preserve"> verplichtingen? (evaluerende subonderzoeksvraag</w:t>
      </w:r>
      <w:r w:rsidR="00ED3B78" w:rsidRPr="00A33930">
        <w:rPr>
          <w:rFonts w:eastAsia="Verdana" w:cs="Verdana"/>
          <w:szCs w:val="18"/>
          <w:lang w:val="nl-NL"/>
        </w:rPr>
        <w:t>)</w:t>
      </w:r>
    </w:p>
    <w:p w14:paraId="65982E0D" w14:textId="2321F0B7" w:rsidR="00DA3ECE" w:rsidRPr="00A33930" w:rsidRDefault="00410F6D" w:rsidP="00DA3ECE">
      <w:pPr>
        <w:numPr>
          <w:ilvl w:val="0"/>
          <w:numId w:val="5"/>
        </w:numPr>
        <w:spacing w:line="360" w:lineRule="auto"/>
        <w:jc w:val="both"/>
        <w:rPr>
          <w:rFonts w:eastAsia="Verdana" w:cs="Verdana"/>
          <w:szCs w:val="18"/>
          <w:lang w:val="nl-NL"/>
        </w:rPr>
      </w:pPr>
      <w:r w:rsidRPr="00A33930">
        <w:rPr>
          <w:rFonts w:eastAsia="Verdana" w:cs="Verdana"/>
          <w:szCs w:val="18"/>
          <w:lang w:val="nl-NL"/>
        </w:rPr>
        <w:t>Ken</w:t>
      </w:r>
      <w:r w:rsidR="00EB0BED" w:rsidRPr="00A33930">
        <w:rPr>
          <w:rFonts w:eastAsia="Verdana" w:cs="Verdana"/>
          <w:szCs w:val="18"/>
          <w:lang w:val="nl-NL"/>
        </w:rPr>
        <w:t>t het</w:t>
      </w:r>
      <w:r w:rsidRPr="00A33930">
        <w:rPr>
          <w:rFonts w:eastAsia="Verdana" w:cs="Verdana"/>
          <w:szCs w:val="18"/>
          <w:lang w:val="nl-NL"/>
        </w:rPr>
        <w:t xml:space="preserve"> Nederland</w:t>
      </w:r>
      <w:r w:rsidR="00EB0BED" w:rsidRPr="00A33930">
        <w:rPr>
          <w:rFonts w:eastAsia="Verdana" w:cs="Verdana"/>
          <w:szCs w:val="18"/>
          <w:lang w:val="nl-NL"/>
        </w:rPr>
        <w:t>s</w:t>
      </w:r>
      <w:r w:rsidRPr="00A33930">
        <w:rPr>
          <w:rFonts w:eastAsia="Verdana" w:cs="Verdana"/>
          <w:szCs w:val="18"/>
          <w:lang w:val="nl-NL"/>
        </w:rPr>
        <w:t xml:space="preserve"> en </w:t>
      </w:r>
      <w:r w:rsidR="00EB0BED" w:rsidRPr="00A33930">
        <w:rPr>
          <w:rFonts w:eastAsia="Verdana" w:cs="Verdana"/>
          <w:szCs w:val="18"/>
          <w:lang w:val="nl-NL"/>
        </w:rPr>
        <w:t>Duits recht</w:t>
      </w:r>
      <w:r w:rsidRPr="00A33930">
        <w:rPr>
          <w:rFonts w:eastAsia="Verdana" w:cs="Verdana"/>
          <w:szCs w:val="18"/>
          <w:lang w:val="nl-NL"/>
        </w:rPr>
        <w:t xml:space="preserve"> een </w:t>
      </w:r>
      <w:r w:rsidR="00F91A64" w:rsidRPr="00A33930">
        <w:rPr>
          <w:rFonts w:eastAsia="Verdana" w:cs="Verdana"/>
          <w:szCs w:val="18"/>
          <w:lang w:val="nl-NL"/>
        </w:rPr>
        <w:t xml:space="preserve">eigen </w:t>
      </w:r>
      <w:r w:rsidRPr="00A33930">
        <w:rPr>
          <w:rFonts w:eastAsia="Verdana" w:cs="Verdana"/>
          <w:szCs w:val="18"/>
          <w:lang w:val="nl-NL"/>
        </w:rPr>
        <w:t>recht op persoonlijk contact van het kind en zo ja, kan hier inspiratie worden gehaald ter verbetering van het Belgische recht in het licht van de mensenrechtelijke verplichtingen? (vergelijkende subonderzoeksvraag)</w:t>
      </w:r>
    </w:p>
    <w:p w14:paraId="6842CBD6" w14:textId="77777777" w:rsidR="004D631D" w:rsidRPr="00A33930" w:rsidRDefault="004D631D" w:rsidP="004D631D">
      <w:pPr>
        <w:rPr>
          <w:lang w:val="nl-NL" w:eastAsia="en-US"/>
        </w:rPr>
      </w:pPr>
    </w:p>
    <w:p w14:paraId="148145DD" w14:textId="77777777" w:rsidR="00DA3ECE" w:rsidRPr="00A33930" w:rsidRDefault="00DA3ECE">
      <w:pPr>
        <w:spacing w:after="160" w:line="259" w:lineRule="auto"/>
        <w:rPr>
          <w:rFonts w:eastAsiaTheme="majorEastAsia" w:cstheme="majorBidi"/>
          <w:b/>
          <w:sz w:val="20"/>
          <w:szCs w:val="28"/>
          <w:lang w:val="nl-NL" w:eastAsia="en-US"/>
        </w:rPr>
      </w:pPr>
      <w:r w:rsidRPr="00A33930">
        <w:rPr>
          <w:sz w:val="20"/>
          <w:szCs w:val="28"/>
          <w:lang w:val="nl-NL"/>
        </w:rPr>
        <w:br w:type="page"/>
      </w:r>
    </w:p>
    <w:p w14:paraId="53B3659F" w14:textId="77777777" w:rsidR="008329A0" w:rsidRPr="00A33930" w:rsidRDefault="008329A0">
      <w:pPr>
        <w:spacing w:after="160" w:line="259" w:lineRule="auto"/>
        <w:rPr>
          <w:rFonts w:eastAsiaTheme="majorEastAsia" w:cstheme="majorBidi"/>
          <w:b/>
          <w:sz w:val="20"/>
          <w:szCs w:val="28"/>
          <w:lang w:val="nl-NL" w:eastAsia="en-US"/>
        </w:rPr>
      </w:pPr>
      <w:r w:rsidRPr="00A33930">
        <w:rPr>
          <w:sz w:val="20"/>
          <w:szCs w:val="28"/>
          <w:lang w:val="nl-NL"/>
        </w:rPr>
        <w:lastRenderedPageBreak/>
        <w:br w:type="page"/>
      </w:r>
    </w:p>
    <w:p w14:paraId="79DAD193" w14:textId="0EF12209" w:rsidR="004D631D" w:rsidRPr="00A33930" w:rsidRDefault="00C808FF" w:rsidP="004D631D">
      <w:pPr>
        <w:pStyle w:val="Kop2"/>
        <w:numPr>
          <w:ilvl w:val="0"/>
          <w:numId w:val="0"/>
        </w:numPr>
        <w:jc w:val="both"/>
        <w:rPr>
          <w:sz w:val="20"/>
          <w:szCs w:val="28"/>
          <w:lang w:val="nl-NL"/>
        </w:rPr>
      </w:pPr>
      <w:bookmarkStart w:id="9" w:name="_Toc134621168"/>
      <w:r w:rsidRPr="00A33930">
        <w:rPr>
          <w:sz w:val="20"/>
          <w:szCs w:val="28"/>
          <w:lang w:val="nl-NL"/>
        </w:rPr>
        <w:lastRenderedPageBreak/>
        <w:t>HOOFDSTUK III.</w:t>
      </w:r>
      <w:r w:rsidR="001E72A6" w:rsidRPr="00A33930">
        <w:rPr>
          <w:sz w:val="20"/>
          <w:szCs w:val="28"/>
          <w:lang w:val="nl-NL"/>
        </w:rPr>
        <w:tab/>
      </w:r>
      <w:r w:rsidRPr="00A33930">
        <w:rPr>
          <w:sz w:val="20"/>
          <w:szCs w:val="28"/>
          <w:lang w:val="nl-NL"/>
        </w:rPr>
        <w:t>ONDERZOEKSMETHODE</w:t>
      </w:r>
      <w:bookmarkEnd w:id="9"/>
    </w:p>
    <w:p w14:paraId="55A0391F" w14:textId="560309D4" w:rsidR="00C808FF" w:rsidRPr="00A33930" w:rsidRDefault="00C808FF" w:rsidP="00C808FF">
      <w:pPr>
        <w:pStyle w:val="Kop3"/>
        <w:numPr>
          <w:ilvl w:val="0"/>
          <w:numId w:val="0"/>
        </w:numPr>
        <w:ind w:left="360" w:hanging="360"/>
        <w:jc w:val="both"/>
        <w:rPr>
          <w:lang w:val="nl-NL"/>
        </w:rPr>
      </w:pPr>
      <w:bookmarkStart w:id="10" w:name="_Toc134621169"/>
      <w:r w:rsidRPr="00A33930">
        <w:rPr>
          <w:lang w:val="nl-NL"/>
        </w:rPr>
        <w:t>Afdeling I.</w:t>
      </w:r>
      <w:r w:rsidR="0097678D" w:rsidRPr="00A33930">
        <w:rPr>
          <w:lang w:val="nl-NL"/>
        </w:rPr>
        <w:tab/>
      </w:r>
      <w:r w:rsidR="0097678D" w:rsidRPr="00A33930">
        <w:rPr>
          <w:lang w:val="nl-NL"/>
        </w:rPr>
        <w:tab/>
      </w:r>
      <w:r w:rsidRPr="00A33930">
        <w:rPr>
          <w:lang w:val="nl-NL"/>
        </w:rPr>
        <w:t>Methodologie</w:t>
      </w:r>
      <w:bookmarkEnd w:id="10"/>
    </w:p>
    <w:p w14:paraId="27C88773" w14:textId="003421B8" w:rsidR="002F6600" w:rsidRPr="00A33930" w:rsidRDefault="002A01D3" w:rsidP="002F6600">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In deze masterscriptie</w:t>
      </w:r>
      <w:r w:rsidR="005D2BDD" w:rsidRPr="00A33930">
        <w:rPr>
          <w:rFonts w:eastAsia="Verdana" w:cs="Verdana"/>
          <w:szCs w:val="18"/>
          <w:lang w:val="nl-NL"/>
        </w:rPr>
        <w:t xml:space="preserve"> wordt een monodisciplinair </w:t>
      </w:r>
      <w:r w:rsidR="00BB621A" w:rsidRPr="00A33930">
        <w:rPr>
          <w:rFonts w:eastAsia="Verdana" w:cs="Verdana"/>
          <w:szCs w:val="18"/>
          <w:lang w:val="nl-NL"/>
        </w:rPr>
        <w:t xml:space="preserve">rechtswetenschappelijk </w:t>
      </w:r>
      <w:r w:rsidR="005D2BDD" w:rsidRPr="00A33930">
        <w:rPr>
          <w:rFonts w:eastAsia="Verdana" w:cs="Verdana"/>
          <w:szCs w:val="18"/>
          <w:lang w:val="nl-NL"/>
        </w:rPr>
        <w:t>onderzoek</w:t>
      </w:r>
      <w:r w:rsidRPr="00A33930">
        <w:rPr>
          <w:rFonts w:eastAsia="Verdana" w:cs="Verdana"/>
          <w:szCs w:val="18"/>
          <w:lang w:val="nl-NL"/>
        </w:rPr>
        <w:t xml:space="preserve"> gevoerd</w:t>
      </w:r>
      <w:r w:rsidR="005D2BDD" w:rsidRPr="00A33930">
        <w:rPr>
          <w:rFonts w:eastAsia="Verdana" w:cs="Verdana"/>
          <w:szCs w:val="18"/>
          <w:lang w:val="nl-NL"/>
        </w:rPr>
        <w:t xml:space="preserve">. Juridische bronnen worden </w:t>
      </w:r>
      <w:r w:rsidR="002F6600" w:rsidRPr="00A33930">
        <w:rPr>
          <w:rFonts w:eastAsia="Verdana" w:cs="Verdana"/>
          <w:szCs w:val="18"/>
          <w:lang w:val="nl-NL"/>
        </w:rPr>
        <w:t>bestudeerd, geanalyseerd</w:t>
      </w:r>
      <w:r w:rsidR="005D2BDD" w:rsidRPr="00A33930">
        <w:rPr>
          <w:rFonts w:eastAsia="Verdana" w:cs="Verdana"/>
          <w:szCs w:val="18"/>
          <w:lang w:val="nl-NL"/>
        </w:rPr>
        <w:t xml:space="preserve"> en </w:t>
      </w:r>
      <w:r w:rsidRPr="00A33930">
        <w:rPr>
          <w:rFonts w:eastAsia="Verdana" w:cs="Verdana"/>
          <w:szCs w:val="18"/>
          <w:lang w:val="nl-NL"/>
        </w:rPr>
        <w:t xml:space="preserve">systematisch </w:t>
      </w:r>
      <w:r w:rsidR="005D2BDD" w:rsidRPr="00A33930">
        <w:rPr>
          <w:rFonts w:eastAsia="Verdana" w:cs="Verdana"/>
          <w:szCs w:val="18"/>
          <w:lang w:val="nl-NL"/>
        </w:rPr>
        <w:t>verwerkt om een algemeen beeld te krijgen over het recht op persoonlijk contact, het belang van het kind, ouderlijk</w:t>
      </w:r>
      <w:r w:rsidR="00767053" w:rsidRPr="00A33930">
        <w:rPr>
          <w:rFonts w:eastAsia="Verdana" w:cs="Verdana"/>
          <w:szCs w:val="18"/>
          <w:lang w:val="nl-NL"/>
        </w:rPr>
        <w:t>e</w:t>
      </w:r>
      <w:r w:rsidR="005D2BDD" w:rsidRPr="00A33930">
        <w:rPr>
          <w:rFonts w:eastAsia="Verdana" w:cs="Verdana"/>
          <w:szCs w:val="18"/>
          <w:lang w:val="nl-NL"/>
        </w:rPr>
        <w:t xml:space="preserve"> </w:t>
      </w:r>
      <w:r w:rsidR="00767053" w:rsidRPr="00A33930">
        <w:rPr>
          <w:rFonts w:eastAsia="Verdana" w:cs="Verdana"/>
          <w:szCs w:val="18"/>
          <w:lang w:val="nl-NL"/>
        </w:rPr>
        <w:t>verantwoordelijkheden, de positie van het kind</w:t>
      </w:r>
      <w:r w:rsidR="005D2BDD" w:rsidRPr="00A33930">
        <w:rPr>
          <w:rFonts w:eastAsia="Verdana" w:cs="Verdana"/>
          <w:szCs w:val="18"/>
          <w:lang w:val="nl-NL"/>
        </w:rPr>
        <w:t xml:space="preserve"> en zijn handelings- en procesonbekwaamheid in de Belgische</w:t>
      </w:r>
      <w:r w:rsidR="00767053" w:rsidRPr="00A33930">
        <w:rPr>
          <w:rFonts w:eastAsia="Verdana" w:cs="Verdana"/>
          <w:szCs w:val="18"/>
          <w:lang w:val="nl-NL"/>
        </w:rPr>
        <w:t xml:space="preserve"> en mensenrechtelijke</w:t>
      </w:r>
      <w:r w:rsidR="005D2BDD" w:rsidRPr="00A33930">
        <w:rPr>
          <w:rFonts w:eastAsia="Verdana" w:cs="Verdana"/>
          <w:szCs w:val="18"/>
          <w:lang w:val="nl-NL"/>
        </w:rPr>
        <w:t xml:space="preserve"> regelgeving.</w:t>
      </w:r>
      <w:r w:rsidR="002F6600" w:rsidRPr="00A33930">
        <w:rPr>
          <w:rFonts w:eastAsia="Verdana" w:cs="Verdana"/>
          <w:szCs w:val="18"/>
          <w:lang w:val="nl-NL"/>
        </w:rPr>
        <w:t xml:space="preserve"> </w:t>
      </w:r>
      <w:r w:rsidR="00DA3ECE" w:rsidRPr="00A33930">
        <w:rPr>
          <w:rFonts w:eastAsia="Verdana" w:cs="Verdana"/>
          <w:szCs w:val="18"/>
          <w:lang w:val="nl-NL"/>
        </w:rPr>
        <w:t xml:space="preserve">De beschrijvende onderzoeksvragen hebben als doel een eerste beeld </w:t>
      </w:r>
      <w:r w:rsidR="002F6600" w:rsidRPr="00A33930">
        <w:rPr>
          <w:rFonts w:eastAsia="Verdana" w:cs="Verdana"/>
          <w:szCs w:val="18"/>
          <w:lang w:val="nl-NL"/>
        </w:rPr>
        <w:t>te schetsen</w:t>
      </w:r>
      <w:r w:rsidR="00DA3ECE" w:rsidRPr="00A33930">
        <w:rPr>
          <w:rFonts w:eastAsia="Verdana" w:cs="Verdana"/>
          <w:szCs w:val="18"/>
          <w:lang w:val="nl-NL"/>
        </w:rPr>
        <w:t xml:space="preserve"> alvorens hier dieper op in te gaan.</w:t>
      </w:r>
      <w:r w:rsidR="00DA3ECE" w:rsidRPr="00A33930">
        <w:rPr>
          <w:rStyle w:val="Voetnootmarkering"/>
          <w:rFonts w:eastAsia="Verdana" w:cs="Verdana"/>
          <w:szCs w:val="18"/>
          <w:lang w:val="nl-NL"/>
        </w:rPr>
        <w:footnoteReference w:id="17"/>
      </w:r>
      <w:r w:rsidR="00DA3ECE" w:rsidRPr="00A33930">
        <w:rPr>
          <w:rFonts w:eastAsia="Verdana" w:cs="Verdana"/>
          <w:szCs w:val="18"/>
          <w:lang w:val="nl-NL"/>
        </w:rPr>
        <w:t xml:space="preserve"> Het onderzoek start met een uiteenzetting van de huidige </w:t>
      </w:r>
      <w:r w:rsidR="00042333" w:rsidRPr="00A33930">
        <w:rPr>
          <w:rFonts w:eastAsia="Verdana" w:cs="Verdana"/>
          <w:szCs w:val="18"/>
          <w:lang w:val="nl-NL"/>
        </w:rPr>
        <w:t>regelgeving</w:t>
      </w:r>
      <w:r w:rsidR="00DA3ECE" w:rsidRPr="00A33930">
        <w:rPr>
          <w:rFonts w:eastAsia="Verdana" w:cs="Verdana"/>
          <w:szCs w:val="18"/>
          <w:lang w:val="nl-NL"/>
        </w:rPr>
        <w:t xml:space="preserve"> op internationaal en Europees niveau.</w:t>
      </w:r>
      <w:r w:rsidR="00042333" w:rsidRPr="00A33930">
        <w:rPr>
          <w:rFonts w:eastAsia="Verdana" w:cs="Verdana"/>
          <w:szCs w:val="18"/>
          <w:lang w:val="nl-NL"/>
        </w:rPr>
        <w:t xml:space="preserve"> Vervolgens wordt de Belgische regelgeving beschreven met</w:t>
      </w:r>
      <w:r w:rsidR="00DA3ECE" w:rsidRPr="00A33930">
        <w:rPr>
          <w:rFonts w:eastAsia="Verdana" w:cs="Verdana"/>
          <w:szCs w:val="18"/>
          <w:lang w:val="nl-NL"/>
        </w:rPr>
        <w:t xml:space="preserve"> </w:t>
      </w:r>
      <w:r w:rsidR="00042333" w:rsidRPr="00A33930">
        <w:rPr>
          <w:rFonts w:eastAsia="Verdana" w:cs="Verdana"/>
          <w:szCs w:val="18"/>
          <w:lang w:val="nl-NL"/>
        </w:rPr>
        <w:t xml:space="preserve">een belangrijke focus op het </w:t>
      </w:r>
      <w:r w:rsidR="00E57778" w:rsidRPr="00A33930">
        <w:rPr>
          <w:rFonts w:eastAsia="Verdana" w:cs="Verdana"/>
          <w:szCs w:val="18"/>
          <w:lang w:val="nl-NL"/>
        </w:rPr>
        <w:t>kindperspectief</w:t>
      </w:r>
      <w:r w:rsidR="00042333" w:rsidRPr="00A33930">
        <w:rPr>
          <w:rFonts w:eastAsia="Verdana" w:cs="Verdana"/>
          <w:szCs w:val="18"/>
          <w:lang w:val="nl-NL"/>
        </w:rPr>
        <w:t>.</w:t>
      </w:r>
    </w:p>
    <w:p w14:paraId="66763C2B" w14:textId="77777777" w:rsidR="002F6600" w:rsidRPr="00A33930" w:rsidRDefault="002F6600" w:rsidP="002F6600">
      <w:pPr>
        <w:pStyle w:val="Lijstalinea"/>
        <w:spacing w:before="200" w:after="0"/>
        <w:ind w:left="0"/>
        <w:jc w:val="both"/>
        <w:rPr>
          <w:rFonts w:eastAsia="Verdana" w:cs="Verdana"/>
          <w:szCs w:val="18"/>
          <w:lang w:val="nl-NL"/>
        </w:rPr>
      </w:pPr>
    </w:p>
    <w:p w14:paraId="0AFD5775" w14:textId="379A5044" w:rsidR="003C2C35" w:rsidRPr="00A33930" w:rsidRDefault="00DA3ECE" w:rsidP="002F6600">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Om te verklaren waarom de regelgeving in België op dit </w:t>
      </w:r>
      <w:r w:rsidR="00410F6D" w:rsidRPr="00A33930">
        <w:rPr>
          <w:rFonts w:eastAsia="Verdana" w:cs="Verdana"/>
          <w:szCs w:val="18"/>
          <w:lang w:val="nl-NL"/>
        </w:rPr>
        <w:t xml:space="preserve">ogenblik </w:t>
      </w:r>
      <w:r w:rsidRPr="00A33930">
        <w:rPr>
          <w:rFonts w:eastAsia="Verdana" w:cs="Verdana"/>
          <w:szCs w:val="18"/>
          <w:lang w:val="nl-NL"/>
        </w:rPr>
        <w:t xml:space="preserve">is zoals ze is, wordt samenhangend met het beschrijvend deel </w:t>
      </w:r>
      <w:r w:rsidR="002A01D3" w:rsidRPr="00A33930">
        <w:rPr>
          <w:rFonts w:eastAsia="Verdana" w:cs="Verdana"/>
          <w:szCs w:val="18"/>
          <w:lang w:val="nl-NL"/>
        </w:rPr>
        <w:t>bestudeerd</w:t>
      </w:r>
      <w:r w:rsidRPr="00A33930">
        <w:rPr>
          <w:rFonts w:eastAsia="Verdana" w:cs="Verdana"/>
          <w:szCs w:val="18"/>
          <w:lang w:val="nl-NL"/>
        </w:rPr>
        <w:t xml:space="preserve"> waarom het recht op persoonlijk contact van het kind in België </w:t>
      </w:r>
      <w:r w:rsidR="000857EF" w:rsidRPr="00A33930">
        <w:rPr>
          <w:rFonts w:eastAsia="Verdana" w:cs="Verdana"/>
          <w:szCs w:val="18"/>
          <w:lang w:val="nl-NL"/>
        </w:rPr>
        <w:t xml:space="preserve">al dan niet </w:t>
      </w:r>
      <w:r w:rsidRPr="00A33930">
        <w:rPr>
          <w:rFonts w:eastAsia="Verdana" w:cs="Verdana"/>
          <w:szCs w:val="18"/>
          <w:lang w:val="nl-NL"/>
        </w:rPr>
        <w:t>bestaat.</w:t>
      </w:r>
      <w:r w:rsidRPr="00A33930">
        <w:rPr>
          <w:rStyle w:val="Voetnootmarkering"/>
          <w:rFonts w:eastAsia="Verdana" w:cs="Verdana"/>
          <w:szCs w:val="18"/>
          <w:lang w:val="nl-NL"/>
        </w:rPr>
        <w:footnoteReference w:id="18"/>
      </w:r>
      <w:r w:rsidRPr="00A33930">
        <w:rPr>
          <w:rFonts w:eastAsia="Verdana" w:cs="Verdana"/>
          <w:szCs w:val="18"/>
          <w:lang w:val="nl-NL"/>
        </w:rPr>
        <w:t xml:space="preserve"> Er wordt </w:t>
      </w:r>
      <w:r w:rsidR="00767053" w:rsidRPr="00A33930">
        <w:rPr>
          <w:rFonts w:eastAsia="Verdana" w:cs="Verdana"/>
          <w:szCs w:val="18"/>
          <w:lang w:val="nl-NL"/>
        </w:rPr>
        <w:t>nagegaan</w:t>
      </w:r>
      <w:r w:rsidRPr="00A33930">
        <w:rPr>
          <w:rFonts w:eastAsia="Verdana" w:cs="Verdana"/>
          <w:szCs w:val="18"/>
          <w:lang w:val="nl-NL"/>
        </w:rPr>
        <w:t xml:space="preserve"> waarom de wetgever voor de huidige regelgeving gekozen heeft</w:t>
      </w:r>
      <w:r w:rsidR="002A01D3" w:rsidRPr="00A33930">
        <w:rPr>
          <w:rFonts w:eastAsia="Verdana" w:cs="Verdana"/>
          <w:szCs w:val="18"/>
          <w:lang w:val="nl-NL"/>
        </w:rPr>
        <w:t xml:space="preserve"> en</w:t>
      </w:r>
      <w:r w:rsidRPr="00A33930">
        <w:rPr>
          <w:rFonts w:eastAsia="Verdana" w:cs="Verdana"/>
          <w:szCs w:val="18"/>
          <w:lang w:val="nl-NL"/>
        </w:rPr>
        <w:t xml:space="preserve"> wat zijn redenen</w:t>
      </w:r>
      <w:r w:rsidR="002A01D3" w:rsidRPr="00A33930">
        <w:rPr>
          <w:rFonts w:eastAsia="Verdana" w:cs="Verdana"/>
          <w:szCs w:val="18"/>
          <w:lang w:val="nl-NL"/>
        </w:rPr>
        <w:t>, oorzaken en motieven</w:t>
      </w:r>
      <w:r w:rsidRPr="00A33930">
        <w:rPr>
          <w:rFonts w:eastAsia="Verdana" w:cs="Verdana"/>
          <w:szCs w:val="18"/>
          <w:lang w:val="nl-NL"/>
        </w:rPr>
        <w:t xml:space="preserve"> hiervoor zijn. Hierbij zal het onderzoek een intern-logische verklaring hanteren </w:t>
      </w:r>
      <w:r w:rsidR="002F6600" w:rsidRPr="00A33930">
        <w:rPr>
          <w:rFonts w:eastAsia="Verdana" w:cs="Verdana"/>
          <w:szCs w:val="18"/>
          <w:lang w:val="nl-NL"/>
        </w:rPr>
        <w:t>middels</w:t>
      </w:r>
      <w:r w:rsidR="00042333" w:rsidRPr="00A33930">
        <w:rPr>
          <w:rFonts w:eastAsia="Verdana" w:cs="Verdana"/>
          <w:szCs w:val="18"/>
          <w:lang w:val="nl-NL"/>
        </w:rPr>
        <w:t xml:space="preserve"> </w:t>
      </w:r>
      <w:r w:rsidR="002F6600" w:rsidRPr="00A33930">
        <w:rPr>
          <w:rFonts w:eastAsia="Verdana" w:cs="Verdana"/>
          <w:szCs w:val="18"/>
          <w:lang w:val="nl-NL"/>
        </w:rPr>
        <w:t>analyse van</w:t>
      </w:r>
      <w:r w:rsidRPr="00A33930">
        <w:rPr>
          <w:rFonts w:eastAsia="Verdana" w:cs="Verdana"/>
          <w:szCs w:val="18"/>
          <w:lang w:val="nl-NL"/>
        </w:rPr>
        <w:t xml:space="preserve"> parlementaire </w:t>
      </w:r>
      <w:r w:rsidR="00042333" w:rsidRPr="00A33930">
        <w:rPr>
          <w:rFonts w:eastAsia="Verdana" w:cs="Verdana"/>
          <w:szCs w:val="18"/>
          <w:lang w:val="nl-NL"/>
        </w:rPr>
        <w:t>stukken.</w:t>
      </w:r>
      <w:r w:rsidR="0071771A" w:rsidRPr="00A33930">
        <w:rPr>
          <w:rFonts w:eastAsia="Verdana" w:cs="Verdana"/>
          <w:szCs w:val="18"/>
          <w:lang w:val="nl-NL"/>
        </w:rPr>
        <w:t xml:space="preserve"> Het onderzoek naar de evolutie van het </w:t>
      </w:r>
      <w:r w:rsidR="00E57778" w:rsidRPr="00A33930">
        <w:rPr>
          <w:rFonts w:eastAsia="Verdana" w:cs="Verdana"/>
          <w:szCs w:val="18"/>
          <w:lang w:val="nl-NL"/>
        </w:rPr>
        <w:t xml:space="preserve">kindperspectief </w:t>
      </w:r>
      <w:r w:rsidR="0071771A" w:rsidRPr="00A33930">
        <w:rPr>
          <w:rFonts w:eastAsia="Verdana" w:cs="Verdana"/>
          <w:szCs w:val="18"/>
          <w:lang w:val="nl-NL"/>
        </w:rPr>
        <w:t>in België vraagt ook een beperkt rechtshistorisch onderzoek</w:t>
      </w:r>
      <w:r w:rsidR="002F6600" w:rsidRPr="00A33930">
        <w:rPr>
          <w:rFonts w:eastAsia="Verdana" w:cs="Verdana"/>
          <w:szCs w:val="18"/>
          <w:lang w:val="nl-NL"/>
        </w:rPr>
        <w:t xml:space="preserve"> naar de </w:t>
      </w:r>
      <w:r w:rsidR="002F6600" w:rsidRPr="00A33930">
        <w:rPr>
          <w:rFonts w:eastAsia="Verdana" w:cs="Verdana"/>
          <w:i/>
          <w:iCs/>
          <w:szCs w:val="18"/>
          <w:lang w:val="nl-NL"/>
        </w:rPr>
        <w:t>ratio legis</w:t>
      </w:r>
      <w:r w:rsidR="002F6600" w:rsidRPr="00A33930">
        <w:rPr>
          <w:rFonts w:eastAsia="Verdana" w:cs="Verdana"/>
          <w:szCs w:val="18"/>
          <w:lang w:val="nl-NL"/>
        </w:rPr>
        <w:t xml:space="preserve"> van het huidige recht op persoonlijk contact</w:t>
      </w:r>
      <w:r w:rsidR="0071771A" w:rsidRPr="00A33930">
        <w:rPr>
          <w:rFonts w:eastAsia="Verdana" w:cs="Verdana"/>
          <w:szCs w:val="18"/>
          <w:lang w:val="nl-NL"/>
        </w:rPr>
        <w:t xml:space="preserve">. Het </w:t>
      </w:r>
      <w:r w:rsidR="002F6600" w:rsidRPr="00A33930">
        <w:rPr>
          <w:rFonts w:eastAsia="Verdana" w:cs="Verdana"/>
          <w:szCs w:val="18"/>
          <w:lang w:val="nl-NL"/>
        </w:rPr>
        <w:t>bestuderen</w:t>
      </w:r>
      <w:r w:rsidR="0071771A" w:rsidRPr="00A33930">
        <w:rPr>
          <w:rFonts w:eastAsia="Verdana" w:cs="Verdana"/>
          <w:szCs w:val="18"/>
          <w:lang w:val="nl-NL"/>
        </w:rPr>
        <w:t xml:space="preserve"> van de parlementaire werken laat toe om de</w:t>
      </w:r>
      <w:r w:rsidR="002F6600" w:rsidRPr="00A33930">
        <w:rPr>
          <w:rFonts w:eastAsia="Verdana" w:cs="Verdana"/>
          <w:szCs w:val="18"/>
          <w:lang w:val="nl-NL"/>
        </w:rPr>
        <w:t>ze</w:t>
      </w:r>
      <w:r w:rsidR="0071771A" w:rsidRPr="00A33930">
        <w:rPr>
          <w:rFonts w:eastAsia="Verdana" w:cs="Verdana"/>
          <w:szCs w:val="18"/>
          <w:lang w:val="nl-NL"/>
        </w:rPr>
        <w:t xml:space="preserve"> </w:t>
      </w:r>
      <w:r w:rsidR="0071771A" w:rsidRPr="00A33930">
        <w:rPr>
          <w:rFonts w:eastAsia="Verdana" w:cs="Verdana"/>
          <w:i/>
          <w:iCs/>
          <w:szCs w:val="18"/>
          <w:lang w:val="nl-NL"/>
        </w:rPr>
        <w:t>ratio legis</w:t>
      </w:r>
      <w:r w:rsidR="0071771A" w:rsidRPr="00A33930">
        <w:rPr>
          <w:rFonts w:eastAsia="Verdana" w:cs="Verdana"/>
          <w:szCs w:val="18"/>
          <w:lang w:val="nl-NL"/>
        </w:rPr>
        <w:t xml:space="preserve"> van de wettekst te achterhalen en de context waarin de wet tot stand is gekomen</w:t>
      </w:r>
      <w:r w:rsidR="002F6600" w:rsidRPr="00A33930">
        <w:rPr>
          <w:rFonts w:eastAsia="Verdana" w:cs="Verdana"/>
          <w:szCs w:val="18"/>
          <w:lang w:val="nl-NL"/>
        </w:rPr>
        <w:t xml:space="preserve"> </w:t>
      </w:r>
      <w:r w:rsidR="00B363C4" w:rsidRPr="00A33930">
        <w:rPr>
          <w:rFonts w:eastAsia="Verdana" w:cs="Verdana"/>
          <w:szCs w:val="18"/>
          <w:lang w:val="nl-NL"/>
        </w:rPr>
        <w:t>verder</w:t>
      </w:r>
      <w:r w:rsidR="002F6600" w:rsidRPr="00A33930">
        <w:rPr>
          <w:rFonts w:eastAsia="Verdana" w:cs="Verdana"/>
          <w:szCs w:val="18"/>
          <w:lang w:val="nl-NL"/>
        </w:rPr>
        <w:t xml:space="preserve"> te verduidelijken</w:t>
      </w:r>
      <w:r w:rsidR="0071771A" w:rsidRPr="00A33930">
        <w:rPr>
          <w:rFonts w:eastAsia="Verdana" w:cs="Verdana"/>
          <w:szCs w:val="18"/>
          <w:lang w:val="nl-NL"/>
        </w:rPr>
        <w:t>.</w:t>
      </w:r>
      <w:r w:rsidR="0071771A" w:rsidRPr="00A33930">
        <w:rPr>
          <w:rStyle w:val="Voetnootmarkering"/>
          <w:rFonts w:eastAsia="Verdana" w:cs="Verdana"/>
          <w:szCs w:val="18"/>
          <w:lang w:val="nl-NL"/>
        </w:rPr>
        <w:footnoteReference w:id="19"/>
      </w:r>
    </w:p>
    <w:p w14:paraId="6658A674" w14:textId="77777777" w:rsidR="002F6600" w:rsidRPr="00A33930" w:rsidRDefault="002F6600" w:rsidP="002F6600">
      <w:pPr>
        <w:pStyle w:val="Lijstalinea"/>
        <w:spacing w:before="200" w:after="0"/>
        <w:ind w:left="0"/>
        <w:jc w:val="both"/>
        <w:rPr>
          <w:rFonts w:eastAsia="Verdana" w:cs="Verdana"/>
          <w:szCs w:val="18"/>
          <w:lang w:val="nl-NL"/>
        </w:rPr>
      </w:pPr>
    </w:p>
    <w:p w14:paraId="07939C54" w14:textId="5EBAC875" w:rsidR="003C2C35" w:rsidRPr="00A33930" w:rsidRDefault="002A01D3" w:rsidP="002F6600">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Daaropvolgend</w:t>
      </w:r>
      <w:r w:rsidR="00DA3ECE" w:rsidRPr="00A33930">
        <w:rPr>
          <w:rFonts w:eastAsia="Verdana" w:cs="Verdana"/>
          <w:szCs w:val="18"/>
          <w:lang w:val="nl-NL"/>
        </w:rPr>
        <w:t xml:space="preserve"> wordt een evaluerend en normatief onderzoek gevoerd naar de </w:t>
      </w:r>
      <w:r w:rsidR="00042333" w:rsidRPr="00A33930">
        <w:rPr>
          <w:rFonts w:eastAsia="Verdana" w:cs="Verdana"/>
          <w:szCs w:val="18"/>
          <w:lang w:val="nl-NL"/>
        </w:rPr>
        <w:t>civielrechtelijke</w:t>
      </w:r>
      <w:r w:rsidR="00396E1E" w:rsidRPr="00A33930">
        <w:rPr>
          <w:rFonts w:eastAsia="Verdana" w:cs="Verdana"/>
          <w:szCs w:val="18"/>
          <w:lang w:val="nl-NL"/>
        </w:rPr>
        <w:t xml:space="preserve"> </w:t>
      </w:r>
      <w:r w:rsidR="00DA3ECE" w:rsidRPr="00A33930">
        <w:rPr>
          <w:rFonts w:eastAsia="Verdana" w:cs="Verdana"/>
          <w:szCs w:val="18"/>
          <w:lang w:val="nl-NL"/>
        </w:rPr>
        <w:t>en mensenrechtelijke behandeling en uitwerking van het recht van het kind op persoonlijk contact.</w:t>
      </w:r>
      <w:r w:rsidR="00DA3ECE" w:rsidRPr="00A33930">
        <w:rPr>
          <w:rStyle w:val="Voetnootmarkering"/>
          <w:rFonts w:eastAsia="Verdana" w:cs="Verdana"/>
          <w:szCs w:val="18"/>
          <w:lang w:val="nl-NL"/>
        </w:rPr>
        <w:footnoteReference w:id="20"/>
      </w:r>
      <w:r w:rsidR="00DA3ECE" w:rsidRPr="00A33930">
        <w:rPr>
          <w:rFonts w:eastAsia="Verdana" w:cs="Verdana"/>
          <w:szCs w:val="18"/>
          <w:lang w:val="nl-NL"/>
        </w:rPr>
        <w:t xml:space="preserve"> Er wordt beoordeeld of en op welke manier de Belgische wetgever tegemoetkomt aan </w:t>
      </w:r>
      <w:r w:rsidR="009F35BF" w:rsidRPr="00A33930">
        <w:rPr>
          <w:rFonts w:eastAsia="Verdana" w:cs="Verdana"/>
          <w:szCs w:val="18"/>
          <w:lang w:val="nl-NL"/>
        </w:rPr>
        <w:t xml:space="preserve">zijn </w:t>
      </w:r>
      <w:r w:rsidR="00DA3ECE" w:rsidRPr="00A33930">
        <w:rPr>
          <w:rFonts w:eastAsia="Verdana" w:cs="Verdana"/>
          <w:szCs w:val="18"/>
          <w:lang w:val="nl-NL"/>
        </w:rPr>
        <w:t>internationale en Europese verplichtingen</w:t>
      </w:r>
      <w:r w:rsidR="00C0600D" w:rsidRPr="00A33930">
        <w:rPr>
          <w:rFonts w:eastAsia="Verdana" w:cs="Verdana"/>
          <w:szCs w:val="18"/>
          <w:lang w:val="nl-NL"/>
        </w:rPr>
        <w:t>.</w:t>
      </w:r>
    </w:p>
    <w:p w14:paraId="58B9BE44" w14:textId="77777777" w:rsidR="00DA3ECE" w:rsidRPr="00A33930" w:rsidRDefault="00DA3ECE" w:rsidP="00DA3ECE">
      <w:pPr>
        <w:pStyle w:val="Lijstalinea"/>
        <w:spacing w:before="200"/>
        <w:ind w:left="0"/>
        <w:jc w:val="both"/>
        <w:rPr>
          <w:rFonts w:eastAsia="Verdana" w:cs="Verdana"/>
          <w:szCs w:val="18"/>
          <w:lang w:val="nl-NL"/>
        </w:rPr>
      </w:pPr>
    </w:p>
    <w:p w14:paraId="00D01BE9" w14:textId="70A17B3B" w:rsidR="004C0863" w:rsidRPr="00A33930" w:rsidRDefault="00D271F5" w:rsidP="002F6600">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Teneinde het perspectief van dit onderzoek te verruimen</w:t>
      </w:r>
      <w:r w:rsidR="00DA3ECE" w:rsidRPr="00A33930">
        <w:rPr>
          <w:rFonts w:eastAsia="Verdana" w:cs="Verdana"/>
          <w:szCs w:val="18"/>
          <w:lang w:val="nl-NL"/>
        </w:rPr>
        <w:t xml:space="preserve"> wordt </w:t>
      </w:r>
      <w:r w:rsidRPr="00A33930">
        <w:rPr>
          <w:rFonts w:eastAsia="Verdana" w:cs="Verdana"/>
          <w:szCs w:val="18"/>
          <w:lang w:val="nl-NL"/>
        </w:rPr>
        <w:t xml:space="preserve">gebruikgemaakt van de methode van rechtsvergelijking, meer specifiek </w:t>
      </w:r>
      <w:r w:rsidR="002A01D3" w:rsidRPr="00A33930">
        <w:rPr>
          <w:rFonts w:eastAsia="Verdana" w:cs="Verdana"/>
          <w:szCs w:val="18"/>
          <w:lang w:val="nl-NL"/>
        </w:rPr>
        <w:t xml:space="preserve">doet dit onderzoek aan </w:t>
      </w:r>
      <w:r w:rsidR="00DA3ECE" w:rsidRPr="00A33930">
        <w:rPr>
          <w:rFonts w:eastAsia="Verdana" w:cs="Verdana"/>
          <w:szCs w:val="18"/>
          <w:lang w:val="nl-NL"/>
        </w:rPr>
        <w:t>externe micro-vergelijking</w:t>
      </w:r>
      <w:r w:rsidRPr="00A33930">
        <w:rPr>
          <w:rFonts w:eastAsia="Verdana" w:cs="Verdana"/>
          <w:szCs w:val="18"/>
          <w:lang w:val="nl-NL"/>
        </w:rPr>
        <w:t>.</w:t>
      </w:r>
      <w:r w:rsidR="004847ED" w:rsidRPr="00A33930">
        <w:rPr>
          <w:rStyle w:val="Voetnootmarkering"/>
          <w:rFonts w:eastAsia="Verdana" w:cs="Verdana"/>
          <w:szCs w:val="18"/>
          <w:lang w:val="nl-NL"/>
        </w:rPr>
        <w:footnoteReference w:id="21"/>
      </w:r>
      <w:r w:rsidR="00D60BAA" w:rsidRPr="00A33930">
        <w:rPr>
          <w:rFonts w:eastAsia="Verdana" w:cs="Verdana"/>
          <w:szCs w:val="18"/>
          <w:lang w:val="nl-NL"/>
        </w:rPr>
        <w:t xml:space="preserve"> </w:t>
      </w:r>
      <w:r w:rsidRPr="00A33930">
        <w:rPr>
          <w:rFonts w:eastAsia="Verdana" w:cs="Verdana"/>
          <w:szCs w:val="18"/>
          <w:lang w:val="nl-NL"/>
        </w:rPr>
        <w:t>Hierbij ligt</w:t>
      </w:r>
      <w:r w:rsidR="00D60BAA" w:rsidRPr="00A33930">
        <w:rPr>
          <w:rFonts w:eastAsia="Verdana" w:cs="Verdana"/>
          <w:szCs w:val="18"/>
          <w:lang w:val="nl-NL"/>
        </w:rPr>
        <w:t xml:space="preserve"> de focus </w:t>
      </w:r>
      <w:r w:rsidR="00885B47" w:rsidRPr="00A33930">
        <w:rPr>
          <w:rFonts w:eastAsia="Verdana" w:cs="Verdana"/>
          <w:szCs w:val="18"/>
          <w:lang w:val="nl-NL"/>
        </w:rPr>
        <w:t xml:space="preserve">op </w:t>
      </w:r>
      <w:r w:rsidR="00D60BAA" w:rsidRPr="00A33930">
        <w:rPr>
          <w:rFonts w:eastAsia="Verdana" w:cs="Verdana"/>
          <w:szCs w:val="18"/>
          <w:lang w:val="nl-NL"/>
        </w:rPr>
        <w:t>de specifieke rechtsfiguur van het recht op persoonlijk contact van het kind</w:t>
      </w:r>
      <w:r w:rsidR="00DA3ECE" w:rsidRPr="00A33930">
        <w:rPr>
          <w:rFonts w:eastAsia="Verdana" w:cs="Verdana"/>
          <w:szCs w:val="18"/>
          <w:lang w:val="nl-NL"/>
        </w:rPr>
        <w:t>.</w:t>
      </w:r>
      <w:r w:rsidR="00DA3ECE" w:rsidRPr="00A33930">
        <w:rPr>
          <w:rStyle w:val="Voetnootmarkering"/>
          <w:rFonts w:eastAsia="Verdana" w:cs="Verdana"/>
          <w:szCs w:val="18"/>
          <w:lang w:val="nl-NL"/>
        </w:rPr>
        <w:footnoteReference w:id="22"/>
      </w:r>
      <w:r w:rsidR="00DA3ECE" w:rsidRPr="00A33930">
        <w:rPr>
          <w:rFonts w:eastAsia="Verdana" w:cs="Verdana"/>
          <w:szCs w:val="18"/>
          <w:lang w:val="nl-NL"/>
        </w:rPr>
        <w:t xml:space="preserve"> Rechtsvergelijking is interessant omdat het toelaat het Belgische recht vanuit meerdere invalshoeken te bekijken en het recht</w:t>
      </w:r>
      <w:r w:rsidR="002617F0" w:rsidRPr="00A33930">
        <w:rPr>
          <w:rFonts w:eastAsia="Verdana" w:cs="Verdana"/>
          <w:szCs w:val="18"/>
          <w:lang w:val="nl-NL"/>
        </w:rPr>
        <w:t xml:space="preserve"> op persoonlijk contact</w:t>
      </w:r>
      <w:r w:rsidR="00DA3ECE" w:rsidRPr="00A33930">
        <w:rPr>
          <w:rFonts w:eastAsia="Verdana" w:cs="Verdana"/>
          <w:szCs w:val="18"/>
          <w:lang w:val="nl-NL"/>
        </w:rPr>
        <w:t xml:space="preserve"> in een breder perspectief te plaatsen. </w:t>
      </w:r>
      <w:r w:rsidR="00615D3E" w:rsidRPr="00A33930">
        <w:rPr>
          <w:rFonts w:eastAsia="Verdana" w:cs="Verdana"/>
          <w:szCs w:val="18"/>
          <w:lang w:val="nl-NL"/>
        </w:rPr>
        <w:t xml:space="preserve">Het rechtsvergelijkend onderzoek draagt bij tot het aanbevelend onderzoek </w:t>
      </w:r>
      <w:r w:rsidR="00376286" w:rsidRPr="00A33930">
        <w:rPr>
          <w:rFonts w:eastAsia="Verdana" w:cs="Verdana"/>
          <w:szCs w:val="18"/>
          <w:lang w:val="nl-NL"/>
        </w:rPr>
        <w:t>doordat een</w:t>
      </w:r>
      <w:r w:rsidR="00615D3E" w:rsidRPr="00A33930">
        <w:rPr>
          <w:rFonts w:eastAsia="Verdana" w:cs="Verdana"/>
          <w:szCs w:val="18"/>
          <w:lang w:val="nl-NL"/>
        </w:rPr>
        <w:t xml:space="preserve"> vergelijking</w:t>
      </w:r>
      <w:r w:rsidR="00376286" w:rsidRPr="00A33930">
        <w:rPr>
          <w:rFonts w:eastAsia="Verdana" w:cs="Verdana"/>
          <w:szCs w:val="18"/>
          <w:lang w:val="nl-NL"/>
        </w:rPr>
        <w:t xml:space="preserve"> </w:t>
      </w:r>
      <w:r w:rsidR="00615D3E" w:rsidRPr="00A33930">
        <w:rPr>
          <w:rFonts w:eastAsia="Verdana" w:cs="Verdana"/>
          <w:szCs w:val="18"/>
          <w:lang w:val="nl-NL"/>
        </w:rPr>
        <w:lastRenderedPageBreak/>
        <w:t xml:space="preserve">gelijkenissen en verschillen </w:t>
      </w:r>
      <w:r w:rsidR="00FB4DDF" w:rsidRPr="00A33930">
        <w:rPr>
          <w:rFonts w:eastAsia="Verdana" w:cs="Verdana"/>
          <w:szCs w:val="18"/>
          <w:lang w:val="nl-NL"/>
        </w:rPr>
        <w:t>met andere rechtsstelsels</w:t>
      </w:r>
      <w:r w:rsidR="00376286" w:rsidRPr="00A33930">
        <w:rPr>
          <w:rFonts w:eastAsia="Verdana" w:cs="Verdana"/>
          <w:szCs w:val="18"/>
          <w:lang w:val="nl-NL"/>
        </w:rPr>
        <w:t xml:space="preserve"> nauwkeurig weergeeft</w:t>
      </w:r>
      <w:r w:rsidR="00FB4DDF" w:rsidRPr="00A33930">
        <w:rPr>
          <w:rFonts w:eastAsia="Verdana" w:cs="Verdana"/>
          <w:szCs w:val="18"/>
          <w:lang w:val="nl-NL"/>
        </w:rPr>
        <w:t>.</w:t>
      </w:r>
      <w:r w:rsidR="00CA3999" w:rsidRPr="00A33930">
        <w:rPr>
          <w:rStyle w:val="Voetnootmarkering"/>
          <w:rFonts w:eastAsia="Verdana" w:cs="Verdana"/>
          <w:szCs w:val="18"/>
          <w:lang w:val="nl-NL"/>
        </w:rPr>
        <w:footnoteReference w:id="23"/>
      </w:r>
      <w:r w:rsidRPr="00A33930">
        <w:rPr>
          <w:rFonts w:eastAsia="Verdana" w:cs="Verdana"/>
          <w:szCs w:val="18"/>
          <w:lang w:val="nl-NL"/>
        </w:rPr>
        <w:t xml:space="preserve"> De vraagstelling wordt geformuleerd vanuit een lacune of voor verbetering vatbare oplossing in het eigen rechtssysteem. Dit maakt deze rechtsvergelijking hanteerbaar als instrument ter verbetering van het eigen rechtssysteem en dus ter voorbereiding van aanbevelingen </w:t>
      </w:r>
      <w:r w:rsidRPr="00A33930">
        <w:rPr>
          <w:rFonts w:eastAsia="Verdana" w:cs="Verdana"/>
          <w:i/>
          <w:iCs/>
          <w:szCs w:val="18"/>
          <w:lang w:val="nl-NL"/>
        </w:rPr>
        <w:t>de lege ferenda</w:t>
      </w:r>
      <w:r w:rsidRPr="00A33930">
        <w:rPr>
          <w:rFonts w:eastAsia="Verdana" w:cs="Verdana"/>
          <w:szCs w:val="18"/>
          <w:lang w:val="nl-NL"/>
        </w:rPr>
        <w:t xml:space="preserve"> (</w:t>
      </w:r>
      <w:r w:rsidRPr="00A33930">
        <w:rPr>
          <w:rFonts w:eastAsia="Verdana" w:cs="Verdana"/>
          <w:i/>
          <w:iCs/>
          <w:szCs w:val="18"/>
          <w:lang w:val="nl-NL"/>
        </w:rPr>
        <w:t>infra</w:t>
      </w:r>
      <w:r w:rsidRPr="00A33930">
        <w:rPr>
          <w:rFonts w:eastAsia="Verdana" w:cs="Verdana"/>
          <w:szCs w:val="18"/>
          <w:lang w:val="nl-NL"/>
        </w:rPr>
        <w:t xml:space="preserve">, </w:t>
      </w:r>
      <w:r w:rsidR="00C106C3" w:rsidRPr="00A33930">
        <w:rPr>
          <w:rFonts w:eastAsia="Verdana" w:cs="Verdana"/>
          <w:szCs w:val="18"/>
          <w:lang w:val="nl-NL"/>
        </w:rPr>
        <w:t>deel IV</w:t>
      </w:r>
      <w:r w:rsidRPr="00A33930">
        <w:rPr>
          <w:rFonts w:eastAsia="Verdana" w:cs="Verdana"/>
          <w:szCs w:val="18"/>
          <w:lang w:val="nl-NL"/>
        </w:rPr>
        <w:t>).</w:t>
      </w:r>
      <w:r w:rsidR="004847ED" w:rsidRPr="00A33930">
        <w:rPr>
          <w:rFonts w:eastAsia="Verdana" w:cs="Verdana"/>
          <w:szCs w:val="18"/>
          <w:lang w:val="nl-NL"/>
        </w:rPr>
        <w:t xml:space="preserve"> </w:t>
      </w:r>
      <w:r w:rsidR="00DA3ECE" w:rsidRPr="00A33930">
        <w:rPr>
          <w:rFonts w:eastAsia="Verdana" w:cs="Verdana"/>
          <w:szCs w:val="18"/>
          <w:lang w:val="nl-NL"/>
        </w:rPr>
        <w:t xml:space="preserve">De externe rechtsvergelijking </w:t>
      </w:r>
      <w:r w:rsidR="002A01D3" w:rsidRPr="00A33930">
        <w:rPr>
          <w:rFonts w:eastAsia="Verdana" w:cs="Verdana"/>
          <w:szCs w:val="18"/>
          <w:lang w:val="nl-NL"/>
        </w:rPr>
        <w:t>onderzoekt</w:t>
      </w:r>
      <w:r w:rsidR="00DA3ECE" w:rsidRPr="00A33930">
        <w:rPr>
          <w:rFonts w:eastAsia="Verdana" w:cs="Verdana"/>
          <w:szCs w:val="18"/>
          <w:lang w:val="nl-NL"/>
        </w:rPr>
        <w:t xml:space="preserve"> eerst </w:t>
      </w:r>
      <w:r w:rsidR="002A01D3" w:rsidRPr="00A33930">
        <w:rPr>
          <w:rFonts w:eastAsia="Verdana" w:cs="Verdana"/>
          <w:szCs w:val="18"/>
          <w:lang w:val="nl-NL"/>
        </w:rPr>
        <w:t xml:space="preserve">de mensenrechtelijke verplichtingen </w:t>
      </w:r>
      <w:r w:rsidR="009C704C" w:rsidRPr="00A33930">
        <w:rPr>
          <w:rFonts w:eastAsia="Verdana" w:cs="Verdana"/>
          <w:szCs w:val="18"/>
          <w:lang w:val="nl-NL"/>
        </w:rPr>
        <w:t xml:space="preserve">die op nationaal niveau moeten worden nageleefd indien de Verdragen door de lidstaat werden geratificeerd </w:t>
      </w:r>
      <w:r w:rsidR="002A01D3" w:rsidRPr="00A33930">
        <w:rPr>
          <w:rFonts w:eastAsia="Verdana" w:cs="Verdana"/>
          <w:szCs w:val="18"/>
          <w:lang w:val="nl-NL"/>
        </w:rPr>
        <w:t>(</w:t>
      </w:r>
      <w:r w:rsidR="002A01D3" w:rsidRPr="00A33930">
        <w:rPr>
          <w:rFonts w:eastAsia="Verdana" w:cs="Verdana"/>
          <w:i/>
          <w:iCs/>
          <w:szCs w:val="18"/>
          <w:lang w:val="nl-NL"/>
        </w:rPr>
        <w:t>infra</w:t>
      </w:r>
      <w:r w:rsidR="002A01D3" w:rsidRPr="00A33930">
        <w:rPr>
          <w:rFonts w:eastAsia="Verdana" w:cs="Verdana"/>
          <w:szCs w:val="18"/>
          <w:lang w:val="nl-NL"/>
        </w:rPr>
        <w:t xml:space="preserve">, </w:t>
      </w:r>
      <w:r w:rsidR="009C704C" w:rsidRPr="00A33930">
        <w:rPr>
          <w:rFonts w:eastAsia="Verdana" w:cs="Verdana"/>
          <w:szCs w:val="18"/>
          <w:lang w:val="nl-NL"/>
        </w:rPr>
        <w:t>deel I</w:t>
      </w:r>
      <w:r w:rsidR="002A01D3" w:rsidRPr="00A33930">
        <w:rPr>
          <w:rFonts w:eastAsia="Verdana" w:cs="Verdana"/>
          <w:szCs w:val="18"/>
          <w:lang w:val="nl-NL"/>
        </w:rPr>
        <w:t>).</w:t>
      </w:r>
    </w:p>
    <w:p w14:paraId="0182EFB1" w14:textId="77777777" w:rsidR="004C0863" w:rsidRPr="00A33930" w:rsidRDefault="004C0863" w:rsidP="004C0863">
      <w:pPr>
        <w:pStyle w:val="Lijstalinea"/>
        <w:spacing w:before="200" w:after="0"/>
        <w:ind w:left="0"/>
        <w:jc w:val="both"/>
        <w:rPr>
          <w:rFonts w:eastAsia="Verdana" w:cs="Verdana"/>
          <w:szCs w:val="18"/>
          <w:lang w:val="nl-NL"/>
        </w:rPr>
      </w:pPr>
    </w:p>
    <w:p w14:paraId="79107A44" w14:textId="126E7476" w:rsidR="003D3D5B" w:rsidRPr="00A33930" w:rsidRDefault="00DA3ECE" w:rsidP="006402BF">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Daarnaast wordt vergeleken met </w:t>
      </w:r>
      <w:r w:rsidR="002617F0" w:rsidRPr="00A33930">
        <w:rPr>
          <w:rFonts w:eastAsia="Verdana" w:cs="Verdana"/>
          <w:szCs w:val="18"/>
          <w:lang w:val="nl-NL"/>
        </w:rPr>
        <w:t>Nederland en Duitsland door middel van een</w:t>
      </w:r>
      <w:r w:rsidR="002F6600" w:rsidRPr="00A33930">
        <w:rPr>
          <w:rFonts w:eastAsia="Verdana" w:cs="Verdana"/>
          <w:szCs w:val="18"/>
          <w:lang w:val="nl-NL"/>
        </w:rPr>
        <w:t xml:space="preserve"> functionele</w:t>
      </w:r>
      <w:r w:rsidR="002617F0" w:rsidRPr="00A33930">
        <w:rPr>
          <w:rFonts w:eastAsia="Verdana" w:cs="Verdana"/>
          <w:szCs w:val="18"/>
          <w:lang w:val="nl-NL"/>
        </w:rPr>
        <w:t xml:space="preserve"> </w:t>
      </w:r>
      <w:r w:rsidR="002617F0" w:rsidRPr="00A33930">
        <w:rPr>
          <w:rFonts w:eastAsia="Verdana" w:cs="Verdana"/>
          <w:i/>
          <w:iCs/>
          <w:szCs w:val="18"/>
          <w:lang w:val="nl-NL"/>
        </w:rPr>
        <w:t>law in context-approach</w:t>
      </w:r>
      <w:r w:rsidR="002617F0" w:rsidRPr="00A33930">
        <w:rPr>
          <w:rFonts w:eastAsia="Verdana" w:cs="Verdana"/>
          <w:szCs w:val="18"/>
          <w:lang w:val="nl-NL"/>
        </w:rPr>
        <w:t xml:space="preserve"> waarbij wordt nagegaan of het recht op persoonlijk contact </w:t>
      </w:r>
      <w:r w:rsidR="006D770E" w:rsidRPr="00A33930">
        <w:rPr>
          <w:rFonts w:eastAsia="Verdana" w:cs="Verdana"/>
          <w:szCs w:val="18"/>
          <w:lang w:val="nl-NL"/>
        </w:rPr>
        <w:t>van</w:t>
      </w:r>
      <w:r w:rsidR="002617F0" w:rsidRPr="00A33930">
        <w:rPr>
          <w:rFonts w:eastAsia="Verdana" w:cs="Verdana"/>
          <w:szCs w:val="18"/>
          <w:lang w:val="nl-NL"/>
        </w:rPr>
        <w:t xml:space="preserve"> het kind is ingeschreven, hoe dit </w:t>
      </w:r>
      <w:r w:rsidR="00615D3E" w:rsidRPr="00A33930">
        <w:rPr>
          <w:rFonts w:eastAsia="Verdana" w:cs="Verdana"/>
          <w:szCs w:val="18"/>
          <w:lang w:val="nl-NL"/>
        </w:rPr>
        <w:t xml:space="preserve">in </w:t>
      </w:r>
      <w:r w:rsidR="002F6600" w:rsidRPr="00A33930">
        <w:rPr>
          <w:rFonts w:eastAsia="Verdana" w:cs="Verdana"/>
          <w:szCs w:val="18"/>
          <w:lang w:val="nl-NL"/>
        </w:rPr>
        <w:t>de verschillende</w:t>
      </w:r>
      <w:r w:rsidR="00615D3E" w:rsidRPr="00A33930">
        <w:rPr>
          <w:rFonts w:eastAsia="Verdana" w:cs="Verdana"/>
          <w:szCs w:val="18"/>
          <w:lang w:val="nl-NL"/>
        </w:rPr>
        <w:t xml:space="preserve"> </w:t>
      </w:r>
      <w:r w:rsidR="00376286" w:rsidRPr="00A33930">
        <w:rPr>
          <w:rFonts w:eastAsia="Verdana" w:cs="Verdana"/>
          <w:szCs w:val="18"/>
          <w:lang w:val="nl-NL"/>
        </w:rPr>
        <w:t>rechtsstelsels</w:t>
      </w:r>
      <w:r w:rsidR="002617F0" w:rsidRPr="00A33930">
        <w:rPr>
          <w:rFonts w:eastAsia="Verdana" w:cs="Verdana"/>
          <w:szCs w:val="18"/>
          <w:lang w:val="nl-NL"/>
        </w:rPr>
        <w:t xml:space="preserve"> </w:t>
      </w:r>
      <w:r w:rsidR="00615D3E" w:rsidRPr="00A33930">
        <w:rPr>
          <w:rFonts w:eastAsia="Verdana" w:cs="Verdana"/>
          <w:szCs w:val="18"/>
          <w:lang w:val="nl-NL"/>
        </w:rPr>
        <w:t>wordt</w:t>
      </w:r>
      <w:r w:rsidR="002617F0" w:rsidRPr="00A33930">
        <w:rPr>
          <w:rFonts w:eastAsia="Verdana" w:cs="Verdana"/>
          <w:szCs w:val="18"/>
          <w:lang w:val="nl-NL"/>
        </w:rPr>
        <w:t xml:space="preserve"> uitgeoefend en of </w:t>
      </w:r>
      <w:r w:rsidR="00615D3E" w:rsidRPr="00A33930">
        <w:rPr>
          <w:rFonts w:eastAsia="Verdana" w:cs="Verdana"/>
          <w:szCs w:val="18"/>
          <w:lang w:val="nl-NL"/>
        </w:rPr>
        <w:t>er ook een mogelijkheid is tot afdwinging van dit recht</w:t>
      </w:r>
      <w:r w:rsidR="002F6600" w:rsidRPr="00A33930">
        <w:rPr>
          <w:rFonts w:eastAsia="Verdana" w:cs="Verdana"/>
          <w:szCs w:val="18"/>
          <w:lang w:val="nl-NL"/>
        </w:rPr>
        <w:t xml:space="preserve"> door het kind</w:t>
      </w:r>
      <w:r w:rsidR="002617F0" w:rsidRPr="00A33930">
        <w:rPr>
          <w:rFonts w:eastAsia="Verdana" w:cs="Verdana"/>
          <w:szCs w:val="18"/>
          <w:lang w:val="nl-NL"/>
        </w:rPr>
        <w:t>.</w:t>
      </w:r>
      <w:r w:rsidR="00D60BAA" w:rsidRPr="00A33930">
        <w:rPr>
          <w:rFonts w:eastAsia="Verdana" w:cs="Verdana"/>
          <w:szCs w:val="18"/>
          <w:lang w:val="nl-NL"/>
        </w:rPr>
        <w:t xml:space="preserve"> </w:t>
      </w:r>
      <w:r w:rsidR="002F6600" w:rsidRPr="00A33930">
        <w:rPr>
          <w:rFonts w:eastAsia="Verdana" w:cs="Verdana"/>
          <w:szCs w:val="18"/>
          <w:lang w:val="nl-NL"/>
        </w:rPr>
        <w:t>De functionele methode werkt probleemgericht in die zin dat wordt vertrokken vanuit vastgestelde problemen om vervolgens de verschillende rechtsstelsels met elkaar te vergelijken.</w:t>
      </w:r>
      <w:r w:rsidR="002F6600" w:rsidRPr="00A33930">
        <w:rPr>
          <w:rStyle w:val="Voetnootmarkering"/>
          <w:rFonts w:eastAsia="Verdana" w:cs="Verdana"/>
          <w:szCs w:val="18"/>
          <w:lang w:val="nl-NL"/>
        </w:rPr>
        <w:footnoteReference w:id="24"/>
      </w:r>
      <w:r w:rsidR="002F6600" w:rsidRPr="00A33930">
        <w:rPr>
          <w:rFonts w:eastAsia="Verdana" w:cs="Verdana"/>
          <w:szCs w:val="18"/>
          <w:lang w:val="nl-NL"/>
        </w:rPr>
        <w:t xml:space="preserve"> Door systematisch steeds deze vragen te beantwoorden</w:t>
      </w:r>
      <w:r w:rsidR="004C0863" w:rsidRPr="00A33930">
        <w:rPr>
          <w:rFonts w:eastAsia="Verdana" w:cs="Verdana"/>
          <w:szCs w:val="18"/>
          <w:lang w:val="nl-NL"/>
        </w:rPr>
        <w:t xml:space="preserve"> </w:t>
      </w:r>
      <w:r w:rsidR="002F6600" w:rsidRPr="00A33930">
        <w:rPr>
          <w:rFonts w:eastAsia="Verdana" w:cs="Verdana"/>
          <w:szCs w:val="18"/>
          <w:lang w:val="nl-NL"/>
        </w:rPr>
        <w:t>worden de gelijkenissen en verschillen duidelijk. Bovenstaande</w:t>
      </w:r>
      <w:r w:rsidR="00D271F5" w:rsidRPr="00A33930">
        <w:rPr>
          <w:rFonts w:eastAsia="Verdana" w:cs="Verdana"/>
          <w:szCs w:val="18"/>
          <w:lang w:val="nl-NL"/>
        </w:rPr>
        <w:t xml:space="preserve"> rechtsstelsels kennen rechtsregels </w:t>
      </w:r>
      <w:r w:rsidR="002F6600" w:rsidRPr="00A33930">
        <w:rPr>
          <w:rFonts w:eastAsia="Verdana" w:cs="Verdana"/>
          <w:szCs w:val="18"/>
          <w:lang w:val="nl-NL"/>
        </w:rPr>
        <w:t>met</w:t>
      </w:r>
      <w:r w:rsidR="00D271F5" w:rsidRPr="00A33930">
        <w:rPr>
          <w:rFonts w:eastAsia="Verdana" w:cs="Verdana"/>
          <w:szCs w:val="18"/>
          <w:lang w:val="nl-NL"/>
        </w:rPr>
        <w:t xml:space="preserve"> dezelfde functie als </w:t>
      </w:r>
      <w:r w:rsidR="002F6600" w:rsidRPr="00A33930">
        <w:rPr>
          <w:rFonts w:eastAsia="Verdana" w:cs="Verdana"/>
          <w:szCs w:val="18"/>
          <w:lang w:val="nl-NL"/>
        </w:rPr>
        <w:t>deze in</w:t>
      </w:r>
      <w:r w:rsidR="00D271F5" w:rsidRPr="00A33930">
        <w:rPr>
          <w:rFonts w:eastAsia="Verdana" w:cs="Verdana"/>
          <w:szCs w:val="18"/>
          <w:lang w:val="nl-NL"/>
        </w:rPr>
        <w:t xml:space="preserve"> het Belgische recht. </w:t>
      </w:r>
      <w:r w:rsidR="004C0863" w:rsidRPr="00A33930">
        <w:rPr>
          <w:rFonts w:eastAsia="Verdana" w:cs="Verdana"/>
          <w:szCs w:val="18"/>
          <w:lang w:val="nl-NL"/>
        </w:rPr>
        <w:t>Deze</w:t>
      </w:r>
      <w:r w:rsidR="00D271F5" w:rsidRPr="00A33930">
        <w:rPr>
          <w:rFonts w:eastAsia="Verdana" w:cs="Verdana"/>
          <w:szCs w:val="18"/>
          <w:lang w:val="nl-NL"/>
        </w:rPr>
        <w:t xml:space="preserve"> rechtsstelsels </w:t>
      </w:r>
      <w:r w:rsidR="004C0863" w:rsidRPr="00A33930">
        <w:rPr>
          <w:rFonts w:eastAsia="Verdana" w:cs="Verdana"/>
          <w:szCs w:val="18"/>
          <w:lang w:val="nl-NL"/>
        </w:rPr>
        <w:t xml:space="preserve">hebben </w:t>
      </w:r>
      <w:r w:rsidR="00D271F5" w:rsidRPr="00A33930">
        <w:rPr>
          <w:rFonts w:eastAsia="Verdana" w:cs="Verdana"/>
          <w:szCs w:val="18"/>
          <w:lang w:val="nl-NL"/>
        </w:rPr>
        <w:t>het IVRK en het EVRM geratificeerd</w:t>
      </w:r>
      <w:r w:rsidR="002F6600" w:rsidRPr="00A33930">
        <w:rPr>
          <w:rFonts w:eastAsia="Verdana" w:cs="Verdana"/>
          <w:szCs w:val="18"/>
          <w:lang w:val="nl-NL"/>
        </w:rPr>
        <w:t xml:space="preserve"> (</w:t>
      </w:r>
      <w:r w:rsidR="002F6600" w:rsidRPr="00A33930">
        <w:rPr>
          <w:rFonts w:eastAsia="Verdana" w:cs="Verdana"/>
          <w:i/>
          <w:iCs/>
          <w:szCs w:val="18"/>
          <w:lang w:val="nl-NL"/>
        </w:rPr>
        <w:t>infra</w:t>
      </w:r>
      <w:r w:rsidR="002F6600" w:rsidRPr="00A33930">
        <w:rPr>
          <w:rFonts w:eastAsia="Verdana" w:cs="Verdana"/>
          <w:szCs w:val="18"/>
          <w:lang w:val="nl-NL"/>
        </w:rPr>
        <w:t xml:space="preserve">, nr. </w:t>
      </w:r>
      <w:r w:rsidR="009C704C" w:rsidRPr="00A33930">
        <w:rPr>
          <w:rFonts w:eastAsia="Verdana" w:cs="Verdana"/>
          <w:szCs w:val="18"/>
          <w:lang w:val="nl-NL"/>
        </w:rPr>
        <w:t>27 en nr. 44</w:t>
      </w:r>
      <w:r w:rsidR="002F6600" w:rsidRPr="00A33930">
        <w:rPr>
          <w:rFonts w:eastAsia="Verdana" w:cs="Verdana"/>
          <w:szCs w:val="18"/>
          <w:lang w:val="nl-NL"/>
        </w:rPr>
        <w:t xml:space="preserve">). </w:t>
      </w:r>
      <w:r w:rsidR="00611D64" w:rsidRPr="00A33930">
        <w:rPr>
          <w:rFonts w:eastAsia="Verdana" w:cs="Verdana"/>
          <w:szCs w:val="18"/>
          <w:lang w:val="nl-NL"/>
        </w:rPr>
        <w:t>Bovendien is in beide landen een wederkerig contactrecht</w:t>
      </w:r>
      <w:r w:rsidR="009C704C" w:rsidRPr="00A33930">
        <w:rPr>
          <w:rFonts w:eastAsia="Verdana" w:cs="Verdana"/>
          <w:szCs w:val="18"/>
          <w:lang w:val="nl-NL"/>
        </w:rPr>
        <w:t xml:space="preserve"> </w:t>
      </w:r>
      <w:r w:rsidR="00611D64" w:rsidRPr="00A33930">
        <w:rPr>
          <w:rFonts w:eastAsia="Verdana" w:cs="Verdana"/>
          <w:szCs w:val="18"/>
          <w:lang w:val="nl-NL"/>
        </w:rPr>
        <w:t xml:space="preserve">in de wetgeving </w:t>
      </w:r>
      <w:r w:rsidR="00376286" w:rsidRPr="00A33930">
        <w:rPr>
          <w:rFonts w:eastAsia="Verdana" w:cs="Verdana"/>
          <w:szCs w:val="18"/>
          <w:lang w:val="nl-NL"/>
        </w:rPr>
        <w:t>ingeschreven</w:t>
      </w:r>
      <w:r w:rsidR="00611D64" w:rsidRPr="00A33930">
        <w:rPr>
          <w:rFonts w:eastAsia="Verdana" w:cs="Verdana"/>
          <w:szCs w:val="18"/>
          <w:lang w:val="nl-NL"/>
        </w:rPr>
        <w:t xml:space="preserve"> (</w:t>
      </w:r>
      <w:r w:rsidR="00611D64" w:rsidRPr="00A33930">
        <w:rPr>
          <w:rFonts w:eastAsia="Verdana" w:cs="Verdana"/>
          <w:i/>
          <w:iCs/>
          <w:szCs w:val="18"/>
          <w:lang w:val="nl-NL"/>
        </w:rPr>
        <w:t>infra</w:t>
      </w:r>
      <w:r w:rsidR="00C106C3" w:rsidRPr="00A33930">
        <w:rPr>
          <w:rFonts w:eastAsia="Verdana" w:cs="Verdana"/>
          <w:i/>
          <w:iCs/>
          <w:szCs w:val="18"/>
          <w:lang w:val="nl-NL"/>
        </w:rPr>
        <w:t xml:space="preserve">, </w:t>
      </w:r>
      <w:r w:rsidR="00C106C3" w:rsidRPr="00A33930">
        <w:rPr>
          <w:rFonts w:eastAsia="Verdana" w:cs="Verdana"/>
          <w:szCs w:val="18"/>
          <w:lang w:val="nl-NL"/>
        </w:rPr>
        <w:t>deel III</w:t>
      </w:r>
      <w:r w:rsidR="00611D64" w:rsidRPr="00A33930">
        <w:rPr>
          <w:rFonts w:eastAsia="Verdana" w:cs="Verdana"/>
          <w:szCs w:val="18"/>
          <w:lang w:val="nl-NL"/>
        </w:rPr>
        <w:t xml:space="preserve">). </w:t>
      </w:r>
      <w:r w:rsidRPr="00A33930">
        <w:rPr>
          <w:rFonts w:eastAsia="Verdana" w:cs="Verdana"/>
          <w:szCs w:val="18"/>
          <w:lang w:val="nl-NL"/>
        </w:rPr>
        <w:t>Een dogmatische benadering, door het Belgisch juridisch concept te projecteren op de buitenlandse wetgeving, wordt hiervoor gehanteerd.</w:t>
      </w:r>
      <w:r w:rsidRPr="00A33930">
        <w:rPr>
          <w:rStyle w:val="Voetnootmarkering"/>
          <w:rFonts w:eastAsia="Verdana" w:cs="Verdana"/>
          <w:szCs w:val="18"/>
          <w:lang w:val="nl-NL"/>
        </w:rPr>
        <w:footnoteReference w:id="25"/>
      </w:r>
    </w:p>
    <w:p w14:paraId="06A83FAE" w14:textId="77777777" w:rsidR="006402BF" w:rsidRPr="00A33930" w:rsidRDefault="006402BF" w:rsidP="006402BF">
      <w:pPr>
        <w:pStyle w:val="Lijstalinea"/>
        <w:spacing w:before="200" w:after="0"/>
        <w:ind w:left="0"/>
        <w:jc w:val="both"/>
        <w:rPr>
          <w:rFonts w:eastAsia="Verdana" w:cs="Verdana"/>
          <w:szCs w:val="18"/>
          <w:lang w:val="nl-NL"/>
        </w:rPr>
      </w:pPr>
    </w:p>
    <w:p w14:paraId="7BF20A27" w14:textId="74617742" w:rsidR="002A01D3" w:rsidRPr="00A33930" w:rsidRDefault="00D271F5" w:rsidP="003C2C35">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Het is </w:t>
      </w:r>
      <w:r w:rsidR="003C2C35" w:rsidRPr="00A33930">
        <w:rPr>
          <w:rFonts w:eastAsia="Verdana" w:cs="Verdana"/>
          <w:szCs w:val="18"/>
          <w:lang w:val="nl-NL"/>
        </w:rPr>
        <w:t>een gro</w:t>
      </w:r>
      <w:r w:rsidR="002F6600" w:rsidRPr="00A33930">
        <w:rPr>
          <w:rFonts w:eastAsia="Verdana" w:cs="Verdana"/>
          <w:szCs w:val="18"/>
          <w:lang w:val="nl-NL"/>
        </w:rPr>
        <w:t xml:space="preserve">ot werk </w:t>
      </w:r>
      <w:r w:rsidRPr="00A33930">
        <w:rPr>
          <w:rFonts w:eastAsia="Verdana" w:cs="Verdana"/>
          <w:szCs w:val="18"/>
          <w:lang w:val="nl-NL"/>
        </w:rPr>
        <w:t>om binnen een redelijk tijdsbestek alle rechtsstelsels</w:t>
      </w:r>
      <w:r w:rsidR="000857EF" w:rsidRPr="00A33930">
        <w:rPr>
          <w:rFonts w:eastAsia="Verdana" w:cs="Verdana"/>
          <w:szCs w:val="18"/>
          <w:lang w:val="nl-NL"/>
        </w:rPr>
        <w:t xml:space="preserve"> met elkaar</w:t>
      </w:r>
      <w:r w:rsidRPr="00A33930">
        <w:rPr>
          <w:rFonts w:eastAsia="Verdana" w:cs="Verdana"/>
          <w:szCs w:val="18"/>
          <w:lang w:val="nl-NL"/>
        </w:rPr>
        <w:t xml:space="preserve"> te vergelijken waardoor het noodzakelijk is </w:t>
      </w:r>
      <w:r w:rsidR="002F6600" w:rsidRPr="00A33930">
        <w:rPr>
          <w:rFonts w:eastAsia="Verdana" w:cs="Verdana"/>
          <w:szCs w:val="18"/>
          <w:lang w:val="nl-NL"/>
        </w:rPr>
        <w:t xml:space="preserve">binnen </w:t>
      </w:r>
      <w:r w:rsidR="00FF4A11" w:rsidRPr="00A33930">
        <w:rPr>
          <w:rFonts w:eastAsia="Verdana" w:cs="Verdana"/>
          <w:szCs w:val="18"/>
          <w:lang w:val="nl-NL"/>
        </w:rPr>
        <w:t>dit onderzoek</w:t>
      </w:r>
      <w:r w:rsidR="002F6600" w:rsidRPr="00A33930">
        <w:rPr>
          <w:rFonts w:eastAsia="Verdana" w:cs="Verdana"/>
          <w:szCs w:val="18"/>
          <w:lang w:val="nl-NL"/>
        </w:rPr>
        <w:t xml:space="preserve"> </w:t>
      </w:r>
      <w:r w:rsidRPr="00A33930">
        <w:rPr>
          <w:rFonts w:eastAsia="Verdana" w:cs="Verdana"/>
          <w:szCs w:val="18"/>
          <w:lang w:val="nl-NL"/>
        </w:rPr>
        <w:t>een selectie door te voeren. Er wordt in dit onderzoek gekozen om verschillende, maar verwante, rechtsstelsels te onderzoeken.</w:t>
      </w:r>
      <w:r w:rsidR="00CA3999" w:rsidRPr="00A33930">
        <w:rPr>
          <w:rFonts w:eastAsia="Verdana" w:cs="Verdana"/>
          <w:szCs w:val="18"/>
          <w:lang w:val="nl-NL"/>
        </w:rPr>
        <w:t xml:space="preserve"> Verschillende argumenten verantwoorden deze keuze.</w:t>
      </w:r>
      <w:r w:rsidR="003C2C35" w:rsidRPr="00A33930">
        <w:rPr>
          <w:rFonts w:eastAsia="Verdana" w:cs="Verdana"/>
          <w:szCs w:val="18"/>
          <w:lang w:val="nl-NL"/>
        </w:rPr>
        <w:t xml:space="preserve"> </w:t>
      </w:r>
      <w:r w:rsidR="004847ED" w:rsidRPr="00A33930">
        <w:rPr>
          <w:rFonts w:eastAsia="Verdana" w:cs="Verdana"/>
          <w:szCs w:val="18"/>
          <w:lang w:val="nl-NL"/>
        </w:rPr>
        <w:t xml:space="preserve">Ten eerste zijn deze rechtsstelsels geselecteerd op basis van het bestaan van regelgeving </w:t>
      </w:r>
      <w:r w:rsidR="002F6600" w:rsidRPr="00A33930">
        <w:rPr>
          <w:rFonts w:eastAsia="Verdana" w:cs="Verdana"/>
          <w:szCs w:val="18"/>
          <w:lang w:val="nl-NL"/>
        </w:rPr>
        <w:t>betreffende</w:t>
      </w:r>
      <w:r w:rsidR="004847ED" w:rsidRPr="00A33930">
        <w:rPr>
          <w:rFonts w:eastAsia="Verdana" w:cs="Verdana"/>
          <w:szCs w:val="18"/>
          <w:lang w:val="nl-NL"/>
        </w:rPr>
        <w:t xml:space="preserve"> het recht op persoonlijk contact van het kind. Zo ken</w:t>
      </w:r>
      <w:r w:rsidR="00AE3DED" w:rsidRPr="00A33930">
        <w:rPr>
          <w:rFonts w:eastAsia="Verdana" w:cs="Verdana"/>
          <w:szCs w:val="18"/>
          <w:lang w:val="nl-NL"/>
        </w:rPr>
        <w:t>nen</w:t>
      </w:r>
      <w:r w:rsidR="004847ED" w:rsidRPr="00A33930">
        <w:rPr>
          <w:rFonts w:eastAsia="Verdana" w:cs="Verdana"/>
          <w:szCs w:val="18"/>
          <w:lang w:val="nl-NL"/>
        </w:rPr>
        <w:t xml:space="preserve"> zowel het Nederlands als het Duits recht een contactrecht van het kind.</w:t>
      </w:r>
      <w:r w:rsidR="00C106C3" w:rsidRPr="00A33930">
        <w:rPr>
          <w:rStyle w:val="Voetnootmarkering"/>
          <w:rFonts w:eastAsia="Verdana" w:cs="Verdana"/>
          <w:szCs w:val="18"/>
          <w:lang w:val="nl-NL"/>
        </w:rPr>
        <w:footnoteReference w:id="26"/>
      </w:r>
      <w:r w:rsidR="003C2C35" w:rsidRPr="00A33930">
        <w:rPr>
          <w:rFonts w:eastAsia="Verdana" w:cs="Verdana"/>
          <w:szCs w:val="18"/>
          <w:lang w:val="nl-NL"/>
        </w:rPr>
        <w:t xml:space="preserve"> </w:t>
      </w:r>
      <w:r w:rsidR="004847ED" w:rsidRPr="00A33930">
        <w:rPr>
          <w:rFonts w:eastAsia="Verdana" w:cs="Verdana"/>
          <w:szCs w:val="18"/>
          <w:lang w:val="nl-NL"/>
        </w:rPr>
        <w:t xml:space="preserve">Ten tweede </w:t>
      </w:r>
      <w:r w:rsidR="00CA3999" w:rsidRPr="00A33930">
        <w:rPr>
          <w:rFonts w:eastAsia="Verdana" w:cs="Verdana"/>
          <w:szCs w:val="18"/>
          <w:lang w:val="nl-NL"/>
        </w:rPr>
        <w:t>is de keuze van</w:t>
      </w:r>
      <w:r w:rsidR="004847ED" w:rsidRPr="00A33930">
        <w:rPr>
          <w:rFonts w:eastAsia="Verdana" w:cs="Verdana"/>
          <w:szCs w:val="18"/>
          <w:lang w:val="nl-NL"/>
        </w:rPr>
        <w:t xml:space="preserve"> deze rechtsstelsels gebaseerd op een gemeenschappelijke rechtstraditie, </w:t>
      </w:r>
      <w:r w:rsidR="002F6600" w:rsidRPr="00A33930">
        <w:rPr>
          <w:rFonts w:eastAsia="Verdana" w:cs="Verdana"/>
          <w:szCs w:val="18"/>
          <w:lang w:val="nl-NL"/>
        </w:rPr>
        <w:t>wegens</w:t>
      </w:r>
      <w:r w:rsidR="00CA3999" w:rsidRPr="00A33930">
        <w:rPr>
          <w:rFonts w:eastAsia="Verdana" w:cs="Verdana"/>
          <w:szCs w:val="18"/>
          <w:lang w:val="nl-NL"/>
        </w:rPr>
        <w:t xml:space="preserve"> het verschil in rechtsdenken tussen de </w:t>
      </w:r>
      <w:r w:rsidR="00CA3999" w:rsidRPr="00A33930">
        <w:rPr>
          <w:rFonts w:eastAsia="Verdana" w:cs="Verdana"/>
          <w:i/>
          <w:iCs/>
          <w:szCs w:val="18"/>
          <w:lang w:val="nl-NL"/>
        </w:rPr>
        <w:t>common law</w:t>
      </w:r>
      <w:r w:rsidR="00CA3999" w:rsidRPr="00A33930">
        <w:rPr>
          <w:rFonts w:eastAsia="Verdana" w:cs="Verdana"/>
          <w:szCs w:val="18"/>
          <w:lang w:val="nl-NL"/>
        </w:rPr>
        <w:t xml:space="preserve"> en </w:t>
      </w:r>
      <w:r w:rsidR="00CA3999" w:rsidRPr="00A33930">
        <w:rPr>
          <w:rFonts w:eastAsia="Verdana" w:cs="Verdana"/>
          <w:i/>
          <w:iCs/>
          <w:szCs w:val="18"/>
          <w:lang w:val="nl-NL"/>
        </w:rPr>
        <w:t>civil law</w:t>
      </w:r>
      <w:r w:rsidR="00CA3999" w:rsidRPr="00A33930">
        <w:rPr>
          <w:rFonts w:eastAsia="Verdana" w:cs="Verdana"/>
          <w:szCs w:val="18"/>
          <w:lang w:val="nl-NL"/>
        </w:rPr>
        <w:t xml:space="preserve"> rechtsstelsels</w:t>
      </w:r>
      <w:r w:rsidR="004847ED" w:rsidRPr="00A33930">
        <w:rPr>
          <w:rFonts w:eastAsia="Verdana" w:cs="Verdana"/>
          <w:szCs w:val="18"/>
          <w:lang w:val="nl-NL"/>
        </w:rPr>
        <w:t>.</w:t>
      </w:r>
      <w:r w:rsidR="00CA3999" w:rsidRPr="00A33930">
        <w:rPr>
          <w:rFonts w:eastAsia="Verdana" w:cs="Verdana"/>
          <w:szCs w:val="18"/>
          <w:lang w:val="nl-NL"/>
        </w:rPr>
        <w:t xml:space="preserve"> Beide stelsels hebben zich immers op een andere wijze ontwikkeld doorheen de geschiedenis.</w:t>
      </w:r>
      <w:r w:rsidR="0071771A" w:rsidRPr="00A33930">
        <w:rPr>
          <w:rStyle w:val="Voetnootmarkering"/>
          <w:rFonts w:eastAsia="Verdana" w:cs="Verdana"/>
          <w:szCs w:val="18"/>
          <w:lang w:val="nl-NL"/>
        </w:rPr>
        <w:footnoteReference w:id="27"/>
      </w:r>
      <w:r w:rsidR="004847ED" w:rsidRPr="00A33930">
        <w:rPr>
          <w:rFonts w:eastAsia="Verdana" w:cs="Verdana"/>
          <w:szCs w:val="18"/>
          <w:lang w:val="nl-NL"/>
        </w:rPr>
        <w:t xml:space="preserve"> </w:t>
      </w:r>
      <w:r w:rsidR="00CA3999" w:rsidRPr="00A33930">
        <w:rPr>
          <w:rFonts w:eastAsia="Verdana" w:cs="Verdana"/>
          <w:szCs w:val="18"/>
          <w:lang w:val="nl-NL"/>
        </w:rPr>
        <w:t xml:space="preserve">Om die reden wordt bewust gekozen voor het Nederlands en Duits recht zodat de gelijkenissen en verschillen </w:t>
      </w:r>
      <w:r w:rsidR="002F6600" w:rsidRPr="00A33930">
        <w:rPr>
          <w:rFonts w:eastAsia="Verdana" w:cs="Verdana"/>
          <w:szCs w:val="18"/>
          <w:lang w:val="nl-NL"/>
        </w:rPr>
        <w:t>van</w:t>
      </w:r>
      <w:r w:rsidR="00CA3999" w:rsidRPr="00A33930">
        <w:rPr>
          <w:rFonts w:eastAsia="Verdana" w:cs="Verdana"/>
          <w:szCs w:val="18"/>
          <w:lang w:val="nl-NL"/>
        </w:rPr>
        <w:t xml:space="preserve"> het recht op persoonlijk contact binnen de </w:t>
      </w:r>
      <w:r w:rsidR="00CA3999" w:rsidRPr="00A33930">
        <w:rPr>
          <w:rFonts w:eastAsia="Verdana" w:cs="Verdana"/>
          <w:i/>
          <w:iCs/>
          <w:szCs w:val="18"/>
          <w:lang w:val="nl-NL"/>
        </w:rPr>
        <w:t>civil law</w:t>
      </w:r>
      <w:r w:rsidR="00CA3999" w:rsidRPr="00A33930">
        <w:rPr>
          <w:rFonts w:eastAsia="Verdana" w:cs="Verdana"/>
          <w:szCs w:val="18"/>
          <w:lang w:val="nl-NL"/>
        </w:rPr>
        <w:t xml:space="preserve"> rechtsstelsels </w:t>
      </w:r>
      <w:r w:rsidR="002F6600" w:rsidRPr="00A33930">
        <w:rPr>
          <w:rFonts w:eastAsia="Verdana" w:cs="Verdana"/>
          <w:szCs w:val="18"/>
          <w:lang w:val="nl-NL"/>
        </w:rPr>
        <w:t>worden</w:t>
      </w:r>
      <w:r w:rsidR="00CA3999" w:rsidRPr="00A33930">
        <w:rPr>
          <w:rFonts w:eastAsia="Verdana" w:cs="Verdana"/>
          <w:szCs w:val="18"/>
          <w:lang w:val="nl-NL"/>
        </w:rPr>
        <w:t xml:space="preserve"> afgetoetst.</w:t>
      </w:r>
      <w:r w:rsidR="00C106C3" w:rsidRPr="00A33930">
        <w:rPr>
          <w:rStyle w:val="Voetnootmarkering"/>
          <w:rFonts w:eastAsia="Verdana" w:cs="Verdana"/>
          <w:szCs w:val="18"/>
          <w:lang w:val="nl-NL"/>
        </w:rPr>
        <w:footnoteReference w:id="28"/>
      </w:r>
      <w:r w:rsidR="00CA3999" w:rsidRPr="00A33930">
        <w:rPr>
          <w:rFonts w:eastAsia="Verdana" w:cs="Verdana"/>
          <w:szCs w:val="18"/>
          <w:lang w:val="nl-NL"/>
        </w:rPr>
        <w:t xml:space="preserve"> </w:t>
      </w:r>
      <w:r w:rsidR="004847ED" w:rsidRPr="00A33930">
        <w:rPr>
          <w:rFonts w:eastAsia="Verdana" w:cs="Verdana"/>
          <w:szCs w:val="18"/>
          <w:lang w:val="nl-NL"/>
        </w:rPr>
        <w:t>Ten derde worden deze rechtsstelsels gekozen op basis van hun toegankelijkheid</w:t>
      </w:r>
      <w:r w:rsidR="00C106C3" w:rsidRPr="00A33930">
        <w:rPr>
          <w:rFonts w:eastAsia="Verdana" w:cs="Verdana"/>
          <w:szCs w:val="18"/>
          <w:lang w:val="nl-NL"/>
        </w:rPr>
        <w:t xml:space="preserve"> van het bronnenmateriaal en de </w:t>
      </w:r>
      <w:r w:rsidR="00C106C3" w:rsidRPr="00A33930">
        <w:rPr>
          <w:rFonts w:eastAsia="Verdana" w:cs="Verdana"/>
          <w:szCs w:val="18"/>
          <w:lang w:val="nl-NL"/>
        </w:rPr>
        <w:lastRenderedPageBreak/>
        <w:t xml:space="preserve">gehanteerde taal. </w:t>
      </w:r>
      <w:r w:rsidR="004847ED" w:rsidRPr="00A33930">
        <w:rPr>
          <w:rFonts w:eastAsia="Verdana" w:cs="Verdana"/>
          <w:szCs w:val="18"/>
          <w:lang w:val="nl-NL"/>
        </w:rPr>
        <w:t xml:space="preserve">Om </w:t>
      </w:r>
      <w:r w:rsidR="002F6600" w:rsidRPr="00A33930">
        <w:rPr>
          <w:rFonts w:eastAsia="Verdana" w:cs="Verdana"/>
          <w:szCs w:val="18"/>
          <w:lang w:val="nl-NL"/>
        </w:rPr>
        <w:t>mogelijke</w:t>
      </w:r>
      <w:r w:rsidR="004847ED" w:rsidRPr="00A33930">
        <w:rPr>
          <w:rFonts w:eastAsia="Verdana" w:cs="Verdana"/>
          <w:szCs w:val="18"/>
          <w:lang w:val="nl-NL"/>
        </w:rPr>
        <w:t xml:space="preserve"> taalbarrières te overbruggen wordt </w:t>
      </w:r>
      <w:r w:rsidR="00C106C3" w:rsidRPr="00A33930">
        <w:rPr>
          <w:rFonts w:eastAsia="Verdana" w:cs="Verdana"/>
          <w:szCs w:val="18"/>
          <w:lang w:val="nl-NL"/>
        </w:rPr>
        <w:t xml:space="preserve">waar mogelijk </w:t>
      </w:r>
      <w:r w:rsidR="004847ED" w:rsidRPr="00A33930">
        <w:rPr>
          <w:rFonts w:eastAsia="Verdana" w:cs="Verdana"/>
          <w:szCs w:val="18"/>
          <w:lang w:val="nl-NL"/>
        </w:rPr>
        <w:t>gebruikgemaakt van bestaande (inter)nationale</w:t>
      </w:r>
      <w:r w:rsidR="00FF4A11" w:rsidRPr="00A33930">
        <w:rPr>
          <w:rFonts w:eastAsia="Verdana" w:cs="Verdana"/>
          <w:szCs w:val="18"/>
          <w:lang w:val="nl-NL"/>
        </w:rPr>
        <w:t xml:space="preserve">, </w:t>
      </w:r>
      <w:r w:rsidR="004847ED" w:rsidRPr="00A33930">
        <w:rPr>
          <w:rFonts w:eastAsia="Verdana" w:cs="Verdana"/>
          <w:szCs w:val="18"/>
          <w:lang w:val="nl-NL"/>
        </w:rPr>
        <w:t>toegankelijke studies en secundaire bronnen.</w:t>
      </w:r>
    </w:p>
    <w:p w14:paraId="2DB2BC3A" w14:textId="77777777" w:rsidR="00EB0BED" w:rsidRPr="00A33930" w:rsidRDefault="00EB0BED" w:rsidP="00EB0BED">
      <w:pPr>
        <w:pStyle w:val="Lijstalinea"/>
        <w:spacing w:before="200" w:after="0"/>
        <w:ind w:left="0"/>
        <w:jc w:val="both"/>
        <w:rPr>
          <w:rFonts w:eastAsia="Verdana" w:cs="Verdana"/>
          <w:szCs w:val="18"/>
          <w:lang w:val="nl-NL"/>
        </w:rPr>
      </w:pPr>
    </w:p>
    <w:p w14:paraId="3DEFDCDF" w14:textId="0E889EF5" w:rsidR="00EB0BED" w:rsidRPr="00A33930" w:rsidRDefault="00EB0BED" w:rsidP="00EB0BED">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Dit onderzoek is tevens een aanbevelend onderzoek. Om aanbevelingen te formuleren is een voorafgaande beschrijving en evaluatie van de huidige regelgeving noodzakelijk. Het doel van het onderzoek bestaat erin om te komen tot een eigen aanbeveling die inspiratie kan bieden aan de Belgische wetgever. Het formuleren van een aanbeveling vormt de laatste stap in dit onderzoek. Er wordt </w:t>
      </w:r>
      <w:r w:rsidR="00C106C3" w:rsidRPr="00A33930">
        <w:rPr>
          <w:rFonts w:eastAsia="Verdana" w:cs="Verdana"/>
          <w:szCs w:val="18"/>
          <w:lang w:val="nl-NL"/>
        </w:rPr>
        <w:t>nagegaan</w:t>
      </w:r>
      <w:r w:rsidRPr="00A33930">
        <w:rPr>
          <w:rFonts w:eastAsia="Verdana" w:cs="Verdana"/>
          <w:szCs w:val="18"/>
          <w:lang w:val="nl-NL"/>
        </w:rPr>
        <w:t xml:space="preserve"> welke aanpassing van de Belgische wet de voorkeur geniet vanuit mensenrechtelijk en rechtsvergelijkend perspectief en welke aanpassing er in de Belgische regelgeving voor zorgt dat de Belgische wetgever </w:t>
      </w:r>
      <w:r w:rsidR="00F91A64" w:rsidRPr="00A33930">
        <w:rPr>
          <w:rFonts w:eastAsia="Verdana" w:cs="Verdana"/>
          <w:szCs w:val="18"/>
          <w:lang w:val="nl-NL"/>
        </w:rPr>
        <w:t>de</w:t>
      </w:r>
      <w:r w:rsidRPr="00A33930">
        <w:rPr>
          <w:rFonts w:eastAsia="Verdana" w:cs="Verdana"/>
          <w:szCs w:val="18"/>
          <w:lang w:val="nl-NL"/>
        </w:rPr>
        <w:t xml:space="preserve"> mensenrechtelijke verplichtingen naleeft.</w:t>
      </w:r>
    </w:p>
    <w:p w14:paraId="2049AE46" w14:textId="29797B65" w:rsidR="006F3233" w:rsidRPr="00A33930" w:rsidRDefault="00C808FF" w:rsidP="00885B47">
      <w:pPr>
        <w:pStyle w:val="Kop3"/>
        <w:numPr>
          <w:ilvl w:val="0"/>
          <w:numId w:val="0"/>
        </w:numPr>
        <w:ind w:left="360" w:hanging="360"/>
        <w:jc w:val="both"/>
        <w:rPr>
          <w:lang w:val="nl-NL"/>
        </w:rPr>
      </w:pPr>
      <w:bookmarkStart w:id="11" w:name="_Toc134621170"/>
      <w:r w:rsidRPr="00A33930">
        <w:rPr>
          <w:lang w:val="nl-NL"/>
        </w:rPr>
        <w:t>Afdeling II.</w:t>
      </w:r>
      <w:r w:rsidR="0097678D" w:rsidRPr="00A33930">
        <w:rPr>
          <w:lang w:val="nl-NL"/>
        </w:rPr>
        <w:tab/>
      </w:r>
      <w:r w:rsidR="0097678D" w:rsidRPr="00A33930">
        <w:rPr>
          <w:lang w:val="nl-NL"/>
        </w:rPr>
        <w:tab/>
      </w:r>
      <w:r w:rsidR="00DA3ECE" w:rsidRPr="00A33930">
        <w:rPr>
          <w:lang w:val="nl-NL"/>
        </w:rPr>
        <w:t>Opbouw van het onderzoek</w:t>
      </w:r>
      <w:bookmarkEnd w:id="11"/>
    </w:p>
    <w:p w14:paraId="491580C8" w14:textId="5C8EE5B3" w:rsidR="003C2C35" w:rsidRPr="00A33930" w:rsidRDefault="004847ED" w:rsidP="003C2C35">
      <w:pPr>
        <w:pStyle w:val="Lijstalinea"/>
        <w:numPr>
          <w:ilvl w:val="0"/>
          <w:numId w:val="4"/>
        </w:numPr>
        <w:spacing w:before="200" w:after="0"/>
        <w:ind w:left="0" w:firstLine="0"/>
        <w:jc w:val="both"/>
        <w:rPr>
          <w:rFonts w:eastAsia="Verdana" w:cs="Verdana"/>
          <w:b/>
          <w:bCs/>
          <w:szCs w:val="18"/>
          <w:lang w:val="nl-NL"/>
        </w:rPr>
      </w:pPr>
      <w:r w:rsidRPr="00A33930">
        <w:rPr>
          <w:rFonts w:eastAsia="Verdana" w:cs="Verdana"/>
          <w:szCs w:val="18"/>
          <w:lang w:val="nl-NL"/>
        </w:rPr>
        <w:t>Het eerste deel van dit onderzoek</w:t>
      </w:r>
      <w:r w:rsidR="00885B47" w:rsidRPr="00A33930">
        <w:rPr>
          <w:rFonts w:eastAsia="Verdana" w:cs="Verdana"/>
          <w:szCs w:val="18"/>
          <w:lang w:val="nl-NL"/>
        </w:rPr>
        <w:t xml:space="preserve"> start met de beschrijving van het recht op persoonlijk contact van het kind op mensenrechtelijk niveau. Voor een verdere uiteenzetting en vergelijking met de Belgische regelgeving is het namelijk van belang dat de hoogste normen </w:t>
      </w:r>
      <w:r w:rsidR="00C1366D" w:rsidRPr="00A33930">
        <w:rPr>
          <w:rFonts w:eastAsia="Verdana" w:cs="Verdana"/>
          <w:szCs w:val="18"/>
          <w:lang w:val="nl-NL"/>
        </w:rPr>
        <w:t>en hun rechtspraak word</w:t>
      </w:r>
      <w:r w:rsidR="00B66F0B" w:rsidRPr="00A33930">
        <w:rPr>
          <w:rFonts w:eastAsia="Verdana" w:cs="Verdana"/>
          <w:szCs w:val="18"/>
          <w:lang w:val="nl-NL"/>
        </w:rPr>
        <w:t>en</w:t>
      </w:r>
      <w:r w:rsidR="00885B47" w:rsidRPr="00A33930">
        <w:rPr>
          <w:rFonts w:eastAsia="Verdana" w:cs="Verdana"/>
          <w:szCs w:val="18"/>
          <w:lang w:val="nl-NL"/>
        </w:rPr>
        <w:t xml:space="preserve"> geanalyseerd. Hierbij wordt de filosofie achter </w:t>
      </w:r>
      <w:r w:rsidR="00B66F0B" w:rsidRPr="00A33930">
        <w:rPr>
          <w:rFonts w:eastAsia="Verdana" w:cs="Verdana"/>
          <w:szCs w:val="18"/>
          <w:lang w:val="nl-NL"/>
        </w:rPr>
        <w:t xml:space="preserve">en de totstandkoming van wetgeving betreffende </w:t>
      </w:r>
      <w:r w:rsidR="00885B47" w:rsidRPr="00A33930">
        <w:rPr>
          <w:rFonts w:eastAsia="Verdana" w:cs="Verdana"/>
          <w:szCs w:val="18"/>
          <w:lang w:val="nl-NL"/>
        </w:rPr>
        <w:t xml:space="preserve">de positie van het kind op mensenrechtelijk niveau, het belang van het kind en de afdwingbaarheid van deze normen </w:t>
      </w:r>
      <w:r w:rsidR="00B363C4" w:rsidRPr="00A33930">
        <w:rPr>
          <w:rFonts w:eastAsia="Verdana" w:cs="Verdana"/>
          <w:szCs w:val="18"/>
          <w:lang w:val="nl-NL"/>
        </w:rPr>
        <w:t>verder</w:t>
      </w:r>
      <w:r w:rsidR="00885B47" w:rsidRPr="00A33930">
        <w:rPr>
          <w:rFonts w:eastAsia="Verdana" w:cs="Verdana"/>
          <w:szCs w:val="18"/>
          <w:lang w:val="nl-NL"/>
        </w:rPr>
        <w:t xml:space="preserve"> onderzocht.</w:t>
      </w:r>
    </w:p>
    <w:p w14:paraId="13BD8086" w14:textId="77777777" w:rsidR="003C2C35" w:rsidRPr="00A33930" w:rsidRDefault="003C2C35" w:rsidP="003C2C35">
      <w:pPr>
        <w:pStyle w:val="Lijstalinea"/>
        <w:spacing w:before="200" w:after="0"/>
        <w:ind w:left="0"/>
        <w:jc w:val="both"/>
        <w:rPr>
          <w:rFonts w:eastAsia="Verdana" w:cs="Verdana"/>
          <w:b/>
          <w:bCs/>
          <w:szCs w:val="18"/>
          <w:lang w:val="nl-NL"/>
        </w:rPr>
      </w:pPr>
    </w:p>
    <w:p w14:paraId="3D7E7E90" w14:textId="5A290FBE" w:rsidR="003C2C35" w:rsidRPr="00A33930" w:rsidRDefault="004847ED" w:rsidP="003C2C35">
      <w:pPr>
        <w:pStyle w:val="Lijstalinea"/>
        <w:numPr>
          <w:ilvl w:val="0"/>
          <w:numId w:val="4"/>
        </w:numPr>
        <w:spacing w:before="200" w:after="0"/>
        <w:ind w:left="0" w:firstLine="0"/>
        <w:jc w:val="both"/>
        <w:rPr>
          <w:rFonts w:eastAsia="Verdana" w:cs="Verdana"/>
          <w:b/>
          <w:bCs/>
          <w:szCs w:val="18"/>
          <w:lang w:val="nl-NL"/>
        </w:rPr>
      </w:pPr>
      <w:r w:rsidRPr="00A33930">
        <w:rPr>
          <w:rFonts w:eastAsia="Verdana" w:cs="Verdana"/>
          <w:szCs w:val="18"/>
          <w:lang w:val="nl-NL"/>
        </w:rPr>
        <w:t>Daaropvolgend wordt in een tweede deel</w:t>
      </w:r>
      <w:r w:rsidR="00885B47" w:rsidRPr="00A33930">
        <w:rPr>
          <w:rFonts w:eastAsia="Verdana" w:cs="Verdana"/>
          <w:szCs w:val="18"/>
          <w:lang w:val="nl-NL"/>
        </w:rPr>
        <w:t xml:space="preserve"> het </w:t>
      </w:r>
      <w:r w:rsidR="00C1366D" w:rsidRPr="00A33930">
        <w:rPr>
          <w:rFonts w:eastAsia="Verdana" w:cs="Verdana"/>
          <w:szCs w:val="18"/>
          <w:lang w:val="nl-NL"/>
        </w:rPr>
        <w:t xml:space="preserve">Belgisch kader besproken. Hierbij wordt bijzondere aandacht gegeven aan het </w:t>
      </w:r>
      <w:r w:rsidR="00E57778" w:rsidRPr="00A33930">
        <w:rPr>
          <w:rFonts w:eastAsia="Verdana" w:cs="Verdana"/>
          <w:szCs w:val="18"/>
          <w:lang w:val="nl-NL"/>
        </w:rPr>
        <w:t>kindperspectief</w:t>
      </w:r>
      <w:r w:rsidR="00C1366D" w:rsidRPr="00A33930">
        <w:rPr>
          <w:rFonts w:eastAsia="Verdana" w:cs="Verdana"/>
          <w:szCs w:val="18"/>
          <w:lang w:val="nl-NL"/>
        </w:rPr>
        <w:t xml:space="preserve">, het belang van het kind en de huidige discussie omtrent het </w:t>
      </w:r>
      <w:r w:rsidR="00E57778" w:rsidRPr="00A33930">
        <w:rPr>
          <w:rFonts w:eastAsia="Verdana" w:cs="Verdana"/>
          <w:szCs w:val="18"/>
          <w:lang w:val="nl-NL"/>
        </w:rPr>
        <w:t xml:space="preserve">kindperspectief </w:t>
      </w:r>
      <w:r w:rsidR="00C1366D" w:rsidRPr="00A33930">
        <w:rPr>
          <w:rFonts w:eastAsia="Verdana" w:cs="Verdana"/>
          <w:szCs w:val="18"/>
          <w:lang w:val="nl-NL"/>
        </w:rPr>
        <w:t xml:space="preserve">in België. </w:t>
      </w:r>
      <w:r w:rsidRPr="00A33930">
        <w:rPr>
          <w:rFonts w:eastAsia="Verdana" w:cs="Verdana"/>
          <w:szCs w:val="18"/>
          <w:lang w:val="nl-NL"/>
        </w:rPr>
        <w:t>Op dit vlak spelen p</w:t>
      </w:r>
      <w:r w:rsidR="00C1366D" w:rsidRPr="00A33930">
        <w:rPr>
          <w:rFonts w:eastAsia="Verdana" w:cs="Verdana"/>
          <w:szCs w:val="18"/>
          <w:lang w:val="nl-NL"/>
        </w:rPr>
        <w:t xml:space="preserve">arlementaire stukken een belangrijke rol omdat zo wordt onderzocht of de wetgever al enige actie heeft ondernomen en welke mogelijkheden </w:t>
      </w:r>
      <w:r w:rsidR="00F91A64" w:rsidRPr="00A33930">
        <w:rPr>
          <w:rFonts w:eastAsia="Verdana" w:cs="Verdana"/>
          <w:szCs w:val="18"/>
          <w:lang w:val="nl-NL"/>
        </w:rPr>
        <w:t>bestaan</w:t>
      </w:r>
      <w:r w:rsidR="00C1366D" w:rsidRPr="00A33930">
        <w:rPr>
          <w:rFonts w:eastAsia="Verdana" w:cs="Verdana"/>
          <w:szCs w:val="18"/>
          <w:lang w:val="nl-NL"/>
        </w:rPr>
        <w:t xml:space="preserve"> om de regelgeving aan te passen. Tevens wordt aandacht besteed aan</w:t>
      </w:r>
      <w:r w:rsidR="00B41BD9" w:rsidRPr="00A33930">
        <w:rPr>
          <w:rFonts w:eastAsia="Verdana" w:cs="Verdana"/>
          <w:szCs w:val="18"/>
          <w:lang w:val="nl-NL"/>
        </w:rPr>
        <w:t xml:space="preserve"> de visie van de wetgever over</w:t>
      </w:r>
      <w:r w:rsidR="00C1366D" w:rsidRPr="00A33930">
        <w:rPr>
          <w:rFonts w:eastAsia="Verdana" w:cs="Verdana"/>
          <w:szCs w:val="18"/>
          <w:lang w:val="nl-NL"/>
        </w:rPr>
        <w:t xml:space="preserve"> het </w:t>
      </w:r>
      <w:r w:rsidR="00B41BD9" w:rsidRPr="00A33930">
        <w:rPr>
          <w:rFonts w:eastAsia="Verdana" w:cs="Verdana"/>
          <w:szCs w:val="18"/>
          <w:lang w:val="nl-NL"/>
        </w:rPr>
        <w:t xml:space="preserve">veranderde en </w:t>
      </w:r>
      <w:r w:rsidR="00C1366D" w:rsidRPr="00A33930">
        <w:rPr>
          <w:rFonts w:eastAsia="Verdana" w:cs="Verdana"/>
          <w:szCs w:val="18"/>
          <w:lang w:val="nl-NL"/>
        </w:rPr>
        <w:t>huidige kindperspectief en het huidig academisch debat.</w:t>
      </w:r>
    </w:p>
    <w:p w14:paraId="52494B34" w14:textId="77777777" w:rsidR="003C2C35" w:rsidRPr="00A33930" w:rsidRDefault="003C2C35" w:rsidP="003C2C35">
      <w:pPr>
        <w:pStyle w:val="Lijstalinea"/>
        <w:spacing w:before="200" w:after="0"/>
        <w:ind w:left="0"/>
        <w:jc w:val="both"/>
        <w:rPr>
          <w:rFonts w:eastAsia="Verdana" w:cs="Verdana"/>
          <w:b/>
          <w:bCs/>
          <w:szCs w:val="18"/>
          <w:lang w:val="nl-NL"/>
        </w:rPr>
      </w:pPr>
    </w:p>
    <w:p w14:paraId="28A71201" w14:textId="62C74F5D" w:rsidR="003C2C35" w:rsidRPr="00A33930" w:rsidRDefault="004847ED" w:rsidP="003C2C35">
      <w:pPr>
        <w:pStyle w:val="Lijstalinea"/>
        <w:numPr>
          <w:ilvl w:val="0"/>
          <w:numId w:val="4"/>
        </w:numPr>
        <w:spacing w:before="200" w:after="0"/>
        <w:ind w:left="0" w:firstLine="0"/>
        <w:jc w:val="both"/>
        <w:rPr>
          <w:rFonts w:eastAsia="Verdana" w:cs="Verdana"/>
          <w:b/>
          <w:bCs/>
          <w:szCs w:val="18"/>
          <w:lang w:val="nl-NL"/>
        </w:rPr>
      </w:pPr>
      <w:r w:rsidRPr="00A33930">
        <w:rPr>
          <w:rFonts w:eastAsia="Verdana" w:cs="Verdana"/>
          <w:szCs w:val="18"/>
          <w:lang w:val="nl-NL"/>
        </w:rPr>
        <w:t>Het derde deel</w:t>
      </w:r>
      <w:r w:rsidR="00C1366D" w:rsidRPr="00A33930">
        <w:rPr>
          <w:rFonts w:eastAsia="Verdana" w:cs="Verdana"/>
          <w:szCs w:val="18"/>
          <w:lang w:val="nl-NL"/>
        </w:rPr>
        <w:t xml:space="preserve"> </w:t>
      </w:r>
      <w:r w:rsidRPr="00A33930">
        <w:rPr>
          <w:rFonts w:eastAsia="Verdana" w:cs="Verdana"/>
          <w:szCs w:val="18"/>
          <w:lang w:val="nl-NL"/>
        </w:rPr>
        <w:t>van dit onderzoek werpt</w:t>
      </w:r>
      <w:r w:rsidR="00C1366D" w:rsidRPr="00A33930">
        <w:rPr>
          <w:rFonts w:eastAsia="Verdana" w:cs="Verdana"/>
          <w:szCs w:val="18"/>
          <w:lang w:val="nl-NL"/>
        </w:rPr>
        <w:t xml:space="preserve"> een blik over de grenzen. </w:t>
      </w:r>
      <w:r w:rsidR="00146924" w:rsidRPr="00A33930">
        <w:rPr>
          <w:rFonts w:eastAsia="Verdana" w:cs="Verdana"/>
          <w:szCs w:val="18"/>
          <w:lang w:val="nl-NL"/>
        </w:rPr>
        <w:t xml:space="preserve">Het doel van de rechtsvergelijking met Nederland en Duitsland is om te analyseren hoe het recht op persoonlijk contact van het kind in deze rechtsstelsels wordt ingeschreven, afgedwongen en </w:t>
      </w:r>
      <w:r w:rsidR="00521592" w:rsidRPr="00A33930">
        <w:rPr>
          <w:rFonts w:eastAsia="Verdana" w:cs="Verdana"/>
          <w:szCs w:val="18"/>
          <w:lang w:val="nl-NL"/>
        </w:rPr>
        <w:t>werkt</w:t>
      </w:r>
      <w:r w:rsidR="00146924" w:rsidRPr="00A33930">
        <w:rPr>
          <w:rFonts w:eastAsia="Verdana" w:cs="Verdana"/>
          <w:szCs w:val="18"/>
          <w:lang w:val="nl-NL"/>
        </w:rPr>
        <w:t xml:space="preserve"> in de praktijk. Dit </w:t>
      </w:r>
      <w:r w:rsidR="00F91A64" w:rsidRPr="00A33930">
        <w:rPr>
          <w:rFonts w:eastAsia="Verdana" w:cs="Verdana"/>
          <w:szCs w:val="18"/>
          <w:lang w:val="nl-NL"/>
        </w:rPr>
        <w:t xml:space="preserve">vormt </w:t>
      </w:r>
      <w:r w:rsidR="00A40BA9" w:rsidRPr="00A33930">
        <w:rPr>
          <w:rFonts w:eastAsia="Verdana" w:cs="Verdana"/>
          <w:szCs w:val="18"/>
          <w:lang w:val="nl-NL"/>
        </w:rPr>
        <w:t>wellicht</w:t>
      </w:r>
      <w:r w:rsidR="00146924" w:rsidRPr="00A33930">
        <w:rPr>
          <w:rFonts w:eastAsia="Verdana" w:cs="Verdana"/>
          <w:szCs w:val="18"/>
          <w:lang w:val="nl-NL"/>
        </w:rPr>
        <w:t xml:space="preserve"> een inspiratiebron </w:t>
      </w:r>
      <w:r w:rsidR="00521592" w:rsidRPr="00A33930">
        <w:rPr>
          <w:rFonts w:eastAsia="Verdana" w:cs="Verdana"/>
          <w:szCs w:val="18"/>
          <w:lang w:val="nl-NL"/>
        </w:rPr>
        <w:t>ter</w:t>
      </w:r>
      <w:r w:rsidR="00146924" w:rsidRPr="00A33930">
        <w:rPr>
          <w:rFonts w:eastAsia="Verdana" w:cs="Verdana"/>
          <w:szCs w:val="18"/>
          <w:lang w:val="nl-NL"/>
        </w:rPr>
        <w:t xml:space="preserve"> </w:t>
      </w:r>
      <w:r w:rsidR="00410F6D" w:rsidRPr="00A33930">
        <w:rPr>
          <w:rFonts w:eastAsia="Verdana" w:cs="Verdana"/>
          <w:szCs w:val="18"/>
          <w:lang w:val="nl-NL"/>
        </w:rPr>
        <w:t xml:space="preserve">actualisering </w:t>
      </w:r>
      <w:r w:rsidR="00146924" w:rsidRPr="00A33930">
        <w:rPr>
          <w:rFonts w:eastAsia="Verdana" w:cs="Verdana"/>
          <w:szCs w:val="18"/>
          <w:lang w:val="nl-NL"/>
        </w:rPr>
        <w:t>van de Belgische regelgeving</w:t>
      </w:r>
      <w:r w:rsidRPr="00A33930">
        <w:rPr>
          <w:rFonts w:eastAsia="Verdana" w:cs="Verdana"/>
          <w:szCs w:val="18"/>
          <w:lang w:val="nl-NL"/>
        </w:rPr>
        <w:t>.</w:t>
      </w:r>
    </w:p>
    <w:p w14:paraId="05F8A6C9" w14:textId="77777777" w:rsidR="003C2C35" w:rsidRPr="00A33930" w:rsidRDefault="003C2C35" w:rsidP="003C2C35">
      <w:pPr>
        <w:pStyle w:val="Lijstalinea"/>
        <w:spacing w:before="200" w:after="0"/>
        <w:ind w:left="0"/>
        <w:jc w:val="both"/>
        <w:rPr>
          <w:rFonts w:eastAsia="Verdana" w:cs="Verdana"/>
          <w:b/>
          <w:bCs/>
          <w:szCs w:val="18"/>
          <w:lang w:val="nl-NL"/>
        </w:rPr>
      </w:pPr>
    </w:p>
    <w:p w14:paraId="34994883" w14:textId="5B1EA79E" w:rsidR="00885B47" w:rsidRPr="00A33930" w:rsidRDefault="004847ED" w:rsidP="003C2C35">
      <w:pPr>
        <w:pStyle w:val="Lijstalinea"/>
        <w:numPr>
          <w:ilvl w:val="0"/>
          <w:numId w:val="4"/>
        </w:numPr>
        <w:spacing w:before="200" w:after="0"/>
        <w:ind w:left="0" w:firstLine="0"/>
        <w:jc w:val="both"/>
        <w:rPr>
          <w:rFonts w:eastAsia="Verdana" w:cs="Verdana"/>
          <w:b/>
          <w:bCs/>
          <w:szCs w:val="18"/>
          <w:lang w:val="nl-NL"/>
        </w:rPr>
      </w:pPr>
      <w:r w:rsidRPr="00A33930">
        <w:rPr>
          <w:rFonts w:eastAsia="Verdana" w:cs="Verdana"/>
          <w:szCs w:val="18"/>
          <w:lang w:val="nl-NL"/>
        </w:rPr>
        <w:t xml:space="preserve">Tot slot besteedt het vierde </w:t>
      </w:r>
      <w:r w:rsidR="00C24E39" w:rsidRPr="00A33930">
        <w:rPr>
          <w:rFonts w:eastAsia="Verdana" w:cs="Verdana"/>
          <w:szCs w:val="18"/>
          <w:lang w:val="nl-NL"/>
        </w:rPr>
        <w:t xml:space="preserve">en laatste </w:t>
      </w:r>
      <w:r w:rsidRPr="00A33930">
        <w:rPr>
          <w:rFonts w:eastAsia="Verdana" w:cs="Verdana"/>
          <w:szCs w:val="18"/>
          <w:lang w:val="nl-NL"/>
        </w:rPr>
        <w:t xml:space="preserve">deel aandacht aan de manier waarop het Belgische recht gevolg kan geven aan </w:t>
      </w:r>
      <w:r w:rsidR="00F91A64" w:rsidRPr="00A33930">
        <w:rPr>
          <w:rFonts w:eastAsia="Verdana" w:cs="Verdana"/>
          <w:szCs w:val="18"/>
          <w:lang w:val="nl-NL"/>
        </w:rPr>
        <w:t>de</w:t>
      </w:r>
      <w:r w:rsidRPr="00A33930">
        <w:rPr>
          <w:rFonts w:eastAsia="Verdana" w:cs="Verdana"/>
          <w:szCs w:val="18"/>
          <w:lang w:val="nl-NL"/>
        </w:rPr>
        <w:t xml:space="preserve"> mensenrechtelijke verplichtingen. </w:t>
      </w:r>
      <w:r w:rsidR="004832A9" w:rsidRPr="00A33930">
        <w:rPr>
          <w:rFonts w:eastAsia="Verdana" w:cs="Verdana"/>
          <w:szCs w:val="18"/>
          <w:lang w:val="nl-NL"/>
        </w:rPr>
        <w:t>Hiervoor</w:t>
      </w:r>
      <w:r w:rsidRPr="00A33930">
        <w:rPr>
          <w:rFonts w:eastAsia="Verdana" w:cs="Verdana"/>
          <w:szCs w:val="18"/>
          <w:lang w:val="nl-NL"/>
        </w:rPr>
        <w:t xml:space="preserve"> wordt gekeken naar de aanpak </w:t>
      </w:r>
      <w:r w:rsidR="00AE3DED" w:rsidRPr="00A33930">
        <w:rPr>
          <w:rFonts w:eastAsia="Verdana" w:cs="Verdana"/>
          <w:szCs w:val="18"/>
          <w:lang w:val="nl-NL"/>
        </w:rPr>
        <w:t>in</w:t>
      </w:r>
      <w:r w:rsidRPr="00A33930">
        <w:rPr>
          <w:rFonts w:eastAsia="Verdana" w:cs="Verdana"/>
          <w:szCs w:val="18"/>
          <w:lang w:val="nl-NL"/>
        </w:rPr>
        <w:t xml:space="preserve"> de bestudeerde rechtsstelsels. </w:t>
      </w:r>
      <w:r w:rsidR="000A6D71" w:rsidRPr="00A33930">
        <w:rPr>
          <w:rFonts w:eastAsia="Verdana" w:cs="Verdana"/>
          <w:szCs w:val="18"/>
          <w:lang w:val="nl-NL"/>
        </w:rPr>
        <w:t>Indien</w:t>
      </w:r>
      <w:r w:rsidR="000800FD" w:rsidRPr="00A33930">
        <w:rPr>
          <w:rFonts w:eastAsia="Verdana" w:cs="Verdana"/>
          <w:szCs w:val="18"/>
          <w:lang w:val="nl-NL"/>
        </w:rPr>
        <w:t xml:space="preserve"> uit de voorgaande delen blijkt dat het Belgische recht </w:t>
      </w:r>
      <w:r w:rsidR="00C106C3" w:rsidRPr="00A33930">
        <w:rPr>
          <w:rFonts w:eastAsia="Verdana" w:cs="Verdana"/>
          <w:szCs w:val="18"/>
          <w:lang w:val="nl-NL"/>
        </w:rPr>
        <w:t>betreffende</w:t>
      </w:r>
      <w:r w:rsidR="002F6600" w:rsidRPr="00A33930">
        <w:rPr>
          <w:rFonts w:eastAsia="Verdana" w:cs="Verdana"/>
          <w:szCs w:val="18"/>
          <w:lang w:val="nl-NL"/>
        </w:rPr>
        <w:t xml:space="preserve"> </w:t>
      </w:r>
      <w:r w:rsidR="00C24E39" w:rsidRPr="00A33930">
        <w:rPr>
          <w:rFonts w:eastAsia="Verdana" w:cs="Verdana"/>
          <w:szCs w:val="18"/>
          <w:lang w:val="nl-NL"/>
        </w:rPr>
        <w:t xml:space="preserve">het </w:t>
      </w:r>
      <w:r w:rsidR="002F6600" w:rsidRPr="00A33930">
        <w:rPr>
          <w:rFonts w:eastAsia="Verdana" w:cs="Verdana"/>
          <w:szCs w:val="18"/>
          <w:lang w:val="nl-NL"/>
        </w:rPr>
        <w:t xml:space="preserve">persoonlijk contact van het kind </w:t>
      </w:r>
      <w:r w:rsidR="000800FD" w:rsidRPr="00A33930">
        <w:rPr>
          <w:rFonts w:eastAsia="Verdana" w:cs="Verdana"/>
          <w:szCs w:val="18"/>
          <w:lang w:val="nl-NL"/>
        </w:rPr>
        <w:t xml:space="preserve">niet in overeenstemming is met </w:t>
      </w:r>
      <w:r w:rsidR="00410F6D" w:rsidRPr="00A33930">
        <w:rPr>
          <w:rFonts w:eastAsia="Verdana" w:cs="Verdana"/>
          <w:szCs w:val="18"/>
          <w:lang w:val="nl-NL"/>
        </w:rPr>
        <w:t>de</w:t>
      </w:r>
      <w:r w:rsidR="000800FD" w:rsidRPr="00A33930">
        <w:rPr>
          <w:rFonts w:eastAsia="Verdana" w:cs="Verdana"/>
          <w:szCs w:val="18"/>
          <w:lang w:val="nl-NL"/>
        </w:rPr>
        <w:t xml:space="preserve"> mensenrechtelij</w:t>
      </w:r>
      <w:r w:rsidR="00410F6D" w:rsidRPr="00A33930">
        <w:rPr>
          <w:rFonts w:eastAsia="Verdana" w:cs="Verdana"/>
          <w:szCs w:val="18"/>
          <w:lang w:val="nl-NL"/>
        </w:rPr>
        <w:t>ke verplichtingen</w:t>
      </w:r>
      <w:r w:rsidR="000800FD" w:rsidRPr="00A33930">
        <w:rPr>
          <w:rFonts w:eastAsia="Verdana" w:cs="Verdana"/>
          <w:szCs w:val="18"/>
          <w:lang w:val="nl-NL"/>
        </w:rPr>
        <w:t xml:space="preserve">, wordt onderzocht hoe een eventuele aanpassing er zou uitzien. </w:t>
      </w:r>
      <w:r w:rsidRPr="00A33930">
        <w:rPr>
          <w:rFonts w:eastAsia="Verdana" w:cs="Verdana"/>
          <w:szCs w:val="18"/>
          <w:lang w:val="nl-NL"/>
        </w:rPr>
        <w:t xml:space="preserve">Dit deel formuleert </w:t>
      </w:r>
      <w:r w:rsidR="009E49CE" w:rsidRPr="00A33930">
        <w:rPr>
          <w:rFonts w:eastAsia="Verdana" w:cs="Verdana"/>
          <w:szCs w:val="18"/>
          <w:lang w:val="nl-NL"/>
        </w:rPr>
        <w:t>naast een algemene conclusie</w:t>
      </w:r>
      <w:r w:rsidR="00C106C3" w:rsidRPr="00A33930">
        <w:rPr>
          <w:rFonts w:eastAsia="Verdana" w:cs="Verdana"/>
          <w:szCs w:val="18"/>
          <w:lang w:val="nl-NL"/>
        </w:rPr>
        <w:t xml:space="preserve"> ook </w:t>
      </w:r>
      <w:r w:rsidRPr="00A33930">
        <w:rPr>
          <w:rFonts w:eastAsia="Verdana" w:cs="Verdana"/>
          <w:szCs w:val="18"/>
          <w:lang w:val="nl-NL"/>
        </w:rPr>
        <w:t>voorstellen om tot een coherente</w:t>
      </w:r>
      <w:r w:rsidR="00C24E39" w:rsidRPr="00A33930">
        <w:rPr>
          <w:rFonts w:eastAsia="Verdana" w:cs="Verdana"/>
          <w:szCs w:val="18"/>
          <w:lang w:val="nl-NL"/>
        </w:rPr>
        <w:t xml:space="preserve"> </w:t>
      </w:r>
      <w:r w:rsidRPr="00A33930">
        <w:rPr>
          <w:rFonts w:eastAsia="Verdana" w:cs="Verdana"/>
          <w:szCs w:val="18"/>
          <w:lang w:val="nl-NL"/>
        </w:rPr>
        <w:t xml:space="preserve">regeling te komen </w:t>
      </w:r>
      <w:r w:rsidR="009E49CE" w:rsidRPr="00A33930">
        <w:rPr>
          <w:rFonts w:eastAsia="Verdana" w:cs="Verdana"/>
          <w:szCs w:val="18"/>
          <w:lang w:val="nl-NL"/>
        </w:rPr>
        <w:t>voor</w:t>
      </w:r>
      <w:r w:rsidRPr="00A33930">
        <w:rPr>
          <w:rFonts w:eastAsia="Verdana" w:cs="Verdana"/>
          <w:szCs w:val="18"/>
          <w:lang w:val="nl-NL"/>
        </w:rPr>
        <w:t xml:space="preserve"> </w:t>
      </w:r>
      <w:r w:rsidR="00C24E39" w:rsidRPr="00A33930">
        <w:rPr>
          <w:rFonts w:eastAsia="Verdana" w:cs="Verdana"/>
          <w:szCs w:val="18"/>
          <w:lang w:val="nl-NL"/>
        </w:rPr>
        <w:t>een</w:t>
      </w:r>
      <w:r w:rsidRPr="00A33930">
        <w:rPr>
          <w:rFonts w:eastAsia="Verdana" w:cs="Verdana"/>
          <w:szCs w:val="18"/>
          <w:lang w:val="nl-NL"/>
        </w:rPr>
        <w:t xml:space="preserve"> recht op persoonlijk contact</w:t>
      </w:r>
      <w:r w:rsidR="009E49CE" w:rsidRPr="00A33930">
        <w:rPr>
          <w:rFonts w:eastAsia="Verdana" w:cs="Verdana"/>
          <w:szCs w:val="18"/>
          <w:lang w:val="nl-NL"/>
        </w:rPr>
        <w:t xml:space="preserve"> uitgaande </w:t>
      </w:r>
      <w:r w:rsidRPr="00A33930">
        <w:rPr>
          <w:rFonts w:eastAsia="Verdana" w:cs="Verdana"/>
          <w:szCs w:val="18"/>
          <w:lang w:val="nl-NL"/>
        </w:rPr>
        <w:t>van het kind.</w:t>
      </w:r>
    </w:p>
    <w:p w14:paraId="6DEC077A" w14:textId="77777777" w:rsidR="008329A0" w:rsidRPr="00A33930" w:rsidRDefault="008848F2">
      <w:pPr>
        <w:spacing w:after="160" w:line="259" w:lineRule="auto"/>
        <w:rPr>
          <w:rFonts w:eastAsiaTheme="majorEastAsia" w:cstheme="majorBidi"/>
          <w:b/>
          <w:szCs w:val="32"/>
          <w:lang w:val="nl-NL" w:eastAsia="en-US"/>
        </w:rPr>
      </w:pPr>
      <w:r w:rsidRPr="00A33930">
        <w:rPr>
          <w:lang w:val="nl-NL"/>
        </w:rPr>
        <w:br w:type="page"/>
      </w:r>
      <w:r w:rsidR="008329A0" w:rsidRPr="00A33930">
        <w:rPr>
          <w:lang w:val="nl-NL"/>
        </w:rPr>
        <w:lastRenderedPageBreak/>
        <w:br w:type="page"/>
      </w:r>
    </w:p>
    <w:p w14:paraId="7CDA6852" w14:textId="244E6100" w:rsidR="005526C9" w:rsidRPr="00A33930" w:rsidRDefault="004D631D" w:rsidP="005526C9">
      <w:pPr>
        <w:pStyle w:val="Kop1"/>
        <w:jc w:val="both"/>
        <w:rPr>
          <w:sz w:val="22"/>
          <w:szCs w:val="22"/>
          <w:lang w:val="nl-NL"/>
        </w:rPr>
      </w:pPr>
      <w:bookmarkStart w:id="12" w:name="_Toc134621171"/>
      <w:r w:rsidRPr="00A33930">
        <w:rPr>
          <w:sz w:val="22"/>
          <w:szCs w:val="22"/>
          <w:lang w:val="nl-NL"/>
        </w:rPr>
        <w:lastRenderedPageBreak/>
        <w:t>DEEL</w:t>
      </w:r>
      <w:r w:rsidR="006F2022" w:rsidRPr="00A33930">
        <w:rPr>
          <w:sz w:val="22"/>
          <w:szCs w:val="22"/>
          <w:lang w:val="nl-NL"/>
        </w:rPr>
        <w:t xml:space="preserve"> </w:t>
      </w:r>
      <w:r w:rsidR="003E115F" w:rsidRPr="00A33930">
        <w:rPr>
          <w:sz w:val="22"/>
          <w:szCs w:val="22"/>
          <w:lang w:val="nl-NL"/>
        </w:rPr>
        <w:t>I.</w:t>
      </w:r>
      <w:r w:rsidR="008079DF" w:rsidRPr="00A33930">
        <w:rPr>
          <w:sz w:val="22"/>
          <w:szCs w:val="22"/>
          <w:lang w:val="nl-NL"/>
        </w:rPr>
        <w:tab/>
      </w:r>
      <w:r w:rsidRPr="00A33930">
        <w:rPr>
          <w:sz w:val="22"/>
          <w:szCs w:val="22"/>
          <w:lang w:val="nl-NL"/>
        </w:rPr>
        <w:t>HET RECHT OP PERSOONLIJK CONTACT VAN HET KIND IN HET INTERNATIONAAL EN EUROPEES RECHT</w:t>
      </w:r>
      <w:bookmarkEnd w:id="12"/>
    </w:p>
    <w:p w14:paraId="0E757DCA" w14:textId="55F8CC5C" w:rsidR="00766E5C" w:rsidRPr="00A33930" w:rsidRDefault="005526C9" w:rsidP="005526C9">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In dit eerste deel</w:t>
      </w:r>
      <w:r w:rsidR="00E81F94" w:rsidRPr="00A33930">
        <w:rPr>
          <w:rFonts w:eastAsia="Verdana" w:cs="Verdana"/>
          <w:szCs w:val="18"/>
          <w:lang w:val="nl-NL"/>
        </w:rPr>
        <w:t xml:space="preserve"> wordt</w:t>
      </w:r>
      <w:r w:rsidRPr="00A33930">
        <w:rPr>
          <w:rFonts w:eastAsia="Verdana" w:cs="Verdana"/>
          <w:szCs w:val="18"/>
          <w:lang w:val="nl-NL"/>
        </w:rPr>
        <w:t xml:space="preserve"> de subonderzoeksvraag</w:t>
      </w:r>
      <w:r w:rsidR="00E81F94" w:rsidRPr="00A33930">
        <w:rPr>
          <w:rFonts w:eastAsia="Verdana" w:cs="Verdana"/>
          <w:szCs w:val="18"/>
          <w:lang w:val="nl-NL"/>
        </w:rPr>
        <w:t xml:space="preserve"> beantwoord</w:t>
      </w:r>
      <w:r w:rsidRPr="00A33930">
        <w:rPr>
          <w:rFonts w:eastAsia="Verdana" w:cs="Verdana"/>
          <w:szCs w:val="18"/>
          <w:lang w:val="nl-NL"/>
        </w:rPr>
        <w:t xml:space="preserve"> of er op mensenrechtelijk vlak een recht op persoonlijk contact van het kind bestaat (</w:t>
      </w:r>
      <w:r w:rsidRPr="00A33930">
        <w:rPr>
          <w:rFonts w:eastAsia="Verdana" w:cs="Verdana"/>
          <w:i/>
          <w:iCs/>
          <w:szCs w:val="18"/>
          <w:lang w:val="nl-NL"/>
        </w:rPr>
        <w:t>supra</w:t>
      </w:r>
      <w:r w:rsidRPr="00A33930">
        <w:rPr>
          <w:rFonts w:eastAsia="Verdana" w:cs="Verdana"/>
          <w:szCs w:val="18"/>
          <w:lang w:val="nl-NL"/>
        </w:rPr>
        <w:t xml:space="preserve">, nr. </w:t>
      </w:r>
      <w:r w:rsidR="00095EB4" w:rsidRPr="00A33930">
        <w:rPr>
          <w:rFonts w:eastAsia="Verdana" w:cs="Verdana"/>
          <w:szCs w:val="18"/>
          <w:lang w:val="nl-NL"/>
        </w:rPr>
        <w:t>10</w:t>
      </w:r>
      <w:r w:rsidRPr="00A33930">
        <w:rPr>
          <w:rFonts w:eastAsia="Verdana" w:cs="Verdana"/>
          <w:szCs w:val="18"/>
          <w:lang w:val="nl-NL"/>
        </w:rPr>
        <w:t>).</w:t>
      </w:r>
      <w:r w:rsidR="00E81F94" w:rsidRPr="00A33930">
        <w:rPr>
          <w:rFonts w:eastAsia="Verdana" w:cs="Verdana"/>
          <w:szCs w:val="18"/>
          <w:lang w:val="nl-NL"/>
        </w:rPr>
        <w:t xml:space="preserve"> </w:t>
      </w:r>
      <w:r w:rsidR="005231A0" w:rsidRPr="00A33930">
        <w:rPr>
          <w:rFonts w:eastAsia="Verdana" w:cs="Verdana"/>
          <w:szCs w:val="18"/>
          <w:lang w:val="nl-NL"/>
        </w:rPr>
        <w:t xml:space="preserve">Teneinde de </w:t>
      </w:r>
      <w:r w:rsidR="00D76726" w:rsidRPr="00A33930">
        <w:rPr>
          <w:rFonts w:eastAsia="Verdana" w:cs="Verdana"/>
          <w:szCs w:val="18"/>
          <w:lang w:val="nl-NL"/>
        </w:rPr>
        <w:t>leidende beginselen</w:t>
      </w:r>
      <w:r w:rsidR="005231A0" w:rsidRPr="00A33930">
        <w:rPr>
          <w:rFonts w:eastAsia="Verdana" w:cs="Verdana"/>
          <w:szCs w:val="18"/>
          <w:lang w:val="nl-NL"/>
        </w:rPr>
        <w:t xml:space="preserve"> van het internationaal en Europees recht te bepalen, worden </w:t>
      </w:r>
      <w:r w:rsidR="00314344" w:rsidRPr="00A33930">
        <w:rPr>
          <w:rFonts w:eastAsia="Verdana" w:cs="Verdana"/>
          <w:szCs w:val="18"/>
          <w:lang w:val="nl-NL"/>
        </w:rPr>
        <w:t xml:space="preserve">enkele </w:t>
      </w:r>
      <w:r w:rsidR="005231A0" w:rsidRPr="00A33930">
        <w:rPr>
          <w:rFonts w:eastAsia="Verdana" w:cs="Verdana"/>
          <w:szCs w:val="18"/>
          <w:lang w:val="nl-NL"/>
        </w:rPr>
        <w:t xml:space="preserve">inleidende beschouwingen en de juridische doorwerking uiteengezet. </w:t>
      </w:r>
      <w:r w:rsidR="004906E1" w:rsidRPr="00A33930">
        <w:rPr>
          <w:rFonts w:eastAsia="Verdana" w:cs="Verdana"/>
          <w:szCs w:val="18"/>
          <w:lang w:val="nl-NL"/>
        </w:rPr>
        <w:t xml:space="preserve">Hierbij wordt de nadruk gelegd op </w:t>
      </w:r>
      <w:r w:rsidRPr="00A33930">
        <w:rPr>
          <w:rFonts w:eastAsia="Verdana" w:cs="Verdana"/>
          <w:szCs w:val="18"/>
          <w:lang w:val="nl-NL"/>
        </w:rPr>
        <w:t>het kindperspectief</w:t>
      </w:r>
      <w:r w:rsidR="004906E1" w:rsidRPr="00A33930">
        <w:rPr>
          <w:rFonts w:eastAsia="Verdana" w:cs="Verdana"/>
          <w:szCs w:val="18"/>
          <w:lang w:val="nl-NL"/>
        </w:rPr>
        <w:t xml:space="preserve"> op mensenrechtelijk niveau.</w:t>
      </w:r>
      <w:r w:rsidR="00D051AF" w:rsidRPr="00A33930">
        <w:rPr>
          <w:rFonts w:eastAsia="Verdana" w:cs="Verdana"/>
          <w:szCs w:val="18"/>
          <w:lang w:val="nl-NL"/>
        </w:rPr>
        <w:t xml:space="preserve"> </w:t>
      </w:r>
      <w:r w:rsidRPr="00A33930">
        <w:rPr>
          <w:rFonts w:eastAsia="Verdana" w:cs="Verdana"/>
          <w:szCs w:val="18"/>
          <w:lang w:val="nl-NL"/>
        </w:rPr>
        <w:t>Een grondige analyse van het Europese en internationale recht moet toelaten de beginselen weer te geven die aan de grondslag liggen van het Belgisch recht op persoonlijk contact van het kind.</w:t>
      </w:r>
      <w:r w:rsidR="003E0561" w:rsidRPr="00A33930">
        <w:rPr>
          <w:rFonts w:eastAsia="Verdana" w:cs="Verdana"/>
          <w:szCs w:val="18"/>
          <w:lang w:val="nl-NL"/>
        </w:rPr>
        <w:t xml:space="preserve"> Er wordt voor gekozen om de instrumenten uit te lichten die een fundamentele impact hebben op de Belgische rechtsorde door het gezag dat zij uitstralen.</w:t>
      </w:r>
      <w:r w:rsidR="00E7305E" w:rsidRPr="00A33930">
        <w:rPr>
          <w:rFonts w:eastAsia="Verdana" w:cs="Verdana"/>
          <w:szCs w:val="18"/>
          <w:lang w:val="nl-NL"/>
        </w:rPr>
        <w:t xml:space="preserve"> </w:t>
      </w:r>
      <w:r w:rsidRPr="00A33930">
        <w:rPr>
          <w:rFonts w:eastAsia="Verdana" w:cs="Verdana"/>
          <w:szCs w:val="18"/>
          <w:lang w:val="nl-NL"/>
        </w:rPr>
        <w:t xml:space="preserve">Enerzijds wordt in dit eerste deel aandacht geschonken aan </w:t>
      </w:r>
      <w:r w:rsidR="00095EB4" w:rsidRPr="00A33930">
        <w:rPr>
          <w:rFonts w:eastAsia="Verdana" w:cs="Verdana"/>
          <w:szCs w:val="18"/>
          <w:lang w:val="nl-NL"/>
        </w:rPr>
        <w:t>artikel 9</w:t>
      </w:r>
      <w:r w:rsidRPr="00A33930">
        <w:rPr>
          <w:rFonts w:eastAsia="Verdana" w:cs="Verdana"/>
          <w:szCs w:val="18"/>
          <w:lang w:val="nl-NL"/>
        </w:rPr>
        <w:t xml:space="preserve"> IVRK dat het </w:t>
      </w:r>
      <w:r w:rsidR="00310729" w:rsidRPr="00A33930">
        <w:rPr>
          <w:rFonts w:eastAsia="Verdana" w:cs="Verdana"/>
          <w:szCs w:val="18"/>
          <w:lang w:val="nl-NL"/>
        </w:rPr>
        <w:t>kind ziet als rechtssubject</w:t>
      </w:r>
      <w:r w:rsidR="00D76726" w:rsidRPr="00A33930">
        <w:rPr>
          <w:rFonts w:eastAsia="Verdana" w:cs="Verdana"/>
          <w:szCs w:val="18"/>
          <w:lang w:val="nl-NL"/>
        </w:rPr>
        <w:t>, a</w:t>
      </w:r>
      <w:r w:rsidRPr="00A33930">
        <w:rPr>
          <w:rFonts w:eastAsia="Verdana" w:cs="Verdana"/>
          <w:szCs w:val="18"/>
          <w:lang w:val="nl-NL"/>
        </w:rPr>
        <w:t xml:space="preserve">nderzijds wordt in dit </w:t>
      </w:r>
      <w:r w:rsidR="005231A0" w:rsidRPr="00A33930">
        <w:rPr>
          <w:rFonts w:eastAsia="Verdana" w:cs="Verdana"/>
          <w:szCs w:val="18"/>
          <w:lang w:val="nl-NL"/>
        </w:rPr>
        <w:t>deel</w:t>
      </w:r>
      <w:r w:rsidRPr="00A33930">
        <w:rPr>
          <w:rFonts w:eastAsia="Verdana" w:cs="Verdana"/>
          <w:szCs w:val="18"/>
          <w:lang w:val="nl-NL"/>
        </w:rPr>
        <w:t xml:space="preserve"> aandacht geschonken aan artikel 8 EVRM</w:t>
      </w:r>
      <w:r w:rsidR="00D76726" w:rsidRPr="00A33930">
        <w:rPr>
          <w:rFonts w:eastAsia="Verdana" w:cs="Verdana"/>
          <w:szCs w:val="18"/>
          <w:lang w:val="nl-NL"/>
        </w:rPr>
        <w:t xml:space="preserve"> </w:t>
      </w:r>
      <w:r w:rsidRPr="00A33930">
        <w:rPr>
          <w:rFonts w:eastAsia="Verdana" w:cs="Verdana"/>
          <w:szCs w:val="18"/>
          <w:lang w:val="nl-NL"/>
        </w:rPr>
        <w:t>gelet op het belang van de notie “family life” alsook de appreciatiemarge hieromtrent.</w:t>
      </w:r>
    </w:p>
    <w:p w14:paraId="65CF56C6" w14:textId="77777777" w:rsidR="00766E5C" w:rsidRPr="00A33930" w:rsidRDefault="00766E5C" w:rsidP="00766E5C">
      <w:pPr>
        <w:pStyle w:val="Lijstalinea"/>
        <w:spacing w:before="200" w:after="0"/>
        <w:ind w:left="0"/>
        <w:jc w:val="both"/>
        <w:rPr>
          <w:rFonts w:eastAsia="Verdana" w:cs="Verdana"/>
          <w:szCs w:val="18"/>
          <w:lang w:val="nl-NL"/>
        </w:rPr>
      </w:pPr>
    </w:p>
    <w:p w14:paraId="207F4206" w14:textId="7AEF2D3F" w:rsidR="005526C9" w:rsidRPr="00A33930" w:rsidRDefault="00C83636" w:rsidP="006D7007">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Het EVURK</w:t>
      </w:r>
      <w:r w:rsidR="00D65F4B" w:rsidRPr="00A33930">
        <w:rPr>
          <w:rStyle w:val="Voetnootmarkering"/>
          <w:rFonts w:eastAsia="Verdana" w:cs="Verdana"/>
          <w:szCs w:val="18"/>
          <w:lang w:val="nl-NL"/>
        </w:rPr>
        <w:footnoteReference w:id="29"/>
      </w:r>
      <w:r w:rsidR="00D65F4B" w:rsidRPr="00A33930">
        <w:rPr>
          <w:rFonts w:eastAsia="Verdana" w:cs="Verdana"/>
          <w:szCs w:val="18"/>
          <w:lang w:val="nl-NL"/>
        </w:rPr>
        <w:t xml:space="preserve">, </w:t>
      </w:r>
      <w:r w:rsidRPr="00A33930">
        <w:rPr>
          <w:rFonts w:eastAsia="Verdana" w:cs="Verdana"/>
          <w:szCs w:val="18"/>
          <w:lang w:val="nl-NL"/>
        </w:rPr>
        <w:t>het Europees Contactverdrag</w:t>
      </w:r>
      <w:r w:rsidR="00532598" w:rsidRPr="00A33930">
        <w:rPr>
          <w:rStyle w:val="Voetnootmarkering"/>
          <w:rFonts w:eastAsia="Verdana" w:cs="Verdana"/>
          <w:szCs w:val="18"/>
          <w:lang w:val="nl-NL"/>
        </w:rPr>
        <w:footnoteReference w:id="30"/>
      </w:r>
      <w:r w:rsidR="00D65F4B" w:rsidRPr="00A33930">
        <w:rPr>
          <w:rFonts w:eastAsia="Verdana" w:cs="Verdana"/>
          <w:szCs w:val="18"/>
          <w:lang w:val="nl-NL"/>
        </w:rPr>
        <w:t xml:space="preserve"> en het HvEU</w:t>
      </w:r>
      <w:r w:rsidR="00532598" w:rsidRPr="00A33930">
        <w:rPr>
          <w:rStyle w:val="Voetnootmarkering"/>
          <w:rFonts w:eastAsia="Verdana" w:cs="Verdana"/>
          <w:szCs w:val="18"/>
          <w:lang w:val="nl-NL"/>
        </w:rPr>
        <w:footnoteReference w:id="31"/>
      </w:r>
      <w:r w:rsidRPr="00A33930">
        <w:rPr>
          <w:rFonts w:eastAsia="Verdana" w:cs="Verdana"/>
          <w:szCs w:val="18"/>
          <w:lang w:val="nl-NL"/>
        </w:rPr>
        <w:t xml:space="preserve"> zijn mensenrechtelijke bronnen waar </w:t>
      </w:r>
      <w:r w:rsidR="001E42C3" w:rsidRPr="00A33930">
        <w:rPr>
          <w:rFonts w:eastAsia="Verdana" w:cs="Verdana"/>
          <w:szCs w:val="18"/>
          <w:lang w:val="nl-NL"/>
        </w:rPr>
        <w:t>bijkomend</w:t>
      </w:r>
      <w:r w:rsidRPr="00A33930">
        <w:rPr>
          <w:rFonts w:eastAsia="Verdana" w:cs="Verdana"/>
          <w:szCs w:val="18"/>
          <w:lang w:val="nl-NL"/>
        </w:rPr>
        <w:t xml:space="preserve"> belang aan moet worden gehecht. Vanwege </w:t>
      </w:r>
      <w:r w:rsidR="005526C9" w:rsidRPr="00A33930">
        <w:rPr>
          <w:rFonts w:eastAsia="Verdana" w:cs="Verdana"/>
          <w:szCs w:val="18"/>
          <w:lang w:val="nl-NL"/>
        </w:rPr>
        <w:t xml:space="preserve">het bindend karakter van </w:t>
      </w:r>
      <w:r w:rsidRPr="00A33930">
        <w:rPr>
          <w:rFonts w:eastAsia="Verdana" w:cs="Verdana"/>
          <w:szCs w:val="18"/>
          <w:lang w:val="nl-NL"/>
        </w:rPr>
        <w:t>het</w:t>
      </w:r>
      <w:r w:rsidR="005526C9" w:rsidRPr="00A33930">
        <w:rPr>
          <w:rFonts w:eastAsia="Verdana" w:cs="Verdana"/>
          <w:szCs w:val="18"/>
          <w:lang w:val="nl-NL"/>
        </w:rPr>
        <w:t xml:space="preserve"> </w:t>
      </w:r>
      <w:r w:rsidRPr="00A33930">
        <w:rPr>
          <w:rFonts w:eastAsia="Verdana" w:cs="Verdana"/>
          <w:szCs w:val="18"/>
          <w:lang w:val="nl-NL"/>
        </w:rPr>
        <w:t>IVRK en het EVRM</w:t>
      </w:r>
      <w:r w:rsidR="00B14CEF" w:rsidRPr="00A33930">
        <w:rPr>
          <w:rFonts w:eastAsia="Verdana" w:cs="Verdana"/>
          <w:szCs w:val="18"/>
          <w:lang w:val="nl-NL"/>
        </w:rPr>
        <w:t xml:space="preserve">, </w:t>
      </w:r>
      <w:r w:rsidRPr="00A33930">
        <w:rPr>
          <w:rFonts w:eastAsia="Verdana" w:cs="Verdana"/>
          <w:szCs w:val="18"/>
          <w:lang w:val="nl-NL"/>
        </w:rPr>
        <w:t>omdat deze</w:t>
      </w:r>
      <w:r w:rsidR="00532598" w:rsidRPr="00A33930">
        <w:rPr>
          <w:rFonts w:eastAsia="Verdana" w:cs="Verdana"/>
          <w:szCs w:val="18"/>
          <w:lang w:val="nl-NL"/>
        </w:rPr>
        <w:t xml:space="preserve"> bijkomende</w:t>
      </w:r>
      <w:r w:rsidRPr="00A33930">
        <w:rPr>
          <w:rFonts w:eastAsia="Verdana" w:cs="Verdana"/>
          <w:szCs w:val="18"/>
          <w:lang w:val="nl-NL"/>
        </w:rPr>
        <w:t xml:space="preserve"> </w:t>
      </w:r>
      <w:r w:rsidR="00856E95" w:rsidRPr="00A33930">
        <w:rPr>
          <w:rFonts w:eastAsia="Verdana" w:cs="Verdana"/>
          <w:szCs w:val="18"/>
          <w:lang w:val="nl-NL"/>
        </w:rPr>
        <w:t>instrumenten</w:t>
      </w:r>
      <w:r w:rsidRPr="00A33930">
        <w:rPr>
          <w:rFonts w:eastAsia="Verdana" w:cs="Verdana"/>
          <w:szCs w:val="18"/>
          <w:lang w:val="nl-NL"/>
        </w:rPr>
        <w:t xml:space="preserve"> voornamelijk een verfijning</w:t>
      </w:r>
      <w:r w:rsidR="00BB6B08" w:rsidRPr="00A33930">
        <w:rPr>
          <w:rFonts w:eastAsia="Verdana" w:cs="Verdana"/>
          <w:szCs w:val="18"/>
          <w:lang w:val="nl-NL"/>
        </w:rPr>
        <w:t xml:space="preserve"> en precisering</w:t>
      </w:r>
      <w:r w:rsidRPr="00A33930">
        <w:rPr>
          <w:rFonts w:eastAsia="Verdana" w:cs="Verdana"/>
          <w:szCs w:val="18"/>
          <w:lang w:val="nl-NL"/>
        </w:rPr>
        <w:t xml:space="preserve"> </w:t>
      </w:r>
      <w:r w:rsidR="00BB6B08" w:rsidRPr="00A33930">
        <w:rPr>
          <w:rFonts w:eastAsia="Verdana" w:cs="Verdana"/>
          <w:szCs w:val="18"/>
          <w:lang w:val="nl-NL"/>
        </w:rPr>
        <w:t>vormen</w:t>
      </w:r>
      <w:r w:rsidRPr="00A33930">
        <w:rPr>
          <w:rFonts w:eastAsia="Verdana" w:cs="Verdana"/>
          <w:szCs w:val="18"/>
          <w:lang w:val="nl-NL"/>
        </w:rPr>
        <w:t xml:space="preserve"> </w:t>
      </w:r>
      <w:r w:rsidR="00856E95" w:rsidRPr="00A33930">
        <w:rPr>
          <w:rFonts w:eastAsia="Verdana" w:cs="Verdana"/>
          <w:szCs w:val="18"/>
          <w:lang w:val="nl-NL"/>
        </w:rPr>
        <w:t>van het algemeen mensenrechtelijk kader</w:t>
      </w:r>
      <w:r w:rsidR="00B14CEF" w:rsidRPr="00A33930">
        <w:rPr>
          <w:rFonts w:eastAsia="Verdana" w:cs="Verdana"/>
          <w:szCs w:val="18"/>
          <w:lang w:val="nl-NL"/>
        </w:rPr>
        <w:t xml:space="preserve"> en gelet op het beperkt aantal woorden</w:t>
      </w:r>
      <w:r w:rsidR="005526C9" w:rsidRPr="00A33930">
        <w:rPr>
          <w:rFonts w:eastAsia="Verdana" w:cs="Verdana"/>
          <w:szCs w:val="18"/>
          <w:lang w:val="nl-NL"/>
        </w:rPr>
        <w:t xml:space="preserve"> </w:t>
      </w:r>
      <w:r w:rsidRPr="00A33930">
        <w:rPr>
          <w:rFonts w:eastAsia="Verdana" w:cs="Verdana"/>
          <w:szCs w:val="18"/>
          <w:lang w:val="nl-NL"/>
        </w:rPr>
        <w:t xml:space="preserve">wordt </w:t>
      </w:r>
      <w:r w:rsidR="003C7BD2" w:rsidRPr="00A33930">
        <w:rPr>
          <w:rFonts w:eastAsia="Verdana" w:cs="Verdana"/>
          <w:szCs w:val="18"/>
          <w:lang w:val="nl-NL"/>
        </w:rPr>
        <w:t xml:space="preserve">in deze masterscriptie hiervan </w:t>
      </w:r>
      <w:r w:rsidRPr="00A33930">
        <w:rPr>
          <w:rFonts w:eastAsia="Verdana" w:cs="Verdana"/>
          <w:szCs w:val="18"/>
          <w:lang w:val="nl-NL"/>
        </w:rPr>
        <w:t xml:space="preserve">geen </w:t>
      </w:r>
      <w:r w:rsidR="003C7BD2" w:rsidRPr="00A33930">
        <w:rPr>
          <w:rFonts w:eastAsia="Verdana" w:cs="Verdana"/>
          <w:szCs w:val="18"/>
          <w:lang w:val="nl-NL"/>
        </w:rPr>
        <w:t xml:space="preserve">gedetailleerde </w:t>
      </w:r>
      <w:r w:rsidRPr="00A33930">
        <w:rPr>
          <w:rFonts w:eastAsia="Verdana" w:cs="Verdana"/>
          <w:szCs w:val="18"/>
          <w:lang w:val="nl-NL"/>
        </w:rPr>
        <w:t>bespreking opgenomen</w:t>
      </w:r>
      <w:r w:rsidR="005526C9" w:rsidRPr="00A33930">
        <w:rPr>
          <w:rFonts w:eastAsia="Verdana" w:cs="Verdana"/>
          <w:szCs w:val="18"/>
          <w:lang w:val="nl-NL"/>
        </w:rPr>
        <w:t>.</w:t>
      </w:r>
      <w:r w:rsidRPr="00A33930">
        <w:rPr>
          <w:rFonts w:eastAsia="Verdana" w:cs="Verdana"/>
          <w:szCs w:val="18"/>
          <w:lang w:val="nl-NL"/>
        </w:rPr>
        <w:t xml:space="preserve"> Desalniettemin mag hun belang niet worden onderschat en zijn dit instrumenten die de rechtspositie van het kind </w:t>
      </w:r>
      <w:r w:rsidR="00D65F4B" w:rsidRPr="00A33930">
        <w:rPr>
          <w:rFonts w:eastAsia="Verdana" w:cs="Verdana"/>
          <w:szCs w:val="18"/>
          <w:lang w:val="nl-NL"/>
        </w:rPr>
        <w:t xml:space="preserve">niet alleen </w:t>
      </w:r>
      <w:r w:rsidR="00856E95" w:rsidRPr="00A33930">
        <w:rPr>
          <w:rFonts w:eastAsia="Verdana" w:cs="Verdana"/>
          <w:szCs w:val="18"/>
          <w:lang w:val="nl-NL"/>
        </w:rPr>
        <w:t>versterken</w:t>
      </w:r>
      <w:r w:rsidR="00D65F4B" w:rsidRPr="00A33930">
        <w:rPr>
          <w:rFonts w:eastAsia="Verdana" w:cs="Verdana"/>
          <w:szCs w:val="18"/>
          <w:lang w:val="nl-NL"/>
        </w:rPr>
        <w:t xml:space="preserve"> maar ook verder verduidelijken</w:t>
      </w:r>
      <w:r w:rsidR="00856E95" w:rsidRPr="00A33930">
        <w:rPr>
          <w:rFonts w:eastAsia="Verdana" w:cs="Verdana"/>
          <w:szCs w:val="18"/>
          <w:lang w:val="nl-NL"/>
        </w:rPr>
        <w:t xml:space="preserve">. </w:t>
      </w:r>
      <w:r w:rsidR="00532598" w:rsidRPr="00A33930">
        <w:rPr>
          <w:rFonts w:eastAsia="Verdana" w:cs="Verdana"/>
          <w:szCs w:val="18"/>
          <w:lang w:val="nl-NL"/>
        </w:rPr>
        <w:t xml:space="preserve">Het domino-effect van het IVRK wordt </w:t>
      </w:r>
      <w:r w:rsidR="003C7BD2" w:rsidRPr="00A33930">
        <w:rPr>
          <w:rFonts w:eastAsia="Verdana" w:cs="Verdana"/>
          <w:szCs w:val="18"/>
          <w:lang w:val="nl-NL"/>
        </w:rPr>
        <w:t xml:space="preserve">door deze Verdragen </w:t>
      </w:r>
      <w:r w:rsidR="00532598" w:rsidRPr="00A33930">
        <w:rPr>
          <w:rFonts w:eastAsia="Verdana" w:cs="Verdana"/>
          <w:szCs w:val="18"/>
          <w:lang w:val="nl-NL"/>
        </w:rPr>
        <w:t xml:space="preserve">steeds groter: het kind is niet langer </w:t>
      </w:r>
      <w:r w:rsidR="00D873C8" w:rsidRPr="00A33930">
        <w:rPr>
          <w:rFonts w:eastAsia="Verdana" w:cs="Verdana"/>
          <w:szCs w:val="18"/>
          <w:lang w:val="nl-NL"/>
        </w:rPr>
        <w:t>onzichtbaar</w:t>
      </w:r>
      <w:r w:rsidR="00532598" w:rsidRPr="00A33930">
        <w:rPr>
          <w:rFonts w:eastAsia="Verdana" w:cs="Verdana"/>
          <w:szCs w:val="18"/>
          <w:lang w:val="nl-NL"/>
        </w:rPr>
        <w:t xml:space="preserve"> in Europa.</w:t>
      </w:r>
      <w:r w:rsidR="00532598" w:rsidRPr="00A33930">
        <w:rPr>
          <w:rStyle w:val="Voetnootmarkering"/>
          <w:rFonts w:eastAsia="Verdana" w:cs="Verdana"/>
          <w:szCs w:val="18"/>
          <w:lang w:val="nl-NL"/>
        </w:rPr>
        <w:footnoteReference w:id="32"/>
      </w:r>
      <w:r w:rsidR="00532598" w:rsidRPr="00A33930">
        <w:rPr>
          <w:rFonts w:eastAsia="Verdana" w:cs="Verdana"/>
          <w:szCs w:val="18"/>
          <w:lang w:val="nl-NL"/>
        </w:rPr>
        <w:t xml:space="preserve"> </w:t>
      </w:r>
      <w:r w:rsidR="00856E95" w:rsidRPr="00A33930">
        <w:rPr>
          <w:rFonts w:eastAsia="Verdana" w:cs="Verdana"/>
          <w:szCs w:val="18"/>
          <w:lang w:val="nl-NL"/>
        </w:rPr>
        <w:t>Om deze reden</w:t>
      </w:r>
      <w:r w:rsidR="00532598" w:rsidRPr="00A33930">
        <w:rPr>
          <w:rFonts w:eastAsia="Verdana" w:cs="Verdana"/>
          <w:szCs w:val="18"/>
          <w:lang w:val="nl-NL"/>
        </w:rPr>
        <w:t>en</w:t>
      </w:r>
      <w:r w:rsidR="00856E95" w:rsidRPr="00A33930">
        <w:rPr>
          <w:rFonts w:eastAsia="Verdana" w:cs="Verdana"/>
          <w:szCs w:val="18"/>
          <w:lang w:val="nl-NL"/>
        </w:rPr>
        <w:t xml:space="preserve"> </w:t>
      </w:r>
      <w:r w:rsidR="00532598" w:rsidRPr="00A33930">
        <w:rPr>
          <w:rFonts w:eastAsia="Verdana" w:cs="Verdana"/>
          <w:szCs w:val="18"/>
          <w:lang w:val="nl-NL"/>
        </w:rPr>
        <w:t>wordt</w:t>
      </w:r>
      <w:r w:rsidR="00856E95" w:rsidRPr="00A33930">
        <w:rPr>
          <w:rFonts w:eastAsia="Verdana" w:cs="Verdana"/>
          <w:szCs w:val="18"/>
          <w:lang w:val="nl-NL"/>
        </w:rPr>
        <w:t xml:space="preserve"> een schets van deze </w:t>
      </w:r>
      <w:r w:rsidR="00D65F4B" w:rsidRPr="00A33930">
        <w:rPr>
          <w:rFonts w:eastAsia="Verdana" w:cs="Verdana"/>
          <w:szCs w:val="18"/>
          <w:lang w:val="nl-NL"/>
        </w:rPr>
        <w:t xml:space="preserve">Verdragen </w:t>
      </w:r>
      <w:r w:rsidR="00856E95" w:rsidRPr="00A33930">
        <w:rPr>
          <w:rFonts w:eastAsia="Verdana" w:cs="Verdana"/>
          <w:szCs w:val="18"/>
          <w:lang w:val="nl-NL"/>
        </w:rPr>
        <w:t xml:space="preserve">opgenomen in bijlage </w:t>
      </w:r>
      <w:r w:rsidR="006D7007" w:rsidRPr="00A33930">
        <w:rPr>
          <w:rFonts w:eastAsia="Verdana" w:cs="Verdana"/>
          <w:szCs w:val="18"/>
          <w:lang w:val="nl-NL"/>
        </w:rPr>
        <w:t>1</w:t>
      </w:r>
      <w:r w:rsidR="00856E95" w:rsidRPr="00A33930">
        <w:rPr>
          <w:rFonts w:eastAsia="Verdana" w:cs="Verdana"/>
          <w:szCs w:val="18"/>
          <w:lang w:val="nl-NL"/>
        </w:rPr>
        <w:t>.</w:t>
      </w:r>
    </w:p>
    <w:p w14:paraId="64DB6122" w14:textId="77777777" w:rsidR="005526C9" w:rsidRPr="00A33930" w:rsidRDefault="005526C9" w:rsidP="005526C9">
      <w:pPr>
        <w:pStyle w:val="Lijstalinea"/>
        <w:spacing w:before="200" w:after="0"/>
        <w:ind w:left="0"/>
        <w:jc w:val="both"/>
        <w:rPr>
          <w:rFonts w:eastAsia="Verdana" w:cs="Verdana"/>
          <w:szCs w:val="18"/>
          <w:lang w:val="nl-NL"/>
        </w:rPr>
      </w:pPr>
    </w:p>
    <w:p w14:paraId="3EB7C25D" w14:textId="77777777" w:rsidR="006A14DD" w:rsidRPr="00A33930" w:rsidRDefault="006A14DD">
      <w:pPr>
        <w:spacing w:after="160" w:line="259" w:lineRule="auto"/>
        <w:rPr>
          <w:rFonts w:eastAsiaTheme="majorEastAsia" w:cstheme="majorBidi"/>
          <w:b/>
          <w:sz w:val="20"/>
          <w:szCs w:val="28"/>
          <w:lang w:val="nl-NL" w:eastAsia="en-US"/>
        </w:rPr>
      </w:pPr>
      <w:r w:rsidRPr="00A33930">
        <w:rPr>
          <w:sz w:val="20"/>
          <w:szCs w:val="28"/>
          <w:lang w:val="nl-NL"/>
        </w:rPr>
        <w:br w:type="page"/>
      </w:r>
    </w:p>
    <w:p w14:paraId="60156B2B" w14:textId="77777777" w:rsidR="008329A0" w:rsidRPr="00A33930" w:rsidRDefault="008329A0">
      <w:pPr>
        <w:spacing w:after="160" w:line="259" w:lineRule="auto"/>
        <w:rPr>
          <w:rFonts w:eastAsiaTheme="majorEastAsia" w:cstheme="majorBidi"/>
          <w:b/>
          <w:sz w:val="20"/>
          <w:szCs w:val="28"/>
          <w:lang w:val="nl-NL" w:eastAsia="en-US"/>
        </w:rPr>
      </w:pPr>
      <w:r w:rsidRPr="00A33930">
        <w:rPr>
          <w:sz w:val="20"/>
          <w:szCs w:val="28"/>
          <w:lang w:val="nl-NL"/>
        </w:rPr>
        <w:lastRenderedPageBreak/>
        <w:br w:type="page"/>
      </w:r>
    </w:p>
    <w:p w14:paraId="50FACED6" w14:textId="12E7C24B" w:rsidR="003E115F" w:rsidRPr="00A33930" w:rsidRDefault="004D631D" w:rsidP="00D83DA7">
      <w:pPr>
        <w:pStyle w:val="Kop2"/>
        <w:numPr>
          <w:ilvl w:val="0"/>
          <w:numId w:val="0"/>
        </w:numPr>
        <w:jc w:val="both"/>
        <w:rPr>
          <w:sz w:val="20"/>
          <w:szCs w:val="28"/>
          <w:lang w:val="nl-NL"/>
        </w:rPr>
      </w:pPr>
      <w:bookmarkStart w:id="13" w:name="_Toc134621172"/>
      <w:r w:rsidRPr="00A33930">
        <w:rPr>
          <w:sz w:val="20"/>
          <w:szCs w:val="28"/>
          <w:lang w:val="nl-NL"/>
        </w:rPr>
        <w:lastRenderedPageBreak/>
        <w:t>HOOFDSTUK</w:t>
      </w:r>
      <w:r w:rsidR="006F2022" w:rsidRPr="00A33930">
        <w:rPr>
          <w:sz w:val="20"/>
          <w:szCs w:val="28"/>
          <w:lang w:val="nl-NL"/>
        </w:rPr>
        <w:t xml:space="preserve"> I.</w:t>
      </w:r>
      <w:r w:rsidR="00B10233" w:rsidRPr="00A33930">
        <w:rPr>
          <w:sz w:val="20"/>
          <w:szCs w:val="28"/>
          <w:lang w:val="nl-NL"/>
        </w:rPr>
        <w:tab/>
      </w:r>
      <w:r w:rsidR="00DB6174" w:rsidRPr="00A33930">
        <w:rPr>
          <w:sz w:val="20"/>
          <w:szCs w:val="28"/>
          <w:lang w:val="nl-NL"/>
        </w:rPr>
        <w:t>INTERNATIONAAL VERDRAG INZAKE DE RECHTEN VAN HET KIND</w:t>
      </w:r>
      <w:bookmarkEnd w:id="13"/>
    </w:p>
    <w:p w14:paraId="427FAC94" w14:textId="4AA96F14" w:rsidR="0016225C" w:rsidRPr="00A33930" w:rsidRDefault="00707EE7" w:rsidP="00140133">
      <w:pPr>
        <w:pStyle w:val="Kop3"/>
        <w:numPr>
          <w:ilvl w:val="0"/>
          <w:numId w:val="0"/>
        </w:numPr>
        <w:spacing w:before="360"/>
        <w:ind w:left="357" w:hanging="357"/>
        <w:jc w:val="both"/>
        <w:rPr>
          <w:lang w:val="nl-NL"/>
        </w:rPr>
      </w:pPr>
      <w:bookmarkStart w:id="14" w:name="_Toc134621173"/>
      <w:r w:rsidRPr="00A33930">
        <w:rPr>
          <w:lang w:val="nl-NL"/>
        </w:rPr>
        <w:t>Afdeling I.</w:t>
      </w:r>
      <w:r w:rsidR="0097678D" w:rsidRPr="00A33930">
        <w:rPr>
          <w:lang w:val="nl-NL"/>
        </w:rPr>
        <w:tab/>
      </w:r>
      <w:r w:rsidR="0097678D" w:rsidRPr="00A33930">
        <w:rPr>
          <w:lang w:val="nl-NL"/>
        </w:rPr>
        <w:tab/>
      </w:r>
      <w:r w:rsidR="00DB6174" w:rsidRPr="00A33930">
        <w:rPr>
          <w:lang w:val="nl-NL"/>
        </w:rPr>
        <w:t>Inleidende beschouwingen</w:t>
      </w:r>
      <w:bookmarkEnd w:id="14"/>
    </w:p>
    <w:p w14:paraId="05438E78" w14:textId="047D54BA" w:rsidR="00D22BA9" w:rsidRPr="00A33930" w:rsidRDefault="004F1913" w:rsidP="00E81F94">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Tot aan de Renaissance waren de rechten voor kinderen en hun leven in Europa niet veel verschillend </w:t>
      </w:r>
      <w:r w:rsidR="005231A0" w:rsidRPr="00A33930">
        <w:rPr>
          <w:rFonts w:eastAsia="Verdana" w:cs="Verdana"/>
          <w:szCs w:val="18"/>
          <w:lang w:val="nl-NL"/>
        </w:rPr>
        <w:t>dan</w:t>
      </w:r>
      <w:r w:rsidRPr="00A33930">
        <w:rPr>
          <w:rFonts w:eastAsia="Verdana" w:cs="Verdana"/>
          <w:szCs w:val="18"/>
          <w:lang w:val="nl-NL"/>
        </w:rPr>
        <w:t xml:space="preserve"> dat van volwassenen. Kinderen namen al vroeg deel aan het werkleven. In deze </w:t>
      </w:r>
      <w:r w:rsidR="00314344" w:rsidRPr="00A33930">
        <w:rPr>
          <w:rFonts w:eastAsia="Verdana" w:cs="Verdana"/>
          <w:szCs w:val="18"/>
          <w:lang w:val="nl-NL"/>
        </w:rPr>
        <w:t>tijd</w:t>
      </w:r>
      <w:r w:rsidRPr="00A33930">
        <w:rPr>
          <w:rFonts w:eastAsia="Verdana" w:cs="Verdana"/>
          <w:szCs w:val="18"/>
          <w:lang w:val="nl-NL"/>
        </w:rPr>
        <w:t xml:space="preserve"> werd het kind niet beschouwd als een zwakkere die bescherming nodig had</w:t>
      </w:r>
      <w:r w:rsidR="00095EB4" w:rsidRPr="00A33930">
        <w:rPr>
          <w:rFonts w:eastAsia="Verdana" w:cs="Verdana"/>
          <w:szCs w:val="18"/>
          <w:lang w:val="nl-NL"/>
        </w:rPr>
        <w:t>,</w:t>
      </w:r>
      <w:r w:rsidRPr="00A33930">
        <w:rPr>
          <w:rFonts w:eastAsia="Verdana" w:cs="Verdana"/>
          <w:szCs w:val="18"/>
          <w:lang w:val="nl-NL"/>
        </w:rPr>
        <w:t xml:space="preserve"> maar was het vanzelfsprekend dat zij in gelijkheid </w:t>
      </w:r>
      <w:r w:rsidR="003C1585" w:rsidRPr="00A33930">
        <w:rPr>
          <w:rFonts w:eastAsia="Verdana" w:cs="Verdana"/>
          <w:szCs w:val="18"/>
          <w:lang w:val="nl-NL"/>
        </w:rPr>
        <w:t xml:space="preserve">met volwassenen </w:t>
      </w:r>
      <w:r w:rsidRPr="00A33930">
        <w:rPr>
          <w:rFonts w:eastAsia="Verdana" w:cs="Verdana"/>
          <w:szCs w:val="18"/>
          <w:lang w:val="nl-NL"/>
        </w:rPr>
        <w:t>deelnamen aan economische en huishoudelijke activiteiten.</w:t>
      </w:r>
      <w:r w:rsidR="005441C7" w:rsidRPr="00A33930">
        <w:rPr>
          <w:rStyle w:val="Voetnootmarkering"/>
          <w:rFonts w:eastAsia="Verdana" w:cs="Verdana"/>
          <w:szCs w:val="18"/>
          <w:lang w:val="nl-NL"/>
        </w:rPr>
        <w:footnoteReference w:id="33"/>
      </w:r>
      <w:r w:rsidRPr="00A33930">
        <w:rPr>
          <w:rFonts w:eastAsia="Verdana" w:cs="Verdana"/>
          <w:szCs w:val="18"/>
          <w:lang w:val="nl-NL"/>
        </w:rPr>
        <w:t xml:space="preserve"> Van de Renaissance tot aan de jaren ’70, verzwakte het kind</w:t>
      </w:r>
      <w:r w:rsidR="005231A0" w:rsidRPr="00A33930">
        <w:rPr>
          <w:rFonts w:eastAsia="Verdana" w:cs="Verdana"/>
          <w:szCs w:val="18"/>
          <w:lang w:val="nl-NL"/>
        </w:rPr>
        <w:t>perspectief</w:t>
      </w:r>
      <w:r w:rsidRPr="00A33930">
        <w:rPr>
          <w:rFonts w:eastAsia="Verdana" w:cs="Verdana"/>
          <w:szCs w:val="18"/>
          <w:lang w:val="nl-NL"/>
        </w:rPr>
        <w:t xml:space="preserve"> in Europa.</w:t>
      </w:r>
      <w:r w:rsidR="002C2799" w:rsidRPr="00A33930">
        <w:rPr>
          <w:rStyle w:val="Voetnootmarkering"/>
          <w:rFonts w:eastAsia="Verdana" w:cs="Verdana"/>
          <w:szCs w:val="18"/>
          <w:lang w:val="nl-NL"/>
        </w:rPr>
        <w:footnoteReference w:id="34"/>
      </w:r>
      <w:r w:rsidRPr="00A33930">
        <w:rPr>
          <w:rFonts w:eastAsia="Verdana" w:cs="Verdana"/>
          <w:szCs w:val="18"/>
          <w:lang w:val="nl-NL"/>
        </w:rPr>
        <w:t xml:space="preserve"> Daar en dan ontstond het </w:t>
      </w:r>
      <w:r w:rsidR="003C1585" w:rsidRPr="00A33930">
        <w:rPr>
          <w:rFonts w:eastAsia="Verdana" w:cs="Verdana"/>
          <w:szCs w:val="18"/>
          <w:lang w:val="nl-NL"/>
        </w:rPr>
        <w:t>kind</w:t>
      </w:r>
      <w:r w:rsidR="005231A0" w:rsidRPr="00A33930">
        <w:rPr>
          <w:rFonts w:eastAsia="Verdana" w:cs="Verdana"/>
          <w:szCs w:val="18"/>
          <w:lang w:val="nl-NL"/>
        </w:rPr>
        <w:t xml:space="preserve">perspectief </w:t>
      </w:r>
      <w:r w:rsidRPr="00A33930">
        <w:rPr>
          <w:rFonts w:eastAsia="Verdana" w:cs="Verdana"/>
          <w:szCs w:val="18"/>
          <w:lang w:val="nl-NL"/>
        </w:rPr>
        <w:t xml:space="preserve">zoals wij dat vandaag nog steeds kennen: het kind is een zwakkere in de samenleving en heeft bescherming nodig. </w:t>
      </w:r>
      <w:r w:rsidR="003C1585" w:rsidRPr="00A33930">
        <w:rPr>
          <w:rFonts w:eastAsia="Verdana" w:cs="Verdana"/>
          <w:szCs w:val="18"/>
          <w:lang w:val="nl-NL"/>
        </w:rPr>
        <w:t>Deze</w:t>
      </w:r>
      <w:r w:rsidRPr="00A33930">
        <w:rPr>
          <w:rFonts w:eastAsia="Verdana" w:cs="Verdana"/>
          <w:szCs w:val="18"/>
          <w:lang w:val="nl-NL"/>
        </w:rPr>
        <w:t xml:space="preserve"> bescherming moet worden geboden door ouders en andere volwassenen</w:t>
      </w:r>
      <w:r w:rsidR="003C1585" w:rsidRPr="00A33930">
        <w:rPr>
          <w:rFonts w:eastAsia="Verdana" w:cs="Verdana"/>
          <w:szCs w:val="18"/>
          <w:lang w:val="nl-NL"/>
        </w:rPr>
        <w:t xml:space="preserve"> waardoor</w:t>
      </w:r>
      <w:r w:rsidRPr="00A33930">
        <w:rPr>
          <w:rFonts w:eastAsia="Verdana" w:cs="Verdana"/>
          <w:szCs w:val="18"/>
          <w:lang w:val="nl-NL"/>
        </w:rPr>
        <w:t xml:space="preserve"> het kind zelf geen eigen verantwoordelijkheden</w:t>
      </w:r>
      <w:r w:rsidR="003C1585" w:rsidRPr="00A33930">
        <w:rPr>
          <w:rFonts w:eastAsia="Verdana" w:cs="Verdana"/>
          <w:szCs w:val="18"/>
          <w:lang w:val="nl-NL"/>
        </w:rPr>
        <w:t xml:space="preserve"> draagt</w:t>
      </w:r>
      <w:r w:rsidRPr="00A33930">
        <w:rPr>
          <w:rFonts w:eastAsia="Verdana" w:cs="Verdana"/>
          <w:szCs w:val="18"/>
          <w:lang w:val="nl-NL"/>
        </w:rPr>
        <w:t>.</w:t>
      </w:r>
      <w:r w:rsidRPr="00A33930">
        <w:rPr>
          <w:rStyle w:val="Voetnootmarkering"/>
          <w:rFonts w:eastAsia="Verdana" w:cs="Verdana"/>
          <w:szCs w:val="18"/>
          <w:lang w:val="nl-NL"/>
        </w:rPr>
        <w:footnoteReference w:id="35"/>
      </w:r>
      <w:r w:rsidR="0000139B" w:rsidRPr="00A33930">
        <w:rPr>
          <w:rFonts w:eastAsia="Verdana" w:cs="Verdana"/>
          <w:szCs w:val="18"/>
          <w:lang w:val="nl-NL"/>
        </w:rPr>
        <w:t xml:space="preserve"> </w:t>
      </w:r>
      <w:r w:rsidR="00E7305E" w:rsidRPr="00A33930">
        <w:rPr>
          <w:rFonts w:eastAsia="Verdana" w:cs="Verdana"/>
          <w:szCs w:val="18"/>
          <w:lang w:val="nl-NL"/>
        </w:rPr>
        <w:t>Een eerste notie van kinderrechten werd reeds in 1948 ingeschreven in het UVRM.</w:t>
      </w:r>
      <w:r w:rsidR="00E7305E" w:rsidRPr="00A33930">
        <w:rPr>
          <w:rStyle w:val="Voetnootmarkering"/>
          <w:rFonts w:eastAsia="Verdana" w:cs="Verdana"/>
          <w:szCs w:val="18"/>
          <w:lang w:val="nl-NL"/>
        </w:rPr>
        <w:footnoteReference w:id="36"/>
      </w:r>
      <w:r w:rsidR="00E7305E" w:rsidRPr="00A33930">
        <w:rPr>
          <w:rFonts w:eastAsia="Verdana" w:cs="Verdana"/>
          <w:szCs w:val="18"/>
          <w:lang w:val="nl-NL"/>
        </w:rPr>
        <w:t xml:space="preserve"> Vanaf de helft van de twintigste eeuw vormde dit kind</w:t>
      </w:r>
      <w:r w:rsidR="00E57778" w:rsidRPr="00A33930">
        <w:rPr>
          <w:rFonts w:eastAsia="Verdana" w:cs="Verdana"/>
          <w:szCs w:val="18"/>
          <w:lang w:val="nl-NL"/>
        </w:rPr>
        <w:t>perspectief</w:t>
      </w:r>
      <w:r w:rsidR="00E7305E" w:rsidRPr="00A33930">
        <w:rPr>
          <w:rFonts w:eastAsia="Verdana" w:cs="Verdana"/>
          <w:szCs w:val="18"/>
          <w:lang w:val="nl-NL"/>
        </w:rPr>
        <w:t xml:space="preserve"> een bron van discussie. Sindsdien wordt door kinderrechtenbewegingen bepleit het kind te erkennen als rechtssubjecten.</w:t>
      </w:r>
      <w:r w:rsidR="00E7305E" w:rsidRPr="00A33930">
        <w:rPr>
          <w:rStyle w:val="Voetnootmarkering"/>
          <w:rFonts w:eastAsia="Verdana" w:cs="Verdana"/>
          <w:szCs w:val="18"/>
          <w:lang w:val="nl-NL"/>
        </w:rPr>
        <w:footnoteReference w:id="37"/>
      </w:r>
    </w:p>
    <w:p w14:paraId="786B658F" w14:textId="77777777" w:rsidR="00D22BA9" w:rsidRPr="00A33930" w:rsidRDefault="00D22BA9" w:rsidP="00D22BA9">
      <w:pPr>
        <w:pStyle w:val="Lijstalinea"/>
        <w:spacing w:before="200" w:after="0"/>
        <w:ind w:left="0"/>
        <w:jc w:val="both"/>
        <w:rPr>
          <w:rFonts w:eastAsia="Verdana" w:cs="Verdana"/>
          <w:szCs w:val="18"/>
          <w:lang w:val="nl-NL"/>
        </w:rPr>
      </w:pPr>
    </w:p>
    <w:p w14:paraId="6DB7F396" w14:textId="29158BDC" w:rsidR="00C62070" w:rsidRPr="00A33930" w:rsidRDefault="00D22BA9" w:rsidP="00C62070">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Op 20 november 1989 nam de Algemene Vergadering van de Verenigde Naties unaniem het </w:t>
      </w:r>
      <w:r w:rsidR="00D051AF" w:rsidRPr="00A33930">
        <w:rPr>
          <w:rFonts w:eastAsia="Verdana" w:cs="Verdana"/>
          <w:szCs w:val="18"/>
          <w:lang w:val="nl-NL"/>
        </w:rPr>
        <w:t>IVRK</w:t>
      </w:r>
      <w:r w:rsidRPr="00A33930">
        <w:rPr>
          <w:rFonts w:eastAsia="Verdana" w:cs="Verdana"/>
          <w:szCs w:val="18"/>
          <w:lang w:val="nl-NL"/>
        </w:rPr>
        <w:t xml:space="preserve"> aan</w:t>
      </w:r>
      <w:r w:rsidR="00D051AF" w:rsidRPr="00A33930">
        <w:rPr>
          <w:rFonts w:eastAsia="Verdana" w:cs="Verdana"/>
          <w:szCs w:val="18"/>
          <w:lang w:val="nl-NL"/>
        </w:rPr>
        <w:t xml:space="preserve">, </w:t>
      </w:r>
      <w:r w:rsidRPr="00A33930">
        <w:rPr>
          <w:rFonts w:eastAsia="Verdana" w:cs="Verdana"/>
          <w:szCs w:val="18"/>
          <w:lang w:val="nl-NL"/>
        </w:rPr>
        <w:t xml:space="preserve">waarmee het de evoluties rond mensenrechten en het veranderende </w:t>
      </w:r>
      <w:r w:rsidR="005526C9" w:rsidRPr="00A33930">
        <w:rPr>
          <w:rFonts w:eastAsia="Verdana" w:cs="Verdana"/>
          <w:szCs w:val="18"/>
          <w:lang w:val="nl-NL"/>
        </w:rPr>
        <w:t>kindperspectief</w:t>
      </w:r>
      <w:r w:rsidRPr="00A33930">
        <w:rPr>
          <w:rFonts w:eastAsia="Verdana" w:cs="Verdana"/>
          <w:szCs w:val="18"/>
          <w:lang w:val="nl-NL"/>
        </w:rPr>
        <w:t xml:space="preserve"> neerschreef in de regelgeving.</w:t>
      </w:r>
      <w:r w:rsidRPr="00A33930">
        <w:rPr>
          <w:rFonts w:eastAsia="Verdana" w:cs="Verdana"/>
          <w:szCs w:val="18"/>
          <w:vertAlign w:val="superscript"/>
          <w:lang w:val="nl-NL"/>
        </w:rPr>
        <w:footnoteReference w:id="38"/>
      </w:r>
      <w:r w:rsidRPr="00A33930">
        <w:rPr>
          <w:rFonts w:eastAsia="Verdana" w:cs="Verdana"/>
          <w:szCs w:val="18"/>
          <w:lang w:val="nl-NL"/>
        </w:rPr>
        <w:t xml:space="preserve"> </w:t>
      </w:r>
      <w:r w:rsidR="00C62070" w:rsidRPr="00A33930">
        <w:rPr>
          <w:rFonts w:eastAsia="Verdana" w:cs="Verdana"/>
          <w:szCs w:val="18"/>
          <w:lang w:val="nl-NL"/>
        </w:rPr>
        <w:t>De preambule van het IVRK benadrukt de nood aan bescherming van het kind</w:t>
      </w:r>
      <w:r w:rsidR="00C0600D" w:rsidRPr="00A33930">
        <w:rPr>
          <w:rFonts w:eastAsia="Verdana" w:cs="Verdana"/>
          <w:szCs w:val="18"/>
          <w:lang w:val="nl-NL"/>
        </w:rPr>
        <w:t xml:space="preserve">, </w:t>
      </w:r>
      <w:r w:rsidR="00C62070" w:rsidRPr="00A33930">
        <w:rPr>
          <w:rFonts w:eastAsia="Verdana" w:cs="Verdana"/>
          <w:szCs w:val="18"/>
          <w:lang w:val="nl-NL"/>
        </w:rPr>
        <w:t xml:space="preserve">maar zegt ook dat het kind titularis is van eigen rechten en dus een rechtssubject </w:t>
      </w:r>
      <w:r w:rsidR="00095EB4" w:rsidRPr="00A33930">
        <w:rPr>
          <w:rFonts w:eastAsia="Verdana" w:cs="Verdana"/>
          <w:szCs w:val="18"/>
          <w:lang w:val="nl-NL"/>
        </w:rPr>
        <w:t>is</w:t>
      </w:r>
      <w:r w:rsidR="00C62070" w:rsidRPr="00A33930">
        <w:rPr>
          <w:rFonts w:eastAsia="Verdana" w:cs="Verdana"/>
          <w:szCs w:val="18"/>
          <w:lang w:val="nl-NL"/>
        </w:rPr>
        <w:t xml:space="preserve"> (</w:t>
      </w:r>
      <w:r w:rsidR="00C62070" w:rsidRPr="00A33930">
        <w:rPr>
          <w:rFonts w:eastAsia="Verdana" w:cs="Verdana"/>
          <w:i/>
          <w:iCs/>
          <w:szCs w:val="18"/>
          <w:lang w:val="nl-NL"/>
        </w:rPr>
        <w:t>infra</w:t>
      </w:r>
      <w:r w:rsidR="00C62070" w:rsidRPr="00A33930">
        <w:rPr>
          <w:rFonts w:eastAsia="Verdana" w:cs="Verdana"/>
          <w:szCs w:val="18"/>
          <w:lang w:val="nl-NL"/>
        </w:rPr>
        <w:t xml:space="preserve">, nr. </w:t>
      </w:r>
      <w:r w:rsidR="00532C76" w:rsidRPr="00A33930">
        <w:rPr>
          <w:rFonts w:eastAsia="Verdana" w:cs="Verdana"/>
          <w:szCs w:val="18"/>
          <w:lang w:val="nl-NL"/>
        </w:rPr>
        <w:t>32</w:t>
      </w:r>
      <w:r w:rsidR="00C62070" w:rsidRPr="00A33930">
        <w:rPr>
          <w:rFonts w:eastAsia="Verdana" w:cs="Verdana"/>
          <w:szCs w:val="18"/>
          <w:lang w:val="nl-NL"/>
        </w:rPr>
        <w:t>).</w:t>
      </w:r>
      <w:r w:rsidR="00C62070" w:rsidRPr="00A33930">
        <w:rPr>
          <w:rStyle w:val="Voetnootmarkering"/>
          <w:rFonts w:eastAsia="Verdana" w:cs="Verdana"/>
          <w:szCs w:val="18"/>
          <w:lang w:val="nl-NL"/>
        </w:rPr>
        <w:footnoteReference w:id="39"/>
      </w:r>
      <w:r w:rsidR="00C62070" w:rsidRPr="00A33930">
        <w:rPr>
          <w:rFonts w:eastAsia="Verdana" w:cs="Verdana"/>
          <w:szCs w:val="18"/>
          <w:lang w:val="nl-NL"/>
        </w:rPr>
        <w:t xml:space="preserve"> Het IVRK is dan ook de belangrijkste bakermat van kinderrechten </w:t>
      </w:r>
      <w:r w:rsidR="00095EB4" w:rsidRPr="00A33930">
        <w:rPr>
          <w:rFonts w:eastAsia="Verdana" w:cs="Verdana"/>
          <w:szCs w:val="18"/>
          <w:lang w:val="nl-NL"/>
        </w:rPr>
        <w:t>waarin</w:t>
      </w:r>
      <w:r w:rsidR="00C62070" w:rsidRPr="00A33930">
        <w:rPr>
          <w:rFonts w:eastAsia="Verdana" w:cs="Verdana"/>
          <w:szCs w:val="18"/>
          <w:lang w:val="nl-NL"/>
        </w:rPr>
        <w:t xml:space="preserve"> het kind niet langer wordt beschouwd als een rechtsobject, zoals de wetgever deed voor de eeuwwisseling. Het IVRK was destijds tevens het eerste verdrag met een </w:t>
      </w:r>
      <w:r w:rsidR="006402BF" w:rsidRPr="00A33930">
        <w:rPr>
          <w:rFonts w:eastAsia="Verdana" w:cs="Verdana"/>
          <w:szCs w:val="18"/>
          <w:lang w:val="nl-NL"/>
        </w:rPr>
        <w:t>“</w:t>
      </w:r>
      <w:r w:rsidR="00C62070" w:rsidRPr="00A33930">
        <w:rPr>
          <w:rFonts w:eastAsia="Verdana" w:cs="Verdana"/>
          <w:szCs w:val="18"/>
          <w:lang w:val="nl-NL"/>
        </w:rPr>
        <w:t>comprehensief</w:t>
      </w:r>
      <w:r w:rsidR="006402BF" w:rsidRPr="00A33930">
        <w:rPr>
          <w:rFonts w:eastAsia="Verdana" w:cs="Verdana"/>
          <w:szCs w:val="18"/>
          <w:lang w:val="nl-NL"/>
        </w:rPr>
        <w:t xml:space="preserve">” </w:t>
      </w:r>
      <w:r w:rsidR="00C62070" w:rsidRPr="00A33930">
        <w:rPr>
          <w:rFonts w:eastAsia="Verdana" w:cs="Verdana"/>
          <w:szCs w:val="18"/>
          <w:lang w:val="nl-NL"/>
        </w:rPr>
        <w:t xml:space="preserve">karakter: het is gericht </w:t>
      </w:r>
      <w:r w:rsidR="00C62070" w:rsidRPr="00A33930">
        <w:rPr>
          <w:rFonts w:eastAsia="Verdana" w:cs="Verdana"/>
          <w:szCs w:val="18"/>
          <w:lang w:val="nl-NL"/>
        </w:rPr>
        <w:lastRenderedPageBreak/>
        <w:t xml:space="preserve">op de volledige bescherming van kinderen, </w:t>
      </w:r>
      <w:r w:rsidR="005231A0" w:rsidRPr="00A33930">
        <w:rPr>
          <w:rFonts w:eastAsia="Verdana" w:cs="Verdana"/>
          <w:szCs w:val="18"/>
          <w:lang w:val="nl-NL"/>
        </w:rPr>
        <w:t>in</w:t>
      </w:r>
      <w:r w:rsidR="00C62070" w:rsidRPr="00A33930">
        <w:rPr>
          <w:rFonts w:eastAsia="Verdana" w:cs="Verdana"/>
          <w:szCs w:val="18"/>
          <w:lang w:val="nl-NL"/>
        </w:rPr>
        <w:t xml:space="preserve"> alle domeinen en tijdens al</w:t>
      </w:r>
      <w:r w:rsidR="00D873C8" w:rsidRPr="00A33930">
        <w:rPr>
          <w:rFonts w:eastAsia="Verdana" w:cs="Verdana"/>
          <w:szCs w:val="18"/>
          <w:lang w:val="nl-NL"/>
        </w:rPr>
        <w:t xml:space="preserve"> zijn</w:t>
      </w:r>
      <w:r w:rsidR="005231A0" w:rsidRPr="00A33930">
        <w:rPr>
          <w:rFonts w:eastAsia="Verdana" w:cs="Verdana"/>
          <w:szCs w:val="18"/>
          <w:lang w:val="nl-NL"/>
        </w:rPr>
        <w:t xml:space="preserve"> </w:t>
      </w:r>
      <w:r w:rsidR="00C62070" w:rsidRPr="00A33930">
        <w:rPr>
          <w:rFonts w:eastAsia="Verdana" w:cs="Verdana"/>
          <w:szCs w:val="18"/>
          <w:lang w:val="nl-NL"/>
        </w:rPr>
        <w:t>ontwikkelingsfases.</w:t>
      </w:r>
      <w:r w:rsidR="00C62070" w:rsidRPr="00A33930">
        <w:rPr>
          <w:rStyle w:val="Voetnootmarkering"/>
          <w:rFonts w:eastAsia="Verdana" w:cs="Verdana"/>
          <w:szCs w:val="18"/>
          <w:lang w:val="nl-NL"/>
        </w:rPr>
        <w:footnoteReference w:id="40"/>
      </w:r>
      <w:r w:rsidR="00C62070" w:rsidRPr="00A33930">
        <w:rPr>
          <w:rFonts w:eastAsia="Verdana" w:cs="Verdana"/>
          <w:szCs w:val="18"/>
          <w:lang w:val="nl-NL"/>
        </w:rPr>
        <w:t xml:space="preserve"> Door het opnemen van verschillende generaties (kinder)rechten in één instrument, benadrukt het IVRK dat er geen prioriteit of onderscheid wordt gemaakt tussen de verschillende soorten rechten. Hierbij was het de bedoeling van de wetgever om aan te tonen dat deze rechten allemaal even belangrijk en onderling van elkaar afhankelijk zijn. Dit betreft de zogenaamde </w:t>
      </w:r>
      <w:r w:rsidR="00C62070" w:rsidRPr="00A33930">
        <w:rPr>
          <w:rFonts w:eastAsia="Verdana" w:cs="Verdana"/>
          <w:i/>
          <w:iCs/>
          <w:szCs w:val="18"/>
          <w:lang w:val="nl-NL"/>
        </w:rPr>
        <w:t>interdependent</w:t>
      </w:r>
      <w:r w:rsidR="00095EB4" w:rsidRPr="00A33930">
        <w:rPr>
          <w:rFonts w:eastAsia="Verdana" w:cs="Verdana"/>
          <w:i/>
          <w:iCs/>
          <w:szCs w:val="18"/>
          <w:lang w:val="nl-NL"/>
        </w:rPr>
        <w:t>,</w:t>
      </w:r>
      <w:r w:rsidR="00C62070" w:rsidRPr="00A33930">
        <w:rPr>
          <w:rFonts w:eastAsia="Verdana" w:cs="Verdana"/>
          <w:i/>
          <w:iCs/>
          <w:szCs w:val="18"/>
          <w:lang w:val="nl-NL"/>
        </w:rPr>
        <w:t xml:space="preserve"> interrelated</w:t>
      </w:r>
      <w:r w:rsidR="00095EB4" w:rsidRPr="00A33930">
        <w:rPr>
          <w:rFonts w:eastAsia="Verdana" w:cs="Verdana"/>
          <w:i/>
          <w:iCs/>
          <w:szCs w:val="18"/>
          <w:lang w:val="nl-NL"/>
        </w:rPr>
        <w:t xml:space="preserve">, </w:t>
      </w:r>
      <w:r w:rsidR="00C62070" w:rsidRPr="00A33930">
        <w:rPr>
          <w:rFonts w:eastAsia="Verdana" w:cs="Verdana"/>
          <w:i/>
          <w:iCs/>
          <w:szCs w:val="18"/>
          <w:lang w:val="nl-NL"/>
        </w:rPr>
        <w:t>indivisible</w:t>
      </w:r>
      <w:r w:rsidR="00C62070" w:rsidRPr="00A33930">
        <w:rPr>
          <w:rFonts w:eastAsia="Verdana" w:cs="Verdana"/>
          <w:szCs w:val="18"/>
          <w:lang w:val="nl-NL"/>
        </w:rPr>
        <w:t xml:space="preserve"> opdeling die heel wat rechten kenmerkt op internationaal niveau.</w:t>
      </w:r>
      <w:r w:rsidR="00C62070" w:rsidRPr="00A33930">
        <w:rPr>
          <w:rStyle w:val="Voetnootmarkering"/>
          <w:rFonts w:eastAsia="Verdana" w:cs="Verdana"/>
          <w:szCs w:val="18"/>
          <w:lang w:val="nl-NL"/>
        </w:rPr>
        <w:footnoteReference w:id="41"/>
      </w:r>
    </w:p>
    <w:p w14:paraId="274492A7" w14:textId="77777777" w:rsidR="00862ACA" w:rsidRPr="00A33930" w:rsidRDefault="00862ACA" w:rsidP="00862ACA">
      <w:pPr>
        <w:pStyle w:val="Lijstalinea"/>
        <w:spacing w:before="200" w:after="0"/>
        <w:ind w:left="0"/>
        <w:jc w:val="both"/>
        <w:rPr>
          <w:rFonts w:eastAsia="Verdana" w:cs="Verdana"/>
          <w:szCs w:val="18"/>
          <w:lang w:val="nl-NL"/>
        </w:rPr>
      </w:pPr>
    </w:p>
    <w:p w14:paraId="4CACA2F0" w14:textId="6CFC34BB" w:rsidR="00DF4D5B" w:rsidRPr="00A33930" w:rsidRDefault="00D42FCD" w:rsidP="00DF4D5B">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Dit onderzoek focust op het perspectief van het kind waardoor het belangrijk is voor ogen te houden wie nu precies </w:t>
      </w:r>
      <w:r w:rsidR="00F46511" w:rsidRPr="00A33930">
        <w:rPr>
          <w:rFonts w:eastAsia="Verdana" w:cs="Verdana"/>
          <w:szCs w:val="18"/>
          <w:lang w:val="nl-NL"/>
        </w:rPr>
        <w:t>als</w:t>
      </w:r>
      <w:r w:rsidRPr="00A33930">
        <w:rPr>
          <w:rFonts w:eastAsia="Verdana" w:cs="Verdana"/>
          <w:szCs w:val="18"/>
          <w:lang w:val="nl-NL"/>
        </w:rPr>
        <w:t xml:space="preserve"> kind </w:t>
      </w:r>
      <w:r w:rsidR="00F46511" w:rsidRPr="00A33930">
        <w:rPr>
          <w:rFonts w:eastAsia="Verdana" w:cs="Verdana"/>
          <w:szCs w:val="18"/>
          <w:lang w:val="nl-NL"/>
        </w:rPr>
        <w:t>wordt beschouwd</w:t>
      </w:r>
      <w:r w:rsidRPr="00A33930">
        <w:rPr>
          <w:rFonts w:eastAsia="Verdana" w:cs="Verdana"/>
          <w:szCs w:val="18"/>
          <w:lang w:val="nl-NL"/>
        </w:rPr>
        <w:t>. Het</w:t>
      </w:r>
      <w:r w:rsidR="00CE57AE" w:rsidRPr="00A33930">
        <w:rPr>
          <w:rFonts w:eastAsia="Verdana" w:cs="Verdana"/>
          <w:szCs w:val="18"/>
          <w:lang w:val="nl-NL"/>
        </w:rPr>
        <w:t xml:space="preserve"> IVRK </w:t>
      </w:r>
      <w:r w:rsidRPr="00A33930">
        <w:rPr>
          <w:rFonts w:eastAsia="Verdana" w:cs="Verdana"/>
          <w:szCs w:val="18"/>
          <w:lang w:val="nl-NL"/>
        </w:rPr>
        <w:t xml:space="preserve">is hierbij </w:t>
      </w:r>
      <w:r w:rsidR="00CE57AE" w:rsidRPr="00A33930">
        <w:rPr>
          <w:rFonts w:eastAsia="Verdana" w:cs="Verdana"/>
          <w:szCs w:val="18"/>
          <w:lang w:val="nl-NL"/>
        </w:rPr>
        <w:t xml:space="preserve">het enige mensenrechtelijk instrument dat </w:t>
      </w:r>
      <w:r w:rsidR="00C62070" w:rsidRPr="00A33930">
        <w:rPr>
          <w:rFonts w:eastAsia="Verdana" w:cs="Verdana"/>
          <w:szCs w:val="18"/>
          <w:lang w:val="nl-NL"/>
        </w:rPr>
        <w:t>in een definitie</w:t>
      </w:r>
      <w:r w:rsidR="00CE57AE" w:rsidRPr="00A33930">
        <w:rPr>
          <w:rFonts w:eastAsia="Verdana" w:cs="Verdana"/>
          <w:szCs w:val="18"/>
          <w:lang w:val="nl-NL"/>
        </w:rPr>
        <w:t xml:space="preserve"> </w:t>
      </w:r>
      <w:r w:rsidRPr="00A33930">
        <w:rPr>
          <w:rFonts w:eastAsia="Verdana" w:cs="Verdana"/>
          <w:szCs w:val="18"/>
          <w:lang w:val="nl-NL"/>
        </w:rPr>
        <w:t>voorziet</w:t>
      </w:r>
      <w:r w:rsidR="00CE57AE" w:rsidRPr="00A33930">
        <w:rPr>
          <w:rFonts w:eastAsia="Verdana" w:cs="Verdana"/>
          <w:szCs w:val="18"/>
          <w:lang w:val="nl-NL"/>
        </w:rPr>
        <w:t xml:space="preserve"> </w:t>
      </w:r>
      <w:r w:rsidR="00314344" w:rsidRPr="00A33930">
        <w:rPr>
          <w:rFonts w:eastAsia="Verdana" w:cs="Verdana"/>
          <w:szCs w:val="18"/>
          <w:lang w:val="nl-NL"/>
        </w:rPr>
        <w:t>(cf.</w:t>
      </w:r>
      <w:r w:rsidR="00532C76" w:rsidRPr="00A33930">
        <w:rPr>
          <w:rFonts w:eastAsia="Verdana" w:cs="Verdana"/>
          <w:i/>
          <w:iCs/>
          <w:szCs w:val="18"/>
          <w:lang w:val="nl-NL"/>
        </w:rPr>
        <w:t xml:space="preserve"> infra</w:t>
      </w:r>
      <w:r w:rsidR="00532C76" w:rsidRPr="00A33930">
        <w:rPr>
          <w:rFonts w:eastAsia="Verdana" w:cs="Verdana"/>
          <w:szCs w:val="18"/>
          <w:lang w:val="nl-NL"/>
        </w:rPr>
        <w:t>,</w:t>
      </w:r>
      <w:r w:rsidR="00314344" w:rsidRPr="00A33930">
        <w:rPr>
          <w:rFonts w:eastAsia="Verdana" w:cs="Verdana"/>
          <w:szCs w:val="18"/>
          <w:lang w:val="nl-NL"/>
        </w:rPr>
        <w:t xml:space="preserve"> nr. </w:t>
      </w:r>
      <w:r w:rsidR="00532C76" w:rsidRPr="00A33930">
        <w:rPr>
          <w:rFonts w:eastAsia="Verdana" w:cs="Verdana"/>
          <w:szCs w:val="18"/>
          <w:lang w:val="nl-NL"/>
        </w:rPr>
        <w:t>43</w:t>
      </w:r>
      <w:r w:rsidR="00314344" w:rsidRPr="00A33930">
        <w:rPr>
          <w:rFonts w:eastAsia="Verdana" w:cs="Verdana"/>
          <w:szCs w:val="18"/>
          <w:lang w:val="nl-NL"/>
        </w:rPr>
        <w:t>)</w:t>
      </w:r>
      <w:r w:rsidR="00CE57AE" w:rsidRPr="00A33930">
        <w:rPr>
          <w:rFonts w:eastAsia="Verdana" w:cs="Verdana"/>
          <w:szCs w:val="18"/>
          <w:lang w:val="nl-NL"/>
        </w:rPr>
        <w:t>.</w:t>
      </w:r>
      <w:r w:rsidR="00CE57AE" w:rsidRPr="00A33930">
        <w:rPr>
          <w:rStyle w:val="Voetnootmarkering"/>
          <w:rFonts w:eastAsia="Verdana" w:cs="Verdana"/>
          <w:szCs w:val="18"/>
          <w:lang w:val="nl-NL"/>
        </w:rPr>
        <w:footnoteReference w:id="42"/>
      </w:r>
      <w:r w:rsidR="00CE57AE" w:rsidRPr="00A33930">
        <w:rPr>
          <w:rFonts w:eastAsia="Verdana" w:cs="Verdana"/>
          <w:szCs w:val="18"/>
          <w:lang w:val="nl-NL"/>
        </w:rPr>
        <w:t xml:space="preserve"> Volgens artikel 1</w:t>
      </w:r>
      <w:r w:rsidR="00532F99" w:rsidRPr="00A33930">
        <w:rPr>
          <w:rFonts w:eastAsia="Verdana" w:cs="Verdana"/>
          <w:szCs w:val="18"/>
          <w:lang w:val="nl-NL"/>
        </w:rPr>
        <w:t xml:space="preserve"> IVRK is </w:t>
      </w:r>
      <w:r w:rsidR="00CE57AE" w:rsidRPr="00A33930">
        <w:rPr>
          <w:rFonts w:eastAsia="Verdana" w:cs="Verdana"/>
          <w:szCs w:val="18"/>
          <w:lang w:val="nl-NL"/>
        </w:rPr>
        <w:t>een kind</w:t>
      </w:r>
      <w:r w:rsidR="00532F99" w:rsidRPr="00A33930">
        <w:rPr>
          <w:rFonts w:eastAsia="Verdana" w:cs="Verdana"/>
          <w:szCs w:val="18"/>
          <w:lang w:val="nl-NL"/>
        </w:rPr>
        <w:t xml:space="preserve"> “ieder mens jonger dan 18 jaar, tenzij de meerderjarigheid eerder wordt bereikt in desbetreffende verdragsstaat</w:t>
      </w:r>
      <w:r w:rsidR="00557FCD" w:rsidRPr="00A33930">
        <w:rPr>
          <w:rFonts w:eastAsia="Verdana" w:cs="Verdana"/>
          <w:szCs w:val="18"/>
          <w:lang w:val="nl-NL"/>
        </w:rPr>
        <w:t>”</w:t>
      </w:r>
      <w:r w:rsidR="00532F99" w:rsidRPr="00A33930">
        <w:rPr>
          <w:rFonts w:eastAsia="Verdana" w:cs="Verdana"/>
          <w:szCs w:val="18"/>
          <w:lang w:val="nl-NL"/>
        </w:rPr>
        <w:t>.</w:t>
      </w:r>
      <w:r w:rsidR="00532F99" w:rsidRPr="00A33930">
        <w:rPr>
          <w:rStyle w:val="Voetnootmarkering"/>
          <w:rFonts w:eastAsia="Verdana" w:cs="Verdana"/>
          <w:szCs w:val="18"/>
          <w:lang w:val="nl-NL"/>
        </w:rPr>
        <w:footnoteReference w:id="43"/>
      </w:r>
      <w:r w:rsidR="0000139B" w:rsidRPr="00A33930">
        <w:rPr>
          <w:rFonts w:eastAsia="Verdana" w:cs="Verdana"/>
          <w:szCs w:val="18"/>
          <w:lang w:val="nl-NL"/>
        </w:rPr>
        <w:t xml:space="preserve"> </w:t>
      </w:r>
      <w:r w:rsidRPr="00A33930">
        <w:rPr>
          <w:rFonts w:eastAsia="Verdana" w:cs="Verdana"/>
          <w:szCs w:val="18"/>
          <w:lang w:val="nl-NL"/>
        </w:rPr>
        <w:t>Verdragsstaten mogen deze leeftijd verhogen of verlagen</w:t>
      </w:r>
      <w:r w:rsidR="00C0600D" w:rsidRPr="00A33930">
        <w:rPr>
          <w:rFonts w:eastAsia="Verdana" w:cs="Verdana"/>
          <w:szCs w:val="18"/>
          <w:lang w:val="nl-NL"/>
        </w:rPr>
        <w:t>,</w:t>
      </w:r>
      <w:r w:rsidRPr="00A33930">
        <w:rPr>
          <w:rFonts w:eastAsia="Verdana" w:cs="Verdana"/>
          <w:szCs w:val="18"/>
          <w:lang w:val="nl-NL"/>
        </w:rPr>
        <w:t xml:space="preserve"> maar moeten</w:t>
      </w:r>
      <w:r w:rsidR="007A26E0" w:rsidRPr="00A33930">
        <w:rPr>
          <w:rFonts w:eastAsia="Verdana" w:cs="Verdana"/>
          <w:szCs w:val="18"/>
          <w:lang w:val="nl-NL"/>
        </w:rPr>
        <w:t xml:space="preserve"> rekening houden met de basisprincipes </w:t>
      </w:r>
      <w:r w:rsidR="00330705" w:rsidRPr="00A33930">
        <w:rPr>
          <w:rFonts w:eastAsia="Verdana" w:cs="Verdana"/>
          <w:szCs w:val="18"/>
          <w:lang w:val="nl-NL"/>
        </w:rPr>
        <w:t>uit</w:t>
      </w:r>
      <w:r w:rsidR="007A26E0" w:rsidRPr="00A33930">
        <w:rPr>
          <w:rFonts w:eastAsia="Verdana" w:cs="Verdana"/>
          <w:szCs w:val="18"/>
          <w:lang w:val="nl-NL"/>
        </w:rPr>
        <w:t xml:space="preserve"> het IVRK.</w:t>
      </w:r>
      <w:r w:rsidR="007A26E0" w:rsidRPr="00A33930">
        <w:rPr>
          <w:rStyle w:val="Voetnootmarkering"/>
          <w:rFonts w:eastAsia="Verdana" w:cs="Verdana"/>
          <w:szCs w:val="18"/>
          <w:lang w:val="nl-NL"/>
        </w:rPr>
        <w:footnoteReference w:id="44"/>
      </w:r>
      <w:r w:rsidR="007A26E0" w:rsidRPr="00A33930">
        <w:rPr>
          <w:rFonts w:eastAsia="Verdana" w:cs="Verdana"/>
          <w:szCs w:val="18"/>
          <w:lang w:val="nl-NL"/>
        </w:rPr>
        <w:t xml:space="preserve"> </w:t>
      </w:r>
      <w:r w:rsidR="00FD7B38" w:rsidRPr="00A33930">
        <w:rPr>
          <w:rFonts w:eastAsia="Verdana" w:cs="Verdana"/>
          <w:szCs w:val="18"/>
          <w:lang w:val="nl-NL"/>
        </w:rPr>
        <w:t xml:space="preserve">Het IVRK waarborgt </w:t>
      </w:r>
      <w:r w:rsidR="00330705" w:rsidRPr="00A33930">
        <w:rPr>
          <w:rFonts w:eastAsia="Verdana" w:cs="Verdana"/>
          <w:szCs w:val="18"/>
          <w:lang w:val="nl-NL"/>
        </w:rPr>
        <w:t xml:space="preserve">hierbij </w:t>
      </w:r>
      <w:r w:rsidR="00FD7B38" w:rsidRPr="00A33930">
        <w:rPr>
          <w:rFonts w:eastAsia="Verdana" w:cs="Verdana"/>
          <w:szCs w:val="18"/>
          <w:lang w:val="nl-NL"/>
        </w:rPr>
        <w:t>de rechten van ieder kind.</w:t>
      </w:r>
      <w:r w:rsidR="00FD7B38" w:rsidRPr="00A33930">
        <w:rPr>
          <w:rStyle w:val="Voetnootmarkering"/>
          <w:rFonts w:eastAsia="Verdana" w:cs="Verdana"/>
          <w:szCs w:val="18"/>
          <w:lang w:val="nl-NL"/>
        </w:rPr>
        <w:footnoteReference w:id="45"/>
      </w:r>
    </w:p>
    <w:p w14:paraId="533FF875" w14:textId="655F8AC2" w:rsidR="00DF4D5B" w:rsidRPr="00A33930" w:rsidRDefault="00DB6174" w:rsidP="00140133">
      <w:pPr>
        <w:pStyle w:val="Kop3"/>
        <w:numPr>
          <w:ilvl w:val="0"/>
          <w:numId w:val="0"/>
        </w:numPr>
        <w:spacing w:before="360"/>
        <w:ind w:left="357" w:hanging="357"/>
        <w:jc w:val="both"/>
        <w:rPr>
          <w:lang w:val="nl-NL"/>
        </w:rPr>
      </w:pPr>
      <w:bookmarkStart w:id="15" w:name="_Toc134621174"/>
      <w:r w:rsidRPr="00A33930">
        <w:rPr>
          <w:lang w:val="nl-NL"/>
        </w:rPr>
        <w:t>Afdeling II.</w:t>
      </w:r>
      <w:r w:rsidR="0097678D" w:rsidRPr="00A33930">
        <w:rPr>
          <w:lang w:val="nl-NL"/>
        </w:rPr>
        <w:tab/>
      </w:r>
      <w:r w:rsidR="0097678D" w:rsidRPr="00A33930">
        <w:rPr>
          <w:lang w:val="nl-NL"/>
        </w:rPr>
        <w:tab/>
      </w:r>
      <w:r w:rsidR="00894D01" w:rsidRPr="00A33930">
        <w:rPr>
          <w:lang w:val="nl-NL"/>
        </w:rPr>
        <w:t>Juridische doorwerking</w:t>
      </w:r>
      <w:bookmarkEnd w:id="15"/>
    </w:p>
    <w:p w14:paraId="40C4BC74" w14:textId="67329D53" w:rsidR="00297A22" w:rsidRPr="00A33930" w:rsidRDefault="00297A22" w:rsidP="00297A22">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België, Nederland en Duitsland ondertekenden het IVRK op 26 januari 1990.</w:t>
      </w:r>
      <w:r w:rsidRPr="00A33930">
        <w:rPr>
          <w:rStyle w:val="Voetnootmarkering"/>
          <w:rFonts w:eastAsia="Verdana" w:cs="Verdana"/>
          <w:szCs w:val="18"/>
          <w:lang w:val="nl-NL"/>
        </w:rPr>
        <w:footnoteReference w:id="46"/>
      </w:r>
      <w:r w:rsidRPr="00A33930">
        <w:rPr>
          <w:rFonts w:eastAsia="Verdana" w:cs="Verdana"/>
          <w:szCs w:val="18"/>
          <w:lang w:val="nl-NL"/>
        </w:rPr>
        <w:t xml:space="preserve"> </w:t>
      </w:r>
      <w:r w:rsidR="00330705" w:rsidRPr="00A33930">
        <w:rPr>
          <w:rFonts w:eastAsia="Verdana" w:cs="Verdana"/>
          <w:szCs w:val="18"/>
          <w:lang w:val="nl-NL"/>
        </w:rPr>
        <w:t>Middels</w:t>
      </w:r>
      <w:r w:rsidRPr="00A33930">
        <w:rPr>
          <w:rFonts w:eastAsia="Verdana" w:cs="Verdana"/>
          <w:szCs w:val="18"/>
          <w:lang w:val="nl-NL"/>
        </w:rPr>
        <w:t xml:space="preserve"> de instemmingswet van 25 november 1991</w:t>
      </w:r>
      <w:r w:rsidRPr="00A33930">
        <w:rPr>
          <w:rStyle w:val="Voetnootmarkering"/>
          <w:rFonts w:eastAsia="Verdana" w:cs="Verdana"/>
          <w:szCs w:val="18"/>
          <w:lang w:val="nl-NL"/>
        </w:rPr>
        <w:footnoteReference w:id="47"/>
      </w:r>
      <w:r w:rsidRPr="00A33930">
        <w:rPr>
          <w:rFonts w:eastAsia="Verdana" w:cs="Verdana"/>
          <w:szCs w:val="18"/>
          <w:lang w:val="nl-NL"/>
        </w:rPr>
        <w:t xml:space="preserve"> en twee decreten</w:t>
      </w:r>
      <w:r w:rsidRPr="00A33930">
        <w:rPr>
          <w:rStyle w:val="Voetnootmarkering"/>
          <w:rFonts w:eastAsia="Verdana" w:cs="Verdana"/>
          <w:szCs w:val="18"/>
          <w:lang w:val="nl-NL"/>
        </w:rPr>
        <w:footnoteReference w:id="48"/>
      </w:r>
      <w:r w:rsidRPr="00A33930">
        <w:rPr>
          <w:rFonts w:eastAsia="Verdana" w:cs="Verdana"/>
          <w:szCs w:val="18"/>
          <w:lang w:val="nl-NL"/>
        </w:rPr>
        <w:t xml:space="preserve"> heeft België op 16 december 1991 het IVRK geratificeerd waardoor de internationale verplichtingen in de Belgische regelgeving zijn geïmplementeerd. Het </w:t>
      </w:r>
      <w:r w:rsidR="00330705" w:rsidRPr="00A33930">
        <w:rPr>
          <w:rFonts w:eastAsia="Verdana" w:cs="Verdana"/>
          <w:szCs w:val="18"/>
          <w:lang w:val="nl-NL"/>
        </w:rPr>
        <w:t>V</w:t>
      </w:r>
      <w:r w:rsidRPr="00A33930">
        <w:rPr>
          <w:rFonts w:eastAsia="Verdana" w:cs="Verdana"/>
          <w:szCs w:val="18"/>
          <w:lang w:val="nl-NL"/>
        </w:rPr>
        <w:t xml:space="preserve">erdrag trad </w:t>
      </w:r>
      <w:r w:rsidR="00330705" w:rsidRPr="00A33930">
        <w:rPr>
          <w:rFonts w:eastAsia="Verdana" w:cs="Verdana"/>
          <w:szCs w:val="18"/>
          <w:lang w:val="nl-NL"/>
        </w:rPr>
        <w:t>voor</w:t>
      </w:r>
      <w:r w:rsidRPr="00A33930">
        <w:rPr>
          <w:rFonts w:eastAsia="Verdana" w:cs="Verdana"/>
          <w:szCs w:val="18"/>
          <w:lang w:val="nl-NL"/>
        </w:rPr>
        <w:t xml:space="preserve"> België in werking op 15 januari 1992. Duitsland ratificeerde het IVRK op 6 maart 1992, met inwerkingtreding op </w:t>
      </w:r>
      <w:r w:rsidR="003E0561" w:rsidRPr="00A33930">
        <w:rPr>
          <w:rFonts w:eastAsia="Verdana" w:cs="Verdana"/>
          <w:szCs w:val="18"/>
          <w:lang w:val="nl-NL"/>
        </w:rPr>
        <w:t>5 april 1992</w:t>
      </w:r>
      <w:r w:rsidRPr="00A33930">
        <w:rPr>
          <w:rFonts w:eastAsia="Verdana" w:cs="Verdana"/>
          <w:szCs w:val="18"/>
          <w:lang w:val="nl-NL"/>
        </w:rPr>
        <w:t>.</w:t>
      </w:r>
      <w:r w:rsidR="003E0561" w:rsidRPr="00A33930">
        <w:rPr>
          <w:rStyle w:val="Voetnootmarkering"/>
          <w:rFonts w:eastAsia="Verdana" w:cs="Verdana"/>
          <w:szCs w:val="18"/>
          <w:lang w:val="nl-NL"/>
        </w:rPr>
        <w:footnoteReference w:id="49"/>
      </w:r>
      <w:r w:rsidRPr="00A33930">
        <w:rPr>
          <w:rFonts w:eastAsia="Verdana" w:cs="Verdana"/>
          <w:szCs w:val="18"/>
          <w:lang w:val="nl-NL"/>
        </w:rPr>
        <w:t xml:space="preserve"> In Nederland vond de ratificatie plaats op 6 februari 1995, waarna het </w:t>
      </w:r>
      <w:r w:rsidR="00670FDE" w:rsidRPr="00A33930">
        <w:rPr>
          <w:rFonts w:eastAsia="Verdana" w:cs="Verdana"/>
          <w:szCs w:val="18"/>
          <w:lang w:val="nl-NL"/>
        </w:rPr>
        <w:t xml:space="preserve">IVRK </w:t>
      </w:r>
      <w:r w:rsidRPr="00A33930">
        <w:rPr>
          <w:rFonts w:eastAsia="Verdana" w:cs="Verdana"/>
          <w:szCs w:val="18"/>
          <w:lang w:val="nl-NL"/>
        </w:rPr>
        <w:t xml:space="preserve">in werking trad op 8 maart 1995. Op dit moment zijn 196 landen partij bij het IVRK, waardoor het tot op vandaag het meest geratificeerde </w:t>
      </w:r>
      <w:r w:rsidR="00240A28" w:rsidRPr="00A33930">
        <w:rPr>
          <w:rFonts w:eastAsia="Verdana" w:cs="Verdana"/>
          <w:szCs w:val="18"/>
          <w:lang w:val="nl-NL"/>
        </w:rPr>
        <w:t>v</w:t>
      </w:r>
      <w:r w:rsidRPr="00A33930">
        <w:rPr>
          <w:rFonts w:eastAsia="Verdana" w:cs="Verdana"/>
          <w:szCs w:val="18"/>
          <w:lang w:val="nl-NL"/>
        </w:rPr>
        <w:t>erdrag ooit vormt.</w:t>
      </w:r>
      <w:r w:rsidRPr="00A33930">
        <w:rPr>
          <w:rStyle w:val="Voetnootmarkering"/>
          <w:rFonts w:eastAsia="Verdana" w:cs="Verdana"/>
          <w:szCs w:val="18"/>
          <w:lang w:val="nl-NL"/>
        </w:rPr>
        <w:footnoteReference w:id="50"/>
      </w:r>
    </w:p>
    <w:p w14:paraId="765ED81F" w14:textId="39B04DC9" w:rsidR="00200B74" w:rsidRPr="00A33930" w:rsidRDefault="00BB7D84" w:rsidP="00180987">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lastRenderedPageBreak/>
        <w:t xml:space="preserve">Het IVRK </w:t>
      </w:r>
      <w:r w:rsidR="00557FCD" w:rsidRPr="00A33930">
        <w:rPr>
          <w:rFonts w:eastAsia="Verdana" w:cs="Verdana"/>
          <w:szCs w:val="18"/>
          <w:lang w:val="nl-NL"/>
        </w:rPr>
        <w:t>heeft</w:t>
      </w:r>
      <w:r w:rsidRPr="00A33930">
        <w:rPr>
          <w:rFonts w:eastAsia="Verdana" w:cs="Verdana"/>
          <w:szCs w:val="18"/>
          <w:lang w:val="nl-NL"/>
        </w:rPr>
        <w:t xml:space="preserve"> een juridisch bindend </w:t>
      </w:r>
      <w:r w:rsidR="00557FCD" w:rsidRPr="00A33930">
        <w:rPr>
          <w:rFonts w:eastAsia="Verdana" w:cs="Verdana"/>
          <w:szCs w:val="18"/>
          <w:lang w:val="nl-NL"/>
        </w:rPr>
        <w:t>karakter</w:t>
      </w:r>
      <w:r w:rsidR="00894D01" w:rsidRPr="00A33930">
        <w:rPr>
          <w:rFonts w:eastAsia="Verdana" w:cs="Verdana"/>
          <w:szCs w:val="18"/>
          <w:lang w:val="nl-NL"/>
        </w:rPr>
        <w:t xml:space="preserve"> ten aanzien van </w:t>
      </w:r>
      <w:r w:rsidR="00297A22" w:rsidRPr="00A33930">
        <w:rPr>
          <w:rFonts w:eastAsia="Verdana" w:cs="Verdana"/>
          <w:szCs w:val="18"/>
          <w:lang w:val="nl-NL"/>
        </w:rPr>
        <w:t>al</w:t>
      </w:r>
      <w:r w:rsidR="00894D01" w:rsidRPr="00A33930">
        <w:rPr>
          <w:rFonts w:eastAsia="Verdana" w:cs="Verdana"/>
          <w:szCs w:val="18"/>
          <w:lang w:val="nl-NL"/>
        </w:rPr>
        <w:t xml:space="preserve"> </w:t>
      </w:r>
      <w:r w:rsidR="00297A22" w:rsidRPr="00A33930">
        <w:rPr>
          <w:rFonts w:eastAsia="Verdana" w:cs="Verdana"/>
          <w:szCs w:val="18"/>
          <w:lang w:val="nl-NL"/>
        </w:rPr>
        <w:t xml:space="preserve">zijn </w:t>
      </w:r>
      <w:r w:rsidR="00240A28" w:rsidRPr="00A33930">
        <w:rPr>
          <w:rFonts w:eastAsia="Verdana" w:cs="Verdana"/>
          <w:szCs w:val="18"/>
          <w:lang w:val="nl-NL"/>
        </w:rPr>
        <w:t>V</w:t>
      </w:r>
      <w:r w:rsidR="00310729" w:rsidRPr="00A33930">
        <w:rPr>
          <w:rFonts w:eastAsia="Verdana" w:cs="Verdana"/>
          <w:szCs w:val="18"/>
          <w:lang w:val="nl-NL"/>
        </w:rPr>
        <w:t>erdragsstaten</w:t>
      </w:r>
      <w:r w:rsidR="00297A22" w:rsidRPr="00A33930">
        <w:rPr>
          <w:rFonts w:eastAsia="Verdana" w:cs="Verdana"/>
          <w:szCs w:val="18"/>
          <w:lang w:val="nl-NL"/>
        </w:rPr>
        <w:t>.</w:t>
      </w:r>
      <w:r w:rsidR="00A70C06" w:rsidRPr="00A33930">
        <w:rPr>
          <w:rStyle w:val="Voetnootmarkering"/>
          <w:rFonts w:eastAsia="Verdana" w:cs="Verdana"/>
          <w:szCs w:val="18"/>
          <w:lang w:val="nl-NL"/>
        </w:rPr>
        <w:footnoteReference w:id="51"/>
      </w:r>
      <w:r w:rsidRPr="00A33930">
        <w:rPr>
          <w:rFonts w:eastAsia="Verdana" w:cs="Verdana"/>
          <w:szCs w:val="18"/>
          <w:lang w:val="nl-NL"/>
        </w:rPr>
        <w:t xml:space="preserve"> </w:t>
      </w:r>
      <w:r w:rsidR="000A5B07" w:rsidRPr="00A33930">
        <w:rPr>
          <w:rFonts w:eastAsia="Verdana" w:cs="Verdana"/>
          <w:szCs w:val="18"/>
          <w:lang w:val="nl-NL"/>
        </w:rPr>
        <w:t>D</w:t>
      </w:r>
      <w:r w:rsidR="00FF284C" w:rsidRPr="00A33930">
        <w:rPr>
          <w:rFonts w:eastAsia="Verdana" w:cs="Verdana"/>
          <w:szCs w:val="18"/>
          <w:lang w:val="nl-NL"/>
        </w:rPr>
        <w:t xml:space="preserve">it </w:t>
      </w:r>
      <w:r w:rsidR="00314344" w:rsidRPr="00A33930">
        <w:rPr>
          <w:rFonts w:eastAsia="Verdana" w:cs="Verdana"/>
          <w:szCs w:val="18"/>
          <w:lang w:val="nl-NL"/>
        </w:rPr>
        <w:t>vereist van</w:t>
      </w:r>
      <w:r w:rsidR="00FF284C" w:rsidRPr="00A33930">
        <w:rPr>
          <w:rFonts w:eastAsia="Verdana" w:cs="Verdana"/>
          <w:szCs w:val="18"/>
          <w:lang w:val="nl-NL"/>
        </w:rPr>
        <w:t xml:space="preserve"> de</w:t>
      </w:r>
      <w:r w:rsidR="000A5B07" w:rsidRPr="00A33930">
        <w:rPr>
          <w:rFonts w:eastAsia="Verdana" w:cs="Verdana"/>
          <w:szCs w:val="18"/>
          <w:lang w:val="nl-NL"/>
        </w:rPr>
        <w:t xml:space="preserve"> </w:t>
      </w:r>
      <w:r w:rsidR="00240A28" w:rsidRPr="00A33930">
        <w:rPr>
          <w:rFonts w:eastAsia="Verdana" w:cs="Verdana"/>
          <w:szCs w:val="18"/>
          <w:lang w:val="nl-NL"/>
        </w:rPr>
        <w:t>V</w:t>
      </w:r>
      <w:r w:rsidR="00FF284C" w:rsidRPr="00A33930">
        <w:rPr>
          <w:rFonts w:eastAsia="Verdana" w:cs="Verdana"/>
          <w:szCs w:val="18"/>
          <w:lang w:val="nl-NL"/>
        </w:rPr>
        <w:t>erdragsstaten</w:t>
      </w:r>
      <w:r w:rsidR="000A5B07" w:rsidRPr="00A33930">
        <w:rPr>
          <w:rFonts w:eastAsia="Verdana" w:cs="Verdana"/>
          <w:szCs w:val="18"/>
          <w:lang w:val="nl-NL"/>
        </w:rPr>
        <w:t xml:space="preserve"> </w:t>
      </w:r>
      <w:r w:rsidR="00EE6B1B" w:rsidRPr="00A33930">
        <w:rPr>
          <w:rFonts w:eastAsia="Verdana" w:cs="Verdana"/>
          <w:szCs w:val="18"/>
          <w:lang w:val="nl-NL"/>
        </w:rPr>
        <w:t>implementatie</w:t>
      </w:r>
      <w:r w:rsidR="00FF284C" w:rsidRPr="00A33930">
        <w:rPr>
          <w:rFonts w:eastAsia="Verdana" w:cs="Verdana"/>
          <w:szCs w:val="18"/>
          <w:lang w:val="nl-NL"/>
        </w:rPr>
        <w:t xml:space="preserve"> van </w:t>
      </w:r>
      <w:r w:rsidR="00330705" w:rsidRPr="00A33930">
        <w:rPr>
          <w:rFonts w:eastAsia="Verdana" w:cs="Verdana"/>
          <w:szCs w:val="18"/>
          <w:lang w:val="nl-NL"/>
        </w:rPr>
        <w:t>zijn</w:t>
      </w:r>
      <w:r w:rsidR="00FF284C" w:rsidRPr="00A33930">
        <w:rPr>
          <w:rFonts w:eastAsia="Verdana" w:cs="Verdana"/>
          <w:szCs w:val="18"/>
          <w:lang w:val="nl-NL"/>
        </w:rPr>
        <w:t xml:space="preserve"> </w:t>
      </w:r>
      <w:r w:rsidR="00EE6B1B" w:rsidRPr="00A33930">
        <w:rPr>
          <w:rFonts w:eastAsia="Verdana" w:cs="Verdana"/>
          <w:szCs w:val="18"/>
          <w:lang w:val="nl-NL"/>
        </w:rPr>
        <w:t>bepalingen</w:t>
      </w:r>
      <w:r w:rsidR="000A5B07" w:rsidRPr="00A33930">
        <w:rPr>
          <w:rFonts w:eastAsia="Verdana" w:cs="Verdana"/>
          <w:szCs w:val="18"/>
          <w:lang w:val="nl-NL"/>
        </w:rPr>
        <w:t>.</w:t>
      </w:r>
      <w:r w:rsidR="00EE6B1B" w:rsidRPr="00A33930">
        <w:rPr>
          <w:rStyle w:val="Voetnootmarkering"/>
          <w:rFonts w:eastAsia="Verdana" w:cs="Verdana"/>
          <w:szCs w:val="18"/>
          <w:lang w:val="nl-NL"/>
        </w:rPr>
        <w:footnoteReference w:id="52"/>
      </w:r>
      <w:r w:rsidR="000A5B07" w:rsidRPr="00A33930">
        <w:rPr>
          <w:rFonts w:eastAsia="Verdana" w:cs="Verdana"/>
          <w:szCs w:val="18"/>
          <w:lang w:val="nl-NL"/>
        </w:rPr>
        <w:t xml:space="preserve"> </w:t>
      </w:r>
      <w:r w:rsidR="00FF284C" w:rsidRPr="00A33930">
        <w:rPr>
          <w:rFonts w:eastAsia="Verdana" w:cs="Verdana"/>
          <w:szCs w:val="18"/>
          <w:lang w:val="nl-NL"/>
        </w:rPr>
        <w:t>V</w:t>
      </w:r>
      <w:r w:rsidR="00AB71F1" w:rsidRPr="00A33930">
        <w:rPr>
          <w:rFonts w:eastAsia="Verdana" w:cs="Verdana"/>
          <w:szCs w:val="18"/>
          <w:lang w:val="nl-NL"/>
        </w:rPr>
        <w:t xml:space="preserve">erdragsstaten </w:t>
      </w:r>
      <w:r w:rsidR="00FF284C" w:rsidRPr="00A33930">
        <w:rPr>
          <w:rFonts w:eastAsia="Verdana" w:cs="Verdana"/>
          <w:szCs w:val="18"/>
          <w:lang w:val="nl-NL"/>
        </w:rPr>
        <w:t xml:space="preserve">dragen hierbij </w:t>
      </w:r>
      <w:r w:rsidR="00AB71F1" w:rsidRPr="00A33930">
        <w:rPr>
          <w:rFonts w:eastAsia="Verdana" w:cs="Verdana"/>
          <w:szCs w:val="18"/>
          <w:lang w:val="nl-NL"/>
        </w:rPr>
        <w:t xml:space="preserve">een positieve verplichting te voorzien in passende </w:t>
      </w:r>
      <w:r w:rsidR="00FF284C" w:rsidRPr="00A33930">
        <w:rPr>
          <w:rFonts w:eastAsia="Verdana" w:cs="Verdana"/>
          <w:szCs w:val="18"/>
          <w:lang w:val="nl-NL"/>
        </w:rPr>
        <w:t>wettelijke, bestuurlijke en administratieve maatregelen ter verwezenlijking van de kinderrechten.</w:t>
      </w:r>
      <w:r w:rsidR="00FF284C" w:rsidRPr="00A33930">
        <w:rPr>
          <w:rStyle w:val="Voetnootmarkering"/>
          <w:rFonts w:eastAsia="Verdana" w:cs="Verdana"/>
          <w:szCs w:val="18"/>
          <w:lang w:val="nl-NL"/>
        </w:rPr>
        <w:footnoteReference w:id="53"/>
      </w:r>
      <w:r w:rsidR="00FF284C" w:rsidRPr="00A33930">
        <w:rPr>
          <w:rFonts w:eastAsia="Verdana" w:cs="Verdana"/>
          <w:szCs w:val="18"/>
          <w:lang w:val="nl-NL"/>
        </w:rPr>
        <w:t xml:space="preserve"> Het IVRK steunt door deze positieve verplichtingen op de volledige vrijwillige participatie van de Verdragsstaten. </w:t>
      </w:r>
      <w:r w:rsidR="00D873C8" w:rsidRPr="00A33930">
        <w:rPr>
          <w:rFonts w:eastAsia="Verdana" w:cs="Verdana"/>
          <w:szCs w:val="18"/>
          <w:lang w:val="nl-NL"/>
        </w:rPr>
        <w:t>Echter is het IVRK</w:t>
      </w:r>
      <w:r w:rsidR="00D41C62" w:rsidRPr="00A33930">
        <w:rPr>
          <w:rFonts w:eastAsia="Verdana" w:cs="Verdana"/>
          <w:szCs w:val="18"/>
          <w:lang w:val="nl-NL"/>
        </w:rPr>
        <w:t xml:space="preserve"> op internationaal niveau niet in rechte afdwingbaar</w:t>
      </w:r>
      <w:r w:rsidR="00D873C8" w:rsidRPr="00A33930">
        <w:rPr>
          <w:rFonts w:eastAsia="Verdana" w:cs="Verdana"/>
          <w:szCs w:val="18"/>
          <w:lang w:val="nl-NL"/>
        </w:rPr>
        <w:t xml:space="preserve"> door de afwezigheid van sancties</w:t>
      </w:r>
      <w:r w:rsidR="00D41C62" w:rsidRPr="00A33930">
        <w:rPr>
          <w:rFonts w:eastAsia="Verdana" w:cs="Verdana"/>
          <w:szCs w:val="18"/>
          <w:lang w:val="nl-NL"/>
        </w:rPr>
        <w:t xml:space="preserve">. </w:t>
      </w:r>
      <w:r w:rsidR="00FF284C" w:rsidRPr="00A33930">
        <w:rPr>
          <w:rFonts w:eastAsia="Verdana" w:cs="Verdana"/>
          <w:szCs w:val="18"/>
          <w:lang w:val="nl-NL"/>
        </w:rPr>
        <w:t xml:space="preserve">Ondanks </w:t>
      </w:r>
      <w:r w:rsidR="00D873C8" w:rsidRPr="00A33930">
        <w:rPr>
          <w:rFonts w:eastAsia="Verdana" w:cs="Verdana"/>
          <w:szCs w:val="18"/>
          <w:lang w:val="nl-NL"/>
        </w:rPr>
        <w:t>deze</w:t>
      </w:r>
      <w:r w:rsidR="00FF284C" w:rsidRPr="00A33930">
        <w:rPr>
          <w:rFonts w:eastAsia="Verdana" w:cs="Verdana"/>
          <w:szCs w:val="18"/>
          <w:lang w:val="nl-NL"/>
        </w:rPr>
        <w:t xml:space="preserve"> afwezigheid houdt het VN-Kinderrechtencomité toezicht op de uitoefening van het IVRK </w:t>
      </w:r>
      <w:r w:rsidR="00D41C62" w:rsidRPr="00A33930">
        <w:rPr>
          <w:rFonts w:eastAsia="Verdana" w:cs="Verdana"/>
          <w:szCs w:val="18"/>
          <w:lang w:val="nl-NL"/>
        </w:rPr>
        <w:t>via een rapporteringsmechanisme</w:t>
      </w:r>
      <w:r w:rsidR="00FF284C" w:rsidRPr="00A33930">
        <w:rPr>
          <w:rFonts w:eastAsia="Verdana" w:cs="Verdana"/>
          <w:szCs w:val="18"/>
          <w:lang w:val="nl-NL"/>
        </w:rPr>
        <w:t>.</w:t>
      </w:r>
      <w:r w:rsidR="00FF284C" w:rsidRPr="00A33930">
        <w:rPr>
          <w:vertAlign w:val="superscript"/>
          <w:lang w:val="nl-NL"/>
        </w:rPr>
        <w:footnoteReference w:id="54"/>
      </w:r>
      <w:r w:rsidR="00FF284C" w:rsidRPr="00A33930">
        <w:rPr>
          <w:rFonts w:eastAsia="Verdana" w:cs="Verdana"/>
          <w:szCs w:val="18"/>
          <w:lang w:val="nl-NL"/>
        </w:rPr>
        <w:t xml:space="preserve"> </w:t>
      </w:r>
    </w:p>
    <w:p w14:paraId="2F9609FC" w14:textId="77777777" w:rsidR="00200B74" w:rsidRPr="00A33930" w:rsidRDefault="00200B74" w:rsidP="00200B74">
      <w:pPr>
        <w:pStyle w:val="Lijstalinea"/>
        <w:rPr>
          <w:rFonts w:eastAsia="Verdana" w:cs="Verdana"/>
          <w:szCs w:val="18"/>
          <w:lang w:val="nl-NL"/>
        </w:rPr>
      </w:pPr>
    </w:p>
    <w:p w14:paraId="20679076" w14:textId="2A0F7999" w:rsidR="00FF284C" w:rsidRPr="00A33930" w:rsidRDefault="00D41C62" w:rsidP="00180987">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Op zichzelf is het IVRK een relatief zwak instrument.</w:t>
      </w:r>
      <w:r w:rsidR="00200B74" w:rsidRPr="00A33930">
        <w:rPr>
          <w:rFonts w:eastAsia="Verdana" w:cs="Verdana"/>
          <w:szCs w:val="18"/>
          <w:lang w:val="nl-NL"/>
        </w:rPr>
        <w:t xml:space="preserve"> Dit komt enerzijds door het zwak controlemechanisme en anderzijds door de</w:t>
      </w:r>
      <w:r w:rsidR="00D873C8" w:rsidRPr="00A33930">
        <w:rPr>
          <w:rFonts w:eastAsia="Verdana" w:cs="Verdana"/>
          <w:szCs w:val="18"/>
          <w:lang w:val="nl-NL"/>
        </w:rPr>
        <w:t xml:space="preserve"> opname van</w:t>
      </w:r>
      <w:r w:rsidR="00200B74" w:rsidRPr="00A33930">
        <w:rPr>
          <w:rFonts w:eastAsia="Verdana" w:cs="Verdana"/>
          <w:szCs w:val="18"/>
          <w:lang w:val="nl-NL"/>
        </w:rPr>
        <w:t xml:space="preserve"> materiële rechten.</w:t>
      </w:r>
      <w:r w:rsidR="00200B74" w:rsidRPr="00A33930">
        <w:rPr>
          <w:rStyle w:val="Voetnootmarkering"/>
          <w:rFonts w:eastAsia="Verdana" w:cs="Verdana"/>
          <w:szCs w:val="18"/>
          <w:lang w:val="nl-NL"/>
        </w:rPr>
        <w:footnoteReference w:id="55"/>
      </w:r>
      <w:r w:rsidRPr="00A33930">
        <w:rPr>
          <w:rFonts w:eastAsia="Verdana" w:cs="Verdana"/>
          <w:szCs w:val="18"/>
          <w:lang w:val="nl-NL"/>
        </w:rPr>
        <w:t xml:space="preserve"> </w:t>
      </w:r>
      <w:r w:rsidR="00FF284C" w:rsidRPr="00A33930">
        <w:rPr>
          <w:rFonts w:eastAsia="Verdana" w:cs="Verdana"/>
          <w:szCs w:val="18"/>
          <w:lang w:val="nl-NL"/>
        </w:rPr>
        <w:t>Het IVRK is dan ook geen zelfvoorzienend systeem en moet worden gelezen in het licht van de General Comments van het VN-Kinderrechtencomité.</w:t>
      </w:r>
      <w:r w:rsidR="00FF284C" w:rsidRPr="00A33930">
        <w:rPr>
          <w:rStyle w:val="Voetnootmarkering"/>
          <w:rFonts w:eastAsia="Verdana" w:cs="Verdana"/>
          <w:szCs w:val="18"/>
          <w:lang w:val="nl-NL"/>
        </w:rPr>
        <w:footnoteReference w:id="56"/>
      </w:r>
      <w:r w:rsidR="00FF284C" w:rsidRPr="00A33930">
        <w:rPr>
          <w:rFonts w:eastAsia="Verdana" w:cs="Verdana"/>
          <w:szCs w:val="18"/>
          <w:lang w:val="nl-NL"/>
        </w:rPr>
        <w:t xml:space="preserve"> General Comments zijn niet-bindende rechtsnormen, hebben geen juridische draagwijdte en worden aangewend als gezaghebbende interpretaties van een verdragsbepaling.</w:t>
      </w:r>
      <w:r w:rsidR="00FF284C" w:rsidRPr="00A33930">
        <w:rPr>
          <w:rStyle w:val="Voetnootmarkering"/>
          <w:rFonts w:eastAsia="Verdana" w:cs="Verdana"/>
          <w:szCs w:val="18"/>
          <w:lang w:val="nl-NL"/>
        </w:rPr>
        <w:footnoteReference w:id="57"/>
      </w:r>
      <w:r w:rsidR="00FF284C" w:rsidRPr="00A33930">
        <w:rPr>
          <w:rFonts w:eastAsia="Verdana" w:cs="Verdana"/>
          <w:szCs w:val="18"/>
          <w:lang w:val="nl-NL"/>
        </w:rPr>
        <w:t xml:space="preserve"> Het zijn enigszins gezaghebbende bronnen doordat zij vaak worden gebruikt in rechtspraak van zowel nationale als internationale instanties.</w:t>
      </w:r>
      <w:r w:rsidR="00FF284C" w:rsidRPr="00A33930">
        <w:rPr>
          <w:rStyle w:val="Voetnootmarkering"/>
          <w:rFonts w:eastAsia="Verdana" w:cs="Verdana"/>
          <w:szCs w:val="18"/>
          <w:lang w:val="nl-NL"/>
        </w:rPr>
        <w:footnoteReference w:id="58"/>
      </w:r>
      <w:r w:rsidR="00FF284C" w:rsidRPr="00A33930">
        <w:rPr>
          <w:rFonts w:eastAsia="Verdana" w:cs="Verdana"/>
          <w:szCs w:val="18"/>
          <w:lang w:val="nl-NL"/>
        </w:rPr>
        <w:t xml:space="preserve"> </w:t>
      </w:r>
      <w:r w:rsidR="00806319" w:rsidRPr="00A33930">
        <w:rPr>
          <w:rFonts w:eastAsia="Verdana" w:cs="Verdana"/>
          <w:szCs w:val="18"/>
          <w:lang w:val="nl-NL"/>
        </w:rPr>
        <w:t>Hierdoor worden de General Comments van het VN-Kinderrechtencomité in</w:t>
      </w:r>
      <w:r w:rsidR="00FF284C" w:rsidRPr="00A33930">
        <w:rPr>
          <w:rFonts w:eastAsia="Verdana" w:cs="Verdana"/>
          <w:szCs w:val="18"/>
          <w:lang w:val="nl-NL"/>
        </w:rPr>
        <w:t xml:space="preserve"> dit onderzoek bij het desbetreffende recht verder uiteengezet</w:t>
      </w:r>
      <w:r w:rsidR="00D25159" w:rsidRPr="00A33930">
        <w:rPr>
          <w:rFonts w:eastAsia="Verdana" w:cs="Verdana"/>
          <w:szCs w:val="18"/>
          <w:lang w:val="nl-NL"/>
        </w:rPr>
        <w:t xml:space="preserve"> teneinde de </w:t>
      </w:r>
      <w:r w:rsidR="00D25159" w:rsidRPr="00A33930">
        <w:rPr>
          <w:rFonts w:eastAsia="Verdana" w:cs="Verdana"/>
          <w:i/>
          <w:iCs/>
          <w:szCs w:val="18"/>
          <w:lang w:val="nl-NL"/>
        </w:rPr>
        <w:t>ratio legis</w:t>
      </w:r>
      <w:r w:rsidR="00D25159" w:rsidRPr="00A33930">
        <w:rPr>
          <w:rFonts w:eastAsia="Verdana" w:cs="Verdana"/>
          <w:szCs w:val="18"/>
          <w:lang w:val="nl-NL"/>
        </w:rPr>
        <w:t xml:space="preserve"> achter het kindperspectief te onderzoeken</w:t>
      </w:r>
      <w:r w:rsidR="00FF284C" w:rsidRPr="00A33930">
        <w:rPr>
          <w:rFonts w:eastAsia="Verdana" w:cs="Verdana"/>
          <w:szCs w:val="18"/>
          <w:lang w:val="nl-NL"/>
        </w:rPr>
        <w:t xml:space="preserve"> (</w:t>
      </w:r>
      <w:r w:rsidR="00FF284C" w:rsidRPr="00A33930">
        <w:rPr>
          <w:rFonts w:eastAsia="Verdana" w:cs="Verdana"/>
          <w:i/>
          <w:iCs/>
          <w:szCs w:val="18"/>
          <w:lang w:val="nl-NL"/>
        </w:rPr>
        <w:t xml:space="preserve">infra, </w:t>
      </w:r>
      <w:r w:rsidR="00FF284C" w:rsidRPr="00A33930">
        <w:rPr>
          <w:rFonts w:eastAsia="Verdana" w:cs="Verdana"/>
          <w:szCs w:val="18"/>
          <w:lang w:val="nl-NL"/>
        </w:rPr>
        <w:t xml:space="preserve">nr. </w:t>
      </w:r>
      <w:r w:rsidR="00806319" w:rsidRPr="00A33930">
        <w:rPr>
          <w:rFonts w:eastAsia="Verdana" w:cs="Verdana"/>
          <w:szCs w:val="18"/>
          <w:lang w:val="nl-NL"/>
        </w:rPr>
        <w:t>31</w:t>
      </w:r>
      <w:r w:rsidR="00FF284C" w:rsidRPr="00A33930">
        <w:rPr>
          <w:rFonts w:eastAsia="Verdana" w:cs="Verdana"/>
          <w:szCs w:val="18"/>
          <w:lang w:val="nl-NL"/>
        </w:rPr>
        <w:t xml:space="preserve">). Verder bestaat de taak van het VN-Kinderrechtencomité uit het opstellen van </w:t>
      </w:r>
      <w:r w:rsidR="00FF284C" w:rsidRPr="00A33930">
        <w:rPr>
          <w:rFonts w:eastAsia="Verdana" w:cs="Verdana"/>
          <w:i/>
          <w:iCs/>
          <w:szCs w:val="18"/>
          <w:lang w:val="nl-NL"/>
        </w:rPr>
        <w:t>concluding observations</w:t>
      </w:r>
      <w:r w:rsidR="00FF284C" w:rsidRPr="00A33930">
        <w:rPr>
          <w:rFonts w:eastAsia="Verdana" w:cs="Verdana"/>
          <w:szCs w:val="18"/>
          <w:lang w:val="nl-NL"/>
        </w:rPr>
        <w:t xml:space="preserve"> waarbij Verdragsstaten verplicht worden een vijfjaarlijks rapport in te dienen over de verwezenlijking van kinderrechten in desbetreffende lidstaat.</w:t>
      </w:r>
      <w:r w:rsidR="00FF284C" w:rsidRPr="00A33930">
        <w:rPr>
          <w:vertAlign w:val="superscript"/>
          <w:lang w:val="nl-NL"/>
        </w:rPr>
        <w:footnoteReference w:id="59"/>
      </w:r>
      <w:r w:rsidR="00FF284C" w:rsidRPr="00A33930">
        <w:rPr>
          <w:rFonts w:eastAsia="Verdana" w:cs="Verdana"/>
          <w:szCs w:val="18"/>
          <w:lang w:val="nl-NL"/>
        </w:rPr>
        <w:t xml:space="preserve"> Er worden door het VN-Kinderrechtencomité zelf tevens geen sancties opgelegd en </w:t>
      </w:r>
      <w:r w:rsidR="00E16D62" w:rsidRPr="00A33930">
        <w:rPr>
          <w:rFonts w:eastAsia="Verdana" w:cs="Verdana"/>
          <w:szCs w:val="18"/>
          <w:lang w:val="nl-NL"/>
        </w:rPr>
        <w:t>de</w:t>
      </w:r>
      <w:r w:rsidR="00FF284C" w:rsidRPr="00A33930">
        <w:rPr>
          <w:rFonts w:eastAsia="Verdana" w:cs="Verdana"/>
          <w:szCs w:val="18"/>
          <w:lang w:val="nl-NL"/>
        </w:rPr>
        <w:t xml:space="preserve"> uitspraken en rapporten </w:t>
      </w:r>
      <w:r w:rsidR="00C0600D" w:rsidRPr="00A33930">
        <w:rPr>
          <w:rFonts w:eastAsia="Verdana" w:cs="Verdana"/>
          <w:szCs w:val="18"/>
          <w:lang w:val="nl-NL"/>
        </w:rPr>
        <w:t xml:space="preserve">zijn </w:t>
      </w:r>
      <w:r w:rsidR="00FF284C" w:rsidRPr="00A33930">
        <w:rPr>
          <w:rFonts w:eastAsia="Verdana" w:cs="Verdana"/>
          <w:szCs w:val="18"/>
          <w:lang w:val="nl-NL"/>
        </w:rPr>
        <w:t>niet bindend.</w:t>
      </w:r>
      <w:r w:rsidR="00FF284C" w:rsidRPr="00A33930">
        <w:rPr>
          <w:rStyle w:val="Voetnootmarkering"/>
          <w:rFonts w:eastAsia="Verdana" w:cs="Verdana"/>
          <w:szCs w:val="18"/>
          <w:lang w:val="nl-NL"/>
        </w:rPr>
        <w:footnoteReference w:id="60"/>
      </w:r>
    </w:p>
    <w:p w14:paraId="401DCEF7" w14:textId="77777777" w:rsidR="00FF284C" w:rsidRPr="00A33930" w:rsidRDefault="00FF284C" w:rsidP="00FF284C">
      <w:pPr>
        <w:pStyle w:val="Lijstalinea"/>
        <w:rPr>
          <w:rFonts w:eastAsia="Verdana" w:cs="Verdana"/>
          <w:szCs w:val="18"/>
          <w:lang w:val="nl-NL"/>
        </w:rPr>
      </w:pPr>
    </w:p>
    <w:p w14:paraId="0FA19B25" w14:textId="6FF726F9" w:rsidR="005231A0" w:rsidRPr="00A33930" w:rsidRDefault="00FF284C" w:rsidP="005231A0">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Het comprehensief karakter van het IVRK benadrukt dat Verdragsstaten een geïntegreerde implementatie van het IVRK moeten uitvoeren (</w:t>
      </w:r>
      <w:r w:rsidRPr="00A33930">
        <w:rPr>
          <w:rFonts w:eastAsia="Verdana" w:cs="Verdana"/>
          <w:i/>
          <w:iCs/>
          <w:szCs w:val="18"/>
          <w:lang w:val="nl-NL"/>
        </w:rPr>
        <w:t>supra</w:t>
      </w:r>
      <w:r w:rsidRPr="00A33930">
        <w:rPr>
          <w:rFonts w:eastAsia="Verdana" w:cs="Verdana"/>
          <w:szCs w:val="18"/>
          <w:lang w:val="nl-NL"/>
        </w:rPr>
        <w:t xml:space="preserve">, nr. </w:t>
      </w:r>
      <w:r w:rsidR="00806319" w:rsidRPr="00A33930">
        <w:rPr>
          <w:rFonts w:eastAsia="Verdana" w:cs="Verdana"/>
          <w:szCs w:val="18"/>
          <w:lang w:val="nl-NL"/>
        </w:rPr>
        <w:t>25</w:t>
      </w:r>
      <w:r w:rsidRPr="00A33930">
        <w:rPr>
          <w:rFonts w:eastAsia="Verdana" w:cs="Verdana"/>
          <w:szCs w:val="18"/>
          <w:lang w:val="nl-NL"/>
        </w:rPr>
        <w:t>).</w:t>
      </w:r>
      <w:r w:rsidRPr="00A33930">
        <w:rPr>
          <w:rStyle w:val="Voetnootmarkering"/>
          <w:rFonts w:eastAsia="Verdana" w:cs="Verdana"/>
          <w:szCs w:val="18"/>
          <w:lang w:val="nl-NL"/>
        </w:rPr>
        <w:footnoteReference w:id="61"/>
      </w:r>
      <w:r w:rsidRPr="00A33930">
        <w:rPr>
          <w:rFonts w:eastAsia="Verdana" w:cs="Verdana"/>
          <w:szCs w:val="18"/>
          <w:lang w:val="nl-NL"/>
        </w:rPr>
        <w:t xml:space="preserve"> </w:t>
      </w:r>
      <w:r w:rsidR="00297A22" w:rsidRPr="00A33930">
        <w:rPr>
          <w:rFonts w:eastAsia="Verdana" w:cs="Verdana"/>
          <w:szCs w:val="18"/>
          <w:lang w:val="nl-NL"/>
        </w:rPr>
        <w:t xml:space="preserve">Het IVRK is </w:t>
      </w:r>
      <w:r w:rsidRPr="00A33930">
        <w:rPr>
          <w:rFonts w:eastAsia="Verdana" w:cs="Verdana"/>
          <w:szCs w:val="18"/>
          <w:lang w:val="nl-NL"/>
        </w:rPr>
        <w:t xml:space="preserve">voor rechtsstelsels met een monistisch systeem, zoals België en Nederland, </w:t>
      </w:r>
      <w:r w:rsidR="00297A22" w:rsidRPr="00A33930">
        <w:rPr>
          <w:rFonts w:eastAsia="Verdana" w:cs="Verdana"/>
          <w:szCs w:val="18"/>
          <w:lang w:val="nl-NL"/>
        </w:rPr>
        <w:t xml:space="preserve">in principe een verdrag met directe werking </w:t>
      </w:r>
      <w:r w:rsidR="00297A22" w:rsidRPr="00A33930">
        <w:rPr>
          <w:rFonts w:eastAsia="Verdana" w:cs="Verdana"/>
          <w:szCs w:val="18"/>
          <w:lang w:val="nl-NL"/>
        </w:rPr>
        <w:lastRenderedPageBreak/>
        <w:t xml:space="preserve">waardoor rechtzoekenden </w:t>
      </w:r>
      <w:r w:rsidRPr="00A33930">
        <w:rPr>
          <w:rFonts w:eastAsia="Verdana" w:cs="Verdana"/>
          <w:szCs w:val="18"/>
          <w:lang w:val="nl-NL"/>
        </w:rPr>
        <w:t xml:space="preserve">zich voor de rechter </w:t>
      </w:r>
      <w:r w:rsidR="00297A22" w:rsidRPr="00A33930">
        <w:rPr>
          <w:rFonts w:eastAsia="Verdana" w:cs="Verdana"/>
          <w:szCs w:val="18"/>
          <w:lang w:val="nl-NL"/>
        </w:rPr>
        <w:t xml:space="preserve">rechtstreeks </w:t>
      </w:r>
      <w:r w:rsidRPr="00A33930">
        <w:rPr>
          <w:rFonts w:eastAsia="Verdana" w:cs="Verdana"/>
          <w:szCs w:val="18"/>
          <w:lang w:val="nl-NL"/>
        </w:rPr>
        <w:t>op de</w:t>
      </w:r>
      <w:r w:rsidR="00297A22" w:rsidRPr="00A33930">
        <w:rPr>
          <w:rFonts w:eastAsia="Verdana" w:cs="Verdana"/>
          <w:szCs w:val="18"/>
          <w:lang w:val="nl-NL"/>
        </w:rPr>
        <w:t xml:space="preserve"> bepaling</w:t>
      </w:r>
      <w:r w:rsidRPr="00A33930">
        <w:rPr>
          <w:rFonts w:eastAsia="Verdana" w:cs="Verdana"/>
          <w:szCs w:val="18"/>
          <w:lang w:val="nl-NL"/>
        </w:rPr>
        <w:t>en</w:t>
      </w:r>
      <w:r w:rsidR="00297A22" w:rsidRPr="00A33930">
        <w:rPr>
          <w:rFonts w:eastAsia="Verdana" w:cs="Verdana"/>
          <w:szCs w:val="18"/>
          <w:lang w:val="nl-NL"/>
        </w:rPr>
        <w:t xml:space="preserve"> van het </w:t>
      </w:r>
      <w:r w:rsidRPr="00A33930">
        <w:rPr>
          <w:rFonts w:eastAsia="Verdana" w:cs="Verdana"/>
          <w:szCs w:val="18"/>
          <w:lang w:val="nl-NL"/>
        </w:rPr>
        <w:t>IVRK</w:t>
      </w:r>
      <w:r w:rsidR="00297A22" w:rsidRPr="00A33930">
        <w:rPr>
          <w:rFonts w:eastAsia="Verdana" w:cs="Verdana"/>
          <w:szCs w:val="18"/>
          <w:lang w:val="nl-NL"/>
        </w:rPr>
        <w:t xml:space="preserve"> </w:t>
      </w:r>
      <w:r w:rsidRPr="00A33930">
        <w:rPr>
          <w:rFonts w:eastAsia="Verdana" w:cs="Verdana"/>
          <w:szCs w:val="18"/>
          <w:lang w:val="nl-NL"/>
        </w:rPr>
        <w:t>kunnen</w:t>
      </w:r>
      <w:r w:rsidR="00297A22" w:rsidRPr="00A33930">
        <w:rPr>
          <w:rFonts w:eastAsia="Verdana" w:cs="Verdana"/>
          <w:szCs w:val="18"/>
          <w:lang w:val="nl-NL"/>
        </w:rPr>
        <w:t xml:space="preserve"> </w:t>
      </w:r>
      <w:r w:rsidRPr="00A33930">
        <w:rPr>
          <w:rFonts w:eastAsia="Verdana" w:cs="Verdana"/>
          <w:szCs w:val="18"/>
          <w:lang w:val="nl-NL"/>
        </w:rPr>
        <w:t>beroepen</w:t>
      </w:r>
      <w:r w:rsidR="00297A22" w:rsidRPr="00A33930">
        <w:rPr>
          <w:rFonts w:eastAsia="Verdana" w:cs="Verdana"/>
          <w:szCs w:val="18"/>
          <w:lang w:val="nl-NL"/>
        </w:rPr>
        <w:t>.</w:t>
      </w:r>
      <w:r w:rsidR="00297A22" w:rsidRPr="00A33930">
        <w:rPr>
          <w:rStyle w:val="Voetnootmarkering"/>
          <w:rFonts w:eastAsia="Verdana" w:cs="Verdana"/>
          <w:szCs w:val="18"/>
          <w:lang w:val="nl-NL"/>
        </w:rPr>
        <w:footnoteReference w:id="62"/>
      </w:r>
      <w:r w:rsidR="00297A22" w:rsidRPr="00A33930">
        <w:rPr>
          <w:rFonts w:eastAsia="Verdana" w:cs="Verdana"/>
          <w:szCs w:val="18"/>
          <w:lang w:val="nl-NL"/>
        </w:rPr>
        <w:t xml:space="preserve"> </w:t>
      </w:r>
      <w:r w:rsidR="00EE6B1B" w:rsidRPr="00A33930">
        <w:rPr>
          <w:rFonts w:eastAsia="Verdana" w:cs="Verdana"/>
          <w:szCs w:val="18"/>
          <w:lang w:val="nl-NL"/>
        </w:rPr>
        <w:t>België en Nederland moeten het IVRK onmiddellijk, middels directe werking, implementeren in de nationale regelgeving.</w:t>
      </w:r>
      <w:r w:rsidR="00EE6B1B" w:rsidRPr="00A33930">
        <w:rPr>
          <w:rStyle w:val="Voetnootmarkering"/>
          <w:rFonts w:eastAsia="Verdana" w:cs="Verdana"/>
          <w:szCs w:val="18"/>
          <w:lang w:val="nl-NL"/>
        </w:rPr>
        <w:footnoteReference w:id="63"/>
      </w:r>
      <w:r w:rsidR="00EE6B1B" w:rsidRPr="00A33930">
        <w:rPr>
          <w:rFonts w:eastAsia="Verdana" w:cs="Verdana"/>
          <w:szCs w:val="18"/>
          <w:lang w:val="nl-NL"/>
        </w:rPr>
        <w:t xml:space="preserve"> Hiervoor is geen omzetting </w:t>
      </w:r>
      <w:r w:rsidR="00B00CE7" w:rsidRPr="00A33930">
        <w:rPr>
          <w:rFonts w:eastAsia="Verdana" w:cs="Verdana"/>
          <w:szCs w:val="18"/>
          <w:lang w:val="nl-NL"/>
        </w:rPr>
        <w:t xml:space="preserve">in nationale regelgeving </w:t>
      </w:r>
      <w:r w:rsidR="00EE6B1B" w:rsidRPr="00A33930">
        <w:rPr>
          <w:rFonts w:eastAsia="Verdana" w:cs="Verdana"/>
          <w:szCs w:val="18"/>
          <w:lang w:val="nl-NL"/>
        </w:rPr>
        <w:t xml:space="preserve">vereist. Dit zorgt ervoor dat het IVRK in principe voorrang </w:t>
      </w:r>
      <w:r w:rsidR="00A40BA9" w:rsidRPr="00A33930">
        <w:rPr>
          <w:rFonts w:eastAsia="Verdana" w:cs="Verdana"/>
          <w:szCs w:val="18"/>
          <w:lang w:val="nl-NL"/>
        </w:rPr>
        <w:t>heeft</w:t>
      </w:r>
      <w:r w:rsidR="00EE6B1B" w:rsidRPr="00A33930">
        <w:rPr>
          <w:rFonts w:eastAsia="Verdana" w:cs="Verdana"/>
          <w:szCs w:val="18"/>
          <w:lang w:val="nl-NL"/>
        </w:rPr>
        <w:t xml:space="preserve"> op het nationale recht, zelfs op de </w:t>
      </w:r>
      <w:r w:rsidR="00D25159" w:rsidRPr="00A33930">
        <w:rPr>
          <w:rFonts w:eastAsia="Verdana" w:cs="Verdana"/>
          <w:szCs w:val="18"/>
          <w:lang w:val="nl-NL"/>
        </w:rPr>
        <w:t>G</w:t>
      </w:r>
      <w:r w:rsidR="00EE6B1B" w:rsidRPr="00A33930">
        <w:rPr>
          <w:rFonts w:eastAsia="Verdana" w:cs="Verdana"/>
          <w:szCs w:val="18"/>
          <w:lang w:val="nl-NL"/>
        </w:rPr>
        <w:t>rondwet, waardoor strijdige internrechtelijke normen buiten toepassing moeten worden gelaten.</w:t>
      </w:r>
      <w:r w:rsidR="00EE6B1B" w:rsidRPr="00A33930">
        <w:rPr>
          <w:rStyle w:val="Voetnootmarkering"/>
          <w:rFonts w:eastAsia="Verdana" w:cs="Verdana"/>
          <w:szCs w:val="18"/>
          <w:lang w:val="nl-NL"/>
        </w:rPr>
        <w:footnoteReference w:id="64"/>
      </w:r>
    </w:p>
    <w:p w14:paraId="4FD7BA33" w14:textId="77777777" w:rsidR="005231A0" w:rsidRPr="00A33930" w:rsidRDefault="005231A0" w:rsidP="005231A0">
      <w:pPr>
        <w:pStyle w:val="Lijstalinea"/>
        <w:spacing w:before="200" w:after="0"/>
        <w:ind w:left="0"/>
        <w:jc w:val="both"/>
        <w:rPr>
          <w:rFonts w:eastAsia="Verdana" w:cs="Verdana"/>
          <w:szCs w:val="18"/>
          <w:lang w:val="nl-NL"/>
        </w:rPr>
      </w:pPr>
    </w:p>
    <w:p w14:paraId="02B7FE28" w14:textId="299E8CA9" w:rsidR="00A74B82" w:rsidRPr="00A33930" w:rsidRDefault="00EE6B1B" w:rsidP="00A74B82">
      <w:pPr>
        <w:pStyle w:val="Lijstalinea"/>
        <w:spacing w:before="200" w:after="0"/>
        <w:ind w:left="0"/>
        <w:jc w:val="both"/>
        <w:rPr>
          <w:rFonts w:eastAsia="Verdana" w:cs="Verdana"/>
          <w:i/>
          <w:iCs/>
          <w:szCs w:val="18"/>
          <w:lang w:val="nl-NL"/>
        </w:rPr>
      </w:pPr>
      <w:r w:rsidRPr="00A33930">
        <w:rPr>
          <w:rFonts w:eastAsia="Verdana" w:cs="Verdana"/>
          <w:szCs w:val="18"/>
          <w:lang w:val="nl-NL"/>
        </w:rPr>
        <w:t xml:space="preserve">Om directe werking toe te kennen moeten </w:t>
      </w:r>
      <w:r w:rsidR="00B00CE7" w:rsidRPr="00A33930">
        <w:rPr>
          <w:rFonts w:eastAsia="Verdana" w:cs="Verdana"/>
          <w:szCs w:val="18"/>
          <w:lang w:val="nl-NL"/>
        </w:rPr>
        <w:t xml:space="preserve">naar Belgisch recht </w:t>
      </w:r>
      <w:r w:rsidRPr="00A33930">
        <w:rPr>
          <w:rFonts w:eastAsia="Verdana" w:cs="Verdana"/>
          <w:szCs w:val="18"/>
          <w:lang w:val="nl-NL"/>
        </w:rPr>
        <w:t>een aantal voorwaarden vervuld zijn.</w:t>
      </w:r>
      <w:r w:rsidR="00B00CE7" w:rsidRPr="00A33930">
        <w:rPr>
          <w:rStyle w:val="Voetnootmarkering"/>
          <w:rFonts w:eastAsia="Verdana" w:cs="Verdana"/>
          <w:szCs w:val="18"/>
          <w:lang w:val="nl-NL"/>
        </w:rPr>
        <w:footnoteReference w:id="65"/>
      </w:r>
      <w:r w:rsidRPr="00A33930">
        <w:rPr>
          <w:rFonts w:eastAsia="Verdana" w:cs="Verdana"/>
          <w:szCs w:val="18"/>
          <w:lang w:val="nl-NL"/>
        </w:rPr>
        <w:t xml:space="preserve"> Ten eerste</w:t>
      </w:r>
      <w:r w:rsidR="00B00CE7" w:rsidRPr="00A33930">
        <w:rPr>
          <w:rFonts w:eastAsia="Verdana" w:cs="Verdana"/>
          <w:szCs w:val="18"/>
          <w:lang w:val="nl-NL"/>
        </w:rPr>
        <w:t xml:space="preserve"> </w:t>
      </w:r>
      <w:r w:rsidRPr="00A33930">
        <w:rPr>
          <w:rFonts w:eastAsia="Verdana" w:cs="Verdana"/>
          <w:szCs w:val="18"/>
          <w:lang w:val="nl-NL"/>
        </w:rPr>
        <w:t xml:space="preserve">moet er voldaan zijn aan het subjectief criterium dat de </w:t>
      </w:r>
      <w:r w:rsidR="00D25159" w:rsidRPr="00A33930">
        <w:rPr>
          <w:rFonts w:eastAsia="Verdana" w:cs="Verdana"/>
          <w:szCs w:val="18"/>
          <w:lang w:val="nl-NL"/>
        </w:rPr>
        <w:t>v</w:t>
      </w:r>
      <w:r w:rsidRPr="00A33930">
        <w:rPr>
          <w:rFonts w:eastAsia="Verdana" w:cs="Verdana"/>
          <w:szCs w:val="18"/>
          <w:lang w:val="nl-NL"/>
        </w:rPr>
        <w:t xml:space="preserve">erdragsstaten de bedoeling moeten hebben om directe werking te verlenen aan </w:t>
      </w:r>
      <w:r w:rsidR="005D1AE8" w:rsidRPr="00A33930">
        <w:rPr>
          <w:rFonts w:eastAsia="Verdana" w:cs="Verdana"/>
          <w:szCs w:val="18"/>
          <w:lang w:val="nl-NL"/>
        </w:rPr>
        <w:t>de bepalingen van het</w:t>
      </w:r>
      <w:r w:rsidRPr="00A33930">
        <w:rPr>
          <w:rFonts w:eastAsia="Verdana" w:cs="Verdana"/>
          <w:szCs w:val="18"/>
          <w:lang w:val="nl-NL"/>
        </w:rPr>
        <w:t xml:space="preserve"> </w:t>
      </w:r>
      <w:r w:rsidR="005D1AE8" w:rsidRPr="00A33930">
        <w:rPr>
          <w:rFonts w:eastAsia="Verdana" w:cs="Verdana"/>
          <w:szCs w:val="18"/>
          <w:lang w:val="nl-NL"/>
        </w:rPr>
        <w:t>IVRK</w:t>
      </w:r>
      <w:r w:rsidR="00B00CE7" w:rsidRPr="00A33930">
        <w:rPr>
          <w:rFonts w:eastAsia="Verdana" w:cs="Verdana"/>
          <w:szCs w:val="18"/>
          <w:lang w:val="nl-NL"/>
        </w:rPr>
        <w:t>.</w:t>
      </w:r>
      <w:r w:rsidRPr="00A33930">
        <w:rPr>
          <w:rFonts w:eastAsia="Verdana" w:cs="Verdana"/>
          <w:szCs w:val="18"/>
          <w:lang w:val="nl-NL"/>
        </w:rPr>
        <w:t xml:space="preserve"> Ten tweede moet de norm voldoende duidelijk en precies zijn</w:t>
      </w:r>
      <w:r w:rsidR="00B00CE7" w:rsidRPr="00A33930">
        <w:rPr>
          <w:rFonts w:eastAsia="Verdana" w:cs="Verdana"/>
          <w:szCs w:val="18"/>
          <w:lang w:val="nl-NL"/>
        </w:rPr>
        <w:t xml:space="preserve"> geformuleerd</w:t>
      </w:r>
      <w:r w:rsidRPr="00A33930">
        <w:rPr>
          <w:rFonts w:eastAsia="Verdana" w:cs="Verdana"/>
          <w:szCs w:val="18"/>
          <w:lang w:val="nl-NL"/>
        </w:rPr>
        <w:t>, aldus het objectief criterium</w:t>
      </w:r>
      <w:r w:rsidR="00B00CE7" w:rsidRPr="00A33930">
        <w:rPr>
          <w:rFonts w:eastAsia="Verdana" w:cs="Verdana"/>
          <w:szCs w:val="18"/>
          <w:lang w:val="nl-NL"/>
        </w:rPr>
        <w:t>.</w:t>
      </w:r>
      <w:r w:rsidR="005D1AE8" w:rsidRPr="00A33930">
        <w:rPr>
          <w:rFonts w:eastAsia="Verdana" w:cs="Verdana"/>
          <w:szCs w:val="18"/>
          <w:lang w:val="nl-NL"/>
        </w:rPr>
        <w:t xml:space="preserve"> Door het comprehensief karakter van het IVRK vergt het enige inspanning van de verdragsstaten om de directe werking </w:t>
      </w:r>
      <w:r w:rsidR="00B00CE7" w:rsidRPr="00A33930">
        <w:rPr>
          <w:rFonts w:eastAsia="Verdana" w:cs="Verdana"/>
          <w:szCs w:val="18"/>
          <w:lang w:val="nl-NL"/>
        </w:rPr>
        <w:t>toe te kennen</w:t>
      </w:r>
      <w:r w:rsidR="00D25159" w:rsidRPr="00A33930">
        <w:rPr>
          <w:rFonts w:eastAsia="Verdana" w:cs="Verdana"/>
          <w:szCs w:val="18"/>
          <w:lang w:val="nl-NL"/>
        </w:rPr>
        <w:t xml:space="preserve"> (</w:t>
      </w:r>
      <w:r w:rsidR="00D25159" w:rsidRPr="00A33930">
        <w:rPr>
          <w:rFonts w:eastAsia="Verdana" w:cs="Verdana"/>
          <w:i/>
          <w:iCs/>
          <w:szCs w:val="18"/>
          <w:lang w:val="nl-NL"/>
        </w:rPr>
        <w:t>supra</w:t>
      </w:r>
      <w:r w:rsidR="00D25159" w:rsidRPr="00A33930">
        <w:rPr>
          <w:rFonts w:eastAsia="Verdana" w:cs="Verdana"/>
          <w:szCs w:val="18"/>
          <w:lang w:val="nl-NL"/>
        </w:rPr>
        <w:t xml:space="preserve">, nr. </w:t>
      </w:r>
      <w:r w:rsidR="00806319" w:rsidRPr="00A33930">
        <w:rPr>
          <w:rFonts w:eastAsia="Verdana" w:cs="Verdana"/>
          <w:szCs w:val="18"/>
          <w:lang w:val="nl-NL"/>
        </w:rPr>
        <w:t>25</w:t>
      </w:r>
      <w:r w:rsidR="00D25159" w:rsidRPr="00A33930">
        <w:rPr>
          <w:rFonts w:eastAsia="Verdana" w:cs="Verdana"/>
          <w:szCs w:val="18"/>
          <w:lang w:val="nl-NL"/>
        </w:rPr>
        <w:t>)</w:t>
      </w:r>
      <w:r w:rsidR="005D1AE8" w:rsidRPr="00A33930">
        <w:rPr>
          <w:rFonts w:eastAsia="Verdana" w:cs="Verdana"/>
          <w:szCs w:val="18"/>
          <w:lang w:val="nl-NL"/>
        </w:rPr>
        <w:t xml:space="preserve">. Deze criteria zorgen </w:t>
      </w:r>
      <w:r w:rsidR="00B00CE7" w:rsidRPr="00A33930">
        <w:rPr>
          <w:rFonts w:eastAsia="Verdana" w:cs="Verdana"/>
          <w:szCs w:val="18"/>
          <w:lang w:val="nl-NL"/>
        </w:rPr>
        <w:t>er inmiddels voor</w:t>
      </w:r>
      <w:r w:rsidR="005D1AE8" w:rsidRPr="00A33930">
        <w:rPr>
          <w:rFonts w:eastAsia="Verdana" w:cs="Verdana"/>
          <w:szCs w:val="18"/>
          <w:lang w:val="nl-NL"/>
        </w:rPr>
        <w:t xml:space="preserve"> dat het </w:t>
      </w:r>
      <w:r w:rsidR="00D25159" w:rsidRPr="00A33930">
        <w:rPr>
          <w:rFonts w:eastAsia="Verdana" w:cs="Verdana"/>
          <w:szCs w:val="18"/>
          <w:lang w:val="nl-NL"/>
        </w:rPr>
        <w:t>IVRK</w:t>
      </w:r>
      <w:r w:rsidR="005D1AE8" w:rsidRPr="00A33930">
        <w:rPr>
          <w:rFonts w:eastAsia="Verdana" w:cs="Verdana"/>
          <w:szCs w:val="18"/>
          <w:lang w:val="nl-NL"/>
        </w:rPr>
        <w:t xml:space="preserve"> </w:t>
      </w:r>
      <w:r w:rsidR="00B00CE7" w:rsidRPr="00A33930">
        <w:rPr>
          <w:rFonts w:eastAsia="Verdana" w:cs="Verdana"/>
          <w:szCs w:val="18"/>
          <w:lang w:val="nl-NL"/>
        </w:rPr>
        <w:t xml:space="preserve">in de praktijk </w:t>
      </w:r>
      <w:r w:rsidR="005D1AE8" w:rsidRPr="00A33930">
        <w:rPr>
          <w:rFonts w:eastAsia="Verdana" w:cs="Verdana"/>
          <w:szCs w:val="18"/>
          <w:lang w:val="nl-NL"/>
        </w:rPr>
        <w:t xml:space="preserve">een aantal bindende bepalingen bevat, naast bepalingen die geen directe werking </w:t>
      </w:r>
      <w:r w:rsidR="00314344" w:rsidRPr="00A33930">
        <w:rPr>
          <w:rFonts w:eastAsia="Verdana" w:cs="Verdana"/>
          <w:szCs w:val="18"/>
          <w:lang w:val="nl-NL"/>
        </w:rPr>
        <w:t>ver</w:t>
      </w:r>
      <w:r w:rsidR="00B00CE7" w:rsidRPr="00A33930">
        <w:rPr>
          <w:rFonts w:eastAsia="Verdana" w:cs="Verdana"/>
          <w:szCs w:val="18"/>
          <w:lang w:val="nl-NL"/>
        </w:rPr>
        <w:t>krijgen</w:t>
      </w:r>
      <w:r w:rsidR="005D1AE8" w:rsidRPr="00A33930">
        <w:rPr>
          <w:rFonts w:eastAsia="Verdana" w:cs="Verdana"/>
          <w:szCs w:val="18"/>
          <w:lang w:val="nl-NL"/>
        </w:rPr>
        <w:t xml:space="preserve">. Uit de rechtsleer volgt dat aan het IVRK </w:t>
      </w:r>
      <w:r w:rsidR="005D1AE8" w:rsidRPr="00A33930">
        <w:rPr>
          <w:rFonts w:eastAsia="Verdana" w:cs="Verdana"/>
          <w:i/>
          <w:iCs/>
          <w:szCs w:val="18"/>
          <w:lang w:val="nl-NL"/>
        </w:rPr>
        <w:t>in globo</w:t>
      </w:r>
      <w:r w:rsidR="005D1AE8" w:rsidRPr="00A33930">
        <w:rPr>
          <w:rFonts w:eastAsia="Verdana" w:cs="Verdana"/>
          <w:szCs w:val="18"/>
          <w:lang w:val="nl-NL"/>
        </w:rPr>
        <w:t xml:space="preserve"> geen directe werking wordt verleend, maar wel aan bepalingen </w:t>
      </w:r>
      <w:r w:rsidR="005D1AE8" w:rsidRPr="00A33930">
        <w:rPr>
          <w:rFonts w:eastAsia="Verdana" w:cs="Verdana"/>
          <w:i/>
          <w:iCs/>
          <w:szCs w:val="18"/>
          <w:lang w:val="nl-NL"/>
        </w:rPr>
        <w:t>in concreto</w:t>
      </w:r>
      <w:r w:rsidR="005D1AE8" w:rsidRPr="00A33930">
        <w:rPr>
          <w:rFonts w:eastAsia="Verdana" w:cs="Verdana"/>
          <w:szCs w:val="18"/>
          <w:lang w:val="nl-NL"/>
        </w:rPr>
        <w:t>.</w:t>
      </w:r>
      <w:r w:rsidR="005D1AE8" w:rsidRPr="00A33930">
        <w:rPr>
          <w:rStyle w:val="Voetnootmarkering"/>
          <w:rFonts w:eastAsia="Verdana" w:cs="Verdana"/>
          <w:szCs w:val="18"/>
          <w:lang w:val="nl-NL"/>
        </w:rPr>
        <w:footnoteReference w:id="66"/>
      </w:r>
      <w:r w:rsidR="005D1AE8" w:rsidRPr="00A33930">
        <w:rPr>
          <w:rFonts w:eastAsia="Verdana" w:cs="Verdana"/>
          <w:szCs w:val="18"/>
          <w:lang w:val="nl-NL"/>
        </w:rPr>
        <w:t xml:space="preserve"> De directe werking zorgt echter voor discussie in de rechtspraak, waar niet steeds </w:t>
      </w:r>
      <w:r w:rsidR="00180987" w:rsidRPr="00A33930">
        <w:rPr>
          <w:rFonts w:eastAsia="Verdana" w:cs="Verdana"/>
          <w:szCs w:val="18"/>
          <w:lang w:val="nl-NL"/>
        </w:rPr>
        <w:t>hetzelfde</w:t>
      </w:r>
      <w:r w:rsidR="005D1AE8" w:rsidRPr="00A33930">
        <w:rPr>
          <w:rFonts w:eastAsia="Verdana" w:cs="Verdana"/>
          <w:szCs w:val="18"/>
          <w:lang w:val="nl-NL"/>
        </w:rPr>
        <w:t xml:space="preserve"> wordt </w:t>
      </w:r>
      <w:r w:rsidR="00180987" w:rsidRPr="00A33930">
        <w:rPr>
          <w:rFonts w:eastAsia="Verdana" w:cs="Verdana"/>
          <w:szCs w:val="18"/>
          <w:lang w:val="nl-NL"/>
        </w:rPr>
        <w:t>geoordeeld</w:t>
      </w:r>
      <w:r w:rsidR="005D1AE8" w:rsidRPr="00A33930">
        <w:rPr>
          <w:rFonts w:eastAsia="Verdana" w:cs="Verdana"/>
          <w:szCs w:val="18"/>
          <w:lang w:val="nl-NL"/>
        </w:rPr>
        <w:t>.</w:t>
      </w:r>
      <w:r w:rsidR="005D1AE8" w:rsidRPr="00A33930">
        <w:rPr>
          <w:rStyle w:val="Voetnootmarkering"/>
          <w:rFonts w:eastAsia="Verdana" w:cs="Verdana"/>
          <w:szCs w:val="18"/>
          <w:lang w:val="nl-NL"/>
        </w:rPr>
        <w:footnoteReference w:id="67"/>
      </w:r>
      <w:r w:rsidR="00D25159" w:rsidRPr="00A33930">
        <w:rPr>
          <w:rFonts w:eastAsia="Verdana" w:cs="Verdana"/>
          <w:szCs w:val="18"/>
          <w:lang w:val="nl-NL"/>
        </w:rPr>
        <w:t xml:space="preserve"> De Raad van State en het Hof van Cassatie zijn over het algemeen terughoudend in het toekennen van directe werking aan de bepalingen van het IVRK waardoor vooralsnog een restrictieve benadering van het IVRK geldt. Slechts enkele bepalingen hebben, volgens enkele uitspraken, directe werking.</w:t>
      </w:r>
      <w:r w:rsidR="00D25159" w:rsidRPr="00A33930">
        <w:rPr>
          <w:rStyle w:val="Voetnootmarkering"/>
          <w:rFonts w:eastAsia="Verdana" w:cs="Verdana"/>
          <w:szCs w:val="18"/>
          <w:lang w:val="nl-NL"/>
        </w:rPr>
        <w:footnoteReference w:id="68"/>
      </w:r>
    </w:p>
    <w:p w14:paraId="2BD6A450" w14:textId="77777777" w:rsidR="00A74B82" w:rsidRPr="00A33930" w:rsidRDefault="00A74B82" w:rsidP="00A74B82">
      <w:pPr>
        <w:pStyle w:val="Lijstalinea"/>
        <w:spacing w:before="200" w:after="0"/>
        <w:ind w:left="0"/>
        <w:jc w:val="both"/>
        <w:rPr>
          <w:rFonts w:eastAsia="Verdana" w:cs="Verdana"/>
          <w:szCs w:val="18"/>
          <w:lang w:val="nl-NL"/>
        </w:rPr>
      </w:pPr>
    </w:p>
    <w:p w14:paraId="4DBEE14C" w14:textId="49CE9F2F" w:rsidR="009C6DE9" w:rsidRPr="00A33930" w:rsidRDefault="005231A0" w:rsidP="00A74B82">
      <w:pPr>
        <w:pStyle w:val="Lijstalinea"/>
        <w:spacing w:before="200" w:after="0"/>
        <w:ind w:left="0"/>
        <w:jc w:val="both"/>
        <w:rPr>
          <w:rFonts w:eastAsia="Verdana" w:cs="Verdana"/>
          <w:szCs w:val="18"/>
          <w:lang w:val="nl-NL"/>
        </w:rPr>
      </w:pPr>
      <w:r w:rsidRPr="00A33930">
        <w:rPr>
          <w:rFonts w:eastAsia="Verdana" w:cs="Verdana"/>
          <w:szCs w:val="18"/>
          <w:lang w:val="nl-NL"/>
        </w:rPr>
        <w:t>De Nederlandse regering bevestigde in de MvT bij de Goedkeuringswet de directe werking van enkele verdragsbepalingen van het IVRK.</w:t>
      </w:r>
      <w:r w:rsidRPr="00A33930">
        <w:rPr>
          <w:rStyle w:val="Voetnootmarkering"/>
          <w:rFonts w:eastAsia="Verdana" w:cs="Verdana"/>
          <w:szCs w:val="18"/>
          <w:lang w:val="nl-NL"/>
        </w:rPr>
        <w:footnoteReference w:id="69"/>
      </w:r>
      <w:r w:rsidRPr="00A33930">
        <w:rPr>
          <w:rFonts w:eastAsia="Verdana" w:cs="Verdana"/>
          <w:szCs w:val="18"/>
          <w:lang w:val="nl-NL"/>
        </w:rPr>
        <w:t xml:space="preserve"> Hoewel de rechter er niet toe verplicht is, kan hij rekening </w:t>
      </w:r>
      <w:r w:rsidRPr="00A33930">
        <w:rPr>
          <w:rFonts w:eastAsia="Verdana" w:cs="Verdana"/>
          <w:szCs w:val="18"/>
          <w:lang w:val="nl-NL"/>
        </w:rPr>
        <w:lastRenderedPageBreak/>
        <w:t xml:space="preserve">houden met de opvatting van de Nederlandse wetgever. Ook in Nederland gelden een aantal voorwaarden teneinde uit te maken of de bepalingen van het IVRK directe werking </w:t>
      </w:r>
      <w:r w:rsidR="00F91A64" w:rsidRPr="00A33930">
        <w:rPr>
          <w:rFonts w:eastAsia="Verdana" w:cs="Verdana"/>
          <w:szCs w:val="18"/>
          <w:lang w:val="nl-NL"/>
        </w:rPr>
        <w:t>genieten</w:t>
      </w:r>
      <w:r w:rsidRPr="00A33930">
        <w:rPr>
          <w:rFonts w:eastAsia="Verdana" w:cs="Verdana"/>
          <w:szCs w:val="18"/>
          <w:lang w:val="nl-NL"/>
        </w:rPr>
        <w:t>.</w:t>
      </w:r>
      <w:r w:rsidRPr="00A33930">
        <w:rPr>
          <w:rStyle w:val="Voetnootmarkering"/>
          <w:rFonts w:eastAsia="Verdana" w:cs="Verdana"/>
          <w:szCs w:val="18"/>
          <w:lang w:val="nl-NL"/>
        </w:rPr>
        <w:footnoteReference w:id="70"/>
      </w:r>
      <w:r w:rsidRPr="00A33930">
        <w:rPr>
          <w:rFonts w:eastAsia="Verdana" w:cs="Verdana"/>
          <w:szCs w:val="18"/>
          <w:lang w:val="nl-NL"/>
        </w:rPr>
        <w:t xml:space="preserve"> </w:t>
      </w:r>
      <w:r w:rsidR="000A517A" w:rsidRPr="00A33930">
        <w:rPr>
          <w:rFonts w:eastAsia="Verdana" w:cs="Verdana"/>
          <w:szCs w:val="18"/>
          <w:lang w:val="nl-NL"/>
        </w:rPr>
        <w:t xml:space="preserve">De MvT gaat in ieder geval uit van de </w:t>
      </w:r>
      <w:r w:rsidR="00D25159" w:rsidRPr="00A33930">
        <w:rPr>
          <w:rFonts w:eastAsia="Verdana" w:cs="Verdana"/>
          <w:szCs w:val="18"/>
          <w:lang w:val="nl-NL"/>
        </w:rPr>
        <w:t>directe</w:t>
      </w:r>
      <w:r w:rsidR="000A517A" w:rsidRPr="00A33930">
        <w:rPr>
          <w:rFonts w:eastAsia="Verdana" w:cs="Verdana"/>
          <w:szCs w:val="18"/>
          <w:lang w:val="nl-NL"/>
        </w:rPr>
        <w:t xml:space="preserve"> werking van artikel 9.3 IVRK wegens </w:t>
      </w:r>
      <w:r w:rsidR="00B82753" w:rsidRPr="00A33930">
        <w:rPr>
          <w:rFonts w:eastAsia="Verdana" w:cs="Verdana"/>
          <w:szCs w:val="18"/>
          <w:lang w:val="nl-NL"/>
        </w:rPr>
        <w:t>het raakvlak</w:t>
      </w:r>
      <w:r w:rsidR="000A517A" w:rsidRPr="00A33930">
        <w:rPr>
          <w:rFonts w:eastAsia="Verdana" w:cs="Verdana"/>
          <w:szCs w:val="18"/>
          <w:lang w:val="nl-NL"/>
        </w:rPr>
        <w:t xml:space="preserve"> met andere mensenrechtenverdragen.</w:t>
      </w:r>
      <w:r w:rsidR="000A517A" w:rsidRPr="00A33930">
        <w:rPr>
          <w:rStyle w:val="Voetnootmarkering"/>
          <w:rFonts w:eastAsia="Verdana" w:cs="Verdana"/>
          <w:szCs w:val="18"/>
          <w:lang w:val="nl-NL"/>
        </w:rPr>
        <w:footnoteReference w:id="71"/>
      </w:r>
    </w:p>
    <w:p w14:paraId="3AD910B7" w14:textId="77777777" w:rsidR="00A74B82" w:rsidRPr="00A33930" w:rsidRDefault="00A74B82" w:rsidP="00A74B82">
      <w:pPr>
        <w:pStyle w:val="Lijstalinea"/>
        <w:spacing w:before="200" w:after="0"/>
        <w:ind w:left="0"/>
        <w:jc w:val="both"/>
        <w:rPr>
          <w:rFonts w:eastAsia="Verdana" w:cs="Verdana"/>
          <w:szCs w:val="18"/>
          <w:lang w:val="nl-NL"/>
        </w:rPr>
      </w:pPr>
    </w:p>
    <w:p w14:paraId="33848CD9" w14:textId="27D645EC" w:rsidR="00297A22" w:rsidRPr="00A33930" w:rsidRDefault="00FF284C" w:rsidP="00670FDE">
      <w:pPr>
        <w:pStyle w:val="Lijstalinea"/>
        <w:spacing w:before="200" w:after="0"/>
        <w:ind w:left="0"/>
        <w:jc w:val="both"/>
        <w:rPr>
          <w:rFonts w:eastAsia="Verdana" w:cs="Verdana"/>
          <w:szCs w:val="18"/>
          <w:lang w:val="nl-NL"/>
        </w:rPr>
      </w:pPr>
      <w:r w:rsidRPr="00A33930">
        <w:rPr>
          <w:rFonts w:eastAsia="Verdana" w:cs="Verdana"/>
          <w:szCs w:val="18"/>
          <w:lang w:val="nl-NL"/>
        </w:rPr>
        <w:t xml:space="preserve">In tegenstelling tot België en Nederland, geldt er voor Duitsland een dualistisch systeem. </w:t>
      </w:r>
      <w:r w:rsidR="00B00CE7" w:rsidRPr="00A33930">
        <w:rPr>
          <w:rFonts w:eastAsia="Verdana" w:cs="Verdana"/>
          <w:szCs w:val="18"/>
          <w:lang w:val="nl-NL"/>
        </w:rPr>
        <w:t>Dit is een systeem waar de directe werking</w:t>
      </w:r>
      <w:r w:rsidR="003042B9" w:rsidRPr="00A33930">
        <w:rPr>
          <w:rFonts w:eastAsia="Verdana" w:cs="Verdana"/>
          <w:szCs w:val="18"/>
          <w:lang w:val="nl-NL"/>
        </w:rPr>
        <w:t xml:space="preserve"> </w:t>
      </w:r>
      <w:r w:rsidR="00B00CE7" w:rsidRPr="00A33930">
        <w:rPr>
          <w:rFonts w:eastAsia="Verdana" w:cs="Verdana"/>
          <w:szCs w:val="18"/>
          <w:lang w:val="nl-NL"/>
        </w:rPr>
        <w:t>niet gekend is.</w:t>
      </w:r>
      <w:r w:rsidR="00B00CE7" w:rsidRPr="00A33930">
        <w:rPr>
          <w:rStyle w:val="Voetnootmarkering"/>
          <w:rFonts w:eastAsia="Verdana" w:cs="Verdana"/>
          <w:szCs w:val="18"/>
          <w:lang w:val="nl-NL"/>
        </w:rPr>
        <w:footnoteReference w:id="72"/>
      </w:r>
      <w:r w:rsidR="00B00CE7" w:rsidRPr="00A33930">
        <w:rPr>
          <w:rFonts w:eastAsia="Verdana" w:cs="Verdana"/>
          <w:szCs w:val="18"/>
          <w:lang w:val="nl-NL"/>
        </w:rPr>
        <w:t xml:space="preserve"> </w:t>
      </w:r>
      <w:r w:rsidRPr="00A33930">
        <w:rPr>
          <w:rFonts w:eastAsia="Verdana" w:cs="Verdana"/>
          <w:szCs w:val="18"/>
          <w:lang w:val="nl-NL"/>
        </w:rPr>
        <w:t>Hier is omzetting van het IVRK in de nationale wetgeving vereist en kunnen rechtzoekenden zich niet rechtstreeks op de bepalingen van het IVRK beroepen.</w:t>
      </w:r>
      <w:r w:rsidR="006B5C19" w:rsidRPr="00A33930">
        <w:rPr>
          <w:rStyle w:val="Voetnootmarkering"/>
          <w:rFonts w:eastAsia="Verdana" w:cs="Verdana"/>
          <w:szCs w:val="18"/>
          <w:lang w:val="nl-NL"/>
        </w:rPr>
        <w:footnoteReference w:id="73"/>
      </w:r>
      <w:r w:rsidRPr="00A33930">
        <w:rPr>
          <w:rFonts w:eastAsia="Verdana" w:cs="Verdana"/>
          <w:szCs w:val="18"/>
          <w:lang w:val="nl-NL"/>
        </w:rPr>
        <w:t xml:space="preserve"> </w:t>
      </w:r>
      <w:r w:rsidR="00314344" w:rsidRPr="00A33930">
        <w:rPr>
          <w:rFonts w:eastAsia="Verdana" w:cs="Verdana"/>
          <w:szCs w:val="18"/>
          <w:lang w:val="nl-NL"/>
        </w:rPr>
        <w:t>De omzetting in Duitsland gebeurt bij Bondswet.</w:t>
      </w:r>
      <w:r w:rsidR="000C67D5" w:rsidRPr="00A33930">
        <w:rPr>
          <w:rStyle w:val="Voetnootmarkering"/>
          <w:rFonts w:eastAsia="Verdana" w:cs="Verdana"/>
          <w:szCs w:val="18"/>
          <w:lang w:val="nl-NL"/>
        </w:rPr>
        <w:footnoteReference w:id="74"/>
      </w:r>
      <w:r w:rsidR="00314344" w:rsidRPr="00A33930">
        <w:rPr>
          <w:rFonts w:eastAsia="Verdana" w:cs="Verdana"/>
          <w:szCs w:val="18"/>
          <w:lang w:val="nl-NL"/>
        </w:rPr>
        <w:t xml:space="preserve"> </w:t>
      </w:r>
      <w:r w:rsidR="00B82753" w:rsidRPr="00A33930">
        <w:rPr>
          <w:rFonts w:eastAsia="Verdana" w:cs="Verdana"/>
          <w:szCs w:val="18"/>
          <w:lang w:val="nl-NL"/>
        </w:rPr>
        <w:t>Hierdoor beroepen r</w:t>
      </w:r>
      <w:r w:rsidRPr="00A33930">
        <w:rPr>
          <w:rFonts w:eastAsia="Verdana" w:cs="Verdana"/>
          <w:szCs w:val="18"/>
          <w:lang w:val="nl-NL"/>
        </w:rPr>
        <w:t xml:space="preserve">echtzoekenden </w:t>
      </w:r>
      <w:r w:rsidR="00314344" w:rsidRPr="00A33930">
        <w:rPr>
          <w:rFonts w:eastAsia="Verdana" w:cs="Verdana"/>
          <w:szCs w:val="18"/>
          <w:lang w:val="nl-NL"/>
        </w:rPr>
        <w:t>zich</w:t>
      </w:r>
      <w:r w:rsidRPr="00A33930">
        <w:rPr>
          <w:rFonts w:eastAsia="Verdana" w:cs="Verdana"/>
          <w:szCs w:val="18"/>
          <w:lang w:val="nl-NL"/>
        </w:rPr>
        <w:t xml:space="preserve"> </w:t>
      </w:r>
      <w:r w:rsidR="00314344" w:rsidRPr="00A33930">
        <w:rPr>
          <w:rFonts w:eastAsia="Verdana" w:cs="Verdana"/>
          <w:szCs w:val="18"/>
          <w:lang w:val="nl-NL"/>
        </w:rPr>
        <w:t>op</w:t>
      </w:r>
      <w:r w:rsidRPr="00A33930">
        <w:rPr>
          <w:rFonts w:eastAsia="Verdana" w:cs="Verdana"/>
          <w:szCs w:val="18"/>
          <w:lang w:val="nl-NL"/>
        </w:rPr>
        <w:t xml:space="preserve"> de omgezette Duitse</w:t>
      </w:r>
      <w:r w:rsidR="005231A0" w:rsidRPr="00A33930">
        <w:rPr>
          <w:rFonts w:eastAsia="Verdana" w:cs="Verdana"/>
          <w:szCs w:val="18"/>
          <w:lang w:val="nl-NL"/>
        </w:rPr>
        <w:t xml:space="preserve"> nationale</w:t>
      </w:r>
      <w:r w:rsidRPr="00A33930">
        <w:rPr>
          <w:rFonts w:eastAsia="Verdana" w:cs="Verdana"/>
          <w:szCs w:val="18"/>
          <w:lang w:val="nl-NL"/>
        </w:rPr>
        <w:t xml:space="preserve"> bepalingen.</w:t>
      </w:r>
      <w:r w:rsidR="005231A0" w:rsidRPr="00A33930">
        <w:rPr>
          <w:rStyle w:val="Voetnootmarkering"/>
          <w:rFonts w:eastAsia="Verdana" w:cs="Verdana"/>
          <w:szCs w:val="18"/>
          <w:lang w:val="nl-NL"/>
        </w:rPr>
        <w:footnoteReference w:id="75"/>
      </w:r>
    </w:p>
    <w:p w14:paraId="651D5A10" w14:textId="4AEE0C3B" w:rsidR="00D051AF" w:rsidRPr="00A33930" w:rsidRDefault="00DB6174" w:rsidP="00140133">
      <w:pPr>
        <w:pStyle w:val="Kop3"/>
        <w:numPr>
          <w:ilvl w:val="0"/>
          <w:numId w:val="0"/>
        </w:numPr>
        <w:spacing w:before="360"/>
        <w:ind w:left="357" w:hanging="357"/>
        <w:jc w:val="both"/>
        <w:rPr>
          <w:lang w:val="nl-NL"/>
        </w:rPr>
      </w:pPr>
      <w:bookmarkStart w:id="16" w:name="_Toc134621175"/>
      <w:r w:rsidRPr="00A33930">
        <w:rPr>
          <w:lang w:val="nl-NL"/>
        </w:rPr>
        <w:t>Afdeling III.</w:t>
      </w:r>
      <w:r w:rsidR="0097678D" w:rsidRPr="00A33930">
        <w:rPr>
          <w:lang w:val="nl-NL"/>
        </w:rPr>
        <w:tab/>
      </w:r>
      <w:r w:rsidR="0097678D" w:rsidRPr="00A33930">
        <w:rPr>
          <w:lang w:val="nl-NL"/>
        </w:rPr>
        <w:tab/>
      </w:r>
      <w:r w:rsidR="00E7305E" w:rsidRPr="00A33930">
        <w:rPr>
          <w:lang w:val="nl-NL"/>
        </w:rPr>
        <w:t>Leidende beginselen</w:t>
      </w:r>
      <w:bookmarkEnd w:id="16"/>
    </w:p>
    <w:p w14:paraId="6F108435" w14:textId="74D04CB0" w:rsidR="00956925" w:rsidRPr="00A33930" w:rsidRDefault="00956925" w:rsidP="00053138">
      <w:pPr>
        <w:pStyle w:val="Kop4"/>
        <w:spacing w:before="240" w:after="120"/>
        <w:jc w:val="both"/>
        <w:rPr>
          <w:rFonts w:ascii="Verdana" w:hAnsi="Verdana"/>
          <w:b/>
          <w:bCs/>
          <w:color w:val="auto"/>
          <w:szCs w:val="18"/>
          <w:lang w:val="nl-NL"/>
        </w:rPr>
      </w:pPr>
      <w:r w:rsidRPr="00A33930">
        <w:rPr>
          <w:rFonts w:ascii="Verdana" w:hAnsi="Verdana"/>
          <w:b/>
          <w:bCs/>
          <w:color w:val="auto"/>
          <w:szCs w:val="18"/>
          <w:lang w:val="nl-NL"/>
        </w:rPr>
        <w:t>§1.</w:t>
      </w:r>
      <w:r w:rsidRPr="00A33930">
        <w:rPr>
          <w:rFonts w:ascii="Verdana" w:hAnsi="Verdana"/>
          <w:b/>
          <w:bCs/>
          <w:color w:val="auto"/>
          <w:szCs w:val="18"/>
          <w:lang w:val="nl-NL"/>
        </w:rPr>
        <w:tab/>
        <w:t>Kind als rechtssubject</w:t>
      </w:r>
    </w:p>
    <w:p w14:paraId="56699421" w14:textId="69F2B532" w:rsidR="008659D0" w:rsidRPr="00A33930" w:rsidRDefault="006001B0" w:rsidP="000F3AA5">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Het IVRK en zijn protocollen </w:t>
      </w:r>
      <w:r w:rsidR="00F91A64" w:rsidRPr="00A33930">
        <w:rPr>
          <w:rFonts w:eastAsia="Verdana" w:cs="Verdana"/>
          <w:szCs w:val="18"/>
          <w:lang w:val="nl-NL"/>
        </w:rPr>
        <w:t xml:space="preserve">voerden </w:t>
      </w:r>
      <w:r w:rsidR="00C74EE9" w:rsidRPr="00A33930">
        <w:rPr>
          <w:rFonts w:eastAsia="Verdana" w:cs="Verdana"/>
          <w:szCs w:val="18"/>
          <w:lang w:val="nl-NL"/>
        </w:rPr>
        <w:t xml:space="preserve">doorheen de jaren </w:t>
      </w:r>
      <w:r w:rsidR="00F91A64" w:rsidRPr="00A33930">
        <w:rPr>
          <w:rFonts w:eastAsia="Verdana" w:cs="Verdana"/>
          <w:szCs w:val="18"/>
          <w:lang w:val="nl-NL"/>
        </w:rPr>
        <w:t xml:space="preserve">een sterke aanpassing </w:t>
      </w:r>
      <w:r w:rsidR="005D08B2" w:rsidRPr="00A33930">
        <w:rPr>
          <w:rFonts w:eastAsia="Verdana" w:cs="Verdana"/>
          <w:szCs w:val="18"/>
          <w:lang w:val="nl-NL"/>
        </w:rPr>
        <w:t>door</w:t>
      </w:r>
      <w:r w:rsidR="00F91A64" w:rsidRPr="00A33930">
        <w:rPr>
          <w:rFonts w:eastAsia="Verdana" w:cs="Verdana"/>
          <w:szCs w:val="18"/>
          <w:lang w:val="nl-NL"/>
        </w:rPr>
        <w:t xml:space="preserve"> van</w:t>
      </w:r>
      <w:r w:rsidRPr="00A33930">
        <w:rPr>
          <w:rFonts w:eastAsia="Verdana" w:cs="Verdana"/>
          <w:szCs w:val="18"/>
          <w:lang w:val="nl-NL"/>
        </w:rPr>
        <w:t xml:space="preserve"> het </w:t>
      </w:r>
      <w:r w:rsidR="00C74EE9" w:rsidRPr="00A33930">
        <w:rPr>
          <w:rFonts w:eastAsia="Verdana" w:cs="Verdana"/>
          <w:szCs w:val="18"/>
          <w:lang w:val="nl-NL"/>
        </w:rPr>
        <w:t xml:space="preserve">geldende </w:t>
      </w:r>
      <w:r w:rsidRPr="00A33930">
        <w:rPr>
          <w:rFonts w:eastAsia="Verdana" w:cs="Verdana"/>
          <w:szCs w:val="18"/>
          <w:lang w:val="nl-NL"/>
        </w:rPr>
        <w:t>kindperspectief</w:t>
      </w:r>
      <w:r w:rsidR="00C74EE9" w:rsidRPr="00A33930">
        <w:rPr>
          <w:rFonts w:eastAsia="Verdana" w:cs="Verdana"/>
          <w:szCs w:val="18"/>
          <w:lang w:val="nl-NL"/>
        </w:rPr>
        <w:t xml:space="preserve">. Hierdoor ondergingen </w:t>
      </w:r>
      <w:r w:rsidR="003D13B7" w:rsidRPr="00A33930">
        <w:rPr>
          <w:rFonts w:eastAsia="Verdana" w:cs="Verdana"/>
          <w:szCs w:val="18"/>
          <w:lang w:val="nl-NL"/>
        </w:rPr>
        <w:t xml:space="preserve">kinderrechten een belangrijke evolutie </w:t>
      </w:r>
      <w:r w:rsidR="00D55404" w:rsidRPr="00A33930">
        <w:rPr>
          <w:rFonts w:eastAsia="Verdana" w:cs="Verdana"/>
          <w:szCs w:val="18"/>
          <w:lang w:val="nl-NL"/>
        </w:rPr>
        <w:t>in</w:t>
      </w:r>
      <w:r w:rsidR="003D13B7" w:rsidRPr="00A33930">
        <w:rPr>
          <w:rFonts w:eastAsia="Verdana" w:cs="Verdana"/>
          <w:szCs w:val="18"/>
          <w:lang w:val="nl-NL"/>
        </w:rPr>
        <w:t xml:space="preserve"> het internationale recht (</w:t>
      </w:r>
      <w:r w:rsidR="003D13B7" w:rsidRPr="00A33930">
        <w:rPr>
          <w:rFonts w:eastAsia="Verdana" w:cs="Verdana"/>
          <w:i/>
          <w:iCs/>
          <w:szCs w:val="18"/>
          <w:lang w:val="nl-NL"/>
        </w:rPr>
        <w:t>supra</w:t>
      </w:r>
      <w:r w:rsidR="003D13B7" w:rsidRPr="00A33930">
        <w:rPr>
          <w:rFonts w:eastAsia="Verdana" w:cs="Verdana"/>
          <w:szCs w:val="18"/>
          <w:lang w:val="nl-NL"/>
        </w:rPr>
        <w:t xml:space="preserve">, nr. </w:t>
      </w:r>
      <w:r w:rsidR="00E1259F" w:rsidRPr="00A33930">
        <w:rPr>
          <w:rFonts w:eastAsia="Verdana" w:cs="Verdana"/>
          <w:szCs w:val="18"/>
          <w:lang w:val="nl-NL"/>
        </w:rPr>
        <w:t>24</w:t>
      </w:r>
      <w:r w:rsidR="003D13B7" w:rsidRPr="00A33930">
        <w:rPr>
          <w:rFonts w:eastAsia="Verdana" w:cs="Verdana"/>
          <w:szCs w:val="18"/>
          <w:lang w:val="nl-NL"/>
        </w:rPr>
        <w:t>).</w:t>
      </w:r>
      <w:r w:rsidRPr="00A33930">
        <w:rPr>
          <w:rStyle w:val="Voetnootmarkering"/>
          <w:rFonts w:eastAsia="Verdana" w:cs="Verdana"/>
          <w:szCs w:val="18"/>
          <w:lang w:val="nl-NL"/>
        </w:rPr>
        <w:footnoteReference w:id="76"/>
      </w:r>
      <w:r w:rsidR="003D13B7" w:rsidRPr="00A33930">
        <w:rPr>
          <w:rFonts w:eastAsia="Verdana" w:cs="Verdana"/>
          <w:szCs w:val="18"/>
          <w:lang w:val="nl-NL"/>
        </w:rPr>
        <w:t xml:space="preserve"> Het internationaal recht doorbreekt </w:t>
      </w:r>
      <w:r w:rsidR="00A40BA9" w:rsidRPr="00A33930">
        <w:rPr>
          <w:rFonts w:eastAsia="Verdana" w:cs="Verdana"/>
          <w:szCs w:val="18"/>
          <w:lang w:val="nl-NL"/>
        </w:rPr>
        <w:t>het</w:t>
      </w:r>
      <w:r w:rsidR="003D13B7" w:rsidRPr="00A33930">
        <w:rPr>
          <w:rFonts w:eastAsia="Verdana" w:cs="Verdana"/>
          <w:szCs w:val="18"/>
          <w:lang w:val="nl-NL"/>
        </w:rPr>
        <w:t xml:space="preserve"> idee dat ouders de voornaamste rechten en verantwoordelijkheden dragen voor het kind, door het kind een toenemende feitelijke bekwaamheid toe te kennen.</w:t>
      </w:r>
      <w:r w:rsidR="003D13B7" w:rsidRPr="00A33930">
        <w:rPr>
          <w:rStyle w:val="Voetnootmarkering"/>
          <w:rFonts w:eastAsia="Verdana" w:cs="Verdana"/>
          <w:szCs w:val="18"/>
          <w:lang w:val="nl-NL"/>
        </w:rPr>
        <w:footnoteReference w:id="77"/>
      </w:r>
      <w:r w:rsidR="003D13B7" w:rsidRPr="00A33930">
        <w:rPr>
          <w:rFonts w:eastAsia="Verdana" w:cs="Verdana"/>
          <w:szCs w:val="18"/>
          <w:lang w:val="nl-NL"/>
        </w:rPr>
        <w:t xml:space="preserve"> Hiermee </w:t>
      </w:r>
      <w:r w:rsidR="00C74EE9" w:rsidRPr="00A33930">
        <w:rPr>
          <w:rFonts w:eastAsia="Verdana" w:cs="Verdana"/>
          <w:szCs w:val="18"/>
          <w:lang w:val="nl-NL"/>
        </w:rPr>
        <w:t>verwijzen</w:t>
      </w:r>
      <w:r w:rsidR="00CE7677" w:rsidRPr="00A33930">
        <w:rPr>
          <w:rFonts w:eastAsia="Verdana" w:cs="Verdana"/>
          <w:szCs w:val="18"/>
          <w:lang w:val="nl-NL"/>
        </w:rPr>
        <w:t xml:space="preserve"> zowel artikel 5 </w:t>
      </w:r>
      <w:r w:rsidR="003D13B7" w:rsidRPr="00A33930">
        <w:rPr>
          <w:rFonts w:eastAsia="Verdana" w:cs="Verdana"/>
          <w:szCs w:val="18"/>
          <w:lang w:val="nl-NL"/>
        </w:rPr>
        <w:t xml:space="preserve">IVRK </w:t>
      </w:r>
      <w:r w:rsidR="00CE7677" w:rsidRPr="00A33930">
        <w:rPr>
          <w:rFonts w:eastAsia="Verdana" w:cs="Verdana"/>
          <w:szCs w:val="18"/>
          <w:lang w:val="nl-NL"/>
        </w:rPr>
        <w:t>als</w:t>
      </w:r>
      <w:r w:rsidR="003D13B7" w:rsidRPr="00A33930">
        <w:rPr>
          <w:rFonts w:eastAsia="Verdana" w:cs="Verdana"/>
          <w:szCs w:val="18"/>
          <w:lang w:val="nl-NL"/>
        </w:rPr>
        <w:t xml:space="preserve"> het </w:t>
      </w:r>
      <w:r w:rsidR="003D3D5B" w:rsidRPr="00A33930">
        <w:rPr>
          <w:rFonts w:eastAsia="Verdana" w:cs="Verdana"/>
          <w:szCs w:val="18"/>
          <w:lang w:val="nl-NL"/>
        </w:rPr>
        <w:t>VN-</w:t>
      </w:r>
      <w:r w:rsidR="00B10233" w:rsidRPr="00A33930">
        <w:rPr>
          <w:rFonts w:eastAsia="Verdana" w:cs="Verdana"/>
          <w:szCs w:val="18"/>
          <w:lang w:val="nl-NL"/>
        </w:rPr>
        <w:t>Kinderrechtencomité</w:t>
      </w:r>
      <w:r w:rsidR="003D13B7" w:rsidRPr="00A33930">
        <w:rPr>
          <w:rFonts w:eastAsia="Verdana" w:cs="Verdana"/>
          <w:szCs w:val="18"/>
          <w:lang w:val="nl-NL"/>
        </w:rPr>
        <w:t xml:space="preserve"> naar de ontwikkelende vermogens van het kind.</w:t>
      </w:r>
      <w:r w:rsidR="003D13B7" w:rsidRPr="00A33930">
        <w:rPr>
          <w:rStyle w:val="Voetnootmarkering"/>
          <w:rFonts w:eastAsia="Verdana" w:cs="Verdana"/>
          <w:szCs w:val="18"/>
          <w:lang w:val="nl-NL"/>
        </w:rPr>
        <w:footnoteReference w:id="78"/>
      </w:r>
      <w:r w:rsidR="00495BA1" w:rsidRPr="00A33930">
        <w:rPr>
          <w:rFonts w:eastAsia="Verdana" w:cs="Verdana"/>
          <w:szCs w:val="18"/>
          <w:lang w:val="nl-NL"/>
        </w:rPr>
        <w:t xml:space="preserve"> Door </w:t>
      </w:r>
      <w:r w:rsidR="008659D0" w:rsidRPr="00A33930">
        <w:rPr>
          <w:rFonts w:eastAsia="Verdana" w:cs="Verdana"/>
          <w:szCs w:val="18"/>
          <w:lang w:val="nl-NL"/>
        </w:rPr>
        <w:t xml:space="preserve">de </w:t>
      </w:r>
      <w:r w:rsidR="00495BA1" w:rsidRPr="00A33930">
        <w:rPr>
          <w:rFonts w:eastAsia="Verdana" w:cs="Verdana"/>
          <w:szCs w:val="18"/>
          <w:lang w:val="nl-NL"/>
        </w:rPr>
        <w:t>ontwikkelende vermogen</w:t>
      </w:r>
      <w:r w:rsidR="008659D0" w:rsidRPr="00A33930">
        <w:rPr>
          <w:rFonts w:eastAsia="Verdana" w:cs="Verdana"/>
          <w:szCs w:val="18"/>
          <w:lang w:val="nl-NL"/>
        </w:rPr>
        <w:t>s</w:t>
      </w:r>
      <w:r w:rsidR="00495BA1" w:rsidRPr="00A33930">
        <w:rPr>
          <w:rFonts w:eastAsia="Verdana" w:cs="Verdana"/>
          <w:szCs w:val="18"/>
          <w:lang w:val="nl-NL"/>
        </w:rPr>
        <w:t xml:space="preserve"> van het kind te gebruiken als maatstaf en geen willekeurige leeftijdsgrenzen of andere definities te verbinden aan de rechten van het kind erkent het IVRK dat kinderen “volwassenen in </w:t>
      </w:r>
      <w:r w:rsidR="00495BA1" w:rsidRPr="00A33930">
        <w:rPr>
          <w:rFonts w:eastAsia="Verdana" w:cs="Verdana"/>
          <w:szCs w:val="18"/>
          <w:lang w:val="nl-NL"/>
        </w:rPr>
        <w:lastRenderedPageBreak/>
        <w:t>wording” zijn en dat</w:t>
      </w:r>
      <w:r w:rsidR="008659D0" w:rsidRPr="00A33930">
        <w:rPr>
          <w:rFonts w:eastAsia="Verdana" w:cs="Verdana"/>
          <w:szCs w:val="18"/>
          <w:lang w:val="nl-NL"/>
        </w:rPr>
        <w:t xml:space="preserve"> hun</w:t>
      </w:r>
      <w:r w:rsidR="00495BA1" w:rsidRPr="00A33930">
        <w:rPr>
          <w:rFonts w:eastAsia="Verdana" w:cs="Verdana"/>
          <w:szCs w:val="18"/>
          <w:lang w:val="nl-NL"/>
        </w:rPr>
        <w:t xml:space="preserve"> ontwikkeling extra aandacht verdient.</w:t>
      </w:r>
      <w:r w:rsidR="00495BA1" w:rsidRPr="00A33930">
        <w:rPr>
          <w:rStyle w:val="Voetnootmarkering"/>
          <w:rFonts w:eastAsia="Verdana" w:cs="Verdana"/>
          <w:szCs w:val="18"/>
          <w:lang w:val="nl-NL"/>
        </w:rPr>
        <w:footnoteReference w:id="79"/>
      </w:r>
      <w:r w:rsidR="003D13B7" w:rsidRPr="00A33930">
        <w:rPr>
          <w:rFonts w:eastAsia="Verdana" w:cs="Verdana"/>
          <w:szCs w:val="18"/>
          <w:lang w:val="nl-NL"/>
        </w:rPr>
        <w:t xml:space="preserve"> </w:t>
      </w:r>
      <w:r w:rsidR="00CF7634" w:rsidRPr="00A33930">
        <w:rPr>
          <w:rFonts w:eastAsia="Verdana" w:cs="Verdana"/>
          <w:szCs w:val="18"/>
          <w:lang w:val="nl-NL"/>
        </w:rPr>
        <w:t>Het IVRK is het eerste verdrag dat een aantal zelfbeschikkingsrechten voor kinderen erkent, die de bijzondere beschermingsgedachte overschrijden.</w:t>
      </w:r>
      <w:r w:rsidR="00CF7634" w:rsidRPr="00A33930">
        <w:rPr>
          <w:rStyle w:val="Voetnootmarkering"/>
          <w:rFonts w:eastAsia="Verdana" w:cs="Verdana"/>
          <w:szCs w:val="18"/>
          <w:lang w:val="nl-NL"/>
        </w:rPr>
        <w:footnoteReference w:id="80"/>
      </w:r>
      <w:r w:rsidR="00CF7634" w:rsidRPr="00A33930">
        <w:rPr>
          <w:rFonts w:eastAsia="Verdana" w:cs="Verdana"/>
          <w:szCs w:val="18"/>
          <w:lang w:val="nl-NL"/>
        </w:rPr>
        <w:t xml:space="preserve"> </w:t>
      </w:r>
      <w:r w:rsidR="00832C24" w:rsidRPr="00A33930">
        <w:rPr>
          <w:rFonts w:eastAsia="Verdana" w:cs="Verdana"/>
          <w:szCs w:val="18"/>
          <w:lang w:val="nl-NL"/>
        </w:rPr>
        <w:t xml:space="preserve">Ondanks dat </w:t>
      </w:r>
      <w:r w:rsidR="008659D0" w:rsidRPr="00A33930">
        <w:rPr>
          <w:rFonts w:eastAsia="Verdana" w:cs="Verdana"/>
          <w:szCs w:val="18"/>
          <w:lang w:val="nl-NL"/>
        </w:rPr>
        <w:t xml:space="preserve">de </w:t>
      </w:r>
      <w:r w:rsidR="00832C24" w:rsidRPr="00A33930">
        <w:rPr>
          <w:rFonts w:eastAsia="Verdana" w:cs="Verdana"/>
          <w:szCs w:val="18"/>
          <w:lang w:val="nl-NL"/>
        </w:rPr>
        <w:t>ontwikkelend</w:t>
      </w:r>
      <w:r w:rsidR="003D13B7" w:rsidRPr="00A33930">
        <w:rPr>
          <w:rFonts w:eastAsia="Verdana" w:cs="Verdana"/>
          <w:szCs w:val="18"/>
          <w:lang w:val="nl-NL"/>
        </w:rPr>
        <w:t>e</w:t>
      </w:r>
      <w:r w:rsidR="00832C24" w:rsidRPr="00A33930">
        <w:rPr>
          <w:rFonts w:eastAsia="Verdana" w:cs="Verdana"/>
          <w:szCs w:val="18"/>
          <w:lang w:val="nl-NL"/>
        </w:rPr>
        <w:t xml:space="preserve"> vermogen</w:t>
      </w:r>
      <w:r w:rsidR="008659D0" w:rsidRPr="00A33930">
        <w:rPr>
          <w:rFonts w:eastAsia="Verdana" w:cs="Verdana"/>
          <w:szCs w:val="18"/>
          <w:lang w:val="nl-NL"/>
        </w:rPr>
        <w:t>s</w:t>
      </w:r>
      <w:r w:rsidR="00832C24" w:rsidRPr="00A33930">
        <w:rPr>
          <w:rFonts w:eastAsia="Verdana" w:cs="Verdana"/>
          <w:szCs w:val="18"/>
          <w:lang w:val="nl-NL"/>
        </w:rPr>
        <w:t xml:space="preserve"> </w:t>
      </w:r>
      <w:r w:rsidR="003D13B7" w:rsidRPr="00A33930">
        <w:rPr>
          <w:rFonts w:eastAsia="Verdana" w:cs="Verdana"/>
          <w:szCs w:val="18"/>
          <w:lang w:val="nl-NL"/>
        </w:rPr>
        <w:t xml:space="preserve">van het kind </w:t>
      </w:r>
      <w:r w:rsidR="00832C24" w:rsidRPr="00A33930">
        <w:rPr>
          <w:rFonts w:eastAsia="Verdana" w:cs="Verdana"/>
          <w:szCs w:val="18"/>
          <w:lang w:val="nl-NL"/>
        </w:rPr>
        <w:t xml:space="preserve">slechts tweemaal </w:t>
      </w:r>
      <w:r w:rsidR="003D13B7" w:rsidRPr="00A33930">
        <w:rPr>
          <w:rFonts w:eastAsia="Verdana" w:cs="Verdana"/>
          <w:szCs w:val="18"/>
          <w:lang w:val="nl-NL"/>
        </w:rPr>
        <w:t>expliciet in</w:t>
      </w:r>
      <w:r w:rsidR="00832C24" w:rsidRPr="00A33930">
        <w:rPr>
          <w:rFonts w:eastAsia="Verdana" w:cs="Verdana"/>
          <w:szCs w:val="18"/>
          <w:lang w:val="nl-NL"/>
        </w:rPr>
        <w:t xml:space="preserve"> het IVRK </w:t>
      </w:r>
      <w:r w:rsidR="008659D0" w:rsidRPr="00A33930">
        <w:rPr>
          <w:rFonts w:eastAsia="Verdana" w:cs="Verdana"/>
          <w:szCs w:val="18"/>
          <w:lang w:val="nl-NL"/>
        </w:rPr>
        <w:t>worden</w:t>
      </w:r>
      <w:r w:rsidR="00832C24" w:rsidRPr="00A33930">
        <w:rPr>
          <w:rFonts w:eastAsia="Verdana" w:cs="Verdana"/>
          <w:szCs w:val="18"/>
          <w:lang w:val="nl-NL"/>
        </w:rPr>
        <w:t xml:space="preserve"> aangehaald, </w:t>
      </w:r>
      <w:r w:rsidR="003042B9" w:rsidRPr="00A33930">
        <w:rPr>
          <w:rFonts w:eastAsia="Verdana" w:cs="Verdana"/>
          <w:szCs w:val="18"/>
          <w:lang w:val="nl-NL"/>
        </w:rPr>
        <w:t>in</w:t>
      </w:r>
      <w:r w:rsidR="00832C24" w:rsidRPr="00A33930">
        <w:rPr>
          <w:rFonts w:eastAsia="Verdana" w:cs="Verdana"/>
          <w:szCs w:val="18"/>
          <w:lang w:val="nl-NL"/>
        </w:rPr>
        <w:t xml:space="preserve"> artikel 5 </w:t>
      </w:r>
      <w:r w:rsidR="00832C24" w:rsidRPr="00A33930">
        <w:rPr>
          <w:rFonts w:eastAsia="Verdana" w:cs="Verdana"/>
          <w:i/>
          <w:iCs/>
          <w:szCs w:val="18"/>
          <w:lang w:val="nl-NL"/>
        </w:rPr>
        <w:t>juncto</w:t>
      </w:r>
      <w:r w:rsidR="00832C24" w:rsidRPr="00A33930">
        <w:rPr>
          <w:rFonts w:eastAsia="Verdana" w:cs="Verdana"/>
          <w:szCs w:val="18"/>
          <w:lang w:val="nl-NL"/>
        </w:rPr>
        <w:t xml:space="preserve"> </w:t>
      </w:r>
      <w:r w:rsidR="003D13B7" w:rsidRPr="00A33930">
        <w:rPr>
          <w:rFonts w:eastAsia="Verdana" w:cs="Verdana"/>
          <w:szCs w:val="18"/>
          <w:lang w:val="nl-NL"/>
        </w:rPr>
        <w:t xml:space="preserve">artikel </w:t>
      </w:r>
      <w:r w:rsidR="00832C24" w:rsidRPr="00A33930">
        <w:rPr>
          <w:rFonts w:eastAsia="Verdana" w:cs="Verdana"/>
          <w:szCs w:val="18"/>
          <w:lang w:val="nl-NL"/>
        </w:rPr>
        <w:t xml:space="preserve">14.2 IVRK, verwijst het </w:t>
      </w:r>
      <w:r w:rsidR="003D3D5B" w:rsidRPr="00A33930">
        <w:rPr>
          <w:rFonts w:eastAsia="Verdana" w:cs="Verdana"/>
          <w:szCs w:val="18"/>
          <w:lang w:val="nl-NL"/>
        </w:rPr>
        <w:t>VN-</w:t>
      </w:r>
      <w:r w:rsidR="00CC68F1" w:rsidRPr="00A33930">
        <w:rPr>
          <w:rFonts w:eastAsia="Verdana" w:cs="Verdana"/>
          <w:szCs w:val="18"/>
          <w:lang w:val="nl-NL"/>
        </w:rPr>
        <w:t>Kinderrechtencomité</w:t>
      </w:r>
      <w:r w:rsidR="00832C24" w:rsidRPr="00A33930">
        <w:rPr>
          <w:rFonts w:eastAsia="Verdana" w:cs="Verdana"/>
          <w:szCs w:val="18"/>
          <w:lang w:val="nl-NL"/>
        </w:rPr>
        <w:t xml:space="preserve"> in zijn General Comments met regelmaat naar </w:t>
      </w:r>
      <w:r w:rsidR="00FA3F31" w:rsidRPr="00A33930">
        <w:rPr>
          <w:rFonts w:eastAsia="Verdana" w:cs="Verdana"/>
          <w:szCs w:val="18"/>
          <w:lang w:val="nl-NL"/>
        </w:rPr>
        <w:t>“</w:t>
      </w:r>
      <w:r w:rsidR="00832C24" w:rsidRPr="00A33930">
        <w:rPr>
          <w:rFonts w:eastAsia="Verdana" w:cs="Verdana"/>
          <w:szCs w:val="18"/>
          <w:lang w:val="nl-NL"/>
        </w:rPr>
        <w:t>the evolving capacities of the child</w:t>
      </w:r>
      <w:r w:rsidR="00FA3F31" w:rsidRPr="00A33930">
        <w:rPr>
          <w:rFonts w:eastAsia="Verdana" w:cs="Verdana"/>
          <w:szCs w:val="18"/>
          <w:lang w:val="nl-NL"/>
        </w:rPr>
        <w:t>”</w:t>
      </w:r>
      <w:r w:rsidR="003042B9" w:rsidRPr="00A33930">
        <w:rPr>
          <w:rFonts w:eastAsia="Verdana" w:cs="Verdana"/>
          <w:szCs w:val="18"/>
          <w:lang w:val="nl-NL"/>
        </w:rPr>
        <w:t xml:space="preserve"> (</w:t>
      </w:r>
      <w:r w:rsidR="003042B9" w:rsidRPr="00A33930">
        <w:rPr>
          <w:rFonts w:eastAsia="Verdana" w:cs="Verdana"/>
          <w:i/>
          <w:iCs/>
          <w:szCs w:val="18"/>
          <w:lang w:val="nl-NL"/>
        </w:rPr>
        <w:t>supra</w:t>
      </w:r>
      <w:r w:rsidR="003042B9" w:rsidRPr="00A33930">
        <w:rPr>
          <w:rFonts w:eastAsia="Verdana" w:cs="Verdana"/>
          <w:szCs w:val="18"/>
          <w:lang w:val="nl-NL"/>
        </w:rPr>
        <w:t xml:space="preserve">, nr. </w:t>
      </w:r>
      <w:r w:rsidR="00E1259F" w:rsidRPr="00A33930">
        <w:rPr>
          <w:rFonts w:eastAsia="Verdana" w:cs="Verdana"/>
          <w:szCs w:val="18"/>
          <w:lang w:val="nl-NL"/>
        </w:rPr>
        <w:t>29</w:t>
      </w:r>
      <w:r w:rsidR="003042B9" w:rsidRPr="00A33930">
        <w:rPr>
          <w:rFonts w:eastAsia="Verdana" w:cs="Verdana"/>
          <w:szCs w:val="18"/>
          <w:lang w:val="nl-NL"/>
        </w:rPr>
        <w:t>)</w:t>
      </w:r>
      <w:r w:rsidR="00832C24" w:rsidRPr="00A33930">
        <w:rPr>
          <w:rFonts w:eastAsia="Verdana" w:cs="Verdana"/>
          <w:szCs w:val="18"/>
          <w:lang w:val="nl-NL"/>
        </w:rPr>
        <w:t>.</w:t>
      </w:r>
      <w:r w:rsidR="00832C24" w:rsidRPr="00A33930">
        <w:rPr>
          <w:rStyle w:val="Voetnootmarkering"/>
          <w:rFonts w:eastAsia="Verdana" w:cs="Verdana"/>
          <w:szCs w:val="18"/>
          <w:lang w:val="nl-NL"/>
        </w:rPr>
        <w:footnoteReference w:id="81"/>
      </w:r>
      <w:r w:rsidR="000F3AA5" w:rsidRPr="00A33930">
        <w:rPr>
          <w:rFonts w:eastAsia="Verdana" w:cs="Verdana"/>
          <w:szCs w:val="18"/>
          <w:lang w:val="nl-NL"/>
        </w:rPr>
        <w:t xml:space="preserve"> Een eerste duidelijke notie van dit veranderend kindperspectief is terug te vinden in de artikelen 3.1, 5 en 12 IVRK. Het kind als rechtssubject reflecteert zich in artikel 14.2 IVRK</w:t>
      </w:r>
      <w:r w:rsidR="008253B0" w:rsidRPr="00A33930">
        <w:rPr>
          <w:rFonts w:eastAsia="Verdana" w:cs="Verdana"/>
          <w:szCs w:val="18"/>
          <w:lang w:val="nl-NL"/>
        </w:rPr>
        <w:t>. Dit</w:t>
      </w:r>
      <w:r w:rsidR="00A74B82" w:rsidRPr="00A33930">
        <w:rPr>
          <w:rFonts w:eastAsia="Verdana" w:cs="Verdana"/>
          <w:szCs w:val="18"/>
          <w:lang w:val="nl-NL"/>
        </w:rPr>
        <w:t xml:space="preserve"> </w:t>
      </w:r>
      <w:r w:rsidR="008253B0" w:rsidRPr="00A33930">
        <w:rPr>
          <w:rFonts w:eastAsia="Verdana" w:cs="Verdana"/>
          <w:szCs w:val="18"/>
          <w:lang w:val="nl-NL"/>
        </w:rPr>
        <w:t xml:space="preserve">artikel </w:t>
      </w:r>
      <w:r w:rsidR="00A74B82" w:rsidRPr="00A33930">
        <w:rPr>
          <w:rFonts w:eastAsia="Verdana" w:cs="Verdana"/>
          <w:szCs w:val="18"/>
          <w:lang w:val="nl-NL"/>
        </w:rPr>
        <w:t>bepaalt dat</w:t>
      </w:r>
      <w:r w:rsidR="000F3AA5" w:rsidRPr="00A33930">
        <w:rPr>
          <w:rFonts w:eastAsia="Verdana" w:cs="Verdana"/>
          <w:szCs w:val="18"/>
          <w:lang w:val="nl-NL"/>
        </w:rPr>
        <w:t xml:space="preserve"> ouders en voogden het kind mogen sturen in de uitoefening van zijn of haar rechten maar </w:t>
      </w:r>
      <w:r w:rsidR="008253B0" w:rsidRPr="00A33930">
        <w:rPr>
          <w:rFonts w:eastAsia="Verdana" w:cs="Verdana"/>
          <w:szCs w:val="18"/>
          <w:lang w:val="nl-NL"/>
        </w:rPr>
        <w:t xml:space="preserve">dat </w:t>
      </w:r>
      <w:r w:rsidR="000F3AA5" w:rsidRPr="00A33930">
        <w:rPr>
          <w:rFonts w:eastAsia="Verdana" w:cs="Verdana"/>
          <w:szCs w:val="18"/>
          <w:lang w:val="nl-NL"/>
        </w:rPr>
        <w:t>dit in overeenstemming moet zijn met de ontwikkelende vermogens van het kind.</w:t>
      </w:r>
      <w:r w:rsidR="000F3AA5" w:rsidRPr="00A33930">
        <w:rPr>
          <w:rStyle w:val="Voetnootmarkering"/>
          <w:rFonts w:eastAsia="Verdana" w:cs="Verdana"/>
          <w:szCs w:val="18"/>
          <w:lang w:val="nl-NL"/>
        </w:rPr>
        <w:footnoteReference w:id="82"/>
      </w:r>
    </w:p>
    <w:p w14:paraId="5E438FCE" w14:textId="77777777" w:rsidR="008659D0" w:rsidRPr="00A33930" w:rsidRDefault="008659D0" w:rsidP="008659D0">
      <w:pPr>
        <w:pStyle w:val="Lijstalinea"/>
        <w:spacing w:before="200" w:after="0"/>
        <w:ind w:left="0"/>
        <w:jc w:val="both"/>
        <w:rPr>
          <w:rFonts w:eastAsia="Verdana" w:cs="Verdana"/>
          <w:szCs w:val="18"/>
          <w:lang w:val="nl-NL"/>
        </w:rPr>
      </w:pPr>
    </w:p>
    <w:p w14:paraId="5E60068F" w14:textId="654F77E1" w:rsidR="008659D0" w:rsidRPr="00A33930" w:rsidRDefault="003D13B7" w:rsidP="008659D0">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Met </w:t>
      </w:r>
      <w:r w:rsidR="00F952D1" w:rsidRPr="00A33930">
        <w:rPr>
          <w:rFonts w:eastAsia="Verdana" w:cs="Verdana"/>
          <w:szCs w:val="18"/>
          <w:lang w:val="nl-NL"/>
        </w:rPr>
        <w:t>dit nieuw</w:t>
      </w:r>
      <w:r w:rsidRPr="00A33930">
        <w:rPr>
          <w:rFonts w:eastAsia="Verdana" w:cs="Verdana"/>
          <w:szCs w:val="18"/>
          <w:lang w:val="nl-NL"/>
        </w:rPr>
        <w:t xml:space="preserve"> </w:t>
      </w:r>
      <w:r w:rsidR="00F952D1" w:rsidRPr="00A33930">
        <w:rPr>
          <w:rFonts w:eastAsia="Verdana" w:cs="Verdana"/>
          <w:szCs w:val="18"/>
          <w:lang w:val="nl-NL"/>
        </w:rPr>
        <w:t>kindperspectief</w:t>
      </w:r>
      <w:r w:rsidR="00E33F76" w:rsidRPr="00A33930">
        <w:rPr>
          <w:rFonts w:eastAsia="Verdana" w:cs="Verdana"/>
          <w:szCs w:val="18"/>
          <w:lang w:val="nl-NL"/>
        </w:rPr>
        <w:t xml:space="preserve"> verleent het IVRK</w:t>
      </w:r>
      <w:r w:rsidRPr="00A33930">
        <w:rPr>
          <w:rFonts w:eastAsia="Verdana" w:cs="Verdana"/>
          <w:szCs w:val="18"/>
          <w:lang w:val="nl-NL"/>
        </w:rPr>
        <w:t xml:space="preserve"> tevens</w:t>
      </w:r>
      <w:r w:rsidR="00E33F76" w:rsidRPr="00A33930">
        <w:rPr>
          <w:rFonts w:eastAsia="Verdana" w:cs="Verdana"/>
          <w:szCs w:val="18"/>
          <w:lang w:val="nl-NL"/>
        </w:rPr>
        <w:t xml:space="preserve"> een nieuwe status aan het kind</w:t>
      </w:r>
      <w:r w:rsidRPr="00A33930">
        <w:rPr>
          <w:rFonts w:eastAsia="Verdana" w:cs="Verdana"/>
          <w:szCs w:val="18"/>
          <w:lang w:val="nl-NL"/>
        </w:rPr>
        <w:t>: h</w:t>
      </w:r>
      <w:r w:rsidR="00E33F76" w:rsidRPr="00A33930">
        <w:rPr>
          <w:rFonts w:eastAsia="Verdana" w:cs="Verdana"/>
          <w:szCs w:val="18"/>
          <w:lang w:val="nl-NL"/>
        </w:rPr>
        <w:t>et kind wordt niet langer beschouwd als rechtsobject, als ontvanger van rechten en in nood van bescherming</w:t>
      </w:r>
      <w:r w:rsidR="005F69F2" w:rsidRPr="00A33930">
        <w:rPr>
          <w:rFonts w:eastAsia="Verdana" w:cs="Verdana"/>
          <w:szCs w:val="18"/>
          <w:lang w:val="nl-NL"/>
        </w:rPr>
        <w:t xml:space="preserve"> door volwassenen</w:t>
      </w:r>
      <w:r w:rsidR="00DA3AB7" w:rsidRPr="00A33930">
        <w:rPr>
          <w:rFonts w:eastAsia="Verdana" w:cs="Verdana"/>
          <w:szCs w:val="18"/>
          <w:lang w:val="nl-NL"/>
        </w:rPr>
        <w:t>,</w:t>
      </w:r>
      <w:r w:rsidR="00E33F76" w:rsidRPr="00A33930">
        <w:rPr>
          <w:rFonts w:eastAsia="Verdana" w:cs="Verdana"/>
          <w:szCs w:val="18"/>
          <w:lang w:val="nl-NL"/>
        </w:rPr>
        <w:t xml:space="preserve"> maar is nu een rechtssubject</w:t>
      </w:r>
      <w:r w:rsidR="004D31FA" w:rsidRPr="00A33930">
        <w:rPr>
          <w:rFonts w:eastAsia="Verdana" w:cs="Verdana"/>
          <w:i/>
          <w:iCs/>
          <w:szCs w:val="18"/>
          <w:lang w:val="nl-NL"/>
        </w:rPr>
        <w:t xml:space="preserve"> </w:t>
      </w:r>
      <w:r w:rsidR="004D31FA" w:rsidRPr="00A33930">
        <w:rPr>
          <w:rFonts w:eastAsia="Verdana" w:cs="Verdana"/>
          <w:szCs w:val="18"/>
          <w:lang w:val="nl-NL"/>
        </w:rPr>
        <w:t>(</w:t>
      </w:r>
      <w:r w:rsidR="004D31FA" w:rsidRPr="00A33930">
        <w:rPr>
          <w:rFonts w:eastAsia="Verdana" w:cs="Verdana"/>
          <w:i/>
          <w:iCs/>
          <w:szCs w:val="18"/>
          <w:lang w:val="nl-NL"/>
        </w:rPr>
        <w:t>supra</w:t>
      </w:r>
      <w:r w:rsidR="004D31FA" w:rsidRPr="00A33930">
        <w:rPr>
          <w:rFonts w:eastAsia="Verdana" w:cs="Verdana"/>
          <w:szCs w:val="18"/>
          <w:lang w:val="nl-NL"/>
        </w:rPr>
        <w:t xml:space="preserve">, nr. </w:t>
      </w:r>
      <w:r w:rsidR="00E1259F" w:rsidRPr="00A33930">
        <w:rPr>
          <w:rFonts w:eastAsia="Verdana" w:cs="Verdana"/>
          <w:szCs w:val="18"/>
          <w:lang w:val="nl-NL"/>
        </w:rPr>
        <w:t>24</w:t>
      </w:r>
      <w:r w:rsidR="004D31FA" w:rsidRPr="00A33930">
        <w:rPr>
          <w:rFonts w:eastAsia="Verdana" w:cs="Verdana"/>
          <w:szCs w:val="18"/>
          <w:lang w:val="nl-NL"/>
        </w:rPr>
        <w:t>)</w:t>
      </w:r>
      <w:r w:rsidR="00E33F76" w:rsidRPr="00A33930">
        <w:rPr>
          <w:rFonts w:eastAsia="Verdana" w:cs="Verdana"/>
          <w:szCs w:val="18"/>
          <w:lang w:val="nl-NL"/>
        </w:rPr>
        <w:t>.</w:t>
      </w:r>
      <w:r w:rsidR="00E33F76" w:rsidRPr="00A33930">
        <w:rPr>
          <w:rStyle w:val="Voetnootmarkering"/>
          <w:rFonts w:eastAsia="Verdana" w:cs="Verdana"/>
          <w:szCs w:val="18"/>
          <w:lang w:val="nl-NL"/>
        </w:rPr>
        <w:footnoteReference w:id="83"/>
      </w:r>
      <w:r w:rsidR="005F69F2" w:rsidRPr="00A33930">
        <w:rPr>
          <w:rFonts w:eastAsia="Verdana" w:cs="Verdana"/>
          <w:szCs w:val="18"/>
          <w:lang w:val="nl-NL"/>
        </w:rPr>
        <w:t xml:space="preserve"> </w:t>
      </w:r>
      <w:r w:rsidR="002C2799" w:rsidRPr="00A33930">
        <w:rPr>
          <w:rFonts w:eastAsia="Verdana" w:cs="Verdana"/>
          <w:szCs w:val="18"/>
          <w:lang w:val="nl-NL"/>
        </w:rPr>
        <w:t xml:space="preserve">Het IVRK </w:t>
      </w:r>
      <w:r w:rsidR="00DA3AB7" w:rsidRPr="00A33930">
        <w:rPr>
          <w:rFonts w:eastAsia="Verdana" w:cs="Verdana"/>
          <w:szCs w:val="18"/>
          <w:lang w:val="nl-NL"/>
        </w:rPr>
        <w:t>maakt</w:t>
      </w:r>
      <w:r w:rsidR="002C2799" w:rsidRPr="00A33930">
        <w:rPr>
          <w:rFonts w:eastAsia="Verdana" w:cs="Verdana"/>
          <w:szCs w:val="18"/>
          <w:lang w:val="nl-NL"/>
        </w:rPr>
        <w:t xml:space="preserve"> </w:t>
      </w:r>
      <w:r w:rsidR="00DA3AB7" w:rsidRPr="00A33930">
        <w:rPr>
          <w:rFonts w:eastAsia="Verdana" w:cs="Verdana"/>
          <w:szCs w:val="18"/>
          <w:lang w:val="nl-NL"/>
        </w:rPr>
        <w:t xml:space="preserve">zodus </w:t>
      </w:r>
      <w:r w:rsidR="002C2799" w:rsidRPr="00A33930">
        <w:rPr>
          <w:rFonts w:eastAsia="Verdana" w:cs="Verdana"/>
          <w:szCs w:val="18"/>
          <w:lang w:val="nl-NL"/>
        </w:rPr>
        <w:t>de</w:t>
      </w:r>
      <w:r w:rsidR="00DA3AB7" w:rsidRPr="00A33930">
        <w:rPr>
          <w:rFonts w:eastAsia="Verdana" w:cs="Verdana"/>
          <w:szCs w:val="18"/>
          <w:lang w:val="nl-NL"/>
        </w:rPr>
        <w:t xml:space="preserve"> eerste</w:t>
      </w:r>
      <w:r w:rsidR="002C2799" w:rsidRPr="00A33930">
        <w:rPr>
          <w:rFonts w:eastAsia="Verdana" w:cs="Verdana"/>
          <w:szCs w:val="18"/>
          <w:lang w:val="nl-NL"/>
        </w:rPr>
        <w:t xml:space="preserve"> stap naar erkenning van het kind als volwaardig rechtssubject</w:t>
      </w:r>
      <w:r w:rsidR="00A74B82" w:rsidRPr="00A33930">
        <w:rPr>
          <w:rFonts w:eastAsia="Verdana" w:cs="Verdana"/>
          <w:szCs w:val="18"/>
          <w:lang w:val="nl-NL"/>
        </w:rPr>
        <w:t xml:space="preserve">. Dit was in 1989 </w:t>
      </w:r>
      <w:r w:rsidR="004D31FA" w:rsidRPr="00A33930">
        <w:rPr>
          <w:rFonts w:eastAsia="Verdana" w:cs="Verdana"/>
          <w:szCs w:val="18"/>
          <w:lang w:val="nl-NL"/>
        </w:rPr>
        <w:t xml:space="preserve">iets </w:t>
      </w:r>
      <w:r w:rsidR="00A74B82" w:rsidRPr="00A33930">
        <w:rPr>
          <w:rFonts w:eastAsia="Verdana" w:cs="Verdana"/>
          <w:szCs w:val="18"/>
          <w:lang w:val="nl-NL"/>
        </w:rPr>
        <w:t>nieuw en staat</w:t>
      </w:r>
      <w:r w:rsidR="002C2799" w:rsidRPr="00A33930">
        <w:rPr>
          <w:rFonts w:eastAsia="Verdana" w:cs="Verdana"/>
          <w:szCs w:val="18"/>
          <w:lang w:val="nl-NL"/>
        </w:rPr>
        <w:t xml:space="preserve"> in </w:t>
      </w:r>
      <w:r w:rsidR="00A74B82" w:rsidRPr="00A33930">
        <w:rPr>
          <w:rFonts w:eastAsia="Verdana" w:cs="Verdana"/>
          <w:szCs w:val="18"/>
          <w:lang w:val="nl-NL"/>
        </w:rPr>
        <w:t>contrast met</w:t>
      </w:r>
      <w:r w:rsidR="002C2799" w:rsidRPr="00A33930">
        <w:rPr>
          <w:rFonts w:eastAsia="Verdana" w:cs="Verdana"/>
          <w:szCs w:val="18"/>
          <w:lang w:val="nl-NL"/>
        </w:rPr>
        <w:t xml:space="preserve"> de historisch gegroeide objectbenadering die de “not yet”-status van het kind benadrukt.</w:t>
      </w:r>
      <w:r w:rsidR="002C2799" w:rsidRPr="00A33930">
        <w:rPr>
          <w:rStyle w:val="Voetnootmarkering"/>
          <w:rFonts w:eastAsia="Verdana" w:cs="Verdana"/>
          <w:szCs w:val="18"/>
          <w:lang w:val="nl-NL"/>
        </w:rPr>
        <w:footnoteReference w:id="84"/>
      </w:r>
      <w:r w:rsidR="002C2799" w:rsidRPr="00A33930">
        <w:rPr>
          <w:rFonts w:eastAsia="Verdana" w:cs="Verdana"/>
          <w:szCs w:val="18"/>
          <w:lang w:val="nl-NL"/>
        </w:rPr>
        <w:t xml:space="preserve"> </w:t>
      </w:r>
      <w:r w:rsidR="00083F2F" w:rsidRPr="00A33930">
        <w:rPr>
          <w:rFonts w:eastAsia="Verdana" w:cs="Verdana"/>
          <w:szCs w:val="18"/>
          <w:lang w:val="nl-NL"/>
        </w:rPr>
        <w:t>Met zijn General Comment n</w:t>
      </w:r>
      <w:r w:rsidR="00E1259F" w:rsidRPr="00A33930">
        <w:rPr>
          <w:rFonts w:eastAsia="Verdana" w:cs="Verdana"/>
          <w:szCs w:val="18"/>
          <w:lang w:val="nl-NL"/>
        </w:rPr>
        <w:t>r</w:t>
      </w:r>
      <w:r w:rsidR="00083F2F" w:rsidRPr="00A33930">
        <w:rPr>
          <w:rFonts w:eastAsia="Verdana" w:cs="Verdana"/>
          <w:szCs w:val="18"/>
          <w:lang w:val="nl-NL"/>
        </w:rPr>
        <w:t xml:space="preserve">. 7 beoogt het VN-Kinderrechtencomité zelfs een volledige verlating van het oud perspectief dat kinderen een socialisatieproces doorlopen </w:t>
      </w:r>
      <w:r w:rsidR="001C71E9" w:rsidRPr="00A33930">
        <w:rPr>
          <w:rFonts w:eastAsia="Verdana" w:cs="Verdana"/>
          <w:szCs w:val="18"/>
          <w:lang w:val="nl-NL"/>
        </w:rPr>
        <w:t>richting</w:t>
      </w:r>
      <w:r w:rsidR="00083F2F" w:rsidRPr="00A33930">
        <w:rPr>
          <w:rFonts w:eastAsia="Verdana" w:cs="Verdana"/>
          <w:szCs w:val="18"/>
          <w:lang w:val="nl-NL"/>
        </w:rPr>
        <w:t xml:space="preserve"> volwassen</w:t>
      </w:r>
      <w:r w:rsidR="004D31FA" w:rsidRPr="00A33930">
        <w:rPr>
          <w:rFonts w:eastAsia="Verdana" w:cs="Verdana"/>
          <w:szCs w:val="18"/>
          <w:lang w:val="nl-NL"/>
        </w:rPr>
        <w:t>heid</w:t>
      </w:r>
      <w:r w:rsidR="00083F2F" w:rsidRPr="00A33930">
        <w:rPr>
          <w:rFonts w:eastAsia="Verdana" w:cs="Verdana"/>
          <w:szCs w:val="18"/>
          <w:lang w:val="nl-NL"/>
        </w:rPr>
        <w:t>.</w:t>
      </w:r>
      <w:r w:rsidR="00083F2F" w:rsidRPr="00A33930">
        <w:rPr>
          <w:rStyle w:val="Voetnootmarkering"/>
          <w:rFonts w:eastAsia="Verdana" w:cs="Verdana"/>
          <w:szCs w:val="18"/>
          <w:lang w:val="nl-NL"/>
        </w:rPr>
        <w:footnoteReference w:id="85"/>
      </w:r>
      <w:r w:rsidR="00083F2F" w:rsidRPr="00A33930">
        <w:rPr>
          <w:rFonts w:eastAsia="Verdana" w:cs="Verdana"/>
          <w:szCs w:val="18"/>
          <w:lang w:val="nl-NL"/>
        </w:rPr>
        <w:t xml:space="preserve"> </w:t>
      </w:r>
      <w:r w:rsidR="00F56DE0" w:rsidRPr="00A33930">
        <w:rPr>
          <w:rFonts w:eastAsia="Verdana" w:cs="Verdana"/>
          <w:szCs w:val="18"/>
          <w:lang w:val="nl-NL"/>
        </w:rPr>
        <w:t>Dit betekent</w:t>
      </w:r>
      <w:r w:rsidR="005F69F2" w:rsidRPr="00A33930">
        <w:rPr>
          <w:rFonts w:eastAsia="Verdana" w:cs="Verdana"/>
          <w:szCs w:val="18"/>
          <w:lang w:val="nl-NL"/>
        </w:rPr>
        <w:t xml:space="preserve"> dat het kind </w:t>
      </w:r>
      <w:r w:rsidR="002C2799" w:rsidRPr="00A33930">
        <w:rPr>
          <w:rFonts w:eastAsia="Verdana" w:cs="Verdana"/>
          <w:szCs w:val="18"/>
          <w:lang w:val="nl-NL"/>
        </w:rPr>
        <w:t xml:space="preserve">volgens het IVRK </w:t>
      </w:r>
      <w:r w:rsidR="005F69F2" w:rsidRPr="00A33930">
        <w:rPr>
          <w:rFonts w:eastAsia="Verdana" w:cs="Verdana"/>
          <w:szCs w:val="18"/>
          <w:lang w:val="nl-NL"/>
        </w:rPr>
        <w:t>titularis is van eigen rechten, het recht heeft zijn mening te uiten en het recht heeft om deel te nemen in beslissingen die hem rechtstreeks aanbelangen</w:t>
      </w:r>
      <w:r w:rsidR="00C0794F" w:rsidRPr="00A33930">
        <w:rPr>
          <w:rFonts w:eastAsia="Verdana" w:cs="Verdana"/>
          <w:szCs w:val="18"/>
          <w:lang w:val="nl-NL"/>
        </w:rPr>
        <w:t>.</w:t>
      </w:r>
      <w:r w:rsidR="003042B9" w:rsidRPr="00A33930">
        <w:rPr>
          <w:rStyle w:val="Voetnootmarkering"/>
          <w:rFonts w:eastAsia="Verdana" w:cs="Verdana"/>
          <w:szCs w:val="18"/>
          <w:lang w:val="nl-NL"/>
        </w:rPr>
        <w:footnoteReference w:id="86"/>
      </w:r>
      <w:r w:rsidR="008659D0" w:rsidRPr="00A33930">
        <w:rPr>
          <w:rFonts w:eastAsia="Verdana" w:cs="Verdana"/>
          <w:szCs w:val="18"/>
          <w:lang w:val="nl-NL"/>
        </w:rPr>
        <w:t xml:space="preserve"> </w:t>
      </w:r>
      <w:r w:rsidR="000F3AA5" w:rsidRPr="00A33930">
        <w:rPr>
          <w:rFonts w:eastAsia="Verdana" w:cs="Verdana"/>
          <w:szCs w:val="18"/>
          <w:lang w:val="nl-NL"/>
        </w:rPr>
        <w:t>Binnen het IVRK staat het kind als rechtssubject op gespannen voet met de ouderlijke verantwoordelijkheden</w:t>
      </w:r>
      <w:r w:rsidR="002C2799" w:rsidRPr="00A33930">
        <w:rPr>
          <w:rFonts w:eastAsia="Verdana" w:cs="Verdana"/>
          <w:szCs w:val="18"/>
          <w:lang w:val="nl-NL"/>
        </w:rPr>
        <w:t xml:space="preserve"> (</w:t>
      </w:r>
      <w:r w:rsidR="00E1259F" w:rsidRPr="00A33930">
        <w:rPr>
          <w:rFonts w:eastAsia="Verdana" w:cs="Verdana"/>
          <w:szCs w:val="18"/>
          <w:lang w:val="nl-NL"/>
        </w:rPr>
        <w:t>cf.</w:t>
      </w:r>
      <w:r w:rsidR="00E1259F" w:rsidRPr="00A33930">
        <w:rPr>
          <w:rFonts w:eastAsia="Verdana" w:cs="Verdana"/>
          <w:i/>
          <w:iCs/>
          <w:szCs w:val="18"/>
          <w:lang w:val="nl-NL"/>
        </w:rPr>
        <w:t xml:space="preserve"> infra</w:t>
      </w:r>
      <w:r w:rsidR="00E1259F" w:rsidRPr="00A33930">
        <w:rPr>
          <w:rFonts w:eastAsia="Verdana" w:cs="Verdana"/>
          <w:szCs w:val="18"/>
          <w:lang w:val="nl-NL"/>
        </w:rPr>
        <w:t>,</w:t>
      </w:r>
      <w:r w:rsidR="002C2799" w:rsidRPr="00A33930">
        <w:rPr>
          <w:rFonts w:eastAsia="Verdana" w:cs="Verdana"/>
          <w:szCs w:val="18"/>
          <w:lang w:val="nl-NL"/>
        </w:rPr>
        <w:t xml:space="preserve"> nr. </w:t>
      </w:r>
      <w:r w:rsidR="00E1259F" w:rsidRPr="00A33930">
        <w:rPr>
          <w:rFonts w:eastAsia="Verdana" w:cs="Verdana"/>
          <w:szCs w:val="18"/>
          <w:lang w:val="nl-NL"/>
        </w:rPr>
        <w:t>87</w:t>
      </w:r>
      <w:r w:rsidR="002C2799" w:rsidRPr="00A33930">
        <w:rPr>
          <w:rFonts w:eastAsia="Verdana" w:cs="Verdana"/>
          <w:szCs w:val="18"/>
          <w:lang w:val="nl-NL"/>
        </w:rPr>
        <w:t>)</w:t>
      </w:r>
      <w:r w:rsidR="00D16B88" w:rsidRPr="00A33930">
        <w:rPr>
          <w:rFonts w:eastAsia="Verdana" w:cs="Verdana"/>
          <w:szCs w:val="18"/>
          <w:lang w:val="nl-NL"/>
        </w:rPr>
        <w:t>.</w:t>
      </w:r>
      <w:r w:rsidR="00D16B88" w:rsidRPr="00A33930">
        <w:rPr>
          <w:rStyle w:val="Voetnootmarkering"/>
          <w:rFonts w:eastAsia="Verdana" w:cs="Verdana"/>
          <w:szCs w:val="18"/>
          <w:lang w:val="nl-NL"/>
        </w:rPr>
        <w:footnoteReference w:id="87"/>
      </w:r>
      <w:r w:rsidR="00D16B88" w:rsidRPr="00A33930">
        <w:rPr>
          <w:rFonts w:eastAsia="Verdana" w:cs="Verdana"/>
          <w:szCs w:val="18"/>
          <w:lang w:val="nl-NL"/>
        </w:rPr>
        <w:t xml:space="preserve"> O</w:t>
      </w:r>
      <w:r w:rsidR="006D41D6" w:rsidRPr="00A33930">
        <w:rPr>
          <w:rFonts w:eastAsia="Verdana" w:cs="Verdana"/>
          <w:szCs w:val="18"/>
          <w:lang w:val="nl-NL"/>
        </w:rPr>
        <w:t xml:space="preserve">uders </w:t>
      </w:r>
      <w:r w:rsidR="0060177B" w:rsidRPr="00A33930">
        <w:rPr>
          <w:rFonts w:eastAsia="Verdana" w:cs="Verdana"/>
          <w:szCs w:val="18"/>
          <w:lang w:val="nl-NL"/>
        </w:rPr>
        <w:t>bezitten</w:t>
      </w:r>
      <w:r w:rsidR="006D41D6" w:rsidRPr="00A33930">
        <w:rPr>
          <w:rFonts w:eastAsia="Verdana" w:cs="Verdana"/>
          <w:szCs w:val="18"/>
          <w:lang w:val="nl-NL"/>
        </w:rPr>
        <w:t xml:space="preserve"> namelijk </w:t>
      </w:r>
      <w:r w:rsidR="00D16B88" w:rsidRPr="00A33930">
        <w:rPr>
          <w:rFonts w:eastAsia="Verdana" w:cs="Verdana"/>
          <w:szCs w:val="18"/>
          <w:lang w:val="nl-NL"/>
        </w:rPr>
        <w:t xml:space="preserve">bepaalde </w:t>
      </w:r>
      <w:r w:rsidR="006402BF" w:rsidRPr="00A33930">
        <w:rPr>
          <w:rFonts w:eastAsia="Verdana" w:cs="Verdana"/>
          <w:szCs w:val="18"/>
          <w:lang w:val="nl-NL"/>
        </w:rPr>
        <w:t>“</w:t>
      </w:r>
      <w:r w:rsidR="00D16B88" w:rsidRPr="00A33930">
        <w:rPr>
          <w:rFonts w:eastAsia="Verdana" w:cs="Verdana"/>
          <w:szCs w:val="18"/>
          <w:lang w:val="nl-NL"/>
        </w:rPr>
        <w:t>voorrechten</w:t>
      </w:r>
      <w:r w:rsidR="006402BF" w:rsidRPr="00A33930">
        <w:rPr>
          <w:rFonts w:eastAsia="Verdana" w:cs="Verdana"/>
          <w:szCs w:val="18"/>
          <w:lang w:val="nl-NL"/>
        </w:rPr>
        <w:t>”</w:t>
      </w:r>
      <w:r w:rsidR="00D16B88" w:rsidRPr="00A33930">
        <w:rPr>
          <w:rFonts w:eastAsia="Verdana" w:cs="Verdana"/>
          <w:szCs w:val="18"/>
          <w:lang w:val="nl-NL"/>
        </w:rPr>
        <w:t xml:space="preserve"> die het mogelijk maken de rechten en belangen van hun kinderen te vertegenwoordigen. </w:t>
      </w:r>
      <w:r w:rsidR="005D08B2" w:rsidRPr="00A33930">
        <w:rPr>
          <w:rFonts w:eastAsia="Verdana" w:cs="Verdana"/>
          <w:szCs w:val="18"/>
          <w:lang w:val="nl-NL"/>
        </w:rPr>
        <w:t xml:space="preserve">Dat vormt tevens de voornaamste reden voor de objectgedachte. </w:t>
      </w:r>
      <w:r w:rsidR="00D16B88" w:rsidRPr="00A33930">
        <w:rPr>
          <w:rFonts w:eastAsia="Verdana" w:cs="Verdana"/>
          <w:szCs w:val="18"/>
          <w:lang w:val="nl-NL"/>
        </w:rPr>
        <w:t xml:space="preserve">Dit betekent ook dat de Verdragsstaat ouders moet </w:t>
      </w:r>
      <w:r w:rsidR="00C0794F" w:rsidRPr="00A33930">
        <w:rPr>
          <w:rFonts w:eastAsia="Verdana" w:cs="Verdana"/>
          <w:szCs w:val="18"/>
          <w:lang w:val="nl-NL"/>
        </w:rPr>
        <w:lastRenderedPageBreak/>
        <w:t>ondersteunen</w:t>
      </w:r>
      <w:r w:rsidR="00D16B88" w:rsidRPr="00A33930">
        <w:rPr>
          <w:rFonts w:eastAsia="Verdana" w:cs="Verdana"/>
          <w:szCs w:val="18"/>
          <w:lang w:val="nl-NL"/>
        </w:rPr>
        <w:t xml:space="preserve"> in het realiseren van hun ouderlijk gezag en ouderlijke verantwoordelijkheden, gezien ouders het best het belang van het kind </w:t>
      </w:r>
      <w:r w:rsidR="00A74B82" w:rsidRPr="00A33930">
        <w:rPr>
          <w:rFonts w:eastAsia="Verdana" w:cs="Verdana"/>
          <w:szCs w:val="18"/>
          <w:lang w:val="nl-NL"/>
        </w:rPr>
        <w:t xml:space="preserve">kunnen </w:t>
      </w:r>
      <w:r w:rsidR="00D16B88" w:rsidRPr="00A33930">
        <w:rPr>
          <w:rFonts w:eastAsia="Verdana" w:cs="Verdana"/>
          <w:szCs w:val="18"/>
          <w:lang w:val="nl-NL"/>
        </w:rPr>
        <w:t>inschatten.</w:t>
      </w:r>
      <w:r w:rsidR="00D16B88" w:rsidRPr="00A33930">
        <w:rPr>
          <w:rStyle w:val="Voetnootmarkering"/>
          <w:rFonts w:eastAsia="Verdana" w:cs="Verdana"/>
          <w:szCs w:val="18"/>
          <w:lang w:val="nl-NL"/>
        </w:rPr>
        <w:footnoteReference w:id="88"/>
      </w:r>
      <w:r w:rsidR="00D16B88" w:rsidRPr="00A33930">
        <w:rPr>
          <w:rFonts w:eastAsia="Verdana" w:cs="Verdana"/>
          <w:szCs w:val="18"/>
          <w:lang w:val="nl-NL"/>
        </w:rPr>
        <w:t xml:space="preserve"> </w:t>
      </w:r>
      <w:r w:rsidR="00E7305E" w:rsidRPr="00A33930">
        <w:rPr>
          <w:rFonts w:eastAsia="Verdana" w:cs="Verdana"/>
          <w:szCs w:val="18"/>
          <w:lang w:val="nl-NL"/>
        </w:rPr>
        <w:t>Het IVRK erkent zodus niet het recht van kinderen op zelfbeschikking maar wel de bekwaamheid van kinderen om, onder begeleiding van hun ouders, deze bekwaamheid te verkrijgen.</w:t>
      </w:r>
      <w:r w:rsidR="00E7305E" w:rsidRPr="00A33930">
        <w:rPr>
          <w:rStyle w:val="Voetnootmarkering"/>
          <w:rFonts w:eastAsia="Verdana" w:cs="Verdana"/>
          <w:szCs w:val="18"/>
          <w:lang w:val="nl-NL"/>
        </w:rPr>
        <w:footnoteReference w:id="89"/>
      </w:r>
      <w:r w:rsidR="00E7305E" w:rsidRPr="00A33930">
        <w:rPr>
          <w:rFonts w:eastAsia="Verdana" w:cs="Verdana"/>
          <w:szCs w:val="18"/>
          <w:lang w:val="nl-NL"/>
        </w:rPr>
        <w:t xml:space="preserve"> Het</w:t>
      </w:r>
      <w:r w:rsidR="00D16B88" w:rsidRPr="00A33930">
        <w:rPr>
          <w:rFonts w:eastAsia="Verdana" w:cs="Verdana"/>
          <w:szCs w:val="18"/>
          <w:lang w:val="nl-NL"/>
        </w:rPr>
        <w:t xml:space="preserve"> recht van de ouders is </w:t>
      </w:r>
      <w:r w:rsidR="00E7305E" w:rsidRPr="00A33930">
        <w:rPr>
          <w:rFonts w:eastAsia="Verdana" w:cs="Verdana"/>
          <w:szCs w:val="18"/>
          <w:lang w:val="nl-NL"/>
        </w:rPr>
        <w:t>dus een</w:t>
      </w:r>
      <w:r w:rsidR="00D16B88" w:rsidRPr="00A33930">
        <w:rPr>
          <w:rFonts w:eastAsia="Verdana" w:cs="Verdana"/>
          <w:szCs w:val="18"/>
          <w:lang w:val="nl-NL"/>
        </w:rPr>
        <w:t xml:space="preserve"> functioneel recht: het ondersteunt het eigenlijke recht op </w:t>
      </w:r>
      <w:r w:rsidR="00E7305E" w:rsidRPr="00A33930">
        <w:rPr>
          <w:rFonts w:eastAsia="Verdana" w:cs="Verdana"/>
          <w:szCs w:val="18"/>
          <w:lang w:val="nl-NL"/>
        </w:rPr>
        <w:t>persoonlijk contact</w:t>
      </w:r>
      <w:r w:rsidR="00D16B88" w:rsidRPr="00A33930">
        <w:rPr>
          <w:rFonts w:eastAsia="Verdana" w:cs="Verdana"/>
          <w:szCs w:val="18"/>
          <w:lang w:val="nl-NL"/>
        </w:rPr>
        <w:t xml:space="preserve"> als zijnde een kinderrecht.</w:t>
      </w:r>
      <w:r w:rsidR="00D16B88" w:rsidRPr="00A33930">
        <w:rPr>
          <w:rStyle w:val="Voetnootmarkering"/>
          <w:rFonts w:eastAsia="Verdana" w:cs="Verdana"/>
          <w:szCs w:val="18"/>
          <w:lang w:val="nl-NL"/>
        </w:rPr>
        <w:footnoteReference w:id="90"/>
      </w:r>
    </w:p>
    <w:p w14:paraId="15D4C949" w14:textId="77777777" w:rsidR="00E7305E" w:rsidRPr="00A33930" w:rsidRDefault="00E7305E" w:rsidP="00E7305E">
      <w:pPr>
        <w:pStyle w:val="Lijstalinea"/>
        <w:rPr>
          <w:rFonts w:eastAsia="Verdana" w:cs="Verdana"/>
          <w:szCs w:val="18"/>
          <w:lang w:val="nl-NL"/>
        </w:rPr>
      </w:pPr>
    </w:p>
    <w:p w14:paraId="36031238" w14:textId="18F09842" w:rsidR="000F3AA5" w:rsidRPr="00A33930" w:rsidRDefault="00053138" w:rsidP="000F3AA5">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Opgemerkt dient te worden dat het</w:t>
      </w:r>
      <w:r w:rsidR="00E7305E" w:rsidRPr="00A33930">
        <w:rPr>
          <w:rFonts w:eastAsia="Verdana" w:cs="Verdana"/>
          <w:szCs w:val="18"/>
          <w:lang w:val="nl-NL"/>
        </w:rPr>
        <w:t xml:space="preserve"> IVRK echter geen eenduidig kind</w:t>
      </w:r>
      <w:r w:rsidR="00E57778" w:rsidRPr="00A33930">
        <w:rPr>
          <w:rFonts w:eastAsia="Verdana" w:cs="Verdana"/>
          <w:szCs w:val="18"/>
          <w:lang w:val="nl-NL"/>
        </w:rPr>
        <w:t>perspectief</w:t>
      </w:r>
      <w:r w:rsidRPr="00A33930">
        <w:rPr>
          <w:rFonts w:eastAsia="Verdana" w:cs="Verdana"/>
          <w:szCs w:val="18"/>
          <w:lang w:val="nl-NL"/>
        </w:rPr>
        <w:t xml:space="preserve"> bevat</w:t>
      </w:r>
      <w:r w:rsidR="00E7305E" w:rsidRPr="00A33930">
        <w:rPr>
          <w:rFonts w:eastAsia="Verdana" w:cs="Verdana"/>
          <w:szCs w:val="18"/>
          <w:lang w:val="nl-NL"/>
        </w:rPr>
        <w:t>.</w:t>
      </w:r>
      <w:r w:rsidR="00E7305E" w:rsidRPr="00A33930">
        <w:rPr>
          <w:rStyle w:val="Voetnootmarkering"/>
          <w:rFonts w:eastAsia="Verdana" w:cs="Verdana"/>
          <w:szCs w:val="18"/>
          <w:lang w:val="nl-NL"/>
        </w:rPr>
        <w:footnoteReference w:id="91"/>
      </w:r>
      <w:r w:rsidR="00D55404" w:rsidRPr="00A33930">
        <w:rPr>
          <w:rFonts w:eastAsia="Verdana" w:cs="Verdana"/>
          <w:szCs w:val="18"/>
          <w:lang w:val="nl-NL"/>
        </w:rPr>
        <w:t xml:space="preserve"> Het “hinkt op twee benen”.</w:t>
      </w:r>
      <w:r w:rsidR="00D55404" w:rsidRPr="00A33930">
        <w:rPr>
          <w:rStyle w:val="Voetnootmarkering"/>
          <w:rFonts w:eastAsia="Verdana" w:cs="Verdana"/>
          <w:szCs w:val="18"/>
          <w:lang w:val="nl-NL"/>
        </w:rPr>
        <w:footnoteReference w:id="92"/>
      </w:r>
      <w:r w:rsidR="00E7305E" w:rsidRPr="00A33930">
        <w:rPr>
          <w:rFonts w:eastAsia="Verdana" w:cs="Verdana"/>
          <w:szCs w:val="18"/>
          <w:lang w:val="nl-NL"/>
        </w:rPr>
        <w:t xml:space="preserve"> </w:t>
      </w:r>
      <w:r w:rsidR="00DA3AB7" w:rsidRPr="00A33930">
        <w:rPr>
          <w:rFonts w:eastAsia="Verdana" w:cs="Verdana"/>
          <w:szCs w:val="18"/>
          <w:lang w:val="nl-NL"/>
        </w:rPr>
        <w:t>Enerzijds zijn er</w:t>
      </w:r>
      <w:r w:rsidR="00FF4A11" w:rsidRPr="00A33930">
        <w:rPr>
          <w:rFonts w:eastAsia="Verdana" w:cs="Verdana"/>
          <w:szCs w:val="18"/>
          <w:lang w:val="nl-NL"/>
        </w:rPr>
        <w:t xml:space="preserve"> heel</w:t>
      </w:r>
      <w:r w:rsidR="00E7305E" w:rsidRPr="00A33930">
        <w:rPr>
          <w:rFonts w:eastAsia="Verdana" w:cs="Verdana"/>
          <w:szCs w:val="18"/>
          <w:lang w:val="nl-NL"/>
        </w:rPr>
        <w:t xml:space="preserve"> wat artikelen die de autonomie van kinderen benadrukken en hen duidelijk plaatst als rechtssubject, </w:t>
      </w:r>
      <w:r w:rsidR="00FF4A11" w:rsidRPr="00A33930">
        <w:rPr>
          <w:rFonts w:eastAsia="Verdana" w:cs="Verdana"/>
          <w:szCs w:val="18"/>
          <w:lang w:val="nl-NL"/>
        </w:rPr>
        <w:t>zoals het recht</w:t>
      </w:r>
      <w:r w:rsidR="00E7305E" w:rsidRPr="00A33930">
        <w:rPr>
          <w:rFonts w:eastAsia="Verdana" w:cs="Verdana"/>
          <w:szCs w:val="18"/>
          <w:lang w:val="nl-NL"/>
        </w:rPr>
        <w:t xml:space="preserve"> op inspraak uit art</w:t>
      </w:r>
      <w:r w:rsidR="002C2799" w:rsidRPr="00A33930">
        <w:rPr>
          <w:rFonts w:eastAsia="Verdana" w:cs="Verdana"/>
          <w:szCs w:val="18"/>
          <w:lang w:val="nl-NL"/>
        </w:rPr>
        <w:t>ikel</w:t>
      </w:r>
      <w:r w:rsidR="00E7305E" w:rsidRPr="00A33930">
        <w:rPr>
          <w:rFonts w:eastAsia="Verdana" w:cs="Verdana"/>
          <w:szCs w:val="18"/>
          <w:lang w:val="nl-NL"/>
        </w:rPr>
        <w:t xml:space="preserve"> 12 IVRK en de rechten uit art</w:t>
      </w:r>
      <w:r w:rsidR="002C2799" w:rsidRPr="00A33930">
        <w:rPr>
          <w:rFonts w:eastAsia="Verdana" w:cs="Verdana"/>
          <w:szCs w:val="18"/>
          <w:lang w:val="nl-NL"/>
        </w:rPr>
        <w:t>ikel</w:t>
      </w:r>
      <w:r w:rsidR="00E7305E" w:rsidRPr="00A33930">
        <w:rPr>
          <w:rFonts w:eastAsia="Verdana" w:cs="Verdana"/>
          <w:szCs w:val="18"/>
          <w:lang w:val="nl-NL"/>
        </w:rPr>
        <w:t xml:space="preserve"> 13-16 IVRK. Anderzijds benadrukt het IVRK op verschillende plaatsen de </w:t>
      </w:r>
      <w:r w:rsidR="002C2799" w:rsidRPr="00A33930">
        <w:rPr>
          <w:rFonts w:eastAsia="Verdana" w:cs="Verdana"/>
          <w:szCs w:val="18"/>
          <w:lang w:val="nl-NL"/>
        </w:rPr>
        <w:t xml:space="preserve">verhoogde </w:t>
      </w:r>
      <w:r w:rsidR="00E7305E" w:rsidRPr="00A33930">
        <w:rPr>
          <w:rFonts w:eastAsia="Verdana" w:cs="Verdana"/>
          <w:szCs w:val="18"/>
          <w:lang w:val="nl-NL"/>
        </w:rPr>
        <w:t xml:space="preserve">kwetsbaarheid van kinderen en de nood aan bescherming, </w:t>
      </w:r>
      <w:r w:rsidR="002C2799" w:rsidRPr="00A33930">
        <w:rPr>
          <w:rFonts w:eastAsia="Verdana" w:cs="Verdana"/>
          <w:szCs w:val="18"/>
          <w:lang w:val="nl-NL"/>
        </w:rPr>
        <w:t xml:space="preserve">zoals </w:t>
      </w:r>
      <w:r w:rsidR="00FF4A11" w:rsidRPr="00A33930">
        <w:rPr>
          <w:rFonts w:eastAsia="Verdana" w:cs="Verdana"/>
          <w:szCs w:val="18"/>
          <w:lang w:val="nl-NL"/>
        </w:rPr>
        <w:t xml:space="preserve">het geval voor </w:t>
      </w:r>
      <w:r w:rsidR="00E7305E" w:rsidRPr="00A33930">
        <w:rPr>
          <w:rFonts w:eastAsia="Verdana" w:cs="Verdana"/>
          <w:szCs w:val="18"/>
          <w:lang w:val="nl-NL"/>
        </w:rPr>
        <w:t xml:space="preserve">mishandeling en verwaarlozing </w:t>
      </w:r>
      <w:r w:rsidR="00FF4A11" w:rsidRPr="00A33930">
        <w:rPr>
          <w:rFonts w:eastAsia="Verdana" w:cs="Verdana"/>
          <w:szCs w:val="18"/>
          <w:lang w:val="nl-NL"/>
        </w:rPr>
        <w:t>in</w:t>
      </w:r>
      <w:r w:rsidR="00E7305E" w:rsidRPr="00A33930">
        <w:rPr>
          <w:rFonts w:eastAsia="Verdana" w:cs="Verdana"/>
          <w:szCs w:val="18"/>
          <w:lang w:val="nl-NL"/>
        </w:rPr>
        <w:t xml:space="preserve"> art</w:t>
      </w:r>
      <w:r w:rsidR="002C2799" w:rsidRPr="00A33930">
        <w:rPr>
          <w:rFonts w:eastAsia="Verdana" w:cs="Verdana"/>
          <w:szCs w:val="18"/>
          <w:lang w:val="nl-NL"/>
        </w:rPr>
        <w:t>ikel</w:t>
      </w:r>
      <w:r w:rsidR="00E7305E" w:rsidRPr="00A33930">
        <w:rPr>
          <w:rFonts w:eastAsia="Verdana" w:cs="Verdana"/>
          <w:szCs w:val="18"/>
          <w:lang w:val="nl-NL"/>
        </w:rPr>
        <w:t xml:space="preserve"> 19 IVRK.</w:t>
      </w:r>
      <w:r w:rsidR="00E7305E" w:rsidRPr="00A33930">
        <w:rPr>
          <w:rStyle w:val="Voetnootmarkering"/>
          <w:rFonts w:eastAsia="Verdana" w:cs="Verdana"/>
          <w:szCs w:val="18"/>
          <w:lang w:val="nl-NL"/>
        </w:rPr>
        <w:footnoteReference w:id="93"/>
      </w:r>
      <w:r w:rsidR="00E7305E" w:rsidRPr="00A33930">
        <w:rPr>
          <w:rFonts w:eastAsia="Verdana" w:cs="Verdana"/>
          <w:szCs w:val="18"/>
          <w:lang w:val="nl-NL"/>
        </w:rPr>
        <w:t xml:space="preserve"> </w:t>
      </w:r>
      <w:r w:rsidR="00D55404" w:rsidRPr="00A33930">
        <w:rPr>
          <w:rFonts w:eastAsia="Verdana" w:cs="Verdana"/>
          <w:szCs w:val="18"/>
          <w:lang w:val="nl-NL"/>
        </w:rPr>
        <w:t>Het biedt het kind op bepaalde domeinen toch nog (meer) bescherming en benadrukt deze extra bescherming o.a. in zijn preambule.</w:t>
      </w:r>
      <w:r w:rsidR="00D55404" w:rsidRPr="00A33930">
        <w:rPr>
          <w:rStyle w:val="Voetnootmarkering"/>
          <w:rFonts w:eastAsia="Verdana" w:cs="Verdana"/>
          <w:szCs w:val="18"/>
          <w:lang w:val="nl-NL"/>
        </w:rPr>
        <w:footnoteReference w:id="94"/>
      </w:r>
      <w:r w:rsidR="00D55404" w:rsidRPr="00A33930">
        <w:rPr>
          <w:rFonts w:eastAsia="Verdana" w:cs="Verdana"/>
          <w:szCs w:val="18"/>
          <w:lang w:val="nl-NL"/>
        </w:rPr>
        <w:t xml:space="preserve"> </w:t>
      </w:r>
      <w:r w:rsidR="002C2799" w:rsidRPr="00A33930">
        <w:rPr>
          <w:rFonts w:eastAsia="Verdana" w:cs="Verdana"/>
          <w:szCs w:val="18"/>
          <w:lang w:val="nl-NL"/>
        </w:rPr>
        <w:t xml:space="preserve">Desondanks blijft het kind als rechtssubject </w:t>
      </w:r>
      <w:r w:rsidR="00A74B82" w:rsidRPr="00A33930">
        <w:rPr>
          <w:rFonts w:eastAsia="Verdana" w:cs="Verdana"/>
          <w:szCs w:val="18"/>
          <w:lang w:val="nl-NL"/>
        </w:rPr>
        <w:t>de</w:t>
      </w:r>
      <w:r w:rsidR="00EF08F7" w:rsidRPr="00A33930">
        <w:rPr>
          <w:rFonts w:eastAsia="Verdana" w:cs="Verdana"/>
          <w:szCs w:val="18"/>
          <w:lang w:val="nl-NL"/>
        </w:rPr>
        <w:t xml:space="preserve"> hoofdzakelijke</w:t>
      </w:r>
      <w:r w:rsidR="00A74B82" w:rsidRPr="00A33930">
        <w:rPr>
          <w:rFonts w:eastAsia="Verdana" w:cs="Verdana"/>
          <w:szCs w:val="18"/>
          <w:lang w:val="nl-NL"/>
        </w:rPr>
        <w:t xml:space="preserve"> </w:t>
      </w:r>
      <w:r w:rsidR="00A74B82" w:rsidRPr="00A33930">
        <w:rPr>
          <w:rFonts w:eastAsia="Verdana" w:cs="Verdana"/>
          <w:i/>
          <w:iCs/>
          <w:szCs w:val="18"/>
          <w:lang w:val="nl-NL"/>
        </w:rPr>
        <w:t>ratio legis</w:t>
      </w:r>
      <w:r w:rsidR="002C2799" w:rsidRPr="00A33930">
        <w:rPr>
          <w:rFonts w:eastAsia="Verdana" w:cs="Verdana"/>
          <w:szCs w:val="18"/>
          <w:lang w:val="nl-NL"/>
        </w:rPr>
        <w:t xml:space="preserve"> van het IVRK.</w:t>
      </w:r>
      <w:r w:rsidR="00A74B82" w:rsidRPr="00A33930">
        <w:rPr>
          <w:rStyle w:val="Voetnootmarkering"/>
          <w:rFonts w:eastAsia="Verdana" w:cs="Verdana"/>
          <w:szCs w:val="18"/>
          <w:lang w:val="nl-NL"/>
        </w:rPr>
        <w:footnoteReference w:id="95"/>
      </w:r>
    </w:p>
    <w:p w14:paraId="19EF962C" w14:textId="1D36BDFD" w:rsidR="00BB2382" w:rsidRPr="00A33930" w:rsidRDefault="00956925" w:rsidP="00053138">
      <w:pPr>
        <w:pStyle w:val="Kop4"/>
        <w:spacing w:before="240" w:after="120"/>
        <w:jc w:val="both"/>
        <w:rPr>
          <w:rFonts w:ascii="Verdana" w:hAnsi="Verdana"/>
          <w:b/>
          <w:bCs/>
          <w:color w:val="auto"/>
          <w:szCs w:val="18"/>
          <w:lang w:val="nl-NL"/>
        </w:rPr>
      </w:pPr>
      <w:r w:rsidRPr="00A33930">
        <w:rPr>
          <w:rFonts w:ascii="Verdana" w:hAnsi="Verdana"/>
          <w:b/>
          <w:bCs/>
          <w:color w:val="auto"/>
          <w:szCs w:val="18"/>
          <w:lang w:val="nl-NL"/>
        </w:rPr>
        <w:t>§2.</w:t>
      </w:r>
      <w:r w:rsidRPr="00A33930">
        <w:rPr>
          <w:rFonts w:ascii="Verdana" w:hAnsi="Verdana"/>
          <w:b/>
          <w:bCs/>
          <w:color w:val="auto"/>
          <w:szCs w:val="18"/>
          <w:lang w:val="nl-NL"/>
        </w:rPr>
        <w:tab/>
        <w:t>Belang van het kind</w:t>
      </w:r>
      <w:r w:rsidR="008659D0" w:rsidRPr="00A33930">
        <w:rPr>
          <w:rFonts w:ascii="Verdana" w:hAnsi="Verdana"/>
          <w:b/>
          <w:bCs/>
          <w:color w:val="auto"/>
          <w:szCs w:val="18"/>
          <w:lang w:val="nl-NL"/>
        </w:rPr>
        <w:t xml:space="preserve"> als </w:t>
      </w:r>
      <w:r w:rsidR="009E6274" w:rsidRPr="00A33930">
        <w:rPr>
          <w:rFonts w:ascii="Verdana" w:hAnsi="Verdana"/>
          <w:b/>
          <w:bCs/>
          <w:color w:val="auto"/>
          <w:szCs w:val="18"/>
          <w:lang w:val="nl-NL"/>
        </w:rPr>
        <w:t>eerste overweging</w:t>
      </w:r>
    </w:p>
    <w:p w14:paraId="10FB917D" w14:textId="0EFC4CC4" w:rsidR="008659D0" w:rsidRPr="00A33930" w:rsidRDefault="008B198E" w:rsidP="008659D0">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Op internationaal niveau bepaalt art</w:t>
      </w:r>
      <w:r w:rsidR="00A74B82" w:rsidRPr="00A33930">
        <w:rPr>
          <w:rFonts w:eastAsia="Verdana" w:cs="Verdana"/>
          <w:szCs w:val="18"/>
          <w:lang w:val="nl-NL"/>
        </w:rPr>
        <w:t>ikel</w:t>
      </w:r>
      <w:r w:rsidRPr="00A33930">
        <w:rPr>
          <w:rFonts w:eastAsia="Verdana" w:cs="Verdana"/>
          <w:szCs w:val="18"/>
          <w:lang w:val="nl-NL"/>
        </w:rPr>
        <w:t xml:space="preserve"> 3.1 IVRK dat in alle maatregelen met betrekking tot kinderen genomen door openbare of particuliere instellingen voor maatschappelijk welzijn, rechterlijke instanties, bestuurlijke autoriteiten of wetgevende lichamen het belang van het kind een </w:t>
      </w:r>
      <w:r w:rsidR="00DA3AB7" w:rsidRPr="00A33930">
        <w:rPr>
          <w:rFonts w:eastAsia="Verdana" w:cs="Verdana"/>
          <w:szCs w:val="18"/>
          <w:lang w:val="nl-NL"/>
        </w:rPr>
        <w:lastRenderedPageBreak/>
        <w:t>“</w:t>
      </w:r>
      <w:r w:rsidRPr="00A33930">
        <w:rPr>
          <w:rFonts w:eastAsia="Verdana" w:cs="Verdana"/>
          <w:szCs w:val="18"/>
          <w:lang w:val="nl-NL"/>
        </w:rPr>
        <w:t>eerste overweging</w:t>
      </w:r>
      <w:r w:rsidR="00DA3AB7" w:rsidRPr="00A33930">
        <w:rPr>
          <w:rFonts w:eastAsia="Verdana" w:cs="Verdana"/>
          <w:szCs w:val="18"/>
          <w:lang w:val="nl-NL"/>
        </w:rPr>
        <w:t>”</w:t>
      </w:r>
      <w:r w:rsidRPr="00A33930">
        <w:rPr>
          <w:rFonts w:eastAsia="Verdana" w:cs="Verdana"/>
          <w:szCs w:val="18"/>
          <w:lang w:val="nl-NL"/>
        </w:rPr>
        <w:t xml:space="preserve"> vormt</w:t>
      </w:r>
      <w:r w:rsidR="008659D0" w:rsidRPr="00A33930">
        <w:rPr>
          <w:rFonts w:eastAsia="Verdana" w:cs="Verdana"/>
          <w:szCs w:val="18"/>
          <w:lang w:val="nl-NL"/>
        </w:rPr>
        <w:t>.</w:t>
      </w:r>
      <w:r w:rsidRPr="00A33930">
        <w:rPr>
          <w:rStyle w:val="Voetnootmarkering"/>
          <w:rFonts w:eastAsia="Verdana" w:cs="Verdana"/>
          <w:szCs w:val="18"/>
          <w:lang w:val="nl-NL"/>
        </w:rPr>
        <w:footnoteReference w:id="96"/>
      </w:r>
      <w:r w:rsidR="008659D0" w:rsidRPr="00A33930">
        <w:rPr>
          <w:rFonts w:eastAsia="Verdana" w:cs="Verdana"/>
          <w:szCs w:val="18"/>
          <w:lang w:val="nl-NL"/>
        </w:rPr>
        <w:t xml:space="preserve"> </w:t>
      </w:r>
      <w:r w:rsidRPr="00A33930">
        <w:rPr>
          <w:rFonts w:eastAsia="Verdana" w:cs="Verdana"/>
          <w:szCs w:val="18"/>
          <w:lang w:val="nl-NL"/>
        </w:rPr>
        <w:t>Het IVRK stelt zodus het belang van het kind als eerste overweging</w:t>
      </w:r>
      <w:r w:rsidRPr="00A33930">
        <w:rPr>
          <w:rStyle w:val="Voetnootmarkering"/>
          <w:rFonts w:eastAsia="Verdana" w:cs="Verdana"/>
          <w:szCs w:val="18"/>
          <w:lang w:val="nl-NL"/>
        </w:rPr>
        <w:footnoteReference w:id="97"/>
      </w:r>
      <w:r w:rsidRPr="00A33930">
        <w:rPr>
          <w:rFonts w:eastAsia="Verdana" w:cs="Verdana"/>
          <w:szCs w:val="18"/>
          <w:lang w:val="nl-NL"/>
        </w:rPr>
        <w:t xml:space="preserve"> bij iedere maatregel die hem aanbelangt.</w:t>
      </w:r>
      <w:r w:rsidRPr="00A33930">
        <w:rPr>
          <w:rStyle w:val="Voetnootmarkering"/>
          <w:rFonts w:eastAsia="Verdana" w:cs="Verdana"/>
          <w:szCs w:val="18"/>
          <w:lang w:val="nl-NL"/>
        </w:rPr>
        <w:footnoteReference w:id="98"/>
      </w:r>
      <w:r w:rsidRPr="00A33930">
        <w:rPr>
          <w:rFonts w:eastAsia="Verdana" w:cs="Verdana"/>
          <w:szCs w:val="18"/>
          <w:lang w:val="nl-NL"/>
        </w:rPr>
        <w:t xml:space="preserve"> </w:t>
      </w:r>
      <w:r w:rsidR="008659D0" w:rsidRPr="00A33930">
        <w:rPr>
          <w:rFonts w:eastAsia="Verdana" w:cs="Verdana"/>
          <w:szCs w:val="18"/>
          <w:lang w:val="nl-NL"/>
        </w:rPr>
        <w:t xml:space="preserve">Enerzijds vormt </w:t>
      </w:r>
      <w:r w:rsidRPr="00A33930">
        <w:rPr>
          <w:rFonts w:eastAsia="Verdana" w:cs="Verdana"/>
          <w:szCs w:val="18"/>
          <w:lang w:val="nl-NL"/>
        </w:rPr>
        <w:t>dit begrip</w:t>
      </w:r>
      <w:r w:rsidR="008659D0" w:rsidRPr="00A33930">
        <w:rPr>
          <w:rFonts w:eastAsia="Verdana" w:cs="Verdana"/>
          <w:szCs w:val="18"/>
          <w:lang w:val="nl-NL"/>
        </w:rPr>
        <w:t xml:space="preserve"> een leidraad bij de beoordeling van het recht om niet van de ouders gescheiden te mogen worden (art</w:t>
      </w:r>
      <w:r w:rsidR="00FF4A11" w:rsidRPr="00A33930">
        <w:rPr>
          <w:rFonts w:eastAsia="Verdana" w:cs="Verdana"/>
          <w:szCs w:val="18"/>
          <w:lang w:val="nl-NL"/>
        </w:rPr>
        <w:t>ikel</w:t>
      </w:r>
      <w:r w:rsidR="008659D0" w:rsidRPr="00A33930">
        <w:rPr>
          <w:rFonts w:eastAsia="Verdana" w:cs="Verdana"/>
          <w:szCs w:val="18"/>
          <w:lang w:val="nl-NL"/>
        </w:rPr>
        <w:t xml:space="preserve"> 9.1 IVRK), anderzijds is het ook voor het eigen recht op persoonlijk contact (art</w:t>
      </w:r>
      <w:r w:rsidR="00FF4A11" w:rsidRPr="00A33930">
        <w:rPr>
          <w:rFonts w:eastAsia="Verdana" w:cs="Verdana"/>
          <w:szCs w:val="18"/>
          <w:lang w:val="nl-NL"/>
        </w:rPr>
        <w:t>ikel</w:t>
      </w:r>
      <w:r w:rsidR="008659D0" w:rsidRPr="00A33930">
        <w:rPr>
          <w:rFonts w:eastAsia="Verdana" w:cs="Verdana"/>
          <w:szCs w:val="18"/>
          <w:lang w:val="nl-NL"/>
        </w:rPr>
        <w:t xml:space="preserve"> 9.3 IVRK) een opgetrokken grens</w:t>
      </w:r>
      <w:r w:rsidR="008253B0" w:rsidRPr="00A33930">
        <w:rPr>
          <w:rFonts w:eastAsia="Verdana" w:cs="Verdana"/>
          <w:szCs w:val="18"/>
          <w:lang w:val="nl-NL"/>
        </w:rPr>
        <w:t xml:space="preserve"> (</w:t>
      </w:r>
      <w:r w:rsidR="008253B0" w:rsidRPr="00A33930">
        <w:rPr>
          <w:rFonts w:eastAsia="Verdana" w:cs="Verdana"/>
          <w:i/>
          <w:iCs/>
          <w:szCs w:val="18"/>
          <w:lang w:val="nl-NL"/>
        </w:rPr>
        <w:t>infra</w:t>
      </w:r>
      <w:r w:rsidR="008253B0" w:rsidRPr="00A33930">
        <w:rPr>
          <w:rFonts w:eastAsia="Verdana" w:cs="Verdana"/>
          <w:szCs w:val="18"/>
          <w:lang w:val="nl-NL"/>
        </w:rPr>
        <w:t>, nr. 41)</w:t>
      </w:r>
      <w:r w:rsidR="008659D0" w:rsidRPr="00A33930">
        <w:rPr>
          <w:rFonts w:eastAsia="Verdana" w:cs="Verdana"/>
          <w:szCs w:val="18"/>
          <w:lang w:val="nl-NL"/>
        </w:rPr>
        <w:t>.</w:t>
      </w:r>
    </w:p>
    <w:p w14:paraId="3FBF884F" w14:textId="77777777" w:rsidR="008659D0" w:rsidRPr="00A33930" w:rsidRDefault="008659D0" w:rsidP="008659D0">
      <w:pPr>
        <w:pStyle w:val="Lijstalinea"/>
        <w:spacing w:before="200" w:after="0"/>
        <w:ind w:left="0"/>
        <w:jc w:val="both"/>
        <w:rPr>
          <w:rFonts w:eastAsia="Verdana" w:cs="Verdana"/>
          <w:szCs w:val="18"/>
          <w:lang w:val="nl-NL"/>
        </w:rPr>
      </w:pPr>
    </w:p>
    <w:p w14:paraId="4E8FD03F" w14:textId="4DAF2015" w:rsidR="00747F8D" w:rsidRPr="00A33930" w:rsidRDefault="00FF32E6" w:rsidP="00747F8D">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Het belang van het kind als criterium bij beslissingen is een vrij complex begrip en is tot op heden ongedefinieerd.</w:t>
      </w:r>
      <w:r w:rsidRPr="00A33930">
        <w:rPr>
          <w:rFonts w:eastAsia="Verdana" w:cs="Verdana"/>
          <w:szCs w:val="18"/>
          <w:vertAlign w:val="superscript"/>
          <w:lang w:val="nl-NL"/>
        </w:rPr>
        <w:footnoteReference w:id="99"/>
      </w:r>
      <w:r w:rsidRPr="00A33930">
        <w:rPr>
          <w:rFonts w:eastAsia="Verdana" w:cs="Verdana"/>
          <w:szCs w:val="18"/>
          <w:vertAlign w:val="superscript"/>
          <w:lang w:val="nl-NL"/>
        </w:rPr>
        <w:t xml:space="preserve"> </w:t>
      </w:r>
      <w:r w:rsidRPr="00A33930">
        <w:rPr>
          <w:rFonts w:eastAsia="Verdana" w:cs="Verdana"/>
          <w:szCs w:val="18"/>
          <w:lang w:val="nl-NL"/>
        </w:rPr>
        <w:t>Het is een vaag, evolutief en maatschappelijk criterium waarbij de invulling afhangt van concrete gegevens en bevoegdheden.</w:t>
      </w:r>
      <w:r w:rsidRPr="00A33930">
        <w:rPr>
          <w:rStyle w:val="Voetnootmarkering"/>
          <w:rFonts w:eastAsia="Verdana" w:cs="Verdana"/>
          <w:szCs w:val="18"/>
          <w:lang w:val="nl-NL"/>
        </w:rPr>
        <w:footnoteReference w:id="100"/>
      </w:r>
      <w:r w:rsidRPr="00A33930">
        <w:rPr>
          <w:rFonts w:eastAsia="Verdana" w:cs="Verdana"/>
          <w:szCs w:val="18"/>
          <w:lang w:val="nl-NL"/>
        </w:rPr>
        <w:t xml:space="preserve"> </w:t>
      </w:r>
      <w:r w:rsidR="008B198E" w:rsidRPr="00A33930">
        <w:rPr>
          <w:rFonts w:eastAsia="Verdana" w:cs="Verdana"/>
          <w:szCs w:val="18"/>
          <w:lang w:val="nl-NL"/>
        </w:rPr>
        <w:t>De formulering van art</w:t>
      </w:r>
      <w:r w:rsidRPr="00A33930">
        <w:rPr>
          <w:rFonts w:eastAsia="Verdana" w:cs="Verdana"/>
          <w:szCs w:val="18"/>
          <w:lang w:val="nl-NL"/>
        </w:rPr>
        <w:t>ikel</w:t>
      </w:r>
      <w:r w:rsidR="008B198E" w:rsidRPr="00A33930">
        <w:rPr>
          <w:rFonts w:eastAsia="Verdana" w:cs="Verdana"/>
          <w:szCs w:val="18"/>
          <w:lang w:val="nl-NL"/>
        </w:rPr>
        <w:t xml:space="preserve"> 3.1 IVRK benadrukt dat in het kader van de belangenafweging specifieke aandacht moet gaan naar het belang van het kind door het niet op een marginale, maar volledige wijze te toetsen.</w:t>
      </w:r>
      <w:r w:rsidR="008B198E" w:rsidRPr="00A33930">
        <w:rPr>
          <w:rStyle w:val="Voetnootmarkering"/>
          <w:rFonts w:eastAsia="Verdana" w:cs="Verdana"/>
          <w:szCs w:val="18"/>
          <w:lang w:val="nl-NL"/>
        </w:rPr>
        <w:footnoteReference w:id="101"/>
      </w:r>
      <w:r w:rsidR="00370EF4" w:rsidRPr="00A33930">
        <w:rPr>
          <w:rFonts w:eastAsia="Verdana" w:cs="Verdana"/>
          <w:szCs w:val="18"/>
          <w:lang w:val="nl-NL"/>
        </w:rPr>
        <w:t xml:space="preserve"> </w:t>
      </w:r>
      <w:r w:rsidR="008B198E" w:rsidRPr="00A33930">
        <w:rPr>
          <w:rFonts w:eastAsia="Verdana" w:cs="Verdana"/>
          <w:szCs w:val="18"/>
          <w:lang w:val="nl-NL"/>
        </w:rPr>
        <w:t>Het vormt echter geen absoluut criterium, waardoor andere belangen kunnen voorgaan.</w:t>
      </w:r>
      <w:r w:rsidR="008B198E" w:rsidRPr="00A33930">
        <w:rPr>
          <w:rStyle w:val="Voetnootmarkering"/>
          <w:rFonts w:eastAsia="Verdana" w:cs="Verdana"/>
          <w:szCs w:val="18"/>
          <w:lang w:val="nl-NL"/>
        </w:rPr>
        <w:footnoteReference w:id="102"/>
      </w:r>
      <w:r w:rsidRPr="00A33930">
        <w:rPr>
          <w:rFonts w:eastAsia="Verdana" w:cs="Verdana"/>
          <w:szCs w:val="18"/>
          <w:lang w:val="nl-NL"/>
        </w:rPr>
        <w:t xml:space="preserve"> </w:t>
      </w:r>
      <w:r w:rsidR="007F47B8" w:rsidRPr="00A33930">
        <w:rPr>
          <w:rFonts w:eastAsia="Verdana" w:cs="Verdana"/>
          <w:szCs w:val="18"/>
          <w:lang w:val="nl-NL"/>
        </w:rPr>
        <w:t>Dit belang wordt beoordeeld per casus en volgens de specifieke situatie van het kind.</w:t>
      </w:r>
      <w:r w:rsidR="00C67755" w:rsidRPr="00A33930">
        <w:rPr>
          <w:rStyle w:val="Voetnootmarkering"/>
          <w:rFonts w:eastAsia="Verdana" w:cs="Verdana"/>
          <w:szCs w:val="18"/>
          <w:lang w:val="nl-NL"/>
        </w:rPr>
        <w:footnoteReference w:id="103"/>
      </w:r>
      <w:r w:rsidR="000508F2" w:rsidRPr="00A33930">
        <w:rPr>
          <w:rFonts w:eastAsia="Verdana" w:cs="Verdana"/>
          <w:szCs w:val="18"/>
          <w:lang w:val="nl-NL"/>
        </w:rPr>
        <w:t xml:space="preserve"> </w:t>
      </w:r>
      <w:r w:rsidR="003923B3" w:rsidRPr="00A33930">
        <w:rPr>
          <w:rFonts w:eastAsia="Verdana" w:cs="Verdana"/>
          <w:szCs w:val="18"/>
          <w:lang w:val="nl-NL"/>
        </w:rPr>
        <w:t>Kinderen moeten hierbij de mogelijkheid krijgen om hun mening kenbaar te maken, middels passend belang voor hun ontwikkelende vermogens.</w:t>
      </w:r>
      <w:r w:rsidR="003923B3" w:rsidRPr="00A33930">
        <w:rPr>
          <w:rStyle w:val="Voetnootmarkering"/>
          <w:rFonts w:eastAsia="Verdana" w:cs="Verdana"/>
          <w:szCs w:val="18"/>
          <w:lang w:val="nl-NL"/>
        </w:rPr>
        <w:footnoteReference w:id="104"/>
      </w:r>
      <w:r w:rsidR="003923B3" w:rsidRPr="00A33930">
        <w:rPr>
          <w:rFonts w:eastAsia="Verdana" w:cs="Verdana"/>
          <w:szCs w:val="18"/>
          <w:lang w:val="nl-NL"/>
        </w:rPr>
        <w:t xml:space="preserve"> </w:t>
      </w:r>
      <w:r w:rsidR="00101E65" w:rsidRPr="00A33930">
        <w:rPr>
          <w:rFonts w:eastAsia="Verdana" w:cs="Verdana"/>
          <w:szCs w:val="18"/>
          <w:lang w:val="nl-NL"/>
        </w:rPr>
        <w:t>Bijkomend</w:t>
      </w:r>
      <w:r w:rsidR="00C23168" w:rsidRPr="00A33930">
        <w:rPr>
          <w:rFonts w:eastAsia="Verdana" w:cs="Verdana"/>
          <w:szCs w:val="18"/>
          <w:lang w:val="nl-NL"/>
        </w:rPr>
        <w:t xml:space="preserve"> is een </w:t>
      </w:r>
      <w:r w:rsidR="00101E65" w:rsidRPr="00A33930">
        <w:rPr>
          <w:rFonts w:eastAsia="Verdana" w:cs="Verdana"/>
          <w:szCs w:val="18"/>
          <w:lang w:val="nl-NL"/>
        </w:rPr>
        <w:t>zekere</w:t>
      </w:r>
      <w:r w:rsidR="00C23168" w:rsidRPr="00A33930">
        <w:rPr>
          <w:rFonts w:eastAsia="Verdana" w:cs="Verdana"/>
          <w:szCs w:val="18"/>
          <w:lang w:val="nl-NL"/>
        </w:rPr>
        <w:t xml:space="preserve"> appreciatiemarge weggelegd voor de Verdragsstaten</w:t>
      </w:r>
      <w:r w:rsidR="008659D0" w:rsidRPr="00A33930">
        <w:rPr>
          <w:rFonts w:eastAsia="Verdana" w:cs="Verdana"/>
          <w:szCs w:val="18"/>
          <w:lang w:val="nl-NL"/>
        </w:rPr>
        <w:t xml:space="preserve"> (cf.</w:t>
      </w:r>
      <w:r w:rsidR="00E1259F" w:rsidRPr="00A33930">
        <w:rPr>
          <w:rFonts w:eastAsia="Verdana" w:cs="Verdana"/>
          <w:i/>
          <w:iCs/>
          <w:szCs w:val="18"/>
          <w:lang w:val="nl-NL"/>
        </w:rPr>
        <w:t xml:space="preserve"> </w:t>
      </w:r>
      <w:r w:rsidR="00E1259F" w:rsidRPr="00A33930">
        <w:rPr>
          <w:rFonts w:eastAsia="Verdana" w:cs="Verdana"/>
          <w:i/>
          <w:iCs/>
          <w:szCs w:val="18"/>
          <w:lang w:val="nl-NL"/>
        </w:rPr>
        <w:lastRenderedPageBreak/>
        <w:t>infra</w:t>
      </w:r>
      <w:r w:rsidR="00E1259F" w:rsidRPr="00A33930">
        <w:rPr>
          <w:rFonts w:eastAsia="Verdana" w:cs="Verdana"/>
          <w:szCs w:val="18"/>
          <w:lang w:val="nl-NL"/>
        </w:rPr>
        <w:t>,</w:t>
      </w:r>
      <w:r w:rsidR="008659D0" w:rsidRPr="00A33930">
        <w:rPr>
          <w:rFonts w:eastAsia="Verdana" w:cs="Verdana"/>
          <w:szCs w:val="18"/>
          <w:lang w:val="nl-NL"/>
        </w:rPr>
        <w:t xml:space="preserve"> nr. </w:t>
      </w:r>
      <w:r w:rsidR="00E1259F" w:rsidRPr="00A33930">
        <w:rPr>
          <w:rFonts w:eastAsia="Verdana" w:cs="Verdana"/>
          <w:szCs w:val="18"/>
          <w:lang w:val="nl-NL"/>
        </w:rPr>
        <w:t>45</w:t>
      </w:r>
      <w:r w:rsidR="008659D0" w:rsidRPr="00A33930">
        <w:rPr>
          <w:rFonts w:eastAsia="Verdana" w:cs="Verdana"/>
          <w:szCs w:val="18"/>
          <w:lang w:val="nl-NL"/>
        </w:rPr>
        <w:t>)</w:t>
      </w:r>
      <w:r w:rsidR="00C23168" w:rsidRPr="00A33930">
        <w:rPr>
          <w:rFonts w:eastAsia="Verdana" w:cs="Verdana"/>
          <w:szCs w:val="18"/>
          <w:lang w:val="nl-NL"/>
        </w:rPr>
        <w:t>.</w:t>
      </w:r>
      <w:r w:rsidR="00C23168" w:rsidRPr="00A33930">
        <w:rPr>
          <w:rStyle w:val="Voetnootmarkering"/>
          <w:rFonts w:eastAsia="Verdana" w:cs="Verdana"/>
          <w:szCs w:val="18"/>
          <w:lang w:val="nl-NL"/>
        </w:rPr>
        <w:footnoteReference w:id="105"/>
      </w:r>
      <w:r w:rsidR="00C23168" w:rsidRPr="00A33930">
        <w:rPr>
          <w:rFonts w:eastAsia="Verdana" w:cs="Verdana"/>
          <w:szCs w:val="18"/>
          <w:lang w:val="nl-NL"/>
        </w:rPr>
        <w:t xml:space="preserve"> </w:t>
      </w:r>
      <w:r w:rsidR="00747F8D" w:rsidRPr="00A33930">
        <w:rPr>
          <w:rFonts w:eastAsia="Verdana" w:cs="Verdana"/>
          <w:szCs w:val="18"/>
          <w:lang w:val="nl-NL"/>
        </w:rPr>
        <w:t>Met General Comment nr. 14 biedt het VN-Kinderrechtencomité een leidraad voor de rechtbank ter invulling van dit dynamisch concept door zeven elementen aan te halen in een “best interests-test”.</w:t>
      </w:r>
      <w:r w:rsidR="00747F8D" w:rsidRPr="00A33930">
        <w:rPr>
          <w:rStyle w:val="Voetnootmarkering"/>
          <w:rFonts w:eastAsia="Verdana" w:cs="Verdana"/>
          <w:szCs w:val="18"/>
          <w:lang w:val="nl-NL"/>
        </w:rPr>
        <w:footnoteReference w:id="106"/>
      </w:r>
      <w:r w:rsidR="00747F8D" w:rsidRPr="00A33930">
        <w:rPr>
          <w:rFonts w:eastAsia="Verdana" w:cs="Verdana"/>
          <w:szCs w:val="18"/>
          <w:lang w:val="nl-NL"/>
        </w:rPr>
        <w:t xml:space="preserve"> </w:t>
      </w:r>
      <w:r w:rsidR="00370EF4" w:rsidRPr="00A33930">
        <w:rPr>
          <w:rFonts w:eastAsia="Verdana" w:cs="Verdana"/>
          <w:szCs w:val="18"/>
          <w:lang w:val="nl-NL"/>
        </w:rPr>
        <w:t>Er wordt niet gekozen voor een definiëring, maar voor het aanreiken van handvaten ter beoordeling en vaststelling van het belang van het kind.</w:t>
      </w:r>
      <w:r w:rsidR="00370EF4" w:rsidRPr="00A33930">
        <w:rPr>
          <w:rStyle w:val="Voetnootmarkering"/>
          <w:rFonts w:eastAsia="Verdana" w:cs="Verdana"/>
          <w:szCs w:val="18"/>
          <w:lang w:val="nl-NL"/>
        </w:rPr>
        <w:footnoteReference w:id="107"/>
      </w:r>
      <w:r w:rsidR="00370EF4" w:rsidRPr="00A33930">
        <w:rPr>
          <w:rFonts w:eastAsia="Verdana" w:cs="Verdana"/>
          <w:szCs w:val="18"/>
          <w:lang w:val="nl-NL"/>
        </w:rPr>
        <w:t xml:space="preserve"> </w:t>
      </w:r>
      <w:r w:rsidR="00747F8D" w:rsidRPr="00A33930">
        <w:rPr>
          <w:rFonts w:eastAsia="Verdana" w:cs="Verdana"/>
          <w:szCs w:val="18"/>
          <w:lang w:val="nl-NL"/>
        </w:rPr>
        <w:t>Het VN-Kinderrechtencomité erkende tevens dat de ontwikkelende vermogens van het kind en het belang van het kind als eerste overweging met elkaar verbonden zijn.</w:t>
      </w:r>
      <w:r w:rsidR="00747F8D" w:rsidRPr="00A33930">
        <w:rPr>
          <w:rStyle w:val="Voetnootmarkering"/>
          <w:rFonts w:eastAsia="Verdana" w:cs="Verdana"/>
          <w:szCs w:val="18"/>
          <w:lang w:val="nl-NL"/>
        </w:rPr>
        <w:footnoteReference w:id="108"/>
      </w:r>
    </w:p>
    <w:p w14:paraId="7E34CFC8" w14:textId="77777777" w:rsidR="00747F8D" w:rsidRPr="00A33930" w:rsidRDefault="00747F8D" w:rsidP="00747F8D">
      <w:pPr>
        <w:pStyle w:val="Lijstalinea"/>
        <w:rPr>
          <w:rFonts w:eastAsia="Verdana" w:cs="Verdana"/>
          <w:szCs w:val="18"/>
          <w:lang w:val="nl-NL"/>
        </w:rPr>
      </w:pPr>
    </w:p>
    <w:p w14:paraId="7632E416" w14:textId="6705223D" w:rsidR="00CA5DF9" w:rsidRPr="00A33930" w:rsidRDefault="00D5407D" w:rsidP="00747F8D">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Het belang van het kind bestaat uit </w:t>
      </w:r>
      <w:r w:rsidR="00E7305E" w:rsidRPr="00A33930">
        <w:rPr>
          <w:rFonts w:eastAsia="Verdana" w:cs="Verdana"/>
          <w:szCs w:val="18"/>
          <w:lang w:val="nl-NL"/>
        </w:rPr>
        <w:t>actuele</w:t>
      </w:r>
      <w:r w:rsidRPr="00A33930">
        <w:rPr>
          <w:rFonts w:eastAsia="Verdana" w:cs="Verdana"/>
          <w:szCs w:val="18"/>
          <w:lang w:val="nl-NL"/>
        </w:rPr>
        <w:t xml:space="preserve"> belangen maar ook uit toekomstgeoriënteerde belangen, die </w:t>
      </w:r>
      <w:r w:rsidR="00A40BA9" w:rsidRPr="00A33930">
        <w:rPr>
          <w:rFonts w:eastAsia="Verdana" w:cs="Verdana"/>
          <w:szCs w:val="18"/>
          <w:lang w:val="nl-NL"/>
        </w:rPr>
        <w:t>mogelijk</w:t>
      </w:r>
      <w:r w:rsidRPr="00A33930">
        <w:rPr>
          <w:rFonts w:eastAsia="Verdana" w:cs="Verdana"/>
          <w:szCs w:val="18"/>
          <w:lang w:val="nl-NL"/>
        </w:rPr>
        <w:t xml:space="preserve"> in conflict staan met elkaar.</w:t>
      </w:r>
      <w:r w:rsidRPr="00A33930">
        <w:rPr>
          <w:rStyle w:val="Voetnootmarkering"/>
          <w:rFonts w:eastAsia="Verdana" w:cs="Verdana"/>
          <w:szCs w:val="18"/>
          <w:lang w:val="nl-NL"/>
        </w:rPr>
        <w:footnoteReference w:id="109"/>
      </w:r>
      <w:r w:rsidR="00E7305E" w:rsidRPr="00A33930">
        <w:rPr>
          <w:rFonts w:eastAsia="Verdana" w:cs="Verdana"/>
          <w:szCs w:val="18"/>
          <w:lang w:val="nl-NL"/>
        </w:rPr>
        <w:t xml:space="preserve"> De beoordeling van beide belangen kan</w:t>
      </w:r>
      <w:r w:rsidR="00FF4A11" w:rsidRPr="00A33930">
        <w:rPr>
          <w:rFonts w:eastAsia="Verdana" w:cs="Verdana"/>
          <w:szCs w:val="18"/>
          <w:lang w:val="nl-NL"/>
        </w:rPr>
        <w:t xml:space="preserve"> </w:t>
      </w:r>
      <w:r w:rsidR="00E7305E" w:rsidRPr="00A33930">
        <w:rPr>
          <w:rFonts w:eastAsia="Verdana" w:cs="Verdana"/>
          <w:szCs w:val="18"/>
          <w:lang w:val="nl-NL"/>
        </w:rPr>
        <w:t>tegenstrijdige resultaten opleveren.</w:t>
      </w:r>
      <w:r w:rsidR="00747F8D" w:rsidRPr="00A33930">
        <w:rPr>
          <w:rFonts w:eastAsia="Verdana" w:cs="Verdana"/>
          <w:szCs w:val="18"/>
          <w:lang w:val="nl-NL"/>
        </w:rPr>
        <w:t xml:space="preserve"> </w:t>
      </w:r>
      <w:r w:rsidR="00C0600D" w:rsidRPr="00A33930">
        <w:rPr>
          <w:rFonts w:eastAsia="Verdana" w:cs="Verdana"/>
          <w:szCs w:val="18"/>
          <w:lang w:val="nl-NL"/>
        </w:rPr>
        <w:t>EEKELAAR</w:t>
      </w:r>
      <w:r w:rsidR="00C0600D" w:rsidRPr="00A33930">
        <w:rPr>
          <w:rStyle w:val="Verwijzingopmerking"/>
          <w:sz w:val="18"/>
          <w:szCs w:val="18"/>
          <w:lang w:val="nl-NL"/>
        </w:rPr>
        <w:t xml:space="preserve"> categoriseert </w:t>
      </w:r>
      <w:r w:rsidR="00747F8D" w:rsidRPr="00A33930">
        <w:rPr>
          <w:rFonts w:eastAsia="Verdana" w:cs="Verdana"/>
          <w:szCs w:val="18"/>
          <w:lang w:val="nl-NL"/>
        </w:rPr>
        <w:t xml:space="preserve">het belang van het kind </w:t>
      </w:r>
      <w:r w:rsidR="00C0600D" w:rsidRPr="00A33930">
        <w:rPr>
          <w:rFonts w:eastAsia="Verdana" w:cs="Verdana"/>
          <w:szCs w:val="18"/>
          <w:lang w:val="nl-NL"/>
        </w:rPr>
        <w:t>in</w:t>
      </w:r>
      <w:r w:rsidR="00747F8D" w:rsidRPr="00A33930">
        <w:rPr>
          <w:rFonts w:eastAsia="Verdana" w:cs="Verdana"/>
          <w:szCs w:val="18"/>
          <w:lang w:val="nl-NL"/>
        </w:rPr>
        <w:t xml:space="preserve"> drie</w:t>
      </w:r>
      <w:r w:rsidR="008659D0" w:rsidRPr="00A33930">
        <w:rPr>
          <w:rFonts w:eastAsia="Verdana" w:cs="Verdana"/>
          <w:szCs w:val="18"/>
          <w:lang w:val="nl-NL"/>
        </w:rPr>
        <w:t xml:space="preserve"> soorten belangen: </w:t>
      </w:r>
      <w:r w:rsidR="00747F8D" w:rsidRPr="00A33930">
        <w:rPr>
          <w:rFonts w:eastAsia="Verdana" w:cs="Verdana"/>
          <w:szCs w:val="18"/>
          <w:lang w:val="nl-NL"/>
        </w:rPr>
        <w:t>de belangen die tegemoetkomen aan zijn basisbehoeften (“basic interests”), zijn ontwikkeling (“developmental interests”) of zijn behoefte aan autonomie (“autonomy interests”)</w:t>
      </w:r>
      <w:r w:rsidR="00CA5DF9" w:rsidRPr="00A33930">
        <w:rPr>
          <w:rFonts w:eastAsia="Verdana" w:cs="Verdana"/>
          <w:szCs w:val="18"/>
          <w:lang w:val="nl-NL"/>
        </w:rPr>
        <w:t>.</w:t>
      </w:r>
      <w:r w:rsidR="00CA5DF9" w:rsidRPr="00A33930">
        <w:rPr>
          <w:rStyle w:val="Voetnootmarkering"/>
          <w:rFonts w:eastAsia="Verdana" w:cs="Verdana"/>
          <w:szCs w:val="18"/>
          <w:lang w:val="nl-NL"/>
        </w:rPr>
        <w:footnoteReference w:id="110"/>
      </w:r>
      <w:r w:rsidR="008659D0" w:rsidRPr="00A33930">
        <w:rPr>
          <w:rFonts w:eastAsia="Verdana" w:cs="Verdana"/>
          <w:szCs w:val="18"/>
          <w:lang w:val="nl-NL"/>
        </w:rPr>
        <w:t xml:space="preserve"> </w:t>
      </w:r>
      <w:r w:rsidR="00747F8D" w:rsidRPr="00A33930">
        <w:rPr>
          <w:rFonts w:eastAsia="Verdana" w:cs="Verdana"/>
          <w:szCs w:val="18"/>
          <w:lang w:val="nl-NL"/>
        </w:rPr>
        <w:t xml:space="preserve">Het lijkt </w:t>
      </w:r>
      <w:r w:rsidR="00FF4A11" w:rsidRPr="00A33930">
        <w:rPr>
          <w:rFonts w:eastAsia="Verdana" w:cs="Verdana"/>
          <w:szCs w:val="18"/>
          <w:lang w:val="nl-NL"/>
        </w:rPr>
        <w:t xml:space="preserve">hem </w:t>
      </w:r>
      <w:r w:rsidR="00CF1ADD" w:rsidRPr="00A33930">
        <w:rPr>
          <w:rFonts w:eastAsia="Verdana" w:cs="Verdana"/>
          <w:szCs w:val="18"/>
          <w:lang w:val="nl-NL"/>
        </w:rPr>
        <w:t>hierdoor</w:t>
      </w:r>
      <w:r w:rsidR="00CA5DF9" w:rsidRPr="00A33930">
        <w:rPr>
          <w:rFonts w:eastAsia="Verdana" w:cs="Verdana"/>
          <w:szCs w:val="18"/>
          <w:lang w:val="nl-NL"/>
        </w:rPr>
        <w:t xml:space="preserve"> logischer dat het kind wordt beschouwd als rechtssubject</w:t>
      </w:r>
      <w:r w:rsidR="008659D0" w:rsidRPr="00A33930">
        <w:rPr>
          <w:rFonts w:eastAsia="Verdana" w:cs="Verdana"/>
          <w:szCs w:val="18"/>
          <w:lang w:val="nl-NL"/>
        </w:rPr>
        <w:t xml:space="preserve">, </w:t>
      </w:r>
      <w:r w:rsidR="00747F8D" w:rsidRPr="00A33930">
        <w:rPr>
          <w:rFonts w:eastAsia="Verdana" w:cs="Verdana"/>
          <w:szCs w:val="18"/>
          <w:lang w:val="nl-NL"/>
        </w:rPr>
        <w:t xml:space="preserve">doch </w:t>
      </w:r>
      <w:r w:rsidR="008659D0" w:rsidRPr="00A33930">
        <w:rPr>
          <w:rFonts w:eastAsia="Verdana" w:cs="Verdana"/>
          <w:szCs w:val="18"/>
          <w:lang w:val="nl-NL"/>
        </w:rPr>
        <w:t>in verhouding met zijn ontwikkelende vermogens</w:t>
      </w:r>
      <w:r w:rsidR="00CA5DF9" w:rsidRPr="00A33930">
        <w:rPr>
          <w:rFonts w:eastAsia="Verdana" w:cs="Verdana"/>
          <w:szCs w:val="18"/>
          <w:lang w:val="nl-NL"/>
        </w:rPr>
        <w:t>.</w:t>
      </w:r>
      <w:r w:rsidR="008659D0" w:rsidRPr="00A33930">
        <w:rPr>
          <w:rStyle w:val="Voetnootmarkering"/>
          <w:rFonts w:eastAsia="Verdana" w:cs="Verdana"/>
          <w:szCs w:val="18"/>
          <w:lang w:val="nl-NL"/>
        </w:rPr>
        <w:footnoteReference w:id="111"/>
      </w:r>
      <w:r w:rsidR="00053138" w:rsidRPr="00A33930">
        <w:rPr>
          <w:rFonts w:eastAsia="Verdana" w:cs="Verdana"/>
          <w:szCs w:val="18"/>
          <w:lang w:val="nl-NL"/>
        </w:rPr>
        <w:t xml:space="preserve"> </w:t>
      </w:r>
      <w:r w:rsidR="00DC0FA9" w:rsidRPr="00A33930">
        <w:rPr>
          <w:rFonts w:eastAsia="Verdana" w:cs="Verdana"/>
          <w:szCs w:val="18"/>
          <w:lang w:val="nl-NL"/>
        </w:rPr>
        <w:t>Hierbij</w:t>
      </w:r>
      <w:r w:rsidR="00053138" w:rsidRPr="00A33930">
        <w:rPr>
          <w:rFonts w:eastAsia="Verdana" w:cs="Verdana"/>
          <w:szCs w:val="18"/>
          <w:lang w:val="nl-NL"/>
        </w:rPr>
        <w:t xml:space="preserve"> verwijst </w:t>
      </w:r>
      <w:r w:rsidR="00DC0FA9" w:rsidRPr="00A33930">
        <w:rPr>
          <w:rFonts w:eastAsia="Verdana" w:cs="Verdana"/>
          <w:szCs w:val="18"/>
          <w:lang w:val="nl-NL"/>
        </w:rPr>
        <w:t xml:space="preserve">EEKELAAR </w:t>
      </w:r>
      <w:r w:rsidR="00053138" w:rsidRPr="00A33930">
        <w:rPr>
          <w:rFonts w:eastAsia="Verdana" w:cs="Verdana"/>
          <w:szCs w:val="18"/>
          <w:lang w:val="nl-NL"/>
        </w:rPr>
        <w:t xml:space="preserve">naar </w:t>
      </w:r>
      <w:r w:rsidR="00FF32E6" w:rsidRPr="00A33930">
        <w:rPr>
          <w:rFonts w:eastAsia="Verdana" w:cs="Verdana"/>
          <w:szCs w:val="18"/>
          <w:lang w:val="nl-NL"/>
        </w:rPr>
        <w:t>“</w:t>
      </w:r>
      <w:r w:rsidR="00053138" w:rsidRPr="00A33930">
        <w:rPr>
          <w:rFonts w:eastAsia="Verdana" w:cs="Verdana"/>
          <w:szCs w:val="18"/>
          <w:lang w:val="nl-NL"/>
        </w:rPr>
        <w:t>a lifestyle of their own</w:t>
      </w:r>
      <w:r w:rsidR="00FF32E6" w:rsidRPr="00A33930">
        <w:rPr>
          <w:rFonts w:eastAsia="Verdana" w:cs="Verdana"/>
          <w:szCs w:val="18"/>
          <w:lang w:val="nl-NL"/>
        </w:rPr>
        <w:t>”</w:t>
      </w:r>
      <w:r w:rsidR="00053138" w:rsidRPr="00A33930">
        <w:rPr>
          <w:rFonts w:eastAsia="Verdana" w:cs="Verdana"/>
          <w:szCs w:val="18"/>
          <w:lang w:val="nl-NL"/>
        </w:rPr>
        <w:t>, wat m</w:t>
      </w:r>
      <w:r w:rsidR="00DA3AB7" w:rsidRPr="00A33930">
        <w:rPr>
          <w:rFonts w:eastAsia="Verdana" w:cs="Verdana"/>
          <w:szCs w:val="18"/>
          <w:lang w:val="nl-NL"/>
        </w:rPr>
        <w:t>ijns inziens</w:t>
      </w:r>
      <w:r w:rsidR="00053138" w:rsidRPr="00A33930">
        <w:rPr>
          <w:rFonts w:eastAsia="Verdana" w:cs="Verdana"/>
          <w:szCs w:val="18"/>
          <w:lang w:val="nl-NL"/>
        </w:rPr>
        <w:t xml:space="preserve"> benadrukt dat het kind </w:t>
      </w:r>
      <w:r w:rsidR="008253B0" w:rsidRPr="00A33930">
        <w:rPr>
          <w:rFonts w:eastAsia="Verdana" w:cs="Verdana"/>
          <w:szCs w:val="18"/>
          <w:lang w:val="nl-NL"/>
        </w:rPr>
        <w:t>titularis</w:t>
      </w:r>
      <w:r w:rsidR="00053138" w:rsidRPr="00A33930">
        <w:rPr>
          <w:rFonts w:eastAsia="Verdana" w:cs="Verdana"/>
          <w:szCs w:val="18"/>
          <w:lang w:val="nl-NL"/>
        </w:rPr>
        <w:t xml:space="preserve"> is van eigen rechten</w:t>
      </w:r>
      <w:r w:rsidR="00FF4A11" w:rsidRPr="00A33930">
        <w:rPr>
          <w:rFonts w:eastAsia="Verdana" w:cs="Verdana"/>
          <w:szCs w:val="18"/>
          <w:lang w:val="nl-NL"/>
        </w:rPr>
        <w:t xml:space="preserve">, </w:t>
      </w:r>
      <w:r w:rsidR="00370EF4" w:rsidRPr="00A33930">
        <w:rPr>
          <w:rFonts w:eastAsia="Verdana" w:cs="Verdana"/>
          <w:szCs w:val="18"/>
          <w:lang w:val="nl-NL"/>
        </w:rPr>
        <w:t>rekening houdend</w:t>
      </w:r>
      <w:r w:rsidR="00FF4A11" w:rsidRPr="00A33930">
        <w:rPr>
          <w:rFonts w:eastAsia="Verdana" w:cs="Verdana"/>
          <w:szCs w:val="18"/>
          <w:lang w:val="nl-NL"/>
        </w:rPr>
        <w:t xml:space="preserve"> </w:t>
      </w:r>
      <w:r w:rsidR="00747F8D" w:rsidRPr="00A33930">
        <w:rPr>
          <w:rFonts w:eastAsia="Verdana" w:cs="Verdana"/>
          <w:szCs w:val="18"/>
          <w:lang w:val="nl-NL"/>
        </w:rPr>
        <w:t>met zijn</w:t>
      </w:r>
      <w:r w:rsidR="00FF4A11" w:rsidRPr="00A33930">
        <w:rPr>
          <w:rFonts w:eastAsia="Verdana" w:cs="Verdana"/>
          <w:szCs w:val="18"/>
          <w:lang w:val="nl-NL"/>
        </w:rPr>
        <w:t xml:space="preserve"> ontwikkelende vermogens en</w:t>
      </w:r>
      <w:r w:rsidR="00747F8D" w:rsidRPr="00A33930">
        <w:rPr>
          <w:rFonts w:eastAsia="Verdana" w:cs="Verdana"/>
          <w:szCs w:val="18"/>
          <w:lang w:val="nl-NL"/>
        </w:rPr>
        <w:t xml:space="preserve"> belangen.</w:t>
      </w:r>
    </w:p>
    <w:p w14:paraId="0A902247" w14:textId="77777777" w:rsidR="00CE7677" w:rsidRPr="00A33930" w:rsidRDefault="00CE7677" w:rsidP="00CE7677">
      <w:pPr>
        <w:pStyle w:val="Lijstalinea"/>
        <w:spacing w:before="200" w:after="0"/>
        <w:ind w:left="0"/>
        <w:jc w:val="both"/>
        <w:rPr>
          <w:rFonts w:eastAsia="Verdana" w:cs="Verdana"/>
          <w:szCs w:val="18"/>
          <w:lang w:val="nl-NL"/>
        </w:rPr>
      </w:pPr>
    </w:p>
    <w:p w14:paraId="5CFB975A" w14:textId="0CFF6EDC" w:rsidR="00877BBB" w:rsidRPr="00A33930" w:rsidRDefault="00CE7677" w:rsidP="00CF1ADD">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Artikel 3 IVRK betreft een open norm waaraan Verdragsstaten directe werking moeten toekennen. Het Belgische Hof van Cassatie </w:t>
      </w:r>
      <w:r w:rsidR="00747F8D" w:rsidRPr="00A33930">
        <w:rPr>
          <w:rFonts w:eastAsia="Verdana" w:cs="Verdana"/>
          <w:szCs w:val="18"/>
          <w:lang w:val="nl-NL"/>
        </w:rPr>
        <w:t>oordeelt</w:t>
      </w:r>
      <w:r w:rsidRPr="00A33930">
        <w:rPr>
          <w:rFonts w:eastAsia="Verdana" w:cs="Verdana"/>
          <w:szCs w:val="18"/>
          <w:lang w:val="nl-NL"/>
        </w:rPr>
        <w:t xml:space="preserve"> dat art</w:t>
      </w:r>
      <w:r w:rsidR="00747F8D" w:rsidRPr="00A33930">
        <w:rPr>
          <w:rFonts w:eastAsia="Verdana" w:cs="Verdana"/>
          <w:szCs w:val="18"/>
          <w:lang w:val="nl-NL"/>
        </w:rPr>
        <w:t>ikel</w:t>
      </w:r>
      <w:r w:rsidRPr="00A33930">
        <w:rPr>
          <w:rFonts w:eastAsia="Verdana" w:cs="Verdana"/>
          <w:szCs w:val="18"/>
          <w:lang w:val="nl-NL"/>
        </w:rPr>
        <w:t xml:space="preserve"> 3.1 en 3.2 IVRK op zichzelf niet voldoende nauwkeurig en precies </w:t>
      </w:r>
      <w:r w:rsidR="00F91B5C" w:rsidRPr="00A33930">
        <w:rPr>
          <w:rFonts w:eastAsia="Verdana" w:cs="Verdana"/>
          <w:szCs w:val="18"/>
          <w:lang w:val="nl-NL"/>
        </w:rPr>
        <w:t>zijn</w:t>
      </w:r>
      <w:r w:rsidRPr="00A33930">
        <w:rPr>
          <w:rFonts w:eastAsia="Verdana" w:cs="Verdana"/>
          <w:szCs w:val="18"/>
          <w:lang w:val="nl-NL"/>
        </w:rPr>
        <w:t xml:space="preserve"> waardoor het geen subjectief recht aan het kind verleent.</w:t>
      </w:r>
      <w:r w:rsidR="00747F8D" w:rsidRPr="00A33930">
        <w:rPr>
          <w:rStyle w:val="Voetnootmarkering"/>
          <w:rFonts w:eastAsia="Verdana" w:cs="Verdana"/>
          <w:szCs w:val="18"/>
          <w:lang w:val="nl-NL"/>
        </w:rPr>
        <w:footnoteReference w:id="112"/>
      </w:r>
      <w:r w:rsidRPr="00A33930">
        <w:rPr>
          <w:rFonts w:eastAsia="Verdana" w:cs="Verdana"/>
          <w:szCs w:val="18"/>
          <w:lang w:val="nl-NL"/>
        </w:rPr>
        <w:t xml:space="preserve"> </w:t>
      </w:r>
      <w:r w:rsidR="00747F8D" w:rsidRPr="00A33930">
        <w:rPr>
          <w:rFonts w:eastAsia="Verdana" w:cs="Verdana"/>
          <w:szCs w:val="18"/>
          <w:lang w:val="nl-NL"/>
        </w:rPr>
        <w:lastRenderedPageBreak/>
        <w:t>Door het aanvullend karakter van het belang van het kind sluit dit de toepassing ervan in het Belgisch recht niet uit</w:t>
      </w:r>
      <w:r w:rsidR="00101E65" w:rsidRPr="00A33930">
        <w:rPr>
          <w:rFonts w:eastAsia="Verdana" w:cs="Verdana"/>
          <w:szCs w:val="18"/>
          <w:lang w:val="nl-NL"/>
        </w:rPr>
        <w:t>. Het kan</w:t>
      </w:r>
      <w:r w:rsidR="00747F8D" w:rsidRPr="00A33930">
        <w:rPr>
          <w:rFonts w:eastAsia="Verdana" w:cs="Verdana"/>
          <w:szCs w:val="18"/>
          <w:lang w:val="nl-NL"/>
        </w:rPr>
        <w:t xml:space="preserve"> steeds ingeroepen worden met een zelfstandige norm die wel directe werking heeft in de Belgische rechtsorde</w:t>
      </w:r>
      <w:r w:rsidR="00FF4A11" w:rsidRPr="00A33930">
        <w:rPr>
          <w:rFonts w:eastAsia="Verdana" w:cs="Verdana"/>
          <w:szCs w:val="18"/>
          <w:lang w:val="nl-NL"/>
        </w:rPr>
        <w:t xml:space="preserve"> (</w:t>
      </w:r>
      <w:r w:rsidR="00FF4A11" w:rsidRPr="00A33930">
        <w:rPr>
          <w:rFonts w:eastAsia="Verdana" w:cs="Verdana"/>
          <w:i/>
          <w:iCs/>
          <w:szCs w:val="18"/>
          <w:lang w:val="nl-NL"/>
        </w:rPr>
        <w:t>supra</w:t>
      </w:r>
      <w:r w:rsidR="00FF4A11" w:rsidRPr="00A33930">
        <w:rPr>
          <w:rFonts w:eastAsia="Verdana" w:cs="Verdana"/>
          <w:szCs w:val="18"/>
          <w:lang w:val="nl-NL"/>
        </w:rPr>
        <w:t xml:space="preserve">, nr. </w:t>
      </w:r>
      <w:r w:rsidR="00E1259F" w:rsidRPr="00A33930">
        <w:rPr>
          <w:rFonts w:eastAsia="Verdana" w:cs="Verdana"/>
          <w:szCs w:val="18"/>
          <w:lang w:val="nl-NL"/>
        </w:rPr>
        <w:t>30</w:t>
      </w:r>
      <w:r w:rsidR="00FF4A11" w:rsidRPr="00A33930">
        <w:rPr>
          <w:rFonts w:eastAsia="Verdana" w:cs="Verdana"/>
          <w:szCs w:val="18"/>
          <w:lang w:val="nl-NL"/>
        </w:rPr>
        <w:t xml:space="preserve">; </w:t>
      </w:r>
      <w:r w:rsidR="00FF4A11" w:rsidRPr="00A33930">
        <w:rPr>
          <w:rFonts w:eastAsia="Verdana" w:cs="Verdana"/>
          <w:i/>
          <w:iCs/>
          <w:szCs w:val="18"/>
          <w:lang w:val="nl-NL"/>
        </w:rPr>
        <w:t>infra</w:t>
      </w:r>
      <w:r w:rsidR="00FF4A11" w:rsidRPr="00A33930">
        <w:rPr>
          <w:rFonts w:eastAsia="Verdana" w:cs="Verdana"/>
          <w:szCs w:val="18"/>
          <w:lang w:val="nl-NL"/>
        </w:rPr>
        <w:t xml:space="preserve">, nr. </w:t>
      </w:r>
      <w:r w:rsidR="00E1259F" w:rsidRPr="00A33930">
        <w:rPr>
          <w:rFonts w:eastAsia="Verdana" w:cs="Verdana"/>
          <w:szCs w:val="18"/>
          <w:lang w:val="nl-NL"/>
        </w:rPr>
        <w:t>80</w:t>
      </w:r>
      <w:r w:rsidR="00FF4A11" w:rsidRPr="00A33930">
        <w:rPr>
          <w:rFonts w:eastAsia="Verdana" w:cs="Verdana"/>
          <w:szCs w:val="18"/>
          <w:lang w:val="nl-NL"/>
        </w:rPr>
        <w:t>)</w:t>
      </w:r>
      <w:r w:rsidR="00747F8D" w:rsidRPr="00A33930">
        <w:rPr>
          <w:rFonts w:eastAsia="Verdana" w:cs="Verdana"/>
          <w:szCs w:val="18"/>
          <w:lang w:val="nl-NL"/>
        </w:rPr>
        <w:t xml:space="preserve">. </w:t>
      </w:r>
      <w:r w:rsidRPr="00A33930">
        <w:rPr>
          <w:rFonts w:eastAsia="Verdana" w:cs="Verdana"/>
          <w:szCs w:val="18"/>
          <w:lang w:val="nl-NL"/>
        </w:rPr>
        <w:t>In Nederland is artikel 3 IVRK niet opgenomen in de lijst van artikelen met directe werking bij de MvT tot de Goedkeuringswet (</w:t>
      </w:r>
      <w:r w:rsidRPr="00A33930">
        <w:rPr>
          <w:rFonts w:eastAsia="Verdana" w:cs="Verdana"/>
          <w:i/>
          <w:iCs/>
          <w:szCs w:val="18"/>
          <w:lang w:val="nl-NL"/>
        </w:rPr>
        <w:t>supra</w:t>
      </w:r>
      <w:r w:rsidRPr="00A33930">
        <w:rPr>
          <w:rFonts w:eastAsia="Verdana" w:cs="Verdana"/>
          <w:szCs w:val="18"/>
          <w:lang w:val="nl-NL"/>
        </w:rPr>
        <w:t xml:space="preserve">, nr. </w:t>
      </w:r>
      <w:r w:rsidR="00E1259F" w:rsidRPr="00A33930">
        <w:rPr>
          <w:rFonts w:eastAsia="Verdana" w:cs="Verdana"/>
          <w:szCs w:val="18"/>
          <w:lang w:val="nl-NL"/>
        </w:rPr>
        <w:t>30</w:t>
      </w:r>
      <w:r w:rsidR="00FF4A11" w:rsidRPr="00A33930">
        <w:rPr>
          <w:rFonts w:eastAsia="Verdana" w:cs="Verdana"/>
          <w:szCs w:val="18"/>
          <w:lang w:val="nl-NL"/>
        </w:rPr>
        <w:t xml:space="preserve">; </w:t>
      </w:r>
      <w:r w:rsidR="00FF4A11" w:rsidRPr="00A33930">
        <w:rPr>
          <w:rFonts w:eastAsia="Verdana" w:cs="Verdana"/>
          <w:i/>
          <w:iCs/>
          <w:szCs w:val="18"/>
          <w:lang w:val="nl-NL"/>
        </w:rPr>
        <w:t>infra</w:t>
      </w:r>
      <w:r w:rsidR="00FF4A11" w:rsidRPr="00A33930">
        <w:rPr>
          <w:rFonts w:eastAsia="Verdana" w:cs="Verdana"/>
          <w:szCs w:val="18"/>
          <w:lang w:val="nl-NL"/>
        </w:rPr>
        <w:t xml:space="preserve">, nr. </w:t>
      </w:r>
      <w:r w:rsidR="00E1259F" w:rsidRPr="00A33930">
        <w:rPr>
          <w:rFonts w:eastAsia="Verdana" w:cs="Verdana"/>
          <w:szCs w:val="18"/>
          <w:lang w:val="nl-NL"/>
        </w:rPr>
        <w:t>126</w:t>
      </w:r>
      <w:r w:rsidRPr="00A33930">
        <w:rPr>
          <w:rFonts w:eastAsia="Verdana" w:cs="Verdana"/>
          <w:szCs w:val="18"/>
          <w:lang w:val="nl-NL"/>
        </w:rPr>
        <w:t>).</w:t>
      </w:r>
      <w:r w:rsidRPr="00A33930">
        <w:rPr>
          <w:rStyle w:val="Voetnootmarkering"/>
          <w:rFonts w:eastAsia="Verdana" w:cs="Verdana"/>
          <w:szCs w:val="18"/>
          <w:lang w:val="nl-NL"/>
        </w:rPr>
        <w:footnoteReference w:id="113"/>
      </w:r>
      <w:r w:rsidRPr="00A33930">
        <w:rPr>
          <w:rFonts w:eastAsia="Verdana" w:cs="Verdana"/>
          <w:szCs w:val="18"/>
          <w:lang w:val="nl-NL"/>
        </w:rPr>
        <w:t xml:space="preserve"> </w:t>
      </w:r>
      <w:r w:rsidR="00053138" w:rsidRPr="00A33930">
        <w:rPr>
          <w:rFonts w:eastAsia="Verdana" w:cs="Verdana"/>
          <w:szCs w:val="18"/>
          <w:lang w:val="nl-NL"/>
        </w:rPr>
        <w:t xml:space="preserve">Duitsland </w:t>
      </w:r>
      <w:r w:rsidR="00747F8D" w:rsidRPr="00A33930">
        <w:rPr>
          <w:rFonts w:eastAsia="Verdana" w:cs="Verdana"/>
          <w:szCs w:val="18"/>
          <w:lang w:val="nl-NL"/>
        </w:rPr>
        <w:t xml:space="preserve">hanteert het belang van het kind als eerste overweging </w:t>
      </w:r>
      <w:r w:rsidR="00C14311" w:rsidRPr="00A33930">
        <w:rPr>
          <w:rFonts w:eastAsia="Verdana" w:cs="Verdana"/>
          <w:szCs w:val="18"/>
          <w:lang w:val="nl-NL"/>
        </w:rPr>
        <w:t>via</w:t>
      </w:r>
      <w:r w:rsidR="00747F8D" w:rsidRPr="00A33930">
        <w:rPr>
          <w:rFonts w:eastAsia="Verdana" w:cs="Verdana"/>
          <w:szCs w:val="18"/>
          <w:lang w:val="nl-NL"/>
        </w:rPr>
        <w:t xml:space="preserve"> zijn eigen omgezette wetgeving (</w:t>
      </w:r>
      <w:r w:rsidR="00747F8D" w:rsidRPr="00A33930">
        <w:rPr>
          <w:rFonts w:eastAsia="Verdana" w:cs="Verdana"/>
          <w:i/>
          <w:iCs/>
          <w:szCs w:val="18"/>
          <w:lang w:val="nl-NL"/>
        </w:rPr>
        <w:t>supra</w:t>
      </w:r>
      <w:r w:rsidR="00747F8D" w:rsidRPr="00A33930">
        <w:rPr>
          <w:rFonts w:eastAsia="Verdana" w:cs="Verdana"/>
          <w:szCs w:val="18"/>
          <w:lang w:val="nl-NL"/>
        </w:rPr>
        <w:t xml:space="preserve">, nr. </w:t>
      </w:r>
      <w:r w:rsidR="00903CE8" w:rsidRPr="00A33930">
        <w:rPr>
          <w:rFonts w:eastAsia="Verdana" w:cs="Verdana"/>
          <w:szCs w:val="18"/>
          <w:lang w:val="nl-NL"/>
        </w:rPr>
        <w:t>30</w:t>
      </w:r>
      <w:r w:rsidR="00FF4A11" w:rsidRPr="00A33930">
        <w:rPr>
          <w:rFonts w:eastAsia="Verdana" w:cs="Verdana"/>
          <w:szCs w:val="18"/>
          <w:lang w:val="nl-NL"/>
        </w:rPr>
        <w:t xml:space="preserve">; </w:t>
      </w:r>
      <w:r w:rsidR="00FF4A11" w:rsidRPr="00A33930">
        <w:rPr>
          <w:rFonts w:eastAsia="Verdana" w:cs="Verdana"/>
          <w:i/>
          <w:iCs/>
          <w:szCs w:val="18"/>
          <w:lang w:val="nl-NL"/>
        </w:rPr>
        <w:t>infra</w:t>
      </w:r>
      <w:r w:rsidR="00FF4A11" w:rsidRPr="00A33930">
        <w:rPr>
          <w:rFonts w:eastAsia="Verdana" w:cs="Verdana"/>
          <w:szCs w:val="18"/>
          <w:lang w:val="nl-NL"/>
        </w:rPr>
        <w:t xml:space="preserve">, nr. </w:t>
      </w:r>
      <w:r w:rsidR="00903CE8" w:rsidRPr="00A33930">
        <w:rPr>
          <w:rFonts w:eastAsia="Verdana" w:cs="Verdana"/>
          <w:szCs w:val="18"/>
          <w:lang w:val="nl-NL"/>
        </w:rPr>
        <w:t>125</w:t>
      </w:r>
      <w:r w:rsidR="00747F8D" w:rsidRPr="00A33930">
        <w:rPr>
          <w:rFonts w:eastAsia="Verdana" w:cs="Verdana"/>
          <w:szCs w:val="18"/>
          <w:lang w:val="nl-NL"/>
        </w:rPr>
        <w:t>)</w:t>
      </w:r>
      <w:r w:rsidR="00053138" w:rsidRPr="00A33930">
        <w:rPr>
          <w:rFonts w:eastAsia="Verdana" w:cs="Verdana"/>
          <w:szCs w:val="18"/>
          <w:lang w:val="nl-NL"/>
        </w:rPr>
        <w:t>.</w:t>
      </w:r>
      <w:r w:rsidR="00747F8D" w:rsidRPr="00A33930">
        <w:rPr>
          <w:rStyle w:val="Voetnootmarkering"/>
          <w:rFonts w:eastAsia="Verdana" w:cs="Verdana"/>
          <w:szCs w:val="18"/>
          <w:lang w:val="nl-NL"/>
        </w:rPr>
        <w:footnoteReference w:id="114"/>
      </w:r>
    </w:p>
    <w:p w14:paraId="617C56ED" w14:textId="186223CF" w:rsidR="00956925" w:rsidRPr="00A33930" w:rsidRDefault="00956925" w:rsidP="00053138">
      <w:pPr>
        <w:pStyle w:val="Kop4"/>
        <w:spacing w:before="240" w:after="120"/>
        <w:jc w:val="both"/>
        <w:rPr>
          <w:rFonts w:ascii="Verdana" w:hAnsi="Verdana"/>
          <w:b/>
          <w:bCs/>
          <w:color w:val="auto"/>
          <w:szCs w:val="18"/>
          <w:lang w:val="nl-NL"/>
        </w:rPr>
      </w:pPr>
      <w:r w:rsidRPr="00A33930">
        <w:rPr>
          <w:rFonts w:ascii="Verdana" w:hAnsi="Verdana"/>
          <w:b/>
          <w:bCs/>
          <w:color w:val="auto"/>
          <w:szCs w:val="18"/>
          <w:lang w:val="nl-NL"/>
        </w:rPr>
        <w:t>§</w:t>
      </w:r>
      <w:r w:rsidR="00CE7677" w:rsidRPr="00A33930">
        <w:rPr>
          <w:rFonts w:ascii="Verdana" w:hAnsi="Verdana"/>
          <w:b/>
          <w:bCs/>
          <w:color w:val="auto"/>
          <w:szCs w:val="18"/>
          <w:lang w:val="nl-NL"/>
        </w:rPr>
        <w:t>3</w:t>
      </w:r>
      <w:r w:rsidRPr="00A33930">
        <w:rPr>
          <w:rFonts w:ascii="Verdana" w:hAnsi="Verdana"/>
          <w:b/>
          <w:bCs/>
          <w:color w:val="auto"/>
          <w:szCs w:val="18"/>
          <w:lang w:val="nl-NL"/>
        </w:rPr>
        <w:t>.</w:t>
      </w:r>
      <w:r w:rsidRPr="00A33930">
        <w:rPr>
          <w:rFonts w:ascii="Verdana" w:hAnsi="Verdana"/>
          <w:b/>
          <w:bCs/>
          <w:color w:val="auto"/>
          <w:szCs w:val="18"/>
          <w:lang w:val="nl-NL"/>
        </w:rPr>
        <w:tab/>
        <w:t>Recht op persoonlijk contact</w:t>
      </w:r>
    </w:p>
    <w:p w14:paraId="4EEC9958" w14:textId="21F0D554" w:rsidR="00D55404" w:rsidRPr="00A33930" w:rsidRDefault="00D55404" w:rsidP="00D55404">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Mede doordat het IVRK als ondeelbaar wordt beschouwd, is het niet vanzelfsprekend om het recht op persoonlijk contact uit artikel 9.3 IVRK als alleenstaande bepaling te bespreken</w:t>
      </w:r>
      <w:r w:rsidR="00903CE8" w:rsidRPr="00A33930">
        <w:rPr>
          <w:rFonts w:eastAsia="Verdana" w:cs="Verdana"/>
          <w:szCs w:val="18"/>
          <w:lang w:val="nl-NL"/>
        </w:rPr>
        <w:t xml:space="preserve"> (</w:t>
      </w:r>
      <w:r w:rsidR="00903CE8" w:rsidRPr="00A33930">
        <w:rPr>
          <w:rFonts w:eastAsia="Verdana" w:cs="Verdana"/>
          <w:i/>
          <w:iCs/>
          <w:szCs w:val="18"/>
          <w:lang w:val="nl-NL"/>
        </w:rPr>
        <w:t>supra</w:t>
      </w:r>
      <w:r w:rsidR="00903CE8" w:rsidRPr="00A33930">
        <w:rPr>
          <w:rFonts w:eastAsia="Verdana" w:cs="Verdana"/>
          <w:szCs w:val="18"/>
          <w:lang w:val="nl-NL"/>
        </w:rPr>
        <w:t>, nr. 25)</w:t>
      </w:r>
      <w:r w:rsidRPr="00A33930">
        <w:rPr>
          <w:rFonts w:eastAsia="Verdana" w:cs="Verdana"/>
          <w:szCs w:val="18"/>
          <w:lang w:val="nl-NL"/>
        </w:rPr>
        <w:t xml:space="preserve">. Er zijn bepalingen </w:t>
      </w:r>
      <w:r w:rsidR="0060177B" w:rsidRPr="00A33930">
        <w:rPr>
          <w:rFonts w:eastAsia="Verdana" w:cs="Verdana"/>
          <w:szCs w:val="18"/>
          <w:lang w:val="nl-NL"/>
        </w:rPr>
        <w:t>met</w:t>
      </w:r>
      <w:r w:rsidRPr="00A33930">
        <w:rPr>
          <w:rFonts w:eastAsia="Verdana" w:cs="Verdana"/>
          <w:szCs w:val="18"/>
          <w:lang w:val="nl-NL"/>
        </w:rPr>
        <w:t xml:space="preserve"> een rechtstreekse invloed op dit subjectief </w:t>
      </w:r>
      <w:r w:rsidR="00101E65" w:rsidRPr="00A33930">
        <w:rPr>
          <w:rFonts w:eastAsia="Verdana" w:cs="Verdana"/>
          <w:szCs w:val="18"/>
          <w:lang w:val="nl-NL"/>
        </w:rPr>
        <w:t>kinder</w:t>
      </w:r>
      <w:r w:rsidRPr="00A33930">
        <w:rPr>
          <w:rFonts w:eastAsia="Verdana" w:cs="Verdana"/>
          <w:szCs w:val="18"/>
          <w:lang w:val="nl-NL"/>
        </w:rPr>
        <w:t>recht zoals voorgaand artikel 3 IVRK</w:t>
      </w:r>
      <w:r w:rsidR="00903CE8" w:rsidRPr="00A33930">
        <w:rPr>
          <w:rFonts w:eastAsia="Verdana" w:cs="Verdana"/>
          <w:szCs w:val="18"/>
          <w:lang w:val="nl-NL"/>
        </w:rPr>
        <w:t>,</w:t>
      </w:r>
      <w:r w:rsidRPr="00A33930">
        <w:rPr>
          <w:rFonts w:eastAsia="Verdana" w:cs="Verdana"/>
          <w:szCs w:val="18"/>
          <w:lang w:val="nl-NL"/>
        </w:rPr>
        <w:t xml:space="preserve"> maar ook artikel 5, 12 en 16 IVRK (</w:t>
      </w:r>
      <w:r w:rsidRPr="00A33930">
        <w:rPr>
          <w:rFonts w:eastAsia="Verdana" w:cs="Verdana"/>
          <w:i/>
          <w:iCs/>
          <w:szCs w:val="18"/>
          <w:lang w:val="nl-NL"/>
        </w:rPr>
        <w:t>supra</w:t>
      </w:r>
      <w:r w:rsidRPr="00A33930">
        <w:rPr>
          <w:rFonts w:eastAsia="Verdana" w:cs="Verdana"/>
          <w:szCs w:val="18"/>
          <w:lang w:val="nl-NL"/>
        </w:rPr>
        <w:t xml:space="preserve">, nr. </w:t>
      </w:r>
      <w:r w:rsidR="00903CE8" w:rsidRPr="00A33930">
        <w:rPr>
          <w:rFonts w:eastAsia="Verdana" w:cs="Verdana"/>
          <w:szCs w:val="18"/>
          <w:lang w:val="nl-NL"/>
        </w:rPr>
        <w:t>33</w:t>
      </w:r>
      <w:r w:rsidRPr="00A33930">
        <w:rPr>
          <w:rFonts w:eastAsia="Verdana" w:cs="Verdana"/>
          <w:szCs w:val="18"/>
          <w:lang w:val="nl-NL"/>
        </w:rPr>
        <w:t>).</w:t>
      </w:r>
      <w:r w:rsidRPr="00A33930">
        <w:rPr>
          <w:rStyle w:val="Voetnootmarkering"/>
          <w:rFonts w:eastAsia="Verdana" w:cs="Verdana"/>
          <w:szCs w:val="18"/>
          <w:lang w:val="nl-NL"/>
        </w:rPr>
        <w:footnoteReference w:id="115"/>
      </w:r>
      <w:r w:rsidRPr="00A33930">
        <w:rPr>
          <w:rFonts w:eastAsia="Verdana" w:cs="Verdana"/>
          <w:szCs w:val="18"/>
          <w:lang w:val="nl-NL"/>
        </w:rPr>
        <w:t xml:space="preserve"> Het </w:t>
      </w:r>
      <w:r w:rsidR="00FF52E2" w:rsidRPr="00A33930">
        <w:rPr>
          <w:rFonts w:eastAsia="Verdana" w:cs="Verdana"/>
          <w:szCs w:val="18"/>
          <w:lang w:val="nl-NL"/>
        </w:rPr>
        <w:t xml:space="preserve">startpunt hierbij is het </w:t>
      </w:r>
      <w:r w:rsidRPr="00A33930">
        <w:rPr>
          <w:rFonts w:eastAsia="Verdana" w:cs="Verdana"/>
          <w:szCs w:val="18"/>
          <w:lang w:val="nl-NL"/>
        </w:rPr>
        <w:t>beschermen en garanderen door Verdragsstaten dat het kind en zijn ouders in beginsel niet van elkaar worden gescheiden</w:t>
      </w:r>
      <w:r w:rsidR="00FF52E2" w:rsidRPr="00A33930">
        <w:rPr>
          <w:rFonts w:eastAsia="Verdana" w:cs="Verdana"/>
          <w:szCs w:val="18"/>
          <w:lang w:val="nl-NL"/>
        </w:rPr>
        <w:t xml:space="preserve">. Dit </w:t>
      </w:r>
      <w:r w:rsidRPr="00A33930">
        <w:rPr>
          <w:rFonts w:eastAsia="Verdana" w:cs="Verdana"/>
          <w:szCs w:val="18"/>
          <w:lang w:val="nl-NL"/>
        </w:rPr>
        <w:t xml:space="preserve">vormt zowel een positieve als een </w:t>
      </w:r>
      <w:r w:rsidR="00B65C2C" w:rsidRPr="00A33930">
        <w:rPr>
          <w:rFonts w:eastAsia="Verdana" w:cs="Verdana"/>
          <w:szCs w:val="18"/>
          <w:lang w:val="nl-NL"/>
        </w:rPr>
        <w:t>negatieve</w:t>
      </w:r>
      <w:r w:rsidRPr="00A33930">
        <w:rPr>
          <w:rFonts w:eastAsia="Verdana" w:cs="Verdana"/>
          <w:szCs w:val="18"/>
          <w:lang w:val="nl-NL"/>
        </w:rPr>
        <w:t xml:space="preserve"> verplichting </w:t>
      </w:r>
      <w:r w:rsidR="00FF52E2" w:rsidRPr="00A33930">
        <w:rPr>
          <w:rFonts w:eastAsia="Verdana" w:cs="Verdana"/>
          <w:szCs w:val="18"/>
          <w:lang w:val="nl-NL"/>
        </w:rPr>
        <w:t>voor de Verdragsstaat.</w:t>
      </w:r>
      <w:r w:rsidRPr="00A33930">
        <w:rPr>
          <w:rStyle w:val="Voetnootmarkering"/>
          <w:rFonts w:eastAsia="Verdana" w:cs="Verdana"/>
          <w:szCs w:val="18"/>
          <w:lang w:val="nl-NL"/>
        </w:rPr>
        <w:footnoteReference w:id="116"/>
      </w:r>
      <w:r w:rsidRPr="00A33930">
        <w:rPr>
          <w:rFonts w:eastAsia="Verdana" w:cs="Verdana"/>
          <w:szCs w:val="18"/>
          <w:lang w:val="nl-NL"/>
        </w:rPr>
        <w:t xml:space="preserve"> Door deze dubbele verplichting is de bescherming van artikel 9.3 IVRK verregaander dan deze geboden door art</w:t>
      </w:r>
      <w:r w:rsidR="00A74B82" w:rsidRPr="00A33930">
        <w:rPr>
          <w:rFonts w:eastAsia="Verdana" w:cs="Verdana"/>
          <w:szCs w:val="18"/>
          <w:lang w:val="nl-NL"/>
        </w:rPr>
        <w:t>ikel</w:t>
      </w:r>
      <w:r w:rsidRPr="00A33930">
        <w:rPr>
          <w:rFonts w:eastAsia="Verdana" w:cs="Verdana"/>
          <w:szCs w:val="18"/>
          <w:lang w:val="nl-NL"/>
        </w:rPr>
        <w:t xml:space="preserve"> 8 EVRM (</w:t>
      </w:r>
      <w:r w:rsidR="00101E65" w:rsidRPr="00A33930">
        <w:rPr>
          <w:rFonts w:eastAsia="Verdana" w:cs="Verdana"/>
          <w:szCs w:val="18"/>
          <w:lang w:val="nl-NL"/>
        </w:rPr>
        <w:t xml:space="preserve">cf. </w:t>
      </w:r>
      <w:r w:rsidRPr="00A33930">
        <w:rPr>
          <w:rFonts w:eastAsia="Verdana" w:cs="Verdana"/>
          <w:i/>
          <w:iCs/>
          <w:szCs w:val="18"/>
          <w:lang w:val="nl-NL"/>
        </w:rPr>
        <w:t>infra</w:t>
      </w:r>
      <w:r w:rsidRPr="00A33930">
        <w:rPr>
          <w:rFonts w:eastAsia="Verdana" w:cs="Verdana"/>
          <w:szCs w:val="18"/>
          <w:lang w:val="nl-NL"/>
        </w:rPr>
        <w:t xml:space="preserve">, nr. </w:t>
      </w:r>
      <w:r w:rsidR="00903CE8" w:rsidRPr="00A33930">
        <w:rPr>
          <w:rFonts w:eastAsia="Verdana" w:cs="Verdana"/>
          <w:szCs w:val="18"/>
          <w:lang w:val="nl-NL"/>
        </w:rPr>
        <w:t>45</w:t>
      </w:r>
      <w:r w:rsidRPr="00A33930">
        <w:rPr>
          <w:rFonts w:eastAsia="Verdana" w:cs="Verdana"/>
          <w:szCs w:val="18"/>
          <w:lang w:val="nl-NL"/>
        </w:rPr>
        <w:t>).</w:t>
      </w:r>
      <w:r w:rsidRPr="00A33930">
        <w:rPr>
          <w:rStyle w:val="Voetnootmarkering"/>
          <w:rFonts w:eastAsia="Verdana" w:cs="Verdana"/>
          <w:szCs w:val="18"/>
          <w:lang w:val="nl-NL"/>
        </w:rPr>
        <w:footnoteReference w:id="117"/>
      </w:r>
      <w:r w:rsidRPr="00A33930">
        <w:rPr>
          <w:rFonts w:eastAsia="Verdana" w:cs="Verdana"/>
          <w:szCs w:val="18"/>
          <w:lang w:val="nl-NL"/>
        </w:rPr>
        <w:t xml:space="preserve"> De overige leden van artikel 9 IVRK gaan niet over de bescherming van het recht </w:t>
      </w:r>
      <w:r w:rsidRPr="00A33930">
        <w:rPr>
          <w:rFonts w:eastAsia="Verdana" w:cs="Verdana"/>
          <w:i/>
          <w:iCs/>
          <w:szCs w:val="18"/>
          <w:lang w:val="nl-NL"/>
        </w:rPr>
        <w:t>tout court</w:t>
      </w:r>
      <w:r w:rsidRPr="00A33930">
        <w:rPr>
          <w:rFonts w:eastAsia="Verdana" w:cs="Verdana"/>
          <w:szCs w:val="18"/>
          <w:lang w:val="nl-NL"/>
        </w:rPr>
        <w:t xml:space="preserve"> maar over omstandigheden waarin zo een scheiding wel gerechtvaardigd is</w:t>
      </w:r>
      <w:r w:rsidR="00FF52E2" w:rsidRPr="00A33930">
        <w:rPr>
          <w:rStyle w:val="Voetnootmarkering"/>
          <w:rFonts w:eastAsia="Verdana" w:cs="Verdana"/>
          <w:szCs w:val="18"/>
          <w:lang w:val="nl-NL"/>
        </w:rPr>
        <w:footnoteReference w:id="118"/>
      </w:r>
      <w:r w:rsidRPr="00A33930">
        <w:rPr>
          <w:rFonts w:eastAsia="Verdana" w:cs="Verdana"/>
          <w:szCs w:val="18"/>
          <w:lang w:val="nl-NL"/>
        </w:rPr>
        <w:t>, proceduremaatregelen</w:t>
      </w:r>
      <w:r w:rsidR="00FF52E2" w:rsidRPr="00A33930">
        <w:rPr>
          <w:rStyle w:val="Voetnootmarkering"/>
          <w:rFonts w:eastAsia="Verdana" w:cs="Verdana"/>
          <w:szCs w:val="18"/>
          <w:lang w:val="nl-NL"/>
        </w:rPr>
        <w:footnoteReference w:id="119"/>
      </w:r>
      <w:r w:rsidRPr="00A33930">
        <w:rPr>
          <w:rFonts w:eastAsia="Verdana" w:cs="Verdana"/>
          <w:szCs w:val="18"/>
          <w:lang w:val="nl-NL"/>
        </w:rPr>
        <w:t xml:space="preserve"> en het contactrecht na scheiding</w:t>
      </w:r>
      <w:r w:rsidR="00FF52E2" w:rsidRPr="00A33930">
        <w:rPr>
          <w:rStyle w:val="Voetnootmarkering"/>
          <w:rFonts w:eastAsia="Verdana" w:cs="Verdana"/>
          <w:szCs w:val="18"/>
          <w:lang w:val="nl-NL"/>
        </w:rPr>
        <w:footnoteReference w:id="120"/>
      </w:r>
      <w:r w:rsidRPr="00A33930">
        <w:rPr>
          <w:rFonts w:eastAsia="Verdana" w:cs="Verdana"/>
          <w:szCs w:val="18"/>
          <w:lang w:val="nl-NL"/>
        </w:rPr>
        <w:t xml:space="preserve"> tussen kind en ouders</w:t>
      </w:r>
      <w:r w:rsidR="00FF52E2" w:rsidRPr="00A33930">
        <w:rPr>
          <w:rFonts w:eastAsia="Verdana" w:cs="Verdana"/>
          <w:szCs w:val="18"/>
          <w:lang w:val="nl-NL"/>
        </w:rPr>
        <w:t>.</w:t>
      </w:r>
    </w:p>
    <w:p w14:paraId="57098E18" w14:textId="77777777" w:rsidR="00D55404" w:rsidRPr="00A33930" w:rsidRDefault="00D55404" w:rsidP="00D55404">
      <w:pPr>
        <w:pStyle w:val="Lijstalinea"/>
        <w:spacing w:before="200" w:after="0"/>
        <w:ind w:left="0"/>
        <w:jc w:val="both"/>
        <w:rPr>
          <w:rFonts w:eastAsia="Verdana" w:cs="Verdana"/>
          <w:szCs w:val="18"/>
          <w:lang w:val="nl-NL"/>
        </w:rPr>
      </w:pPr>
    </w:p>
    <w:p w14:paraId="1DC88BED" w14:textId="76CD183F" w:rsidR="00CE7677" w:rsidRPr="00A33930" w:rsidRDefault="00FF52E2" w:rsidP="00CE7677">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Overeenkomstig</w:t>
      </w:r>
      <w:r w:rsidR="00053138" w:rsidRPr="00A33930">
        <w:rPr>
          <w:rFonts w:eastAsia="Verdana" w:cs="Verdana"/>
          <w:szCs w:val="18"/>
          <w:lang w:val="nl-NL"/>
        </w:rPr>
        <w:t xml:space="preserve"> art</w:t>
      </w:r>
      <w:r w:rsidR="00D55404" w:rsidRPr="00A33930">
        <w:rPr>
          <w:rFonts w:eastAsia="Verdana" w:cs="Verdana"/>
          <w:szCs w:val="18"/>
          <w:lang w:val="nl-NL"/>
        </w:rPr>
        <w:t xml:space="preserve">ikel </w:t>
      </w:r>
      <w:r w:rsidR="00053138" w:rsidRPr="00A33930">
        <w:rPr>
          <w:rFonts w:eastAsia="Verdana" w:cs="Verdana"/>
          <w:szCs w:val="18"/>
          <w:lang w:val="nl-NL"/>
        </w:rPr>
        <w:t>9.1 IVRK waarborgen de lidstaten dat een kind niet wordt gescheiden van zijn ouders tegen hun wi</w:t>
      </w:r>
      <w:r w:rsidR="00DC0FA9" w:rsidRPr="00A33930">
        <w:rPr>
          <w:rFonts w:eastAsia="Verdana" w:cs="Verdana"/>
          <w:szCs w:val="18"/>
          <w:lang w:val="nl-NL"/>
        </w:rPr>
        <w:t>l</w:t>
      </w:r>
      <w:r w:rsidR="00053138" w:rsidRPr="00A33930">
        <w:rPr>
          <w:rFonts w:eastAsia="Verdana" w:cs="Verdana"/>
          <w:szCs w:val="18"/>
          <w:lang w:val="nl-NL"/>
        </w:rPr>
        <w:t xml:space="preserve"> tenzij de bevoegde autoriteiten beslissen dat deze scheiding noodzakelijk is in het belang van het kind.</w:t>
      </w:r>
      <w:r w:rsidR="00053138" w:rsidRPr="00A33930">
        <w:rPr>
          <w:rStyle w:val="Voetnootmarkering"/>
          <w:rFonts w:eastAsia="Verdana" w:cs="Verdana"/>
          <w:szCs w:val="18"/>
          <w:lang w:val="nl-NL"/>
        </w:rPr>
        <w:footnoteReference w:id="121"/>
      </w:r>
      <w:r w:rsidR="00053138" w:rsidRPr="00A33930">
        <w:rPr>
          <w:rFonts w:eastAsia="Verdana" w:cs="Verdana"/>
          <w:szCs w:val="18"/>
          <w:lang w:val="nl-NL"/>
        </w:rPr>
        <w:t xml:space="preserve"> Onder “hun wil” valt zowel de wil van beide ouders als deze van het kind.</w:t>
      </w:r>
      <w:r w:rsidR="00053138" w:rsidRPr="00A33930">
        <w:rPr>
          <w:rStyle w:val="Voetnootmarkering"/>
          <w:rFonts w:eastAsia="Verdana" w:cs="Verdana"/>
          <w:szCs w:val="18"/>
          <w:lang w:val="nl-NL"/>
        </w:rPr>
        <w:footnoteReference w:id="122"/>
      </w:r>
      <w:r w:rsidR="00053138" w:rsidRPr="00A33930">
        <w:rPr>
          <w:rFonts w:eastAsia="Verdana" w:cs="Verdana"/>
          <w:szCs w:val="18"/>
          <w:lang w:val="nl-NL"/>
        </w:rPr>
        <w:t xml:space="preserve"> </w:t>
      </w:r>
      <w:r w:rsidR="00DC0FA9" w:rsidRPr="00A33930">
        <w:rPr>
          <w:rFonts w:eastAsia="Verdana" w:cs="Verdana"/>
          <w:szCs w:val="18"/>
          <w:lang w:val="nl-NL"/>
        </w:rPr>
        <w:t>Volgens</w:t>
      </w:r>
      <w:r w:rsidR="00D55404" w:rsidRPr="00A33930">
        <w:rPr>
          <w:rFonts w:eastAsia="Verdana" w:cs="Verdana"/>
          <w:szCs w:val="18"/>
          <w:lang w:val="nl-NL"/>
        </w:rPr>
        <w:t xml:space="preserve"> de </w:t>
      </w:r>
      <w:r w:rsidR="00DC0FA9" w:rsidRPr="00A33930">
        <w:rPr>
          <w:rFonts w:eastAsia="Verdana" w:cs="Verdana"/>
          <w:szCs w:val="18"/>
          <w:lang w:val="nl-NL"/>
        </w:rPr>
        <w:t>parlementaire voorbereiding</w:t>
      </w:r>
      <w:r w:rsidR="00D55404" w:rsidRPr="00A33930">
        <w:rPr>
          <w:rFonts w:eastAsia="Verdana" w:cs="Verdana"/>
          <w:szCs w:val="18"/>
          <w:lang w:val="nl-NL"/>
        </w:rPr>
        <w:t xml:space="preserve"> lijkt het niet enkel om de wil van het </w:t>
      </w:r>
      <w:r w:rsidR="00D55404" w:rsidRPr="00A33930">
        <w:rPr>
          <w:rFonts w:eastAsia="Verdana" w:cs="Verdana"/>
          <w:szCs w:val="18"/>
          <w:lang w:val="nl-NL"/>
        </w:rPr>
        <w:lastRenderedPageBreak/>
        <w:t>kind te mogen gaan.</w:t>
      </w:r>
      <w:r w:rsidR="00D55404" w:rsidRPr="00A33930">
        <w:rPr>
          <w:rStyle w:val="Voetnootmarkering"/>
          <w:rFonts w:eastAsia="Verdana" w:cs="Verdana"/>
          <w:szCs w:val="18"/>
          <w:lang w:val="nl-NL"/>
        </w:rPr>
        <w:footnoteReference w:id="123"/>
      </w:r>
      <w:r w:rsidR="00D55404" w:rsidRPr="00A33930">
        <w:rPr>
          <w:rFonts w:eastAsia="Verdana" w:cs="Verdana"/>
          <w:szCs w:val="18"/>
          <w:lang w:val="nl-NL"/>
        </w:rPr>
        <w:t xml:space="preserve"> </w:t>
      </w:r>
      <w:r w:rsidR="00053138" w:rsidRPr="00A33930">
        <w:rPr>
          <w:rFonts w:eastAsia="Verdana" w:cs="Verdana"/>
          <w:szCs w:val="18"/>
          <w:lang w:val="nl-NL"/>
        </w:rPr>
        <w:t>Het belang van het kind</w:t>
      </w:r>
      <w:r w:rsidRPr="00A33930">
        <w:rPr>
          <w:rFonts w:eastAsia="Verdana" w:cs="Verdana"/>
          <w:szCs w:val="18"/>
          <w:lang w:val="nl-NL"/>
        </w:rPr>
        <w:t xml:space="preserve"> </w:t>
      </w:r>
      <w:r w:rsidR="00053138" w:rsidRPr="00A33930">
        <w:rPr>
          <w:rFonts w:eastAsia="Verdana" w:cs="Verdana"/>
          <w:szCs w:val="18"/>
          <w:lang w:val="nl-NL"/>
        </w:rPr>
        <w:t>geldt als noodzakelijke voorwaarde voor een scheiding.</w:t>
      </w:r>
      <w:r w:rsidRPr="00A33930">
        <w:rPr>
          <w:rStyle w:val="Voetnootmarkering"/>
          <w:rFonts w:eastAsia="Verdana" w:cs="Verdana"/>
          <w:szCs w:val="18"/>
          <w:lang w:val="nl-NL"/>
        </w:rPr>
        <w:footnoteReference w:id="124"/>
      </w:r>
      <w:r w:rsidR="00053138" w:rsidRPr="00A33930">
        <w:rPr>
          <w:rFonts w:eastAsia="Verdana" w:cs="Verdana"/>
          <w:szCs w:val="18"/>
          <w:lang w:val="nl-NL"/>
        </w:rPr>
        <w:t xml:space="preserve"> Verder wordt door art</w:t>
      </w:r>
      <w:r w:rsidR="00A74B82" w:rsidRPr="00A33930">
        <w:rPr>
          <w:rFonts w:eastAsia="Verdana" w:cs="Verdana"/>
          <w:szCs w:val="18"/>
          <w:lang w:val="nl-NL"/>
        </w:rPr>
        <w:t>ikel</w:t>
      </w:r>
      <w:r w:rsidR="00053138" w:rsidRPr="00A33930">
        <w:rPr>
          <w:rFonts w:eastAsia="Verdana" w:cs="Verdana"/>
          <w:szCs w:val="18"/>
          <w:lang w:val="nl-NL"/>
        </w:rPr>
        <w:t xml:space="preserve"> 9.1 IVRK enkele voorbeelden aangehaald over wat onder dit belang van het kind </w:t>
      </w:r>
      <w:r w:rsidRPr="00A33930">
        <w:rPr>
          <w:rFonts w:eastAsia="Verdana" w:cs="Verdana"/>
          <w:szCs w:val="18"/>
          <w:lang w:val="nl-NL"/>
        </w:rPr>
        <w:t>begrepen</w:t>
      </w:r>
      <w:r w:rsidR="00053138" w:rsidRPr="00A33930">
        <w:rPr>
          <w:rFonts w:eastAsia="Verdana" w:cs="Verdana"/>
          <w:szCs w:val="18"/>
          <w:lang w:val="nl-NL"/>
        </w:rPr>
        <w:t xml:space="preserve"> </w:t>
      </w:r>
      <w:r w:rsidRPr="00A33930">
        <w:rPr>
          <w:rFonts w:eastAsia="Verdana" w:cs="Verdana"/>
          <w:szCs w:val="18"/>
          <w:lang w:val="nl-NL"/>
        </w:rPr>
        <w:t>moet</w:t>
      </w:r>
      <w:r w:rsidR="00053138" w:rsidRPr="00A33930">
        <w:rPr>
          <w:rFonts w:eastAsia="Verdana" w:cs="Verdana"/>
          <w:szCs w:val="18"/>
          <w:lang w:val="nl-NL"/>
        </w:rPr>
        <w:t xml:space="preserve"> worden en </w:t>
      </w:r>
      <w:r w:rsidRPr="00A33930">
        <w:rPr>
          <w:rFonts w:eastAsia="Verdana" w:cs="Verdana"/>
          <w:szCs w:val="18"/>
          <w:lang w:val="nl-NL"/>
        </w:rPr>
        <w:t>wanneer</w:t>
      </w:r>
      <w:r w:rsidR="00053138" w:rsidRPr="00A33930">
        <w:rPr>
          <w:rFonts w:eastAsia="Verdana" w:cs="Verdana"/>
          <w:szCs w:val="18"/>
          <w:lang w:val="nl-NL"/>
        </w:rPr>
        <w:t xml:space="preserve"> scheiding gerechtvaardigd is.</w:t>
      </w:r>
      <w:r w:rsidR="00053138" w:rsidRPr="00A33930">
        <w:rPr>
          <w:rStyle w:val="Voetnootmarkering"/>
          <w:rFonts w:eastAsia="Verdana" w:cs="Verdana"/>
          <w:szCs w:val="18"/>
          <w:lang w:val="nl-NL"/>
        </w:rPr>
        <w:footnoteReference w:id="125"/>
      </w:r>
      <w:r w:rsidR="00053138" w:rsidRPr="00A33930">
        <w:rPr>
          <w:rFonts w:eastAsia="Verdana" w:cs="Verdana"/>
          <w:szCs w:val="18"/>
          <w:lang w:val="nl-NL"/>
        </w:rPr>
        <w:t xml:space="preserve"> Iedere scheiding vormt </w:t>
      </w:r>
      <w:r w:rsidRPr="00A33930">
        <w:rPr>
          <w:rFonts w:eastAsia="Verdana" w:cs="Verdana"/>
          <w:szCs w:val="18"/>
          <w:lang w:val="nl-NL"/>
        </w:rPr>
        <w:t xml:space="preserve">in beginsel </w:t>
      </w:r>
      <w:r w:rsidR="00053138" w:rsidRPr="00A33930">
        <w:rPr>
          <w:rFonts w:eastAsia="Verdana" w:cs="Verdana"/>
          <w:szCs w:val="18"/>
          <w:lang w:val="nl-NL"/>
        </w:rPr>
        <w:t>een inmenging op de ouderlijke verantwoordelijkheden uit art</w:t>
      </w:r>
      <w:r w:rsidR="00A74B82" w:rsidRPr="00A33930">
        <w:rPr>
          <w:rFonts w:eastAsia="Verdana" w:cs="Verdana"/>
          <w:szCs w:val="18"/>
          <w:lang w:val="nl-NL"/>
        </w:rPr>
        <w:t>ikel</w:t>
      </w:r>
      <w:r w:rsidR="00053138" w:rsidRPr="00A33930">
        <w:rPr>
          <w:rFonts w:eastAsia="Verdana" w:cs="Verdana"/>
          <w:szCs w:val="18"/>
          <w:lang w:val="nl-NL"/>
        </w:rPr>
        <w:t xml:space="preserve"> 18 IVRK en het recht op eerbiediging van het gezins- en familieleven van het kind uit art</w:t>
      </w:r>
      <w:r w:rsidR="00A74B82" w:rsidRPr="00A33930">
        <w:rPr>
          <w:rFonts w:eastAsia="Verdana" w:cs="Verdana"/>
          <w:szCs w:val="18"/>
          <w:lang w:val="nl-NL"/>
        </w:rPr>
        <w:t>ikel</w:t>
      </w:r>
      <w:r w:rsidR="00053138" w:rsidRPr="00A33930">
        <w:rPr>
          <w:rFonts w:eastAsia="Verdana" w:cs="Verdana"/>
          <w:szCs w:val="18"/>
          <w:lang w:val="nl-NL"/>
        </w:rPr>
        <w:t xml:space="preserve"> 16 IVRK.</w:t>
      </w:r>
      <w:r w:rsidR="00053138" w:rsidRPr="00A33930">
        <w:rPr>
          <w:rStyle w:val="Voetnootmarkering"/>
          <w:rFonts w:eastAsia="Verdana" w:cs="Verdana"/>
          <w:szCs w:val="18"/>
          <w:lang w:val="nl-NL"/>
        </w:rPr>
        <w:footnoteReference w:id="126"/>
      </w:r>
    </w:p>
    <w:p w14:paraId="15D7FE2F" w14:textId="77777777" w:rsidR="008253B0" w:rsidRPr="00A33930" w:rsidRDefault="008253B0" w:rsidP="008253B0">
      <w:pPr>
        <w:pStyle w:val="Lijstalinea"/>
        <w:spacing w:before="200" w:after="0"/>
        <w:ind w:left="0"/>
        <w:jc w:val="both"/>
        <w:rPr>
          <w:rFonts w:eastAsia="Verdana" w:cs="Verdana"/>
          <w:szCs w:val="18"/>
          <w:lang w:val="nl-NL"/>
        </w:rPr>
      </w:pPr>
    </w:p>
    <w:p w14:paraId="2336ED5F" w14:textId="3B16F6C4" w:rsidR="00CE7677" w:rsidRPr="00A33930" w:rsidRDefault="00053138" w:rsidP="00CE7677">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Met art</w:t>
      </w:r>
      <w:r w:rsidR="00D55404" w:rsidRPr="00A33930">
        <w:rPr>
          <w:rFonts w:eastAsia="Verdana" w:cs="Verdana"/>
          <w:szCs w:val="18"/>
          <w:lang w:val="nl-NL"/>
        </w:rPr>
        <w:t>ikel</w:t>
      </w:r>
      <w:r w:rsidRPr="00A33930">
        <w:rPr>
          <w:rFonts w:eastAsia="Verdana" w:cs="Verdana"/>
          <w:szCs w:val="18"/>
          <w:lang w:val="nl-NL"/>
        </w:rPr>
        <w:t xml:space="preserve"> 9.2 IVRK wordt aangegeven dat alle betrokken partijen, zowel (groot)ouder als kind, de gelegenheid dienen te krijgen</w:t>
      </w:r>
      <w:r w:rsidR="00304072" w:rsidRPr="00A33930">
        <w:rPr>
          <w:rFonts w:eastAsia="Verdana" w:cs="Verdana"/>
          <w:szCs w:val="18"/>
          <w:lang w:val="nl-NL"/>
        </w:rPr>
        <w:t xml:space="preserve"> om</w:t>
      </w:r>
      <w:r w:rsidRPr="00A33930">
        <w:rPr>
          <w:rFonts w:eastAsia="Verdana" w:cs="Verdana"/>
          <w:szCs w:val="18"/>
          <w:lang w:val="nl-NL"/>
        </w:rPr>
        <w:t xml:space="preserve"> aan de procedure deel te nemen en hun standpunten naar voren te brengen.</w:t>
      </w:r>
      <w:r w:rsidR="00D55404" w:rsidRPr="00A33930">
        <w:rPr>
          <w:rStyle w:val="Voetnootmarkering"/>
          <w:rFonts w:eastAsia="Verdana" w:cs="Verdana"/>
          <w:szCs w:val="18"/>
          <w:lang w:val="nl-NL"/>
        </w:rPr>
        <w:footnoteReference w:id="127"/>
      </w:r>
      <w:r w:rsidRPr="00A33930">
        <w:rPr>
          <w:rFonts w:eastAsia="Verdana" w:cs="Verdana"/>
          <w:szCs w:val="18"/>
          <w:lang w:val="nl-NL"/>
        </w:rPr>
        <w:t xml:space="preserve"> Een verwijzing naar art</w:t>
      </w:r>
      <w:r w:rsidR="00D55404" w:rsidRPr="00A33930">
        <w:rPr>
          <w:rFonts w:eastAsia="Verdana" w:cs="Verdana"/>
          <w:szCs w:val="18"/>
          <w:lang w:val="nl-NL"/>
        </w:rPr>
        <w:t xml:space="preserve">ikel </w:t>
      </w:r>
      <w:r w:rsidRPr="00A33930">
        <w:rPr>
          <w:rFonts w:eastAsia="Verdana" w:cs="Verdana"/>
          <w:szCs w:val="18"/>
          <w:lang w:val="nl-NL"/>
        </w:rPr>
        <w:t>12</w:t>
      </w:r>
      <w:r w:rsidR="00D55404" w:rsidRPr="00A33930">
        <w:rPr>
          <w:rFonts w:eastAsia="Verdana" w:cs="Verdana"/>
          <w:szCs w:val="18"/>
          <w:lang w:val="nl-NL"/>
        </w:rPr>
        <w:t>.2</w:t>
      </w:r>
      <w:r w:rsidRPr="00A33930">
        <w:rPr>
          <w:rFonts w:eastAsia="Verdana" w:cs="Verdana"/>
          <w:szCs w:val="18"/>
          <w:lang w:val="nl-NL"/>
        </w:rPr>
        <w:t xml:space="preserve"> IVRK, dat het recht op meningsuiting en </w:t>
      </w:r>
      <w:r w:rsidR="00304072" w:rsidRPr="00A33930">
        <w:rPr>
          <w:rFonts w:eastAsia="Verdana" w:cs="Verdana"/>
          <w:szCs w:val="18"/>
          <w:lang w:val="nl-NL"/>
        </w:rPr>
        <w:t xml:space="preserve">het </w:t>
      </w:r>
      <w:r w:rsidRPr="00A33930">
        <w:rPr>
          <w:rFonts w:eastAsia="Verdana" w:cs="Verdana"/>
          <w:szCs w:val="18"/>
          <w:lang w:val="nl-NL"/>
        </w:rPr>
        <w:t xml:space="preserve">hoorrecht van het kind inschrijft, is hier </w:t>
      </w:r>
      <w:r w:rsidR="00FF52E2" w:rsidRPr="00A33930">
        <w:rPr>
          <w:rFonts w:eastAsia="Verdana" w:cs="Verdana"/>
          <w:szCs w:val="18"/>
          <w:lang w:val="nl-NL"/>
        </w:rPr>
        <w:t>aangewezen</w:t>
      </w:r>
      <w:r w:rsidRPr="00A33930">
        <w:rPr>
          <w:rFonts w:eastAsia="Verdana" w:cs="Verdana"/>
          <w:szCs w:val="18"/>
          <w:lang w:val="nl-NL"/>
        </w:rPr>
        <w:t>.</w:t>
      </w:r>
      <w:r w:rsidRPr="00A33930">
        <w:rPr>
          <w:rStyle w:val="Voetnootmarkering"/>
          <w:rFonts w:eastAsia="Verdana" w:cs="Verdana"/>
          <w:szCs w:val="18"/>
          <w:lang w:val="nl-NL"/>
        </w:rPr>
        <w:footnoteReference w:id="128"/>
      </w:r>
    </w:p>
    <w:p w14:paraId="0687C2D3" w14:textId="77777777" w:rsidR="00C23168" w:rsidRPr="00A33930" w:rsidRDefault="00C23168" w:rsidP="00C23168">
      <w:pPr>
        <w:pStyle w:val="Lijstalinea"/>
        <w:spacing w:before="200" w:after="0"/>
        <w:ind w:left="0"/>
        <w:jc w:val="both"/>
        <w:rPr>
          <w:rFonts w:eastAsia="Verdana" w:cs="Verdana"/>
          <w:szCs w:val="18"/>
          <w:lang w:val="nl-NL"/>
        </w:rPr>
      </w:pPr>
    </w:p>
    <w:p w14:paraId="2CCAD49E" w14:textId="4DF27E03" w:rsidR="0052174D" w:rsidRPr="00A33930" w:rsidRDefault="00053138" w:rsidP="0052174D">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Het recht op persoonlijk contact wordt ingeschreven in</w:t>
      </w:r>
      <w:r w:rsidR="00A30C64" w:rsidRPr="00A33930">
        <w:rPr>
          <w:rFonts w:eastAsia="Verdana" w:cs="Verdana"/>
          <w:szCs w:val="18"/>
          <w:lang w:val="nl-NL"/>
        </w:rPr>
        <w:t xml:space="preserve"> artikel 9</w:t>
      </w:r>
      <w:r w:rsidR="0071104B" w:rsidRPr="00A33930">
        <w:rPr>
          <w:rFonts w:eastAsia="Verdana" w:cs="Verdana"/>
          <w:szCs w:val="18"/>
          <w:lang w:val="nl-NL"/>
        </w:rPr>
        <w:t>.3 IVRK.</w:t>
      </w:r>
      <w:r w:rsidR="005529E2" w:rsidRPr="00A33930">
        <w:rPr>
          <w:rFonts w:eastAsia="Verdana" w:cs="Verdana"/>
          <w:szCs w:val="18"/>
          <w:lang w:val="nl-NL"/>
        </w:rPr>
        <w:t xml:space="preserve"> Dit artikel kent het kind een subjectief recht toe op persoonlijk contact ten aanzien van zijn ouders, wanneer het van hen gescheiden is.</w:t>
      </w:r>
      <w:r w:rsidR="005529E2" w:rsidRPr="00A33930">
        <w:rPr>
          <w:vertAlign w:val="superscript"/>
          <w:lang w:val="nl-NL"/>
        </w:rPr>
        <w:footnoteReference w:id="129"/>
      </w:r>
      <w:r w:rsidR="00D55404" w:rsidRPr="00A33930">
        <w:rPr>
          <w:rFonts w:eastAsia="Verdana" w:cs="Verdana"/>
          <w:szCs w:val="18"/>
          <w:lang w:val="nl-NL"/>
        </w:rPr>
        <w:t xml:space="preserve"> </w:t>
      </w:r>
      <w:r w:rsidR="00043E6F" w:rsidRPr="00A33930">
        <w:rPr>
          <w:rFonts w:eastAsia="Verdana" w:cs="Verdana"/>
          <w:szCs w:val="18"/>
          <w:lang w:val="nl-NL"/>
        </w:rPr>
        <w:t xml:space="preserve">Artikel 9.3 IVRK kent een eigen recht op persoonlijk contact toe aan het kind </w:t>
      </w:r>
      <w:r w:rsidR="00F83044" w:rsidRPr="00A33930">
        <w:rPr>
          <w:rFonts w:eastAsia="Verdana" w:cs="Verdana"/>
          <w:szCs w:val="18"/>
          <w:lang w:val="nl-NL"/>
        </w:rPr>
        <w:t>waardoor</w:t>
      </w:r>
      <w:r w:rsidR="00043E6F" w:rsidRPr="00A33930">
        <w:rPr>
          <w:rFonts w:eastAsia="Verdana" w:cs="Verdana"/>
          <w:szCs w:val="18"/>
          <w:lang w:val="nl-NL"/>
        </w:rPr>
        <w:t xml:space="preserve"> </w:t>
      </w:r>
      <w:r w:rsidR="00FF52E2" w:rsidRPr="00A33930">
        <w:rPr>
          <w:rFonts w:eastAsia="Verdana" w:cs="Verdana"/>
          <w:szCs w:val="18"/>
          <w:lang w:val="nl-NL"/>
        </w:rPr>
        <w:t>de</w:t>
      </w:r>
      <w:r w:rsidR="00043E6F" w:rsidRPr="00A33930">
        <w:rPr>
          <w:rFonts w:eastAsia="Verdana" w:cs="Verdana"/>
          <w:szCs w:val="18"/>
          <w:lang w:val="nl-NL"/>
        </w:rPr>
        <w:t xml:space="preserve"> principiële procesonbekwaamheid</w:t>
      </w:r>
      <w:r w:rsidR="00F83044" w:rsidRPr="00A33930">
        <w:rPr>
          <w:rFonts w:eastAsia="Verdana" w:cs="Verdana"/>
          <w:szCs w:val="18"/>
          <w:lang w:val="nl-NL"/>
        </w:rPr>
        <w:t xml:space="preserve"> verlaten wordt</w:t>
      </w:r>
      <w:r w:rsidR="00043E6F" w:rsidRPr="00A33930">
        <w:rPr>
          <w:rFonts w:eastAsia="Verdana" w:cs="Verdana"/>
          <w:szCs w:val="18"/>
          <w:lang w:val="nl-NL"/>
        </w:rPr>
        <w:t>.</w:t>
      </w:r>
      <w:r w:rsidR="00F83044" w:rsidRPr="00A33930">
        <w:rPr>
          <w:rFonts w:eastAsia="Verdana" w:cs="Verdana"/>
          <w:szCs w:val="18"/>
          <w:lang w:val="nl-NL"/>
        </w:rPr>
        <w:t xml:space="preserve"> </w:t>
      </w:r>
      <w:r w:rsidR="00AB71F1" w:rsidRPr="00A33930">
        <w:rPr>
          <w:rFonts w:eastAsia="Verdana" w:cs="Verdana"/>
          <w:szCs w:val="18"/>
          <w:lang w:val="nl-NL"/>
        </w:rPr>
        <w:t>Tevens</w:t>
      </w:r>
      <w:r w:rsidR="005529E2" w:rsidRPr="00A33930">
        <w:rPr>
          <w:rFonts w:eastAsia="Verdana" w:cs="Verdana"/>
          <w:szCs w:val="18"/>
          <w:lang w:val="nl-NL"/>
        </w:rPr>
        <w:t xml:space="preserve"> stelt het IVRK </w:t>
      </w:r>
      <w:r w:rsidR="00AB71F1" w:rsidRPr="00A33930">
        <w:rPr>
          <w:rFonts w:eastAsia="Verdana" w:cs="Verdana"/>
          <w:szCs w:val="18"/>
          <w:lang w:val="nl-NL"/>
        </w:rPr>
        <w:t xml:space="preserve">met dit artikel </w:t>
      </w:r>
      <w:r w:rsidR="005529E2" w:rsidRPr="00A33930">
        <w:rPr>
          <w:rFonts w:eastAsia="Verdana" w:cs="Verdana"/>
          <w:szCs w:val="18"/>
          <w:lang w:val="nl-NL"/>
        </w:rPr>
        <w:t xml:space="preserve">een duidelijke grens aan </w:t>
      </w:r>
      <w:r w:rsidR="00AB71F1" w:rsidRPr="00A33930">
        <w:rPr>
          <w:rFonts w:eastAsia="Verdana" w:cs="Verdana"/>
          <w:szCs w:val="18"/>
          <w:lang w:val="nl-NL"/>
        </w:rPr>
        <w:t>het</w:t>
      </w:r>
      <w:r w:rsidR="005529E2" w:rsidRPr="00A33930">
        <w:rPr>
          <w:rFonts w:eastAsia="Verdana" w:cs="Verdana"/>
          <w:szCs w:val="18"/>
          <w:lang w:val="nl-NL"/>
        </w:rPr>
        <w:t xml:space="preserve"> contactrecht</w:t>
      </w:r>
      <w:r w:rsidR="00AB71F1" w:rsidRPr="00A33930">
        <w:rPr>
          <w:rFonts w:eastAsia="Verdana" w:cs="Verdana"/>
          <w:szCs w:val="18"/>
          <w:lang w:val="nl-NL"/>
        </w:rPr>
        <w:t xml:space="preserve"> van het kind</w:t>
      </w:r>
      <w:r w:rsidR="005529E2" w:rsidRPr="00A33930">
        <w:rPr>
          <w:rFonts w:eastAsia="Verdana" w:cs="Verdana"/>
          <w:szCs w:val="18"/>
          <w:lang w:val="nl-NL"/>
        </w:rPr>
        <w:t xml:space="preserve">: indien het persoonlijk contact in strijd wordt bevonden met </w:t>
      </w:r>
      <w:r w:rsidR="00AB71F1" w:rsidRPr="00A33930">
        <w:rPr>
          <w:rFonts w:eastAsia="Verdana" w:cs="Verdana"/>
          <w:szCs w:val="18"/>
          <w:lang w:val="nl-NL"/>
        </w:rPr>
        <w:t>zijn</w:t>
      </w:r>
      <w:r w:rsidR="005529E2" w:rsidRPr="00A33930">
        <w:rPr>
          <w:rFonts w:eastAsia="Verdana" w:cs="Verdana"/>
          <w:szCs w:val="18"/>
          <w:lang w:val="nl-NL"/>
        </w:rPr>
        <w:t xml:space="preserve"> belangen kan het contact geweigerd worden</w:t>
      </w:r>
      <w:r w:rsidR="006D5DC5" w:rsidRPr="00A33930">
        <w:rPr>
          <w:rFonts w:eastAsia="Verdana" w:cs="Verdana"/>
          <w:szCs w:val="18"/>
          <w:lang w:val="nl-NL"/>
        </w:rPr>
        <w:t xml:space="preserve"> (</w:t>
      </w:r>
      <w:r w:rsidR="006D5DC5" w:rsidRPr="00A33930">
        <w:rPr>
          <w:rFonts w:eastAsia="Verdana" w:cs="Verdana"/>
          <w:i/>
          <w:iCs/>
          <w:szCs w:val="18"/>
          <w:lang w:val="nl-NL"/>
        </w:rPr>
        <w:t>supra</w:t>
      </w:r>
      <w:r w:rsidR="006D5DC5" w:rsidRPr="00A33930">
        <w:rPr>
          <w:rFonts w:eastAsia="Verdana" w:cs="Verdana"/>
          <w:szCs w:val="18"/>
          <w:lang w:val="nl-NL"/>
        </w:rPr>
        <w:t xml:space="preserve">, nr. </w:t>
      </w:r>
      <w:r w:rsidR="00903CE8" w:rsidRPr="00A33930">
        <w:rPr>
          <w:rFonts w:eastAsia="Verdana" w:cs="Verdana"/>
          <w:szCs w:val="18"/>
          <w:lang w:val="nl-NL"/>
        </w:rPr>
        <w:t>35</w:t>
      </w:r>
      <w:r w:rsidR="006D5DC5" w:rsidRPr="00A33930">
        <w:rPr>
          <w:rFonts w:eastAsia="Verdana" w:cs="Verdana"/>
          <w:szCs w:val="18"/>
          <w:lang w:val="nl-NL"/>
        </w:rPr>
        <w:t>)</w:t>
      </w:r>
      <w:r w:rsidR="005529E2" w:rsidRPr="00A33930">
        <w:rPr>
          <w:rFonts w:eastAsia="Verdana" w:cs="Verdana"/>
          <w:szCs w:val="18"/>
          <w:lang w:val="nl-NL"/>
        </w:rPr>
        <w:t>.</w:t>
      </w:r>
      <w:r w:rsidR="00CE7677" w:rsidRPr="00A33930">
        <w:rPr>
          <w:rFonts w:eastAsia="Verdana" w:cs="Verdana"/>
          <w:szCs w:val="18"/>
          <w:lang w:val="nl-NL"/>
        </w:rPr>
        <w:t xml:space="preserve"> </w:t>
      </w:r>
      <w:r w:rsidRPr="00A33930">
        <w:rPr>
          <w:rFonts w:eastAsia="Verdana" w:cs="Verdana"/>
          <w:szCs w:val="18"/>
          <w:lang w:val="nl-NL"/>
        </w:rPr>
        <w:t xml:space="preserve">Het IVRK gaat ervan uit dat het regelmatig onderhouden van contacten tussen het kind en zijn ouder(s) in het belang van het kind is. </w:t>
      </w:r>
      <w:r w:rsidR="00D41C62" w:rsidRPr="00A33930">
        <w:rPr>
          <w:rFonts w:eastAsia="Verdana" w:cs="Verdana"/>
          <w:szCs w:val="18"/>
          <w:lang w:val="nl-NL"/>
        </w:rPr>
        <w:t xml:space="preserve">Het IVRK regelt enkel het recht op persoonlijk contact tussen het kind en zijn ouder(s), </w:t>
      </w:r>
      <w:r w:rsidR="00101E65" w:rsidRPr="00A33930">
        <w:rPr>
          <w:rFonts w:eastAsia="Verdana" w:cs="Verdana"/>
          <w:szCs w:val="18"/>
          <w:lang w:val="nl-NL"/>
        </w:rPr>
        <w:t xml:space="preserve">maar </w:t>
      </w:r>
      <w:r w:rsidR="00D41C62" w:rsidRPr="00A33930">
        <w:rPr>
          <w:rFonts w:eastAsia="Verdana" w:cs="Verdana"/>
          <w:szCs w:val="18"/>
          <w:lang w:val="nl-NL"/>
        </w:rPr>
        <w:t>niet ten aanzien van derden (</w:t>
      </w:r>
      <w:r w:rsidR="00903CE8" w:rsidRPr="00A33930">
        <w:rPr>
          <w:rFonts w:eastAsia="Verdana" w:cs="Verdana"/>
          <w:szCs w:val="18"/>
          <w:lang w:val="nl-NL"/>
        </w:rPr>
        <w:t>cf.</w:t>
      </w:r>
      <w:r w:rsidR="00903CE8" w:rsidRPr="00A33930">
        <w:rPr>
          <w:rFonts w:eastAsia="Verdana" w:cs="Verdana"/>
          <w:i/>
          <w:iCs/>
          <w:szCs w:val="18"/>
          <w:lang w:val="nl-NL"/>
        </w:rPr>
        <w:t xml:space="preserve"> infra</w:t>
      </w:r>
      <w:r w:rsidR="00903CE8" w:rsidRPr="00A33930">
        <w:rPr>
          <w:rFonts w:eastAsia="Verdana" w:cs="Verdana"/>
          <w:szCs w:val="18"/>
          <w:lang w:val="nl-NL"/>
        </w:rPr>
        <w:t>,</w:t>
      </w:r>
      <w:r w:rsidR="00D41C62" w:rsidRPr="00A33930">
        <w:rPr>
          <w:rFonts w:eastAsia="Verdana" w:cs="Verdana"/>
          <w:szCs w:val="18"/>
          <w:lang w:val="nl-NL"/>
        </w:rPr>
        <w:t xml:space="preserve"> nr. </w:t>
      </w:r>
      <w:r w:rsidR="00903CE8" w:rsidRPr="00A33930">
        <w:rPr>
          <w:rFonts w:eastAsia="Verdana" w:cs="Verdana"/>
          <w:szCs w:val="18"/>
          <w:lang w:val="nl-NL"/>
        </w:rPr>
        <w:t>55</w:t>
      </w:r>
      <w:r w:rsidR="00101E65" w:rsidRPr="00A33930">
        <w:rPr>
          <w:rFonts w:eastAsia="Verdana" w:cs="Verdana"/>
          <w:szCs w:val="18"/>
          <w:lang w:val="nl-NL"/>
        </w:rPr>
        <w:t xml:space="preserve"> en nr. 92</w:t>
      </w:r>
      <w:r w:rsidR="00D41C62" w:rsidRPr="00A33930">
        <w:rPr>
          <w:rFonts w:eastAsia="Verdana" w:cs="Verdana"/>
          <w:szCs w:val="18"/>
          <w:lang w:val="nl-NL"/>
        </w:rPr>
        <w:t xml:space="preserve">). </w:t>
      </w:r>
      <w:r w:rsidR="00CE7677" w:rsidRPr="00A33930">
        <w:rPr>
          <w:rFonts w:eastAsia="Verdana" w:cs="Verdana"/>
          <w:szCs w:val="18"/>
          <w:lang w:val="nl-NL"/>
        </w:rPr>
        <w:t xml:space="preserve">Het kind bepaalt </w:t>
      </w:r>
      <w:r w:rsidR="006D5DC5" w:rsidRPr="00A33930">
        <w:rPr>
          <w:rFonts w:eastAsia="Verdana" w:cs="Verdana"/>
          <w:szCs w:val="18"/>
          <w:lang w:val="nl-NL"/>
        </w:rPr>
        <w:t xml:space="preserve">hierbij </w:t>
      </w:r>
      <w:r w:rsidR="00101E65" w:rsidRPr="00A33930">
        <w:rPr>
          <w:rFonts w:eastAsia="Verdana" w:cs="Verdana"/>
          <w:szCs w:val="18"/>
          <w:lang w:val="nl-NL"/>
        </w:rPr>
        <w:t xml:space="preserve">niet </w:t>
      </w:r>
      <w:r w:rsidR="00CE7677" w:rsidRPr="00A33930">
        <w:rPr>
          <w:rFonts w:eastAsia="Verdana" w:cs="Verdana"/>
          <w:szCs w:val="18"/>
          <w:lang w:val="nl-NL"/>
        </w:rPr>
        <w:t>zelf wat zijn belangen zijn</w:t>
      </w:r>
      <w:r w:rsidR="00DC0FA9" w:rsidRPr="00A33930">
        <w:rPr>
          <w:rFonts w:eastAsia="Verdana" w:cs="Verdana"/>
          <w:szCs w:val="18"/>
          <w:lang w:val="nl-NL"/>
        </w:rPr>
        <w:t xml:space="preserve">, </w:t>
      </w:r>
      <w:r w:rsidRPr="00A33930">
        <w:rPr>
          <w:rFonts w:eastAsia="Verdana" w:cs="Verdana"/>
          <w:szCs w:val="18"/>
          <w:lang w:val="nl-NL"/>
        </w:rPr>
        <w:t xml:space="preserve">maar </w:t>
      </w:r>
      <w:r w:rsidR="00D41C62" w:rsidRPr="00A33930">
        <w:rPr>
          <w:rFonts w:eastAsia="Verdana" w:cs="Verdana"/>
          <w:szCs w:val="18"/>
          <w:lang w:val="nl-NL"/>
        </w:rPr>
        <w:t xml:space="preserve">door de rechter </w:t>
      </w:r>
      <w:r w:rsidR="00101E65" w:rsidRPr="00A33930">
        <w:rPr>
          <w:rFonts w:eastAsia="Verdana" w:cs="Verdana"/>
          <w:szCs w:val="18"/>
          <w:lang w:val="nl-NL"/>
        </w:rPr>
        <w:t xml:space="preserve">wordt </w:t>
      </w:r>
      <w:r w:rsidRPr="00A33930">
        <w:rPr>
          <w:rFonts w:eastAsia="Verdana" w:cs="Verdana"/>
          <w:szCs w:val="18"/>
          <w:lang w:val="nl-NL"/>
        </w:rPr>
        <w:t xml:space="preserve">rekening gehouden met de mening van het kind in overeenstemming met zijn leeftijd en maturiteit </w:t>
      </w:r>
      <w:r w:rsidR="00101E65" w:rsidRPr="00A33930">
        <w:rPr>
          <w:rFonts w:eastAsia="Verdana" w:cs="Verdana"/>
          <w:szCs w:val="18"/>
          <w:lang w:val="nl-NL"/>
        </w:rPr>
        <w:t xml:space="preserve">overeenkomstig </w:t>
      </w:r>
      <w:r w:rsidRPr="00A33930">
        <w:rPr>
          <w:rFonts w:eastAsia="Verdana" w:cs="Verdana"/>
          <w:szCs w:val="18"/>
          <w:lang w:val="nl-NL"/>
        </w:rPr>
        <w:t>art</w:t>
      </w:r>
      <w:r w:rsidR="00A74B82" w:rsidRPr="00A33930">
        <w:rPr>
          <w:rFonts w:eastAsia="Verdana" w:cs="Verdana"/>
          <w:szCs w:val="18"/>
          <w:lang w:val="nl-NL"/>
        </w:rPr>
        <w:t>ikel</w:t>
      </w:r>
      <w:r w:rsidRPr="00A33930">
        <w:rPr>
          <w:rFonts w:eastAsia="Verdana" w:cs="Verdana"/>
          <w:szCs w:val="18"/>
          <w:lang w:val="nl-NL"/>
        </w:rPr>
        <w:t xml:space="preserve"> 12 IVRK</w:t>
      </w:r>
      <w:r w:rsidR="00CE7677" w:rsidRPr="00A33930">
        <w:rPr>
          <w:rFonts w:eastAsia="Verdana" w:cs="Verdana"/>
          <w:szCs w:val="18"/>
          <w:lang w:val="nl-NL"/>
        </w:rPr>
        <w:t>.</w:t>
      </w:r>
      <w:r w:rsidR="00CE7677" w:rsidRPr="00A33930">
        <w:rPr>
          <w:rStyle w:val="Voetnootmarkering"/>
          <w:rFonts w:eastAsia="Verdana" w:cs="Verdana"/>
          <w:szCs w:val="18"/>
          <w:lang w:val="nl-NL"/>
        </w:rPr>
        <w:footnoteReference w:id="130"/>
      </w:r>
    </w:p>
    <w:p w14:paraId="560A99DA" w14:textId="77777777" w:rsidR="00053138" w:rsidRPr="00A33930" w:rsidRDefault="00053138" w:rsidP="00053138">
      <w:pPr>
        <w:pStyle w:val="Lijstalinea"/>
        <w:rPr>
          <w:rFonts w:eastAsia="Verdana" w:cs="Verdana"/>
          <w:szCs w:val="18"/>
          <w:lang w:val="nl-NL"/>
        </w:rPr>
      </w:pPr>
    </w:p>
    <w:p w14:paraId="0413ED69" w14:textId="423F85F4" w:rsidR="00DF4D5B" w:rsidRPr="00A33930" w:rsidRDefault="00DF4D5B">
      <w:pPr>
        <w:spacing w:after="160" w:line="259" w:lineRule="auto"/>
        <w:rPr>
          <w:rFonts w:eastAsiaTheme="majorEastAsia" w:cstheme="majorBidi"/>
          <w:b/>
          <w:sz w:val="20"/>
          <w:szCs w:val="28"/>
          <w:lang w:val="nl-NL" w:eastAsia="en-US"/>
        </w:rPr>
      </w:pPr>
      <w:r w:rsidRPr="00A33930">
        <w:rPr>
          <w:sz w:val="20"/>
          <w:szCs w:val="28"/>
          <w:lang w:val="nl-NL"/>
        </w:rPr>
        <w:br w:type="page"/>
      </w:r>
    </w:p>
    <w:p w14:paraId="691D6878" w14:textId="77777777" w:rsidR="008329A0" w:rsidRPr="00A33930" w:rsidRDefault="008329A0">
      <w:pPr>
        <w:spacing w:after="160" w:line="259" w:lineRule="auto"/>
        <w:rPr>
          <w:rFonts w:eastAsiaTheme="majorEastAsia" w:cstheme="majorBidi"/>
          <w:b/>
          <w:sz w:val="20"/>
          <w:szCs w:val="28"/>
          <w:lang w:val="nl-NL" w:eastAsia="en-US"/>
        </w:rPr>
      </w:pPr>
      <w:r w:rsidRPr="00A33930">
        <w:rPr>
          <w:sz w:val="20"/>
          <w:szCs w:val="28"/>
          <w:lang w:val="nl-NL"/>
        </w:rPr>
        <w:lastRenderedPageBreak/>
        <w:br w:type="page"/>
      </w:r>
    </w:p>
    <w:p w14:paraId="0508917C" w14:textId="30BD4C1B" w:rsidR="00894D01" w:rsidRPr="00A33930" w:rsidRDefault="004D631D" w:rsidP="001E7426">
      <w:pPr>
        <w:pStyle w:val="Kop2"/>
        <w:numPr>
          <w:ilvl w:val="0"/>
          <w:numId w:val="0"/>
        </w:numPr>
        <w:jc w:val="both"/>
        <w:rPr>
          <w:sz w:val="20"/>
          <w:szCs w:val="28"/>
          <w:lang w:val="nl-NL"/>
        </w:rPr>
      </w:pPr>
      <w:bookmarkStart w:id="17" w:name="_Toc134621176"/>
      <w:r w:rsidRPr="00A33930">
        <w:rPr>
          <w:sz w:val="20"/>
          <w:szCs w:val="28"/>
          <w:lang w:val="nl-NL"/>
        </w:rPr>
        <w:lastRenderedPageBreak/>
        <w:t>HOOFDSTUK II.</w:t>
      </w:r>
      <w:r w:rsidRPr="00A33930">
        <w:rPr>
          <w:sz w:val="20"/>
          <w:szCs w:val="28"/>
          <w:lang w:val="nl-NL"/>
        </w:rPr>
        <w:tab/>
      </w:r>
      <w:r w:rsidR="00DB6174" w:rsidRPr="00A33930">
        <w:rPr>
          <w:sz w:val="20"/>
          <w:szCs w:val="28"/>
          <w:lang w:val="nl-NL"/>
        </w:rPr>
        <w:t>EUROPEES VERDRAG VOOR DE RECHTEN VAN DE MENS</w:t>
      </w:r>
      <w:bookmarkEnd w:id="17"/>
    </w:p>
    <w:p w14:paraId="47C890EB" w14:textId="29151E17" w:rsidR="00C94C11" w:rsidRPr="00A33930" w:rsidRDefault="00DB6174" w:rsidP="00AE1FC7">
      <w:pPr>
        <w:pStyle w:val="Kop3"/>
        <w:numPr>
          <w:ilvl w:val="0"/>
          <w:numId w:val="0"/>
        </w:numPr>
        <w:spacing w:before="360"/>
        <w:ind w:left="357" w:hanging="357"/>
        <w:jc w:val="both"/>
        <w:rPr>
          <w:lang w:val="nl-NL"/>
        </w:rPr>
      </w:pPr>
      <w:bookmarkStart w:id="18" w:name="_Toc134621177"/>
      <w:r w:rsidRPr="00A33930">
        <w:rPr>
          <w:lang w:val="nl-NL"/>
        </w:rPr>
        <w:t>Afdeling I.</w:t>
      </w:r>
      <w:r w:rsidR="0097678D" w:rsidRPr="00A33930">
        <w:rPr>
          <w:lang w:val="nl-NL"/>
        </w:rPr>
        <w:tab/>
      </w:r>
      <w:r w:rsidR="0097678D" w:rsidRPr="00A33930">
        <w:rPr>
          <w:lang w:val="nl-NL"/>
        </w:rPr>
        <w:tab/>
      </w:r>
      <w:r w:rsidR="00894D01" w:rsidRPr="00A33930">
        <w:rPr>
          <w:lang w:val="nl-NL"/>
        </w:rPr>
        <w:t>Inleidende beschouwingen</w:t>
      </w:r>
      <w:bookmarkEnd w:id="18"/>
    </w:p>
    <w:p w14:paraId="3A83B950" w14:textId="36126D97" w:rsidR="00EB7105" w:rsidRPr="00A33930" w:rsidRDefault="008A08D2" w:rsidP="0053603C">
      <w:pPr>
        <w:pStyle w:val="Lijstalinea"/>
        <w:numPr>
          <w:ilvl w:val="0"/>
          <w:numId w:val="4"/>
        </w:numPr>
        <w:spacing w:before="200" w:after="0"/>
        <w:ind w:left="0" w:firstLine="0"/>
        <w:jc w:val="both"/>
        <w:rPr>
          <w:rFonts w:eastAsia="Verdana" w:cs="Verdana"/>
          <w:b/>
          <w:bCs/>
          <w:szCs w:val="18"/>
          <w:lang w:val="nl-NL"/>
        </w:rPr>
      </w:pPr>
      <w:r w:rsidRPr="00A33930">
        <w:rPr>
          <w:rFonts w:eastAsia="Verdana" w:cs="Verdana"/>
          <w:szCs w:val="18"/>
          <w:lang w:val="nl-NL"/>
        </w:rPr>
        <w:t xml:space="preserve">Twee jaar na </w:t>
      </w:r>
      <w:r w:rsidR="001460DC" w:rsidRPr="00A33930">
        <w:rPr>
          <w:rFonts w:eastAsia="Verdana" w:cs="Verdana"/>
          <w:szCs w:val="18"/>
          <w:lang w:val="nl-NL"/>
        </w:rPr>
        <w:t>het ontstaan van het UVRM werd</w:t>
      </w:r>
      <w:r w:rsidRPr="00A33930">
        <w:rPr>
          <w:rFonts w:eastAsia="Verdana" w:cs="Verdana"/>
          <w:szCs w:val="18"/>
          <w:lang w:val="nl-NL"/>
        </w:rPr>
        <w:t xml:space="preserve"> in 1950 het </w:t>
      </w:r>
      <w:r w:rsidR="00690065" w:rsidRPr="00A33930">
        <w:rPr>
          <w:rFonts w:eastAsia="Verdana" w:cs="Verdana"/>
          <w:szCs w:val="18"/>
          <w:lang w:val="nl-NL"/>
        </w:rPr>
        <w:t>EVRM</w:t>
      </w:r>
      <w:r w:rsidR="001460DC" w:rsidRPr="00A33930">
        <w:rPr>
          <w:rFonts w:eastAsia="Verdana" w:cs="Verdana"/>
          <w:szCs w:val="18"/>
          <w:lang w:val="nl-NL"/>
        </w:rPr>
        <w:t xml:space="preserve"> </w:t>
      </w:r>
      <w:r w:rsidR="00FF4A11" w:rsidRPr="00A33930">
        <w:rPr>
          <w:rFonts w:eastAsia="Verdana" w:cs="Verdana"/>
          <w:szCs w:val="18"/>
          <w:lang w:val="nl-NL"/>
        </w:rPr>
        <w:t>ondertekend</w:t>
      </w:r>
      <w:r w:rsidR="00690065" w:rsidRPr="00A33930">
        <w:rPr>
          <w:rFonts w:eastAsia="Verdana" w:cs="Verdana"/>
          <w:szCs w:val="18"/>
          <w:lang w:val="nl-NL"/>
        </w:rPr>
        <w:t xml:space="preserve"> met als</w:t>
      </w:r>
      <w:r w:rsidR="00FF4A11" w:rsidRPr="00A33930">
        <w:rPr>
          <w:rFonts w:eastAsia="Verdana" w:cs="Verdana"/>
          <w:szCs w:val="18"/>
          <w:lang w:val="nl-NL"/>
        </w:rPr>
        <w:t xml:space="preserve"> doel de rechten uit het UVRM alsook de erkenning en eerbiediging van deze rechten te garanderen.</w:t>
      </w:r>
      <w:r w:rsidR="00FF4A11" w:rsidRPr="00A33930">
        <w:rPr>
          <w:rStyle w:val="Voetnootmarkering"/>
          <w:rFonts w:eastAsia="Verdana" w:cs="Verdana"/>
          <w:szCs w:val="18"/>
          <w:lang w:val="nl-NL"/>
        </w:rPr>
        <w:footnoteReference w:id="131"/>
      </w:r>
      <w:r w:rsidR="00FF4A11" w:rsidRPr="00A33930">
        <w:rPr>
          <w:rFonts w:eastAsia="Verdana" w:cs="Verdana"/>
          <w:szCs w:val="18"/>
          <w:lang w:val="nl-NL"/>
        </w:rPr>
        <w:t xml:space="preserve"> </w:t>
      </w:r>
      <w:r w:rsidR="00141D90" w:rsidRPr="00A33930">
        <w:rPr>
          <w:rFonts w:eastAsia="Verdana" w:cs="Verdana"/>
          <w:szCs w:val="18"/>
          <w:lang w:val="nl-NL"/>
        </w:rPr>
        <w:t xml:space="preserve">Het Europees recht bouwt voort op </w:t>
      </w:r>
      <w:r w:rsidR="00AA0B6E" w:rsidRPr="00A33930">
        <w:rPr>
          <w:rFonts w:eastAsia="Verdana" w:cs="Verdana"/>
          <w:szCs w:val="18"/>
          <w:lang w:val="nl-NL"/>
        </w:rPr>
        <w:t xml:space="preserve">de </w:t>
      </w:r>
      <w:r w:rsidR="00141D90" w:rsidRPr="00A33930">
        <w:rPr>
          <w:rFonts w:eastAsia="Verdana" w:cs="Verdana"/>
          <w:szCs w:val="18"/>
          <w:lang w:val="nl-NL"/>
        </w:rPr>
        <w:t>bestaande internationale maatregelen.</w:t>
      </w:r>
      <w:r w:rsidR="00141D90" w:rsidRPr="00A33930">
        <w:rPr>
          <w:rStyle w:val="Voetnootmarkering"/>
          <w:rFonts w:eastAsia="Verdana" w:cs="Verdana"/>
          <w:szCs w:val="18"/>
          <w:lang w:val="nl-NL"/>
        </w:rPr>
        <w:footnoteReference w:id="132"/>
      </w:r>
      <w:r w:rsidR="00141D90" w:rsidRPr="00A33930">
        <w:rPr>
          <w:rFonts w:eastAsia="Verdana" w:cs="Verdana"/>
          <w:szCs w:val="18"/>
          <w:lang w:val="nl-NL"/>
        </w:rPr>
        <w:t xml:space="preserve"> </w:t>
      </w:r>
      <w:r w:rsidR="00D55404" w:rsidRPr="00A33930">
        <w:rPr>
          <w:rFonts w:eastAsia="Verdana" w:cs="Verdana"/>
          <w:szCs w:val="18"/>
          <w:lang w:val="nl-NL"/>
        </w:rPr>
        <w:t>Het EVRM waarborgt voornamelijk burgerlijke en politieke rechten.</w:t>
      </w:r>
      <w:r w:rsidR="00D55404" w:rsidRPr="00A33930">
        <w:rPr>
          <w:rStyle w:val="Voetnootmarkering"/>
          <w:rFonts w:eastAsia="Verdana" w:cs="Verdana"/>
          <w:szCs w:val="18"/>
          <w:lang w:val="nl-NL"/>
        </w:rPr>
        <w:footnoteReference w:id="133"/>
      </w:r>
      <w:r w:rsidR="00D55404" w:rsidRPr="00A33930">
        <w:rPr>
          <w:rFonts w:eastAsia="Verdana" w:cs="Verdana"/>
          <w:szCs w:val="18"/>
          <w:lang w:val="nl-NL"/>
        </w:rPr>
        <w:t xml:space="preserve"> </w:t>
      </w:r>
      <w:r w:rsidR="00432C26" w:rsidRPr="00A33930">
        <w:rPr>
          <w:rFonts w:eastAsia="Verdana" w:cs="Verdana"/>
          <w:szCs w:val="18"/>
          <w:lang w:val="nl-NL"/>
        </w:rPr>
        <w:t>Hierbij</w:t>
      </w:r>
      <w:r w:rsidR="005673EC" w:rsidRPr="00A33930">
        <w:rPr>
          <w:rFonts w:eastAsia="Verdana" w:cs="Verdana"/>
          <w:szCs w:val="18"/>
          <w:lang w:val="nl-NL"/>
        </w:rPr>
        <w:t xml:space="preserve"> </w:t>
      </w:r>
      <w:r w:rsidR="005441C7" w:rsidRPr="00A33930">
        <w:rPr>
          <w:rFonts w:eastAsia="Verdana" w:cs="Verdana"/>
          <w:szCs w:val="18"/>
          <w:lang w:val="nl-NL"/>
        </w:rPr>
        <w:t xml:space="preserve">vormt </w:t>
      </w:r>
      <w:r w:rsidR="00432C26" w:rsidRPr="00A33930">
        <w:rPr>
          <w:rFonts w:eastAsia="Verdana" w:cs="Verdana"/>
          <w:szCs w:val="18"/>
          <w:lang w:val="nl-NL"/>
        </w:rPr>
        <w:t xml:space="preserve">het </w:t>
      </w:r>
      <w:r w:rsidR="005441C7" w:rsidRPr="00A33930">
        <w:rPr>
          <w:rFonts w:eastAsia="Verdana" w:cs="Verdana"/>
          <w:szCs w:val="18"/>
          <w:lang w:val="nl-NL"/>
        </w:rPr>
        <w:t>een belangrijke hoeksteen voor de mensenrechten</w:t>
      </w:r>
      <w:r w:rsidR="00432C26" w:rsidRPr="00A33930">
        <w:rPr>
          <w:rFonts w:eastAsia="Verdana" w:cs="Verdana"/>
          <w:szCs w:val="18"/>
          <w:lang w:val="nl-NL"/>
        </w:rPr>
        <w:t>,</w:t>
      </w:r>
      <w:r w:rsidR="005441C7" w:rsidRPr="00A33930">
        <w:rPr>
          <w:rFonts w:eastAsia="Verdana" w:cs="Verdana"/>
          <w:szCs w:val="18"/>
          <w:lang w:val="nl-NL"/>
        </w:rPr>
        <w:t xml:space="preserve"> maar </w:t>
      </w:r>
      <w:r w:rsidR="00432C26" w:rsidRPr="00A33930">
        <w:rPr>
          <w:rFonts w:eastAsia="Verdana" w:cs="Verdana"/>
          <w:szCs w:val="18"/>
          <w:lang w:val="nl-NL"/>
        </w:rPr>
        <w:t>het EVRM bevat</w:t>
      </w:r>
      <w:r w:rsidR="005673EC" w:rsidRPr="00A33930">
        <w:rPr>
          <w:rFonts w:eastAsia="Verdana" w:cs="Verdana"/>
          <w:szCs w:val="18"/>
          <w:lang w:val="nl-NL"/>
        </w:rPr>
        <w:t xml:space="preserve"> </w:t>
      </w:r>
      <w:r w:rsidR="000C67D5" w:rsidRPr="00A33930">
        <w:rPr>
          <w:rFonts w:eastAsia="Verdana" w:cs="Verdana"/>
          <w:szCs w:val="18"/>
          <w:lang w:val="nl-NL"/>
        </w:rPr>
        <w:t xml:space="preserve">eigenlijk </w:t>
      </w:r>
      <w:r w:rsidR="005673EC" w:rsidRPr="00A33930">
        <w:rPr>
          <w:rFonts w:eastAsia="Verdana" w:cs="Verdana"/>
          <w:szCs w:val="18"/>
          <w:lang w:val="nl-NL"/>
        </w:rPr>
        <w:t>algemene</w:t>
      </w:r>
      <w:r w:rsidR="00432C26" w:rsidRPr="00A33930">
        <w:rPr>
          <w:rFonts w:eastAsia="Verdana" w:cs="Verdana"/>
          <w:szCs w:val="18"/>
          <w:lang w:val="nl-NL"/>
        </w:rPr>
        <w:t xml:space="preserve"> en</w:t>
      </w:r>
      <w:r w:rsidR="005673EC" w:rsidRPr="00A33930">
        <w:rPr>
          <w:rFonts w:eastAsia="Verdana" w:cs="Verdana"/>
          <w:szCs w:val="18"/>
          <w:lang w:val="nl-NL"/>
        </w:rPr>
        <w:t xml:space="preserve"> abstracte </w:t>
      </w:r>
      <w:r w:rsidR="005441C7" w:rsidRPr="00A33930">
        <w:rPr>
          <w:rFonts w:eastAsia="Verdana" w:cs="Verdana"/>
          <w:szCs w:val="18"/>
          <w:lang w:val="nl-NL"/>
        </w:rPr>
        <w:t>bepalingen</w:t>
      </w:r>
      <w:r w:rsidR="005673EC" w:rsidRPr="00A33930">
        <w:rPr>
          <w:rFonts w:eastAsia="Verdana" w:cs="Verdana"/>
          <w:szCs w:val="18"/>
          <w:lang w:val="nl-NL"/>
        </w:rPr>
        <w:t xml:space="preserve"> zonder </w:t>
      </w:r>
      <w:r w:rsidR="00FF4A11" w:rsidRPr="00A33930">
        <w:rPr>
          <w:rFonts w:eastAsia="Verdana" w:cs="Verdana"/>
          <w:szCs w:val="18"/>
          <w:lang w:val="nl-NL"/>
        </w:rPr>
        <w:t>een</w:t>
      </w:r>
      <w:r w:rsidR="00154AA6" w:rsidRPr="00A33930">
        <w:rPr>
          <w:rFonts w:eastAsia="Verdana" w:cs="Verdana"/>
          <w:szCs w:val="18"/>
          <w:lang w:val="nl-NL"/>
        </w:rPr>
        <w:t xml:space="preserve"> specifieke </w:t>
      </w:r>
      <w:r w:rsidR="004B153D" w:rsidRPr="00A33930">
        <w:rPr>
          <w:rFonts w:eastAsia="Verdana" w:cs="Verdana"/>
          <w:szCs w:val="18"/>
          <w:lang w:val="nl-NL"/>
        </w:rPr>
        <w:t>vermelding</w:t>
      </w:r>
      <w:r w:rsidR="00154AA6" w:rsidRPr="00A33930">
        <w:rPr>
          <w:rFonts w:eastAsia="Verdana" w:cs="Verdana"/>
          <w:szCs w:val="18"/>
          <w:lang w:val="nl-NL"/>
        </w:rPr>
        <w:t xml:space="preserve"> </w:t>
      </w:r>
      <w:r w:rsidR="00FF4A11" w:rsidRPr="00A33930">
        <w:rPr>
          <w:rFonts w:eastAsia="Verdana" w:cs="Verdana"/>
          <w:szCs w:val="18"/>
          <w:lang w:val="nl-NL"/>
        </w:rPr>
        <w:t xml:space="preserve">te maken </w:t>
      </w:r>
      <w:r w:rsidR="004B153D" w:rsidRPr="00A33930">
        <w:rPr>
          <w:rFonts w:eastAsia="Verdana" w:cs="Verdana"/>
          <w:szCs w:val="18"/>
          <w:lang w:val="nl-NL"/>
        </w:rPr>
        <w:t>van</w:t>
      </w:r>
      <w:r w:rsidR="00154AA6" w:rsidRPr="00A33930">
        <w:rPr>
          <w:rFonts w:eastAsia="Verdana" w:cs="Verdana"/>
          <w:szCs w:val="18"/>
          <w:lang w:val="nl-NL"/>
        </w:rPr>
        <w:t xml:space="preserve"> </w:t>
      </w:r>
      <w:r w:rsidR="004B153D" w:rsidRPr="00A33930">
        <w:rPr>
          <w:rFonts w:eastAsia="Verdana" w:cs="Verdana"/>
          <w:szCs w:val="18"/>
          <w:lang w:val="nl-NL"/>
        </w:rPr>
        <w:t>kinderrechten</w:t>
      </w:r>
      <w:r w:rsidR="000C67D5" w:rsidRPr="00A33930">
        <w:rPr>
          <w:rFonts w:eastAsia="Verdana" w:cs="Verdana"/>
          <w:szCs w:val="18"/>
          <w:lang w:val="nl-NL"/>
        </w:rPr>
        <w:t>.</w:t>
      </w:r>
      <w:r w:rsidR="000C67D5" w:rsidRPr="00A33930">
        <w:rPr>
          <w:rStyle w:val="Voetnootmarkering"/>
          <w:rFonts w:eastAsia="Verdana" w:cs="Verdana"/>
          <w:szCs w:val="18"/>
          <w:lang w:val="nl-NL"/>
        </w:rPr>
        <w:footnoteReference w:id="134"/>
      </w:r>
      <w:r w:rsidR="00154AA6" w:rsidRPr="00A33930">
        <w:rPr>
          <w:rFonts w:eastAsia="Verdana" w:cs="Verdana"/>
          <w:szCs w:val="18"/>
          <w:lang w:val="nl-NL"/>
        </w:rPr>
        <w:t xml:space="preserve"> </w:t>
      </w:r>
      <w:r w:rsidR="00FF4A11" w:rsidRPr="00A33930">
        <w:rPr>
          <w:rFonts w:eastAsia="Verdana" w:cs="Verdana"/>
          <w:szCs w:val="18"/>
          <w:lang w:val="nl-NL"/>
        </w:rPr>
        <w:t>De preambule maakt</w:t>
      </w:r>
      <w:r w:rsidR="001B50FD" w:rsidRPr="00A33930">
        <w:rPr>
          <w:rFonts w:eastAsia="Verdana" w:cs="Verdana"/>
          <w:szCs w:val="18"/>
          <w:lang w:val="nl-NL"/>
        </w:rPr>
        <w:t xml:space="preserve"> echter </w:t>
      </w:r>
      <w:r w:rsidR="00FF4A11" w:rsidRPr="00A33930">
        <w:rPr>
          <w:rFonts w:eastAsia="Verdana" w:cs="Verdana"/>
          <w:szCs w:val="18"/>
          <w:lang w:val="nl-NL"/>
        </w:rPr>
        <w:t>vermelding van “rechten gemeenschappelijk aan alle familieleden”</w:t>
      </w:r>
      <w:r w:rsidR="003E0561" w:rsidRPr="00A33930">
        <w:rPr>
          <w:rFonts w:eastAsia="Verdana" w:cs="Verdana"/>
          <w:szCs w:val="18"/>
          <w:lang w:val="nl-NL"/>
        </w:rPr>
        <w:t xml:space="preserve"> en omvat </w:t>
      </w:r>
      <w:r w:rsidR="00FF4A11" w:rsidRPr="00A33930">
        <w:rPr>
          <w:rFonts w:eastAsia="Verdana" w:cs="Verdana"/>
          <w:szCs w:val="18"/>
          <w:lang w:val="nl-NL"/>
        </w:rPr>
        <w:t>een indirecte verwijzing naar het kind.</w:t>
      </w:r>
      <w:r w:rsidR="00FF4A11" w:rsidRPr="00A33930">
        <w:rPr>
          <w:rStyle w:val="Voetnootmarkering"/>
          <w:rFonts w:eastAsia="Verdana" w:cs="Verdana"/>
          <w:szCs w:val="18"/>
          <w:lang w:val="nl-NL"/>
        </w:rPr>
        <w:footnoteReference w:id="135"/>
      </w:r>
      <w:r w:rsidR="00FF4A11" w:rsidRPr="00A33930">
        <w:rPr>
          <w:rFonts w:eastAsia="Verdana" w:cs="Verdana"/>
          <w:szCs w:val="18"/>
          <w:lang w:val="nl-NL"/>
        </w:rPr>
        <w:t xml:space="preserve"> </w:t>
      </w:r>
      <w:r w:rsidR="005673EC" w:rsidRPr="00A33930">
        <w:rPr>
          <w:rFonts w:eastAsia="Verdana" w:cs="Verdana"/>
          <w:szCs w:val="18"/>
          <w:lang w:val="nl-NL"/>
        </w:rPr>
        <w:t>De</w:t>
      </w:r>
      <w:r w:rsidR="00EB7105" w:rsidRPr="00A33930">
        <w:rPr>
          <w:rFonts w:eastAsia="Verdana" w:cs="Verdana"/>
          <w:szCs w:val="18"/>
          <w:lang w:val="nl-NL"/>
        </w:rPr>
        <w:t xml:space="preserve"> rechten</w:t>
      </w:r>
      <w:r w:rsidR="005673EC" w:rsidRPr="00A33930">
        <w:rPr>
          <w:rFonts w:eastAsia="Verdana" w:cs="Verdana"/>
          <w:szCs w:val="18"/>
          <w:lang w:val="nl-NL"/>
        </w:rPr>
        <w:t xml:space="preserve"> uit het EVRM</w:t>
      </w:r>
      <w:r w:rsidR="00EB7105" w:rsidRPr="00A33930">
        <w:rPr>
          <w:rFonts w:eastAsia="Verdana" w:cs="Verdana"/>
          <w:szCs w:val="18"/>
          <w:lang w:val="nl-NL"/>
        </w:rPr>
        <w:t xml:space="preserve"> zijn</w:t>
      </w:r>
      <w:r w:rsidR="00FF4A11" w:rsidRPr="00A33930">
        <w:rPr>
          <w:rFonts w:eastAsia="Verdana" w:cs="Verdana"/>
          <w:szCs w:val="18"/>
          <w:lang w:val="nl-NL"/>
        </w:rPr>
        <w:t xml:space="preserve"> dan ook</w:t>
      </w:r>
      <w:r w:rsidR="00EB7105" w:rsidRPr="00A33930">
        <w:rPr>
          <w:rFonts w:eastAsia="Verdana" w:cs="Verdana"/>
          <w:szCs w:val="18"/>
          <w:lang w:val="nl-NL"/>
        </w:rPr>
        <w:t xml:space="preserve"> zowel van toepassing op volwassenen als </w:t>
      </w:r>
      <w:r w:rsidR="005673EC" w:rsidRPr="00A33930">
        <w:rPr>
          <w:rFonts w:eastAsia="Verdana" w:cs="Verdana"/>
          <w:szCs w:val="18"/>
          <w:lang w:val="nl-NL"/>
        </w:rPr>
        <w:t xml:space="preserve">op </w:t>
      </w:r>
      <w:r w:rsidR="00EB7105" w:rsidRPr="00A33930">
        <w:rPr>
          <w:rFonts w:eastAsia="Verdana" w:cs="Verdana"/>
          <w:szCs w:val="18"/>
          <w:lang w:val="nl-NL"/>
        </w:rPr>
        <w:t>kinderen</w:t>
      </w:r>
      <w:r w:rsidR="00154AA6" w:rsidRPr="00A33930">
        <w:rPr>
          <w:rFonts w:eastAsia="Verdana" w:cs="Verdana"/>
          <w:szCs w:val="18"/>
          <w:lang w:val="nl-NL"/>
        </w:rPr>
        <w:t>.</w:t>
      </w:r>
      <w:r w:rsidR="00EB7105" w:rsidRPr="00A33930">
        <w:rPr>
          <w:rStyle w:val="Voetnootmarkering"/>
          <w:rFonts w:eastAsia="Verdana" w:cs="Verdana"/>
          <w:szCs w:val="18"/>
          <w:lang w:val="nl-NL"/>
        </w:rPr>
        <w:footnoteReference w:id="136"/>
      </w:r>
      <w:r w:rsidR="00154AA6" w:rsidRPr="00A33930">
        <w:rPr>
          <w:rFonts w:eastAsia="Verdana" w:cs="Verdana"/>
          <w:szCs w:val="18"/>
          <w:lang w:val="nl-NL"/>
        </w:rPr>
        <w:t xml:space="preserve"> </w:t>
      </w:r>
      <w:r w:rsidR="00690065" w:rsidRPr="00A33930">
        <w:rPr>
          <w:rFonts w:eastAsia="Verdana" w:cs="Verdana"/>
          <w:szCs w:val="18"/>
          <w:lang w:val="nl-NL"/>
        </w:rPr>
        <w:t xml:space="preserve">Voor dit onderzoek is </w:t>
      </w:r>
      <w:r w:rsidR="00304072" w:rsidRPr="00A33930">
        <w:rPr>
          <w:rFonts w:eastAsia="Verdana" w:cs="Verdana"/>
          <w:szCs w:val="18"/>
          <w:lang w:val="nl-NL"/>
        </w:rPr>
        <w:t xml:space="preserve">voornamelijk </w:t>
      </w:r>
      <w:r w:rsidR="00690065" w:rsidRPr="00A33930">
        <w:rPr>
          <w:rFonts w:eastAsia="Verdana" w:cs="Verdana"/>
          <w:szCs w:val="18"/>
          <w:lang w:val="nl-NL"/>
        </w:rPr>
        <w:t>artikel 8 EVRM betreffende het recht op eerbiediging van het privé-, gezins- en familieleven relevant.</w:t>
      </w:r>
    </w:p>
    <w:p w14:paraId="5B90EFCE" w14:textId="77777777" w:rsidR="00B44F57" w:rsidRPr="00A33930" w:rsidRDefault="00B44F57" w:rsidP="00B44F57">
      <w:pPr>
        <w:pStyle w:val="Lijstalinea"/>
        <w:spacing w:before="200" w:after="0"/>
        <w:ind w:left="0"/>
        <w:jc w:val="both"/>
        <w:rPr>
          <w:rFonts w:eastAsia="Verdana" w:cs="Verdana"/>
          <w:b/>
          <w:bCs/>
          <w:szCs w:val="18"/>
          <w:lang w:val="nl-NL"/>
        </w:rPr>
      </w:pPr>
    </w:p>
    <w:p w14:paraId="6047EC74" w14:textId="064CF55D" w:rsidR="0056393E" w:rsidRPr="00A33930" w:rsidRDefault="00141D90" w:rsidP="001B50FD">
      <w:pPr>
        <w:pStyle w:val="Lijstalinea"/>
        <w:numPr>
          <w:ilvl w:val="0"/>
          <w:numId w:val="4"/>
        </w:numPr>
        <w:spacing w:before="200" w:after="0"/>
        <w:ind w:left="0" w:firstLine="0"/>
        <w:jc w:val="both"/>
        <w:rPr>
          <w:rFonts w:eastAsia="Verdana" w:cs="Verdana"/>
          <w:b/>
          <w:bCs/>
          <w:szCs w:val="18"/>
          <w:lang w:val="nl-NL"/>
        </w:rPr>
      </w:pPr>
      <w:r w:rsidRPr="00A33930">
        <w:rPr>
          <w:rFonts w:eastAsia="Verdana" w:cs="Verdana"/>
          <w:szCs w:val="18"/>
          <w:lang w:val="nl-NL"/>
        </w:rPr>
        <w:t xml:space="preserve">In het EU-recht </w:t>
      </w:r>
      <w:r w:rsidR="00AA0B6E" w:rsidRPr="00A33930">
        <w:rPr>
          <w:rFonts w:eastAsia="Verdana" w:cs="Verdana"/>
          <w:szCs w:val="18"/>
          <w:lang w:val="nl-NL"/>
        </w:rPr>
        <w:t>wordt</w:t>
      </w:r>
      <w:r w:rsidRPr="00A33930">
        <w:rPr>
          <w:rFonts w:eastAsia="Verdana" w:cs="Verdana"/>
          <w:szCs w:val="18"/>
          <w:lang w:val="nl-NL"/>
        </w:rPr>
        <w:t xml:space="preserve"> geen universele definitie van het kind </w:t>
      </w:r>
      <w:r w:rsidR="00AA0B6E" w:rsidRPr="00A33930">
        <w:rPr>
          <w:rFonts w:eastAsia="Verdana" w:cs="Verdana"/>
          <w:szCs w:val="18"/>
          <w:lang w:val="nl-NL"/>
        </w:rPr>
        <w:t>ingeschreven</w:t>
      </w:r>
      <w:r w:rsidRPr="00A33930">
        <w:rPr>
          <w:rFonts w:eastAsia="Verdana" w:cs="Verdana"/>
          <w:szCs w:val="18"/>
          <w:lang w:val="nl-NL"/>
        </w:rPr>
        <w:t>.</w:t>
      </w:r>
      <w:r w:rsidRPr="00A33930">
        <w:rPr>
          <w:rStyle w:val="Voetnootmarkering"/>
          <w:rFonts w:eastAsia="Verdana" w:cs="Verdana"/>
          <w:szCs w:val="18"/>
          <w:lang w:val="nl-NL"/>
        </w:rPr>
        <w:footnoteReference w:id="137"/>
      </w:r>
      <w:r w:rsidRPr="00A33930">
        <w:rPr>
          <w:rFonts w:eastAsia="Verdana" w:cs="Verdana"/>
          <w:szCs w:val="18"/>
          <w:lang w:val="nl-NL"/>
        </w:rPr>
        <w:t xml:space="preserve"> </w:t>
      </w:r>
      <w:r w:rsidR="00AA0B6E" w:rsidRPr="00A33930">
        <w:rPr>
          <w:rFonts w:eastAsia="Verdana" w:cs="Verdana"/>
          <w:szCs w:val="18"/>
          <w:lang w:val="nl-NL"/>
        </w:rPr>
        <w:t>Het gevolg hiervan is dat er</w:t>
      </w:r>
      <w:r w:rsidRPr="00A33930">
        <w:rPr>
          <w:rFonts w:eastAsia="Verdana" w:cs="Verdana"/>
          <w:szCs w:val="18"/>
          <w:lang w:val="nl-NL"/>
        </w:rPr>
        <w:t xml:space="preserve"> sterk uiteenlopende definities </w:t>
      </w:r>
      <w:r w:rsidR="00AA0B6E" w:rsidRPr="00A33930">
        <w:rPr>
          <w:rFonts w:eastAsia="Verdana" w:cs="Verdana"/>
          <w:szCs w:val="18"/>
          <w:lang w:val="nl-NL"/>
        </w:rPr>
        <w:t xml:space="preserve">bestaan per </w:t>
      </w:r>
      <w:r w:rsidR="00690065" w:rsidRPr="00A33930">
        <w:rPr>
          <w:rFonts w:eastAsia="Verdana" w:cs="Verdana"/>
          <w:szCs w:val="18"/>
          <w:lang w:val="nl-NL"/>
        </w:rPr>
        <w:t>rechtsdomein</w:t>
      </w:r>
      <w:r w:rsidRPr="00A33930">
        <w:rPr>
          <w:rFonts w:eastAsia="Verdana" w:cs="Verdana"/>
          <w:szCs w:val="18"/>
          <w:lang w:val="nl-NL"/>
        </w:rPr>
        <w:t>.</w:t>
      </w:r>
      <w:r w:rsidRPr="00A33930">
        <w:rPr>
          <w:rStyle w:val="Voetnootmarkering"/>
          <w:rFonts w:eastAsia="Verdana" w:cs="Verdana"/>
          <w:szCs w:val="18"/>
          <w:lang w:val="nl-NL"/>
        </w:rPr>
        <w:footnoteReference w:id="138"/>
      </w:r>
      <w:r w:rsidR="003E757A" w:rsidRPr="00A33930">
        <w:rPr>
          <w:rFonts w:eastAsia="Verdana" w:cs="Verdana"/>
          <w:szCs w:val="18"/>
          <w:lang w:val="nl-NL"/>
        </w:rPr>
        <w:t xml:space="preserve"> </w:t>
      </w:r>
      <w:r w:rsidRPr="00A33930">
        <w:rPr>
          <w:rFonts w:eastAsia="Verdana" w:cs="Verdana"/>
          <w:szCs w:val="18"/>
          <w:lang w:val="nl-NL"/>
        </w:rPr>
        <w:t xml:space="preserve">Op </w:t>
      </w:r>
      <w:r w:rsidR="003E0561" w:rsidRPr="00A33930">
        <w:rPr>
          <w:rFonts w:eastAsia="Verdana" w:cs="Verdana"/>
          <w:szCs w:val="18"/>
          <w:lang w:val="nl-NL"/>
        </w:rPr>
        <w:t>bepaalde</w:t>
      </w:r>
      <w:r w:rsidRPr="00A33930">
        <w:rPr>
          <w:rFonts w:eastAsia="Verdana" w:cs="Verdana"/>
          <w:szCs w:val="18"/>
          <w:lang w:val="nl-NL"/>
        </w:rPr>
        <w:t xml:space="preserve"> gebieden binnen het EU-recht zoals </w:t>
      </w:r>
      <w:r w:rsidR="003E0561" w:rsidRPr="00A33930">
        <w:rPr>
          <w:rFonts w:eastAsia="Verdana" w:cs="Verdana"/>
          <w:szCs w:val="18"/>
          <w:lang w:val="nl-NL"/>
        </w:rPr>
        <w:t xml:space="preserve">de </w:t>
      </w:r>
      <w:r w:rsidRPr="00A33930">
        <w:rPr>
          <w:rFonts w:eastAsia="Verdana" w:cs="Verdana"/>
          <w:szCs w:val="18"/>
          <w:lang w:val="nl-NL"/>
        </w:rPr>
        <w:t xml:space="preserve">sociale zekerheid en </w:t>
      </w:r>
      <w:r w:rsidR="003E0561" w:rsidRPr="00A33930">
        <w:rPr>
          <w:rFonts w:eastAsia="Verdana" w:cs="Verdana"/>
          <w:szCs w:val="18"/>
          <w:lang w:val="nl-NL"/>
        </w:rPr>
        <w:t xml:space="preserve">het </w:t>
      </w:r>
      <w:r w:rsidRPr="00A33930">
        <w:rPr>
          <w:rFonts w:eastAsia="Verdana" w:cs="Verdana"/>
          <w:szCs w:val="18"/>
          <w:lang w:val="nl-NL"/>
        </w:rPr>
        <w:t>onderwijs, bepaalt</w:t>
      </w:r>
      <w:r w:rsidR="003E0561" w:rsidRPr="00A33930">
        <w:rPr>
          <w:rFonts w:eastAsia="Verdana" w:cs="Verdana"/>
          <w:szCs w:val="18"/>
          <w:lang w:val="nl-NL"/>
        </w:rPr>
        <w:t xml:space="preserve"> </w:t>
      </w:r>
      <w:r w:rsidRPr="00A33930">
        <w:rPr>
          <w:rFonts w:eastAsia="Verdana" w:cs="Verdana"/>
          <w:szCs w:val="18"/>
          <w:lang w:val="nl-NL"/>
        </w:rPr>
        <w:t xml:space="preserve">het nationale recht wie </w:t>
      </w:r>
      <w:r w:rsidR="003E0561" w:rsidRPr="00A33930">
        <w:rPr>
          <w:rFonts w:eastAsia="Verdana" w:cs="Verdana"/>
          <w:szCs w:val="18"/>
          <w:lang w:val="nl-NL"/>
        </w:rPr>
        <w:t>als</w:t>
      </w:r>
      <w:r w:rsidRPr="00A33930">
        <w:rPr>
          <w:rFonts w:eastAsia="Verdana" w:cs="Verdana"/>
          <w:szCs w:val="18"/>
          <w:lang w:val="nl-NL"/>
        </w:rPr>
        <w:t xml:space="preserve"> kind </w:t>
      </w:r>
      <w:r w:rsidR="003E0561" w:rsidRPr="00A33930">
        <w:rPr>
          <w:rFonts w:eastAsia="Verdana" w:cs="Verdana"/>
          <w:szCs w:val="18"/>
          <w:lang w:val="nl-NL"/>
        </w:rPr>
        <w:t>wordt beschouwd</w:t>
      </w:r>
      <w:r w:rsidRPr="00A33930">
        <w:rPr>
          <w:rFonts w:eastAsia="Verdana" w:cs="Verdana"/>
          <w:szCs w:val="18"/>
          <w:lang w:val="nl-NL"/>
        </w:rPr>
        <w:t xml:space="preserve"> maar wordt meestal de definitie uit het IVRK toegepast.</w:t>
      </w:r>
      <w:r w:rsidRPr="00A33930">
        <w:rPr>
          <w:rStyle w:val="Voetnootmarkering"/>
          <w:rFonts w:eastAsia="Verdana" w:cs="Verdana"/>
          <w:szCs w:val="18"/>
          <w:lang w:val="nl-NL"/>
        </w:rPr>
        <w:footnoteReference w:id="139"/>
      </w:r>
      <w:r w:rsidRPr="00A33930">
        <w:rPr>
          <w:rFonts w:eastAsia="Verdana" w:cs="Verdana"/>
          <w:szCs w:val="18"/>
          <w:lang w:val="nl-NL"/>
        </w:rPr>
        <w:t xml:space="preserve"> Ook binnen het RvE-recht, wordt teruggegrepen naar de definitie uit het IVRK</w:t>
      </w:r>
      <w:r w:rsidR="001B50FD" w:rsidRPr="00A33930">
        <w:rPr>
          <w:rFonts w:eastAsia="Verdana" w:cs="Verdana"/>
          <w:szCs w:val="18"/>
          <w:lang w:val="nl-NL"/>
        </w:rPr>
        <w:t xml:space="preserve"> (</w:t>
      </w:r>
      <w:r w:rsidR="001B50FD" w:rsidRPr="00A33930">
        <w:rPr>
          <w:rFonts w:eastAsia="Verdana" w:cs="Verdana"/>
          <w:i/>
          <w:iCs/>
          <w:szCs w:val="18"/>
          <w:lang w:val="nl-NL"/>
        </w:rPr>
        <w:t>supra</w:t>
      </w:r>
      <w:r w:rsidR="001B50FD" w:rsidRPr="00A33930">
        <w:rPr>
          <w:rFonts w:eastAsia="Verdana" w:cs="Verdana"/>
          <w:szCs w:val="18"/>
          <w:lang w:val="nl-NL"/>
        </w:rPr>
        <w:t xml:space="preserve">, nr. </w:t>
      </w:r>
      <w:r w:rsidR="004B153D" w:rsidRPr="00A33930">
        <w:rPr>
          <w:rFonts w:eastAsia="Verdana" w:cs="Verdana"/>
          <w:szCs w:val="18"/>
          <w:lang w:val="nl-NL"/>
        </w:rPr>
        <w:t>26</w:t>
      </w:r>
      <w:r w:rsidR="001B50FD" w:rsidRPr="00A33930">
        <w:rPr>
          <w:rFonts w:eastAsia="Verdana" w:cs="Verdana"/>
          <w:szCs w:val="18"/>
          <w:lang w:val="nl-NL"/>
        </w:rPr>
        <w:t>)</w:t>
      </w:r>
      <w:r w:rsidRPr="00A33930">
        <w:rPr>
          <w:rFonts w:eastAsia="Verdana" w:cs="Verdana"/>
          <w:szCs w:val="18"/>
          <w:lang w:val="nl-NL"/>
        </w:rPr>
        <w:t>.</w:t>
      </w:r>
      <w:r w:rsidRPr="00A33930">
        <w:rPr>
          <w:rStyle w:val="Voetnootmarkering"/>
          <w:rFonts w:eastAsia="Verdana" w:cs="Verdana"/>
          <w:szCs w:val="18"/>
          <w:lang w:val="nl-NL"/>
        </w:rPr>
        <w:footnoteReference w:id="140"/>
      </w:r>
    </w:p>
    <w:p w14:paraId="7457B04A" w14:textId="6945C557" w:rsidR="00B44F57" w:rsidRPr="00A33930" w:rsidRDefault="00DB6174" w:rsidP="00AE1FC7">
      <w:pPr>
        <w:pStyle w:val="Kop3"/>
        <w:numPr>
          <w:ilvl w:val="0"/>
          <w:numId w:val="0"/>
        </w:numPr>
        <w:spacing w:before="360"/>
        <w:ind w:left="357" w:hanging="357"/>
        <w:jc w:val="both"/>
        <w:rPr>
          <w:lang w:val="nl-NL"/>
        </w:rPr>
      </w:pPr>
      <w:bookmarkStart w:id="19" w:name="_Toc134621178"/>
      <w:r w:rsidRPr="00A33930">
        <w:rPr>
          <w:lang w:val="nl-NL"/>
        </w:rPr>
        <w:lastRenderedPageBreak/>
        <w:t>Afdeling II</w:t>
      </w:r>
      <w:r w:rsidR="00894D01" w:rsidRPr="00A33930">
        <w:rPr>
          <w:lang w:val="nl-NL"/>
        </w:rPr>
        <w:t>.</w:t>
      </w:r>
      <w:r w:rsidR="0097678D" w:rsidRPr="00A33930">
        <w:rPr>
          <w:lang w:val="nl-NL"/>
        </w:rPr>
        <w:tab/>
      </w:r>
      <w:r w:rsidR="0097678D" w:rsidRPr="00A33930">
        <w:rPr>
          <w:lang w:val="nl-NL"/>
        </w:rPr>
        <w:tab/>
      </w:r>
      <w:r w:rsidR="00894D01" w:rsidRPr="00A33930">
        <w:rPr>
          <w:lang w:val="nl-NL"/>
        </w:rPr>
        <w:t>Juridische doorwerking</w:t>
      </w:r>
      <w:bookmarkEnd w:id="19"/>
    </w:p>
    <w:p w14:paraId="5F9629F5" w14:textId="1ED473F9" w:rsidR="00D14322" w:rsidRPr="00A33930" w:rsidRDefault="003E0561" w:rsidP="00D14322">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België, Nederland en Duitsland ondertekenden het EVRM op 4 november 1950. Met ratificatie en inwerkingtreding op 14 juni 1955 zijn de mensenrechtelijke verplichtingen in de Belgische regelgeving geïmplementeerd. Duitsland ratificeerde het EVRM op 5 december 1952, met inwerkingtreding op 3 september 1953. In Nederland vond de ratificatie en inwerkingtreding plaats op 31 augustus 195</w:t>
      </w:r>
      <w:r w:rsidR="000C67D5" w:rsidRPr="00A33930">
        <w:rPr>
          <w:rFonts w:eastAsia="Verdana" w:cs="Verdana"/>
          <w:szCs w:val="18"/>
          <w:lang w:val="nl-NL"/>
        </w:rPr>
        <w:t>4</w:t>
      </w:r>
      <w:r w:rsidRPr="00A33930">
        <w:rPr>
          <w:rFonts w:eastAsia="Verdana" w:cs="Verdana"/>
          <w:szCs w:val="18"/>
          <w:lang w:val="nl-NL"/>
        </w:rPr>
        <w:t>.</w:t>
      </w:r>
      <w:r w:rsidRPr="00A33930">
        <w:rPr>
          <w:rStyle w:val="Voetnootmarkering"/>
          <w:rFonts w:eastAsia="Verdana" w:cs="Verdana"/>
          <w:szCs w:val="18"/>
          <w:lang w:val="nl-NL"/>
        </w:rPr>
        <w:footnoteReference w:id="141"/>
      </w:r>
    </w:p>
    <w:p w14:paraId="5771D45F" w14:textId="77777777" w:rsidR="00D14322" w:rsidRPr="00A33930" w:rsidRDefault="00D14322" w:rsidP="00D14322">
      <w:pPr>
        <w:pStyle w:val="Lijstalinea"/>
        <w:spacing w:before="200" w:after="0"/>
        <w:ind w:left="0"/>
        <w:jc w:val="both"/>
        <w:rPr>
          <w:rFonts w:eastAsia="Verdana" w:cs="Verdana"/>
          <w:szCs w:val="18"/>
          <w:lang w:val="nl-NL"/>
        </w:rPr>
      </w:pPr>
    </w:p>
    <w:p w14:paraId="48E3F53D" w14:textId="086AD431" w:rsidR="00B35298" w:rsidRPr="00A33930" w:rsidRDefault="005441C7" w:rsidP="00D14322">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Teneinde de verplichtingen voor de Verdragsstaten te benadrukken omvat het</w:t>
      </w:r>
      <w:r w:rsidR="00714D9C" w:rsidRPr="00A33930">
        <w:rPr>
          <w:rFonts w:eastAsia="Verdana" w:cs="Verdana"/>
          <w:szCs w:val="18"/>
          <w:lang w:val="nl-NL"/>
        </w:rPr>
        <w:t xml:space="preserve"> respect</w:t>
      </w:r>
      <w:r w:rsidR="00FF4A11" w:rsidRPr="00A33930">
        <w:rPr>
          <w:rFonts w:eastAsia="Verdana" w:cs="Verdana"/>
          <w:szCs w:val="18"/>
          <w:lang w:val="nl-NL"/>
        </w:rPr>
        <w:t xml:space="preserve"> </w:t>
      </w:r>
      <w:r w:rsidR="00714D9C" w:rsidRPr="00A33930">
        <w:rPr>
          <w:rFonts w:eastAsia="Verdana" w:cs="Verdana"/>
          <w:szCs w:val="18"/>
          <w:lang w:val="nl-NL"/>
        </w:rPr>
        <w:t>voor het privé-, gezins- en familieleven uit artikel 8 EVRM zowel positieve als negatieve verplichtingen.</w:t>
      </w:r>
      <w:r w:rsidR="006A4F5A" w:rsidRPr="00A33930">
        <w:rPr>
          <w:rStyle w:val="Voetnootmarkering"/>
          <w:rFonts w:eastAsia="Verdana" w:cs="Verdana"/>
          <w:szCs w:val="18"/>
          <w:lang w:val="nl-NL"/>
        </w:rPr>
        <w:footnoteReference w:id="142"/>
      </w:r>
      <w:r w:rsidR="00714D9C" w:rsidRPr="00A33930">
        <w:rPr>
          <w:rFonts w:eastAsia="Verdana" w:cs="Verdana"/>
          <w:szCs w:val="18"/>
          <w:lang w:val="nl-NL"/>
        </w:rPr>
        <w:t xml:space="preserve"> Negatief, omdat er geen beperkingen </w:t>
      </w:r>
      <w:r w:rsidR="00B5728A" w:rsidRPr="00A33930">
        <w:rPr>
          <w:rFonts w:eastAsia="Verdana" w:cs="Verdana"/>
          <w:szCs w:val="18"/>
          <w:lang w:val="nl-NL"/>
        </w:rPr>
        <w:t>op</w:t>
      </w:r>
      <w:r w:rsidR="00714D9C" w:rsidRPr="00A33930">
        <w:rPr>
          <w:rFonts w:eastAsia="Verdana" w:cs="Verdana"/>
          <w:szCs w:val="18"/>
          <w:lang w:val="nl-NL"/>
        </w:rPr>
        <w:t xml:space="preserve"> dit recht </w:t>
      </w:r>
      <w:r w:rsidR="006A4F5A" w:rsidRPr="00A33930">
        <w:rPr>
          <w:rFonts w:eastAsia="Verdana" w:cs="Verdana"/>
          <w:szCs w:val="18"/>
          <w:lang w:val="nl-NL"/>
        </w:rPr>
        <w:t xml:space="preserve">of inmengingen met dit recht </w:t>
      </w:r>
      <w:r w:rsidR="00714D9C" w:rsidRPr="00A33930">
        <w:rPr>
          <w:rFonts w:eastAsia="Verdana" w:cs="Verdana"/>
          <w:szCs w:val="18"/>
          <w:lang w:val="nl-NL"/>
        </w:rPr>
        <w:t>zijn toegestaan</w:t>
      </w:r>
      <w:r w:rsidR="00B5728A" w:rsidRPr="00A33930">
        <w:rPr>
          <w:rFonts w:eastAsia="Verdana" w:cs="Verdana"/>
          <w:szCs w:val="18"/>
          <w:lang w:val="nl-NL"/>
        </w:rPr>
        <w:t xml:space="preserve"> tenzij door de wet bepaald</w:t>
      </w:r>
      <w:r w:rsidR="00714D9C" w:rsidRPr="00A33930">
        <w:rPr>
          <w:rFonts w:eastAsia="Verdana" w:cs="Verdana"/>
          <w:szCs w:val="18"/>
          <w:lang w:val="nl-NL"/>
        </w:rPr>
        <w:t xml:space="preserve">. Positief, anderzijds, omdat de </w:t>
      </w:r>
      <w:r w:rsidR="00304072" w:rsidRPr="00A33930">
        <w:rPr>
          <w:rFonts w:eastAsia="Verdana" w:cs="Verdana"/>
          <w:szCs w:val="18"/>
          <w:lang w:val="nl-NL"/>
        </w:rPr>
        <w:t>Verdragsstaat</w:t>
      </w:r>
      <w:r w:rsidR="00714D9C" w:rsidRPr="00A33930">
        <w:rPr>
          <w:rFonts w:eastAsia="Verdana" w:cs="Verdana"/>
          <w:szCs w:val="18"/>
          <w:lang w:val="nl-NL"/>
        </w:rPr>
        <w:t xml:space="preserve"> maatregelen </w:t>
      </w:r>
      <w:r w:rsidR="00FF4A11" w:rsidRPr="00A33930">
        <w:rPr>
          <w:rFonts w:eastAsia="Verdana" w:cs="Verdana"/>
          <w:szCs w:val="18"/>
          <w:lang w:val="nl-NL"/>
        </w:rPr>
        <w:t xml:space="preserve">en specifieke bepalingen </w:t>
      </w:r>
      <w:r w:rsidR="00714D9C" w:rsidRPr="00A33930">
        <w:rPr>
          <w:rFonts w:eastAsia="Verdana" w:cs="Verdana"/>
          <w:szCs w:val="18"/>
          <w:lang w:val="nl-NL"/>
        </w:rPr>
        <w:t>moet aannemen.</w:t>
      </w:r>
      <w:r w:rsidR="00FF4A11" w:rsidRPr="00A33930">
        <w:rPr>
          <w:rStyle w:val="Voetnootmarkering"/>
          <w:rFonts w:eastAsia="Verdana" w:cs="Verdana"/>
          <w:szCs w:val="18"/>
          <w:lang w:val="nl-NL"/>
        </w:rPr>
        <w:footnoteReference w:id="143"/>
      </w:r>
      <w:r w:rsidR="00FF4A11" w:rsidRPr="00A33930">
        <w:rPr>
          <w:rFonts w:eastAsia="Verdana" w:cs="Verdana"/>
          <w:szCs w:val="18"/>
          <w:lang w:val="nl-NL"/>
        </w:rPr>
        <w:t xml:space="preserve"> De grenzen tussen beide soorten verplichtingen zijn niet precies af te lijnen.</w:t>
      </w:r>
      <w:r w:rsidR="00FF4A11" w:rsidRPr="00A33930">
        <w:rPr>
          <w:rStyle w:val="Voetnootmarkering"/>
          <w:rFonts w:eastAsia="Verdana" w:cs="Verdana"/>
          <w:szCs w:val="18"/>
          <w:lang w:val="nl-NL"/>
        </w:rPr>
        <w:footnoteReference w:id="144"/>
      </w:r>
      <w:r w:rsidR="00714D9C" w:rsidRPr="00A33930">
        <w:rPr>
          <w:rFonts w:eastAsia="Verdana" w:cs="Verdana"/>
          <w:szCs w:val="18"/>
          <w:lang w:val="nl-NL"/>
        </w:rPr>
        <w:t xml:space="preserve"> Enkel </w:t>
      </w:r>
      <w:r w:rsidR="00432C26" w:rsidRPr="00A33930">
        <w:rPr>
          <w:rFonts w:eastAsia="Verdana" w:cs="Verdana"/>
          <w:szCs w:val="18"/>
          <w:lang w:val="nl-NL"/>
        </w:rPr>
        <w:t>middels</w:t>
      </w:r>
      <w:r w:rsidR="004B153D" w:rsidRPr="00A33930">
        <w:rPr>
          <w:rFonts w:eastAsia="Verdana" w:cs="Verdana"/>
          <w:szCs w:val="18"/>
          <w:lang w:val="nl-NL"/>
        </w:rPr>
        <w:t xml:space="preserve"> toepassing van</w:t>
      </w:r>
      <w:r w:rsidR="00714D9C" w:rsidRPr="00A33930">
        <w:rPr>
          <w:rFonts w:eastAsia="Verdana" w:cs="Verdana"/>
          <w:szCs w:val="18"/>
          <w:lang w:val="nl-NL"/>
        </w:rPr>
        <w:t xml:space="preserve"> artikel 8.2 EVRM zijn beperkingen mogelijk indien het in overeenstemming is met de wet, noodzakelijk is in een democratische samenleving en een legitiem doel dient.</w:t>
      </w:r>
      <w:r w:rsidR="000C67D5" w:rsidRPr="00A33930">
        <w:rPr>
          <w:rFonts w:eastAsia="Verdana" w:cs="Verdana"/>
          <w:szCs w:val="18"/>
          <w:lang w:val="nl-NL"/>
        </w:rPr>
        <w:t xml:space="preserve"> De </w:t>
      </w:r>
      <w:r w:rsidR="009C5E15" w:rsidRPr="00A33930">
        <w:rPr>
          <w:rFonts w:eastAsia="Verdana" w:cs="Verdana"/>
          <w:szCs w:val="18"/>
          <w:lang w:val="nl-NL"/>
        </w:rPr>
        <w:t>Verdragss</w:t>
      </w:r>
      <w:r w:rsidR="000C67D5" w:rsidRPr="00A33930">
        <w:rPr>
          <w:rFonts w:eastAsia="Verdana" w:cs="Verdana"/>
          <w:szCs w:val="18"/>
          <w:lang w:val="nl-NL"/>
        </w:rPr>
        <w:t xml:space="preserve">taten gebonden door het EVRM genieten aldus een zekere appreciatiemarge </w:t>
      </w:r>
      <w:r w:rsidR="004B153D" w:rsidRPr="00A33930">
        <w:rPr>
          <w:rFonts w:eastAsia="Verdana" w:cs="Verdana"/>
          <w:szCs w:val="18"/>
          <w:lang w:val="nl-NL"/>
        </w:rPr>
        <w:t>in de beoordeling van</w:t>
      </w:r>
      <w:r w:rsidR="000C67D5" w:rsidRPr="00A33930">
        <w:rPr>
          <w:rFonts w:eastAsia="Verdana" w:cs="Verdana"/>
          <w:szCs w:val="18"/>
          <w:lang w:val="nl-NL"/>
        </w:rPr>
        <w:t xml:space="preserve"> artikel 8 EVRM.</w:t>
      </w:r>
      <w:r w:rsidR="000C67D5" w:rsidRPr="00A33930">
        <w:rPr>
          <w:rStyle w:val="Voetnootmarkering"/>
          <w:rFonts w:eastAsia="Verdana" w:cs="Verdana"/>
          <w:szCs w:val="18"/>
          <w:lang w:val="nl-NL"/>
        </w:rPr>
        <w:footnoteReference w:id="145"/>
      </w:r>
      <w:r w:rsidR="000C67D5" w:rsidRPr="00A33930">
        <w:rPr>
          <w:rFonts w:eastAsia="Verdana" w:cs="Verdana"/>
          <w:szCs w:val="18"/>
          <w:lang w:val="nl-NL"/>
        </w:rPr>
        <w:t xml:space="preserve"> </w:t>
      </w:r>
    </w:p>
    <w:p w14:paraId="6C440032" w14:textId="77777777" w:rsidR="00B35298" w:rsidRPr="00A33930" w:rsidRDefault="00B35298" w:rsidP="00B35298">
      <w:pPr>
        <w:pStyle w:val="Lijstalinea"/>
        <w:rPr>
          <w:rFonts w:eastAsia="Verdana" w:cs="Verdana"/>
          <w:szCs w:val="18"/>
          <w:lang w:val="nl-NL"/>
        </w:rPr>
      </w:pPr>
    </w:p>
    <w:p w14:paraId="0EA9E435" w14:textId="1D2117AC" w:rsidR="0013367D" w:rsidRPr="00A33930" w:rsidRDefault="000C67D5" w:rsidP="00B35298">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Deze </w:t>
      </w:r>
      <w:r w:rsidR="00432C26" w:rsidRPr="00A33930">
        <w:rPr>
          <w:rFonts w:eastAsia="Verdana" w:cs="Verdana"/>
          <w:szCs w:val="18"/>
          <w:lang w:val="nl-NL"/>
        </w:rPr>
        <w:t>appreciatie</w:t>
      </w:r>
      <w:r w:rsidRPr="00A33930">
        <w:rPr>
          <w:rFonts w:eastAsia="Verdana" w:cs="Verdana"/>
          <w:szCs w:val="18"/>
          <w:lang w:val="nl-NL"/>
        </w:rPr>
        <w:t xml:space="preserve">marge </w:t>
      </w:r>
      <w:r w:rsidR="00432C26" w:rsidRPr="00A33930">
        <w:rPr>
          <w:rFonts w:eastAsia="Verdana" w:cs="Verdana"/>
          <w:szCs w:val="18"/>
          <w:lang w:val="nl-NL"/>
        </w:rPr>
        <w:t>is nauw</w:t>
      </w:r>
      <w:r w:rsidRPr="00A33930">
        <w:rPr>
          <w:rFonts w:eastAsia="Verdana" w:cs="Verdana"/>
          <w:szCs w:val="18"/>
          <w:lang w:val="nl-NL"/>
        </w:rPr>
        <w:t xml:space="preserve"> </w:t>
      </w:r>
      <w:r w:rsidR="00432C26" w:rsidRPr="00A33930">
        <w:rPr>
          <w:rFonts w:eastAsia="Verdana" w:cs="Verdana"/>
          <w:szCs w:val="18"/>
          <w:lang w:val="nl-NL"/>
        </w:rPr>
        <w:t>verbonden</w:t>
      </w:r>
      <w:r w:rsidRPr="00A33930">
        <w:rPr>
          <w:rFonts w:eastAsia="Verdana" w:cs="Verdana"/>
          <w:szCs w:val="18"/>
          <w:lang w:val="nl-NL"/>
        </w:rPr>
        <w:t xml:space="preserve"> met </w:t>
      </w:r>
      <w:r w:rsidR="009C5E15" w:rsidRPr="00A33930">
        <w:rPr>
          <w:rFonts w:eastAsia="Verdana" w:cs="Verdana"/>
          <w:szCs w:val="18"/>
          <w:lang w:val="nl-NL"/>
        </w:rPr>
        <w:t>de</w:t>
      </w:r>
      <w:r w:rsidR="00B35298" w:rsidRPr="00A33930">
        <w:rPr>
          <w:rFonts w:eastAsia="Verdana" w:cs="Verdana"/>
          <w:szCs w:val="18"/>
          <w:lang w:val="nl-NL"/>
        </w:rPr>
        <w:t xml:space="preserve"> sterke</w:t>
      </w:r>
      <w:r w:rsidRPr="00A33930">
        <w:rPr>
          <w:rFonts w:eastAsia="Verdana" w:cs="Verdana"/>
          <w:szCs w:val="18"/>
          <w:lang w:val="nl-NL"/>
        </w:rPr>
        <w:t xml:space="preserve"> controle</w:t>
      </w:r>
      <w:r w:rsidR="009C5E15" w:rsidRPr="00A33930">
        <w:rPr>
          <w:rFonts w:eastAsia="Verdana" w:cs="Verdana"/>
          <w:szCs w:val="18"/>
          <w:lang w:val="nl-NL"/>
        </w:rPr>
        <w:t>bevoegdheid</w:t>
      </w:r>
      <w:r w:rsidRPr="00A33930">
        <w:rPr>
          <w:rFonts w:eastAsia="Verdana" w:cs="Verdana"/>
          <w:szCs w:val="18"/>
          <w:lang w:val="nl-NL"/>
        </w:rPr>
        <w:t xml:space="preserve"> </w:t>
      </w:r>
      <w:r w:rsidR="009C5E15" w:rsidRPr="00A33930">
        <w:rPr>
          <w:rFonts w:eastAsia="Verdana" w:cs="Verdana"/>
          <w:szCs w:val="18"/>
          <w:lang w:val="nl-NL"/>
        </w:rPr>
        <w:t>van</w:t>
      </w:r>
      <w:r w:rsidRPr="00A33930">
        <w:rPr>
          <w:rFonts w:eastAsia="Verdana" w:cs="Verdana"/>
          <w:szCs w:val="18"/>
          <w:lang w:val="nl-NL"/>
        </w:rPr>
        <w:t xml:space="preserve"> het EHRM</w:t>
      </w:r>
      <w:r w:rsidR="0013367D" w:rsidRPr="00A33930">
        <w:rPr>
          <w:rFonts w:eastAsia="Verdana" w:cs="Verdana"/>
          <w:szCs w:val="18"/>
          <w:lang w:val="nl-NL"/>
        </w:rPr>
        <w:t>.</w:t>
      </w:r>
      <w:r w:rsidR="0013367D" w:rsidRPr="00A33930">
        <w:rPr>
          <w:rStyle w:val="Voetnootmarkering"/>
          <w:rFonts w:eastAsia="Verdana" w:cs="Verdana"/>
          <w:szCs w:val="18"/>
          <w:lang w:val="nl-NL"/>
        </w:rPr>
        <w:footnoteReference w:id="146"/>
      </w:r>
      <w:r w:rsidR="0013367D" w:rsidRPr="00A33930">
        <w:rPr>
          <w:rFonts w:eastAsia="Verdana" w:cs="Verdana"/>
          <w:szCs w:val="18"/>
          <w:lang w:val="nl-NL"/>
        </w:rPr>
        <w:t xml:space="preserve"> </w:t>
      </w:r>
      <w:r w:rsidR="003E0561" w:rsidRPr="00A33930">
        <w:rPr>
          <w:rFonts w:eastAsia="Verdana" w:cs="Verdana"/>
          <w:szCs w:val="18"/>
          <w:lang w:val="nl-NL"/>
        </w:rPr>
        <w:t xml:space="preserve">Het </w:t>
      </w:r>
      <w:r w:rsidR="00B35298" w:rsidRPr="00A33930">
        <w:rPr>
          <w:rFonts w:eastAsia="Verdana" w:cs="Verdana"/>
          <w:szCs w:val="18"/>
          <w:lang w:val="nl-NL"/>
        </w:rPr>
        <w:t xml:space="preserve">EHRM </w:t>
      </w:r>
      <w:r w:rsidR="003E0561" w:rsidRPr="00A33930">
        <w:rPr>
          <w:rFonts w:eastAsia="Verdana" w:cs="Verdana"/>
          <w:szCs w:val="18"/>
          <w:lang w:val="nl-NL"/>
        </w:rPr>
        <w:t>heeft als taak de naleving en afdwinging van de mensenrechten uit het EVRM te garanderen.</w:t>
      </w:r>
      <w:r w:rsidR="003E0561" w:rsidRPr="00A33930">
        <w:rPr>
          <w:rStyle w:val="Voetnootmarkering"/>
          <w:rFonts w:eastAsia="Verdana" w:cs="Verdana"/>
          <w:szCs w:val="18"/>
          <w:lang w:val="nl-NL"/>
        </w:rPr>
        <w:footnoteReference w:id="147"/>
      </w:r>
      <w:r w:rsidR="003E0561" w:rsidRPr="00A33930">
        <w:rPr>
          <w:rFonts w:eastAsia="Verdana" w:cs="Verdana"/>
          <w:szCs w:val="18"/>
          <w:lang w:val="nl-NL"/>
        </w:rPr>
        <w:t xml:space="preserve"> D</w:t>
      </w:r>
      <w:r w:rsidR="0013367D" w:rsidRPr="00A33930">
        <w:rPr>
          <w:rFonts w:eastAsia="Verdana" w:cs="Verdana"/>
          <w:szCs w:val="18"/>
          <w:lang w:val="nl-NL"/>
        </w:rPr>
        <w:t xml:space="preserve">e sterkte van het EVRM staat </w:t>
      </w:r>
      <w:r w:rsidR="003E0561" w:rsidRPr="00A33930">
        <w:rPr>
          <w:rFonts w:eastAsia="Verdana" w:cs="Verdana"/>
          <w:szCs w:val="18"/>
          <w:lang w:val="nl-NL"/>
        </w:rPr>
        <w:t xml:space="preserve">in </w:t>
      </w:r>
      <w:r w:rsidR="009C5E15" w:rsidRPr="00A33930">
        <w:rPr>
          <w:rFonts w:eastAsia="Verdana" w:cs="Verdana"/>
          <w:szCs w:val="18"/>
          <w:lang w:val="nl-NL"/>
        </w:rPr>
        <w:t>contrast</w:t>
      </w:r>
      <w:r w:rsidR="003E0561" w:rsidRPr="00A33930">
        <w:rPr>
          <w:rFonts w:eastAsia="Verdana" w:cs="Verdana"/>
          <w:szCs w:val="18"/>
          <w:lang w:val="nl-NL"/>
        </w:rPr>
        <w:t xml:space="preserve"> </w:t>
      </w:r>
      <w:r w:rsidR="009C5E15" w:rsidRPr="00A33930">
        <w:rPr>
          <w:rFonts w:eastAsia="Verdana" w:cs="Verdana"/>
          <w:szCs w:val="18"/>
          <w:lang w:val="nl-NL"/>
        </w:rPr>
        <w:t>met</w:t>
      </w:r>
      <w:r w:rsidR="003E0561" w:rsidRPr="00A33930">
        <w:rPr>
          <w:rFonts w:eastAsia="Verdana" w:cs="Verdana"/>
          <w:szCs w:val="18"/>
          <w:lang w:val="nl-NL"/>
        </w:rPr>
        <w:t xml:space="preserve"> </w:t>
      </w:r>
      <w:r w:rsidR="009C5E15" w:rsidRPr="00A33930">
        <w:rPr>
          <w:rFonts w:eastAsia="Verdana" w:cs="Verdana"/>
          <w:szCs w:val="18"/>
          <w:lang w:val="nl-NL"/>
        </w:rPr>
        <w:t xml:space="preserve">dat van </w:t>
      </w:r>
      <w:r w:rsidR="003E0561" w:rsidRPr="00A33930">
        <w:rPr>
          <w:rFonts w:eastAsia="Verdana" w:cs="Verdana"/>
          <w:szCs w:val="18"/>
          <w:lang w:val="nl-NL"/>
        </w:rPr>
        <w:t>het IVRK, dat op zichzelf weinig slagkracht heeft (</w:t>
      </w:r>
      <w:r w:rsidR="00D76726" w:rsidRPr="00A33930">
        <w:rPr>
          <w:rFonts w:eastAsia="Verdana" w:cs="Verdana"/>
          <w:i/>
          <w:iCs/>
          <w:szCs w:val="18"/>
          <w:lang w:val="nl-NL"/>
        </w:rPr>
        <w:t>infra</w:t>
      </w:r>
      <w:r w:rsidR="00D76726" w:rsidRPr="00A33930">
        <w:rPr>
          <w:rFonts w:eastAsia="Verdana" w:cs="Verdana"/>
          <w:szCs w:val="18"/>
          <w:lang w:val="nl-NL"/>
        </w:rPr>
        <w:t xml:space="preserve">, nr. </w:t>
      </w:r>
      <w:r w:rsidR="004B153D" w:rsidRPr="00A33930">
        <w:rPr>
          <w:rFonts w:eastAsia="Verdana" w:cs="Verdana"/>
          <w:szCs w:val="18"/>
          <w:lang w:val="nl-NL"/>
        </w:rPr>
        <w:t>58</w:t>
      </w:r>
      <w:r w:rsidR="003E0561" w:rsidRPr="00A33930">
        <w:rPr>
          <w:rFonts w:eastAsia="Verdana" w:cs="Verdana"/>
          <w:szCs w:val="18"/>
          <w:lang w:val="nl-NL"/>
        </w:rPr>
        <w:t>). De rechtspraak van het EHRM is bindend voor Verdragsstaten bij het EVRM.</w:t>
      </w:r>
      <w:r w:rsidR="003E0561" w:rsidRPr="00A33930">
        <w:rPr>
          <w:rStyle w:val="Voetnootmarkering"/>
          <w:rFonts w:eastAsia="Verdana" w:cs="Verdana"/>
          <w:szCs w:val="18"/>
          <w:lang w:val="nl-NL"/>
        </w:rPr>
        <w:footnoteReference w:id="148"/>
      </w:r>
    </w:p>
    <w:p w14:paraId="26A48B63" w14:textId="77777777" w:rsidR="0013367D" w:rsidRPr="00A33930" w:rsidRDefault="0013367D" w:rsidP="0013367D">
      <w:pPr>
        <w:pStyle w:val="Lijstalinea"/>
        <w:rPr>
          <w:rFonts w:eastAsia="Verdana" w:cs="Verdana"/>
          <w:szCs w:val="18"/>
          <w:lang w:val="nl-NL"/>
        </w:rPr>
      </w:pPr>
    </w:p>
    <w:p w14:paraId="196EFB9A" w14:textId="2608FCAB" w:rsidR="0013367D" w:rsidRPr="00A33930" w:rsidRDefault="003E0561" w:rsidP="003E0561">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Alle Staten die partij zijn bij het EVRM zijn tevens partij bij het IVRK, waardoor de beslissingen van het EHRM een belangrijke leidraad vormen voor de interpretatie van artikel 9</w:t>
      </w:r>
      <w:r w:rsidR="00B35298" w:rsidRPr="00A33930">
        <w:rPr>
          <w:rFonts w:eastAsia="Verdana" w:cs="Verdana"/>
          <w:szCs w:val="18"/>
          <w:lang w:val="nl-NL"/>
        </w:rPr>
        <w:t>.3</w:t>
      </w:r>
      <w:r w:rsidRPr="00A33930">
        <w:rPr>
          <w:rFonts w:eastAsia="Verdana" w:cs="Verdana"/>
          <w:szCs w:val="18"/>
          <w:lang w:val="nl-NL"/>
        </w:rPr>
        <w:t xml:space="preserve"> IVRK over het recht op persoonlijk contact van het kind (</w:t>
      </w:r>
      <w:r w:rsidRPr="00A33930">
        <w:rPr>
          <w:rFonts w:eastAsia="Verdana" w:cs="Verdana"/>
          <w:i/>
          <w:iCs/>
          <w:szCs w:val="18"/>
          <w:lang w:val="nl-NL"/>
        </w:rPr>
        <w:t>supra</w:t>
      </w:r>
      <w:r w:rsidRPr="00A33930">
        <w:rPr>
          <w:rFonts w:eastAsia="Verdana" w:cs="Verdana"/>
          <w:szCs w:val="18"/>
          <w:lang w:val="nl-NL"/>
        </w:rPr>
        <w:t xml:space="preserve">, nr. </w:t>
      </w:r>
      <w:r w:rsidR="004B153D" w:rsidRPr="00A33930">
        <w:rPr>
          <w:rFonts w:eastAsia="Verdana" w:cs="Verdana"/>
          <w:szCs w:val="18"/>
          <w:lang w:val="nl-NL"/>
        </w:rPr>
        <w:t>41</w:t>
      </w:r>
      <w:r w:rsidRPr="00A33930">
        <w:rPr>
          <w:rFonts w:eastAsia="Verdana" w:cs="Verdana"/>
          <w:szCs w:val="18"/>
          <w:lang w:val="nl-NL"/>
        </w:rPr>
        <w:t>).</w:t>
      </w:r>
      <w:r w:rsidRPr="00A33930">
        <w:rPr>
          <w:rStyle w:val="Voetnootmarkering"/>
          <w:rFonts w:eastAsia="Verdana" w:cs="Verdana"/>
          <w:szCs w:val="18"/>
          <w:lang w:val="nl-NL"/>
        </w:rPr>
        <w:footnoteReference w:id="149"/>
      </w:r>
      <w:r w:rsidRPr="00A33930">
        <w:rPr>
          <w:rFonts w:eastAsia="Verdana" w:cs="Verdana"/>
          <w:szCs w:val="18"/>
          <w:lang w:val="nl-NL"/>
        </w:rPr>
        <w:t xml:space="preserve"> Het recht op persoonlijk contact van het kind wordt verder dan ook geanalyseerd in het licht van de doorwerking van het IVRK in de rechtspraak van het EHRM.</w:t>
      </w:r>
    </w:p>
    <w:p w14:paraId="51B6FDB0" w14:textId="77777777" w:rsidR="0013367D" w:rsidRPr="00A33930" w:rsidRDefault="0013367D" w:rsidP="0013367D">
      <w:pPr>
        <w:pStyle w:val="Lijstalinea"/>
        <w:rPr>
          <w:rFonts w:eastAsia="Verdana" w:cs="Verdana"/>
          <w:szCs w:val="18"/>
          <w:lang w:val="nl-NL"/>
        </w:rPr>
      </w:pPr>
    </w:p>
    <w:p w14:paraId="3D38929D" w14:textId="0413ED04" w:rsidR="003E0561" w:rsidRPr="00A33930" w:rsidRDefault="003E0561" w:rsidP="003E0561">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lastRenderedPageBreak/>
        <w:t>De interpretatieoefening door het EHRM aangaande kinderrechten zit in een spanningsveld tussen de specifiek bepaalde internationale kinderrechten en het ontbreken van dergelijke invulling op Europees niveau. De bescherming van het kind is in Europa namelijk erg afhankelijk van de invulling van algemene mensenrechten en de interpretatie van het EHRM</w:t>
      </w:r>
      <w:r w:rsidR="004B153D" w:rsidRPr="00A33930">
        <w:rPr>
          <w:rFonts w:eastAsia="Verdana" w:cs="Verdana"/>
          <w:szCs w:val="18"/>
          <w:lang w:val="nl-NL"/>
        </w:rPr>
        <w:t xml:space="preserve">, </w:t>
      </w:r>
      <w:r w:rsidR="00262E84" w:rsidRPr="00A33930">
        <w:rPr>
          <w:rFonts w:eastAsia="Verdana" w:cs="Verdana"/>
          <w:szCs w:val="18"/>
          <w:lang w:val="nl-NL"/>
        </w:rPr>
        <w:t>waarbij</w:t>
      </w:r>
      <w:r w:rsidRPr="00A33930">
        <w:rPr>
          <w:rFonts w:eastAsia="Verdana" w:cs="Verdana"/>
          <w:szCs w:val="18"/>
          <w:lang w:val="nl-NL"/>
        </w:rPr>
        <w:t xml:space="preserve"> </w:t>
      </w:r>
      <w:r w:rsidR="004B153D" w:rsidRPr="00A33930">
        <w:rPr>
          <w:rFonts w:eastAsia="Verdana" w:cs="Verdana"/>
          <w:szCs w:val="18"/>
          <w:lang w:val="nl-NL"/>
        </w:rPr>
        <w:t>tevens</w:t>
      </w:r>
      <w:r w:rsidRPr="00A33930">
        <w:rPr>
          <w:rFonts w:eastAsia="Verdana" w:cs="Verdana"/>
          <w:szCs w:val="18"/>
          <w:lang w:val="nl-NL"/>
        </w:rPr>
        <w:t xml:space="preserve"> rekening moet </w:t>
      </w:r>
      <w:r w:rsidR="00262E84" w:rsidRPr="00A33930">
        <w:rPr>
          <w:rFonts w:eastAsia="Verdana" w:cs="Verdana"/>
          <w:szCs w:val="18"/>
          <w:lang w:val="nl-NL"/>
        </w:rPr>
        <w:t>worden</w:t>
      </w:r>
      <w:r w:rsidRPr="00A33930">
        <w:rPr>
          <w:rFonts w:eastAsia="Verdana" w:cs="Verdana"/>
          <w:szCs w:val="18"/>
          <w:lang w:val="nl-NL"/>
        </w:rPr>
        <w:t xml:space="preserve"> </w:t>
      </w:r>
      <w:r w:rsidR="00262E84" w:rsidRPr="00A33930">
        <w:rPr>
          <w:rFonts w:eastAsia="Verdana" w:cs="Verdana"/>
          <w:szCs w:val="18"/>
          <w:lang w:val="nl-NL"/>
        </w:rPr>
        <w:t xml:space="preserve">gehouden </w:t>
      </w:r>
      <w:r w:rsidRPr="00A33930">
        <w:rPr>
          <w:rFonts w:eastAsia="Verdana" w:cs="Verdana"/>
          <w:szCs w:val="18"/>
          <w:lang w:val="nl-NL"/>
        </w:rPr>
        <w:t>met bepalingen uit andere rechtsordes.</w:t>
      </w:r>
      <w:r w:rsidRPr="00A33930">
        <w:rPr>
          <w:rStyle w:val="Voetnootmarkering"/>
          <w:rFonts w:eastAsia="Verdana" w:cs="Verdana"/>
          <w:szCs w:val="18"/>
          <w:lang w:val="nl-NL"/>
        </w:rPr>
        <w:footnoteReference w:id="150"/>
      </w:r>
      <w:r w:rsidRPr="00A33930">
        <w:rPr>
          <w:rFonts w:eastAsia="Verdana" w:cs="Verdana"/>
          <w:szCs w:val="18"/>
          <w:lang w:val="nl-NL"/>
        </w:rPr>
        <w:t xml:space="preserve"> </w:t>
      </w:r>
      <w:r w:rsidR="004B153D" w:rsidRPr="00A33930">
        <w:rPr>
          <w:rFonts w:eastAsia="Verdana" w:cs="Verdana"/>
          <w:szCs w:val="18"/>
          <w:lang w:val="nl-NL"/>
        </w:rPr>
        <w:t>In zijn arresten verwijst het</w:t>
      </w:r>
      <w:r w:rsidRPr="00A33930">
        <w:rPr>
          <w:rFonts w:eastAsia="Verdana" w:cs="Verdana"/>
          <w:szCs w:val="18"/>
          <w:lang w:val="nl-NL"/>
        </w:rPr>
        <w:t xml:space="preserve"> EHRM met regelmaat naar het IVRK.</w:t>
      </w:r>
      <w:r w:rsidRPr="00A33930">
        <w:rPr>
          <w:rStyle w:val="Voetnootmarkering"/>
          <w:rFonts w:eastAsia="Verdana" w:cs="Verdana"/>
          <w:szCs w:val="18"/>
          <w:lang w:val="nl-NL"/>
        </w:rPr>
        <w:footnoteReference w:id="151"/>
      </w:r>
      <w:r w:rsidRPr="00A33930">
        <w:rPr>
          <w:rFonts w:eastAsia="Verdana" w:cs="Verdana"/>
          <w:szCs w:val="18"/>
          <w:lang w:val="nl-NL"/>
        </w:rPr>
        <w:t xml:space="preserve"> </w:t>
      </w:r>
      <w:r w:rsidR="00432C26" w:rsidRPr="00A33930">
        <w:rPr>
          <w:rFonts w:eastAsia="Verdana" w:cs="Verdana"/>
          <w:szCs w:val="18"/>
          <w:lang w:val="nl-NL"/>
        </w:rPr>
        <w:t>Deze</w:t>
      </w:r>
      <w:r w:rsidRPr="00A33930">
        <w:rPr>
          <w:rFonts w:eastAsia="Verdana" w:cs="Verdana"/>
          <w:szCs w:val="18"/>
          <w:lang w:val="nl-NL"/>
        </w:rPr>
        <w:t xml:space="preserve"> </w:t>
      </w:r>
      <w:r w:rsidR="004B153D" w:rsidRPr="00A33930">
        <w:rPr>
          <w:rFonts w:eastAsia="Verdana" w:cs="Verdana"/>
          <w:szCs w:val="18"/>
          <w:lang w:val="nl-NL"/>
        </w:rPr>
        <w:t>kinderrechten</w:t>
      </w:r>
      <w:r w:rsidRPr="00A33930">
        <w:rPr>
          <w:rFonts w:eastAsia="Verdana" w:cs="Verdana"/>
          <w:szCs w:val="18"/>
          <w:lang w:val="nl-NL"/>
        </w:rPr>
        <w:t xml:space="preserve">beoordeling betreft </w:t>
      </w:r>
      <w:r w:rsidR="003F2704" w:rsidRPr="00A33930">
        <w:rPr>
          <w:rFonts w:eastAsia="Verdana" w:cs="Verdana"/>
          <w:szCs w:val="18"/>
          <w:lang w:val="nl-NL"/>
        </w:rPr>
        <w:t xml:space="preserve">echter </w:t>
      </w:r>
      <w:r w:rsidRPr="00A33930">
        <w:rPr>
          <w:rFonts w:eastAsia="Verdana" w:cs="Verdana"/>
          <w:szCs w:val="18"/>
          <w:lang w:val="nl-NL"/>
        </w:rPr>
        <w:t>een omweg doordat het EHRM niet toetst aan het IVRK zelf</w:t>
      </w:r>
      <w:r w:rsidR="00262E84" w:rsidRPr="00A33930">
        <w:rPr>
          <w:rFonts w:eastAsia="Verdana" w:cs="Verdana"/>
          <w:szCs w:val="18"/>
          <w:lang w:val="nl-NL"/>
        </w:rPr>
        <w:t>,</w:t>
      </w:r>
      <w:r w:rsidRPr="00A33930">
        <w:rPr>
          <w:rFonts w:eastAsia="Verdana" w:cs="Verdana"/>
          <w:szCs w:val="18"/>
          <w:lang w:val="nl-NL"/>
        </w:rPr>
        <w:t xml:space="preserve"> maar nog steeds in hoofdorde een schending van een bepaling uit het EVRM vraagt.</w:t>
      </w:r>
      <w:r w:rsidRPr="00A33930">
        <w:rPr>
          <w:rStyle w:val="Voetnootmarkering"/>
          <w:rFonts w:eastAsia="Verdana" w:cs="Verdana"/>
          <w:szCs w:val="18"/>
          <w:lang w:val="nl-NL"/>
        </w:rPr>
        <w:footnoteReference w:id="152"/>
      </w:r>
      <w:r w:rsidRPr="00A33930">
        <w:rPr>
          <w:rFonts w:eastAsia="Verdana" w:cs="Verdana"/>
          <w:szCs w:val="18"/>
          <w:lang w:val="nl-NL"/>
        </w:rPr>
        <w:t xml:space="preserve"> In bepaalde zaken neemt het EHRM dan ook een minder kindvriendelijke houding aan dan de bedoeling </w:t>
      </w:r>
      <w:r w:rsidR="0013367D" w:rsidRPr="00A33930">
        <w:rPr>
          <w:rFonts w:eastAsia="Verdana" w:cs="Verdana"/>
          <w:szCs w:val="18"/>
          <w:lang w:val="nl-NL"/>
        </w:rPr>
        <w:t xml:space="preserve">is </w:t>
      </w:r>
      <w:r w:rsidR="004B153D" w:rsidRPr="00A33930">
        <w:rPr>
          <w:rFonts w:eastAsia="Verdana" w:cs="Verdana"/>
          <w:szCs w:val="18"/>
          <w:lang w:val="nl-NL"/>
        </w:rPr>
        <w:t>binnen</w:t>
      </w:r>
      <w:r w:rsidRPr="00A33930">
        <w:rPr>
          <w:rFonts w:eastAsia="Verdana" w:cs="Verdana"/>
          <w:szCs w:val="18"/>
          <w:lang w:val="nl-NL"/>
        </w:rPr>
        <w:t xml:space="preserve"> het IVRK.</w:t>
      </w:r>
      <w:r w:rsidRPr="00A33930">
        <w:rPr>
          <w:rStyle w:val="Voetnootmarkering"/>
          <w:rFonts w:eastAsia="Verdana" w:cs="Verdana"/>
          <w:szCs w:val="18"/>
          <w:lang w:val="nl-NL"/>
        </w:rPr>
        <w:footnoteReference w:id="153"/>
      </w:r>
      <w:r w:rsidR="003F2704" w:rsidRPr="00A33930">
        <w:rPr>
          <w:rFonts w:eastAsia="Verdana" w:cs="Verdana"/>
          <w:szCs w:val="18"/>
          <w:lang w:val="nl-NL"/>
        </w:rPr>
        <w:t xml:space="preserve"> </w:t>
      </w:r>
      <w:r w:rsidR="0013367D" w:rsidRPr="00A33930">
        <w:rPr>
          <w:rFonts w:eastAsia="Verdana" w:cs="Verdana"/>
          <w:szCs w:val="18"/>
          <w:lang w:val="nl-NL"/>
        </w:rPr>
        <w:t>Ter illustratie verwijst het EHRM in</w:t>
      </w:r>
      <w:r w:rsidR="003F2704" w:rsidRPr="00A33930">
        <w:rPr>
          <w:rFonts w:eastAsia="Verdana" w:cs="Verdana"/>
          <w:szCs w:val="18"/>
          <w:lang w:val="nl-NL"/>
        </w:rPr>
        <w:t xml:space="preserve"> </w:t>
      </w:r>
      <w:r w:rsidR="0013367D" w:rsidRPr="00A33930">
        <w:rPr>
          <w:rFonts w:eastAsia="Verdana" w:cs="Verdana"/>
          <w:szCs w:val="18"/>
          <w:lang w:val="nl-NL"/>
        </w:rPr>
        <w:t>arrest-</w:t>
      </w:r>
      <w:r w:rsidR="003F2704" w:rsidRPr="00A33930">
        <w:rPr>
          <w:rFonts w:eastAsia="Verdana" w:cs="Verdana"/>
          <w:szCs w:val="18"/>
          <w:lang w:val="nl-NL"/>
        </w:rPr>
        <w:t xml:space="preserve">Sahin </w:t>
      </w:r>
      <w:r w:rsidR="000C67D5" w:rsidRPr="00A33930">
        <w:rPr>
          <w:rFonts w:eastAsia="Verdana" w:cs="Verdana"/>
          <w:szCs w:val="18"/>
          <w:lang w:val="nl-NL"/>
        </w:rPr>
        <w:t xml:space="preserve">wel </w:t>
      </w:r>
      <w:r w:rsidR="003F2704" w:rsidRPr="00A33930">
        <w:rPr>
          <w:rFonts w:eastAsia="Verdana" w:cs="Verdana"/>
          <w:szCs w:val="18"/>
          <w:lang w:val="nl-NL"/>
        </w:rPr>
        <w:t xml:space="preserve">naar artikel 3 en 9 IVRK en de </w:t>
      </w:r>
      <w:r w:rsidR="000C67D5" w:rsidRPr="00A33930">
        <w:rPr>
          <w:rFonts w:eastAsia="Verdana" w:cs="Verdana"/>
          <w:szCs w:val="18"/>
          <w:lang w:val="nl-NL"/>
        </w:rPr>
        <w:t>daarin bepaalde</w:t>
      </w:r>
      <w:r w:rsidR="003F2704" w:rsidRPr="00A33930">
        <w:rPr>
          <w:rFonts w:eastAsia="Verdana" w:cs="Verdana"/>
          <w:szCs w:val="18"/>
          <w:lang w:val="nl-NL"/>
        </w:rPr>
        <w:t xml:space="preserve"> verplichtingen</w:t>
      </w:r>
      <w:r w:rsidR="00262E84" w:rsidRPr="00A33930">
        <w:rPr>
          <w:rFonts w:eastAsia="Verdana" w:cs="Verdana"/>
          <w:szCs w:val="18"/>
          <w:lang w:val="nl-NL"/>
        </w:rPr>
        <w:t>,</w:t>
      </w:r>
      <w:r w:rsidR="003F2704" w:rsidRPr="00A33930">
        <w:rPr>
          <w:rFonts w:eastAsia="Verdana" w:cs="Verdana"/>
          <w:szCs w:val="18"/>
          <w:lang w:val="nl-NL"/>
        </w:rPr>
        <w:t xml:space="preserve"> maar</w:t>
      </w:r>
      <w:r w:rsidR="0013367D" w:rsidRPr="00A33930">
        <w:rPr>
          <w:rFonts w:eastAsia="Verdana" w:cs="Verdana"/>
          <w:szCs w:val="18"/>
          <w:lang w:val="nl-NL"/>
        </w:rPr>
        <w:t xml:space="preserve"> wordt er geen </w:t>
      </w:r>
      <w:r w:rsidR="003F2704" w:rsidRPr="00A33930">
        <w:rPr>
          <w:rFonts w:eastAsia="Verdana" w:cs="Verdana"/>
          <w:szCs w:val="18"/>
          <w:lang w:val="nl-NL"/>
        </w:rPr>
        <w:t>beoordeling</w:t>
      </w:r>
      <w:r w:rsidR="0013367D" w:rsidRPr="00A33930">
        <w:rPr>
          <w:rFonts w:eastAsia="Verdana" w:cs="Verdana"/>
          <w:szCs w:val="18"/>
          <w:lang w:val="nl-NL"/>
        </w:rPr>
        <w:t xml:space="preserve"> </w:t>
      </w:r>
      <w:r w:rsidR="004B153D" w:rsidRPr="00A33930">
        <w:rPr>
          <w:rFonts w:eastAsia="Verdana" w:cs="Verdana"/>
          <w:szCs w:val="18"/>
          <w:lang w:val="nl-NL"/>
        </w:rPr>
        <w:t>gemaakt</w:t>
      </w:r>
      <w:r w:rsidR="0013367D" w:rsidRPr="00A33930">
        <w:rPr>
          <w:rFonts w:eastAsia="Verdana" w:cs="Verdana"/>
          <w:szCs w:val="18"/>
          <w:lang w:val="nl-NL"/>
        </w:rPr>
        <w:t xml:space="preserve"> of standpunt</w:t>
      </w:r>
      <w:r w:rsidR="004B153D" w:rsidRPr="00A33930">
        <w:rPr>
          <w:rFonts w:eastAsia="Verdana" w:cs="Verdana"/>
          <w:szCs w:val="18"/>
          <w:lang w:val="nl-NL"/>
        </w:rPr>
        <w:t xml:space="preserve"> over</w:t>
      </w:r>
      <w:r w:rsidR="0013367D" w:rsidRPr="00A33930">
        <w:rPr>
          <w:rFonts w:eastAsia="Verdana" w:cs="Verdana"/>
          <w:szCs w:val="18"/>
          <w:lang w:val="nl-NL"/>
        </w:rPr>
        <w:t xml:space="preserve"> aangenomen</w:t>
      </w:r>
      <w:r w:rsidR="003F2704" w:rsidRPr="00A33930">
        <w:rPr>
          <w:rFonts w:eastAsia="Verdana" w:cs="Verdana"/>
          <w:szCs w:val="18"/>
          <w:lang w:val="nl-NL"/>
        </w:rPr>
        <w:t>.</w:t>
      </w:r>
      <w:r w:rsidR="003F2704" w:rsidRPr="00A33930">
        <w:rPr>
          <w:rStyle w:val="Voetnootmarkering"/>
          <w:rFonts w:eastAsia="Verdana" w:cs="Verdana"/>
          <w:szCs w:val="18"/>
          <w:lang w:val="nl-NL"/>
        </w:rPr>
        <w:footnoteReference w:id="154"/>
      </w:r>
      <w:r w:rsidRPr="00A33930">
        <w:rPr>
          <w:rFonts w:eastAsia="Verdana" w:cs="Verdana"/>
          <w:szCs w:val="18"/>
          <w:lang w:val="nl-NL"/>
        </w:rPr>
        <w:t xml:space="preserve"> Bij de beoordeling van artikel 8 EVRM houdt het EHRM </w:t>
      </w:r>
      <w:r w:rsidR="0013367D" w:rsidRPr="00A33930">
        <w:rPr>
          <w:rFonts w:eastAsia="Verdana" w:cs="Verdana"/>
          <w:szCs w:val="18"/>
          <w:lang w:val="nl-NL"/>
        </w:rPr>
        <w:t>in het bijzonder</w:t>
      </w:r>
      <w:r w:rsidR="000C67D5" w:rsidRPr="00A33930">
        <w:rPr>
          <w:rFonts w:eastAsia="Verdana" w:cs="Verdana"/>
          <w:szCs w:val="18"/>
          <w:lang w:val="nl-NL"/>
        </w:rPr>
        <w:t xml:space="preserve"> </w:t>
      </w:r>
      <w:r w:rsidRPr="00A33930">
        <w:rPr>
          <w:rFonts w:eastAsia="Verdana" w:cs="Verdana"/>
          <w:szCs w:val="18"/>
          <w:lang w:val="nl-NL"/>
        </w:rPr>
        <w:t>rekening met de huidige maatschappelijke opvattingen zoals deze bestaan op het ogenblik van de uitspraak, niet met de opvattingen op het ogenblik van de totstandkoming van het EVRM in 1950.</w:t>
      </w:r>
      <w:r w:rsidRPr="00A33930">
        <w:rPr>
          <w:rStyle w:val="Voetnootmarkering"/>
          <w:rFonts w:eastAsia="Verdana" w:cs="Verdana"/>
          <w:szCs w:val="18"/>
          <w:lang w:val="nl-NL"/>
        </w:rPr>
        <w:footnoteReference w:id="155"/>
      </w:r>
      <w:r w:rsidR="001018C5" w:rsidRPr="00A33930">
        <w:rPr>
          <w:rFonts w:eastAsia="Verdana" w:cs="Verdana"/>
          <w:szCs w:val="18"/>
          <w:lang w:val="nl-NL"/>
        </w:rPr>
        <w:t xml:space="preserve"> Dat zou m</w:t>
      </w:r>
      <w:r w:rsidR="00432C26" w:rsidRPr="00A33930">
        <w:rPr>
          <w:rFonts w:eastAsia="Verdana" w:cs="Verdana"/>
          <w:szCs w:val="18"/>
          <w:lang w:val="nl-NL"/>
        </w:rPr>
        <w:t>ijns inziens</w:t>
      </w:r>
      <w:r w:rsidR="001018C5" w:rsidRPr="00A33930">
        <w:rPr>
          <w:rFonts w:eastAsia="Verdana" w:cs="Verdana"/>
          <w:szCs w:val="18"/>
          <w:lang w:val="nl-NL"/>
        </w:rPr>
        <w:t xml:space="preserve"> moeten betekenen dat het EHRM rekening houdt met het modern kindperspectief (</w:t>
      </w:r>
      <w:r w:rsidR="001018C5" w:rsidRPr="00A33930">
        <w:rPr>
          <w:rFonts w:eastAsia="Verdana" w:cs="Verdana"/>
          <w:i/>
          <w:iCs/>
          <w:szCs w:val="18"/>
          <w:lang w:val="nl-NL"/>
        </w:rPr>
        <w:t>supra</w:t>
      </w:r>
      <w:r w:rsidR="001018C5" w:rsidRPr="00A33930">
        <w:rPr>
          <w:rFonts w:eastAsia="Verdana" w:cs="Verdana"/>
          <w:szCs w:val="18"/>
          <w:lang w:val="nl-NL"/>
        </w:rPr>
        <w:t>, nr. 32).</w:t>
      </w:r>
      <w:r w:rsidRPr="00A33930">
        <w:rPr>
          <w:rFonts w:eastAsia="Verdana" w:cs="Verdana"/>
          <w:szCs w:val="18"/>
          <w:lang w:val="nl-NL"/>
        </w:rPr>
        <w:t xml:space="preserve"> Door het ontbreken van</w:t>
      </w:r>
      <w:r w:rsidR="001018C5" w:rsidRPr="00A33930">
        <w:rPr>
          <w:rFonts w:eastAsia="Verdana" w:cs="Verdana"/>
          <w:szCs w:val="18"/>
          <w:lang w:val="nl-NL"/>
        </w:rPr>
        <w:t xml:space="preserve"> een</w:t>
      </w:r>
      <w:r w:rsidRPr="00A33930">
        <w:rPr>
          <w:rFonts w:eastAsia="Verdana" w:cs="Verdana"/>
          <w:szCs w:val="18"/>
          <w:lang w:val="nl-NL"/>
        </w:rPr>
        <w:t xml:space="preserve"> </w:t>
      </w:r>
      <w:r w:rsidR="001018C5" w:rsidRPr="00A33930">
        <w:rPr>
          <w:rFonts w:eastAsia="Verdana" w:cs="Verdana"/>
          <w:szCs w:val="18"/>
          <w:lang w:val="nl-NL"/>
        </w:rPr>
        <w:t>expliciete wettelijke grondslag voor</w:t>
      </w:r>
      <w:r w:rsidRPr="00A33930">
        <w:rPr>
          <w:rFonts w:eastAsia="Verdana" w:cs="Verdana"/>
          <w:szCs w:val="18"/>
          <w:lang w:val="nl-NL"/>
        </w:rPr>
        <w:t xml:space="preserve"> </w:t>
      </w:r>
      <w:r w:rsidR="000C67D5" w:rsidRPr="00A33930">
        <w:rPr>
          <w:rFonts w:eastAsia="Verdana" w:cs="Verdana"/>
          <w:szCs w:val="18"/>
          <w:lang w:val="nl-NL"/>
        </w:rPr>
        <w:t>kinderrechten</w:t>
      </w:r>
      <w:r w:rsidRPr="00A33930">
        <w:rPr>
          <w:rFonts w:eastAsia="Verdana" w:cs="Verdana"/>
          <w:szCs w:val="18"/>
          <w:lang w:val="nl-NL"/>
        </w:rPr>
        <w:t xml:space="preserve">bescherming op Europees niveau </w:t>
      </w:r>
      <w:r w:rsidR="00432C26" w:rsidRPr="00A33930">
        <w:rPr>
          <w:rFonts w:eastAsia="Verdana" w:cs="Verdana"/>
          <w:szCs w:val="18"/>
          <w:lang w:val="nl-NL"/>
        </w:rPr>
        <w:t>blijft</w:t>
      </w:r>
      <w:r w:rsidRPr="00A33930">
        <w:rPr>
          <w:rFonts w:eastAsia="Verdana" w:cs="Verdana"/>
          <w:szCs w:val="18"/>
          <w:lang w:val="nl-NL"/>
        </w:rPr>
        <w:t xml:space="preserve"> de betekenis, de impact en de waarde van het IVRK van groot belang voor</w:t>
      </w:r>
      <w:r w:rsidR="001018C5" w:rsidRPr="00A33930">
        <w:rPr>
          <w:rFonts w:eastAsia="Verdana" w:cs="Verdana"/>
          <w:szCs w:val="18"/>
          <w:lang w:val="nl-NL"/>
        </w:rPr>
        <w:t xml:space="preserve"> de bescherming van</w:t>
      </w:r>
      <w:r w:rsidRPr="00A33930">
        <w:rPr>
          <w:rFonts w:eastAsia="Verdana" w:cs="Verdana"/>
          <w:szCs w:val="18"/>
          <w:lang w:val="nl-NL"/>
        </w:rPr>
        <w:t xml:space="preserve"> kinderrechten </w:t>
      </w:r>
      <w:r w:rsidR="001018C5" w:rsidRPr="00A33930">
        <w:rPr>
          <w:rFonts w:eastAsia="Verdana" w:cs="Verdana"/>
          <w:szCs w:val="18"/>
          <w:lang w:val="nl-NL"/>
        </w:rPr>
        <w:t>binnen</w:t>
      </w:r>
      <w:r w:rsidRPr="00A33930">
        <w:rPr>
          <w:rFonts w:eastAsia="Verdana" w:cs="Verdana"/>
          <w:szCs w:val="18"/>
          <w:lang w:val="nl-NL"/>
        </w:rPr>
        <w:t xml:space="preserve"> Europa.</w:t>
      </w:r>
      <w:r w:rsidRPr="00A33930">
        <w:rPr>
          <w:rStyle w:val="Voetnootmarkering"/>
          <w:rFonts w:eastAsia="Verdana" w:cs="Verdana"/>
          <w:szCs w:val="18"/>
          <w:lang w:val="nl-NL"/>
        </w:rPr>
        <w:footnoteReference w:id="156"/>
      </w:r>
      <w:r w:rsidR="003F2704" w:rsidRPr="00A33930">
        <w:rPr>
          <w:rFonts w:eastAsia="Verdana" w:cs="Verdana"/>
          <w:szCs w:val="18"/>
          <w:lang w:val="nl-NL"/>
        </w:rPr>
        <w:t xml:space="preserve"> Enerzijds is het positief dat het IVRK op de radar komt </w:t>
      </w:r>
      <w:r w:rsidR="00432C26" w:rsidRPr="00A33930">
        <w:rPr>
          <w:rFonts w:eastAsia="Verdana" w:cs="Verdana"/>
          <w:szCs w:val="18"/>
          <w:lang w:val="nl-NL"/>
        </w:rPr>
        <w:t>door</w:t>
      </w:r>
      <w:r w:rsidR="003F2704" w:rsidRPr="00A33930">
        <w:rPr>
          <w:rFonts w:eastAsia="Verdana" w:cs="Verdana"/>
          <w:szCs w:val="18"/>
          <w:lang w:val="nl-NL"/>
        </w:rPr>
        <w:t xml:space="preserve"> de beoordeling </w:t>
      </w:r>
      <w:r w:rsidR="00432C26" w:rsidRPr="00A33930">
        <w:rPr>
          <w:rFonts w:eastAsia="Verdana" w:cs="Verdana"/>
          <w:szCs w:val="18"/>
          <w:lang w:val="nl-NL"/>
        </w:rPr>
        <w:t>van</w:t>
      </w:r>
      <w:r w:rsidR="003F2704" w:rsidRPr="00A33930">
        <w:rPr>
          <w:rFonts w:eastAsia="Verdana" w:cs="Verdana"/>
          <w:szCs w:val="18"/>
          <w:lang w:val="nl-NL"/>
        </w:rPr>
        <w:t xml:space="preserve"> het EHRM</w:t>
      </w:r>
      <w:r w:rsidR="00262E84" w:rsidRPr="00A33930">
        <w:rPr>
          <w:rFonts w:eastAsia="Verdana" w:cs="Verdana"/>
          <w:szCs w:val="18"/>
          <w:lang w:val="nl-NL"/>
        </w:rPr>
        <w:t>,</w:t>
      </w:r>
      <w:r w:rsidR="003F2704" w:rsidRPr="00A33930">
        <w:rPr>
          <w:rFonts w:eastAsia="Verdana" w:cs="Verdana"/>
          <w:szCs w:val="18"/>
          <w:lang w:val="nl-NL"/>
        </w:rPr>
        <w:t xml:space="preserve"> maar anderzijds blijft</w:t>
      </w:r>
      <w:r w:rsidR="001018C5" w:rsidRPr="00A33930">
        <w:rPr>
          <w:rFonts w:eastAsia="Verdana" w:cs="Verdana"/>
          <w:szCs w:val="18"/>
          <w:lang w:val="nl-NL"/>
        </w:rPr>
        <w:t xml:space="preserve"> deze beoordeling steeds</w:t>
      </w:r>
      <w:r w:rsidR="003F2704" w:rsidRPr="00A33930">
        <w:rPr>
          <w:rFonts w:eastAsia="Verdana" w:cs="Verdana"/>
          <w:szCs w:val="18"/>
          <w:lang w:val="nl-NL"/>
        </w:rPr>
        <w:t xml:space="preserve"> een marginale toetsing</w:t>
      </w:r>
      <w:r w:rsidR="00262E84" w:rsidRPr="00A33930">
        <w:rPr>
          <w:rFonts w:eastAsia="Verdana" w:cs="Verdana"/>
          <w:szCs w:val="18"/>
          <w:lang w:val="nl-NL"/>
        </w:rPr>
        <w:t xml:space="preserve"> </w:t>
      </w:r>
      <w:r w:rsidR="003F2704" w:rsidRPr="00A33930">
        <w:rPr>
          <w:rFonts w:eastAsia="Verdana" w:cs="Verdana"/>
          <w:szCs w:val="18"/>
          <w:lang w:val="nl-NL"/>
        </w:rPr>
        <w:t xml:space="preserve">waarbij het IVRK </w:t>
      </w:r>
      <w:r w:rsidR="000C67D5" w:rsidRPr="00A33930">
        <w:rPr>
          <w:rFonts w:eastAsia="Verdana" w:cs="Verdana"/>
          <w:szCs w:val="18"/>
          <w:lang w:val="nl-NL"/>
        </w:rPr>
        <w:t xml:space="preserve">voornamelijk </w:t>
      </w:r>
      <w:r w:rsidR="003F2704" w:rsidRPr="00A33930">
        <w:rPr>
          <w:rFonts w:eastAsia="Verdana" w:cs="Verdana"/>
          <w:szCs w:val="18"/>
          <w:lang w:val="nl-NL"/>
        </w:rPr>
        <w:t>wordt aangehaald in ondergeschikte orde.</w:t>
      </w:r>
      <w:r w:rsidR="003F2704" w:rsidRPr="00A33930">
        <w:rPr>
          <w:rStyle w:val="Voetnootmarkering"/>
          <w:rFonts w:eastAsia="Verdana" w:cs="Verdana"/>
          <w:szCs w:val="18"/>
          <w:lang w:val="nl-NL"/>
        </w:rPr>
        <w:footnoteReference w:id="157"/>
      </w:r>
    </w:p>
    <w:p w14:paraId="23E44D71" w14:textId="77777777" w:rsidR="003E0561" w:rsidRPr="00A33930" w:rsidRDefault="003E0561" w:rsidP="003E0561">
      <w:pPr>
        <w:pStyle w:val="Lijstalinea"/>
        <w:spacing w:before="200" w:after="0"/>
        <w:ind w:left="0"/>
        <w:jc w:val="both"/>
        <w:rPr>
          <w:rFonts w:eastAsia="Verdana" w:cs="Verdana"/>
          <w:szCs w:val="18"/>
          <w:lang w:val="nl-NL"/>
        </w:rPr>
      </w:pPr>
    </w:p>
    <w:p w14:paraId="7C8E0159" w14:textId="698EF79F" w:rsidR="000C67D5" w:rsidRPr="00A33930" w:rsidRDefault="003E0561" w:rsidP="000C67D5">
      <w:pPr>
        <w:pStyle w:val="Lijstalinea"/>
        <w:numPr>
          <w:ilvl w:val="0"/>
          <w:numId w:val="4"/>
        </w:numPr>
        <w:spacing w:before="200" w:after="0"/>
        <w:ind w:left="0" w:firstLine="0"/>
        <w:jc w:val="both"/>
        <w:rPr>
          <w:rFonts w:eastAsia="Verdana" w:cs="Verdana"/>
          <w:b/>
          <w:bCs/>
          <w:szCs w:val="18"/>
          <w:lang w:val="nl-NL"/>
        </w:rPr>
      </w:pPr>
      <w:r w:rsidRPr="00A33930">
        <w:rPr>
          <w:rFonts w:eastAsia="Verdana" w:cs="Verdana"/>
          <w:szCs w:val="18"/>
          <w:lang w:val="nl-NL"/>
        </w:rPr>
        <w:t>In België heeft het EVRM een grote impact op de interne rechtsorde doordat aan veel van zijn bepalingen directe werking wordt toegekend.</w:t>
      </w:r>
      <w:r w:rsidRPr="00A33930">
        <w:rPr>
          <w:rStyle w:val="Voetnootmarkering"/>
          <w:rFonts w:eastAsia="Verdana" w:cs="Verdana"/>
          <w:szCs w:val="18"/>
          <w:lang w:val="nl-NL"/>
        </w:rPr>
        <w:footnoteReference w:id="158"/>
      </w:r>
      <w:r w:rsidRPr="00A33930">
        <w:rPr>
          <w:rFonts w:eastAsia="Verdana" w:cs="Verdana"/>
          <w:szCs w:val="18"/>
          <w:lang w:val="nl-NL"/>
        </w:rPr>
        <w:t xml:space="preserve"> </w:t>
      </w:r>
      <w:r w:rsidR="000C67D5" w:rsidRPr="00A33930">
        <w:rPr>
          <w:rFonts w:eastAsia="Verdana" w:cs="Verdana"/>
          <w:szCs w:val="18"/>
          <w:lang w:val="nl-NL"/>
        </w:rPr>
        <w:t xml:space="preserve">Om de directe werking van artikel 8 EVRM te </w:t>
      </w:r>
      <w:r w:rsidR="000C67D5" w:rsidRPr="00A33930">
        <w:rPr>
          <w:rFonts w:eastAsia="Verdana" w:cs="Verdana"/>
          <w:szCs w:val="18"/>
          <w:lang w:val="nl-NL"/>
        </w:rPr>
        <w:lastRenderedPageBreak/>
        <w:t xml:space="preserve">bespreken moet worden teruggekeerd naar het </w:t>
      </w:r>
      <w:r w:rsidR="009E6274" w:rsidRPr="00A33930">
        <w:rPr>
          <w:rFonts w:eastAsia="Verdana" w:cs="Verdana"/>
          <w:szCs w:val="18"/>
          <w:lang w:val="nl-NL"/>
        </w:rPr>
        <w:t>arrest-</w:t>
      </w:r>
      <w:r w:rsidR="000C67D5" w:rsidRPr="00A33930">
        <w:rPr>
          <w:rFonts w:eastAsia="Verdana" w:cs="Verdana"/>
          <w:szCs w:val="18"/>
          <w:lang w:val="nl-NL"/>
        </w:rPr>
        <w:t xml:space="preserve">Marckx uit 1979, </w:t>
      </w:r>
      <w:r w:rsidR="008970EA" w:rsidRPr="00A33930">
        <w:rPr>
          <w:rFonts w:eastAsia="Verdana" w:cs="Verdana"/>
          <w:szCs w:val="18"/>
          <w:lang w:val="nl-NL"/>
        </w:rPr>
        <w:t>waarin</w:t>
      </w:r>
      <w:r w:rsidR="000C67D5" w:rsidRPr="00A33930">
        <w:rPr>
          <w:rFonts w:eastAsia="Verdana" w:cs="Verdana"/>
          <w:szCs w:val="18"/>
          <w:lang w:val="nl-NL"/>
        </w:rPr>
        <w:t xml:space="preserve"> België werd veroordeeld door het EHRM omdat er niet werd opgetreden door de Belgische overheid om de kinderen te beschermen.</w:t>
      </w:r>
      <w:r w:rsidR="000C67D5" w:rsidRPr="00A33930">
        <w:rPr>
          <w:rStyle w:val="Voetnootmarkering"/>
          <w:rFonts w:eastAsia="Verdana" w:cs="Verdana"/>
          <w:szCs w:val="18"/>
          <w:lang w:val="nl-NL"/>
        </w:rPr>
        <w:footnoteReference w:id="159"/>
      </w:r>
      <w:r w:rsidR="000C67D5" w:rsidRPr="00A33930">
        <w:rPr>
          <w:rFonts w:eastAsia="Verdana" w:cs="Verdana"/>
          <w:szCs w:val="18"/>
          <w:lang w:val="nl-NL"/>
        </w:rPr>
        <w:t xml:space="preserve"> Hoewel door het Hof van Cassatie reeds in 1978</w:t>
      </w:r>
      <w:r w:rsidR="00673E5B" w:rsidRPr="00A33930">
        <w:rPr>
          <w:rStyle w:val="Voetnootmarkering"/>
          <w:rFonts w:eastAsia="Verdana" w:cs="Verdana"/>
          <w:szCs w:val="18"/>
          <w:lang w:val="nl-NL"/>
        </w:rPr>
        <w:footnoteReference w:id="160"/>
      </w:r>
      <w:r w:rsidR="000C67D5" w:rsidRPr="00A33930">
        <w:rPr>
          <w:rFonts w:eastAsia="Verdana" w:cs="Verdana"/>
          <w:szCs w:val="18"/>
          <w:lang w:val="nl-NL"/>
        </w:rPr>
        <w:t xml:space="preserve"> werd geoordeeld dat artikel 8 EVRM directe werking had in de Belgische rechtsorde</w:t>
      </w:r>
      <w:r w:rsidR="00432C26" w:rsidRPr="00A33930">
        <w:rPr>
          <w:rFonts w:eastAsia="Verdana" w:cs="Verdana"/>
          <w:szCs w:val="18"/>
          <w:lang w:val="nl-NL"/>
        </w:rPr>
        <w:t>,</w:t>
      </w:r>
      <w:r w:rsidR="000C67D5" w:rsidRPr="00A33930">
        <w:rPr>
          <w:rFonts w:eastAsia="Verdana" w:cs="Verdana"/>
          <w:szCs w:val="18"/>
          <w:lang w:val="nl-NL"/>
        </w:rPr>
        <w:t xml:space="preserve"> bleek dit onder </w:t>
      </w:r>
      <w:r w:rsidR="009E6274" w:rsidRPr="00A33930">
        <w:rPr>
          <w:rFonts w:eastAsia="Verdana" w:cs="Verdana"/>
          <w:szCs w:val="18"/>
          <w:lang w:val="nl-NL"/>
        </w:rPr>
        <w:t xml:space="preserve">dit arrest </w:t>
      </w:r>
      <w:r w:rsidR="000C67D5" w:rsidRPr="00A33930">
        <w:rPr>
          <w:rFonts w:eastAsia="Verdana" w:cs="Verdana"/>
          <w:szCs w:val="18"/>
          <w:lang w:val="nl-NL"/>
        </w:rPr>
        <w:t>voor discussie te zorgen</w:t>
      </w:r>
      <w:r w:rsidR="00432C26" w:rsidRPr="00A33930">
        <w:rPr>
          <w:rFonts w:eastAsia="Verdana" w:cs="Verdana"/>
          <w:szCs w:val="18"/>
          <w:lang w:val="nl-NL"/>
        </w:rPr>
        <w:t xml:space="preserve"> </w:t>
      </w:r>
      <w:r w:rsidR="000C67D5" w:rsidRPr="00A33930">
        <w:rPr>
          <w:rFonts w:eastAsia="Verdana" w:cs="Verdana"/>
          <w:szCs w:val="18"/>
          <w:lang w:val="nl-NL"/>
        </w:rPr>
        <w:t>doordat de, thans positieve, verplichtingen voor de Staat onvoldoende nauwkeurig omschreven zouden zijn.</w:t>
      </w:r>
      <w:r w:rsidR="000C67D5" w:rsidRPr="00A33930">
        <w:rPr>
          <w:rStyle w:val="Voetnootmarkering"/>
          <w:rFonts w:eastAsia="Verdana" w:cs="Verdana"/>
          <w:szCs w:val="18"/>
          <w:lang w:val="nl-NL"/>
        </w:rPr>
        <w:footnoteReference w:id="161"/>
      </w:r>
      <w:r w:rsidR="000C67D5" w:rsidRPr="00A33930">
        <w:rPr>
          <w:rFonts w:eastAsia="Verdana" w:cs="Verdana"/>
          <w:szCs w:val="18"/>
          <w:lang w:val="nl-NL"/>
        </w:rPr>
        <w:t xml:space="preserve"> België werd hiervoor nogmaals veroordeeld bij het arrest-Vermeire van 29 november 1991 waar het EHRM duidelijk </w:t>
      </w:r>
      <w:r w:rsidR="009E6274" w:rsidRPr="00A33930">
        <w:rPr>
          <w:rFonts w:eastAsia="Verdana" w:cs="Verdana"/>
          <w:szCs w:val="18"/>
          <w:lang w:val="nl-NL"/>
        </w:rPr>
        <w:t>stelt</w:t>
      </w:r>
      <w:r w:rsidR="000C67D5" w:rsidRPr="00A33930">
        <w:rPr>
          <w:rFonts w:eastAsia="Verdana" w:cs="Verdana"/>
          <w:szCs w:val="18"/>
          <w:lang w:val="nl-NL"/>
        </w:rPr>
        <w:t xml:space="preserve"> dat het deze discussie niet begreep.</w:t>
      </w:r>
      <w:r w:rsidR="000C67D5" w:rsidRPr="00A33930">
        <w:rPr>
          <w:rStyle w:val="Voetnootmarkering"/>
          <w:rFonts w:eastAsia="Verdana" w:cs="Verdana"/>
          <w:szCs w:val="18"/>
          <w:lang w:val="nl-NL"/>
        </w:rPr>
        <w:footnoteReference w:id="162"/>
      </w:r>
      <w:r w:rsidR="000C67D5" w:rsidRPr="00A33930">
        <w:rPr>
          <w:rFonts w:eastAsia="Verdana" w:cs="Verdana"/>
          <w:szCs w:val="18"/>
          <w:lang w:val="nl-NL"/>
        </w:rPr>
        <w:t xml:space="preserve"> Uiteindelijk aanvaar</w:t>
      </w:r>
      <w:r w:rsidR="007741DF" w:rsidRPr="00A33930">
        <w:rPr>
          <w:rFonts w:eastAsia="Verdana" w:cs="Verdana"/>
          <w:szCs w:val="18"/>
          <w:lang w:val="nl-NL"/>
        </w:rPr>
        <w:t>d</w:t>
      </w:r>
      <w:r w:rsidR="000C67D5" w:rsidRPr="00A33930">
        <w:rPr>
          <w:rFonts w:eastAsia="Verdana" w:cs="Verdana"/>
          <w:szCs w:val="18"/>
          <w:lang w:val="nl-NL"/>
        </w:rPr>
        <w:t xml:space="preserve">de het Hof van Cassatie de directe werking van artikel 8 EVRM en wijst het Hof </w:t>
      </w:r>
      <w:r w:rsidRPr="00A33930">
        <w:rPr>
          <w:rFonts w:eastAsia="Verdana" w:cs="Verdana"/>
          <w:szCs w:val="18"/>
          <w:lang w:val="nl-NL"/>
        </w:rPr>
        <w:t>erop dat aan het volledig EVRM directe werking moet worden verleend</w:t>
      </w:r>
      <w:r w:rsidR="0013367D" w:rsidRPr="00A33930">
        <w:rPr>
          <w:rFonts w:eastAsia="Verdana" w:cs="Verdana"/>
          <w:szCs w:val="18"/>
          <w:lang w:val="nl-NL"/>
        </w:rPr>
        <w:t>.</w:t>
      </w:r>
      <w:r w:rsidR="0013367D" w:rsidRPr="00A33930">
        <w:rPr>
          <w:rStyle w:val="Voetnootmarkering"/>
          <w:rFonts w:eastAsia="Verdana" w:cs="Verdana"/>
          <w:szCs w:val="18"/>
          <w:lang w:val="nl-NL"/>
        </w:rPr>
        <w:footnoteReference w:id="163"/>
      </w:r>
      <w:r w:rsidRPr="00A33930">
        <w:rPr>
          <w:rFonts w:eastAsia="Verdana" w:cs="Verdana"/>
          <w:szCs w:val="18"/>
          <w:lang w:val="nl-NL"/>
        </w:rPr>
        <w:t xml:space="preserve"> </w:t>
      </w:r>
      <w:r w:rsidR="0013367D" w:rsidRPr="00A33930">
        <w:rPr>
          <w:rFonts w:eastAsia="Verdana" w:cs="Verdana"/>
          <w:szCs w:val="18"/>
          <w:lang w:val="nl-NL"/>
        </w:rPr>
        <w:t>Dit</w:t>
      </w:r>
      <w:r w:rsidRPr="00A33930">
        <w:rPr>
          <w:rFonts w:eastAsia="Verdana" w:cs="Verdana"/>
          <w:szCs w:val="18"/>
          <w:lang w:val="nl-NL"/>
        </w:rPr>
        <w:t xml:space="preserve"> zorgt voor een sterke doorwerking </w:t>
      </w:r>
      <w:r w:rsidR="0013367D" w:rsidRPr="00A33930">
        <w:rPr>
          <w:rFonts w:eastAsia="Verdana" w:cs="Verdana"/>
          <w:szCs w:val="18"/>
          <w:lang w:val="nl-NL"/>
        </w:rPr>
        <w:t xml:space="preserve">van het EVRM </w:t>
      </w:r>
      <w:r w:rsidRPr="00A33930">
        <w:rPr>
          <w:rFonts w:eastAsia="Verdana" w:cs="Verdana"/>
          <w:szCs w:val="18"/>
          <w:lang w:val="nl-NL"/>
        </w:rPr>
        <w:t>in de Belgische regelgeving.</w:t>
      </w:r>
      <w:r w:rsidR="0083425D" w:rsidRPr="00A33930">
        <w:rPr>
          <w:rFonts w:eastAsia="Verdana" w:cs="Verdana"/>
          <w:szCs w:val="18"/>
          <w:lang w:val="nl-NL"/>
        </w:rPr>
        <w:t xml:space="preserve"> </w:t>
      </w:r>
      <w:r w:rsidR="000C67D5" w:rsidRPr="00A33930">
        <w:rPr>
          <w:rFonts w:eastAsia="Verdana" w:cs="Verdana"/>
          <w:szCs w:val="18"/>
          <w:lang w:val="nl-NL"/>
        </w:rPr>
        <w:t xml:space="preserve">Dit </w:t>
      </w:r>
      <w:r w:rsidR="0013367D" w:rsidRPr="00A33930">
        <w:rPr>
          <w:rFonts w:eastAsia="Verdana" w:cs="Verdana"/>
          <w:szCs w:val="18"/>
          <w:lang w:val="nl-NL"/>
        </w:rPr>
        <w:t xml:space="preserve">staat in contrast met </w:t>
      </w:r>
      <w:r w:rsidR="009E6274" w:rsidRPr="00A33930">
        <w:rPr>
          <w:rFonts w:eastAsia="Verdana" w:cs="Verdana"/>
          <w:szCs w:val="18"/>
          <w:lang w:val="nl-NL"/>
        </w:rPr>
        <w:t>de toepassing van het</w:t>
      </w:r>
      <w:r w:rsidR="000C67D5" w:rsidRPr="00A33930">
        <w:rPr>
          <w:rFonts w:eastAsia="Verdana" w:cs="Verdana"/>
          <w:szCs w:val="18"/>
          <w:lang w:val="nl-NL"/>
        </w:rPr>
        <w:t xml:space="preserve"> IVRK</w:t>
      </w:r>
      <w:r w:rsidR="009E6274" w:rsidRPr="00A33930">
        <w:rPr>
          <w:rFonts w:eastAsia="Verdana" w:cs="Verdana"/>
          <w:szCs w:val="18"/>
          <w:lang w:val="nl-NL"/>
        </w:rPr>
        <w:t xml:space="preserve"> in België</w:t>
      </w:r>
      <w:r w:rsidR="000C67D5" w:rsidRPr="00A33930">
        <w:rPr>
          <w:rFonts w:eastAsia="Verdana" w:cs="Verdana"/>
          <w:szCs w:val="18"/>
          <w:lang w:val="nl-NL"/>
        </w:rPr>
        <w:t xml:space="preserve">, waar een beoordeling </w:t>
      </w:r>
      <w:r w:rsidR="000C67D5" w:rsidRPr="00A33930">
        <w:rPr>
          <w:rFonts w:eastAsia="Verdana" w:cs="Verdana"/>
          <w:i/>
          <w:iCs/>
          <w:szCs w:val="18"/>
          <w:lang w:val="nl-NL"/>
        </w:rPr>
        <w:t>in concreto</w:t>
      </w:r>
      <w:r w:rsidR="000C67D5" w:rsidRPr="00A33930">
        <w:rPr>
          <w:rFonts w:eastAsia="Verdana" w:cs="Verdana"/>
          <w:szCs w:val="18"/>
          <w:lang w:val="nl-NL"/>
        </w:rPr>
        <w:t xml:space="preserve"> </w:t>
      </w:r>
      <w:r w:rsidR="0013367D" w:rsidRPr="00A33930">
        <w:rPr>
          <w:rFonts w:eastAsia="Verdana" w:cs="Verdana"/>
          <w:szCs w:val="18"/>
          <w:lang w:val="nl-NL"/>
        </w:rPr>
        <w:t xml:space="preserve">steeds </w:t>
      </w:r>
      <w:r w:rsidR="000C67D5" w:rsidRPr="00A33930">
        <w:rPr>
          <w:rFonts w:eastAsia="Verdana" w:cs="Verdana"/>
          <w:szCs w:val="18"/>
          <w:lang w:val="nl-NL"/>
        </w:rPr>
        <w:t>noodzakelijk blijft (</w:t>
      </w:r>
      <w:r w:rsidR="000C67D5" w:rsidRPr="00A33930">
        <w:rPr>
          <w:rFonts w:eastAsia="Verdana" w:cs="Verdana"/>
          <w:i/>
          <w:iCs/>
          <w:szCs w:val="18"/>
          <w:lang w:val="nl-NL"/>
        </w:rPr>
        <w:t>supra</w:t>
      </w:r>
      <w:r w:rsidR="000C67D5" w:rsidRPr="00A33930">
        <w:rPr>
          <w:rFonts w:eastAsia="Verdana" w:cs="Verdana"/>
          <w:szCs w:val="18"/>
          <w:lang w:val="nl-NL"/>
        </w:rPr>
        <w:t xml:space="preserve">, nr. </w:t>
      </w:r>
      <w:r w:rsidR="001018C5" w:rsidRPr="00A33930">
        <w:rPr>
          <w:rFonts w:eastAsia="Verdana" w:cs="Verdana"/>
          <w:szCs w:val="18"/>
          <w:lang w:val="nl-NL"/>
        </w:rPr>
        <w:t>30</w:t>
      </w:r>
      <w:r w:rsidR="000C67D5" w:rsidRPr="00A33930">
        <w:rPr>
          <w:rFonts w:eastAsia="Verdana" w:cs="Verdana"/>
          <w:szCs w:val="18"/>
          <w:lang w:val="nl-NL"/>
        </w:rPr>
        <w:t>).</w:t>
      </w:r>
    </w:p>
    <w:p w14:paraId="3F13F0AF" w14:textId="77777777" w:rsidR="000C67D5" w:rsidRPr="00A33930" w:rsidRDefault="000C67D5" w:rsidP="000C67D5">
      <w:pPr>
        <w:pStyle w:val="Lijstalinea"/>
        <w:spacing w:before="200" w:after="0"/>
        <w:ind w:left="0"/>
        <w:jc w:val="both"/>
        <w:rPr>
          <w:rFonts w:eastAsia="Verdana" w:cs="Verdana"/>
          <w:szCs w:val="18"/>
          <w:lang w:val="nl-NL"/>
        </w:rPr>
      </w:pPr>
    </w:p>
    <w:p w14:paraId="420AEA19" w14:textId="54E10F6D" w:rsidR="0013367D" w:rsidRPr="00A33930" w:rsidRDefault="0013367D" w:rsidP="000C67D5">
      <w:pPr>
        <w:pStyle w:val="Lijstalinea"/>
        <w:spacing w:before="200" w:after="0"/>
        <w:ind w:left="0"/>
        <w:jc w:val="both"/>
        <w:rPr>
          <w:rFonts w:eastAsia="Verdana" w:cs="Verdana"/>
          <w:szCs w:val="18"/>
          <w:lang w:val="nl-NL"/>
        </w:rPr>
      </w:pPr>
      <w:r w:rsidRPr="00A33930">
        <w:rPr>
          <w:rFonts w:eastAsia="Verdana" w:cs="Verdana"/>
          <w:szCs w:val="18"/>
          <w:lang w:val="nl-NL"/>
        </w:rPr>
        <w:t xml:space="preserve">In het Nederlands recht is het uitgangspunt dat het EVRM automatisch interne werking heeft in de nationale rechtsorde en </w:t>
      </w:r>
      <w:r w:rsidR="00432C26" w:rsidRPr="00A33930">
        <w:rPr>
          <w:rFonts w:eastAsia="Verdana" w:cs="Verdana"/>
          <w:szCs w:val="18"/>
          <w:lang w:val="nl-NL"/>
        </w:rPr>
        <w:t>tevens</w:t>
      </w:r>
      <w:r w:rsidRPr="00A33930">
        <w:rPr>
          <w:rFonts w:eastAsia="Verdana" w:cs="Verdana"/>
          <w:szCs w:val="18"/>
          <w:lang w:val="nl-NL"/>
        </w:rPr>
        <w:t xml:space="preserve"> directe werking verkrijgt</w:t>
      </w:r>
      <w:r w:rsidR="000C67D5" w:rsidRPr="00A33930">
        <w:rPr>
          <w:rFonts w:eastAsia="Verdana" w:cs="Verdana"/>
          <w:szCs w:val="18"/>
          <w:lang w:val="nl-NL"/>
        </w:rPr>
        <w:t>.</w:t>
      </w:r>
      <w:r w:rsidR="000C67D5" w:rsidRPr="00A33930">
        <w:rPr>
          <w:rStyle w:val="Voetnootmarkering"/>
          <w:rFonts w:eastAsia="Verdana" w:cs="Verdana"/>
          <w:szCs w:val="18"/>
          <w:lang w:val="nl-NL"/>
        </w:rPr>
        <w:footnoteReference w:id="164"/>
      </w:r>
      <w:r w:rsidRPr="00A33930">
        <w:rPr>
          <w:rFonts w:eastAsia="Verdana" w:cs="Verdana"/>
          <w:szCs w:val="18"/>
          <w:lang w:val="nl-NL"/>
        </w:rPr>
        <w:t xml:space="preserve"> Voor het EVRM geldt </w:t>
      </w:r>
      <w:r w:rsidR="00432C26" w:rsidRPr="00A33930">
        <w:rPr>
          <w:rFonts w:eastAsia="Verdana" w:cs="Verdana"/>
          <w:szCs w:val="18"/>
          <w:lang w:val="nl-NL"/>
        </w:rPr>
        <w:t xml:space="preserve">zodus </w:t>
      </w:r>
      <w:r w:rsidRPr="00A33930">
        <w:rPr>
          <w:rFonts w:eastAsia="Verdana" w:cs="Verdana"/>
          <w:szCs w:val="18"/>
          <w:lang w:val="nl-NL"/>
        </w:rPr>
        <w:t xml:space="preserve">dat doorgaans </w:t>
      </w:r>
      <w:r w:rsidR="00DE65A0" w:rsidRPr="00A33930">
        <w:rPr>
          <w:rFonts w:eastAsia="Verdana" w:cs="Verdana"/>
          <w:szCs w:val="18"/>
          <w:lang w:val="nl-NL"/>
        </w:rPr>
        <w:t>directe</w:t>
      </w:r>
      <w:r w:rsidRPr="00A33930">
        <w:rPr>
          <w:rFonts w:eastAsia="Verdana" w:cs="Verdana"/>
          <w:szCs w:val="18"/>
          <w:lang w:val="nl-NL"/>
        </w:rPr>
        <w:t xml:space="preserve"> werking wordt aanvaard.</w:t>
      </w:r>
      <w:r w:rsidRPr="00A33930">
        <w:rPr>
          <w:rStyle w:val="Voetnootmarkering"/>
          <w:rFonts w:eastAsia="Verdana" w:cs="Verdana"/>
          <w:szCs w:val="18"/>
          <w:lang w:val="nl-NL"/>
        </w:rPr>
        <w:footnoteReference w:id="165"/>
      </w:r>
      <w:r w:rsidRPr="00A33930">
        <w:rPr>
          <w:rFonts w:eastAsia="Verdana" w:cs="Verdana"/>
          <w:szCs w:val="18"/>
          <w:lang w:val="nl-NL"/>
        </w:rPr>
        <w:t xml:space="preserve"> De bepalingen van het EVRM worden in de Nederlandse rechtspraak aangemerkt als “eenieder verbindend” en er wordt in het Nederlands recht voorrang verleend aan de bepalingen uit het EVRM, zelfs boven de </w:t>
      </w:r>
      <w:r w:rsidR="00262E84" w:rsidRPr="00A33930">
        <w:rPr>
          <w:rFonts w:eastAsia="Verdana" w:cs="Verdana"/>
          <w:szCs w:val="18"/>
          <w:lang w:val="nl-NL"/>
        </w:rPr>
        <w:t>G</w:t>
      </w:r>
      <w:r w:rsidRPr="00A33930">
        <w:rPr>
          <w:rFonts w:eastAsia="Verdana" w:cs="Verdana"/>
          <w:szCs w:val="18"/>
          <w:lang w:val="nl-NL"/>
        </w:rPr>
        <w:t>rondwet. De uitspraken van het EHRM zijn binnen de Nederlandse rechtsorde tevens gezaghebbende interpretaties</w:t>
      </w:r>
      <w:r w:rsidR="00262E84" w:rsidRPr="00A33930">
        <w:rPr>
          <w:rFonts w:eastAsia="Verdana" w:cs="Verdana"/>
          <w:szCs w:val="18"/>
          <w:lang w:val="nl-NL"/>
        </w:rPr>
        <w:t xml:space="preserve"> </w:t>
      </w:r>
      <w:r w:rsidRPr="00A33930">
        <w:rPr>
          <w:rFonts w:eastAsia="Verdana" w:cs="Verdana"/>
          <w:szCs w:val="18"/>
          <w:lang w:val="nl-NL"/>
        </w:rPr>
        <w:t>waar</w:t>
      </w:r>
      <w:r w:rsidR="00262E84" w:rsidRPr="00A33930">
        <w:rPr>
          <w:rFonts w:eastAsia="Verdana" w:cs="Verdana"/>
          <w:szCs w:val="18"/>
          <w:lang w:val="nl-NL"/>
        </w:rPr>
        <w:t>mee</w:t>
      </w:r>
      <w:r w:rsidRPr="00A33930">
        <w:rPr>
          <w:rFonts w:eastAsia="Verdana" w:cs="Verdana"/>
          <w:szCs w:val="18"/>
          <w:lang w:val="nl-NL"/>
        </w:rPr>
        <w:t xml:space="preserve"> de nationale rechter, wetgever en het bestuur rekening moeten houden.</w:t>
      </w:r>
      <w:r w:rsidRPr="00A33930">
        <w:rPr>
          <w:rStyle w:val="Voetnootmarkering"/>
          <w:rFonts w:eastAsia="Verdana" w:cs="Verdana"/>
          <w:szCs w:val="18"/>
          <w:lang w:val="nl-NL"/>
        </w:rPr>
        <w:footnoteReference w:id="166"/>
      </w:r>
    </w:p>
    <w:p w14:paraId="49CF3B53" w14:textId="77777777" w:rsidR="0013367D" w:rsidRPr="00A33930" w:rsidRDefault="0013367D" w:rsidP="000C67D5">
      <w:pPr>
        <w:pStyle w:val="Lijstalinea"/>
        <w:spacing w:before="200" w:after="0"/>
        <w:ind w:left="0"/>
        <w:jc w:val="both"/>
        <w:rPr>
          <w:rFonts w:eastAsia="Verdana" w:cs="Verdana"/>
          <w:szCs w:val="18"/>
          <w:lang w:val="nl-NL"/>
        </w:rPr>
      </w:pPr>
    </w:p>
    <w:p w14:paraId="488B238D" w14:textId="473ED7A4" w:rsidR="003E0561" w:rsidRPr="00A33930" w:rsidRDefault="000C67D5" w:rsidP="0013367D">
      <w:pPr>
        <w:pStyle w:val="Lijstalinea"/>
        <w:spacing w:before="200" w:after="0"/>
        <w:ind w:left="0"/>
        <w:jc w:val="both"/>
        <w:rPr>
          <w:rFonts w:eastAsia="Verdana" w:cs="Verdana"/>
          <w:b/>
          <w:bCs/>
          <w:szCs w:val="18"/>
          <w:lang w:val="nl-NL"/>
        </w:rPr>
      </w:pPr>
      <w:r w:rsidRPr="00A33930">
        <w:rPr>
          <w:rFonts w:eastAsia="Verdana" w:cs="Verdana"/>
          <w:szCs w:val="18"/>
          <w:lang w:val="nl-NL"/>
        </w:rPr>
        <w:t>Voor Duitsland geldt een dualistisch systeem (</w:t>
      </w:r>
      <w:r w:rsidRPr="00A33930">
        <w:rPr>
          <w:rFonts w:eastAsia="Verdana" w:cs="Verdana"/>
          <w:i/>
          <w:iCs/>
          <w:szCs w:val="18"/>
          <w:lang w:val="nl-NL"/>
        </w:rPr>
        <w:t>supra</w:t>
      </w:r>
      <w:r w:rsidRPr="00A33930">
        <w:rPr>
          <w:rFonts w:eastAsia="Verdana" w:cs="Verdana"/>
          <w:szCs w:val="18"/>
          <w:lang w:val="nl-NL"/>
        </w:rPr>
        <w:t xml:space="preserve">, nr. </w:t>
      </w:r>
      <w:r w:rsidR="001018C5" w:rsidRPr="00A33930">
        <w:rPr>
          <w:rFonts w:eastAsia="Verdana" w:cs="Verdana"/>
          <w:szCs w:val="18"/>
          <w:lang w:val="nl-NL"/>
        </w:rPr>
        <w:t>30</w:t>
      </w:r>
      <w:r w:rsidRPr="00A33930">
        <w:rPr>
          <w:rFonts w:eastAsia="Verdana" w:cs="Verdana"/>
          <w:szCs w:val="18"/>
          <w:lang w:val="nl-NL"/>
        </w:rPr>
        <w:t xml:space="preserve">). </w:t>
      </w:r>
      <w:r w:rsidR="0013367D" w:rsidRPr="00A33930">
        <w:rPr>
          <w:rFonts w:eastAsia="Verdana" w:cs="Verdana"/>
          <w:szCs w:val="18"/>
          <w:lang w:val="nl-NL"/>
        </w:rPr>
        <w:t>Het EVRM is in Duitsland omgezet middels Bondswet van 7 augustus 1952.</w:t>
      </w:r>
      <w:r w:rsidR="0013367D" w:rsidRPr="00A33930">
        <w:rPr>
          <w:rStyle w:val="Voetnootmarkering"/>
          <w:rFonts w:eastAsia="Verdana" w:cs="Verdana"/>
          <w:szCs w:val="18"/>
          <w:lang w:val="nl-NL"/>
        </w:rPr>
        <w:footnoteReference w:id="167"/>
      </w:r>
      <w:r w:rsidR="0013367D" w:rsidRPr="00A33930">
        <w:rPr>
          <w:rFonts w:eastAsia="Verdana" w:cs="Verdana"/>
          <w:szCs w:val="18"/>
          <w:lang w:val="nl-NL"/>
        </w:rPr>
        <w:t xml:space="preserve"> In</w:t>
      </w:r>
      <w:r w:rsidRPr="00A33930">
        <w:rPr>
          <w:rFonts w:eastAsia="Verdana" w:cs="Verdana"/>
          <w:szCs w:val="18"/>
          <w:lang w:val="nl-NL"/>
        </w:rPr>
        <w:t xml:space="preserve"> het Görgülü-arrest uit 2004</w:t>
      </w:r>
      <w:r w:rsidR="0013367D" w:rsidRPr="00A33930">
        <w:rPr>
          <w:rFonts w:eastAsia="Verdana" w:cs="Verdana"/>
          <w:szCs w:val="18"/>
          <w:lang w:val="nl-NL"/>
        </w:rPr>
        <w:t>, dat kadert binnen het recht op persoonlijk contact,</w:t>
      </w:r>
      <w:r w:rsidRPr="00A33930">
        <w:rPr>
          <w:rFonts w:eastAsia="Verdana" w:cs="Verdana"/>
          <w:szCs w:val="18"/>
          <w:lang w:val="nl-NL"/>
        </w:rPr>
        <w:t xml:space="preserve"> heeft het </w:t>
      </w:r>
      <w:r w:rsidR="0013367D" w:rsidRPr="00A33930">
        <w:rPr>
          <w:rFonts w:eastAsia="Verdana" w:cs="Verdana"/>
          <w:szCs w:val="18"/>
          <w:lang w:val="nl-NL"/>
        </w:rPr>
        <w:t>BVerfG</w:t>
      </w:r>
      <w:r w:rsidRPr="00A33930">
        <w:rPr>
          <w:rFonts w:eastAsia="Verdana" w:cs="Verdana"/>
          <w:szCs w:val="18"/>
          <w:lang w:val="nl-NL"/>
        </w:rPr>
        <w:t xml:space="preserve"> directe werking toegekend aan alle artikelen van het EVRM.</w:t>
      </w:r>
      <w:r w:rsidRPr="00A33930">
        <w:rPr>
          <w:rStyle w:val="Voetnootmarkering"/>
          <w:rFonts w:eastAsia="Verdana" w:cs="Verdana"/>
          <w:szCs w:val="18"/>
          <w:lang w:val="nl-NL"/>
        </w:rPr>
        <w:footnoteReference w:id="168"/>
      </w:r>
      <w:r w:rsidR="0013367D" w:rsidRPr="00A33930">
        <w:rPr>
          <w:rFonts w:eastAsia="Verdana" w:cs="Verdana"/>
          <w:szCs w:val="18"/>
          <w:lang w:val="nl-NL"/>
        </w:rPr>
        <w:t xml:space="preserve"> Het BVerfG geeft hierbij aan dat het de uitspraken van het EHRM niet blindelings zal volgen </w:t>
      </w:r>
      <w:r w:rsidR="0013367D" w:rsidRPr="00A33930">
        <w:rPr>
          <w:rFonts w:eastAsia="Verdana" w:cs="Verdana"/>
          <w:szCs w:val="18"/>
          <w:lang w:val="nl-NL"/>
        </w:rPr>
        <w:lastRenderedPageBreak/>
        <w:t>maar dat het EVRM als gezaghebbende bron geldt binnen het Duitse recht.</w:t>
      </w:r>
      <w:r w:rsidR="0013367D" w:rsidRPr="00A33930">
        <w:rPr>
          <w:rStyle w:val="Voetnootmarkering"/>
          <w:rFonts w:eastAsia="Verdana" w:cs="Verdana"/>
          <w:szCs w:val="18"/>
          <w:lang w:val="nl-NL"/>
        </w:rPr>
        <w:footnoteReference w:id="169"/>
      </w:r>
      <w:r w:rsidR="00EB7FCD" w:rsidRPr="00A33930">
        <w:rPr>
          <w:rFonts w:eastAsia="Verdana" w:cs="Verdana"/>
          <w:szCs w:val="18"/>
          <w:lang w:val="nl-NL"/>
        </w:rPr>
        <w:t xml:space="preserve"> Er wordt zodus rekening gehouden met het EVRM bij de interpretatie van het nationale recht.</w:t>
      </w:r>
    </w:p>
    <w:p w14:paraId="007048AF" w14:textId="6B39D834" w:rsidR="0052174D" w:rsidRPr="00A33930" w:rsidRDefault="00DB6174" w:rsidP="00D2053D">
      <w:pPr>
        <w:pStyle w:val="Kop3"/>
        <w:numPr>
          <w:ilvl w:val="0"/>
          <w:numId w:val="0"/>
        </w:numPr>
        <w:spacing w:before="360"/>
        <w:ind w:left="357" w:hanging="357"/>
        <w:jc w:val="both"/>
        <w:rPr>
          <w:lang w:val="nl-NL"/>
        </w:rPr>
      </w:pPr>
      <w:bookmarkStart w:id="20" w:name="_Toc134621179"/>
      <w:r w:rsidRPr="00A33930">
        <w:rPr>
          <w:lang w:val="nl-NL"/>
        </w:rPr>
        <w:t>Afdeling III</w:t>
      </w:r>
      <w:r w:rsidR="00894D01" w:rsidRPr="00A33930">
        <w:rPr>
          <w:lang w:val="nl-NL"/>
        </w:rPr>
        <w:t>.</w:t>
      </w:r>
      <w:r w:rsidR="0097678D" w:rsidRPr="00A33930">
        <w:rPr>
          <w:lang w:val="nl-NL"/>
        </w:rPr>
        <w:tab/>
      </w:r>
      <w:r w:rsidR="0097678D" w:rsidRPr="00A33930">
        <w:rPr>
          <w:lang w:val="nl-NL"/>
        </w:rPr>
        <w:tab/>
      </w:r>
      <w:r w:rsidR="00E7305E" w:rsidRPr="00A33930">
        <w:rPr>
          <w:lang w:val="nl-NL"/>
        </w:rPr>
        <w:t>Leidende beginselen</w:t>
      </w:r>
      <w:bookmarkEnd w:id="20"/>
    </w:p>
    <w:p w14:paraId="020F67B4" w14:textId="4F05098C" w:rsidR="008B198E" w:rsidRPr="00A33930" w:rsidRDefault="008B198E" w:rsidP="00053138">
      <w:pPr>
        <w:pStyle w:val="Kop4"/>
        <w:spacing w:before="240" w:after="120"/>
        <w:jc w:val="both"/>
        <w:rPr>
          <w:rFonts w:ascii="Verdana" w:hAnsi="Verdana"/>
          <w:b/>
          <w:bCs/>
          <w:color w:val="auto"/>
          <w:szCs w:val="18"/>
          <w:lang w:val="nl-NL"/>
        </w:rPr>
      </w:pPr>
      <w:r w:rsidRPr="00A33930">
        <w:rPr>
          <w:rFonts w:ascii="Verdana" w:hAnsi="Verdana"/>
          <w:b/>
          <w:bCs/>
          <w:color w:val="auto"/>
          <w:szCs w:val="18"/>
          <w:lang w:val="nl-NL"/>
        </w:rPr>
        <w:t>§1.</w:t>
      </w:r>
      <w:r w:rsidRPr="00A33930">
        <w:rPr>
          <w:rFonts w:ascii="Verdana" w:hAnsi="Verdana"/>
          <w:b/>
          <w:bCs/>
          <w:color w:val="auto"/>
          <w:szCs w:val="18"/>
          <w:lang w:val="nl-NL"/>
        </w:rPr>
        <w:tab/>
        <w:t>Kind als rechtssubject</w:t>
      </w:r>
    </w:p>
    <w:p w14:paraId="4ABEDDC5" w14:textId="6F9E98FD" w:rsidR="003E0561" w:rsidRPr="00A33930" w:rsidRDefault="00D76726" w:rsidP="00F00230">
      <w:pPr>
        <w:pStyle w:val="Lijstalinea"/>
        <w:numPr>
          <w:ilvl w:val="0"/>
          <w:numId w:val="4"/>
        </w:numPr>
        <w:spacing w:before="200" w:after="0"/>
        <w:ind w:left="0" w:firstLine="0"/>
        <w:jc w:val="both"/>
        <w:rPr>
          <w:rFonts w:eastAsia="Verdana" w:cs="Verdana"/>
          <w:b/>
          <w:bCs/>
          <w:szCs w:val="18"/>
          <w:lang w:val="nl-NL"/>
        </w:rPr>
      </w:pPr>
      <w:r w:rsidRPr="00A33930">
        <w:rPr>
          <w:rFonts w:eastAsia="Verdana" w:cs="Verdana"/>
          <w:szCs w:val="18"/>
          <w:lang w:val="nl-NL"/>
        </w:rPr>
        <w:t xml:space="preserve">Zoals reeds aangehaald bevat het EVRM geen </w:t>
      </w:r>
      <w:r w:rsidR="001003EB" w:rsidRPr="00A33930">
        <w:rPr>
          <w:rFonts w:eastAsia="Verdana" w:cs="Verdana"/>
          <w:szCs w:val="18"/>
          <w:lang w:val="nl-NL"/>
        </w:rPr>
        <w:t>“</w:t>
      </w:r>
      <w:r w:rsidRPr="00A33930">
        <w:rPr>
          <w:rFonts w:eastAsia="Verdana" w:cs="Verdana"/>
          <w:szCs w:val="18"/>
          <w:lang w:val="nl-NL"/>
        </w:rPr>
        <w:t>echte</w:t>
      </w:r>
      <w:r w:rsidR="001003EB" w:rsidRPr="00A33930">
        <w:rPr>
          <w:rFonts w:eastAsia="Verdana" w:cs="Verdana"/>
          <w:szCs w:val="18"/>
          <w:lang w:val="nl-NL"/>
        </w:rPr>
        <w:t>”</w:t>
      </w:r>
      <w:r w:rsidRPr="00A33930">
        <w:rPr>
          <w:rFonts w:eastAsia="Verdana" w:cs="Verdana"/>
          <w:szCs w:val="18"/>
          <w:lang w:val="nl-NL"/>
        </w:rPr>
        <w:t xml:space="preserve"> kinderrechten. </w:t>
      </w:r>
      <w:r w:rsidR="00AE1FC7" w:rsidRPr="00A33930">
        <w:rPr>
          <w:rFonts w:eastAsia="Verdana" w:cs="Verdana"/>
          <w:szCs w:val="18"/>
          <w:lang w:val="nl-NL"/>
        </w:rPr>
        <w:t xml:space="preserve">Het ontbreken van expliciete verwijzingen naar </w:t>
      </w:r>
      <w:r w:rsidR="00D14322" w:rsidRPr="00A33930">
        <w:rPr>
          <w:rFonts w:eastAsia="Verdana" w:cs="Verdana"/>
          <w:szCs w:val="18"/>
          <w:lang w:val="nl-NL"/>
        </w:rPr>
        <w:t xml:space="preserve">kinderrechten </w:t>
      </w:r>
      <w:r w:rsidR="00AE1FC7" w:rsidRPr="00A33930">
        <w:rPr>
          <w:rFonts w:eastAsia="Verdana" w:cs="Verdana"/>
          <w:szCs w:val="18"/>
          <w:lang w:val="nl-NL"/>
        </w:rPr>
        <w:t xml:space="preserve">in het EVRM is </w:t>
      </w:r>
      <w:r w:rsidR="00D14322" w:rsidRPr="00A33930">
        <w:rPr>
          <w:rFonts w:eastAsia="Verdana" w:cs="Verdana"/>
          <w:szCs w:val="18"/>
          <w:lang w:val="nl-NL"/>
        </w:rPr>
        <w:t>o</w:t>
      </w:r>
      <w:r w:rsidR="00B35298" w:rsidRPr="00A33930">
        <w:rPr>
          <w:rFonts w:eastAsia="Verdana" w:cs="Verdana"/>
          <w:szCs w:val="18"/>
          <w:lang w:val="nl-NL"/>
        </w:rPr>
        <w:t>nder meer</w:t>
      </w:r>
      <w:r w:rsidR="00D14322" w:rsidRPr="00A33930">
        <w:rPr>
          <w:rFonts w:eastAsia="Verdana" w:cs="Verdana"/>
          <w:szCs w:val="18"/>
          <w:lang w:val="nl-NL"/>
        </w:rPr>
        <w:t xml:space="preserve"> </w:t>
      </w:r>
      <w:r w:rsidR="00AE1FC7" w:rsidRPr="00A33930">
        <w:rPr>
          <w:rFonts w:eastAsia="Verdana" w:cs="Verdana"/>
          <w:szCs w:val="18"/>
          <w:lang w:val="nl-NL"/>
        </w:rPr>
        <w:t>te wijten aan de ontstaansperiode van het Verdrag</w:t>
      </w:r>
      <w:r w:rsidR="0013367D" w:rsidRPr="00A33930">
        <w:rPr>
          <w:rFonts w:eastAsia="Verdana" w:cs="Verdana"/>
          <w:szCs w:val="18"/>
          <w:lang w:val="nl-NL"/>
        </w:rPr>
        <w:t xml:space="preserve"> (</w:t>
      </w:r>
      <w:r w:rsidR="0013367D" w:rsidRPr="00A33930">
        <w:rPr>
          <w:rFonts w:eastAsia="Verdana" w:cs="Verdana"/>
          <w:i/>
          <w:iCs/>
          <w:szCs w:val="18"/>
          <w:lang w:val="nl-NL"/>
        </w:rPr>
        <w:t>supra</w:t>
      </w:r>
      <w:r w:rsidR="0013367D" w:rsidRPr="00A33930">
        <w:rPr>
          <w:rFonts w:eastAsia="Verdana" w:cs="Verdana"/>
          <w:szCs w:val="18"/>
          <w:lang w:val="nl-NL"/>
        </w:rPr>
        <w:t xml:space="preserve">, nr. </w:t>
      </w:r>
      <w:r w:rsidR="001018C5" w:rsidRPr="00A33930">
        <w:rPr>
          <w:rFonts w:eastAsia="Verdana" w:cs="Verdana"/>
          <w:szCs w:val="18"/>
          <w:lang w:val="nl-NL"/>
        </w:rPr>
        <w:t>42</w:t>
      </w:r>
      <w:r w:rsidR="0013367D" w:rsidRPr="00A33930">
        <w:rPr>
          <w:rFonts w:eastAsia="Verdana" w:cs="Verdana"/>
          <w:szCs w:val="18"/>
          <w:lang w:val="nl-NL"/>
        </w:rPr>
        <w:t>)</w:t>
      </w:r>
      <w:r w:rsidR="00AE1FC7" w:rsidRPr="00A33930">
        <w:rPr>
          <w:rFonts w:eastAsia="Verdana" w:cs="Verdana"/>
          <w:szCs w:val="18"/>
          <w:lang w:val="nl-NL"/>
        </w:rPr>
        <w:t xml:space="preserve">. Het is een instrument </w:t>
      </w:r>
      <w:r w:rsidR="0013367D" w:rsidRPr="00A33930">
        <w:rPr>
          <w:rFonts w:eastAsia="Verdana" w:cs="Verdana"/>
          <w:szCs w:val="18"/>
          <w:lang w:val="nl-NL"/>
        </w:rPr>
        <w:t>opgemaakt</w:t>
      </w:r>
      <w:r w:rsidR="00AE1FC7" w:rsidRPr="00A33930">
        <w:rPr>
          <w:rFonts w:eastAsia="Verdana" w:cs="Verdana"/>
          <w:szCs w:val="18"/>
          <w:lang w:val="nl-NL"/>
        </w:rPr>
        <w:t xml:space="preserve"> </w:t>
      </w:r>
      <w:r w:rsidR="007C3591" w:rsidRPr="00A33930">
        <w:rPr>
          <w:rFonts w:eastAsia="Verdana" w:cs="Verdana"/>
          <w:szCs w:val="18"/>
          <w:lang w:val="nl-NL"/>
        </w:rPr>
        <w:t>net</w:t>
      </w:r>
      <w:r w:rsidR="00AE1FC7" w:rsidRPr="00A33930">
        <w:rPr>
          <w:rFonts w:eastAsia="Verdana" w:cs="Verdana"/>
          <w:szCs w:val="18"/>
          <w:lang w:val="nl-NL"/>
        </w:rPr>
        <w:t xml:space="preserve"> na de Tweede Wereldoorlog,</w:t>
      </w:r>
      <w:r w:rsidR="00AD06B5" w:rsidRPr="00A33930">
        <w:rPr>
          <w:rFonts w:eastAsia="Verdana" w:cs="Verdana"/>
          <w:szCs w:val="18"/>
          <w:lang w:val="nl-NL"/>
        </w:rPr>
        <w:t xml:space="preserve"> dat zich kenmerkt door</w:t>
      </w:r>
      <w:r w:rsidR="00AE1FC7" w:rsidRPr="00A33930">
        <w:rPr>
          <w:rFonts w:eastAsia="Verdana" w:cs="Verdana"/>
          <w:szCs w:val="18"/>
          <w:lang w:val="nl-NL"/>
        </w:rPr>
        <w:t xml:space="preserve"> </w:t>
      </w:r>
      <w:r w:rsidR="001018C5" w:rsidRPr="00A33930">
        <w:rPr>
          <w:rFonts w:eastAsia="Verdana" w:cs="Verdana"/>
          <w:szCs w:val="18"/>
          <w:lang w:val="nl-NL"/>
        </w:rPr>
        <w:t>een volledig verschillend</w:t>
      </w:r>
      <w:r w:rsidR="00AE1FC7" w:rsidRPr="00A33930">
        <w:rPr>
          <w:rFonts w:eastAsia="Verdana" w:cs="Verdana"/>
          <w:szCs w:val="18"/>
          <w:lang w:val="nl-NL"/>
        </w:rPr>
        <w:t xml:space="preserve"> kindperspectief </w:t>
      </w:r>
      <w:r w:rsidR="001018C5" w:rsidRPr="00A33930">
        <w:rPr>
          <w:rFonts w:eastAsia="Verdana" w:cs="Verdana"/>
          <w:szCs w:val="18"/>
          <w:lang w:val="nl-NL"/>
        </w:rPr>
        <w:t>dan dat</w:t>
      </w:r>
      <w:r w:rsidR="00AE1FC7" w:rsidRPr="00A33930">
        <w:rPr>
          <w:rFonts w:eastAsia="Verdana" w:cs="Verdana"/>
          <w:szCs w:val="18"/>
          <w:lang w:val="nl-NL"/>
        </w:rPr>
        <w:t xml:space="preserve"> van vandaag.</w:t>
      </w:r>
      <w:r w:rsidR="00AE1FC7" w:rsidRPr="00A33930">
        <w:rPr>
          <w:rStyle w:val="Voetnootmarkering"/>
          <w:rFonts w:eastAsia="Verdana" w:cs="Verdana"/>
          <w:szCs w:val="18"/>
          <w:lang w:val="nl-NL"/>
        </w:rPr>
        <w:footnoteReference w:id="170"/>
      </w:r>
      <w:r w:rsidR="00AE1FC7" w:rsidRPr="00A33930">
        <w:rPr>
          <w:rFonts w:eastAsia="Verdana" w:cs="Verdana"/>
          <w:szCs w:val="18"/>
          <w:lang w:val="nl-NL"/>
        </w:rPr>
        <w:t xml:space="preserve"> Ondanks deze tijdsgeest wordt het kind in het EVRM </w:t>
      </w:r>
      <w:r w:rsidR="00D14322" w:rsidRPr="00A33930">
        <w:rPr>
          <w:rFonts w:eastAsia="Verdana" w:cs="Verdana"/>
          <w:szCs w:val="18"/>
          <w:lang w:val="nl-NL"/>
        </w:rPr>
        <w:t xml:space="preserve">beschouwd </w:t>
      </w:r>
      <w:r w:rsidR="00AE1FC7" w:rsidRPr="00A33930">
        <w:rPr>
          <w:rFonts w:eastAsia="Verdana" w:cs="Verdana"/>
          <w:szCs w:val="18"/>
          <w:lang w:val="nl-NL"/>
        </w:rPr>
        <w:t>als rechtssubject</w:t>
      </w:r>
      <w:r w:rsidR="00D14322" w:rsidRPr="00A33930">
        <w:rPr>
          <w:rFonts w:eastAsia="Verdana" w:cs="Verdana"/>
          <w:szCs w:val="18"/>
          <w:lang w:val="nl-NL"/>
        </w:rPr>
        <w:t xml:space="preserve"> en dus titularis van eigen rechten</w:t>
      </w:r>
      <w:r w:rsidR="00AE1FC7" w:rsidRPr="00A33930">
        <w:rPr>
          <w:rFonts w:eastAsia="Verdana" w:cs="Verdana"/>
          <w:szCs w:val="18"/>
          <w:lang w:val="nl-NL"/>
        </w:rPr>
        <w:t>.</w:t>
      </w:r>
      <w:r w:rsidR="00AE1FC7" w:rsidRPr="00A33930">
        <w:rPr>
          <w:rStyle w:val="Voetnootmarkering"/>
          <w:rFonts w:eastAsia="Verdana" w:cs="Verdana"/>
          <w:szCs w:val="18"/>
          <w:lang w:val="nl-NL"/>
        </w:rPr>
        <w:footnoteReference w:id="171"/>
      </w:r>
      <w:r w:rsidR="00F00230" w:rsidRPr="00A33930">
        <w:rPr>
          <w:rFonts w:eastAsia="Verdana" w:cs="Verdana"/>
          <w:b/>
          <w:bCs/>
          <w:szCs w:val="18"/>
          <w:lang w:val="nl-NL"/>
        </w:rPr>
        <w:t xml:space="preserve"> </w:t>
      </w:r>
      <w:r w:rsidR="00141D90" w:rsidRPr="00A33930">
        <w:rPr>
          <w:rFonts w:eastAsia="Verdana" w:cs="Verdana"/>
          <w:szCs w:val="18"/>
          <w:lang w:val="nl-NL"/>
        </w:rPr>
        <w:t xml:space="preserve">In het EVRM wordt de benadering uit het IVRK gevolgd </w:t>
      </w:r>
      <w:r w:rsidR="007C3591" w:rsidRPr="00A33930">
        <w:rPr>
          <w:rFonts w:eastAsia="Verdana" w:cs="Verdana"/>
          <w:szCs w:val="18"/>
          <w:lang w:val="nl-NL"/>
        </w:rPr>
        <w:t>waarbij</w:t>
      </w:r>
      <w:r w:rsidR="00141D90" w:rsidRPr="00A33930">
        <w:rPr>
          <w:rFonts w:eastAsia="Verdana" w:cs="Verdana"/>
          <w:szCs w:val="18"/>
          <w:lang w:val="nl-NL"/>
        </w:rPr>
        <w:t xml:space="preserve"> het belang van het kind vooropstaat bij de uitoefening van de ouderlijke verantwoordelijkheden, </w:t>
      </w:r>
      <w:r w:rsidR="00014ED3" w:rsidRPr="00A33930">
        <w:rPr>
          <w:rFonts w:eastAsia="Verdana" w:cs="Verdana"/>
          <w:szCs w:val="18"/>
          <w:lang w:val="nl-NL"/>
        </w:rPr>
        <w:t>rekening houdend</w:t>
      </w:r>
      <w:r w:rsidR="00141D90" w:rsidRPr="00A33930">
        <w:rPr>
          <w:rFonts w:eastAsia="Verdana" w:cs="Verdana"/>
          <w:szCs w:val="18"/>
          <w:lang w:val="nl-NL"/>
        </w:rPr>
        <w:t xml:space="preserve"> met de zich ontwikkelende vermogens van het kind</w:t>
      </w:r>
      <w:r w:rsidR="00AD06B5" w:rsidRPr="00A33930">
        <w:rPr>
          <w:rFonts w:eastAsia="Verdana" w:cs="Verdana"/>
          <w:szCs w:val="18"/>
          <w:lang w:val="nl-NL"/>
        </w:rPr>
        <w:t xml:space="preserve"> (</w:t>
      </w:r>
      <w:r w:rsidR="00AD06B5" w:rsidRPr="00A33930">
        <w:rPr>
          <w:rFonts w:eastAsia="Verdana" w:cs="Verdana"/>
          <w:i/>
          <w:iCs/>
          <w:szCs w:val="18"/>
          <w:lang w:val="nl-NL"/>
        </w:rPr>
        <w:t>supra</w:t>
      </w:r>
      <w:r w:rsidR="00AD06B5" w:rsidRPr="00A33930">
        <w:rPr>
          <w:rFonts w:eastAsia="Verdana" w:cs="Verdana"/>
          <w:szCs w:val="18"/>
          <w:lang w:val="nl-NL"/>
        </w:rPr>
        <w:t>, nr. 41)</w:t>
      </w:r>
      <w:r w:rsidR="00141D90" w:rsidRPr="00A33930">
        <w:rPr>
          <w:rFonts w:eastAsia="Verdana" w:cs="Verdana"/>
          <w:szCs w:val="18"/>
          <w:lang w:val="nl-NL"/>
        </w:rPr>
        <w:t>.</w:t>
      </w:r>
      <w:r w:rsidR="00141D90" w:rsidRPr="00A33930">
        <w:rPr>
          <w:rStyle w:val="Voetnootmarkering"/>
          <w:rFonts w:eastAsia="Verdana" w:cs="Verdana"/>
          <w:szCs w:val="18"/>
          <w:lang w:val="nl-NL"/>
        </w:rPr>
        <w:footnoteReference w:id="172"/>
      </w:r>
      <w:r w:rsidR="003E0561" w:rsidRPr="00A33930">
        <w:rPr>
          <w:rFonts w:eastAsia="Verdana" w:cs="Verdana"/>
          <w:szCs w:val="18"/>
          <w:lang w:val="nl-NL"/>
        </w:rPr>
        <w:t xml:space="preserve"> Het kind als rechtssubject wordt in </w:t>
      </w:r>
      <w:r w:rsidR="00511F88" w:rsidRPr="00A33930">
        <w:rPr>
          <w:rFonts w:eastAsia="Verdana" w:cs="Verdana"/>
          <w:szCs w:val="18"/>
          <w:lang w:val="nl-NL"/>
        </w:rPr>
        <w:t>de rechtspraak van het EHRM</w:t>
      </w:r>
      <w:r w:rsidR="00511F88" w:rsidRPr="00A33930">
        <w:rPr>
          <w:rStyle w:val="Voetnootmarkering"/>
          <w:rFonts w:eastAsia="Verdana" w:cs="Verdana"/>
          <w:szCs w:val="18"/>
          <w:lang w:val="nl-NL"/>
        </w:rPr>
        <w:footnoteReference w:id="173"/>
      </w:r>
      <w:r w:rsidR="00511F88" w:rsidRPr="00A33930">
        <w:rPr>
          <w:rFonts w:eastAsia="Verdana" w:cs="Verdana"/>
          <w:szCs w:val="18"/>
          <w:lang w:val="nl-NL"/>
        </w:rPr>
        <w:t xml:space="preserve">, in </w:t>
      </w:r>
      <w:r w:rsidR="003E0561" w:rsidRPr="00A33930">
        <w:rPr>
          <w:rFonts w:eastAsia="Verdana" w:cs="Verdana"/>
          <w:szCs w:val="18"/>
          <w:lang w:val="nl-NL"/>
        </w:rPr>
        <w:t>de principes van CEFL</w:t>
      </w:r>
      <w:r w:rsidR="003E0561" w:rsidRPr="00A33930">
        <w:rPr>
          <w:rStyle w:val="Voetnootmarkering"/>
          <w:rFonts w:eastAsia="Verdana" w:cs="Verdana"/>
          <w:szCs w:val="18"/>
          <w:lang w:val="nl-NL"/>
        </w:rPr>
        <w:footnoteReference w:id="174"/>
      </w:r>
      <w:r w:rsidR="003E0561" w:rsidRPr="00A33930">
        <w:rPr>
          <w:rFonts w:eastAsia="Verdana" w:cs="Verdana"/>
          <w:szCs w:val="18"/>
          <w:lang w:val="nl-NL"/>
        </w:rPr>
        <w:t xml:space="preserve"> en in de</w:t>
      </w:r>
      <w:r w:rsidR="003E0561" w:rsidRPr="00A33930">
        <w:rPr>
          <w:rFonts w:eastAsia="Verdana" w:cs="Verdana"/>
          <w:b/>
          <w:bCs/>
          <w:szCs w:val="18"/>
          <w:lang w:val="nl-NL"/>
        </w:rPr>
        <w:t xml:space="preserve"> </w:t>
      </w:r>
      <w:r w:rsidR="001B50FD" w:rsidRPr="00A33930">
        <w:rPr>
          <w:rFonts w:eastAsia="Verdana" w:cs="Verdana"/>
          <w:szCs w:val="18"/>
          <w:lang w:val="nl-NL"/>
        </w:rPr>
        <w:t xml:space="preserve">General Comments van het VN-Kinderrechtencomité </w:t>
      </w:r>
      <w:r w:rsidR="003E0561" w:rsidRPr="00A33930">
        <w:rPr>
          <w:rFonts w:eastAsia="Verdana" w:cs="Verdana"/>
          <w:szCs w:val="18"/>
          <w:lang w:val="nl-NL"/>
        </w:rPr>
        <w:t>bevestigd</w:t>
      </w:r>
      <w:r w:rsidR="001B50FD" w:rsidRPr="00A33930">
        <w:rPr>
          <w:rFonts w:eastAsia="Verdana" w:cs="Verdana"/>
          <w:szCs w:val="18"/>
          <w:lang w:val="nl-NL"/>
        </w:rPr>
        <w:t>.</w:t>
      </w:r>
      <w:r w:rsidR="001B50FD" w:rsidRPr="00A33930">
        <w:rPr>
          <w:rStyle w:val="Voetnootmarkering"/>
          <w:rFonts w:eastAsia="Verdana" w:cs="Verdana"/>
          <w:szCs w:val="18"/>
          <w:lang w:val="nl-NL"/>
        </w:rPr>
        <w:footnoteReference w:id="175"/>
      </w:r>
    </w:p>
    <w:p w14:paraId="2B3A063D" w14:textId="77777777" w:rsidR="00F00230" w:rsidRPr="00A33930" w:rsidRDefault="00F00230" w:rsidP="00F00230">
      <w:pPr>
        <w:pStyle w:val="Lijstalinea"/>
        <w:spacing w:before="200" w:after="0"/>
        <w:ind w:left="0"/>
        <w:jc w:val="both"/>
        <w:rPr>
          <w:rFonts w:eastAsia="Verdana" w:cs="Verdana"/>
          <w:b/>
          <w:bCs/>
          <w:szCs w:val="18"/>
          <w:lang w:val="nl-NL"/>
        </w:rPr>
      </w:pPr>
    </w:p>
    <w:p w14:paraId="12D751AE" w14:textId="56623B97" w:rsidR="00AB629D" w:rsidRPr="00A33930" w:rsidRDefault="00AB629D" w:rsidP="00AB629D">
      <w:pPr>
        <w:pStyle w:val="Lijstalinea"/>
        <w:numPr>
          <w:ilvl w:val="0"/>
          <w:numId w:val="4"/>
        </w:numPr>
        <w:spacing w:before="200" w:after="0"/>
        <w:ind w:left="0" w:firstLine="0"/>
        <w:jc w:val="both"/>
        <w:rPr>
          <w:rFonts w:eastAsia="Verdana" w:cs="Verdana"/>
          <w:b/>
          <w:bCs/>
          <w:szCs w:val="18"/>
          <w:lang w:val="nl-NL"/>
        </w:rPr>
      </w:pPr>
      <w:r w:rsidRPr="00A33930">
        <w:rPr>
          <w:rFonts w:eastAsia="Verdana" w:cs="Verdana"/>
          <w:szCs w:val="18"/>
          <w:lang w:val="nl-NL"/>
        </w:rPr>
        <w:t xml:space="preserve">Op Europees niveau is het kind procesbekwaam en </w:t>
      </w:r>
      <w:r w:rsidR="007C3591" w:rsidRPr="00A33930">
        <w:rPr>
          <w:rFonts w:eastAsia="Verdana" w:cs="Verdana"/>
          <w:szCs w:val="18"/>
          <w:lang w:val="nl-NL"/>
        </w:rPr>
        <w:t>heeft</w:t>
      </w:r>
      <w:r w:rsidRPr="00A33930">
        <w:rPr>
          <w:rFonts w:eastAsia="Verdana" w:cs="Verdana"/>
          <w:szCs w:val="18"/>
          <w:lang w:val="nl-NL"/>
        </w:rPr>
        <w:t xml:space="preserve"> de minderjarige de mogelijkheid om in eigen naam en zonder vertegenwoordiging een verzoekschrift in te dienen voor het EHRM ongeacht zijn handelingsonbekwaamheid naar nationaal recht.</w:t>
      </w:r>
      <w:r w:rsidRPr="00A33930">
        <w:rPr>
          <w:rStyle w:val="Voetnootmarkering"/>
          <w:rFonts w:eastAsia="Verdana" w:cs="Verdana"/>
          <w:szCs w:val="18"/>
          <w:lang w:val="nl-NL"/>
        </w:rPr>
        <w:footnoteReference w:id="176"/>
      </w:r>
      <w:r w:rsidRPr="00A33930">
        <w:rPr>
          <w:rFonts w:eastAsia="Verdana" w:cs="Verdana"/>
          <w:szCs w:val="18"/>
          <w:lang w:val="nl-NL"/>
        </w:rPr>
        <w:t xml:space="preserve"> Iedere natuurlijke persoon kan voor het EHRM een verzoekschrift indienen indien hij kan aantonen dat hij slachtoffer is van een schending van een van de bepalingen uit het EVRM.</w:t>
      </w:r>
      <w:r w:rsidRPr="00A33930">
        <w:rPr>
          <w:rStyle w:val="Voetnootmarkering"/>
          <w:rFonts w:eastAsia="Verdana" w:cs="Verdana"/>
          <w:szCs w:val="18"/>
          <w:lang w:val="nl-NL"/>
        </w:rPr>
        <w:footnoteReference w:id="177"/>
      </w:r>
      <w:r w:rsidR="00F00230" w:rsidRPr="00A33930">
        <w:rPr>
          <w:rFonts w:eastAsia="Verdana" w:cs="Verdana"/>
          <w:szCs w:val="18"/>
          <w:lang w:val="nl-NL"/>
        </w:rPr>
        <w:t xml:space="preserve"> De laatste decennia </w:t>
      </w:r>
      <w:r w:rsidR="00B35298" w:rsidRPr="00A33930">
        <w:rPr>
          <w:rFonts w:eastAsia="Verdana" w:cs="Verdana"/>
          <w:szCs w:val="18"/>
          <w:lang w:val="nl-NL"/>
        </w:rPr>
        <w:t>wordt</w:t>
      </w:r>
      <w:r w:rsidR="00F00230" w:rsidRPr="00A33930">
        <w:rPr>
          <w:rFonts w:eastAsia="Verdana" w:cs="Verdana"/>
          <w:szCs w:val="18"/>
          <w:lang w:val="nl-NL"/>
        </w:rPr>
        <w:t xml:space="preserve"> sterk ingezet op het recht van het kind tot </w:t>
      </w:r>
      <w:r w:rsidR="005F2568" w:rsidRPr="00A33930">
        <w:rPr>
          <w:rFonts w:eastAsia="Verdana" w:cs="Verdana"/>
          <w:szCs w:val="18"/>
          <w:lang w:val="nl-NL"/>
        </w:rPr>
        <w:t>“</w:t>
      </w:r>
      <w:r w:rsidR="00F00230" w:rsidRPr="00A33930">
        <w:rPr>
          <w:rFonts w:eastAsia="Verdana" w:cs="Verdana"/>
          <w:szCs w:val="18"/>
          <w:lang w:val="nl-NL"/>
        </w:rPr>
        <w:t>effectieve participatie</w:t>
      </w:r>
      <w:r w:rsidR="005F2568" w:rsidRPr="00A33930">
        <w:rPr>
          <w:rFonts w:eastAsia="Verdana" w:cs="Verdana"/>
          <w:szCs w:val="18"/>
          <w:lang w:val="nl-NL"/>
        </w:rPr>
        <w:t>”</w:t>
      </w:r>
      <w:r w:rsidR="00F00230" w:rsidRPr="00A33930">
        <w:rPr>
          <w:rFonts w:eastAsia="Verdana" w:cs="Verdana"/>
          <w:szCs w:val="18"/>
          <w:lang w:val="nl-NL"/>
        </w:rPr>
        <w:t xml:space="preserve"> als onderdeel van het recht op een eerlijk proces.</w:t>
      </w:r>
      <w:r w:rsidR="00F00230" w:rsidRPr="00A33930">
        <w:rPr>
          <w:rStyle w:val="Voetnootmarkering"/>
          <w:rFonts w:eastAsia="Verdana" w:cs="Verdana"/>
          <w:szCs w:val="18"/>
          <w:lang w:val="nl-NL"/>
        </w:rPr>
        <w:footnoteReference w:id="178"/>
      </w:r>
      <w:r w:rsidRPr="00A33930">
        <w:rPr>
          <w:rFonts w:eastAsia="Verdana" w:cs="Verdana"/>
          <w:szCs w:val="18"/>
          <w:lang w:val="nl-NL"/>
        </w:rPr>
        <w:t xml:space="preserve"> </w:t>
      </w:r>
      <w:r w:rsidRPr="00A33930">
        <w:rPr>
          <w:rFonts w:eastAsia="Verdana" w:cs="Verdana"/>
          <w:szCs w:val="18"/>
          <w:lang w:val="nl-NL"/>
        </w:rPr>
        <w:lastRenderedPageBreak/>
        <w:t>Het kind wordt op Europees niveau gezien als rechtssubject en bezit in theorie over een eigen mogelijkheid om zijn recht op persoonlijk contact af te dwingen.</w:t>
      </w:r>
      <w:r w:rsidRPr="00A33930">
        <w:rPr>
          <w:rStyle w:val="Voetnootmarkering"/>
          <w:rFonts w:eastAsia="Verdana" w:cs="Verdana"/>
          <w:szCs w:val="18"/>
          <w:lang w:val="nl-NL"/>
        </w:rPr>
        <w:footnoteReference w:id="179"/>
      </w:r>
      <w:r w:rsidRPr="00A33930">
        <w:rPr>
          <w:rFonts w:eastAsia="Verdana" w:cs="Verdana"/>
          <w:szCs w:val="18"/>
          <w:lang w:val="nl-NL"/>
        </w:rPr>
        <w:t xml:space="preserve"> </w:t>
      </w:r>
      <w:r w:rsidR="00304072" w:rsidRPr="00A33930">
        <w:rPr>
          <w:rFonts w:eastAsia="Verdana" w:cs="Verdana"/>
          <w:szCs w:val="18"/>
          <w:lang w:val="nl-NL"/>
        </w:rPr>
        <w:t>Het EHRM hanteert in beginsel een leeftijdsgrens van 18 jaar, maar heeft meermaals verzoeken van en namens kinderen geaccepteerd in zeer uitzonderlijke omstandigheden en ongeacht hun leeftijd.</w:t>
      </w:r>
      <w:r w:rsidR="00304072" w:rsidRPr="00A33930">
        <w:rPr>
          <w:rStyle w:val="Voetnootmarkering"/>
          <w:rFonts w:eastAsia="Verdana" w:cs="Verdana"/>
          <w:szCs w:val="18"/>
          <w:lang w:val="nl-NL"/>
        </w:rPr>
        <w:footnoteReference w:id="180"/>
      </w:r>
      <w:r w:rsidR="00304072" w:rsidRPr="00A33930">
        <w:rPr>
          <w:rFonts w:eastAsia="Verdana" w:cs="Verdana"/>
          <w:b/>
          <w:bCs/>
          <w:szCs w:val="18"/>
          <w:lang w:val="nl-NL"/>
        </w:rPr>
        <w:t xml:space="preserve"> </w:t>
      </w:r>
      <w:r w:rsidR="00304072" w:rsidRPr="00A33930">
        <w:rPr>
          <w:rFonts w:eastAsia="Verdana" w:cs="Verdana"/>
          <w:szCs w:val="18"/>
          <w:lang w:val="nl-NL"/>
        </w:rPr>
        <w:t>Bovendien zijn staten conform artikel 1 EVRM verplicht “eenieder” de rechten van het EVRM te verzekeren, dus ook de kinderen.</w:t>
      </w:r>
      <w:r w:rsidR="00304072" w:rsidRPr="00A33930">
        <w:rPr>
          <w:rStyle w:val="Voetnootmarkering"/>
          <w:rFonts w:eastAsia="Verdana" w:cs="Verdana"/>
          <w:szCs w:val="18"/>
          <w:lang w:val="nl-NL"/>
        </w:rPr>
        <w:footnoteReference w:id="181"/>
      </w:r>
      <w:r w:rsidR="00304072" w:rsidRPr="00A33930">
        <w:rPr>
          <w:rFonts w:eastAsia="Verdana" w:cs="Verdana"/>
          <w:szCs w:val="18"/>
          <w:lang w:val="nl-NL"/>
        </w:rPr>
        <w:t xml:space="preserve"> </w:t>
      </w:r>
      <w:r w:rsidRPr="00A33930">
        <w:rPr>
          <w:rFonts w:eastAsia="Verdana" w:cs="Verdana"/>
          <w:szCs w:val="18"/>
          <w:lang w:val="nl-NL"/>
        </w:rPr>
        <w:t>Echter blijkt uit de praktijk dat het kind voor het EHRM</w:t>
      </w:r>
      <w:r w:rsidR="00C14311" w:rsidRPr="00A33930">
        <w:rPr>
          <w:rFonts w:eastAsia="Verdana" w:cs="Verdana"/>
          <w:szCs w:val="18"/>
          <w:lang w:val="nl-NL"/>
        </w:rPr>
        <w:t xml:space="preserve"> vaker</w:t>
      </w:r>
      <w:r w:rsidRPr="00A33930">
        <w:rPr>
          <w:rFonts w:eastAsia="Verdana" w:cs="Verdana"/>
          <w:szCs w:val="18"/>
          <w:lang w:val="nl-NL"/>
        </w:rPr>
        <w:t xml:space="preserve"> wordt vertegenwoordigd door een ouder, voogd of derde doordat hij meestal niet zelf in staat is een klacht in te dienen</w:t>
      </w:r>
      <w:r w:rsidR="00AD06B5" w:rsidRPr="00A33930">
        <w:rPr>
          <w:rFonts w:eastAsia="Verdana" w:cs="Verdana"/>
          <w:szCs w:val="18"/>
          <w:lang w:val="nl-NL"/>
        </w:rPr>
        <w:t>. Dit</w:t>
      </w:r>
      <w:r w:rsidRPr="00A33930">
        <w:rPr>
          <w:rFonts w:eastAsia="Verdana" w:cs="Verdana"/>
          <w:szCs w:val="18"/>
          <w:lang w:val="nl-NL"/>
        </w:rPr>
        <w:t xml:space="preserve"> wegens een gebrek aan kennis of </w:t>
      </w:r>
      <w:r w:rsidR="00AD06B5" w:rsidRPr="00A33930">
        <w:rPr>
          <w:rFonts w:eastAsia="Verdana" w:cs="Verdana"/>
          <w:szCs w:val="18"/>
          <w:lang w:val="nl-NL"/>
        </w:rPr>
        <w:t xml:space="preserve">omdat hij </w:t>
      </w:r>
      <w:r w:rsidRPr="00A33930">
        <w:rPr>
          <w:rFonts w:eastAsia="Verdana" w:cs="Verdana"/>
          <w:szCs w:val="18"/>
          <w:lang w:val="nl-NL"/>
        </w:rPr>
        <w:t>zelf niet beschikt over de nodige financiële middelen om een advocaat in te stellen.</w:t>
      </w:r>
      <w:r w:rsidRPr="00A33930">
        <w:rPr>
          <w:rStyle w:val="Voetnootmarkering"/>
          <w:rFonts w:eastAsia="Verdana" w:cs="Verdana"/>
          <w:szCs w:val="18"/>
          <w:lang w:val="nl-NL"/>
        </w:rPr>
        <w:footnoteReference w:id="182"/>
      </w:r>
      <w:r w:rsidRPr="00A33930">
        <w:rPr>
          <w:rFonts w:eastAsia="Verdana" w:cs="Verdana"/>
          <w:szCs w:val="18"/>
          <w:lang w:val="nl-NL"/>
        </w:rPr>
        <w:t xml:space="preserve"> </w:t>
      </w:r>
    </w:p>
    <w:p w14:paraId="66F638D6" w14:textId="3FF2394F" w:rsidR="00053138" w:rsidRPr="00A33930" w:rsidRDefault="00053138" w:rsidP="00053138">
      <w:pPr>
        <w:pStyle w:val="Kop4"/>
        <w:spacing w:before="240" w:after="120"/>
        <w:jc w:val="both"/>
        <w:rPr>
          <w:rFonts w:ascii="Verdana" w:hAnsi="Verdana"/>
          <w:b/>
          <w:bCs/>
          <w:color w:val="auto"/>
          <w:szCs w:val="18"/>
          <w:lang w:val="nl-NL"/>
        </w:rPr>
      </w:pPr>
      <w:r w:rsidRPr="00A33930">
        <w:rPr>
          <w:rFonts w:ascii="Verdana" w:hAnsi="Verdana"/>
          <w:b/>
          <w:bCs/>
          <w:color w:val="auto"/>
          <w:szCs w:val="18"/>
          <w:lang w:val="nl-NL"/>
        </w:rPr>
        <w:t>§2.</w:t>
      </w:r>
      <w:r w:rsidRPr="00A33930">
        <w:rPr>
          <w:rFonts w:ascii="Verdana" w:hAnsi="Verdana"/>
          <w:b/>
          <w:bCs/>
          <w:color w:val="auto"/>
          <w:szCs w:val="18"/>
          <w:lang w:val="nl-NL"/>
        </w:rPr>
        <w:tab/>
        <w:t>Belang van het kind</w:t>
      </w:r>
      <w:r w:rsidR="00511F88" w:rsidRPr="00A33930">
        <w:rPr>
          <w:rFonts w:ascii="Verdana" w:hAnsi="Verdana"/>
          <w:b/>
          <w:bCs/>
          <w:color w:val="auto"/>
          <w:szCs w:val="18"/>
          <w:lang w:val="nl-NL"/>
        </w:rPr>
        <w:t xml:space="preserve"> als maatstaf</w:t>
      </w:r>
    </w:p>
    <w:p w14:paraId="2F590997" w14:textId="7D46E642" w:rsidR="00D14322" w:rsidRPr="00A33930" w:rsidRDefault="008B24BD" w:rsidP="00D14322">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Overeenkomstig artikel 3.1 IVRK moet het belang van het kind een eerste overweging vormen.</w:t>
      </w:r>
      <w:r w:rsidR="00D81DC0" w:rsidRPr="00A33930">
        <w:rPr>
          <w:rStyle w:val="Voetnootmarkering"/>
          <w:rFonts w:eastAsia="Verdana" w:cs="Verdana"/>
          <w:szCs w:val="18"/>
          <w:lang w:val="nl-NL"/>
        </w:rPr>
        <w:footnoteReference w:id="183"/>
      </w:r>
      <w:r w:rsidRPr="00A33930">
        <w:rPr>
          <w:rFonts w:eastAsia="Verdana" w:cs="Verdana"/>
          <w:szCs w:val="18"/>
          <w:lang w:val="nl-NL"/>
        </w:rPr>
        <w:t xml:space="preserve"> Het EHRM verbindt dit begrip in zijn rechtspraak echter met het recht op priv</w:t>
      </w:r>
      <w:r w:rsidR="00D81DC0" w:rsidRPr="00A33930">
        <w:rPr>
          <w:rFonts w:eastAsia="Verdana" w:cs="Verdana"/>
          <w:szCs w:val="18"/>
          <w:lang w:val="nl-NL"/>
        </w:rPr>
        <w:t>é</w:t>
      </w:r>
      <w:r w:rsidRPr="00A33930">
        <w:rPr>
          <w:rFonts w:eastAsia="Verdana" w:cs="Verdana"/>
          <w:szCs w:val="18"/>
          <w:lang w:val="nl-NL"/>
        </w:rPr>
        <w:t>-, familie- en gezinsleven uit artikel 8 EVRM zodat er</w:t>
      </w:r>
      <w:r w:rsidR="00D81DC0" w:rsidRPr="00A33930">
        <w:rPr>
          <w:rFonts w:eastAsia="Verdana" w:cs="Verdana"/>
          <w:szCs w:val="18"/>
          <w:lang w:val="nl-NL"/>
        </w:rPr>
        <w:t xml:space="preserve"> </w:t>
      </w:r>
      <w:r w:rsidR="003E0561" w:rsidRPr="00A33930">
        <w:rPr>
          <w:rFonts w:eastAsia="Verdana" w:cs="Verdana"/>
          <w:szCs w:val="18"/>
          <w:lang w:val="nl-NL"/>
        </w:rPr>
        <w:t xml:space="preserve">via een omweg </w:t>
      </w:r>
      <w:r w:rsidR="00D81DC0" w:rsidRPr="00A33930">
        <w:rPr>
          <w:rFonts w:eastAsia="Verdana" w:cs="Verdana"/>
          <w:szCs w:val="18"/>
          <w:lang w:val="nl-NL"/>
        </w:rPr>
        <w:t>als eerste overweging</w:t>
      </w:r>
      <w:r w:rsidRPr="00A33930">
        <w:rPr>
          <w:rFonts w:eastAsia="Verdana" w:cs="Verdana"/>
          <w:szCs w:val="18"/>
          <w:lang w:val="nl-NL"/>
        </w:rPr>
        <w:t xml:space="preserve"> rekening </w:t>
      </w:r>
      <w:r w:rsidR="005F2568" w:rsidRPr="00A33930">
        <w:rPr>
          <w:rFonts w:eastAsia="Verdana" w:cs="Verdana"/>
          <w:szCs w:val="18"/>
          <w:lang w:val="nl-NL"/>
        </w:rPr>
        <w:t>moet</w:t>
      </w:r>
      <w:r w:rsidR="00D81DC0" w:rsidRPr="00A33930">
        <w:rPr>
          <w:rFonts w:eastAsia="Verdana" w:cs="Verdana"/>
          <w:szCs w:val="18"/>
          <w:lang w:val="nl-NL"/>
        </w:rPr>
        <w:t xml:space="preserve"> worden</w:t>
      </w:r>
      <w:r w:rsidRPr="00A33930">
        <w:rPr>
          <w:rFonts w:eastAsia="Verdana" w:cs="Verdana"/>
          <w:szCs w:val="18"/>
          <w:lang w:val="nl-NL"/>
        </w:rPr>
        <w:t xml:space="preserve"> gehouden met artikel 3.1 IVRK</w:t>
      </w:r>
      <w:r w:rsidR="00DE65A0" w:rsidRPr="00A33930">
        <w:rPr>
          <w:rFonts w:eastAsia="Verdana" w:cs="Verdana"/>
          <w:szCs w:val="18"/>
          <w:lang w:val="nl-NL"/>
        </w:rPr>
        <w:t xml:space="preserve"> (cf. </w:t>
      </w:r>
      <w:r w:rsidR="00DE65A0" w:rsidRPr="00A33930">
        <w:rPr>
          <w:rFonts w:eastAsia="Verdana" w:cs="Verdana"/>
          <w:i/>
          <w:iCs/>
          <w:szCs w:val="18"/>
          <w:lang w:val="nl-NL"/>
        </w:rPr>
        <w:t>supra</w:t>
      </w:r>
      <w:r w:rsidR="00DE65A0" w:rsidRPr="00A33930">
        <w:rPr>
          <w:rFonts w:eastAsia="Verdana" w:cs="Verdana"/>
          <w:szCs w:val="18"/>
          <w:lang w:val="nl-NL"/>
        </w:rPr>
        <w:t>, nr. 34)</w:t>
      </w:r>
      <w:r w:rsidRPr="00A33930">
        <w:rPr>
          <w:rFonts w:eastAsia="Verdana" w:cs="Verdana"/>
          <w:szCs w:val="18"/>
          <w:lang w:val="nl-NL"/>
        </w:rPr>
        <w:t>.</w:t>
      </w:r>
      <w:r w:rsidRPr="00A33930">
        <w:rPr>
          <w:rStyle w:val="Voetnootmarkering"/>
          <w:rFonts w:eastAsia="Verdana" w:cs="Verdana"/>
          <w:szCs w:val="18"/>
          <w:lang w:val="nl-NL"/>
        </w:rPr>
        <w:footnoteReference w:id="184"/>
      </w:r>
      <w:r w:rsidRPr="00A33930">
        <w:rPr>
          <w:rFonts w:eastAsia="Verdana" w:cs="Verdana"/>
          <w:szCs w:val="18"/>
          <w:lang w:val="nl-NL"/>
        </w:rPr>
        <w:t xml:space="preserve"> </w:t>
      </w:r>
      <w:r w:rsidR="00AD06B5" w:rsidRPr="00A33930">
        <w:rPr>
          <w:rFonts w:eastAsia="Verdana" w:cs="Verdana"/>
          <w:szCs w:val="18"/>
          <w:lang w:val="nl-NL"/>
        </w:rPr>
        <w:t xml:space="preserve">Een beoordeling </w:t>
      </w:r>
      <w:r w:rsidR="00AD06B5" w:rsidRPr="00A33930">
        <w:rPr>
          <w:rFonts w:eastAsia="Verdana" w:cs="Verdana"/>
          <w:i/>
          <w:iCs/>
          <w:szCs w:val="18"/>
          <w:lang w:val="nl-NL"/>
        </w:rPr>
        <w:t xml:space="preserve">in </w:t>
      </w:r>
      <w:r w:rsidR="00AD06B5" w:rsidRPr="00A33930">
        <w:rPr>
          <w:rFonts w:eastAsia="Verdana" w:cs="Verdana"/>
          <w:szCs w:val="18"/>
          <w:lang w:val="nl-NL"/>
        </w:rPr>
        <w:t>concreto blijft noodzakelijk doordat a</w:t>
      </w:r>
      <w:r w:rsidRPr="00A33930">
        <w:rPr>
          <w:rFonts w:eastAsia="Verdana" w:cs="Verdana"/>
          <w:szCs w:val="18"/>
          <w:lang w:val="nl-NL"/>
        </w:rPr>
        <w:t xml:space="preserve">rtikel </w:t>
      </w:r>
      <w:r w:rsidR="00FF4A11" w:rsidRPr="00A33930">
        <w:rPr>
          <w:rFonts w:eastAsia="Verdana" w:cs="Verdana"/>
          <w:szCs w:val="18"/>
          <w:lang w:val="nl-NL"/>
        </w:rPr>
        <w:t xml:space="preserve">8 EVRM niet </w:t>
      </w:r>
      <w:r w:rsidR="00AD06B5" w:rsidRPr="00A33930">
        <w:rPr>
          <w:rFonts w:eastAsia="Verdana" w:cs="Verdana"/>
          <w:szCs w:val="18"/>
          <w:lang w:val="nl-NL"/>
        </w:rPr>
        <w:t xml:space="preserve">bepaalt </w:t>
      </w:r>
      <w:r w:rsidR="00FF4A11" w:rsidRPr="00A33930">
        <w:rPr>
          <w:rFonts w:eastAsia="Verdana" w:cs="Verdana"/>
          <w:szCs w:val="18"/>
          <w:lang w:val="nl-NL"/>
        </w:rPr>
        <w:t xml:space="preserve">wat geacht wordt in het belang van het kind te zijn. Het EHRM houdt in zijn </w:t>
      </w:r>
      <w:r w:rsidRPr="00A33930">
        <w:rPr>
          <w:rFonts w:eastAsia="Verdana" w:cs="Verdana"/>
          <w:szCs w:val="18"/>
          <w:lang w:val="nl-NL"/>
        </w:rPr>
        <w:t>beoordeling</w:t>
      </w:r>
      <w:r w:rsidR="00FF4A11" w:rsidRPr="00A33930">
        <w:rPr>
          <w:rFonts w:eastAsia="Verdana" w:cs="Verdana"/>
          <w:szCs w:val="18"/>
          <w:lang w:val="nl-NL"/>
        </w:rPr>
        <w:t xml:space="preserve"> rekening met alle belangen in het geding</w:t>
      </w:r>
      <w:r w:rsidR="007C3591" w:rsidRPr="00A33930">
        <w:rPr>
          <w:rFonts w:eastAsia="Verdana" w:cs="Verdana"/>
          <w:szCs w:val="18"/>
          <w:lang w:val="nl-NL"/>
        </w:rPr>
        <w:t>,</w:t>
      </w:r>
      <w:r w:rsidR="00FF4A11" w:rsidRPr="00A33930">
        <w:rPr>
          <w:rFonts w:eastAsia="Verdana" w:cs="Verdana"/>
          <w:szCs w:val="18"/>
          <w:lang w:val="nl-NL"/>
        </w:rPr>
        <w:t xml:space="preserve"> maar geeft het meeste gewicht aan het belang van het kind.</w:t>
      </w:r>
      <w:r w:rsidR="00FF4A11" w:rsidRPr="00A33930">
        <w:rPr>
          <w:rStyle w:val="Voetnootmarkering"/>
          <w:rFonts w:eastAsia="Verdana" w:cs="Verdana"/>
          <w:szCs w:val="18"/>
          <w:lang w:val="nl-NL"/>
        </w:rPr>
        <w:footnoteReference w:id="185"/>
      </w:r>
      <w:r w:rsidRPr="00A33930">
        <w:rPr>
          <w:rFonts w:eastAsia="Verdana" w:cs="Verdana"/>
          <w:szCs w:val="18"/>
          <w:lang w:val="nl-NL"/>
        </w:rPr>
        <w:t xml:space="preserve"> Doordat in het EVRM geen definitie voor dit belang wordt </w:t>
      </w:r>
      <w:r w:rsidRPr="00A33930">
        <w:rPr>
          <w:rFonts w:eastAsia="Verdana" w:cs="Verdana"/>
          <w:szCs w:val="18"/>
          <w:lang w:val="nl-NL"/>
        </w:rPr>
        <w:lastRenderedPageBreak/>
        <w:t>neergeschreven, wordt dit begrip tijds- en contextgebonden ingevuld.</w:t>
      </w:r>
      <w:r w:rsidRPr="00A33930">
        <w:rPr>
          <w:rStyle w:val="Voetnootmarkering"/>
          <w:rFonts w:eastAsia="Verdana" w:cs="Verdana"/>
          <w:szCs w:val="18"/>
          <w:lang w:val="nl-NL"/>
        </w:rPr>
        <w:footnoteReference w:id="186"/>
      </w:r>
      <w:r w:rsidR="00200B74" w:rsidRPr="00A33930">
        <w:rPr>
          <w:rFonts w:eastAsia="Verdana" w:cs="Verdana"/>
          <w:szCs w:val="18"/>
          <w:lang w:val="nl-NL"/>
        </w:rPr>
        <w:t xml:space="preserve"> Het EVRM blijft </w:t>
      </w:r>
      <w:r w:rsidR="007C3591" w:rsidRPr="00A33930">
        <w:rPr>
          <w:rFonts w:eastAsia="Verdana" w:cs="Verdana"/>
          <w:szCs w:val="18"/>
          <w:lang w:val="nl-NL"/>
        </w:rPr>
        <w:t>zodus</w:t>
      </w:r>
      <w:r w:rsidR="00200B74" w:rsidRPr="00A33930">
        <w:rPr>
          <w:rFonts w:eastAsia="Verdana" w:cs="Verdana"/>
          <w:szCs w:val="18"/>
          <w:lang w:val="nl-NL"/>
        </w:rPr>
        <w:t xml:space="preserve"> </w:t>
      </w:r>
      <w:r w:rsidR="007C3591" w:rsidRPr="00A33930">
        <w:rPr>
          <w:rFonts w:eastAsia="Verdana" w:cs="Verdana"/>
          <w:szCs w:val="18"/>
          <w:lang w:val="nl-NL"/>
        </w:rPr>
        <w:t>ook voor</w:t>
      </w:r>
      <w:r w:rsidR="00200B74" w:rsidRPr="00A33930">
        <w:rPr>
          <w:rFonts w:eastAsia="Verdana" w:cs="Verdana"/>
          <w:szCs w:val="18"/>
          <w:lang w:val="nl-NL"/>
        </w:rPr>
        <w:t xml:space="preserve"> de interpretatie van kinderrechten een “living instrument”.</w:t>
      </w:r>
      <w:r w:rsidR="00200B74" w:rsidRPr="00A33930">
        <w:rPr>
          <w:rStyle w:val="Voetnootmarkering"/>
          <w:rFonts w:eastAsia="Verdana" w:cs="Verdana"/>
          <w:szCs w:val="18"/>
          <w:lang w:val="nl-NL"/>
        </w:rPr>
        <w:footnoteReference w:id="187"/>
      </w:r>
    </w:p>
    <w:p w14:paraId="5B85B7E5" w14:textId="4BEB11CC" w:rsidR="00D14322" w:rsidRPr="00A33930" w:rsidRDefault="00D14322" w:rsidP="00200B74">
      <w:pPr>
        <w:pStyle w:val="Lijstalinea"/>
        <w:spacing w:before="200" w:after="0"/>
        <w:ind w:left="0"/>
        <w:jc w:val="both"/>
        <w:rPr>
          <w:rFonts w:eastAsia="Verdana" w:cs="Verdana"/>
          <w:szCs w:val="18"/>
          <w:lang w:val="nl-NL"/>
        </w:rPr>
      </w:pPr>
    </w:p>
    <w:p w14:paraId="6FF833E4" w14:textId="7F946536" w:rsidR="00D14322" w:rsidRPr="00A33930" w:rsidRDefault="0013367D" w:rsidP="00D14322">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Omtrent het privé-, familie- en gezinsleven heeft het EHRM </w:t>
      </w:r>
      <w:r w:rsidR="00D76726" w:rsidRPr="00A33930">
        <w:rPr>
          <w:rFonts w:eastAsia="Verdana" w:cs="Verdana"/>
          <w:szCs w:val="18"/>
          <w:lang w:val="nl-NL"/>
        </w:rPr>
        <w:t>reeds in</w:t>
      </w:r>
      <w:r w:rsidRPr="00A33930">
        <w:rPr>
          <w:rFonts w:eastAsia="Verdana" w:cs="Verdana"/>
          <w:szCs w:val="18"/>
          <w:lang w:val="nl-NL"/>
        </w:rPr>
        <w:t xml:space="preserve"> een groot aantal zaken recht gesproken. </w:t>
      </w:r>
      <w:r w:rsidR="006A4F5A" w:rsidRPr="00A33930">
        <w:rPr>
          <w:rFonts w:eastAsia="Verdana" w:cs="Verdana"/>
          <w:szCs w:val="18"/>
          <w:lang w:val="nl-NL"/>
        </w:rPr>
        <w:t>Het EHRM hanteert in zijn beoordeling een “</w:t>
      </w:r>
      <w:r w:rsidR="006A4F5A" w:rsidRPr="00A33930">
        <w:rPr>
          <w:rFonts w:eastAsia="Verdana" w:cs="Verdana"/>
          <w:i/>
          <w:iCs/>
          <w:szCs w:val="18"/>
          <w:lang w:val="nl-NL"/>
        </w:rPr>
        <w:t>fair balance</w:t>
      </w:r>
      <w:r w:rsidR="006A4F5A" w:rsidRPr="00A33930">
        <w:rPr>
          <w:rFonts w:eastAsia="Verdana" w:cs="Verdana"/>
          <w:szCs w:val="18"/>
          <w:lang w:val="nl-NL"/>
        </w:rPr>
        <w:t>-test” waarbij de in het geding zijnde belangen tegenover elkaar worden afgewogen.</w:t>
      </w:r>
      <w:r w:rsidR="006A4F5A" w:rsidRPr="00A33930">
        <w:rPr>
          <w:rStyle w:val="Voetnootmarkering"/>
          <w:rFonts w:eastAsia="Verdana" w:cs="Verdana"/>
          <w:szCs w:val="18"/>
          <w:lang w:val="nl-NL"/>
        </w:rPr>
        <w:footnoteReference w:id="188"/>
      </w:r>
      <w:r w:rsidR="006A4F5A" w:rsidRPr="00A33930">
        <w:rPr>
          <w:rFonts w:eastAsia="Verdana" w:cs="Verdana"/>
          <w:szCs w:val="18"/>
          <w:lang w:val="nl-NL"/>
        </w:rPr>
        <w:t xml:space="preserve"> </w:t>
      </w:r>
      <w:r w:rsidRPr="00A33930">
        <w:rPr>
          <w:rFonts w:eastAsia="Verdana" w:cs="Verdana"/>
          <w:szCs w:val="18"/>
          <w:lang w:val="nl-NL"/>
        </w:rPr>
        <w:t xml:space="preserve">Ondanks dat het EVRM geen specifieke kinderrechten bevat, blijkt het EHRM in zijn belangenafweging bijzondere aandacht te </w:t>
      </w:r>
      <w:r w:rsidR="00D76726" w:rsidRPr="00A33930">
        <w:rPr>
          <w:rFonts w:eastAsia="Verdana" w:cs="Verdana"/>
          <w:szCs w:val="18"/>
          <w:lang w:val="nl-NL"/>
        </w:rPr>
        <w:t>besteden</w:t>
      </w:r>
      <w:r w:rsidRPr="00A33930">
        <w:rPr>
          <w:rFonts w:eastAsia="Verdana" w:cs="Verdana"/>
          <w:szCs w:val="18"/>
          <w:lang w:val="nl-NL"/>
        </w:rPr>
        <w:t xml:space="preserve"> aan het belang van het kind.</w:t>
      </w:r>
      <w:r w:rsidR="006A4F5A" w:rsidRPr="00A33930">
        <w:rPr>
          <w:rStyle w:val="Voetnootmarkering"/>
          <w:rFonts w:eastAsia="Verdana" w:cs="Verdana"/>
          <w:szCs w:val="18"/>
          <w:lang w:val="nl-NL"/>
        </w:rPr>
        <w:footnoteReference w:id="189"/>
      </w:r>
      <w:r w:rsidR="006A4F5A" w:rsidRPr="00A33930">
        <w:rPr>
          <w:rFonts w:eastAsia="Verdana" w:cs="Verdana"/>
          <w:szCs w:val="18"/>
          <w:lang w:val="nl-NL"/>
        </w:rPr>
        <w:t xml:space="preserve"> </w:t>
      </w:r>
      <w:r w:rsidR="00445D3F" w:rsidRPr="00A33930">
        <w:rPr>
          <w:rFonts w:eastAsia="Verdana" w:cs="Verdana"/>
          <w:szCs w:val="18"/>
          <w:lang w:val="nl-NL"/>
        </w:rPr>
        <w:t>In arrest-Hokkanen, een zaak betreffende het recht op persoonlijk contact, legt het EHRM rechtstreeks de link met het belang van het kind uit artikel 3 IVRK als eerste overweging.</w:t>
      </w:r>
      <w:r w:rsidR="00445D3F" w:rsidRPr="00A33930">
        <w:rPr>
          <w:rStyle w:val="Voetnootmarkering"/>
          <w:rFonts w:eastAsia="Verdana" w:cs="Verdana"/>
          <w:szCs w:val="18"/>
          <w:lang w:val="nl-NL"/>
        </w:rPr>
        <w:footnoteReference w:id="190"/>
      </w:r>
      <w:r w:rsidR="00445D3F" w:rsidRPr="00A33930">
        <w:rPr>
          <w:rFonts w:eastAsia="Verdana" w:cs="Verdana"/>
          <w:szCs w:val="18"/>
          <w:lang w:val="nl-NL"/>
        </w:rPr>
        <w:t xml:space="preserve"> Zo is het</w:t>
      </w:r>
      <w:r w:rsidR="006A4F5A" w:rsidRPr="00A33930">
        <w:rPr>
          <w:rFonts w:eastAsia="Verdana" w:cs="Verdana"/>
          <w:szCs w:val="18"/>
          <w:lang w:val="nl-NL"/>
        </w:rPr>
        <w:t xml:space="preserve"> volgens het EHRM in het belang van het kind dat banden van het gezins- en familieleven met de natuurlijke ouders behouden blijven.</w:t>
      </w:r>
      <w:r w:rsidR="006A4F5A" w:rsidRPr="00A33930">
        <w:rPr>
          <w:rStyle w:val="Voetnootmarkering"/>
          <w:rFonts w:eastAsia="Verdana" w:cs="Verdana"/>
          <w:szCs w:val="18"/>
          <w:lang w:val="nl-NL"/>
        </w:rPr>
        <w:footnoteReference w:id="191"/>
      </w:r>
      <w:r w:rsidR="00D14322" w:rsidRPr="00A33930">
        <w:rPr>
          <w:rFonts w:eastAsia="Verdana" w:cs="Verdana"/>
          <w:szCs w:val="18"/>
          <w:lang w:val="nl-NL"/>
        </w:rPr>
        <w:t xml:space="preserve"> </w:t>
      </w:r>
      <w:r w:rsidRPr="00A33930">
        <w:rPr>
          <w:rFonts w:eastAsia="Verdana" w:cs="Verdana"/>
          <w:szCs w:val="18"/>
          <w:lang w:val="nl-NL"/>
        </w:rPr>
        <w:t>Voor het</w:t>
      </w:r>
      <w:r w:rsidR="006A4F5A" w:rsidRPr="00A33930">
        <w:rPr>
          <w:rFonts w:eastAsia="Verdana" w:cs="Verdana"/>
          <w:szCs w:val="18"/>
          <w:lang w:val="nl-NL"/>
        </w:rPr>
        <w:t xml:space="preserve"> EHRM omvat het belang van het kind </w:t>
      </w:r>
      <w:r w:rsidR="00445D3F" w:rsidRPr="00A33930">
        <w:rPr>
          <w:rFonts w:eastAsia="Verdana" w:cs="Verdana"/>
          <w:szCs w:val="18"/>
          <w:lang w:val="nl-NL"/>
        </w:rPr>
        <w:t xml:space="preserve">hierdoor </w:t>
      </w:r>
      <w:r w:rsidR="006A4F5A" w:rsidRPr="00A33930">
        <w:rPr>
          <w:rFonts w:eastAsia="Verdana" w:cs="Verdana"/>
          <w:szCs w:val="18"/>
          <w:lang w:val="nl-NL"/>
        </w:rPr>
        <w:t>twee elementen.</w:t>
      </w:r>
      <w:r w:rsidRPr="00A33930">
        <w:rPr>
          <w:rStyle w:val="Voetnootmarkering"/>
          <w:rFonts w:eastAsia="Verdana" w:cs="Verdana"/>
          <w:szCs w:val="18"/>
          <w:lang w:val="nl-NL"/>
        </w:rPr>
        <w:footnoteReference w:id="192"/>
      </w:r>
      <w:r w:rsidR="006A4F5A" w:rsidRPr="00A33930">
        <w:rPr>
          <w:rFonts w:eastAsia="Verdana" w:cs="Verdana"/>
          <w:szCs w:val="18"/>
          <w:lang w:val="nl-NL"/>
        </w:rPr>
        <w:t xml:space="preserve"> </w:t>
      </w:r>
      <w:r w:rsidRPr="00A33930">
        <w:rPr>
          <w:rFonts w:eastAsia="Verdana" w:cs="Verdana"/>
          <w:szCs w:val="18"/>
          <w:lang w:val="nl-NL"/>
        </w:rPr>
        <w:t>Enerzijds bestaat het uit</w:t>
      </w:r>
      <w:r w:rsidR="006A4F5A" w:rsidRPr="00A33930">
        <w:rPr>
          <w:rFonts w:eastAsia="Verdana" w:cs="Verdana"/>
          <w:szCs w:val="18"/>
          <w:lang w:val="nl-NL"/>
        </w:rPr>
        <w:t xml:space="preserve"> het onderhouden van </w:t>
      </w:r>
      <w:r w:rsidR="008970EA" w:rsidRPr="00A33930">
        <w:rPr>
          <w:rFonts w:eastAsia="Verdana" w:cs="Verdana"/>
          <w:szCs w:val="18"/>
          <w:lang w:val="nl-NL"/>
        </w:rPr>
        <w:t>familie</w:t>
      </w:r>
      <w:r w:rsidR="006A4F5A" w:rsidRPr="00A33930">
        <w:rPr>
          <w:rFonts w:eastAsia="Verdana" w:cs="Verdana"/>
          <w:szCs w:val="18"/>
          <w:lang w:val="nl-NL"/>
        </w:rPr>
        <w:t>banden</w:t>
      </w:r>
      <w:r w:rsidRPr="00A33930">
        <w:rPr>
          <w:rFonts w:eastAsia="Verdana" w:cs="Verdana"/>
          <w:szCs w:val="18"/>
          <w:lang w:val="nl-NL"/>
        </w:rPr>
        <w:t>, anderzijds ook uit</w:t>
      </w:r>
      <w:r w:rsidR="006A4F5A" w:rsidRPr="00A33930">
        <w:rPr>
          <w:rFonts w:eastAsia="Verdana" w:cs="Verdana"/>
          <w:szCs w:val="18"/>
          <w:lang w:val="nl-NL"/>
        </w:rPr>
        <w:t xml:space="preserve"> het verzekeren van de ontwikkeling van het kind in een stabiele omgeving.</w:t>
      </w:r>
      <w:r w:rsidR="006A4F5A" w:rsidRPr="00A33930">
        <w:rPr>
          <w:vertAlign w:val="superscript"/>
          <w:lang w:val="nl-NL"/>
        </w:rPr>
        <w:footnoteReference w:id="193"/>
      </w:r>
    </w:p>
    <w:p w14:paraId="2F220296" w14:textId="0B3483AD" w:rsidR="00FF4A11" w:rsidRPr="00A33930" w:rsidRDefault="008B198E" w:rsidP="006A4F5A">
      <w:pPr>
        <w:pStyle w:val="Kop4"/>
        <w:spacing w:before="240" w:after="120"/>
        <w:jc w:val="both"/>
        <w:rPr>
          <w:rFonts w:ascii="Verdana" w:hAnsi="Verdana"/>
          <w:b/>
          <w:bCs/>
          <w:color w:val="auto"/>
          <w:szCs w:val="18"/>
          <w:lang w:val="nl-NL"/>
        </w:rPr>
      </w:pPr>
      <w:r w:rsidRPr="00A33930">
        <w:rPr>
          <w:rFonts w:ascii="Verdana" w:hAnsi="Verdana"/>
          <w:b/>
          <w:bCs/>
          <w:color w:val="auto"/>
          <w:szCs w:val="18"/>
          <w:lang w:val="nl-NL"/>
        </w:rPr>
        <w:t>§</w:t>
      </w:r>
      <w:r w:rsidR="00053138" w:rsidRPr="00A33930">
        <w:rPr>
          <w:rFonts w:ascii="Verdana" w:hAnsi="Verdana"/>
          <w:b/>
          <w:bCs/>
          <w:color w:val="auto"/>
          <w:szCs w:val="18"/>
          <w:lang w:val="nl-NL"/>
        </w:rPr>
        <w:t>3</w:t>
      </w:r>
      <w:r w:rsidRPr="00A33930">
        <w:rPr>
          <w:rFonts w:ascii="Verdana" w:hAnsi="Verdana"/>
          <w:b/>
          <w:bCs/>
          <w:color w:val="auto"/>
          <w:szCs w:val="18"/>
          <w:lang w:val="nl-NL"/>
        </w:rPr>
        <w:t>.</w:t>
      </w:r>
      <w:r w:rsidRPr="00A33930">
        <w:rPr>
          <w:rFonts w:ascii="Verdana" w:hAnsi="Verdana"/>
          <w:b/>
          <w:bCs/>
          <w:color w:val="auto"/>
          <w:szCs w:val="18"/>
          <w:lang w:val="nl-NL"/>
        </w:rPr>
        <w:tab/>
      </w:r>
      <w:r w:rsidR="00053138" w:rsidRPr="00A33930">
        <w:rPr>
          <w:rFonts w:ascii="Verdana" w:hAnsi="Verdana"/>
          <w:b/>
          <w:bCs/>
          <w:color w:val="auto"/>
          <w:szCs w:val="18"/>
          <w:lang w:val="nl-NL"/>
        </w:rPr>
        <w:t>Artikel 8 EVRM als recht op persoonlijk contact</w:t>
      </w:r>
    </w:p>
    <w:p w14:paraId="78D2D286" w14:textId="004CD92B" w:rsidR="00304072" w:rsidRPr="00A33930" w:rsidRDefault="00AE1FC7" w:rsidP="00304072">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Het EVRM bevat geen specifieke bepaling voor het recht op persoonlijk contact</w:t>
      </w:r>
      <w:r w:rsidR="006A4F5A" w:rsidRPr="00A33930">
        <w:rPr>
          <w:rFonts w:eastAsia="Verdana" w:cs="Verdana"/>
          <w:szCs w:val="18"/>
          <w:lang w:val="nl-NL"/>
        </w:rPr>
        <w:t>.</w:t>
      </w:r>
      <w:r w:rsidRPr="00A33930">
        <w:rPr>
          <w:rFonts w:eastAsia="Verdana" w:cs="Verdana"/>
          <w:szCs w:val="18"/>
          <w:lang w:val="nl-NL"/>
        </w:rPr>
        <w:t xml:space="preserve"> </w:t>
      </w:r>
      <w:r w:rsidR="006A4F5A" w:rsidRPr="00A33930">
        <w:rPr>
          <w:rFonts w:eastAsia="Verdana" w:cs="Verdana"/>
          <w:szCs w:val="18"/>
          <w:lang w:val="nl-NL"/>
        </w:rPr>
        <w:t>Dit</w:t>
      </w:r>
      <w:r w:rsidRPr="00A33930">
        <w:rPr>
          <w:rFonts w:eastAsia="Verdana" w:cs="Verdana"/>
          <w:szCs w:val="18"/>
          <w:lang w:val="nl-NL"/>
        </w:rPr>
        <w:t xml:space="preserve"> recht valt </w:t>
      </w:r>
      <w:r w:rsidR="00D81DC0" w:rsidRPr="00A33930">
        <w:rPr>
          <w:rFonts w:eastAsia="Verdana" w:cs="Verdana"/>
          <w:szCs w:val="18"/>
          <w:lang w:val="nl-NL"/>
        </w:rPr>
        <w:t xml:space="preserve">impliciet </w:t>
      </w:r>
      <w:r w:rsidRPr="00A33930">
        <w:rPr>
          <w:rFonts w:eastAsia="Verdana" w:cs="Verdana"/>
          <w:szCs w:val="18"/>
          <w:lang w:val="nl-NL"/>
        </w:rPr>
        <w:t>onder de ruime noemer van artikel 8</w:t>
      </w:r>
      <w:r w:rsidR="007C3591" w:rsidRPr="00A33930">
        <w:rPr>
          <w:rFonts w:eastAsia="Verdana" w:cs="Verdana"/>
          <w:szCs w:val="18"/>
          <w:lang w:val="nl-NL"/>
        </w:rPr>
        <w:t>.1</w:t>
      </w:r>
      <w:r w:rsidRPr="00A33930">
        <w:rPr>
          <w:rFonts w:eastAsia="Verdana" w:cs="Verdana"/>
          <w:szCs w:val="18"/>
          <w:lang w:val="nl-NL"/>
        </w:rPr>
        <w:t xml:space="preserve"> EVRM.</w:t>
      </w:r>
      <w:r w:rsidR="00200B74" w:rsidRPr="00A33930">
        <w:rPr>
          <w:rStyle w:val="Voetnootmarkering"/>
          <w:rFonts w:eastAsia="Verdana" w:cs="Verdana"/>
          <w:szCs w:val="18"/>
          <w:lang w:val="nl-NL"/>
        </w:rPr>
        <w:footnoteReference w:id="194"/>
      </w:r>
      <w:r w:rsidRPr="00A33930">
        <w:rPr>
          <w:rFonts w:eastAsia="Verdana" w:cs="Verdana"/>
          <w:szCs w:val="18"/>
          <w:lang w:val="nl-NL"/>
        </w:rPr>
        <w:t xml:space="preserve"> </w:t>
      </w:r>
      <w:r w:rsidR="00A54FFC" w:rsidRPr="00A33930">
        <w:rPr>
          <w:rFonts w:eastAsia="Verdana" w:cs="Verdana"/>
          <w:szCs w:val="18"/>
          <w:lang w:val="nl-NL"/>
        </w:rPr>
        <w:t xml:space="preserve">Het EHRM verleent </w:t>
      </w:r>
      <w:r w:rsidR="004C5812" w:rsidRPr="00A33930">
        <w:rPr>
          <w:rFonts w:eastAsia="Verdana" w:cs="Verdana"/>
          <w:szCs w:val="18"/>
          <w:lang w:val="nl-NL"/>
        </w:rPr>
        <w:t xml:space="preserve">aan </w:t>
      </w:r>
      <w:r w:rsidR="00A54FFC" w:rsidRPr="00A33930">
        <w:rPr>
          <w:rFonts w:eastAsia="Verdana" w:cs="Verdana"/>
          <w:szCs w:val="18"/>
          <w:lang w:val="nl-NL"/>
        </w:rPr>
        <w:t xml:space="preserve">dit artikel </w:t>
      </w:r>
      <w:r w:rsidR="004C5812" w:rsidRPr="00A33930">
        <w:rPr>
          <w:rFonts w:eastAsia="Verdana" w:cs="Verdana"/>
          <w:szCs w:val="18"/>
          <w:lang w:val="nl-NL"/>
        </w:rPr>
        <w:t xml:space="preserve">dan ook </w:t>
      </w:r>
      <w:r w:rsidR="00A54FFC" w:rsidRPr="00A33930">
        <w:rPr>
          <w:rFonts w:eastAsia="Verdana" w:cs="Verdana"/>
          <w:szCs w:val="18"/>
          <w:lang w:val="nl-NL"/>
        </w:rPr>
        <w:t xml:space="preserve">een </w:t>
      </w:r>
      <w:r w:rsidR="00D76726" w:rsidRPr="00A33930">
        <w:rPr>
          <w:rFonts w:eastAsia="Verdana" w:cs="Verdana"/>
          <w:szCs w:val="18"/>
          <w:lang w:val="nl-NL"/>
        </w:rPr>
        <w:t>breed</w:t>
      </w:r>
      <w:r w:rsidR="00A54FFC" w:rsidRPr="00A33930">
        <w:rPr>
          <w:rFonts w:eastAsia="Verdana" w:cs="Verdana"/>
          <w:szCs w:val="18"/>
          <w:lang w:val="nl-NL"/>
        </w:rPr>
        <w:t xml:space="preserve"> toepassingsgebied.</w:t>
      </w:r>
      <w:r w:rsidR="00A54FFC" w:rsidRPr="00A33930">
        <w:rPr>
          <w:rStyle w:val="Voetnootmarkering"/>
          <w:rFonts w:eastAsia="Verdana" w:cs="Verdana"/>
          <w:szCs w:val="18"/>
          <w:lang w:val="nl-NL"/>
        </w:rPr>
        <w:footnoteReference w:id="195"/>
      </w:r>
      <w:r w:rsidR="000A1577" w:rsidRPr="00A33930">
        <w:rPr>
          <w:rFonts w:eastAsia="Verdana" w:cs="Verdana"/>
          <w:szCs w:val="18"/>
          <w:lang w:val="nl-NL"/>
        </w:rPr>
        <w:t xml:space="preserve"> </w:t>
      </w:r>
      <w:r w:rsidR="007C3591" w:rsidRPr="00A33930">
        <w:rPr>
          <w:rFonts w:eastAsia="Verdana" w:cs="Verdana"/>
          <w:szCs w:val="18"/>
          <w:lang w:val="nl-NL"/>
        </w:rPr>
        <w:t>Het recht op respect voor privé-, familie- en gezinsleven</w:t>
      </w:r>
      <w:r w:rsidR="00D81DC0" w:rsidRPr="00A33930">
        <w:rPr>
          <w:rFonts w:eastAsia="Verdana" w:cs="Verdana"/>
          <w:szCs w:val="18"/>
          <w:lang w:val="nl-NL"/>
        </w:rPr>
        <w:t xml:space="preserve"> omvat een aantal samengestelde rechten zoals het recht van kinderen om te worden verzorgd door </w:t>
      </w:r>
      <w:r w:rsidR="006A4F5A" w:rsidRPr="00A33930">
        <w:rPr>
          <w:rFonts w:eastAsia="Verdana" w:cs="Verdana"/>
          <w:szCs w:val="18"/>
          <w:lang w:val="nl-NL"/>
        </w:rPr>
        <w:t>de</w:t>
      </w:r>
      <w:r w:rsidR="00D81DC0" w:rsidRPr="00A33930">
        <w:rPr>
          <w:rFonts w:eastAsia="Verdana" w:cs="Verdana"/>
          <w:szCs w:val="18"/>
          <w:lang w:val="nl-NL"/>
        </w:rPr>
        <w:t xml:space="preserve"> ouders, het recht op contact met beide ouders, het recht om niet te worden gescheiden van </w:t>
      </w:r>
      <w:r w:rsidR="006A4F5A" w:rsidRPr="00A33930">
        <w:rPr>
          <w:rFonts w:eastAsia="Verdana" w:cs="Verdana"/>
          <w:szCs w:val="18"/>
          <w:lang w:val="nl-NL"/>
        </w:rPr>
        <w:t>de</w:t>
      </w:r>
      <w:r w:rsidR="00D81DC0" w:rsidRPr="00A33930">
        <w:rPr>
          <w:rFonts w:eastAsia="Verdana" w:cs="Verdana"/>
          <w:szCs w:val="18"/>
          <w:lang w:val="nl-NL"/>
        </w:rPr>
        <w:t xml:space="preserve"> ouders tenzij dat tegenstrijdig is met </w:t>
      </w:r>
      <w:r w:rsidR="006A4F5A" w:rsidRPr="00A33930">
        <w:rPr>
          <w:rFonts w:eastAsia="Verdana" w:cs="Verdana"/>
          <w:szCs w:val="18"/>
          <w:lang w:val="nl-NL"/>
        </w:rPr>
        <w:t>de</w:t>
      </w:r>
      <w:r w:rsidR="00D81DC0" w:rsidRPr="00A33930">
        <w:rPr>
          <w:rFonts w:eastAsia="Verdana" w:cs="Verdana"/>
          <w:szCs w:val="18"/>
          <w:lang w:val="nl-NL"/>
        </w:rPr>
        <w:t xml:space="preserve"> belangen</w:t>
      </w:r>
      <w:r w:rsidR="006A4F5A" w:rsidRPr="00A33930">
        <w:rPr>
          <w:rFonts w:eastAsia="Verdana" w:cs="Verdana"/>
          <w:szCs w:val="18"/>
          <w:lang w:val="nl-NL"/>
        </w:rPr>
        <w:t xml:space="preserve"> van het kind</w:t>
      </w:r>
      <w:r w:rsidR="00D81DC0" w:rsidRPr="00A33930">
        <w:rPr>
          <w:rFonts w:eastAsia="Verdana" w:cs="Verdana"/>
          <w:szCs w:val="18"/>
          <w:lang w:val="nl-NL"/>
        </w:rPr>
        <w:t xml:space="preserve"> en het recht op gezinshereniging.</w:t>
      </w:r>
      <w:r w:rsidR="00D81DC0" w:rsidRPr="00A33930">
        <w:rPr>
          <w:rStyle w:val="Voetnootmarkering"/>
          <w:rFonts w:eastAsia="Verdana" w:cs="Verdana"/>
          <w:szCs w:val="18"/>
          <w:lang w:val="nl-NL"/>
        </w:rPr>
        <w:footnoteReference w:id="196"/>
      </w:r>
      <w:r w:rsidR="006A4F5A" w:rsidRPr="00A33930">
        <w:rPr>
          <w:rFonts w:eastAsia="Verdana" w:cs="Verdana"/>
          <w:szCs w:val="18"/>
          <w:lang w:val="nl-NL"/>
        </w:rPr>
        <w:t xml:space="preserve"> </w:t>
      </w:r>
    </w:p>
    <w:p w14:paraId="49E8D321" w14:textId="1F33F514" w:rsidR="004C5812" w:rsidRPr="00A33930" w:rsidRDefault="005C381F" w:rsidP="0053603C">
      <w:pPr>
        <w:pStyle w:val="Lijstalinea"/>
        <w:numPr>
          <w:ilvl w:val="0"/>
          <w:numId w:val="4"/>
        </w:numPr>
        <w:spacing w:before="200" w:after="0"/>
        <w:ind w:left="0" w:firstLine="0"/>
        <w:jc w:val="both"/>
        <w:rPr>
          <w:rFonts w:eastAsia="Verdana" w:cs="Verdana"/>
          <w:b/>
          <w:bCs/>
          <w:szCs w:val="18"/>
          <w:lang w:val="nl-NL"/>
        </w:rPr>
      </w:pPr>
      <w:r w:rsidRPr="00A33930">
        <w:rPr>
          <w:szCs w:val="18"/>
          <w:lang w:val="nl-NL"/>
        </w:rPr>
        <w:lastRenderedPageBreak/>
        <w:t xml:space="preserve">Artikel 8 EVRM biedt aan “eenieder” het recht op eerbiediging van zijn privé-, familie en gezinsleven waardoor er eigenlijk </w:t>
      </w:r>
      <w:r w:rsidR="005F2568" w:rsidRPr="00A33930">
        <w:rPr>
          <w:szCs w:val="18"/>
          <w:lang w:val="nl-NL"/>
        </w:rPr>
        <w:t>impliciet</w:t>
      </w:r>
      <w:r w:rsidRPr="00A33930">
        <w:rPr>
          <w:szCs w:val="18"/>
          <w:lang w:val="nl-NL"/>
        </w:rPr>
        <w:t xml:space="preserve"> een omgangs</w:t>
      </w:r>
      <w:r w:rsidRPr="00A33930">
        <w:rPr>
          <w:i/>
          <w:iCs/>
          <w:szCs w:val="18"/>
          <w:lang w:val="nl-NL"/>
        </w:rPr>
        <w:t>plicht</w:t>
      </w:r>
      <w:r w:rsidRPr="00A33930">
        <w:rPr>
          <w:szCs w:val="18"/>
          <w:lang w:val="nl-NL"/>
        </w:rPr>
        <w:t xml:space="preserve"> bestaat.</w:t>
      </w:r>
      <w:r w:rsidR="00FC1448" w:rsidRPr="00A33930">
        <w:rPr>
          <w:rStyle w:val="Voetnootmarkering"/>
          <w:szCs w:val="18"/>
          <w:lang w:val="nl-NL"/>
        </w:rPr>
        <w:footnoteReference w:id="197"/>
      </w:r>
      <w:r w:rsidRPr="00A33930">
        <w:rPr>
          <w:szCs w:val="18"/>
          <w:lang w:val="nl-NL"/>
        </w:rPr>
        <w:t xml:space="preserve"> </w:t>
      </w:r>
      <w:r w:rsidR="00671A1A" w:rsidRPr="00A33930">
        <w:rPr>
          <w:szCs w:val="18"/>
          <w:lang w:val="nl-NL"/>
        </w:rPr>
        <w:t xml:space="preserve">Het kind heeft dus volgens artikel 8 EVRM ook een </w:t>
      </w:r>
      <w:r w:rsidR="00671A1A" w:rsidRPr="00A33930">
        <w:rPr>
          <w:i/>
          <w:iCs/>
          <w:szCs w:val="18"/>
          <w:lang w:val="nl-NL"/>
        </w:rPr>
        <w:t>eigen</w:t>
      </w:r>
      <w:r w:rsidR="00671A1A" w:rsidRPr="00A33930">
        <w:rPr>
          <w:szCs w:val="18"/>
          <w:lang w:val="nl-NL"/>
        </w:rPr>
        <w:t xml:space="preserve"> recht op</w:t>
      </w:r>
      <w:r w:rsidR="005F2568" w:rsidRPr="00A33930">
        <w:rPr>
          <w:szCs w:val="18"/>
          <w:lang w:val="nl-NL"/>
        </w:rPr>
        <w:t xml:space="preserve"> persoonlijk</w:t>
      </w:r>
      <w:r w:rsidR="00671A1A" w:rsidRPr="00A33930">
        <w:rPr>
          <w:szCs w:val="18"/>
          <w:lang w:val="nl-NL"/>
        </w:rPr>
        <w:t xml:space="preserve"> contact.</w:t>
      </w:r>
      <w:r w:rsidR="00671A1A" w:rsidRPr="00A33930">
        <w:rPr>
          <w:rStyle w:val="Voetnootmarkering"/>
          <w:szCs w:val="18"/>
          <w:lang w:val="nl-NL"/>
        </w:rPr>
        <w:footnoteReference w:id="198"/>
      </w:r>
      <w:r w:rsidR="00671A1A" w:rsidRPr="00A33930">
        <w:rPr>
          <w:szCs w:val="18"/>
          <w:lang w:val="nl-NL"/>
        </w:rPr>
        <w:t xml:space="preserve"> </w:t>
      </w:r>
      <w:r w:rsidR="005318F0" w:rsidRPr="00A33930">
        <w:rPr>
          <w:rFonts w:eastAsia="Verdana" w:cs="Verdana"/>
          <w:szCs w:val="18"/>
          <w:lang w:val="nl-NL"/>
        </w:rPr>
        <w:t xml:space="preserve">Ook buiten de ouder-kindrelatie heeft het kind </w:t>
      </w:r>
      <w:r w:rsidR="005F2568" w:rsidRPr="00A33930">
        <w:rPr>
          <w:rFonts w:eastAsia="Verdana" w:cs="Verdana"/>
          <w:szCs w:val="18"/>
          <w:lang w:val="nl-NL"/>
        </w:rPr>
        <w:t>dit</w:t>
      </w:r>
      <w:r w:rsidR="005318F0" w:rsidRPr="00A33930">
        <w:rPr>
          <w:rFonts w:eastAsia="Verdana" w:cs="Verdana"/>
          <w:szCs w:val="18"/>
          <w:lang w:val="nl-NL"/>
        </w:rPr>
        <w:t xml:space="preserve"> recht indien er een daadwerkelijk beleefde relatie bestaat.</w:t>
      </w:r>
      <w:r w:rsidR="005318F0" w:rsidRPr="00A33930">
        <w:rPr>
          <w:rStyle w:val="Voetnootmarkering"/>
          <w:rFonts w:eastAsia="Verdana" w:cs="Verdana"/>
          <w:szCs w:val="18"/>
          <w:lang w:val="nl-NL"/>
        </w:rPr>
        <w:footnoteReference w:id="199"/>
      </w:r>
      <w:r w:rsidR="005318F0" w:rsidRPr="00A33930">
        <w:rPr>
          <w:rFonts w:eastAsia="Verdana" w:cs="Verdana"/>
          <w:szCs w:val="18"/>
          <w:lang w:val="nl-NL"/>
        </w:rPr>
        <w:t xml:space="preserve"> </w:t>
      </w:r>
      <w:r w:rsidR="00671A1A" w:rsidRPr="00A33930">
        <w:rPr>
          <w:szCs w:val="18"/>
          <w:lang w:val="nl-NL"/>
        </w:rPr>
        <w:t>Het</w:t>
      </w:r>
      <w:r w:rsidRPr="00A33930">
        <w:rPr>
          <w:szCs w:val="18"/>
          <w:lang w:val="nl-NL"/>
        </w:rPr>
        <w:t xml:space="preserve"> lijkt </w:t>
      </w:r>
      <w:r w:rsidR="00671A1A" w:rsidRPr="00A33930">
        <w:rPr>
          <w:szCs w:val="18"/>
          <w:lang w:val="nl-NL"/>
        </w:rPr>
        <w:t>echter</w:t>
      </w:r>
      <w:r w:rsidRPr="00A33930">
        <w:rPr>
          <w:szCs w:val="18"/>
          <w:lang w:val="nl-NL"/>
        </w:rPr>
        <w:t xml:space="preserve"> moeilijk aan te nemen dat een omgangs</w:t>
      </w:r>
      <w:r w:rsidRPr="00A33930">
        <w:rPr>
          <w:i/>
          <w:iCs/>
          <w:szCs w:val="18"/>
          <w:lang w:val="nl-NL"/>
        </w:rPr>
        <w:t>plicht</w:t>
      </w:r>
      <w:r w:rsidRPr="00A33930">
        <w:rPr>
          <w:szCs w:val="18"/>
          <w:lang w:val="nl-NL"/>
        </w:rPr>
        <w:t xml:space="preserve"> </w:t>
      </w:r>
      <w:r w:rsidR="00D76726" w:rsidRPr="00A33930">
        <w:rPr>
          <w:szCs w:val="18"/>
          <w:lang w:val="nl-NL"/>
        </w:rPr>
        <w:t xml:space="preserve">effectief </w:t>
      </w:r>
      <w:r w:rsidR="00764719" w:rsidRPr="00A33930">
        <w:rPr>
          <w:szCs w:val="18"/>
          <w:lang w:val="nl-NL"/>
        </w:rPr>
        <w:t>het</w:t>
      </w:r>
      <w:r w:rsidRPr="00A33930">
        <w:rPr>
          <w:szCs w:val="18"/>
          <w:lang w:val="nl-NL"/>
        </w:rPr>
        <w:t xml:space="preserve"> belang van het kind </w:t>
      </w:r>
      <w:r w:rsidR="00764719" w:rsidRPr="00A33930">
        <w:rPr>
          <w:szCs w:val="18"/>
          <w:lang w:val="nl-NL"/>
        </w:rPr>
        <w:t>dient</w:t>
      </w:r>
      <w:r w:rsidRPr="00A33930">
        <w:rPr>
          <w:szCs w:val="18"/>
          <w:lang w:val="nl-NL"/>
        </w:rPr>
        <w:t xml:space="preserve"> (</w:t>
      </w:r>
      <w:r w:rsidRPr="00A33930">
        <w:rPr>
          <w:i/>
          <w:iCs/>
          <w:szCs w:val="18"/>
          <w:lang w:val="nl-NL"/>
        </w:rPr>
        <w:t>supra</w:t>
      </w:r>
      <w:r w:rsidRPr="00A33930">
        <w:rPr>
          <w:szCs w:val="18"/>
          <w:lang w:val="nl-NL"/>
        </w:rPr>
        <w:t xml:space="preserve">, nr. </w:t>
      </w:r>
      <w:r w:rsidR="00764719" w:rsidRPr="00A33930">
        <w:rPr>
          <w:szCs w:val="18"/>
          <w:lang w:val="nl-NL"/>
        </w:rPr>
        <w:t>5</w:t>
      </w:r>
      <w:r w:rsidR="00B35298" w:rsidRPr="00A33930">
        <w:rPr>
          <w:szCs w:val="18"/>
          <w:lang w:val="nl-NL"/>
        </w:rPr>
        <w:t>2</w:t>
      </w:r>
      <w:r w:rsidRPr="00A33930">
        <w:rPr>
          <w:szCs w:val="18"/>
          <w:lang w:val="nl-NL"/>
        </w:rPr>
        <w:t>).</w:t>
      </w:r>
    </w:p>
    <w:p w14:paraId="2D69AA4A" w14:textId="77777777" w:rsidR="00671A1A" w:rsidRPr="00A33930" w:rsidRDefault="00671A1A" w:rsidP="00671A1A">
      <w:pPr>
        <w:pStyle w:val="Lijstalinea"/>
        <w:spacing w:before="200" w:after="0"/>
        <w:ind w:left="0"/>
        <w:jc w:val="both"/>
        <w:rPr>
          <w:rFonts w:eastAsia="Verdana" w:cs="Verdana"/>
          <w:b/>
          <w:bCs/>
          <w:szCs w:val="18"/>
          <w:lang w:val="nl-NL"/>
        </w:rPr>
      </w:pPr>
    </w:p>
    <w:p w14:paraId="40628C0C" w14:textId="626E6443" w:rsidR="00D14322" w:rsidRPr="00A33930" w:rsidRDefault="004C5812" w:rsidP="00F01248">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Het recht op eerbiediging van het </w:t>
      </w:r>
      <w:r w:rsidR="001560C8" w:rsidRPr="00A33930">
        <w:rPr>
          <w:rFonts w:eastAsia="Verdana" w:cs="Verdana"/>
          <w:szCs w:val="18"/>
          <w:lang w:val="nl-NL"/>
        </w:rPr>
        <w:t>privéleven, zijnde het recht om persoonlijke relaties aan te gaan</w:t>
      </w:r>
      <w:r w:rsidR="00F01248" w:rsidRPr="00A33930">
        <w:rPr>
          <w:rFonts w:eastAsia="Verdana" w:cs="Verdana"/>
          <w:szCs w:val="18"/>
          <w:lang w:val="nl-NL"/>
        </w:rPr>
        <w:t xml:space="preserve"> en te beëindigen</w:t>
      </w:r>
      <w:r w:rsidR="001560C8" w:rsidRPr="00A33930">
        <w:rPr>
          <w:rFonts w:eastAsia="Verdana" w:cs="Verdana"/>
          <w:szCs w:val="18"/>
          <w:lang w:val="nl-NL"/>
        </w:rPr>
        <w:t>, en het recht op eerb</w:t>
      </w:r>
      <w:r w:rsidR="003B6977" w:rsidRPr="00A33930">
        <w:rPr>
          <w:rFonts w:eastAsia="Verdana" w:cs="Verdana"/>
          <w:szCs w:val="18"/>
          <w:lang w:val="nl-NL"/>
        </w:rPr>
        <w:t>ie</w:t>
      </w:r>
      <w:r w:rsidR="001560C8" w:rsidRPr="00A33930">
        <w:rPr>
          <w:rFonts w:eastAsia="Verdana" w:cs="Verdana"/>
          <w:szCs w:val="18"/>
          <w:lang w:val="nl-NL"/>
        </w:rPr>
        <w:t xml:space="preserve">diging van het (potentieel) </w:t>
      </w:r>
      <w:r w:rsidRPr="00A33930">
        <w:rPr>
          <w:rFonts w:eastAsia="Verdana" w:cs="Verdana"/>
          <w:szCs w:val="18"/>
          <w:lang w:val="nl-NL"/>
        </w:rPr>
        <w:t>gezinsleven</w:t>
      </w:r>
      <w:r w:rsidR="001560C8" w:rsidRPr="00A33930">
        <w:rPr>
          <w:rFonts w:eastAsia="Verdana" w:cs="Verdana"/>
          <w:szCs w:val="18"/>
          <w:lang w:val="nl-NL"/>
        </w:rPr>
        <w:t xml:space="preserve">, </w:t>
      </w:r>
      <w:r w:rsidR="00F01248" w:rsidRPr="00A33930">
        <w:rPr>
          <w:rFonts w:eastAsia="Verdana" w:cs="Verdana"/>
          <w:szCs w:val="18"/>
          <w:lang w:val="nl-NL"/>
        </w:rPr>
        <w:t>aldus</w:t>
      </w:r>
      <w:r w:rsidR="001560C8" w:rsidRPr="00A33930">
        <w:rPr>
          <w:rFonts w:eastAsia="Verdana" w:cs="Verdana"/>
          <w:szCs w:val="18"/>
          <w:lang w:val="nl-NL"/>
        </w:rPr>
        <w:t xml:space="preserve"> het recht op beschermenswaardige relaties,</w:t>
      </w:r>
      <w:r w:rsidRPr="00A33930">
        <w:rPr>
          <w:rFonts w:eastAsia="Verdana" w:cs="Verdana"/>
          <w:szCs w:val="18"/>
          <w:lang w:val="nl-NL"/>
        </w:rPr>
        <w:t xml:space="preserve"> </w:t>
      </w:r>
      <w:r w:rsidR="00764719" w:rsidRPr="00A33930">
        <w:rPr>
          <w:rFonts w:eastAsia="Verdana" w:cs="Verdana"/>
          <w:szCs w:val="18"/>
          <w:lang w:val="nl-NL"/>
        </w:rPr>
        <w:t>vormen</w:t>
      </w:r>
      <w:r w:rsidRPr="00A33930">
        <w:rPr>
          <w:rFonts w:eastAsia="Verdana" w:cs="Verdana"/>
          <w:szCs w:val="18"/>
          <w:lang w:val="nl-NL"/>
        </w:rPr>
        <w:t xml:space="preserve"> een </w:t>
      </w:r>
      <w:r w:rsidR="00F01248" w:rsidRPr="00A33930">
        <w:rPr>
          <w:rFonts w:eastAsia="Verdana" w:cs="Verdana"/>
          <w:szCs w:val="18"/>
          <w:lang w:val="nl-NL"/>
        </w:rPr>
        <w:t>precisering</w:t>
      </w:r>
      <w:r w:rsidRPr="00A33930">
        <w:rPr>
          <w:rFonts w:eastAsia="Verdana" w:cs="Verdana"/>
          <w:szCs w:val="18"/>
          <w:lang w:val="nl-NL"/>
        </w:rPr>
        <w:t xml:space="preserve"> van het recht </w:t>
      </w:r>
      <w:r w:rsidR="003B6977" w:rsidRPr="00A33930">
        <w:rPr>
          <w:rFonts w:eastAsia="Verdana" w:cs="Verdana"/>
          <w:szCs w:val="18"/>
          <w:lang w:val="nl-NL"/>
        </w:rPr>
        <w:t>uit artikel 8.1 EVRM</w:t>
      </w:r>
      <w:r w:rsidRPr="00A33930">
        <w:rPr>
          <w:rFonts w:eastAsia="Verdana" w:cs="Verdana"/>
          <w:szCs w:val="18"/>
          <w:lang w:val="nl-NL"/>
        </w:rPr>
        <w:t>.</w:t>
      </w:r>
      <w:r w:rsidR="00256E34" w:rsidRPr="00A33930">
        <w:rPr>
          <w:rStyle w:val="Voetnootmarkering"/>
          <w:rFonts w:eastAsia="Verdana" w:cs="Verdana"/>
          <w:szCs w:val="18"/>
          <w:lang w:val="nl-NL"/>
        </w:rPr>
        <w:footnoteReference w:id="200"/>
      </w:r>
      <w:r w:rsidRPr="00A33930">
        <w:rPr>
          <w:rFonts w:eastAsia="Verdana" w:cs="Verdana"/>
          <w:szCs w:val="18"/>
          <w:lang w:val="nl-NL"/>
        </w:rPr>
        <w:t xml:space="preserve"> Het begrip “gezinsleven” omvat het recht op persoonlijk contact.</w:t>
      </w:r>
      <w:r w:rsidRPr="00A33930">
        <w:rPr>
          <w:rStyle w:val="Voetnootmarkering"/>
          <w:rFonts w:eastAsia="Verdana" w:cs="Verdana"/>
          <w:szCs w:val="18"/>
          <w:lang w:val="nl-NL"/>
        </w:rPr>
        <w:footnoteReference w:id="201"/>
      </w:r>
      <w:r w:rsidRPr="00A33930">
        <w:rPr>
          <w:rFonts w:eastAsia="Verdana" w:cs="Verdana"/>
          <w:szCs w:val="18"/>
          <w:lang w:val="nl-NL"/>
        </w:rPr>
        <w:t xml:space="preserve"> </w:t>
      </w:r>
      <w:r w:rsidR="006A4F5A" w:rsidRPr="00A33930">
        <w:rPr>
          <w:rFonts w:eastAsia="Verdana" w:cs="Verdana"/>
          <w:szCs w:val="18"/>
          <w:lang w:val="nl-NL"/>
        </w:rPr>
        <w:t xml:space="preserve">Dit recht </w:t>
      </w:r>
      <w:r w:rsidRPr="00A33930">
        <w:rPr>
          <w:rFonts w:eastAsia="Verdana" w:cs="Verdana"/>
          <w:szCs w:val="18"/>
          <w:lang w:val="nl-NL"/>
        </w:rPr>
        <w:t>op persoonlijk contact heeft</w:t>
      </w:r>
      <w:r w:rsidR="006A4F5A" w:rsidRPr="00A33930">
        <w:rPr>
          <w:rFonts w:eastAsia="Verdana" w:cs="Verdana"/>
          <w:szCs w:val="18"/>
          <w:lang w:val="nl-NL"/>
        </w:rPr>
        <w:t xml:space="preserve"> enerzijds</w:t>
      </w:r>
      <w:r w:rsidRPr="00A33930">
        <w:rPr>
          <w:rFonts w:eastAsia="Verdana" w:cs="Verdana"/>
          <w:szCs w:val="18"/>
          <w:lang w:val="nl-NL"/>
        </w:rPr>
        <w:t xml:space="preserve"> betrekking op</w:t>
      </w:r>
      <w:r w:rsidR="006A4F5A" w:rsidRPr="00A33930">
        <w:rPr>
          <w:rFonts w:eastAsia="Verdana" w:cs="Verdana"/>
          <w:szCs w:val="18"/>
          <w:lang w:val="nl-NL"/>
        </w:rPr>
        <w:t xml:space="preserve"> de familie </w:t>
      </w:r>
      <w:r w:rsidR="006A4F5A" w:rsidRPr="00A33930">
        <w:rPr>
          <w:rFonts w:eastAsia="Verdana" w:cs="Verdana"/>
          <w:i/>
          <w:iCs/>
          <w:szCs w:val="18"/>
          <w:lang w:val="nl-NL"/>
        </w:rPr>
        <w:t>sensu lato,</w:t>
      </w:r>
      <w:r w:rsidR="006A4F5A" w:rsidRPr="00A33930">
        <w:rPr>
          <w:rFonts w:eastAsia="Verdana" w:cs="Verdana"/>
          <w:szCs w:val="18"/>
          <w:lang w:val="nl-NL"/>
        </w:rPr>
        <w:t xml:space="preserve"> </w:t>
      </w:r>
      <w:r w:rsidR="00764719" w:rsidRPr="00A33930">
        <w:rPr>
          <w:rFonts w:eastAsia="Verdana" w:cs="Verdana"/>
          <w:szCs w:val="18"/>
          <w:lang w:val="nl-NL"/>
        </w:rPr>
        <w:t>zoals</w:t>
      </w:r>
      <w:r w:rsidR="006A4F5A" w:rsidRPr="00A33930">
        <w:rPr>
          <w:rFonts w:eastAsia="Verdana" w:cs="Verdana"/>
          <w:szCs w:val="18"/>
          <w:lang w:val="nl-NL"/>
        </w:rPr>
        <w:t xml:space="preserve"> grootouders of pleegouders,</w:t>
      </w:r>
      <w:r w:rsidR="006A4F5A" w:rsidRPr="00A33930">
        <w:rPr>
          <w:rFonts w:eastAsia="Verdana" w:cs="Verdana"/>
          <w:i/>
          <w:iCs/>
          <w:szCs w:val="18"/>
          <w:lang w:val="nl-NL"/>
        </w:rPr>
        <w:t xml:space="preserve"> </w:t>
      </w:r>
      <w:r w:rsidR="006A4F5A" w:rsidRPr="00A33930">
        <w:rPr>
          <w:rFonts w:eastAsia="Verdana" w:cs="Verdana"/>
          <w:szCs w:val="18"/>
          <w:lang w:val="nl-NL"/>
        </w:rPr>
        <w:t xml:space="preserve">en anderzijds </w:t>
      </w:r>
      <w:r w:rsidRPr="00A33930">
        <w:rPr>
          <w:rFonts w:eastAsia="Verdana" w:cs="Verdana"/>
          <w:szCs w:val="18"/>
          <w:lang w:val="nl-NL"/>
        </w:rPr>
        <w:t xml:space="preserve">op </w:t>
      </w:r>
      <w:r w:rsidR="006A4F5A" w:rsidRPr="00A33930">
        <w:rPr>
          <w:rFonts w:eastAsia="Verdana" w:cs="Verdana"/>
          <w:szCs w:val="18"/>
          <w:lang w:val="nl-NL"/>
        </w:rPr>
        <w:t xml:space="preserve">de familie </w:t>
      </w:r>
      <w:r w:rsidR="006A4F5A" w:rsidRPr="00A33930">
        <w:rPr>
          <w:rFonts w:eastAsia="Verdana" w:cs="Verdana"/>
          <w:i/>
          <w:iCs/>
          <w:szCs w:val="18"/>
          <w:lang w:val="nl-NL"/>
        </w:rPr>
        <w:t>sensu stricto</w:t>
      </w:r>
      <w:r w:rsidR="006A4F5A" w:rsidRPr="00A33930">
        <w:rPr>
          <w:rFonts w:eastAsia="Verdana" w:cs="Verdana"/>
          <w:szCs w:val="18"/>
          <w:lang w:val="nl-NL"/>
        </w:rPr>
        <w:t xml:space="preserve">, </w:t>
      </w:r>
      <w:r w:rsidR="00764719" w:rsidRPr="00A33930">
        <w:rPr>
          <w:rFonts w:eastAsia="Verdana" w:cs="Verdana"/>
          <w:szCs w:val="18"/>
          <w:lang w:val="nl-NL"/>
        </w:rPr>
        <w:t>zoals</w:t>
      </w:r>
      <w:r w:rsidR="006A4F5A" w:rsidRPr="00A33930">
        <w:rPr>
          <w:rFonts w:eastAsia="Verdana" w:cs="Verdana"/>
          <w:szCs w:val="18"/>
          <w:lang w:val="nl-NL"/>
        </w:rPr>
        <w:t xml:space="preserve"> de relatie tussen ouders en kinderen</w:t>
      </w:r>
      <w:r w:rsidR="00764719" w:rsidRPr="00A33930">
        <w:rPr>
          <w:rFonts w:eastAsia="Verdana" w:cs="Verdana"/>
          <w:szCs w:val="18"/>
          <w:lang w:val="nl-NL"/>
        </w:rPr>
        <w:t xml:space="preserve"> of </w:t>
      </w:r>
      <w:r w:rsidR="006A4F5A" w:rsidRPr="00A33930">
        <w:rPr>
          <w:rFonts w:eastAsia="Verdana" w:cs="Verdana"/>
          <w:szCs w:val="18"/>
          <w:lang w:val="nl-NL"/>
        </w:rPr>
        <w:t>broers en zussen binnen het gezin.</w:t>
      </w:r>
      <w:r w:rsidR="006A4F5A" w:rsidRPr="00A33930">
        <w:rPr>
          <w:rStyle w:val="Voetnootmarkering"/>
          <w:rFonts w:eastAsia="Verdana" w:cs="Verdana"/>
          <w:szCs w:val="18"/>
          <w:lang w:val="nl-NL"/>
        </w:rPr>
        <w:footnoteReference w:id="202"/>
      </w:r>
      <w:r w:rsidR="006A4F5A" w:rsidRPr="00A33930">
        <w:rPr>
          <w:rFonts w:eastAsia="Verdana" w:cs="Verdana"/>
          <w:szCs w:val="18"/>
          <w:lang w:val="nl-NL"/>
        </w:rPr>
        <w:t xml:space="preserve"> </w:t>
      </w:r>
      <w:r w:rsidRPr="00A33930">
        <w:rPr>
          <w:rFonts w:eastAsia="Verdana" w:cs="Verdana"/>
          <w:szCs w:val="18"/>
          <w:lang w:val="nl-NL"/>
        </w:rPr>
        <w:t>De relaties tussen personen die onder het gezins- en familieleven vallen worden soeverein</w:t>
      </w:r>
      <w:r w:rsidR="00764719" w:rsidRPr="00A33930">
        <w:rPr>
          <w:rFonts w:eastAsia="Verdana" w:cs="Verdana"/>
          <w:szCs w:val="18"/>
          <w:lang w:val="nl-NL"/>
        </w:rPr>
        <w:t xml:space="preserve"> beoordeeld en bepaald</w:t>
      </w:r>
      <w:r w:rsidRPr="00A33930">
        <w:rPr>
          <w:rFonts w:eastAsia="Verdana" w:cs="Verdana"/>
          <w:szCs w:val="18"/>
          <w:lang w:val="nl-NL"/>
        </w:rPr>
        <w:t xml:space="preserve"> door het EHRM.</w:t>
      </w:r>
      <w:r w:rsidRPr="00A33930">
        <w:rPr>
          <w:rStyle w:val="Voetnootmarkering"/>
          <w:rFonts w:eastAsia="Verdana" w:cs="Verdana"/>
          <w:szCs w:val="18"/>
          <w:lang w:val="nl-NL"/>
        </w:rPr>
        <w:footnoteReference w:id="203"/>
      </w:r>
      <w:r w:rsidRPr="00A33930">
        <w:rPr>
          <w:rFonts w:eastAsia="Verdana" w:cs="Verdana"/>
          <w:szCs w:val="18"/>
          <w:lang w:val="nl-NL"/>
        </w:rPr>
        <w:t xml:space="preserve"> </w:t>
      </w:r>
      <w:r w:rsidRPr="00A33930">
        <w:rPr>
          <w:lang w:val="nl-NL"/>
        </w:rPr>
        <w:t xml:space="preserve">Het EHRM beschermt in sommige gevallen dus ook het recht op persoonlijk contact van personen </w:t>
      </w:r>
      <w:r w:rsidR="0060177B" w:rsidRPr="00A33930">
        <w:rPr>
          <w:lang w:val="nl-NL"/>
        </w:rPr>
        <w:t>zonder</w:t>
      </w:r>
      <w:r w:rsidRPr="00A33930">
        <w:rPr>
          <w:lang w:val="nl-NL"/>
        </w:rPr>
        <w:t xml:space="preserve"> juridisch ouderschap.</w:t>
      </w:r>
      <w:r w:rsidRPr="00A33930">
        <w:rPr>
          <w:rStyle w:val="Voetnootmarkering"/>
          <w:lang w:val="nl-NL"/>
        </w:rPr>
        <w:footnoteReference w:id="204"/>
      </w:r>
      <w:r w:rsidRPr="00A33930">
        <w:rPr>
          <w:lang w:val="nl-NL"/>
        </w:rPr>
        <w:t xml:space="preserve"> </w:t>
      </w:r>
      <w:r w:rsidR="006A4F5A" w:rsidRPr="00A33930">
        <w:rPr>
          <w:rFonts w:cs="Verdana"/>
          <w:szCs w:val="18"/>
          <w:lang w:val="nl-NL"/>
        </w:rPr>
        <w:t>In 1979 erkende het EHRM met het arrest</w:t>
      </w:r>
      <w:r w:rsidR="003B6977" w:rsidRPr="00A33930">
        <w:rPr>
          <w:rFonts w:cs="Verdana"/>
          <w:szCs w:val="18"/>
          <w:lang w:val="nl-NL"/>
        </w:rPr>
        <w:t>-</w:t>
      </w:r>
      <w:r w:rsidR="006A4F5A" w:rsidRPr="00A33930">
        <w:rPr>
          <w:rFonts w:cs="Verdana"/>
          <w:iCs/>
          <w:szCs w:val="18"/>
          <w:lang w:val="nl-NL"/>
        </w:rPr>
        <w:t>Marckx</w:t>
      </w:r>
      <w:r w:rsidR="006A4F5A" w:rsidRPr="00A33930">
        <w:rPr>
          <w:rFonts w:cs="Verdana"/>
          <w:szCs w:val="18"/>
          <w:lang w:val="nl-NL"/>
        </w:rPr>
        <w:t xml:space="preserve"> voor het eerst dat het contact tussen (groot)ouders en (klein)kinderen valt onder het recht vervat in artikel 8.1 EVRM.</w:t>
      </w:r>
      <w:r w:rsidR="006A4F5A" w:rsidRPr="00A33930">
        <w:rPr>
          <w:rFonts w:cs="Verdana"/>
          <w:szCs w:val="18"/>
          <w:vertAlign w:val="superscript"/>
          <w:lang w:val="nl-NL"/>
        </w:rPr>
        <w:footnoteReference w:id="205"/>
      </w:r>
      <w:r w:rsidRPr="00A33930">
        <w:rPr>
          <w:rFonts w:cs="Verdana"/>
          <w:szCs w:val="18"/>
          <w:lang w:val="nl-NL"/>
        </w:rPr>
        <w:t xml:space="preserve"> </w:t>
      </w:r>
      <w:r w:rsidR="0055752E" w:rsidRPr="00A33930">
        <w:rPr>
          <w:rFonts w:eastAsia="Verdana" w:cs="Verdana"/>
          <w:szCs w:val="18"/>
          <w:lang w:val="nl-NL"/>
        </w:rPr>
        <w:t>Zowel de rechten van de kinderen ten aanzien van de ouders, als rechten ten aanzien van derden zoals bv. grootouders of pleegouders worden door het gezins- en familieleven beschermd.</w:t>
      </w:r>
      <w:r w:rsidR="0055752E" w:rsidRPr="00A33930">
        <w:rPr>
          <w:rStyle w:val="Voetnootmarkering"/>
          <w:rFonts w:eastAsia="Verdana" w:cs="Verdana"/>
          <w:szCs w:val="18"/>
          <w:lang w:val="nl-NL"/>
        </w:rPr>
        <w:footnoteReference w:id="206"/>
      </w:r>
      <w:r w:rsidR="0055752E" w:rsidRPr="00A33930">
        <w:rPr>
          <w:rFonts w:eastAsia="Verdana" w:cs="Verdana"/>
          <w:szCs w:val="18"/>
          <w:lang w:val="nl-NL"/>
        </w:rPr>
        <w:t xml:space="preserve"> </w:t>
      </w:r>
      <w:r w:rsidR="006A4F5A" w:rsidRPr="00A33930">
        <w:rPr>
          <w:rFonts w:eastAsia="Verdana" w:cs="Verdana"/>
          <w:szCs w:val="18"/>
          <w:lang w:val="nl-NL"/>
        </w:rPr>
        <w:t xml:space="preserve">Het EHRM heeft hierbij meermaals het ouderlijk gezag </w:t>
      </w:r>
      <w:r w:rsidRPr="00A33930">
        <w:rPr>
          <w:rFonts w:eastAsia="Verdana" w:cs="Verdana"/>
          <w:szCs w:val="18"/>
          <w:lang w:val="nl-NL"/>
        </w:rPr>
        <w:t>en het samenzijn</w:t>
      </w:r>
      <w:r w:rsidR="004160DE" w:rsidRPr="00A33930">
        <w:rPr>
          <w:rFonts w:eastAsia="Verdana" w:cs="Verdana"/>
          <w:szCs w:val="18"/>
          <w:lang w:val="nl-NL"/>
        </w:rPr>
        <w:t>, het wederkerige gen</w:t>
      </w:r>
      <w:r w:rsidR="001003EB" w:rsidRPr="00A33930">
        <w:rPr>
          <w:rFonts w:eastAsia="Verdana" w:cs="Verdana"/>
          <w:szCs w:val="18"/>
          <w:lang w:val="nl-NL"/>
        </w:rPr>
        <w:t>o</w:t>
      </w:r>
      <w:r w:rsidR="004160DE" w:rsidRPr="00A33930">
        <w:rPr>
          <w:rFonts w:eastAsia="Verdana" w:cs="Verdana"/>
          <w:szCs w:val="18"/>
          <w:lang w:val="nl-NL"/>
        </w:rPr>
        <w:t>t</w:t>
      </w:r>
      <w:r w:rsidRPr="00A33930">
        <w:rPr>
          <w:rFonts w:eastAsia="Verdana" w:cs="Verdana"/>
          <w:szCs w:val="18"/>
          <w:lang w:val="nl-NL"/>
        </w:rPr>
        <w:t xml:space="preserve"> tussen ouder en kind </w:t>
      </w:r>
      <w:r w:rsidR="00AB629D" w:rsidRPr="00A33930">
        <w:rPr>
          <w:rFonts w:eastAsia="Verdana" w:cs="Verdana"/>
          <w:szCs w:val="18"/>
          <w:lang w:val="nl-NL"/>
        </w:rPr>
        <w:t>(</w:t>
      </w:r>
      <w:r w:rsidR="00AB629D" w:rsidRPr="00A33930">
        <w:rPr>
          <w:rFonts w:eastAsia="Verdana" w:cs="Verdana"/>
          <w:i/>
          <w:iCs/>
          <w:szCs w:val="18"/>
          <w:lang w:val="nl-NL"/>
        </w:rPr>
        <w:t>mutual enjoyment of each other’s company</w:t>
      </w:r>
      <w:r w:rsidR="00AB629D" w:rsidRPr="00A33930">
        <w:rPr>
          <w:rFonts w:eastAsia="Verdana" w:cs="Verdana"/>
          <w:szCs w:val="18"/>
          <w:lang w:val="nl-NL"/>
        </w:rPr>
        <w:t>)</w:t>
      </w:r>
      <w:r w:rsidR="005F2568" w:rsidRPr="00A33930">
        <w:rPr>
          <w:rFonts w:eastAsia="Verdana" w:cs="Verdana"/>
          <w:szCs w:val="18"/>
          <w:lang w:val="nl-NL"/>
        </w:rPr>
        <w:t>,</w:t>
      </w:r>
      <w:r w:rsidR="00AB629D" w:rsidRPr="00A33930">
        <w:rPr>
          <w:rFonts w:eastAsia="Verdana" w:cs="Verdana"/>
          <w:szCs w:val="18"/>
          <w:lang w:val="nl-NL"/>
        </w:rPr>
        <w:t xml:space="preserve"> </w:t>
      </w:r>
      <w:r w:rsidR="006A4F5A" w:rsidRPr="00A33930">
        <w:rPr>
          <w:rFonts w:eastAsia="Verdana" w:cs="Verdana"/>
          <w:szCs w:val="18"/>
          <w:lang w:val="nl-NL"/>
        </w:rPr>
        <w:t>aangeduid als één van de fundamentele elementen van het gezins- en familieleven</w:t>
      </w:r>
      <w:r w:rsidR="008B37B5" w:rsidRPr="00A33930">
        <w:rPr>
          <w:rFonts w:eastAsia="Verdana" w:cs="Verdana"/>
          <w:szCs w:val="18"/>
          <w:lang w:val="nl-NL"/>
        </w:rPr>
        <w:t>.</w:t>
      </w:r>
      <w:r w:rsidR="006A4F5A" w:rsidRPr="00A33930">
        <w:rPr>
          <w:rStyle w:val="Voetnootmarkering"/>
          <w:rFonts w:eastAsia="Verdana" w:cs="Verdana"/>
          <w:szCs w:val="18"/>
          <w:lang w:val="nl-NL"/>
        </w:rPr>
        <w:footnoteReference w:id="207"/>
      </w:r>
      <w:r w:rsidR="0055752E" w:rsidRPr="00A33930">
        <w:rPr>
          <w:rFonts w:eastAsia="Verdana" w:cs="Verdana"/>
          <w:szCs w:val="18"/>
          <w:lang w:val="nl-NL"/>
        </w:rPr>
        <w:t xml:space="preserve"> </w:t>
      </w:r>
      <w:r w:rsidR="004160DE" w:rsidRPr="00A33930">
        <w:rPr>
          <w:rFonts w:eastAsia="Verdana" w:cs="Verdana"/>
          <w:szCs w:val="18"/>
          <w:lang w:val="nl-NL"/>
        </w:rPr>
        <w:t>Indien dit wederkerig genot door een nationale maatregel wordt verhinder</w:t>
      </w:r>
      <w:r w:rsidR="007741DF" w:rsidRPr="00A33930">
        <w:rPr>
          <w:rFonts w:eastAsia="Verdana" w:cs="Verdana"/>
          <w:szCs w:val="18"/>
          <w:lang w:val="nl-NL"/>
        </w:rPr>
        <w:t>d</w:t>
      </w:r>
      <w:r w:rsidR="004160DE" w:rsidRPr="00A33930">
        <w:rPr>
          <w:rFonts w:eastAsia="Verdana" w:cs="Verdana"/>
          <w:szCs w:val="18"/>
          <w:lang w:val="nl-NL"/>
        </w:rPr>
        <w:t xml:space="preserve">, vormt </w:t>
      </w:r>
      <w:r w:rsidR="004160DE" w:rsidRPr="00A33930">
        <w:rPr>
          <w:rFonts w:eastAsia="Verdana" w:cs="Verdana"/>
          <w:szCs w:val="18"/>
          <w:lang w:val="nl-NL"/>
        </w:rPr>
        <w:lastRenderedPageBreak/>
        <w:t>dit een inmenging op het gezins- en familieleven.</w:t>
      </w:r>
      <w:r w:rsidR="004160DE" w:rsidRPr="00A33930">
        <w:rPr>
          <w:rStyle w:val="Voetnootmarkering"/>
          <w:rFonts w:eastAsia="Verdana" w:cs="Verdana"/>
          <w:szCs w:val="18"/>
          <w:lang w:val="nl-NL"/>
        </w:rPr>
        <w:footnoteReference w:id="208"/>
      </w:r>
      <w:r w:rsidR="004160DE" w:rsidRPr="00A33930">
        <w:rPr>
          <w:rFonts w:eastAsia="Verdana" w:cs="Verdana"/>
          <w:szCs w:val="18"/>
          <w:lang w:val="nl-NL"/>
        </w:rPr>
        <w:t xml:space="preserve"> </w:t>
      </w:r>
      <w:r w:rsidR="00AB629D" w:rsidRPr="00A33930">
        <w:rPr>
          <w:rFonts w:eastAsia="Verdana" w:cs="Verdana"/>
          <w:szCs w:val="18"/>
          <w:lang w:val="nl-NL"/>
        </w:rPr>
        <w:t>Het EHRM geeft middels deze bewoordingen erkenning aan het feit dat het kind een eigen recht op persoonlijk contact draagt.</w:t>
      </w:r>
      <w:r w:rsidR="00F01248" w:rsidRPr="00A33930">
        <w:rPr>
          <w:rFonts w:eastAsia="Verdana" w:cs="Verdana"/>
          <w:szCs w:val="18"/>
          <w:lang w:val="nl-NL"/>
        </w:rPr>
        <w:t xml:space="preserve"> </w:t>
      </w:r>
      <w:r w:rsidR="006A4F5A" w:rsidRPr="00A33930">
        <w:rPr>
          <w:rFonts w:eastAsia="Verdana" w:cs="Verdana"/>
          <w:szCs w:val="18"/>
          <w:lang w:val="nl-NL"/>
        </w:rPr>
        <w:t>Artikel 8 EVRM beschermt volgens het EHRM ook het recht om relaties aan te gaan en te ontwikkelen met andere mensen en de buitenwereld, alsook het recht om deze te beëindigen.</w:t>
      </w:r>
      <w:r w:rsidR="006A4F5A" w:rsidRPr="00A33930">
        <w:rPr>
          <w:rStyle w:val="Voetnootmarkering"/>
          <w:rFonts w:eastAsia="Verdana" w:cs="Verdana"/>
          <w:szCs w:val="18"/>
          <w:lang w:val="nl-NL"/>
        </w:rPr>
        <w:footnoteReference w:id="209"/>
      </w:r>
      <w:r w:rsidR="006A4F5A" w:rsidRPr="00A33930">
        <w:rPr>
          <w:rFonts w:eastAsia="Verdana" w:cs="Verdana"/>
          <w:szCs w:val="18"/>
          <w:lang w:val="nl-NL"/>
        </w:rPr>
        <w:t xml:space="preserve"> Deze uitspraken vormen geen vrijgeleide. Het gaat steeds om een feitenkwestie die afhankelijk is van het bestaan van nauwe persoonlijke banden.</w:t>
      </w:r>
      <w:r w:rsidR="006A4F5A" w:rsidRPr="00A33930">
        <w:rPr>
          <w:rStyle w:val="Voetnootmarkering"/>
          <w:rFonts w:eastAsia="Verdana" w:cs="Verdana"/>
          <w:szCs w:val="18"/>
          <w:lang w:val="nl-NL"/>
        </w:rPr>
        <w:footnoteReference w:id="210"/>
      </w:r>
      <w:r w:rsidR="00A54FFC" w:rsidRPr="00A33930">
        <w:rPr>
          <w:rFonts w:eastAsia="Verdana" w:cs="Verdana"/>
          <w:szCs w:val="18"/>
          <w:lang w:val="nl-NL"/>
        </w:rPr>
        <w:t xml:space="preserve"> </w:t>
      </w:r>
      <w:r w:rsidR="006A4F5A" w:rsidRPr="00A33930">
        <w:rPr>
          <w:rFonts w:eastAsia="Verdana" w:cs="Verdana"/>
          <w:szCs w:val="18"/>
          <w:lang w:val="nl-NL"/>
        </w:rPr>
        <w:t xml:space="preserve">Het recht op gezins- en familieleven omvat tevens het recht van een gescheiden ouder </w:t>
      </w:r>
      <w:r w:rsidR="00F01248" w:rsidRPr="00A33930">
        <w:rPr>
          <w:rFonts w:eastAsia="Verdana" w:cs="Verdana"/>
          <w:szCs w:val="18"/>
          <w:lang w:val="nl-NL"/>
        </w:rPr>
        <w:t>zonder het recht</w:t>
      </w:r>
      <w:r w:rsidR="006A4F5A" w:rsidRPr="00A33930">
        <w:rPr>
          <w:rFonts w:eastAsia="Verdana" w:cs="Verdana"/>
          <w:szCs w:val="18"/>
          <w:lang w:val="nl-NL"/>
        </w:rPr>
        <w:t xml:space="preserve"> op materiële bewaring </w:t>
      </w:r>
      <w:r w:rsidR="00F01248" w:rsidRPr="00A33930">
        <w:rPr>
          <w:rFonts w:eastAsia="Verdana" w:cs="Verdana"/>
          <w:szCs w:val="18"/>
          <w:lang w:val="nl-NL"/>
        </w:rPr>
        <w:t>en dus zonder het recht</w:t>
      </w:r>
      <w:r w:rsidR="006A4F5A" w:rsidRPr="00A33930">
        <w:rPr>
          <w:rFonts w:eastAsia="Verdana" w:cs="Verdana"/>
          <w:szCs w:val="18"/>
          <w:lang w:val="nl-NL"/>
        </w:rPr>
        <w:t xml:space="preserve"> om contacten te onderhouden.</w:t>
      </w:r>
      <w:r w:rsidR="006A4F5A" w:rsidRPr="00A33930">
        <w:rPr>
          <w:rStyle w:val="Voetnootmarkering"/>
          <w:rFonts w:eastAsia="Verdana" w:cs="Verdana"/>
          <w:szCs w:val="18"/>
          <w:lang w:val="nl-NL"/>
        </w:rPr>
        <w:footnoteReference w:id="211"/>
      </w:r>
      <w:r w:rsidR="00D14322" w:rsidRPr="00A33930">
        <w:rPr>
          <w:rFonts w:eastAsia="Verdana" w:cs="Verdana"/>
          <w:szCs w:val="18"/>
          <w:lang w:val="nl-NL"/>
        </w:rPr>
        <w:t xml:space="preserve"> </w:t>
      </w:r>
      <w:r w:rsidR="00764719" w:rsidRPr="00A33930">
        <w:rPr>
          <w:rFonts w:eastAsia="Verdana" w:cs="Verdana"/>
          <w:szCs w:val="18"/>
          <w:lang w:val="nl-NL"/>
        </w:rPr>
        <w:t>Hierbij opgemerkt</w:t>
      </w:r>
      <w:r w:rsidR="00D14322" w:rsidRPr="00A33930">
        <w:rPr>
          <w:rFonts w:eastAsia="Verdana" w:cs="Verdana"/>
          <w:szCs w:val="18"/>
          <w:lang w:val="nl-NL"/>
        </w:rPr>
        <w:t xml:space="preserve"> </w:t>
      </w:r>
      <w:r w:rsidR="00764719" w:rsidRPr="00A33930">
        <w:rPr>
          <w:rFonts w:eastAsia="Verdana" w:cs="Verdana"/>
          <w:szCs w:val="18"/>
          <w:lang w:val="nl-NL"/>
        </w:rPr>
        <w:t>moet</w:t>
      </w:r>
      <w:r w:rsidR="00D14322" w:rsidRPr="00A33930">
        <w:rPr>
          <w:rFonts w:eastAsia="Verdana" w:cs="Verdana"/>
          <w:szCs w:val="18"/>
          <w:lang w:val="nl-NL"/>
        </w:rPr>
        <w:t xml:space="preserve"> worden </w:t>
      </w:r>
      <w:r w:rsidR="00D14322" w:rsidRPr="00A33930">
        <w:rPr>
          <w:lang w:val="nl-NL"/>
        </w:rPr>
        <w:t>dat het familiale recht van artikel 8 EVRM geen recht is van de familie of het gezin, maar van de individuele persoon op het vlak van hun familiale verhoudingen.</w:t>
      </w:r>
      <w:r w:rsidR="00D14322" w:rsidRPr="00A33930">
        <w:rPr>
          <w:rStyle w:val="Voetnootmarkering"/>
          <w:lang w:val="nl-NL"/>
        </w:rPr>
        <w:footnoteReference w:id="212"/>
      </w:r>
    </w:p>
    <w:p w14:paraId="5C9EC907" w14:textId="77777777" w:rsidR="00D14322" w:rsidRPr="00A33930" w:rsidRDefault="00D14322" w:rsidP="00D14322">
      <w:pPr>
        <w:pStyle w:val="Lijstalinea"/>
        <w:spacing w:before="200" w:after="0"/>
        <w:ind w:left="0"/>
        <w:jc w:val="both"/>
        <w:rPr>
          <w:rFonts w:eastAsia="Verdana" w:cs="Verdana"/>
          <w:b/>
          <w:bCs/>
          <w:szCs w:val="18"/>
          <w:lang w:val="nl-NL"/>
        </w:rPr>
      </w:pPr>
    </w:p>
    <w:p w14:paraId="08D8CEC3" w14:textId="6E81B736" w:rsidR="00A54FFC" w:rsidRPr="00A33930" w:rsidRDefault="00D14322" w:rsidP="00D14322">
      <w:pPr>
        <w:pStyle w:val="Lijstalinea"/>
        <w:numPr>
          <w:ilvl w:val="0"/>
          <w:numId w:val="4"/>
        </w:numPr>
        <w:spacing w:before="200" w:after="0"/>
        <w:ind w:left="0" w:firstLine="0"/>
        <w:jc w:val="both"/>
        <w:rPr>
          <w:rFonts w:eastAsia="Verdana" w:cs="Verdana"/>
          <w:b/>
          <w:bCs/>
          <w:szCs w:val="18"/>
          <w:lang w:val="nl-NL"/>
        </w:rPr>
      </w:pPr>
      <w:r w:rsidRPr="00A33930">
        <w:rPr>
          <w:lang w:val="nl-NL"/>
        </w:rPr>
        <w:t xml:space="preserve">Artikel 8 EVRM is een relatief recht, waardoor het in principe onderworpen kan worden aan beperkingen of inmengingen wanneer andere belangen </w:t>
      </w:r>
      <w:r w:rsidR="00B2283D" w:rsidRPr="00A33930">
        <w:rPr>
          <w:lang w:val="nl-NL"/>
        </w:rPr>
        <w:t xml:space="preserve">(meer) </w:t>
      </w:r>
      <w:r w:rsidRPr="00A33930">
        <w:rPr>
          <w:lang w:val="nl-NL"/>
        </w:rPr>
        <w:t>bescherming verdienen.</w:t>
      </w:r>
      <w:r w:rsidRPr="00A33930">
        <w:rPr>
          <w:rStyle w:val="Voetnootmarkering"/>
          <w:lang w:val="nl-NL"/>
        </w:rPr>
        <w:footnoteReference w:id="213"/>
      </w:r>
      <w:r w:rsidRPr="00A33930">
        <w:rPr>
          <w:rFonts w:eastAsia="Verdana" w:cs="Verdana"/>
          <w:b/>
          <w:bCs/>
          <w:szCs w:val="18"/>
          <w:lang w:val="nl-NL"/>
        </w:rPr>
        <w:t xml:space="preserve"> </w:t>
      </w:r>
      <w:r w:rsidR="006E2CA5" w:rsidRPr="00A33930">
        <w:rPr>
          <w:rFonts w:eastAsia="Verdana" w:cs="Verdana"/>
          <w:szCs w:val="18"/>
          <w:lang w:val="nl-NL"/>
        </w:rPr>
        <w:t>Een mogelijke schending van artikel 8.1 EVRM wordt echter onmiddellijk gematigd door a</w:t>
      </w:r>
      <w:r w:rsidR="000A1577" w:rsidRPr="00A33930">
        <w:rPr>
          <w:rFonts w:eastAsia="Verdana" w:cs="Verdana"/>
          <w:szCs w:val="18"/>
          <w:lang w:val="nl-NL"/>
        </w:rPr>
        <w:t xml:space="preserve">rtikel 8.2 EVRM </w:t>
      </w:r>
      <w:r w:rsidR="006E2CA5" w:rsidRPr="00A33930">
        <w:rPr>
          <w:rFonts w:eastAsia="Verdana" w:cs="Verdana"/>
          <w:szCs w:val="18"/>
          <w:lang w:val="nl-NL"/>
        </w:rPr>
        <w:t>die</w:t>
      </w:r>
      <w:r w:rsidR="000A1577" w:rsidRPr="00A33930">
        <w:rPr>
          <w:rFonts w:eastAsia="Verdana" w:cs="Verdana"/>
          <w:szCs w:val="18"/>
          <w:lang w:val="nl-NL"/>
        </w:rPr>
        <w:t xml:space="preserve"> een beperking </w:t>
      </w:r>
      <w:r w:rsidR="006E2CA5" w:rsidRPr="00A33930">
        <w:rPr>
          <w:rFonts w:eastAsia="Verdana" w:cs="Verdana"/>
          <w:szCs w:val="18"/>
          <w:lang w:val="nl-NL"/>
        </w:rPr>
        <w:t xml:space="preserve">stelt </w:t>
      </w:r>
      <w:r w:rsidR="000A1577" w:rsidRPr="00A33930">
        <w:rPr>
          <w:rFonts w:eastAsia="Verdana" w:cs="Verdana"/>
          <w:szCs w:val="18"/>
          <w:lang w:val="nl-NL"/>
        </w:rPr>
        <w:t xml:space="preserve">op dit recht: indien het de bescherming van de rechten en vrijheden van </w:t>
      </w:r>
      <w:r w:rsidR="005F2568" w:rsidRPr="00A33930">
        <w:rPr>
          <w:rFonts w:eastAsia="Verdana" w:cs="Verdana"/>
          <w:szCs w:val="18"/>
          <w:lang w:val="nl-NL"/>
        </w:rPr>
        <w:t>“</w:t>
      </w:r>
      <w:r w:rsidR="000A1577" w:rsidRPr="00A33930">
        <w:rPr>
          <w:rFonts w:eastAsia="Verdana" w:cs="Verdana"/>
          <w:szCs w:val="18"/>
          <w:lang w:val="nl-NL"/>
        </w:rPr>
        <w:t>anderen</w:t>
      </w:r>
      <w:r w:rsidR="005F2568" w:rsidRPr="00A33930">
        <w:rPr>
          <w:rFonts w:eastAsia="Verdana" w:cs="Verdana"/>
          <w:szCs w:val="18"/>
          <w:lang w:val="nl-NL"/>
        </w:rPr>
        <w:t xml:space="preserve">” </w:t>
      </w:r>
      <w:r w:rsidR="000A1577" w:rsidRPr="00A33930">
        <w:rPr>
          <w:rFonts w:eastAsia="Verdana" w:cs="Verdana"/>
          <w:szCs w:val="18"/>
          <w:lang w:val="nl-NL"/>
        </w:rPr>
        <w:t>aantast kan het recht uit artikel 8.1 EVRM beperkt worden.</w:t>
      </w:r>
      <w:r w:rsidR="006A4F5A" w:rsidRPr="00A33930">
        <w:rPr>
          <w:rFonts w:eastAsia="Verdana" w:cs="Verdana"/>
          <w:szCs w:val="18"/>
          <w:lang w:val="nl-NL"/>
        </w:rPr>
        <w:t xml:space="preserve"> Een sche</w:t>
      </w:r>
      <w:r w:rsidR="00B2283D" w:rsidRPr="00A33930">
        <w:rPr>
          <w:rFonts w:eastAsia="Verdana" w:cs="Verdana"/>
          <w:szCs w:val="18"/>
          <w:lang w:val="nl-NL"/>
        </w:rPr>
        <w:t>n</w:t>
      </w:r>
      <w:r w:rsidR="006A4F5A" w:rsidRPr="00A33930">
        <w:rPr>
          <w:rFonts w:eastAsia="Verdana" w:cs="Verdana"/>
          <w:szCs w:val="18"/>
          <w:lang w:val="nl-NL"/>
        </w:rPr>
        <w:t>ding moet dan ook voldoen aan de vereisten van legaliteit, legitimiteit en noodzakelijkheid bepaald door artikel 8.2 EVRM. Met artikel 8.1 EVRM wordt ruimte gecreëerd om het belang van het kind in rekening te brengen (</w:t>
      </w:r>
      <w:r w:rsidR="006A4F5A" w:rsidRPr="00A33930">
        <w:rPr>
          <w:rFonts w:eastAsia="Verdana" w:cs="Verdana"/>
          <w:i/>
          <w:iCs/>
          <w:szCs w:val="18"/>
          <w:lang w:val="nl-NL"/>
        </w:rPr>
        <w:t>supra</w:t>
      </w:r>
      <w:r w:rsidR="006A4F5A" w:rsidRPr="00A33930">
        <w:rPr>
          <w:rFonts w:eastAsia="Verdana" w:cs="Verdana"/>
          <w:szCs w:val="18"/>
          <w:lang w:val="nl-NL"/>
        </w:rPr>
        <w:t xml:space="preserve">, nr. </w:t>
      </w:r>
      <w:r w:rsidR="00764719" w:rsidRPr="00A33930">
        <w:rPr>
          <w:rFonts w:eastAsia="Verdana" w:cs="Verdana"/>
          <w:szCs w:val="18"/>
          <w:lang w:val="nl-NL"/>
        </w:rPr>
        <w:t>5</w:t>
      </w:r>
      <w:r w:rsidR="00B35298" w:rsidRPr="00A33930">
        <w:rPr>
          <w:rFonts w:eastAsia="Verdana" w:cs="Verdana"/>
          <w:szCs w:val="18"/>
          <w:lang w:val="nl-NL"/>
        </w:rPr>
        <w:t>2</w:t>
      </w:r>
      <w:r w:rsidR="006A4F5A" w:rsidRPr="00A33930">
        <w:rPr>
          <w:rFonts w:eastAsia="Verdana" w:cs="Verdana"/>
          <w:szCs w:val="18"/>
          <w:lang w:val="nl-NL"/>
        </w:rPr>
        <w:t>).</w:t>
      </w:r>
    </w:p>
    <w:p w14:paraId="0080CE75" w14:textId="77777777" w:rsidR="00A54FFC" w:rsidRPr="00A33930" w:rsidRDefault="00A54FFC" w:rsidP="00A54FFC">
      <w:pPr>
        <w:pStyle w:val="Lijstalinea"/>
        <w:rPr>
          <w:rFonts w:eastAsia="Verdana" w:cs="Verdana"/>
          <w:szCs w:val="18"/>
          <w:lang w:val="nl-NL"/>
        </w:rPr>
      </w:pPr>
    </w:p>
    <w:p w14:paraId="148012A7" w14:textId="63603CE1" w:rsidR="00D14322" w:rsidRPr="00A33930" w:rsidRDefault="005C381F" w:rsidP="007A3396">
      <w:pPr>
        <w:pStyle w:val="Lijstalinea"/>
        <w:numPr>
          <w:ilvl w:val="0"/>
          <w:numId w:val="4"/>
        </w:numPr>
        <w:spacing w:before="200" w:after="0"/>
        <w:ind w:left="0" w:firstLine="0"/>
        <w:jc w:val="both"/>
        <w:rPr>
          <w:rFonts w:eastAsia="Verdana" w:cs="Verdana"/>
          <w:b/>
          <w:bCs/>
          <w:szCs w:val="18"/>
          <w:lang w:val="nl-NL"/>
        </w:rPr>
      </w:pPr>
      <w:r w:rsidRPr="00A33930">
        <w:rPr>
          <w:rFonts w:eastAsia="Verdana" w:cs="Verdana"/>
          <w:szCs w:val="18"/>
          <w:lang w:val="nl-NL"/>
        </w:rPr>
        <w:t xml:space="preserve">Een belangrijke </w:t>
      </w:r>
      <w:r w:rsidR="00B2283D" w:rsidRPr="00A33930">
        <w:rPr>
          <w:rFonts w:eastAsia="Verdana" w:cs="Verdana"/>
          <w:szCs w:val="18"/>
          <w:lang w:val="nl-NL"/>
        </w:rPr>
        <w:t xml:space="preserve">nuancering hierbij </w:t>
      </w:r>
      <w:r w:rsidRPr="00A33930">
        <w:rPr>
          <w:rFonts w:eastAsia="Verdana" w:cs="Verdana"/>
          <w:szCs w:val="18"/>
          <w:lang w:val="nl-NL"/>
        </w:rPr>
        <w:t>is dat alle</w:t>
      </w:r>
      <w:r w:rsidR="001B50FD" w:rsidRPr="00A33930">
        <w:rPr>
          <w:rFonts w:eastAsia="Verdana" w:cs="Verdana"/>
          <w:szCs w:val="18"/>
          <w:lang w:val="nl-NL"/>
        </w:rPr>
        <w:t xml:space="preserve"> EU</w:t>
      </w:r>
      <w:r w:rsidRPr="00A33930">
        <w:rPr>
          <w:rFonts w:eastAsia="Verdana" w:cs="Verdana"/>
          <w:szCs w:val="18"/>
          <w:lang w:val="nl-NL"/>
        </w:rPr>
        <w:t>-</w:t>
      </w:r>
      <w:r w:rsidR="001B50FD" w:rsidRPr="00A33930">
        <w:rPr>
          <w:rFonts w:eastAsia="Verdana" w:cs="Verdana"/>
          <w:szCs w:val="18"/>
          <w:lang w:val="nl-NL"/>
        </w:rPr>
        <w:t xml:space="preserve"> en RvE-lidstaten tevens partij zijn bij het IVRK</w:t>
      </w:r>
      <w:r w:rsidR="00B2283D" w:rsidRPr="00A33930">
        <w:rPr>
          <w:rFonts w:eastAsia="Verdana" w:cs="Verdana"/>
          <w:szCs w:val="18"/>
          <w:lang w:val="nl-NL"/>
        </w:rPr>
        <w:t xml:space="preserve">. Hierdoor heeft </w:t>
      </w:r>
      <w:r w:rsidR="001B50FD" w:rsidRPr="00A33930">
        <w:rPr>
          <w:rFonts w:eastAsia="Verdana" w:cs="Verdana"/>
          <w:szCs w:val="18"/>
          <w:lang w:val="nl-NL"/>
        </w:rPr>
        <w:t xml:space="preserve">het IVRK een belangrijke </w:t>
      </w:r>
      <w:r w:rsidR="00B2283D" w:rsidRPr="00A33930">
        <w:rPr>
          <w:rFonts w:eastAsia="Verdana" w:cs="Verdana"/>
          <w:szCs w:val="18"/>
          <w:lang w:val="nl-NL"/>
        </w:rPr>
        <w:t>invloed</w:t>
      </w:r>
      <w:r w:rsidR="001B50FD" w:rsidRPr="00A33930">
        <w:rPr>
          <w:rFonts w:eastAsia="Verdana" w:cs="Verdana"/>
          <w:szCs w:val="18"/>
          <w:lang w:val="nl-NL"/>
        </w:rPr>
        <w:t xml:space="preserve"> </w:t>
      </w:r>
      <w:r w:rsidR="00B2283D" w:rsidRPr="00A33930">
        <w:rPr>
          <w:rFonts w:eastAsia="Verdana" w:cs="Verdana"/>
          <w:szCs w:val="18"/>
          <w:lang w:val="nl-NL"/>
        </w:rPr>
        <w:t>op</w:t>
      </w:r>
      <w:r w:rsidR="001B50FD" w:rsidRPr="00A33930">
        <w:rPr>
          <w:rFonts w:eastAsia="Verdana" w:cs="Verdana"/>
          <w:szCs w:val="18"/>
          <w:lang w:val="nl-NL"/>
        </w:rPr>
        <w:t xml:space="preserve"> </w:t>
      </w:r>
      <w:r w:rsidR="00B2283D" w:rsidRPr="00A33930">
        <w:rPr>
          <w:rFonts w:eastAsia="Verdana" w:cs="Verdana"/>
          <w:szCs w:val="18"/>
          <w:lang w:val="nl-NL"/>
        </w:rPr>
        <w:t xml:space="preserve">de toepassing van </w:t>
      </w:r>
      <w:r w:rsidR="001B50FD" w:rsidRPr="00A33930">
        <w:rPr>
          <w:rFonts w:eastAsia="Verdana" w:cs="Verdana"/>
          <w:szCs w:val="18"/>
          <w:lang w:val="nl-NL"/>
        </w:rPr>
        <w:t>het EVRM</w:t>
      </w:r>
      <w:r w:rsidRPr="00A33930">
        <w:rPr>
          <w:rFonts w:eastAsia="Verdana" w:cs="Verdana"/>
          <w:szCs w:val="18"/>
          <w:lang w:val="nl-NL"/>
        </w:rPr>
        <w:t xml:space="preserve"> en dus ook </w:t>
      </w:r>
      <w:r w:rsidR="00B2283D" w:rsidRPr="00A33930">
        <w:rPr>
          <w:rFonts w:eastAsia="Verdana" w:cs="Verdana"/>
          <w:szCs w:val="18"/>
          <w:lang w:val="nl-NL"/>
        </w:rPr>
        <w:t>op</w:t>
      </w:r>
      <w:r w:rsidRPr="00A33930">
        <w:rPr>
          <w:rFonts w:eastAsia="Verdana" w:cs="Verdana"/>
          <w:szCs w:val="18"/>
          <w:lang w:val="nl-NL"/>
        </w:rPr>
        <w:t xml:space="preserve"> de controle door het EHRM</w:t>
      </w:r>
      <w:r w:rsidR="001B50FD" w:rsidRPr="00A33930">
        <w:rPr>
          <w:rFonts w:eastAsia="Verdana" w:cs="Verdana"/>
          <w:szCs w:val="18"/>
          <w:lang w:val="nl-NL"/>
        </w:rPr>
        <w:t>.</w:t>
      </w:r>
      <w:r w:rsidR="006A4F5A" w:rsidRPr="00A33930">
        <w:rPr>
          <w:rStyle w:val="Voetnootmarkering"/>
          <w:rFonts w:eastAsia="Verdana" w:cs="Verdana"/>
          <w:szCs w:val="18"/>
          <w:lang w:val="nl-NL"/>
        </w:rPr>
        <w:footnoteReference w:id="214"/>
      </w:r>
      <w:r w:rsidR="001B50FD" w:rsidRPr="00A33930">
        <w:rPr>
          <w:rFonts w:eastAsia="Verdana" w:cs="Verdana"/>
          <w:szCs w:val="18"/>
          <w:lang w:val="nl-NL"/>
        </w:rPr>
        <w:t xml:space="preserve"> </w:t>
      </w:r>
      <w:r w:rsidR="00D76726" w:rsidRPr="00A33930">
        <w:rPr>
          <w:rFonts w:eastAsia="Verdana" w:cs="Verdana"/>
          <w:szCs w:val="18"/>
          <w:lang w:val="nl-NL"/>
        </w:rPr>
        <w:t xml:space="preserve">Het groot aantal ratificaties van het IVRK zendt </w:t>
      </w:r>
      <w:r w:rsidR="00764719" w:rsidRPr="00A33930">
        <w:rPr>
          <w:rFonts w:eastAsia="Verdana" w:cs="Verdana"/>
          <w:szCs w:val="18"/>
          <w:lang w:val="nl-NL"/>
        </w:rPr>
        <w:t xml:space="preserve">naar het EHRM </w:t>
      </w:r>
      <w:r w:rsidR="00D76726" w:rsidRPr="00A33930">
        <w:rPr>
          <w:rFonts w:eastAsia="Verdana" w:cs="Verdana"/>
          <w:szCs w:val="18"/>
          <w:lang w:val="nl-NL"/>
        </w:rPr>
        <w:t>namelijk een krachtig signaal uit: de Verdragsstaten willen deze kinderrechten goedkeuren en beschermen.</w:t>
      </w:r>
      <w:r w:rsidR="00D76726" w:rsidRPr="00A33930">
        <w:rPr>
          <w:rStyle w:val="Voetnootmarkering"/>
          <w:rFonts w:eastAsia="Verdana" w:cs="Verdana"/>
          <w:szCs w:val="18"/>
          <w:lang w:val="nl-NL"/>
        </w:rPr>
        <w:footnoteReference w:id="215"/>
      </w:r>
      <w:r w:rsidR="00D76726" w:rsidRPr="00A33930">
        <w:rPr>
          <w:rFonts w:eastAsia="Verdana" w:cs="Verdana"/>
          <w:szCs w:val="18"/>
          <w:lang w:val="nl-NL"/>
        </w:rPr>
        <w:t xml:space="preserve"> </w:t>
      </w:r>
      <w:r w:rsidR="00A14CA8" w:rsidRPr="00A33930">
        <w:rPr>
          <w:rFonts w:eastAsia="Verdana" w:cs="Verdana"/>
          <w:szCs w:val="18"/>
          <w:lang w:val="nl-NL"/>
        </w:rPr>
        <w:t xml:space="preserve">Het EVRM wordt </w:t>
      </w:r>
      <w:r w:rsidR="00B2283D" w:rsidRPr="00A33930">
        <w:rPr>
          <w:rFonts w:eastAsia="Verdana" w:cs="Verdana"/>
          <w:szCs w:val="18"/>
          <w:lang w:val="nl-NL"/>
        </w:rPr>
        <w:t>bijgevolg</w:t>
      </w:r>
      <w:r w:rsidR="00A14CA8" w:rsidRPr="00A33930">
        <w:rPr>
          <w:rFonts w:eastAsia="Verdana" w:cs="Verdana"/>
          <w:szCs w:val="18"/>
          <w:lang w:val="nl-NL"/>
        </w:rPr>
        <w:t xml:space="preserve"> overeenkomstig de internationale beginselen uitgelegd.</w:t>
      </w:r>
      <w:r w:rsidR="00C0083F" w:rsidRPr="00A33930">
        <w:rPr>
          <w:rStyle w:val="Voetnootmarkering"/>
          <w:rFonts w:eastAsia="Verdana" w:cs="Verdana"/>
          <w:szCs w:val="18"/>
          <w:lang w:val="nl-NL"/>
        </w:rPr>
        <w:footnoteReference w:id="216"/>
      </w:r>
      <w:r w:rsidR="00A14CA8" w:rsidRPr="00A33930">
        <w:rPr>
          <w:rFonts w:eastAsia="Verdana" w:cs="Verdana"/>
          <w:szCs w:val="18"/>
          <w:lang w:val="nl-NL"/>
        </w:rPr>
        <w:t xml:space="preserve"> </w:t>
      </w:r>
      <w:r w:rsidR="001B50FD" w:rsidRPr="00A33930">
        <w:rPr>
          <w:rFonts w:eastAsia="Verdana" w:cs="Verdana"/>
          <w:szCs w:val="18"/>
          <w:lang w:val="nl-NL"/>
        </w:rPr>
        <w:t xml:space="preserve">Het IVRK creëert op die manier een soort domino-effect op de wijze waarop de Europese instellingen </w:t>
      </w:r>
      <w:r w:rsidR="001B50FD" w:rsidRPr="00A33930">
        <w:rPr>
          <w:rFonts w:eastAsia="Verdana" w:cs="Verdana"/>
          <w:szCs w:val="18"/>
          <w:lang w:val="nl-NL"/>
        </w:rPr>
        <w:lastRenderedPageBreak/>
        <w:t>kinderrechten beoordelen.</w:t>
      </w:r>
      <w:r w:rsidR="001B50FD" w:rsidRPr="00A33930">
        <w:rPr>
          <w:rStyle w:val="Voetnootmarkering"/>
          <w:rFonts w:eastAsia="Verdana" w:cs="Verdana"/>
          <w:szCs w:val="18"/>
          <w:lang w:val="nl-NL"/>
        </w:rPr>
        <w:footnoteReference w:id="217"/>
      </w:r>
      <w:r w:rsidR="001B50FD" w:rsidRPr="00A33930">
        <w:rPr>
          <w:rFonts w:eastAsia="Verdana" w:cs="Verdana"/>
          <w:szCs w:val="18"/>
          <w:lang w:val="nl-NL"/>
        </w:rPr>
        <w:t xml:space="preserve"> Dat zorgt ervoor dat de rechten van het IVRK een belangrijk toetsingskader vormen voor de totstandkoming van het Europese recht</w:t>
      </w:r>
      <w:r w:rsidR="00200B74" w:rsidRPr="00A33930">
        <w:rPr>
          <w:rFonts w:eastAsia="Verdana" w:cs="Verdana"/>
          <w:szCs w:val="18"/>
          <w:lang w:val="nl-NL"/>
        </w:rPr>
        <w:t xml:space="preserve"> en de </w:t>
      </w:r>
      <w:r w:rsidR="00B2283D" w:rsidRPr="00A33930">
        <w:rPr>
          <w:rFonts w:eastAsia="Verdana" w:cs="Verdana"/>
          <w:szCs w:val="18"/>
          <w:lang w:val="nl-NL"/>
        </w:rPr>
        <w:t xml:space="preserve">bijhorende </w:t>
      </w:r>
      <w:r w:rsidR="00200B74" w:rsidRPr="00A33930">
        <w:rPr>
          <w:rFonts w:eastAsia="Verdana" w:cs="Verdana"/>
          <w:szCs w:val="18"/>
          <w:lang w:val="nl-NL"/>
        </w:rPr>
        <w:t>controle</w:t>
      </w:r>
      <w:r w:rsidR="001B50FD" w:rsidRPr="00A33930">
        <w:rPr>
          <w:rFonts w:eastAsia="Verdana" w:cs="Verdana"/>
          <w:szCs w:val="18"/>
          <w:lang w:val="nl-NL"/>
        </w:rPr>
        <w:t>.</w:t>
      </w:r>
      <w:r w:rsidR="00200B74" w:rsidRPr="00A33930">
        <w:rPr>
          <w:rFonts w:eastAsia="Verdana" w:cs="Verdana"/>
          <w:szCs w:val="18"/>
          <w:lang w:val="nl-NL"/>
        </w:rPr>
        <w:t xml:space="preserve"> Het EHRM maakt met regelmaat gebruik van de bepalingen uit het IVRK.</w:t>
      </w:r>
      <w:r w:rsidR="00200B74" w:rsidRPr="00A33930">
        <w:rPr>
          <w:rStyle w:val="Voetnootmarkering"/>
          <w:rFonts w:eastAsia="Verdana" w:cs="Verdana"/>
          <w:szCs w:val="18"/>
          <w:lang w:val="nl-NL"/>
        </w:rPr>
        <w:footnoteReference w:id="218"/>
      </w:r>
      <w:r w:rsidR="00200B74" w:rsidRPr="00A33930">
        <w:rPr>
          <w:rFonts w:eastAsia="Verdana" w:cs="Verdana"/>
          <w:szCs w:val="18"/>
          <w:lang w:val="nl-NL"/>
        </w:rPr>
        <w:t xml:space="preserve"> Veel van zijn uitspraken verbinden artikel 8 EVRM met artikel 3 en artikel 9.3 IVRK.</w:t>
      </w:r>
      <w:r w:rsidR="00D76726" w:rsidRPr="00A33930">
        <w:rPr>
          <w:rStyle w:val="Voetnootmarkering"/>
          <w:rFonts w:eastAsia="Verdana" w:cs="Verdana"/>
          <w:szCs w:val="18"/>
          <w:lang w:val="nl-NL"/>
        </w:rPr>
        <w:footnoteReference w:id="219"/>
      </w:r>
      <w:r w:rsidR="00200B74" w:rsidRPr="00A33930">
        <w:rPr>
          <w:rFonts w:eastAsia="Verdana" w:cs="Verdana"/>
          <w:szCs w:val="18"/>
          <w:lang w:val="nl-NL"/>
        </w:rPr>
        <w:t xml:space="preserve"> </w:t>
      </w:r>
      <w:r w:rsidR="00AB629D" w:rsidRPr="00A33930">
        <w:rPr>
          <w:rFonts w:eastAsia="Verdana" w:cs="Verdana"/>
          <w:szCs w:val="18"/>
          <w:lang w:val="nl-NL"/>
        </w:rPr>
        <w:t>Dat</w:t>
      </w:r>
      <w:r w:rsidR="001B50FD" w:rsidRPr="00A33930">
        <w:rPr>
          <w:rFonts w:eastAsia="Verdana" w:cs="Verdana"/>
          <w:szCs w:val="18"/>
          <w:lang w:val="nl-NL"/>
        </w:rPr>
        <w:t xml:space="preserve"> maakt dat het IVRK toch aan slagkracht wint, </w:t>
      </w:r>
      <w:r w:rsidR="00D81DC0" w:rsidRPr="00A33930">
        <w:rPr>
          <w:rFonts w:eastAsia="Verdana" w:cs="Verdana"/>
          <w:szCs w:val="18"/>
          <w:lang w:val="nl-NL"/>
        </w:rPr>
        <w:t>dankzij zijn impliciete</w:t>
      </w:r>
      <w:r w:rsidR="001B50FD" w:rsidRPr="00A33930">
        <w:rPr>
          <w:rFonts w:eastAsia="Verdana" w:cs="Verdana"/>
          <w:szCs w:val="18"/>
          <w:lang w:val="nl-NL"/>
        </w:rPr>
        <w:t xml:space="preserve"> doorwerking in het Europese recht.</w:t>
      </w:r>
      <w:r w:rsidR="00200B74" w:rsidRPr="00A33930">
        <w:rPr>
          <w:rStyle w:val="Voetnootmarkering"/>
          <w:rFonts w:eastAsia="Verdana" w:cs="Verdana"/>
          <w:szCs w:val="18"/>
          <w:lang w:val="nl-NL"/>
        </w:rPr>
        <w:footnoteReference w:id="220"/>
      </w:r>
      <w:r w:rsidR="001B50FD" w:rsidRPr="00A33930">
        <w:rPr>
          <w:rFonts w:eastAsia="Verdana" w:cs="Verdana"/>
          <w:szCs w:val="18"/>
          <w:lang w:val="nl-NL"/>
        </w:rPr>
        <w:t xml:space="preserve"> </w:t>
      </w:r>
    </w:p>
    <w:p w14:paraId="294302B0" w14:textId="77777777" w:rsidR="00D14322" w:rsidRPr="00A33930" w:rsidRDefault="00D14322" w:rsidP="007A3396">
      <w:pPr>
        <w:pStyle w:val="Lijstalinea"/>
        <w:spacing w:before="200" w:after="0"/>
        <w:ind w:left="0"/>
        <w:jc w:val="both"/>
        <w:rPr>
          <w:rFonts w:eastAsia="Verdana" w:cs="Verdana"/>
          <w:szCs w:val="18"/>
          <w:lang w:val="nl-NL"/>
        </w:rPr>
      </w:pPr>
    </w:p>
    <w:p w14:paraId="1D0EE1AE" w14:textId="2DBBAA74" w:rsidR="00891507" w:rsidRPr="00A33930" w:rsidRDefault="007A3396" w:rsidP="00891507">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Tot dusver lijkt de visie van het EHRM zich </w:t>
      </w:r>
      <w:r w:rsidR="005C381F" w:rsidRPr="00A33930">
        <w:rPr>
          <w:rFonts w:eastAsia="Verdana" w:cs="Verdana"/>
          <w:szCs w:val="18"/>
          <w:lang w:val="nl-NL"/>
        </w:rPr>
        <w:t xml:space="preserve">echter </w:t>
      </w:r>
      <w:r w:rsidRPr="00A33930">
        <w:rPr>
          <w:rFonts w:eastAsia="Verdana" w:cs="Verdana"/>
          <w:szCs w:val="18"/>
          <w:lang w:val="nl-NL"/>
        </w:rPr>
        <w:t>voornamelijk te focussen op de relatie met de ouder.</w:t>
      </w:r>
      <w:r w:rsidR="005C381F" w:rsidRPr="00A33930">
        <w:rPr>
          <w:rStyle w:val="Voetnootmarkering"/>
          <w:rFonts w:eastAsia="Verdana" w:cs="Verdana"/>
          <w:szCs w:val="18"/>
          <w:lang w:val="nl-NL"/>
        </w:rPr>
        <w:footnoteReference w:id="221"/>
      </w:r>
      <w:r w:rsidRPr="00A33930">
        <w:rPr>
          <w:rFonts w:eastAsia="Verdana" w:cs="Verdana"/>
          <w:szCs w:val="18"/>
          <w:lang w:val="nl-NL"/>
        </w:rPr>
        <w:t xml:space="preserve"> Dit is mogelijk </w:t>
      </w:r>
      <w:r w:rsidR="0060177B" w:rsidRPr="00A33930">
        <w:rPr>
          <w:rFonts w:eastAsia="Verdana" w:cs="Verdana"/>
          <w:szCs w:val="18"/>
          <w:lang w:val="nl-NL"/>
        </w:rPr>
        <w:t xml:space="preserve">het </w:t>
      </w:r>
      <w:r w:rsidR="00B2283D" w:rsidRPr="00A33930">
        <w:rPr>
          <w:rFonts w:eastAsia="Verdana" w:cs="Verdana"/>
          <w:szCs w:val="18"/>
          <w:lang w:val="nl-NL"/>
        </w:rPr>
        <w:t>gevolg van</w:t>
      </w:r>
      <w:r w:rsidRPr="00A33930">
        <w:rPr>
          <w:rFonts w:eastAsia="Verdana" w:cs="Verdana"/>
          <w:szCs w:val="18"/>
          <w:lang w:val="nl-NL"/>
        </w:rPr>
        <w:t xml:space="preserve"> de eigen</w:t>
      </w:r>
      <w:r w:rsidR="005F2568" w:rsidRPr="00A33930">
        <w:rPr>
          <w:rFonts w:eastAsia="Verdana" w:cs="Verdana"/>
          <w:szCs w:val="18"/>
          <w:lang w:val="nl-NL"/>
        </w:rPr>
        <w:t xml:space="preserve"> en</w:t>
      </w:r>
      <w:r w:rsidR="00140133" w:rsidRPr="00A33930">
        <w:rPr>
          <w:rFonts w:eastAsia="Verdana" w:cs="Verdana"/>
          <w:szCs w:val="18"/>
          <w:lang w:val="nl-NL"/>
        </w:rPr>
        <w:t xml:space="preserve"> sterkere</w:t>
      </w:r>
      <w:r w:rsidRPr="00A33930">
        <w:rPr>
          <w:rFonts w:eastAsia="Verdana" w:cs="Verdana"/>
          <w:szCs w:val="18"/>
          <w:lang w:val="nl-NL"/>
        </w:rPr>
        <w:t xml:space="preserve"> rechtsingang </w:t>
      </w:r>
      <w:r w:rsidR="00B2283D" w:rsidRPr="00A33930">
        <w:rPr>
          <w:rFonts w:eastAsia="Verdana" w:cs="Verdana"/>
          <w:szCs w:val="18"/>
          <w:lang w:val="nl-NL"/>
        </w:rPr>
        <w:t>voor</w:t>
      </w:r>
      <w:r w:rsidR="0060177B" w:rsidRPr="00A33930">
        <w:rPr>
          <w:rFonts w:eastAsia="Verdana" w:cs="Verdana"/>
          <w:szCs w:val="18"/>
          <w:lang w:val="nl-NL"/>
        </w:rPr>
        <w:t xml:space="preserve"> volwassenen</w:t>
      </w:r>
      <w:r w:rsidRPr="00A33930">
        <w:rPr>
          <w:rFonts w:eastAsia="Verdana" w:cs="Verdana"/>
          <w:szCs w:val="18"/>
          <w:lang w:val="nl-NL"/>
        </w:rPr>
        <w:t xml:space="preserve">. Het is echter niet zo dat het EHRM de </w:t>
      </w:r>
      <w:r w:rsidR="0056393E" w:rsidRPr="00A33930">
        <w:rPr>
          <w:rFonts w:eastAsia="Verdana" w:cs="Verdana"/>
          <w:szCs w:val="18"/>
          <w:lang w:val="nl-NL"/>
        </w:rPr>
        <w:t>mening</w:t>
      </w:r>
      <w:r w:rsidRPr="00A33930">
        <w:rPr>
          <w:rFonts w:eastAsia="Verdana" w:cs="Verdana"/>
          <w:szCs w:val="18"/>
          <w:lang w:val="nl-NL"/>
        </w:rPr>
        <w:t xml:space="preserve"> van het kind volledig buiten spel zet. Er wordt bijzondere aandacht gegeven aan het belang van het kind in iedere casus</w:t>
      </w:r>
      <w:r w:rsidR="005C381F" w:rsidRPr="00A33930">
        <w:rPr>
          <w:rFonts w:eastAsia="Verdana" w:cs="Verdana"/>
          <w:szCs w:val="18"/>
          <w:lang w:val="nl-NL"/>
        </w:rPr>
        <w:t xml:space="preserve">, </w:t>
      </w:r>
      <w:r w:rsidRPr="00A33930">
        <w:rPr>
          <w:rFonts w:eastAsia="Verdana" w:cs="Verdana"/>
          <w:szCs w:val="18"/>
          <w:lang w:val="nl-NL"/>
        </w:rPr>
        <w:t>maar op een vrij onduidelijke en niet-eenvormige manier.</w:t>
      </w:r>
      <w:r w:rsidR="005C381F" w:rsidRPr="00A33930">
        <w:rPr>
          <w:rFonts w:eastAsia="Verdana" w:cs="Verdana"/>
          <w:szCs w:val="18"/>
          <w:lang w:val="nl-NL"/>
        </w:rPr>
        <w:t xml:space="preserve"> </w:t>
      </w:r>
      <w:r w:rsidR="00F00230" w:rsidRPr="00A33930">
        <w:rPr>
          <w:rFonts w:eastAsia="Verdana" w:cs="Verdana"/>
          <w:szCs w:val="18"/>
          <w:lang w:val="nl-NL"/>
        </w:rPr>
        <w:t xml:space="preserve">Hoewel artikel 8 EVRM niet spreekt over de procespositie van de minderjarige, heeft het EHRM in zijn beoordeling rekening gehouden met het IVRK en de General Comments waardoor op Europees niveau benadrukt wordt dat de stem van het kind telt en aan hun mening passend belang </w:t>
      </w:r>
      <w:r w:rsidR="00B2283D" w:rsidRPr="00A33930">
        <w:rPr>
          <w:rFonts w:eastAsia="Verdana" w:cs="Verdana"/>
          <w:szCs w:val="18"/>
          <w:lang w:val="nl-NL"/>
        </w:rPr>
        <w:t>moet</w:t>
      </w:r>
      <w:r w:rsidR="00F00230" w:rsidRPr="00A33930">
        <w:rPr>
          <w:rFonts w:eastAsia="Verdana" w:cs="Verdana"/>
          <w:szCs w:val="18"/>
          <w:lang w:val="nl-NL"/>
        </w:rPr>
        <w:t xml:space="preserve"> worden gehecht.</w:t>
      </w:r>
      <w:r w:rsidR="00F00230" w:rsidRPr="00A33930">
        <w:rPr>
          <w:rStyle w:val="Voetnootmarkering"/>
          <w:rFonts w:eastAsia="Verdana" w:cs="Verdana"/>
          <w:szCs w:val="18"/>
          <w:lang w:val="nl-NL"/>
        </w:rPr>
        <w:footnoteReference w:id="222"/>
      </w:r>
      <w:r w:rsidR="00F00230" w:rsidRPr="00A33930">
        <w:rPr>
          <w:rFonts w:eastAsia="Verdana" w:cs="Verdana"/>
          <w:szCs w:val="18"/>
          <w:lang w:val="nl-NL"/>
        </w:rPr>
        <w:t xml:space="preserve"> Echter</w:t>
      </w:r>
      <w:r w:rsidR="005C381F" w:rsidRPr="00A33930">
        <w:rPr>
          <w:rFonts w:eastAsia="Verdana" w:cs="Verdana"/>
          <w:szCs w:val="18"/>
          <w:lang w:val="nl-NL"/>
        </w:rPr>
        <w:t xml:space="preserve"> lijkt het EHRM in de reed</w:t>
      </w:r>
      <w:r w:rsidR="00CA4167" w:rsidRPr="00A33930">
        <w:rPr>
          <w:rFonts w:eastAsia="Verdana" w:cs="Verdana"/>
          <w:szCs w:val="18"/>
          <w:lang w:val="nl-NL"/>
        </w:rPr>
        <w:t>s</w:t>
      </w:r>
      <w:r w:rsidR="005C381F" w:rsidRPr="00A33930">
        <w:rPr>
          <w:rFonts w:eastAsia="Verdana" w:cs="Verdana"/>
          <w:szCs w:val="18"/>
          <w:lang w:val="nl-NL"/>
        </w:rPr>
        <w:t xml:space="preserve"> aangehaalde rechtspraak m</w:t>
      </w:r>
      <w:r w:rsidR="005F2568" w:rsidRPr="00A33930">
        <w:rPr>
          <w:rFonts w:eastAsia="Verdana" w:cs="Verdana"/>
          <w:szCs w:val="18"/>
          <w:lang w:val="nl-NL"/>
        </w:rPr>
        <w:t>ijns inziens</w:t>
      </w:r>
      <w:r w:rsidR="005C381F" w:rsidRPr="00A33930">
        <w:rPr>
          <w:rFonts w:eastAsia="Verdana" w:cs="Verdana"/>
          <w:szCs w:val="18"/>
          <w:lang w:val="nl-NL"/>
        </w:rPr>
        <w:t xml:space="preserve"> het kind</w:t>
      </w:r>
      <w:r w:rsidR="00AB629D" w:rsidRPr="00A33930">
        <w:rPr>
          <w:rFonts w:eastAsia="Verdana" w:cs="Verdana"/>
          <w:szCs w:val="18"/>
          <w:lang w:val="nl-NL"/>
        </w:rPr>
        <w:t xml:space="preserve"> in de meeste gevallen</w:t>
      </w:r>
      <w:r w:rsidR="005C381F" w:rsidRPr="00A33930">
        <w:rPr>
          <w:rFonts w:eastAsia="Verdana" w:cs="Verdana"/>
          <w:szCs w:val="18"/>
          <w:lang w:val="nl-NL"/>
        </w:rPr>
        <w:t xml:space="preserve"> niet te zien als rechtssubject, wat wel de </w:t>
      </w:r>
      <w:r w:rsidR="005C381F" w:rsidRPr="00A33930">
        <w:rPr>
          <w:rFonts w:eastAsia="Verdana" w:cs="Verdana"/>
          <w:i/>
          <w:iCs/>
          <w:szCs w:val="18"/>
          <w:lang w:val="nl-NL"/>
        </w:rPr>
        <w:t>ratio legis</w:t>
      </w:r>
      <w:r w:rsidR="005C381F" w:rsidRPr="00A33930">
        <w:rPr>
          <w:rFonts w:eastAsia="Verdana" w:cs="Verdana"/>
          <w:szCs w:val="18"/>
          <w:lang w:val="nl-NL"/>
        </w:rPr>
        <w:t xml:space="preserve"> is van artikel 8 EVRM en van het IVRK.</w:t>
      </w:r>
      <w:r w:rsidR="00D76726" w:rsidRPr="00A33930">
        <w:rPr>
          <w:rStyle w:val="Voetnootmarkering"/>
          <w:rFonts w:eastAsia="Verdana" w:cs="Verdana"/>
          <w:szCs w:val="18"/>
          <w:lang w:val="nl-NL"/>
        </w:rPr>
        <w:footnoteReference w:id="223"/>
      </w:r>
      <w:r w:rsidR="005C381F" w:rsidRPr="00A33930">
        <w:rPr>
          <w:rFonts w:eastAsia="Verdana" w:cs="Verdana"/>
          <w:szCs w:val="18"/>
          <w:lang w:val="nl-NL"/>
        </w:rPr>
        <w:t xml:space="preserve"> De belangen van het kind </w:t>
      </w:r>
      <w:r w:rsidR="00F00230" w:rsidRPr="00A33930">
        <w:rPr>
          <w:rFonts w:eastAsia="Verdana" w:cs="Verdana"/>
          <w:szCs w:val="18"/>
          <w:lang w:val="nl-NL"/>
        </w:rPr>
        <w:t xml:space="preserve">en zijn mening mogen dan wel </w:t>
      </w:r>
      <w:r w:rsidR="005C381F" w:rsidRPr="00A33930">
        <w:rPr>
          <w:rFonts w:eastAsia="Verdana" w:cs="Verdana"/>
          <w:szCs w:val="18"/>
          <w:lang w:val="nl-NL"/>
        </w:rPr>
        <w:t>belangrijk</w:t>
      </w:r>
      <w:r w:rsidR="00867C72" w:rsidRPr="00A33930">
        <w:rPr>
          <w:rFonts w:eastAsia="Verdana" w:cs="Verdana"/>
          <w:szCs w:val="18"/>
          <w:lang w:val="nl-NL"/>
        </w:rPr>
        <w:t>e</w:t>
      </w:r>
      <w:r w:rsidR="005C381F" w:rsidRPr="00A33930">
        <w:rPr>
          <w:rFonts w:eastAsia="Verdana" w:cs="Verdana"/>
          <w:szCs w:val="18"/>
          <w:lang w:val="nl-NL"/>
        </w:rPr>
        <w:t xml:space="preserve"> beoordelingselement</w:t>
      </w:r>
      <w:r w:rsidR="00867C72" w:rsidRPr="00A33930">
        <w:rPr>
          <w:rFonts w:eastAsia="Verdana" w:cs="Verdana"/>
          <w:szCs w:val="18"/>
          <w:lang w:val="nl-NL"/>
        </w:rPr>
        <w:t>en</w:t>
      </w:r>
      <w:r w:rsidR="005C381F" w:rsidRPr="00A33930">
        <w:rPr>
          <w:rFonts w:eastAsia="Verdana" w:cs="Verdana"/>
          <w:szCs w:val="18"/>
          <w:lang w:val="nl-NL"/>
        </w:rPr>
        <w:t xml:space="preserve"> </w:t>
      </w:r>
      <w:r w:rsidR="00F00230" w:rsidRPr="00A33930">
        <w:rPr>
          <w:rFonts w:eastAsia="Verdana" w:cs="Verdana"/>
          <w:szCs w:val="18"/>
          <w:lang w:val="nl-NL"/>
        </w:rPr>
        <w:t xml:space="preserve">vormen, </w:t>
      </w:r>
      <w:r w:rsidR="005C381F" w:rsidRPr="00A33930">
        <w:rPr>
          <w:rFonts w:eastAsia="Verdana" w:cs="Verdana"/>
          <w:szCs w:val="18"/>
          <w:lang w:val="nl-NL"/>
        </w:rPr>
        <w:t>toch houdt het EHRM</w:t>
      </w:r>
      <w:r w:rsidR="005F2568" w:rsidRPr="00A33930">
        <w:rPr>
          <w:rFonts w:eastAsia="Verdana" w:cs="Verdana"/>
          <w:szCs w:val="18"/>
          <w:lang w:val="nl-NL"/>
        </w:rPr>
        <w:t xml:space="preserve"> mijns inziens</w:t>
      </w:r>
      <w:r w:rsidR="005C381F" w:rsidRPr="00A33930">
        <w:rPr>
          <w:rFonts w:eastAsia="Verdana" w:cs="Verdana"/>
          <w:szCs w:val="18"/>
          <w:lang w:val="nl-NL"/>
        </w:rPr>
        <w:t xml:space="preserve"> weinig rekening met de zich “ontwikkelende vermogens” van het kind </w:t>
      </w:r>
      <w:r w:rsidR="00F00230" w:rsidRPr="00A33930">
        <w:rPr>
          <w:rFonts w:eastAsia="Verdana" w:cs="Verdana"/>
          <w:szCs w:val="18"/>
          <w:lang w:val="nl-NL"/>
        </w:rPr>
        <w:t xml:space="preserve">en zijn positie als rechtssubject </w:t>
      </w:r>
      <w:r w:rsidR="005C381F" w:rsidRPr="00A33930">
        <w:rPr>
          <w:rFonts w:eastAsia="Verdana" w:cs="Verdana"/>
          <w:szCs w:val="18"/>
          <w:lang w:val="nl-NL"/>
        </w:rPr>
        <w:t>zoals voorzien door het IVRK</w:t>
      </w:r>
      <w:r w:rsidR="00F00230" w:rsidRPr="00A33930">
        <w:rPr>
          <w:rFonts w:eastAsia="Verdana" w:cs="Verdana"/>
          <w:szCs w:val="18"/>
          <w:lang w:val="nl-NL"/>
        </w:rPr>
        <w:t xml:space="preserve"> (</w:t>
      </w:r>
      <w:r w:rsidR="00F00230" w:rsidRPr="00A33930">
        <w:rPr>
          <w:rFonts w:eastAsia="Verdana" w:cs="Verdana"/>
          <w:i/>
          <w:iCs/>
          <w:szCs w:val="18"/>
          <w:lang w:val="nl-NL"/>
        </w:rPr>
        <w:t>supra</w:t>
      </w:r>
      <w:r w:rsidR="00F00230" w:rsidRPr="00A33930">
        <w:rPr>
          <w:rFonts w:eastAsia="Verdana" w:cs="Verdana"/>
          <w:szCs w:val="18"/>
          <w:lang w:val="nl-NL"/>
        </w:rPr>
        <w:t xml:space="preserve">, nr. </w:t>
      </w:r>
      <w:r w:rsidR="000A45CE" w:rsidRPr="00A33930">
        <w:rPr>
          <w:rFonts w:eastAsia="Verdana" w:cs="Verdana"/>
          <w:szCs w:val="18"/>
          <w:lang w:val="nl-NL"/>
        </w:rPr>
        <w:t>31-32</w:t>
      </w:r>
      <w:r w:rsidR="00F00230" w:rsidRPr="00A33930">
        <w:rPr>
          <w:rFonts w:eastAsia="Verdana" w:cs="Verdana"/>
          <w:szCs w:val="18"/>
          <w:lang w:val="nl-NL"/>
        </w:rPr>
        <w:t>)</w:t>
      </w:r>
      <w:r w:rsidR="005C381F" w:rsidRPr="00A33930">
        <w:rPr>
          <w:rFonts w:eastAsia="Verdana" w:cs="Verdana"/>
          <w:szCs w:val="18"/>
          <w:lang w:val="nl-NL"/>
        </w:rPr>
        <w:t>.</w:t>
      </w:r>
      <w:r w:rsidR="00DB6174" w:rsidRPr="00A33930">
        <w:rPr>
          <w:sz w:val="20"/>
          <w:szCs w:val="28"/>
          <w:lang w:val="nl-NL"/>
        </w:rPr>
        <w:br w:type="page"/>
      </w:r>
    </w:p>
    <w:p w14:paraId="5D19009E" w14:textId="2BE3FA84" w:rsidR="004F179E" w:rsidRPr="00A33930" w:rsidRDefault="004F179E" w:rsidP="00340842">
      <w:pPr>
        <w:pStyle w:val="Kop1"/>
        <w:jc w:val="both"/>
        <w:rPr>
          <w:sz w:val="22"/>
          <w:szCs w:val="22"/>
          <w:lang w:val="nl-NL"/>
        </w:rPr>
      </w:pPr>
      <w:bookmarkStart w:id="21" w:name="_Toc134621180"/>
      <w:r w:rsidRPr="00A33930">
        <w:rPr>
          <w:sz w:val="22"/>
          <w:szCs w:val="22"/>
          <w:lang w:val="nl-NL"/>
        </w:rPr>
        <w:lastRenderedPageBreak/>
        <w:t>TUSSENBESLUIT</w:t>
      </w:r>
      <w:bookmarkEnd w:id="21"/>
    </w:p>
    <w:p w14:paraId="618DFA6D" w14:textId="2D0B104E" w:rsidR="00D433C1" w:rsidRPr="00A33930" w:rsidRDefault="000C4315" w:rsidP="00D433C1">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Het verander</w:t>
      </w:r>
      <w:r w:rsidR="006B40A1" w:rsidRPr="00A33930">
        <w:rPr>
          <w:rFonts w:eastAsia="Verdana" w:cs="Verdana"/>
          <w:szCs w:val="18"/>
          <w:lang w:val="nl-NL"/>
        </w:rPr>
        <w:t>en</w:t>
      </w:r>
      <w:r w:rsidRPr="00A33930">
        <w:rPr>
          <w:rFonts w:eastAsia="Verdana" w:cs="Verdana"/>
          <w:szCs w:val="18"/>
          <w:lang w:val="nl-NL"/>
        </w:rPr>
        <w:t>de kind</w:t>
      </w:r>
      <w:r w:rsidR="00E57778" w:rsidRPr="00A33930">
        <w:rPr>
          <w:rFonts w:eastAsia="Verdana" w:cs="Verdana"/>
          <w:szCs w:val="18"/>
          <w:lang w:val="nl-NL"/>
        </w:rPr>
        <w:t>perspectief</w:t>
      </w:r>
      <w:r w:rsidRPr="00A33930">
        <w:rPr>
          <w:rFonts w:eastAsia="Verdana" w:cs="Verdana"/>
          <w:szCs w:val="18"/>
          <w:lang w:val="nl-NL"/>
        </w:rPr>
        <w:t xml:space="preserve"> </w:t>
      </w:r>
      <w:r w:rsidR="00D433C1" w:rsidRPr="00A33930">
        <w:rPr>
          <w:rFonts w:eastAsia="Verdana" w:cs="Verdana"/>
          <w:szCs w:val="18"/>
          <w:lang w:val="nl-NL"/>
        </w:rPr>
        <w:t xml:space="preserve">vanaf de jaren ’70 </w:t>
      </w:r>
      <w:r w:rsidRPr="00A33930">
        <w:rPr>
          <w:rFonts w:eastAsia="Verdana" w:cs="Verdana"/>
          <w:szCs w:val="18"/>
          <w:lang w:val="nl-NL"/>
        </w:rPr>
        <w:t xml:space="preserve">heeft zich geuit in </w:t>
      </w:r>
      <w:r w:rsidR="00C55F15" w:rsidRPr="00A33930">
        <w:rPr>
          <w:rFonts w:eastAsia="Verdana" w:cs="Verdana"/>
          <w:szCs w:val="18"/>
          <w:lang w:val="nl-NL"/>
        </w:rPr>
        <w:t>het verlaten</w:t>
      </w:r>
      <w:r w:rsidRPr="00A33930">
        <w:rPr>
          <w:rFonts w:eastAsia="Verdana" w:cs="Verdana"/>
          <w:szCs w:val="18"/>
          <w:lang w:val="nl-NL"/>
        </w:rPr>
        <w:t xml:space="preserve"> van de objectgedachte op </w:t>
      </w:r>
      <w:r w:rsidR="00D433C1" w:rsidRPr="00A33930">
        <w:rPr>
          <w:rFonts w:eastAsia="Verdana" w:cs="Verdana"/>
          <w:szCs w:val="18"/>
          <w:lang w:val="nl-NL"/>
        </w:rPr>
        <w:t xml:space="preserve">mensenrechtelijk </w:t>
      </w:r>
      <w:r w:rsidR="00A337BB" w:rsidRPr="00A33930">
        <w:rPr>
          <w:rFonts w:eastAsia="Verdana" w:cs="Verdana"/>
          <w:szCs w:val="18"/>
          <w:lang w:val="nl-NL"/>
        </w:rPr>
        <w:t>niveau</w:t>
      </w:r>
      <w:r w:rsidRPr="00A33930">
        <w:rPr>
          <w:rFonts w:eastAsia="Verdana" w:cs="Verdana"/>
          <w:szCs w:val="18"/>
          <w:lang w:val="nl-NL"/>
        </w:rPr>
        <w:t>. Het kind wordt niet langer beschouwd als rechtsobject maar is nu een rechtssubject</w:t>
      </w:r>
      <w:r w:rsidR="007E778A" w:rsidRPr="00A33930">
        <w:rPr>
          <w:rFonts w:eastAsia="Verdana" w:cs="Verdana"/>
          <w:szCs w:val="18"/>
          <w:lang w:val="nl-NL"/>
        </w:rPr>
        <w:t>. Het kind is</w:t>
      </w:r>
      <w:r w:rsidRPr="00A33930">
        <w:rPr>
          <w:rFonts w:eastAsia="Verdana" w:cs="Verdana"/>
          <w:szCs w:val="18"/>
          <w:lang w:val="nl-NL"/>
        </w:rPr>
        <w:t xml:space="preserve"> </w:t>
      </w:r>
      <w:r w:rsidR="00C55F15" w:rsidRPr="00A33930">
        <w:rPr>
          <w:rFonts w:eastAsia="Verdana" w:cs="Verdana"/>
          <w:szCs w:val="18"/>
          <w:lang w:val="nl-NL"/>
        </w:rPr>
        <w:t>titularis</w:t>
      </w:r>
      <w:r w:rsidRPr="00A33930">
        <w:rPr>
          <w:rFonts w:eastAsia="Verdana" w:cs="Verdana"/>
          <w:szCs w:val="18"/>
          <w:lang w:val="nl-NL"/>
        </w:rPr>
        <w:t xml:space="preserve"> van zijn eigen rechten en </w:t>
      </w:r>
      <w:r w:rsidR="00C55F15" w:rsidRPr="00A33930">
        <w:rPr>
          <w:rFonts w:eastAsia="Verdana" w:cs="Verdana"/>
          <w:szCs w:val="18"/>
          <w:lang w:val="nl-NL"/>
        </w:rPr>
        <w:t>zodoende titularis</w:t>
      </w:r>
      <w:r w:rsidRPr="00A33930">
        <w:rPr>
          <w:rFonts w:eastAsia="Verdana" w:cs="Verdana"/>
          <w:szCs w:val="18"/>
          <w:lang w:val="nl-NL"/>
        </w:rPr>
        <w:t xml:space="preserve"> van een eigen recht op persoonlijk contact </w:t>
      </w:r>
      <w:r w:rsidR="006B40A1" w:rsidRPr="00A33930">
        <w:rPr>
          <w:rFonts w:eastAsia="Verdana" w:cs="Verdana"/>
          <w:szCs w:val="18"/>
          <w:lang w:val="nl-NL"/>
        </w:rPr>
        <w:t>zoals bepaald door</w:t>
      </w:r>
      <w:r w:rsidRPr="00A33930">
        <w:rPr>
          <w:rFonts w:eastAsia="Verdana" w:cs="Verdana"/>
          <w:szCs w:val="18"/>
          <w:lang w:val="nl-NL"/>
        </w:rPr>
        <w:t xml:space="preserve"> artikel 9.3 IVRK</w:t>
      </w:r>
      <w:r w:rsidR="0084166C" w:rsidRPr="00A33930">
        <w:rPr>
          <w:rFonts w:eastAsia="Verdana" w:cs="Verdana"/>
          <w:szCs w:val="18"/>
          <w:lang w:val="nl-NL"/>
        </w:rPr>
        <w:t xml:space="preserve"> (</w:t>
      </w:r>
      <w:r w:rsidR="0084166C" w:rsidRPr="00A33930">
        <w:rPr>
          <w:rFonts w:eastAsia="Verdana" w:cs="Verdana"/>
          <w:i/>
          <w:iCs/>
          <w:szCs w:val="18"/>
          <w:lang w:val="nl-NL"/>
        </w:rPr>
        <w:t>supra</w:t>
      </w:r>
      <w:r w:rsidR="0084166C" w:rsidRPr="00A33930">
        <w:rPr>
          <w:rFonts w:eastAsia="Verdana" w:cs="Verdana"/>
          <w:szCs w:val="18"/>
          <w:lang w:val="nl-NL"/>
        </w:rPr>
        <w:t xml:space="preserve">, nr. </w:t>
      </w:r>
      <w:r w:rsidR="000A45CE" w:rsidRPr="00A33930">
        <w:rPr>
          <w:rFonts w:eastAsia="Verdana" w:cs="Verdana"/>
          <w:szCs w:val="18"/>
          <w:lang w:val="nl-NL"/>
        </w:rPr>
        <w:t>32</w:t>
      </w:r>
      <w:r w:rsidR="00B35298" w:rsidRPr="00A33930">
        <w:rPr>
          <w:rFonts w:eastAsia="Verdana" w:cs="Verdana"/>
          <w:szCs w:val="18"/>
          <w:lang w:val="nl-NL"/>
        </w:rPr>
        <w:t xml:space="preserve"> en nr. 41</w:t>
      </w:r>
      <w:r w:rsidR="0084166C" w:rsidRPr="00A33930">
        <w:rPr>
          <w:rFonts w:eastAsia="Verdana" w:cs="Verdana"/>
          <w:szCs w:val="18"/>
          <w:lang w:val="nl-NL"/>
        </w:rPr>
        <w:t>)</w:t>
      </w:r>
      <w:r w:rsidRPr="00A33930">
        <w:rPr>
          <w:rFonts w:eastAsia="Verdana" w:cs="Verdana"/>
          <w:szCs w:val="18"/>
          <w:lang w:val="nl-NL"/>
        </w:rPr>
        <w:t xml:space="preserve">. </w:t>
      </w:r>
      <w:r w:rsidR="000A45CE" w:rsidRPr="00A33930">
        <w:rPr>
          <w:rFonts w:eastAsia="Verdana" w:cs="Verdana"/>
          <w:szCs w:val="18"/>
          <w:lang w:val="nl-NL"/>
        </w:rPr>
        <w:t>Het</w:t>
      </w:r>
      <w:r w:rsidR="00C55F15" w:rsidRPr="00A33930">
        <w:rPr>
          <w:rFonts w:eastAsia="Verdana" w:cs="Verdana"/>
          <w:szCs w:val="18"/>
          <w:lang w:val="nl-NL"/>
        </w:rPr>
        <w:t xml:space="preserve"> </w:t>
      </w:r>
      <w:r w:rsidRPr="00A33930">
        <w:rPr>
          <w:rFonts w:eastAsia="Verdana" w:cs="Verdana"/>
          <w:szCs w:val="18"/>
          <w:lang w:val="nl-NL"/>
        </w:rPr>
        <w:t>IVRK</w:t>
      </w:r>
      <w:r w:rsidR="000A45CE" w:rsidRPr="00A33930">
        <w:rPr>
          <w:rFonts w:eastAsia="Verdana" w:cs="Verdana"/>
          <w:szCs w:val="18"/>
          <w:lang w:val="nl-NL"/>
        </w:rPr>
        <w:t xml:space="preserve"> verleent</w:t>
      </w:r>
      <w:r w:rsidRPr="00A33930">
        <w:rPr>
          <w:rFonts w:eastAsia="Verdana" w:cs="Verdana"/>
          <w:szCs w:val="18"/>
          <w:lang w:val="nl-NL"/>
        </w:rPr>
        <w:t xml:space="preserve"> het kind </w:t>
      </w:r>
      <w:r w:rsidR="00BC397A" w:rsidRPr="00A33930">
        <w:rPr>
          <w:rFonts w:eastAsia="Verdana" w:cs="Verdana"/>
          <w:szCs w:val="18"/>
          <w:lang w:val="nl-NL"/>
        </w:rPr>
        <w:t>evenwel</w:t>
      </w:r>
      <w:r w:rsidR="000A45CE" w:rsidRPr="00A33930">
        <w:rPr>
          <w:rFonts w:eastAsia="Verdana" w:cs="Verdana"/>
          <w:szCs w:val="18"/>
          <w:lang w:val="nl-NL"/>
        </w:rPr>
        <w:t xml:space="preserve"> </w:t>
      </w:r>
      <w:r w:rsidRPr="00A33930">
        <w:rPr>
          <w:rFonts w:eastAsia="Verdana" w:cs="Verdana"/>
          <w:szCs w:val="18"/>
          <w:lang w:val="nl-NL"/>
        </w:rPr>
        <w:t>een sterke rechtspositie</w:t>
      </w:r>
      <w:r w:rsidR="00D433C1" w:rsidRPr="00A33930">
        <w:rPr>
          <w:rFonts w:eastAsia="Verdana" w:cs="Verdana"/>
          <w:szCs w:val="18"/>
          <w:lang w:val="nl-NL"/>
        </w:rPr>
        <w:t>,</w:t>
      </w:r>
      <w:r w:rsidR="000A45CE" w:rsidRPr="00A33930">
        <w:rPr>
          <w:rFonts w:eastAsia="Verdana" w:cs="Verdana"/>
          <w:szCs w:val="18"/>
          <w:lang w:val="nl-NL"/>
        </w:rPr>
        <w:t xml:space="preserve"> maar</w:t>
      </w:r>
      <w:r w:rsidRPr="00A33930">
        <w:rPr>
          <w:rFonts w:eastAsia="Verdana" w:cs="Verdana"/>
          <w:szCs w:val="18"/>
          <w:lang w:val="nl-NL"/>
        </w:rPr>
        <w:t xml:space="preserve"> </w:t>
      </w:r>
      <w:r w:rsidR="00C55F15" w:rsidRPr="00A33930">
        <w:rPr>
          <w:rFonts w:eastAsia="Verdana" w:cs="Verdana"/>
          <w:szCs w:val="18"/>
          <w:lang w:val="nl-NL"/>
        </w:rPr>
        <w:t xml:space="preserve">heeft </w:t>
      </w:r>
      <w:r w:rsidR="000A45CE" w:rsidRPr="00A33930">
        <w:rPr>
          <w:rFonts w:eastAsia="Verdana" w:cs="Verdana"/>
          <w:szCs w:val="18"/>
          <w:lang w:val="nl-NL"/>
        </w:rPr>
        <w:t>onvoldoende</w:t>
      </w:r>
      <w:r w:rsidR="00C55F15" w:rsidRPr="00A33930">
        <w:rPr>
          <w:rFonts w:eastAsia="Verdana" w:cs="Verdana"/>
          <w:szCs w:val="18"/>
          <w:lang w:val="nl-NL"/>
        </w:rPr>
        <w:t xml:space="preserve"> slagkracht</w:t>
      </w:r>
      <w:r w:rsidR="00D433C1" w:rsidRPr="00A33930">
        <w:rPr>
          <w:rFonts w:eastAsia="Verdana" w:cs="Verdana"/>
          <w:szCs w:val="18"/>
          <w:lang w:val="nl-NL"/>
        </w:rPr>
        <w:t xml:space="preserve"> om deze rechtspositie te garanderen</w:t>
      </w:r>
      <w:r w:rsidR="00BC397A" w:rsidRPr="00A33930">
        <w:rPr>
          <w:rFonts w:eastAsia="Verdana" w:cs="Verdana"/>
          <w:szCs w:val="18"/>
          <w:lang w:val="nl-NL"/>
        </w:rPr>
        <w:t>. Dit omwille van het feit dat</w:t>
      </w:r>
      <w:r w:rsidR="000A45CE" w:rsidRPr="00A33930">
        <w:rPr>
          <w:rFonts w:eastAsia="Verdana" w:cs="Verdana"/>
          <w:szCs w:val="18"/>
          <w:lang w:val="nl-NL"/>
        </w:rPr>
        <w:t xml:space="preserve"> er </w:t>
      </w:r>
      <w:r w:rsidRPr="00A33930">
        <w:rPr>
          <w:rFonts w:eastAsia="Verdana" w:cs="Verdana"/>
          <w:szCs w:val="18"/>
          <w:lang w:val="nl-NL"/>
        </w:rPr>
        <w:t xml:space="preserve">niet </w:t>
      </w:r>
      <w:r w:rsidR="000A45CE" w:rsidRPr="00A33930">
        <w:rPr>
          <w:rFonts w:eastAsia="Verdana" w:cs="Verdana"/>
          <w:szCs w:val="18"/>
          <w:lang w:val="nl-NL"/>
        </w:rPr>
        <w:t xml:space="preserve">wordt </w:t>
      </w:r>
      <w:r w:rsidRPr="00A33930">
        <w:rPr>
          <w:rFonts w:eastAsia="Verdana" w:cs="Verdana"/>
          <w:szCs w:val="18"/>
          <w:lang w:val="nl-NL"/>
        </w:rPr>
        <w:t xml:space="preserve">voorzien in sancties of controlemechanismen met bindende uitspraken om Verdragsstaten </w:t>
      </w:r>
      <w:r w:rsidR="000B54B0" w:rsidRPr="00A33930">
        <w:rPr>
          <w:rFonts w:eastAsia="Verdana" w:cs="Verdana"/>
          <w:szCs w:val="18"/>
          <w:lang w:val="nl-NL"/>
        </w:rPr>
        <w:t xml:space="preserve">te wijzen op </w:t>
      </w:r>
      <w:r w:rsidR="00C55F15" w:rsidRPr="00A33930">
        <w:rPr>
          <w:rFonts w:eastAsia="Verdana" w:cs="Verdana"/>
          <w:szCs w:val="18"/>
          <w:lang w:val="nl-NL"/>
        </w:rPr>
        <w:t xml:space="preserve">een </w:t>
      </w:r>
      <w:r w:rsidR="000B54B0" w:rsidRPr="00A33930">
        <w:rPr>
          <w:rFonts w:eastAsia="Verdana" w:cs="Verdana"/>
          <w:szCs w:val="18"/>
          <w:lang w:val="nl-NL"/>
        </w:rPr>
        <w:t>niet-naleving van kinderrechten</w:t>
      </w:r>
      <w:r w:rsidRPr="00A33930">
        <w:rPr>
          <w:rFonts w:eastAsia="Verdana" w:cs="Verdana"/>
          <w:szCs w:val="18"/>
          <w:lang w:val="nl-NL"/>
        </w:rPr>
        <w:t xml:space="preserve"> </w:t>
      </w:r>
      <w:r w:rsidR="0084166C" w:rsidRPr="00A33930">
        <w:rPr>
          <w:rFonts w:eastAsia="Verdana" w:cs="Verdana"/>
          <w:szCs w:val="18"/>
          <w:lang w:val="nl-NL"/>
        </w:rPr>
        <w:t>(</w:t>
      </w:r>
      <w:r w:rsidR="0084166C" w:rsidRPr="00A33930">
        <w:rPr>
          <w:rFonts w:eastAsia="Verdana" w:cs="Verdana"/>
          <w:i/>
          <w:iCs/>
          <w:szCs w:val="18"/>
          <w:lang w:val="nl-NL"/>
        </w:rPr>
        <w:t>supra</w:t>
      </w:r>
      <w:r w:rsidR="0084166C" w:rsidRPr="00A33930">
        <w:rPr>
          <w:rFonts w:eastAsia="Verdana" w:cs="Verdana"/>
          <w:szCs w:val="18"/>
          <w:lang w:val="nl-NL"/>
        </w:rPr>
        <w:t xml:space="preserve">, nr. </w:t>
      </w:r>
      <w:r w:rsidR="000A45CE" w:rsidRPr="00A33930">
        <w:rPr>
          <w:rFonts w:eastAsia="Verdana" w:cs="Verdana"/>
          <w:szCs w:val="18"/>
          <w:lang w:val="nl-NL"/>
        </w:rPr>
        <w:t>29</w:t>
      </w:r>
      <w:r w:rsidR="0084166C" w:rsidRPr="00A33930">
        <w:rPr>
          <w:rFonts w:eastAsia="Verdana" w:cs="Verdana"/>
          <w:szCs w:val="18"/>
          <w:lang w:val="nl-NL"/>
        </w:rPr>
        <w:t>)</w:t>
      </w:r>
      <w:r w:rsidRPr="00A33930">
        <w:rPr>
          <w:rFonts w:eastAsia="Verdana" w:cs="Verdana"/>
          <w:szCs w:val="18"/>
          <w:lang w:val="nl-NL"/>
        </w:rPr>
        <w:t xml:space="preserve">. Het </w:t>
      </w:r>
      <w:r w:rsidR="00BC397A" w:rsidRPr="00A33930">
        <w:rPr>
          <w:rFonts w:eastAsia="Verdana" w:cs="Verdana"/>
          <w:szCs w:val="18"/>
          <w:lang w:val="nl-NL"/>
        </w:rPr>
        <w:t>“</w:t>
      </w:r>
      <w:r w:rsidRPr="00A33930">
        <w:rPr>
          <w:rFonts w:eastAsia="Verdana" w:cs="Verdana"/>
          <w:szCs w:val="18"/>
          <w:lang w:val="nl-NL"/>
        </w:rPr>
        <w:t>niet-naleven</w:t>
      </w:r>
      <w:r w:rsidR="00BC397A" w:rsidRPr="00A33930">
        <w:rPr>
          <w:rFonts w:eastAsia="Verdana" w:cs="Verdana"/>
          <w:szCs w:val="18"/>
          <w:lang w:val="nl-NL"/>
        </w:rPr>
        <w:t>”</w:t>
      </w:r>
      <w:r w:rsidR="006A14DD" w:rsidRPr="00A33930">
        <w:rPr>
          <w:rFonts w:eastAsia="Verdana" w:cs="Verdana"/>
          <w:szCs w:val="18"/>
          <w:lang w:val="nl-NL"/>
        </w:rPr>
        <w:t xml:space="preserve"> </w:t>
      </w:r>
      <w:r w:rsidRPr="00A33930">
        <w:rPr>
          <w:rFonts w:eastAsia="Verdana" w:cs="Verdana"/>
          <w:szCs w:val="18"/>
          <w:lang w:val="nl-NL"/>
        </w:rPr>
        <w:t xml:space="preserve">van deze kinderrechten mag overigens niet in de letterlijke betekenis worden begrepen: ondanks de bindende werking van de bepalingen in het IVRK, </w:t>
      </w:r>
      <w:r w:rsidR="0060177B" w:rsidRPr="00A33930">
        <w:rPr>
          <w:rFonts w:eastAsia="Verdana" w:cs="Verdana"/>
          <w:szCs w:val="18"/>
          <w:lang w:val="nl-NL"/>
        </w:rPr>
        <w:t>is er voor</w:t>
      </w:r>
      <w:r w:rsidRPr="00A33930">
        <w:rPr>
          <w:rFonts w:eastAsia="Verdana" w:cs="Verdana"/>
          <w:szCs w:val="18"/>
          <w:lang w:val="nl-NL"/>
        </w:rPr>
        <w:t xml:space="preserve"> Verdragsstaten slechts een positieve verplichting </w:t>
      </w:r>
      <w:r w:rsidR="0060177B" w:rsidRPr="00A33930">
        <w:rPr>
          <w:rFonts w:eastAsia="Verdana" w:cs="Verdana"/>
          <w:szCs w:val="18"/>
          <w:lang w:val="nl-NL"/>
        </w:rPr>
        <w:t xml:space="preserve">weggelegd om </w:t>
      </w:r>
      <w:r w:rsidRPr="00A33930">
        <w:rPr>
          <w:rFonts w:eastAsia="Verdana" w:cs="Verdana"/>
          <w:szCs w:val="18"/>
          <w:lang w:val="nl-NL"/>
        </w:rPr>
        <w:t>te voorzien in passende</w:t>
      </w:r>
      <w:r w:rsidR="0029157E" w:rsidRPr="00A33930">
        <w:rPr>
          <w:rFonts w:eastAsia="Verdana" w:cs="Verdana"/>
          <w:szCs w:val="18"/>
          <w:lang w:val="nl-NL"/>
        </w:rPr>
        <w:t xml:space="preserve"> </w:t>
      </w:r>
      <w:r w:rsidRPr="00A33930">
        <w:rPr>
          <w:rFonts w:eastAsia="Verdana" w:cs="Verdana"/>
          <w:szCs w:val="18"/>
          <w:lang w:val="nl-NL"/>
        </w:rPr>
        <w:t>maatregelen ter uitvoering van de kinderrechten</w:t>
      </w:r>
      <w:r w:rsidR="0084166C" w:rsidRPr="00A33930">
        <w:rPr>
          <w:rFonts w:eastAsia="Verdana" w:cs="Verdana"/>
          <w:szCs w:val="18"/>
          <w:lang w:val="nl-NL"/>
        </w:rPr>
        <w:t xml:space="preserve"> (</w:t>
      </w:r>
      <w:r w:rsidR="0084166C" w:rsidRPr="00A33930">
        <w:rPr>
          <w:rFonts w:eastAsia="Verdana" w:cs="Verdana"/>
          <w:i/>
          <w:iCs/>
          <w:szCs w:val="18"/>
          <w:lang w:val="nl-NL"/>
        </w:rPr>
        <w:t>supra</w:t>
      </w:r>
      <w:r w:rsidR="0084166C" w:rsidRPr="00A33930">
        <w:rPr>
          <w:rFonts w:eastAsia="Verdana" w:cs="Verdana"/>
          <w:szCs w:val="18"/>
          <w:lang w:val="nl-NL"/>
        </w:rPr>
        <w:t xml:space="preserve">, nr. </w:t>
      </w:r>
      <w:r w:rsidR="000A45CE" w:rsidRPr="00A33930">
        <w:rPr>
          <w:rFonts w:eastAsia="Verdana" w:cs="Verdana"/>
          <w:szCs w:val="18"/>
          <w:lang w:val="nl-NL"/>
        </w:rPr>
        <w:t xml:space="preserve">28 en </w:t>
      </w:r>
      <w:r w:rsidR="00303F74" w:rsidRPr="00A33930">
        <w:rPr>
          <w:rFonts w:eastAsia="Verdana" w:cs="Verdana"/>
          <w:szCs w:val="18"/>
          <w:lang w:val="nl-NL"/>
        </w:rPr>
        <w:t xml:space="preserve">nr. </w:t>
      </w:r>
      <w:r w:rsidR="000A45CE" w:rsidRPr="00A33930">
        <w:rPr>
          <w:rFonts w:eastAsia="Verdana" w:cs="Verdana"/>
          <w:szCs w:val="18"/>
          <w:lang w:val="nl-NL"/>
        </w:rPr>
        <w:t>38</w:t>
      </w:r>
      <w:r w:rsidR="0084166C" w:rsidRPr="00A33930">
        <w:rPr>
          <w:rFonts w:eastAsia="Verdana" w:cs="Verdana"/>
          <w:szCs w:val="18"/>
          <w:lang w:val="nl-NL"/>
        </w:rPr>
        <w:t>)</w:t>
      </w:r>
      <w:r w:rsidRPr="00A33930">
        <w:rPr>
          <w:rFonts w:eastAsia="Verdana" w:cs="Verdana"/>
          <w:szCs w:val="18"/>
          <w:lang w:val="nl-NL"/>
        </w:rPr>
        <w:t xml:space="preserve">. </w:t>
      </w:r>
      <w:r w:rsidR="000A45CE" w:rsidRPr="00A33930">
        <w:rPr>
          <w:rFonts w:eastAsia="Verdana" w:cs="Verdana"/>
          <w:szCs w:val="18"/>
          <w:lang w:val="nl-NL"/>
        </w:rPr>
        <w:t>A</w:t>
      </w:r>
      <w:r w:rsidR="00C55F15" w:rsidRPr="00A33930">
        <w:rPr>
          <w:rFonts w:eastAsia="Verdana" w:cs="Verdana"/>
          <w:szCs w:val="18"/>
          <w:lang w:val="nl-NL"/>
        </w:rPr>
        <w:t>rtikel 9.3 IVRK</w:t>
      </w:r>
      <w:r w:rsidR="0084166C" w:rsidRPr="00A33930">
        <w:rPr>
          <w:rFonts w:eastAsia="Verdana" w:cs="Verdana"/>
          <w:szCs w:val="18"/>
          <w:lang w:val="nl-NL"/>
        </w:rPr>
        <w:t xml:space="preserve"> </w:t>
      </w:r>
      <w:r w:rsidR="000A45CE" w:rsidRPr="00A33930">
        <w:rPr>
          <w:rFonts w:eastAsia="Verdana" w:cs="Verdana"/>
          <w:szCs w:val="18"/>
          <w:lang w:val="nl-NL"/>
        </w:rPr>
        <w:t>vereist</w:t>
      </w:r>
      <w:r w:rsidR="0084166C" w:rsidRPr="00A33930">
        <w:rPr>
          <w:rFonts w:eastAsia="Verdana" w:cs="Verdana"/>
          <w:szCs w:val="18"/>
          <w:lang w:val="nl-NL"/>
        </w:rPr>
        <w:t xml:space="preserve"> inschrijving in de nationale regelgeving, dan wel middellijk, dan wel via directe werking (</w:t>
      </w:r>
      <w:r w:rsidR="0084166C" w:rsidRPr="00A33930">
        <w:rPr>
          <w:rFonts w:eastAsia="Verdana" w:cs="Verdana"/>
          <w:i/>
          <w:iCs/>
          <w:szCs w:val="18"/>
          <w:lang w:val="nl-NL"/>
        </w:rPr>
        <w:t>supra</w:t>
      </w:r>
      <w:r w:rsidR="0084166C" w:rsidRPr="00A33930">
        <w:rPr>
          <w:rFonts w:eastAsia="Verdana" w:cs="Verdana"/>
          <w:szCs w:val="18"/>
          <w:lang w:val="nl-NL"/>
        </w:rPr>
        <w:t xml:space="preserve">, nr. </w:t>
      </w:r>
      <w:r w:rsidR="000A45CE" w:rsidRPr="00A33930">
        <w:rPr>
          <w:rFonts w:eastAsia="Verdana" w:cs="Verdana"/>
          <w:szCs w:val="18"/>
          <w:lang w:val="nl-NL"/>
        </w:rPr>
        <w:t>30 en nr. 41</w:t>
      </w:r>
      <w:r w:rsidR="0084166C" w:rsidRPr="00A33930">
        <w:rPr>
          <w:rFonts w:eastAsia="Verdana" w:cs="Verdana"/>
          <w:szCs w:val="18"/>
          <w:lang w:val="nl-NL"/>
        </w:rPr>
        <w:t>).</w:t>
      </w:r>
    </w:p>
    <w:p w14:paraId="3E3503E3" w14:textId="77777777" w:rsidR="00D433C1" w:rsidRPr="00A33930" w:rsidRDefault="00D433C1" w:rsidP="00D433C1">
      <w:pPr>
        <w:pStyle w:val="Lijstalinea"/>
        <w:spacing w:before="200" w:after="0"/>
        <w:ind w:left="0"/>
        <w:jc w:val="both"/>
        <w:rPr>
          <w:rFonts w:eastAsia="Verdana" w:cs="Verdana"/>
          <w:szCs w:val="18"/>
          <w:lang w:val="nl-NL"/>
        </w:rPr>
      </w:pPr>
    </w:p>
    <w:p w14:paraId="1993CE3D" w14:textId="183F9DFF" w:rsidR="00C55F15" w:rsidRPr="00A33930" w:rsidRDefault="00D433C1" w:rsidP="00D433C1">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Naar Europees recht wordt niet expliciet voorzien in een recht op persoonlijk contact van het kind. Dit recht valt onder de ruime noemer van </w:t>
      </w:r>
      <w:r w:rsidR="006A14DD" w:rsidRPr="00A33930">
        <w:rPr>
          <w:rFonts w:eastAsia="Verdana" w:cs="Verdana"/>
          <w:szCs w:val="18"/>
          <w:lang w:val="nl-NL"/>
        </w:rPr>
        <w:t xml:space="preserve">het recht op eerbiediging van het privé-, familie- en gezinsleven in </w:t>
      </w:r>
      <w:r w:rsidRPr="00A33930">
        <w:rPr>
          <w:rFonts w:eastAsia="Verdana" w:cs="Verdana"/>
          <w:szCs w:val="18"/>
          <w:lang w:val="nl-NL"/>
        </w:rPr>
        <w:t xml:space="preserve">artikel 8 EVRM en </w:t>
      </w:r>
      <w:r w:rsidR="000A45CE" w:rsidRPr="00A33930">
        <w:rPr>
          <w:rFonts w:eastAsia="Verdana" w:cs="Verdana"/>
          <w:szCs w:val="18"/>
          <w:lang w:val="nl-NL"/>
        </w:rPr>
        <w:t>de</w:t>
      </w:r>
      <w:r w:rsidRPr="00A33930">
        <w:rPr>
          <w:rFonts w:eastAsia="Verdana" w:cs="Verdana"/>
          <w:szCs w:val="18"/>
          <w:lang w:val="nl-NL"/>
        </w:rPr>
        <w:t xml:space="preserve"> beoordeling </w:t>
      </w:r>
      <w:r w:rsidR="000A45CE" w:rsidRPr="00A33930">
        <w:rPr>
          <w:rFonts w:eastAsia="Verdana" w:cs="Verdana"/>
          <w:szCs w:val="18"/>
          <w:lang w:val="nl-NL"/>
        </w:rPr>
        <w:t xml:space="preserve">hiervan </w:t>
      </w:r>
      <w:r w:rsidRPr="00A33930">
        <w:rPr>
          <w:rFonts w:eastAsia="Verdana" w:cs="Verdana"/>
          <w:szCs w:val="18"/>
          <w:lang w:val="nl-NL"/>
        </w:rPr>
        <w:t xml:space="preserve">door het EHRM. Het EHRM erkent het recht op persoonlijk contact als zijnde een recht van het kind door </w:t>
      </w:r>
      <w:r w:rsidR="000A45CE" w:rsidRPr="00A33930">
        <w:rPr>
          <w:rFonts w:eastAsia="Verdana" w:cs="Verdana"/>
          <w:szCs w:val="18"/>
          <w:lang w:val="nl-NL"/>
        </w:rPr>
        <w:t>zijn beoordeling</w:t>
      </w:r>
      <w:r w:rsidRPr="00A33930">
        <w:rPr>
          <w:rFonts w:eastAsia="Verdana" w:cs="Verdana"/>
          <w:szCs w:val="18"/>
          <w:lang w:val="nl-NL"/>
        </w:rPr>
        <w:t xml:space="preserve"> in het licht van “the mutual enjoyment of each other’s company” en zijn invulling van de notie “family life” (</w:t>
      </w:r>
      <w:r w:rsidRPr="00A33930">
        <w:rPr>
          <w:rFonts w:eastAsia="Verdana" w:cs="Verdana"/>
          <w:i/>
          <w:iCs/>
          <w:szCs w:val="18"/>
          <w:lang w:val="nl-NL"/>
        </w:rPr>
        <w:t>supra</w:t>
      </w:r>
      <w:r w:rsidRPr="00A33930">
        <w:rPr>
          <w:rFonts w:eastAsia="Verdana" w:cs="Verdana"/>
          <w:szCs w:val="18"/>
          <w:lang w:val="nl-NL"/>
        </w:rPr>
        <w:t xml:space="preserve">, nr. </w:t>
      </w:r>
      <w:r w:rsidR="000A45CE" w:rsidRPr="00A33930">
        <w:rPr>
          <w:rFonts w:eastAsia="Verdana" w:cs="Verdana"/>
          <w:szCs w:val="18"/>
          <w:lang w:val="nl-NL"/>
        </w:rPr>
        <w:t>56</w:t>
      </w:r>
      <w:r w:rsidRPr="00A33930">
        <w:rPr>
          <w:rFonts w:eastAsia="Verdana" w:cs="Verdana"/>
          <w:szCs w:val="18"/>
          <w:lang w:val="nl-NL"/>
        </w:rPr>
        <w:t>). In zijn beoordeling houdt het Hof rekening met het belang van het kind (</w:t>
      </w:r>
      <w:r w:rsidRPr="00A33930">
        <w:rPr>
          <w:rFonts w:eastAsia="Verdana" w:cs="Verdana"/>
          <w:i/>
          <w:iCs/>
          <w:szCs w:val="18"/>
          <w:lang w:val="nl-NL"/>
        </w:rPr>
        <w:t>supra</w:t>
      </w:r>
      <w:r w:rsidRPr="00A33930">
        <w:rPr>
          <w:rFonts w:eastAsia="Verdana" w:cs="Verdana"/>
          <w:szCs w:val="18"/>
          <w:lang w:val="nl-NL"/>
        </w:rPr>
        <w:t xml:space="preserve">, nr. </w:t>
      </w:r>
      <w:r w:rsidR="000A45CE" w:rsidRPr="00A33930">
        <w:rPr>
          <w:rFonts w:eastAsia="Verdana" w:cs="Verdana"/>
          <w:szCs w:val="18"/>
          <w:lang w:val="nl-NL"/>
        </w:rPr>
        <w:t>5</w:t>
      </w:r>
      <w:r w:rsidR="00B35298" w:rsidRPr="00A33930">
        <w:rPr>
          <w:rFonts w:eastAsia="Verdana" w:cs="Verdana"/>
          <w:szCs w:val="18"/>
          <w:lang w:val="nl-NL"/>
        </w:rPr>
        <w:t>2</w:t>
      </w:r>
      <w:r w:rsidRPr="00A33930">
        <w:rPr>
          <w:rFonts w:eastAsia="Verdana" w:cs="Verdana"/>
          <w:szCs w:val="18"/>
          <w:lang w:val="nl-NL"/>
        </w:rPr>
        <w:t>). Artikel 8</w:t>
      </w:r>
      <w:r w:rsidR="006B40A1" w:rsidRPr="00A33930">
        <w:rPr>
          <w:rFonts w:eastAsia="Verdana" w:cs="Verdana"/>
          <w:szCs w:val="18"/>
          <w:lang w:val="nl-NL"/>
        </w:rPr>
        <w:t>.1</w:t>
      </w:r>
      <w:r w:rsidRPr="00A33930">
        <w:rPr>
          <w:rFonts w:eastAsia="Verdana" w:cs="Verdana"/>
          <w:szCs w:val="18"/>
          <w:lang w:val="nl-NL"/>
        </w:rPr>
        <w:t xml:space="preserve"> EVRM beschermt op Europees niveau het omgangs</w:t>
      </w:r>
      <w:r w:rsidRPr="00A33930">
        <w:rPr>
          <w:rFonts w:eastAsia="Verdana" w:cs="Verdana"/>
          <w:i/>
          <w:iCs/>
          <w:szCs w:val="18"/>
          <w:lang w:val="nl-NL"/>
        </w:rPr>
        <w:t>recht</w:t>
      </w:r>
      <w:r w:rsidRPr="00A33930">
        <w:rPr>
          <w:rFonts w:eastAsia="Verdana" w:cs="Verdana"/>
          <w:szCs w:val="18"/>
          <w:lang w:val="nl-NL"/>
        </w:rPr>
        <w:t>, maar heeft voornamelijk betrekking op de positieve verplichting voor lidstaten: het gezinsleven mogelijk maken (</w:t>
      </w:r>
      <w:r w:rsidRPr="00A33930">
        <w:rPr>
          <w:rFonts w:eastAsia="Verdana" w:cs="Verdana"/>
          <w:i/>
          <w:iCs/>
          <w:szCs w:val="18"/>
          <w:lang w:val="nl-NL"/>
        </w:rPr>
        <w:t>supra</w:t>
      </w:r>
      <w:r w:rsidRPr="00A33930">
        <w:rPr>
          <w:rFonts w:eastAsia="Verdana" w:cs="Verdana"/>
          <w:szCs w:val="18"/>
          <w:lang w:val="nl-NL"/>
        </w:rPr>
        <w:t xml:space="preserve">, nr. </w:t>
      </w:r>
      <w:r w:rsidR="000A45CE" w:rsidRPr="00A33930">
        <w:rPr>
          <w:rFonts w:eastAsia="Verdana" w:cs="Verdana"/>
          <w:szCs w:val="18"/>
          <w:lang w:val="nl-NL"/>
        </w:rPr>
        <w:t>56</w:t>
      </w:r>
      <w:r w:rsidRPr="00A33930">
        <w:rPr>
          <w:rFonts w:eastAsia="Verdana" w:cs="Verdana"/>
          <w:szCs w:val="18"/>
          <w:lang w:val="nl-NL"/>
        </w:rPr>
        <w:t xml:space="preserve">). Ondanks </w:t>
      </w:r>
      <w:r w:rsidR="00B35298" w:rsidRPr="00A33930">
        <w:rPr>
          <w:rFonts w:eastAsia="Verdana" w:cs="Verdana"/>
          <w:szCs w:val="18"/>
          <w:lang w:val="nl-NL"/>
        </w:rPr>
        <w:t>de erkenning van het kind als rechtssubject</w:t>
      </w:r>
      <w:r w:rsidRPr="00A33930">
        <w:rPr>
          <w:rFonts w:eastAsia="Verdana" w:cs="Verdana"/>
          <w:szCs w:val="18"/>
          <w:lang w:val="nl-NL"/>
        </w:rPr>
        <w:t xml:space="preserve"> op Europees niveau</w:t>
      </w:r>
      <w:r w:rsidR="00A337BB" w:rsidRPr="00A33930">
        <w:rPr>
          <w:rFonts w:eastAsia="Verdana" w:cs="Verdana"/>
          <w:szCs w:val="18"/>
          <w:lang w:val="nl-NL"/>
        </w:rPr>
        <w:t>,</w:t>
      </w:r>
      <w:r w:rsidRPr="00A33930">
        <w:rPr>
          <w:rFonts w:eastAsia="Verdana" w:cs="Verdana"/>
          <w:szCs w:val="18"/>
          <w:lang w:val="nl-NL"/>
        </w:rPr>
        <w:t xml:space="preserve"> blijft een echte omgangs</w:t>
      </w:r>
      <w:r w:rsidRPr="00A33930">
        <w:rPr>
          <w:rFonts w:eastAsia="Verdana" w:cs="Verdana"/>
          <w:i/>
          <w:iCs/>
          <w:szCs w:val="18"/>
          <w:lang w:val="nl-NL"/>
        </w:rPr>
        <w:t xml:space="preserve">plicht </w:t>
      </w:r>
      <w:r w:rsidR="00A337BB" w:rsidRPr="00A33930">
        <w:rPr>
          <w:rFonts w:eastAsia="Verdana" w:cs="Verdana"/>
          <w:szCs w:val="18"/>
          <w:lang w:val="nl-NL"/>
        </w:rPr>
        <w:t xml:space="preserve">ten </w:t>
      </w:r>
      <w:r w:rsidR="00B35298" w:rsidRPr="00A33930">
        <w:rPr>
          <w:rFonts w:eastAsia="Verdana" w:cs="Verdana"/>
          <w:szCs w:val="18"/>
          <w:lang w:val="nl-NL"/>
        </w:rPr>
        <w:t>aanzien</w:t>
      </w:r>
      <w:r w:rsidR="00A337BB" w:rsidRPr="00A33930">
        <w:rPr>
          <w:rFonts w:eastAsia="Verdana" w:cs="Verdana"/>
          <w:szCs w:val="18"/>
          <w:lang w:val="nl-NL"/>
        </w:rPr>
        <w:t xml:space="preserve"> van het kind </w:t>
      </w:r>
      <w:r w:rsidRPr="00A33930">
        <w:rPr>
          <w:rFonts w:eastAsia="Verdana" w:cs="Verdana"/>
          <w:szCs w:val="18"/>
          <w:lang w:val="nl-NL"/>
        </w:rPr>
        <w:t>achterwege.</w:t>
      </w:r>
      <w:r w:rsidR="00106ECA" w:rsidRPr="00A33930">
        <w:rPr>
          <w:rFonts w:eastAsia="Verdana" w:cs="Verdana"/>
          <w:szCs w:val="18"/>
          <w:lang w:val="nl-NL"/>
        </w:rPr>
        <w:t xml:space="preserve"> Wanneer aan het kind het recht op persoonlijk contact wordt toegekend, mag dit namelijk niet </w:t>
      </w:r>
      <w:r w:rsidR="006B40A1" w:rsidRPr="00A33930">
        <w:rPr>
          <w:rFonts w:eastAsia="Verdana" w:cs="Verdana"/>
          <w:szCs w:val="18"/>
          <w:lang w:val="nl-NL"/>
        </w:rPr>
        <w:t xml:space="preserve">raken aan </w:t>
      </w:r>
      <w:r w:rsidR="00106ECA" w:rsidRPr="00A33930">
        <w:rPr>
          <w:rFonts w:eastAsia="Verdana" w:cs="Verdana"/>
          <w:szCs w:val="18"/>
          <w:lang w:val="nl-NL"/>
        </w:rPr>
        <w:t>de persoonlijke rechten en vrijheden van de (groot)ouder(s)</w:t>
      </w:r>
      <w:r w:rsidR="00303F74" w:rsidRPr="00A33930">
        <w:rPr>
          <w:rFonts w:eastAsia="Verdana" w:cs="Verdana"/>
          <w:szCs w:val="18"/>
          <w:lang w:val="nl-NL"/>
        </w:rPr>
        <w:t xml:space="preserve"> of derden</w:t>
      </w:r>
      <w:r w:rsidR="006A14DD" w:rsidRPr="00A33930">
        <w:rPr>
          <w:rFonts w:eastAsia="Verdana" w:cs="Verdana"/>
          <w:szCs w:val="18"/>
          <w:lang w:val="nl-NL"/>
        </w:rPr>
        <w:t xml:space="preserve"> (</w:t>
      </w:r>
      <w:r w:rsidR="006A14DD" w:rsidRPr="00A33930">
        <w:rPr>
          <w:rFonts w:eastAsia="Verdana" w:cs="Verdana"/>
          <w:i/>
          <w:iCs/>
          <w:szCs w:val="18"/>
          <w:lang w:val="nl-NL"/>
        </w:rPr>
        <w:t>supra</w:t>
      </w:r>
      <w:r w:rsidR="006A14DD" w:rsidRPr="00A33930">
        <w:rPr>
          <w:rFonts w:eastAsia="Verdana" w:cs="Verdana"/>
          <w:szCs w:val="18"/>
          <w:lang w:val="nl-NL"/>
        </w:rPr>
        <w:t xml:space="preserve">, nr. </w:t>
      </w:r>
      <w:r w:rsidR="00303F74" w:rsidRPr="00A33930">
        <w:rPr>
          <w:rFonts w:eastAsia="Verdana" w:cs="Verdana"/>
          <w:szCs w:val="18"/>
          <w:lang w:val="nl-NL"/>
        </w:rPr>
        <w:t>55-56</w:t>
      </w:r>
      <w:r w:rsidR="006A14DD" w:rsidRPr="00A33930">
        <w:rPr>
          <w:rFonts w:eastAsia="Verdana" w:cs="Verdana"/>
          <w:szCs w:val="18"/>
          <w:lang w:val="nl-NL"/>
        </w:rPr>
        <w:t>).</w:t>
      </w:r>
    </w:p>
    <w:p w14:paraId="3D69D11B" w14:textId="77777777" w:rsidR="00D433C1" w:rsidRPr="00A33930" w:rsidRDefault="00D433C1" w:rsidP="00D433C1">
      <w:pPr>
        <w:pStyle w:val="Lijstalinea"/>
        <w:spacing w:before="200" w:after="0"/>
        <w:ind w:left="0"/>
        <w:jc w:val="both"/>
        <w:rPr>
          <w:rFonts w:eastAsia="Verdana" w:cs="Verdana"/>
          <w:szCs w:val="18"/>
          <w:lang w:val="nl-NL"/>
        </w:rPr>
      </w:pPr>
    </w:p>
    <w:p w14:paraId="02782137" w14:textId="67CDE550" w:rsidR="00C55F15" w:rsidRPr="00A33930" w:rsidRDefault="00C55F15" w:rsidP="00C55F15">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Concluderend wordt gesteld dat zowel het IVRK</w:t>
      </w:r>
      <w:r w:rsidR="006B40A1" w:rsidRPr="00A33930">
        <w:rPr>
          <w:rFonts w:eastAsia="Verdana" w:cs="Verdana"/>
          <w:szCs w:val="18"/>
          <w:lang w:val="nl-NL"/>
        </w:rPr>
        <w:t xml:space="preserve"> als </w:t>
      </w:r>
      <w:r w:rsidRPr="00A33930">
        <w:rPr>
          <w:rFonts w:eastAsia="Verdana" w:cs="Verdana"/>
          <w:szCs w:val="18"/>
          <w:lang w:val="nl-NL"/>
        </w:rPr>
        <w:t>het EVRM</w:t>
      </w:r>
      <w:r w:rsidR="006A14DD" w:rsidRPr="00A33930">
        <w:rPr>
          <w:rFonts w:eastAsia="Verdana" w:cs="Verdana"/>
          <w:szCs w:val="18"/>
          <w:lang w:val="nl-NL"/>
        </w:rPr>
        <w:t xml:space="preserve"> </w:t>
      </w:r>
      <w:r w:rsidRPr="00A33930">
        <w:rPr>
          <w:rFonts w:eastAsia="Verdana" w:cs="Verdana"/>
          <w:szCs w:val="18"/>
          <w:lang w:val="nl-NL"/>
        </w:rPr>
        <w:t xml:space="preserve">het kind beschouwen als rechtssubject, als drager van eigen rechten en dus als titularis van een eigen recht op persoonlijk contact. Op mensenrechtelijk niveau wordt voorzien in een recht op persoonlijk contact van het kind, met centraal de beoordeling van </w:t>
      </w:r>
      <w:r w:rsidR="006A14DD" w:rsidRPr="00A33930">
        <w:rPr>
          <w:rFonts w:eastAsia="Verdana" w:cs="Verdana"/>
          <w:szCs w:val="18"/>
          <w:lang w:val="nl-NL"/>
        </w:rPr>
        <w:t>zijn belangen</w:t>
      </w:r>
      <w:r w:rsidRPr="00A33930">
        <w:rPr>
          <w:rFonts w:eastAsia="Verdana" w:cs="Verdana"/>
          <w:szCs w:val="18"/>
          <w:lang w:val="nl-NL"/>
        </w:rPr>
        <w:t>.</w:t>
      </w:r>
      <w:r w:rsidR="00D433C1" w:rsidRPr="00A33930">
        <w:rPr>
          <w:rFonts w:eastAsia="Verdana" w:cs="Verdana"/>
          <w:szCs w:val="18"/>
          <w:lang w:val="nl-NL"/>
        </w:rPr>
        <w:t xml:space="preserve"> Dit recht op persoonlijk contact van het kind zou </w:t>
      </w:r>
      <w:r w:rsidR="007E771A" w:rsidRPr="00A33930">
        <w:rPr>
          <w:rFonts w:eastAsia="Verdana" w:cs="Verdana"/>
          <w:szCs w:val="18"/>
          <w:lang w:val="nl-NL"/>
        </w:rPr>
        <w:t xml:space="preserve">overeenkomstig artikel 9.3 IVRK en artikel 8.1 EVRM </w:t>
      </w:r>
      <w:r w:rsidR="00D433C1" w:rsidRPr="00A33930">
        <w:rPr>
          <w:rFonts w:eastAsia="Verdana" w:cs="Verdana"/>
          <w:szCs w:val="18"/>
          <w:lang w:val="nl-NL"/>
        </w:rPr>
        <w:t>gegarandeerd en ingeschreven moeten worden in het Belgisch</w:t>
      </w:r>
      <w:r w:rsidR="007E771A" w:rsidRPr="00A33930">
        <w:rPr>
          <w:rFonts w:eastAsia="Verdana" w:cs="Verdana"/>
          <w:szCs w:val="18"/>
          <w:lang w:val="nl-NL"/>
        </w:rPr>
        <w:t xml:space="preserve"> </w:t>
      </w:r>
      <w:r w:rsidR="00D433C1" w:rsidRPr="00A33930">
        <w:rPr>
          <w:rFonts w:eastAsia="Verdana" w:cs="Verdana"/>
          <w:szCs w:val="18"/>
          <w:lang w:val="nl-NL"/>
        </w:rPr>
        <w:t>recht</w:t>
      </w:r>
      <w:r w:rsidR="007E771A" w:rsidRPr="00A33930">
        <w:rPr>
          <w:rFonts w:eastAsia="Verdana" w:cs="Verdana"/>
          <w:szCs w:val="18"/>
          <w:lang w:val="nl-NL"/>
        </w:rPr>
        <w:t>.</w:t>
      </w:r>
    </w:p>
    <w:p w14:paraId="7472D04A" w14:textId="633C77C2" w:rsidR="00DF4D5B" w:rsidRPr="00A33930" w:rsidRDefault="00DF4D5B" w:rsidP="00B5728A">
      <w:pPr>
        <w:spacing w:after="160" w:line="259" w:lineRule="auto"/>
        <w:rPr>
          <w:rFonts w:eastAsiaTheme="majorEastAsia" w:cstheme="majorBidi"/>
          <w:b/>
          <w:sz w:val="20"/>
          <w:szCs w:val="28"/>
          <w:lang w:val="nl-NL" w:eastAsia="en-US"/>
        </w:rPr>
      </w:pPr>
      <w:r w:rsidRPr="00A33930">
        <w:rPr>
          <w:lang w:val="nl-NL"/>
        </w:rPr>
        <w:br w:type="page"/>
      </w:r>
    </w:p>
    <w:p w14:paraId="6325EAF2" w14:textId="77777777" w:rsidR="008329A0" w:rsidRPr="00A33930" w:rsidRDefault="008329A0">
      <w:pPr>
        <w:spacing w:after="160" w:line="259" w:lineRule="auto"/>
        <w:rPr>
          <w:rFonts w:eastAsiaTheme="majorEastAsia" w:cstheme="majorBidi"/>
          <w:b/>
          <w:sz w:val="22"/>
          <w:szCs w:val="22"/>
          <w:lang w:val="nl-NL" w:eastAsia="en-US"/>
        </w:rPr>
      </w:pPr>
      <w:r w:rsidRPr="00A33930">
        <w:rPr>
          <w:sz w:val="22"/>
          <w:szCs w:val="22"/>
          <w:lang w:val="nl-NL"/>
        </w:rPr>
        <w:lastRenderedPageBreak/>
        <w:br w:type="page"/>
      </w:r>
    </w:p>
    <w:p w14:paraId="1AB7F2C2" w14:textId="283DBA6F" w:rsidR="0025702F" w:rsidRPr="00A33930" w:rsidRDefault="004D631D" w:rsidP="00D83DA7">
      <w:pPr>
        <w:pStyle w:val="Kop1"/>
        <w:jc w:val="both"/>
        <w:rPr>
          <w:sz w:val="22"/>
          <w:szCs w:val="22"/>
          <w:lang w:val="nl-NL"/>
        </w:rPr>
      </w:pPr>
      <w:bookmarkStart w:id="22" w:name="_Toc134621181"/>
      <w:r w:rsidRPr="00A33930">
        <w:rPr>
          <w:sz w:val="22"/>
          <w:szCs w:val="22"/>
          <w:lang w:val="nl-NL"/>
        </w:rPr>
        <w:lastRenderedPageBreak/>
        <w:t>DEEL</w:t>
      </w:r>
      <w:r w:rsidR="0025702F" w:rsidRPr="00A33930">
        <w:rPr>
          <w:sz w:val="22"/>
          <w:szCs w:val="22"/>
          <w:lang w:val="nl-NL"/>
        </w:rPr>
        <w:t xml:space="preserve"> II.</w:t>
      </w:r>
      <w:r w:rsidR="008079DF" w:rsidRPr="00A33930">
        <w:rPr>
          <w:sz w:val="22"/>
          <w:szCs w:val="22"/>
          <w:lang w:val="nl-NL"/>
        </w:rPr>
        <w:tab/>
      </w:r>
      <w:r w:rsidRPr="00A33930">
        <w:rPr>
          <w:sz w:val="22"/>
          <w:szCs w:val="22"/>
          <w:lang w:val="nl-NL"/>
        </w:rPr>
        <w:t>HET RECHT OP PERSOONLIJK CONTACT VAN HET KIND IN BELGIË</w:t>
      </w:r>
      <w:r w:rsidR="003B5486" w:rsidRPr="00A33930">
        <w:rPr>
          <w:sz w:val="22"/>
          <w:szCs w:val="22"/>
          <w:lang w:val="nl-NL"/>
        </w:rPr>
        <w:t xml:space="preserve"> – DE LEGE LATA</w:t>
      </w:r>
      <w:bookmarkEnd w:id="22"/>
    </w:p>
    <w:p w14:paraId="17FD9A9E" w14:textId="11FB8E94" w:rsidR="005C381F" w:rsidRPr="00A33930" w:rsidRDefault="00EA6499" w:rsidP="00B625EE">
      <w:pPr>
        <w:pStyle w:val="Lijstalinea"/>
        <w:numPr>
          <w:ilvl w:val="0"/>
          <w:numId w:val="4"/>
        </w:numPr>
        <w:spacing w:before="200" w:after="0"/>
        <w:ind w:left="0" w:firstLine="0"/>
        <w:jc w:val="both"/>
        <w:rPr>
          <w:rFonts w:eastAsia="Verdana" w:cs="Verdana"/>
          <w:b/>
          <w:bCs/>
          <w:szCs w:val="18"/>
          <w:lang w:val="nl-NL"/>
        </w:rPr>
      </w:pPr>
      <w:r w:rsidRPr="00A33930">
        <w:rPr>
          <w:rFonts w:eastAsia="Verdana" w:cs="Verdana"/>
          <w:szCs w:val="18"/>
          <w:lang w:val="nl-NL"/>
        </w:rPr>
        <w:t xml:space="preserve">In dit tweede deel wordt een antwoord gezocht op </w:t>
      </w:r>
      <w:r w:rsidR="00C5081E" w:rsidRPr="00A33930">
        <w:rPr>
          <w:rFonts w:eastAsia="Verdana" w:cs="Verdana"/>
          <w:szCs w:val="18"/>
          <w:lang w:val="nl-NL"/>
        </w:rPr>
        <w:t>drie</w:t>
      </w:r>
      <w:r w:rsidRPr="00A33930">
        <w:rPr>
          <w:rFonts w:eastAsia="Verdana" w:cs="Verdana"/>
          <w:szCs w:val="18"/>
          <w:lang w:val="nl-NL"/>
        </w:rPr>
        <w:t xml:space="preserve"> subonderzoeksvragen. Om te beginnen w</w:t>
      </w:r>
      <w:r w:rsidR="0012420A" w:rsidRPr="00A33930">
        <w:rPr>
          <w:rFonts w:eastAsia="Verdana" w:cs="Verdana"/>
          <w:szCs w:val="18"/>
          <w:lang w:val="nl-NL"/>
        </w:rPr>
        <w:t>ordt</w:t>
      </w:r>
      <w:r w:rsidRPr="00A33930">
        <w:rPr>
          <w:rFonts w:eastAsia="Verdana" w:cs="Verdana"/>
          <w:szCs w:val="18"/>
          <w:lang w:val="nl-NL"/>
        </w:rPr>
        <w:t xml:space="preserve"> </w:t>
      </w:r>
      <w:r w:rsidR="00C5081E" w:rsidRPr="00A33930">
        <w:rPr>
          <w:rFonts w:eastAsia="Verdana" w:cs="Verdana"/>
          <w:szCs w:val="18"/>
          <w:lang w:val="nl-NL"/>
        </w:rPr>
        <w:t xml:space="preserve">in </w:t>
      </w:r>
      <w:r w:rsidR="008970EA" w:rsidRPr="00A33930">
        <w:rPr>
          <w:rFonts w:eastAsia="Verdana" w:cs="Verdana"/>
          <w:szCs w:val="18"/>
          <w:lang w:val="nl-NL"/>
        </w:rPr>
        <w:t>het</w:t>
      </w:r>
      <w:r w:rsidR="00C5081E" w:rsidRPr="00A33930">
        <w:rPr>
          <w:rFonts w:eastAsia="Verdana" w:cs="Verdana"/>
          <w:szCs w:val="18"/>
          <w:lang w:val="nl-NL"/>
        </w:rPr>
        <w:t xml:space="preserve"> eerste hoofdstuk </w:t>
      </w:r>
      <w:r w:rsidRPr="00A33930">
        <w:rPr>
          <w:rFonts w:eastAsia="Verdana" w:cs="Verdana"/>
          <w:szCs w:val="18"/>
          <w:lang w:val="nl-NL"/>
        </w:rPr>
        <w:t xml:space="preserve">nagegaan of de Belgische wetgever een verschillend kindperspectief hanteert dan op mensenrechtelijk </w:t>
      </w:r>
      <w:r w:rsidR="009C0EAA" w:rsidRPr="00A33930">
        <w:rPr>
          <w:rFonts w:eastAsia="Verdana" w:cs="Verdana"/>
          <w:szCs w:val="18"/>
          <w:lang w:val="nl-NL"/>
        </w:rPr>
        <w:t>niveau</w:t>
      </w:r>
      <w:r w:rsidR="00306151" w:rsidRPr="00A33930">
        <w:rPr>
          <w:rFonts w:eastAsia="Verdana" w:cs="Verdana"/>
          <w:szCs w:val="18"/>
          <w:lang w:val="nl-NL"/>
        </w:rPr>
        <w:t>.</w:t>
      </w:r>
      <w:r w:rsidRPr="00A33930">
        <w:rPr>
          <w:rFonts w:eastAsia="Verdana" w:cs="Verdana"/>
          <w:szCs w:val="18"/>
          <w:lang w:val="nl-NL"/>
        </w:rPr>
        <w:t xml:space="preserve"> </w:t>
      </w:r>
      <w:r w:rsidR="00306151" w:rsidRPr="00A33930">
        <w:rPr>
          <w:rFonts w:eastAsia="Verdana" w:cs="Verdana"/>
          <w:szCs w:val="18"/>
          <w:lang w:val="nl-NL"/>
        </w:rPr>
        <w:t>Indien dit inderdaad een verschillend kindperspectief betreft, wordt tevens</w:t>
      </w:r>
      <w:r w:rsidRPr="00A33930">
        <w:rPr>
          <w:rFonts w:eastAsia="Verdana" w:cs="Verdana"/>
          <w:szCs w:val="18"/>
          <w:lang w:val="nl-NL"/>
        </w:rPr>
        <w:t xml:space="preserve"> </w:t>
      </w:r>
      <w:r w:rsidR="00306151" w:rsidRPr="00A33930">
        <w:rPr>
          <w:rFonts w:eastAsia="Verdana" w:cs="Verdana"/>
          <w:szCs w:val="18"/>
          <w:lang w:val="nl-NL"/>
        </w:rPr>
        <w:t>nagegaan hoe dit kan</w:t>
      </w:r>
      <w:r w:rsidRPr="00A33930">
        <w:rPr>
          <w:rFonts w:eastAsia="Verdana" w:cs="Verdana"/>
          <w:szCs w:val="18"/>
          <w:lang w:val="nl-NL"/>
        </w:rPr>
        <w:t xml:space="preserve"> worden verklaard. Vervolgens wordt </w:t>
      </w:r>
      <w:r w:rsidR="00C5081E" w:rsidRPr="00A33930">
        <w:rPr>
          <w:rFonts w:eastAsia="Verdana" w:cs="Verdana"/>
          <w:szCs w:val="18"/>
          <w:lang w:val="nl-NL"/>
        </w:rPr>
        <w:t xml:space="preserve">in het tweede hoofdstuk </w:t>
      </w:r>
      <w:r w:rsidRPr="00A33930">
        <w:rPr>
          <w:rFonts w:eastAsia="Verdana" w:cs="Verdana"/>
          <w:szCs w:val="18"/>
          <w:lang w:val="nl-NL"/>
        </w:rPr>
        <w:t>geanalyseerd of in het Belgisch recht wordt voorzien in een recht op persoonlijk contact van het kind en hoe dit zich uit in de wet</w:t>
      </w:r>
      <w:r w:rsidR="00ED6F59" w:rsidRPr="00A33930">
        <w:rPr>
          <w:rFonts w:eastAsia="Verdana" w:cs="Verdana"/>
          <w:szCs w:val="18"/>
          <w:lang w:val="nl-NL"/>
        </w:rPr>
        <w:t xml:space="preserve">, in </w:t>
      </w:r>
      <w:r w:rsidRPr="00A33930">
        <w:rPr>
          <w:rFonts w:eastAsia="Verdana" w:cs="Verdana"/>
          <w:szCs w:val="18"/>
          <w:lang w:val="nl-NL"/>
        </w:rPr>
        <w:t xml:space="preserve">de praktijk en </w:t>
      </w:r>
      <w:r w:rsidR="009C0EAA" w:rsidRPr="00A33930">
        <w:rPr>
          <w:rFonts w:eastAsia="Verdana" w:cs="Verdana"/>
          <w:szCs w:val="18"/>
          <w:lang w:val="nl-NL"/>
        </w:rPr>
        <w:t>hoe het zit met</w:t>
      </w:r>
      <w:r w:rsidRPr="00A33930">
        <w:rPr>
          <w:rFonts w:eastAsia="Verdana" w:cs="Verdana"/>
          <w:szCs w:val="18"/>
          <w:lang w:val="nl-NL"/>
        </w:rPr>
        <w:t xml:space="preserve"> de afdwingbaarheid van dit </w:t>
      </w:r>
      <w:r w:rsidR="00310DD8" w:rsidRPr="00A33930">
        <w:rPr>
          <w:rFonts w:eastAsia="Verdana" w:cs="Verdana"/>
          <w:szCs w:val="18"/>
          <w:lang w:val="nl-NL"/>
        </w:rPr>
        <w:t xml:space="preserve">“eigen” </w:t>
      </w:r>
      <w:r w:rsidRPr="00A33930">
        <w:rPr>
          <w:rFonts w:eastAsia="Verdana" w:cs="Verdana"/>
          <w:szCs w:val="18"/>
          <w:lang w:val="nl-NL"/>
        </w:rPr>
        <w:t>recht.</w:t>
      </w:r>
      <w:r w:rsidR="00C5081E" w:rsidRPr="00A33930">
        <w:rPr>
          <w:rFonts w:eastAsia="Verdana" w:cs="Verdana"/>
          <w:szCs w:val="18"/>
          <w:lang w:val="nl-NL"/>
        </w:rPr>
        <w:t xml:space="preserve"> Tot slot </w:t>
      </w:r>
      <w:r w:rsidR="009C0EAA" w:rsidRPr="00A33930">
        <w:rPr>
          <w:rFonts w:eastAsia="Verdana" w:cs="Verdana"/>
          <w:szCs w:val="18"/>
          <w:lang w:val="nl-NL"/>
        </w:rPr>
        <w:t xml:space="preserve">evalueert </w:t>
      </w:r>
      <w:r w:rsidR="00C5081E" w:rsidRPr="00A33930">
        <w:rPr>
          <w:rFonts w:eastAsia="Verdana" w:cs="Verdana"/>
          <w:szCs w:val="18"/>
          <w:lang w:val="nl-NL"/>
        </w:rPr>
        <w:t xml:space="preserve">het derde hoofdstuk de overeenstemming van het Belgisch recht op persoonlijk contact </w:t>
      </w:r>
      <w:r w:rsidR="009C0EAA" w:rsidRPr="00A33930">
        <w:rPr>
          <w:rFonts w:eastAsia="Verdana" w:cs="Verdana"/>
          <w:szCs w:val="18"/>
          <w:lang w:val="nl-NL"/>
        </w:rPr>
        <w:t>met</w:t>
      </w:r>
      <w:r w:rsidR="00C5081E" w:rsidRPr="00A33930">
        <w:rPr>
          <w:rFonts w:eastAsia="Verdana" w:cs="Verdana"/>
          <w:szCs w:val="18"/>
          <w:lang w:val="nl-NL"/>
        </w:rPr>
        <w:t xml:space="preserve"> de mensenrechtelijke verplichtingen</w:t>
      </w:r>
      <w:r w:rsidR="001370CC" w:rsidRPr="00A33930">
        <w:rPr>
          <w:rFonts w:eastAsia="Verdana" w:cs="Verdana"/>
          <w:szCs w:val="18"/>
          <w:lang w:val="nl-NL"/>
        </w:rPr>
        <w:t xml:space="preserve"> </w:t>
      </w:r>
      <w:r w:rsidR="008970EA" w:rsidRPr="00A33930">
        <w:rPr>
          <w:rFonts w:eastAsia="Verdana" w:cs="Verdana"/>
          <w:szCs w:val="18"/>
          <w:lang w:val="nl-NL"/>
        </w:rPr>
        <w:t>uit</w:t>
      </w:r>
      <w:r w:rsidR="001370CC" w:rsidRPr="00A33930">
        <w:rPr>
          <w:rFonts w:eastAsia="Verdana" w:cs="Verdana"/>
          <w:szCs w:val="18"/>
          <w:lang w:val="nl-NL"/>
        </w:rPr>
        <w:t xml:space="preserve"> het eerste deel</w:t>
      </w:r>
      <w:r w:rsidR="008970EA" w:rsidRPr="00A33930">
        <w:rPr>
          <w:rFonts w:eastAsia="Verdana" w:cs="Verdana"/>
          <w:szCs w:val="18"/>
          <w:lang w:val="nl-NL"/>
        </w:rPr>
        <w:t xml:space="preserve"> van </w:t>
      </w:r>
      <w:r w:rsidR="008B4790" w:rsidRPr="00A33930">
        <w:rPr>
          <w:rFonts w:eastAsia="Verdana" w:cs="Verdana"/>
          <w:szCs w:val="18"/>
          <w:lang w:val="nl-NL"/>
        </w:rPr>
        <w:t>dit</w:t>
      </w:r>
      <w:r w:rsidR="008970EA" w:rsidRPr="00A33930">
        <w:rPr>
          <w:rFonts w:eastAsia="Verdana" w:cs="Verdana"/>
          <w:szCs w:val="18"/>
          <w:lang w:val="nl-NL"/>
        </w:rPr>
        <w:t xml:space="preserve"> </w:t>
      </w:r>
      <w:r w:rsidR="008B4790" w:rsidRPr="00A33930">
        <w:rPr>
          <w:rFonts w:eastAsia="Verdana" w:cs="Verdana"/>
          <w:szCs w:val="18"/>
          <w:lang w:val="nl-NL"/>
        </w:rPr>
        <w:t>onderzoek</w:t>
      </w:r>
      <w:r w:rsidR="00C5081E" w:rsidRPr="00A33930">
        <w:rPr>
          <w:rFonts w:eastAsia="Verdana" w:cs="Verdana"/>
          <w:szCs w:val="18"/>
          <w:lang w:val="nl-NL"/>
        </w:rPr>
        <w:t>.</w:t>
      </w:r>
    </w:p>
    <w:p w14:paraId="6BD68B0D" w14:textId="77777777" w:rsidR="00851374" w:rsidRPr="00A33930" w:rsidRDefault="00851374" w:rsidP="00851374">
      <w:pPr>
        <w:pStyle w:val="Lijstalinea"/>
        <w:spacing w:before="200" w:after="0"/>
        <w:ind w:left="0"/>
        <w:jc w:val="both"/>
        <w:rPr>
          <w:rFonts w:eastAsia="Verdana" w:cs="Verdana"/>
          <w:szCs w:val="18"/>
          <w:lang w:val="nl-NL"/>
        </w:rPr>
      </w:pPr>
    </w:p>
    <w:p w14:paraId="5E824B36" w14:textId="16D41A78" w:rsidR="009A1D12" w:rsidRPr="00A33930" w:rsidRDefault="004D631D" w:rsidP="009E4C3D">
      <w:pPr>
        <w:pStyle w:val="Kop2"/>
        <w:numPr>
          <w:ilvl w:val="0"/>
          <w:numId w:val="0"/>
        </w:numPr>
        <w:ind w:left="360" w:hanging="360"/>
        <w:jc w:val="both"/>
        <w:rPr>
          <w:sz w:val="20"/>
          <w:szCs w:val="28"/>
          <w:lang w:val="nl-NL"/>
        </w:rPr>
      </w:pPr>
      <w:bookmarkStart w:id="23" w:name="_Toc134621182"/>
      <w:r w:rsidRPr="00A33930">
        <w:rPr>
          <w:sz w:val="20"/>
          <w:szCs w:val="28"/>
          <w:lang w:val="nl-NL"/>
        </w:rPr>
        <w:t>HOOFDSTUK</w:t>
      </w:r>
      <w:r w:rsidR="006F2022" w:rsidRPr="00A33930">
        <w:rPr>
          <w:sz w:val="20"/>
          <w:szCs w:val="28"/>
          <w:lang w:val="nl-NL"/>
        </w:rPr>
        <w:t xml:space="preserve"> I.</w:t>
      </w:r>
      <w:r w:rsidR="006F2022" w:rsidRPr="00A33930">
        <w:rPr>
          <w:sz w:val="20"/>
          <w:szCs w:val="28"/>
          <w:lang w:val="nl-NL"/>
        </w:rPr>
        <w:tab/>
      </w:r>
      <w:r w:rsidRPr="00A33930">
        <w:rPr>
          <w:sz w:val="20"/>
          <w:szCs w:val="28"/>
          <w:lang w:val="nl-NL"/>
        </w:rPr>
        <w:t>POSITIE KIND IN HET BELGISCH FAMILIERECHT</w:t>
      </w:r>
      <w:bookmarkEnd w:id="23"/>
    </w:p>
    <w:p w14:paraId="73BC8A08" w14:textId="0AA8329F" w:rsidR="005B7C50" w:rsidRPr="00A33930" w:rsidRDefault="008500D6" w:rsidP="008500D6">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Om de positie van het kind in het Belgisch familierecht te begrijpen, is het belangrijk stil te staan </w:t>
      </w:r>
      <w:r w:rsidR="00057D2C" w:rsidRPr="00A33930">
        <w:rPr>
          <w:rFonts w:eastAsia="Verdana" w:cs="Verdana"/>
          <w:szCs w:val="18"/>
          <w:lang w:val="nl-NL"/>
        </w:rPr>
        <w:t xml:space="preserve">bij </w:t>
      </w:r>
      <w:r w:rsidRPr="00A33930">
        <w:rPr>
          <w:rFonts w:eastAsia="Verdana" w:cs="Verdana"/>
          <w:szCs w:val="18"/>
          <w:lang w:val="nl-NL"/>
        </w:rPr>
        <w:t xml:space="preserve">de ontwikkelingen en het debat dat zich voordoet sinds de ondertekening van het IVRK. Het kindperspectief dat door het IVRK wordt gehanteerd </w:t>
      </w:r>
      <w:r w:rsidR="00A37216" w:rsidRPr="00A33930">
        <w:rPr>
          <w:rFonts w:eastAsia="Verdana" w:cs="Verdana"/>
          <w:szCs w:val="18"/>
          <w:lang w:val="nl-NL"/>
        </w:rPr>
        <w:t>betreft een</w:t>
      </w:r>
      <w:r w:rsidRPr="00A33930">
        <w:rPr>
          <w:rFonts w:eastAsia="Verdana" w:cs="Verdana"/>
          <w:szCs w:val="18"/>
          <w:lang w:val="nl-NL"/>
        </w:rPr>
        <w:t xml:space="preserve"> vrij modern </w:t>
      </w:r>
      <w:r w:rsidR="00A37216" w:rsidRPr="00A33930">
        <w:rPr>
          <w:rFonts w:eastAsia="Verdana" w:cs="Verdana"/>
          <w:szCs w:val="18"/>
          <w:lang w:val="nl-NL"/>
        </w:rPr>
        <w:t xml:space="preserve">kindperspectief, </w:t>
      </w:r>
      <w:r w:rsidRPr="00A33930">
        <w:rPr>
          <w:rFonts w:eastAsia="Verdana" w:cs="Verdana"/>
          <w:szCs w:val="18"/>
          <w:lang w:val="nl-NL"/>
        </w:rPr>
        <w:t xml:space="preserve">maar wordt niet </w:t>
      </w:r>
      <w:r w:rsidR="003B40DB" w:rsidRPr="00A33930">
        <w:rPr>
          <w:rFonts w:eastAsia="Verdana" w:cs="Verdana"/>
          <w:szCs w:val="18"/>
          <w:lang w:val="nl-NL"/>
        </w:rPr>
        <w:t>in elk rechtsstelsel</w:t>
      </w:r>
      <w:r w:rsidRPr="00A33930">
        <w:rPr>
          <w:rFonts w:eastAsia="Verdana" w:cs="Verdana"/>
          <w:szCs w:val="18"/>
          <w:lang w:val="nl-NL"/>
        </w:rPr>
        <w:t xml:space="preserve"> volgens </w:t>
      </w:r>
      <w:r w:rsidR="00A37216" w:rsidRPr="00A33930">
        <w:rPr>
          <w:rFonts w:eastAsia="Verdana" w:cs="Verdana"/>
          <w:szCs w:val="18"/>
          <w:lang w:val="nl-NL"/>
        </w:rPr>
        <w:t>de</w:t>
      </w:r>
      <w:r w:rsidRPr="00A33930">
        <w:rPr>
          <w:rFonts w:eastAsia="Verdana" w:cs="Verdana"/>
          <w:szCs w:val="18"/>
          <w:lang w:val="nl-NL"/>
        </w:rPr>
        <w:t xml:space="preserve"> </w:t>
      </w:r>
      <w:r w:rsidRPr="00A33930">
        <w:rPr>
          <w:rFonts w:eastAsia="Verdana" w:cs="Verdana"/>
          <w:i/>
          <w:iCs/>
          <w:szCs w:val="18"/>
          <w:lang w:val="nl-NL"/>
        </w:rPr>
        <w:t>ratio legis</w:t>
      </w:r>
      <w:r w:rsidRPr="00A33930">
        <w:rPr>
          <w:rFonts w:eastAsia="Verdana" w:cs="Verdana"/>
          <w:szCs w:val="18"/>
          <w:lang w:val="nl-NL"/>
        </w:rPr>
        <w:t xml:space="preserve"> </w:t>
      </w:r>
      <w:r w:rsidR="00A37216" w:rsidRPr="00A33930">
        <w:rPr>
          <w:rFonts w:eastAsia="Verdana" w:cs="Verdana"/>
          <w:szCs w:val="18"/>
          <w:lang w:val="nl-NL"/>
        </w:rPr>
        <w:t xml:space="preserve">van het IVRK </w:t>
      </w:r>
      <w:r w:rsidRPr="00A33930">
        <w:rPr>
          <w:rFonts w:eastAsia="Verdana" w:cs="Verdana"/>
          <w:szCs w:val="18"/>
          <w:lang w:val="nl-NL"/>
        </w:rPr>
        <w:t>aangenomen (</w:t>
      </w:r>
      <w:r w:rsidRPr="00A33930">
        <w:rPr>
          <w:rFonts w:eastAsia="Verdana" w:cs="Verdana"/>
          <w:i/>
          <w:iCs/>
          <w:szCs w:val="18"/>
          <w:lang w:val="nl-NL"/>
        </w:rPr>
        <w:t>supra</w:t>
      </w:r>
      <w:r w:rsidRPr="00A33930">
        <w:rPr>
          <w:rFonts w:eastAsia="Verdana" w:cs="Verdana"/>
          <w:szCs w:val="18"/>
          <w:lang w:val="nl-NL"/>
        </w:rPr>
        <w:t xml:space="preserve">, nr. </w:t>
      </w:r>
      <w:r w:rsidR="003B40DB" w:rsidRPr="00A33930">
        <w:rPr>
          <w:rFonts w:eastAsia="Verdana" w:cs="Verdana"/>
          <w:szCs w:val="18"/>
          <w:lang w:val="nl-NL"/>
        </w:rPr>
        <w:t>32</w:t>
      </w:r>
      <w:r w:rsidRPr="00A33930">
        <w:rPr>
          <w:rFonts w:eastAsia="Verdana" w:cs="Verdana"/>
          <w:szCs w:val="18"/>
          <w:lang w:val="nl-NL"/>
        </w:rPr>
        <w:t>). De vraag is dan ook of én waarom de Belgische wetgever een ander kindperspectief hanteert dan op mensenrechtelijk vlak voorgeschreven.</w:t>
      </w:r>
    </w:p>
    <w:p w14:paraId="381B8D9D" w14:textId="675C05BF" w:rsidR="001E0FCB" w:rsidRPr="00A33930" w:rsidRDefault="00310DD8" w:rsidP="00310DD8">
      <w:pPr>
        <w:pStyle w:val="Kop3"/>
        <w:numPr>
          <w:ilvl w:val="0"/>
          <w:numId w:val="0"/>
        </w:numPr>
        <w:spacing w:before="360"/>
        <w:ind w:left="357" w:hanging="357"/>
        <w:jc w:val="both"/>
        <w:rPr>
          <w:lang w:val="nl-NL"/>
        </w:rPr>
      </w:pPr>
      <w:bookmarkStart w:id="24" w:name="_Toc134621183"/>
      <w:r w:rsidRPr="00A33930">
        <w:rPr>
          <w:lang w:val="nl-NL"/>
        </w:rPr>
        <w:t>Afdeling I.</w:t>
      </w:r>
      <w:r w:rsidRPr="00A33930">
        <w:rPr>
          <w:lang w:val="nl-NL"/>
        </w:rPr>
        <w:tab/>
      </w:r>
      <w:r w:rsidRPr="00A33930">
        <w:rPr>
          <w:lang w:val="nl-NL"/>
        </w:rPr>
        <w:tab/>
        <w:t xml:space="preserve">Inleidende </w:t>
      </w:r>
      <w:r w:rsidR="009520BC" w:rsidRPr="00A33930">
        <w:rPr>
          <w:lang w:val="nl-NL"/>
        </w:rPr>
        <w:t>beschouwingen</w:t>
      </w:r>
      <w:bookmarkEnd w:id="24"/>
    </w:p>
    <w:p w14:paraId="605621F8" w14:textId="424219A2" w:rsidR="00310DD8" w:rsidRPr="00A33930" w:rsidRDefault="00310DD8" w:rsidP="00310DD8">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Bij de invoering van het Burgerlijk Wetboek in 1804 koos de wetgever voor beknopte</w:t>
      </w:r>
      <w:r w:rsidR="00F578B9" w:rsidRPr="00A33930">
        <w:rPr>
          <w:rFonts w:eastAsia="Verdana" w:cs="Verdana"/>
          <w:szCs w:val="18"/>
          <w:lang w:val="nl-NL"/>
        </w:rPr>
        <w:t xml:space="preserve">, </w:t>
      </w:r>
      <w:r w:rsidRPr="00A33930">
        <w:rPr>
          <w:rFonts w:eastAsia="Verdana" w:cs="Verdana"/>
          <w:szCs w:val="18"/>
          <w:lang w:val="nl-NL"/>
        </w:rPr>
        <w:t xml:space="preserve">algemene bepalingen. </w:t>
      </w:r>
      <w:r w:rsidR="00512906" w:rsidRPr="00A33930">
        <w:rPr>
          <w:rFonts w:eastAsia="Verdana" w:cs="Verdana"/>
          <w:szCs w:val="18"/>
          <w:lang w:val="nl-NL"/>
        </w:rPr>
        <w:t>D</w:t>
      </w:r>
      <w:r w:rsidRPr="00A33930">
        <w:rPr>
          <w:rFonts w:eastAsia="Verdana" w:cs="Verdana"/>
          <w:szCs w:val="18"/>
          <w:lang w:val="nl-NL"/>
        </w:rPr>
        <w:t xml:space="preserve">e inwerkingtreding van het IVRK in 1989 </w:t>
      </w:r>
      <w:r w:rsidR="00512906" w:rsidRPr="00A33930">
        <w:rPr>
          <w:rFonts w:eastAsia="Verdana" w:cs="Verdana"/>
          <w:szCs w:val="18"/>
          <w:lang w:val="nl-NL"/>
        </w:rPr>
        <w:t>bracht</w:t>
      </w:r>
      <w:r w:rsidRPr="00A33930">
        <w:rPr>
          <w:rFonts w:eastAsia="Verdana" w:cs="Verdana"/>
          <w:szCs w:val="18"/>
          <w:lang w:val="nl-NL"/>
        </w:rPr>
        <w:t xml:space="preserve"> een nieuw kind</w:t>
      </w:r>
      <w:r w:rsidR="00E57778" w:rsidRPr="00A33930">
        <w:rPr>
          <w:rFonts w:eastAsia="Verdana" w:cs="Verdana"/>
          <w:szCs w:val="18"/>
          <w:lang w:val="nl-NL"/>
        </w:rPr>
        <w:t>perspectief</w:t>
      </w:r>
      <w:r w:rsidR="00512906" w:rsidRPr="00A33930">
        <w:rPr>
          <w:rFonts w:eastAsia="Verdana" w:cs="Verdana"/>
          <w:szCs w:val="18"/>
          <w:lang w:val="nl-NL"/>
        </w:rPr>
        <w:t xml:space="preserve"> met zich mee</w:t>
      </w:r>
      <w:r w:rsidR="009E4C3D" w:rsidRPr="00A33930">
        <w:rPr>
          <w:rFonts w:eastAsia="Verdana" w:cs="Verdana"/>
          <w:szCs w:val="18"/>
          <w:lang w:val="nl-NL"/>
        </w:rPr>
        <w:t xml:space="preserve"> </w:t>
      </w:r>
      <w:r w:rsidRPr="00A33930">
        <w:rPr>
          <w:rFonts w:eastAsia="Verdana" w:cs="Verdana"/>
          <w:szCs w:val="18"/>
          <w:lang w:val="nl-NL"/>
        </w:rPr>
        <w:t>dat meer aandacht vroeg van de nationale wetgever (</w:t>
      </w:r>
      <w:r w:rsidRPr="00A33930">
        <w:rPr>
          <w:rFonts w:eastAsia="Verdana" w:cs="Verdana"/>
          <w:i/>
          <w:iCs/>
          <w:szCs w:val="18"/>
          <w:lang w:val="nl-NL"/>
        </w:rPr>
        <w:t>supra</w:t>
      </w:r>
      <w:r w:rsidRPr="00A33930">
        <w:rPr>
          <w:rFonts w:eastAsia="Verdana" w:cs="Verdana"/>
          <w:szCs w:val="18"/>
          <w:lang w:val="nl-NL"/>
        </w:rPr>
        <w:t xml:space="preserve">, nr. </w:t>
      </w:r>
      <w:r w:rsidR="003B40DB" w:rsidRPr="00A33930">
        <w:rPr>
          <w:rFonts w:eastAsia="Verdana" w:cs="Verdana"/>
          <w:szCs w:val="18"/>
          <w:lang w:val="nl-NL"/>
        </w:rPr>
        <w:t>31</w:t>
      </w:r>
      <w:r w:rsidRPr="00A33930">
        <w:rPr>
          <w:rFonts w:eastAsia="Verdana" w:cs="Verdana"/>
          <w:szCs w:val="18"/>
          <w:lang w:val="nl-NL"/>
        </w:rPr>
        <w:t xml:space="preserve">). </w:t>
      </w:r>
      <w:r w:rsidR="00512906" w:rsidRPr="00A33930">
        <w:rPr>
          <w:rFonts w:eastAsia="Verdana" w:cs="Verdana"/>
          <w:szCs w:val="18"/>
          <w:lang w:val="nl-NL"/>
        </w:rPr>
        <w:t>I</w:t>
      </w:r>
      <w:r w:rsidRPr="00A33930">
        <w:rPr>
          <w:rFonts w:eastAsia="Verdana" w:cs="Verdana"/>
          <w:szCs w:val="18"/>
          <w:lang w:val="nl-NL"/>
        </w:rPr>
        <w:t xml:space="preserve">n België </w:t>
      </w:r>
      <w:r w:rsidR="00512906" w:rsidRPr="00A33930">
        <w:rPr>
          <w:rFonts w:eastAsia="Verdana" w:cs="Verdana"/>
          <w:szCs w:val="18"/>
          <w:lang w:val="nl-NL"/>
        </w:rPr>
        <w:t xml:space="preserve">gebeurde de integratie </w:t>
      </w:r>
      <w:r w:rsidRPr="00A33930">
        <w:rPr>
          <w:rFonts w:eastAsia="Verdana" w:cs="Verdana"/>
          <w:szCs w:val="18"/>
          <w:lang w:val="nl-NL"/>
        </w:rPr>
        <w:t>van het IVRK in 2000 met de invoering van artikel 22</w:t>
      </w:r>
      <w:r w:rsidRPr="00A33930">
        <w:rPr>
          <w:rFonts w:eastAsia="Verdana" w:cs="Verdana"/>
          <w:i/>
          <w:iCs/>
          <w:szCs w:val="18"/>
          <w:lang w:val="nl-NL"/>
        </w:rPr>
        <w:t xml:space="preserve">bis </w:t>
      </w:r>
      <w:r w:rsidRPr="00A33930">
        <w:rPr>
          <w:rFonts w:eastAsia="Verdana" w:cs="Verdana"/>
          <w:szCs w:val="18"/>
          <w:lang w:val="nl-NL"/>
        </w:rPr>
        <w:t>in titel II van de Grondwet.</w:t>
      </w:r>
      <w:r w:rsidRPr="00A33930">
        <w:rPr>
          <w:rStyle w:val="Voetnootmarkering"/>
          <w:rFonts w:eastAsia="Verdana" w:cs="Verdana"/>
          <w:szCs w:val="18"/>
          <w:lang w:val="nl-NL"/>
        </w:rPr>
        <w:footnoteReference w:id="224"/>
      </w:r>
      <w:r w:rsidRPr="00A33930">
        <w:rPr>
          <w:rFonts w:eastAsia="Verdana" w:cs="Verdana"/>
          <w:szCs w:val="18"/>
          <w:lang w:val="nl-NL"/>
        </w:rPr>
        <w:t xml:space="preserve"> Het artikel bevatte </w:t>
      </w:r>
      <w:r w:rsidR="008500D6" w:rsidRPr="00A33930">
        <w:rPr>
          <w:rFonts w:eastAsia="Verdana" w:cs="Verdana"/>
          <w:szCs w:val="18"/>
          <w:lang w:val="nl-NL"/>
        </w:rPr>
        <w:t xml:space="preserve">initieel </w:t>
      </w:r>
      <w:r w:rsidRPr="00A33930">
        <w:rPr>
          <w:rFonts w:eastAsia="Verdana" w:cs="Verdana"/>
          <w:szCs w:val="18"/>
          <w:lang w:val="nl-NL"/>
        </w:rPr>
        <w:t>de waarborging van het recht van elk kind op de eerbiediging van zijn morele, lichamelijke, geestelijke en seksuele integriteit.</w:t>
      </w:r>
      <w:r w:rsidRPr="00A33930">
        <w:rPr>
          <w:rStyle w:val="Voetnootmarkering"/>
          <w:rFonts w:eastAsia="Verdana" w:cs="Verdana"/>
          <w:szCs w:val="18"/>
          <w:lang w:val="nl-NL"/>
        </w:rPr>
        <w:footnoteReference w:id="225"/>
      </w:r>
      <w:r w:rsidRPr="00A33930">
        <w:rPr>
          <w:rFonts w:eastAsia="Verdana" w:cs="Verdana"/>
          <w:szCs w:val="18"/>
          <w:lang w:val="nl-NL"/>
        </w:rPr>
        <w:t xml:space="preserve"> Dit is in het licht van het IVRK echter vrij beperkt en weerspiegelt voornamelijk de tijdsgeest in het Dutroux-tijdperk.</w:t>
      </w:r>
      <w:r w:rsidR="00FD00BF" w:rsidRPr="00A33930">
        <w:rPr>
          <w:rStyle w:val="Voetnootmarkering"/>
          <w:rFonts w:eastAsia="Verdana" w:cs="Verdana"/>
          <w:szCs w:val="18"/>
          <w:lang w:val="nl-NL"/>
        </w:rPr>
        <w:footnoteReference w:id="226"/>
      </w:r>
    </w:p>
    <w:p w14:paraId="63621310" w14:textId="77777777" w:rsidR="00310DD8" w:rsidRPr="00A33930" w:rsidRDefault="00310DD8" w:rsidP="00310DD8">
      <w:pPr>
        <w:pStyle w:val="Lijstalinea"/>
        <w:spacing w:before="200" w:after="0"/>
        <w:ind w:left="0"/>
        <w:jc w:val="both"/>
        <w:rPr>
          <w:rFonts w:eastAsia="Verdana" w:cs="Verdana"/>
          <w:szCs w:val="18"/>
          <w:lang w:val="nl-NL"/>
        </w:rPr>
      </w:pPr>
    </w:p>
    <w:p w14:paraId="0407B7B3" w14:textId="0B959B7D" w:rsidR="00523CD7" w:rsidRPr="00A33930" w:rsidRDefault="0038261C" w:rsidP="00674169">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lastRenderedPageBreak/>
        <w:t xml:space="preserve">Reeds in 2000 was </w:t>
      </w:r>
      <w:r w:rsidR="00E305F7" w:rsidRPr="00A33930">
        <w:rPr>
          <w:rFonts w:eastAsia="Verdana" w:cs="Verdana"/>
          <w:szCs w:val="18"/>
          <w:lang w:val="nl-NL"/>
        </w:rPr>
        <w:t>de</w:t>
      </w:r>
      <w:r w:rsidRPr="00A33930">
        <w:rPr>
          <w:rFonts w:eastAsia="Verdana" w:cs="Verdana"/>
          <w:szCs w:val="18"/>
          <w:lang w:val="nl-NL"/>
        </w:rPr>
        <w:t xml:space="preserve"> voorkeur </w:t>
      </w:r>
      <w:r w:rsidR="00E305F7" w:rsidRPr="00A33930">
        <w:rPr>
          <w:rFonts w:eastAsia="Verdana" w:cs="Verdana"/>
          <w:szCs w:val="18"/>
          <w:lang w:val="nl-NL"/>
        </w:rPr>
        <w:t>van</w:t>
      </w:r>
      <w:r w:rsidRPr="00A33930">
        <w:rPr>
          <w:rFonts w:eastAsia="Verdana" w:cs="Verdana"/>
          <w:szCs w:val="18"/>
          <w:lang w:val="nl-NL"/>
        </w:rPr>
        <w:t xml:space="preserve"> </w:t>
      </w:r>
      <w:r w:rsidR="003B40DB" w:rsidRPr="00A33930">
        <w:rPr>
          <w:rFonts w:eastAsia="Verdana" w:cs="Verdana"/>
          <w:szCs w:val="18"/>
          <w:lang w:val="nl-NL"/>
        </w:rPr>
        <w:t>de</w:t>
      </w:r>
      <w:r w:rsidRPr="00A33930">
        <w:rPr>
          <w:rFonts w:eastAsia="Verdana" w:cs="Verdana"/>
          <w:szCs w:val="18"/>
          <w:lang w:val="nl-NL"/>
        </w:rPr>
        <w:t xml:space="preserve"> meeste experten en senatoren om de rechten van het kind meer omvattend in de Grondwet</w:t>
      </w:r>
      <w:r w:rsidR="003B40DB" w:rsidRPr="00A33930">
        <w:rPr>
          <w:rFonts w:eastAsia="Verdana" w:cs="Verdana"/>
          <w:szCs w:val="18"/>
          <w:lang w:val="nl-NL"/>
        </w:rPr>
        <w:t xml:space="preserve"> in te schrijven</w:t>
      </w:r>
      <w:r w:rsidRPr="00A33930">
        <w:rPr>
          <w:rFonts w:eastAsia="Verdana" w:cs="Verdana"/>
          <w:szCs w:val="18"/>
          <w:lang w:val="nl-NL"/>
        </w:rPr>
        <w:t>.</w:t>
      </w:r>
      <w:r w:rsidRPr="00A33930">
        <w:rPr>
          <w:rStyle w:val="Voetnootmarkering"/>
          <w:rFonts w:eastAsia="Verdana" w:cs="Verdana"/>
          <w:szCs w:val="18"/>
          <w:lang w:val="nl-NL"/>
        </w:rPr>
        <w:footnoteReference w:id="227"/>
      </w:r>
      <w:r w:rsidRPr="00A33930">
        <w:rPr>
          <w:rFonts w:eastAsia="Verdana" w:cs="Verdana"/>
          <w:szCs w:val="18"/>
          <w:lang w:val="nl-NL"/>
        </w:rPr>
        <w:t xml:space="preserve"> </w:t>
      </w:r>
      <w:r w:rsidR="00310DD8" w:rsidRPr="00A33930">
        <w:rPr>
          <w:rFonts w:eastAsia="Verdana" w:cs="Verdana"/>
          <w:szCs w:val="18"/>
          <w:lang w:val="nl-NL"/>
        </w:rPr>
        <w:t xml:space="preserve">Vrijwel alle senatoren wensten in 2008 </w:t>
      </w:r>
      <w:r w:rsidR="009520BC" w:rsidRPr="00A33930">
        <w:rPr>
          <w:rFonts w:eastAsia="Verdana" w:cs="Verdana"/>
          <w:szCs w:val="18"/>
          <w:lang w:val="nl-NL"/>
        </w:rPr>
        <w:t xml:space="preserve">dan ook </w:t>
      </w:r>
      <w:r w:rsidR="00310DD8" w:rsidRPr="00A33930">
        <w:rPr>
          <w:rFonts w:eastAsia="Verdana" w:cs="Verdana"/>
          <w:szCs w:val="18"/>
          <w:lang w:val="nl-NL"/>
        </w:rPr>
        <w:t>verder te gaan dan in 2000, middels een volledige verankering van het IVRK in de Grondwet.</w:t>
      </w:r>
      <w:r w:rsidR="00310DD8" w:rsidRPr="00A33930">
        <w:rPr>
          <w:rStyle w:val="Voetnootmarkering"/>
          <w:rFonts w:eastAsia="Verdana" w:cs="Verdana"/>
          <w:szCs w:val="18"/>
          <w:lang w:val="nl-NL"/>
        </w:rPr>
        <w:footnoteReference w:id="228"/>
      </w:r>
      <w:r w:rsidR="00310DD8" w:rsidRPr="00A33930">
        <w:rPr>
          <w:rFonts w:eastAsia="Verdana" w:cs="Verdana"/>
          <w:szCs w:val="18"/>
          <w:lang w:val="nl-NL"/>
        </w:rPr>
        <w:t xml:space="preserve"> Volgens </w:t>
      </w:r>
      <w:r w:rsidR="009C0EAA" w:rsidRPr="00A33930">
        <w:rPr>
          <w:rFonts w:eastAsia="Verdana" w:cs="Verdana"/>
          <w:szCs w:val="18"/>
          <w:lang w:val="nl-NL"/>
        </w:rPr>
        <w:t>de</w:t>
      </w:r>
      <w:r w:rsidR="00310DD8" w:rsidRPr="00A33930">
        <w:rPr>
          <w:rFonts w:eastAsia="Verdana" w:cs="Verdana"/>
          <w:szCs w:val="18"/>
          <w:lang w:val="nl-NL"/>
        </w:rPr>
        <w:t xml:space="preserve"> meerderheid </w:t>
      </w:r>
      <w:r w:rsidR="009C0EAA" w:rsidRPr="00A33930">
        <w:rPr>
          <w:rFonts w:eastAsia="Verdana" w:cs="Verdana"/>
          <w:szCs w:val="18"/>
          <w:lang w:val="nl-NL"/>
        </w:rPr>
        <w:t xml:space="preserve">van </w:t>
      </w:r>
      <w:r w:rsidR="00ED6F59" w:rsidRPr="00A33930">
        <w:rPr>
          <w:rFonts w:eastAsia="Verdana" w:cs="Verdana"/>
          <w:szCs w:val="18"/>
          <w:lang w:val="nl-NL"/>
        </w:rPr>
        <w:t xml:space="preserve">de </w:t>
      </w:r>
      <w:r w:rsidR="009C0EAA" w:rsidRPr="00A33930">
        <w:rPr>
          <w:rFonts w:eastAsia="Verdana" w:cs="Verdana"/>
          <w:szCs w:val="18"/>
          <w:lang w:val="nl-NL"/>
        </w:rPr>
        <w:t>opvattingen</w:t>
      </w:r>
      <w:r w:rsidR="00310DD8" w:rsidRPr="00A33930">
        <w:rPr>
          <w:rFonts w:eastAsia="Verdana" w:cs="Verdana"/>
          <w:szCs w:val="18"/>
          <w:lang w:val="nl-NL"/>
        </w:rPr>
        <w:t xml:space="preserve"> was het IVRK </w:t>
      </w:r>
      <w:r w:rsidR="009520BC" w:rsidRPr="00A33930">
        <w:rPr>
          <w:rFonts w:eastAsia="Verdana" w:cs="Verdana"/>
          <w:szCs w:val="18"/>
          <w:lang w:val="nl-NL"/>
        </w:rPr>
        <w:t xml:space="preserve">destijds </w:t>
      </w:r>
      <w:r w:rsidR="00310DD8" w:rsidRPr="00A33930">
        <w:rPr>
          <w:rFonts w:eastAsia="Verdana" w:cs="Verdana"/>
          <w:szCs w:val="18"/>
          <w:lang w:val="nl-NL"/>
        </w:rPr>
        <w:t>niet rechtstreeks toepasbaar in de Belgische rechtsorde.</w:t>
      </w:r>
      <w:r w:rsidR="00310DD8" w:rsidRPr="00A33930">
        <w:rPr>
          <w:rStyle w:val="Voetnootmarkering"/>
          <w:rFonts w:eastAsia="Verdana" w:cs="Verdana"/>
          <w:szCs w:val="18"/>
          <w:lang w:val="nl-NL"/>
        </w:rPr>
        <w:footnoteReference w:id="229"/>
      </w:r>
      <w:r w:rsidR="00310DD8" w:rsidRPr="00A33930">
        <w:rPr>
          <w:rFonts w:eastAsia="Verdana" w:cs="Verdana"/>
          <w:szCs w:val="18"/>
          <w:lang w:val="nl-NL"/>
        </w:rPr>
        <w:t xml:space="preserve"> Dergelijke opname van de kinderrechten in de Grondwet </w:t>
      </w:r>
      <w:r w:rsidR="009520BC" w:rsidRPr="00A33930">
        <w:rPr>
          <w:rFonts w:eastAsia="Verdana" w:cs="Verdana"/>
          <w:szCs w:val="18"/>
          <w:lang w:val="nl-NL"/>
        </w:rPr>
        <w:t>zou dan ook</w:t>
      </w:r>
      <w:r w:rsidR="00310DD8" w:rsidRPr="00A33930">
        <w:rPr>
          <w:rFonts w:eastAsia="Verdana" w:cs="Verdana"/>
          <w:szCs w:val="18"/>
          <w:lang w:val="nl-NL"/>
        </w:rPr>
        <w:t xml:space="preserve"> een grote stap vooruit </w:t>
      </w:r>
      <w:r w:rsidR="009520BC" w:rsidRPr="00A33930">
        <w:rPr>
          <w:rFonts w:eastAsia="Verdana" w:cs="Verdana"/>
          <w:szCs w:val="18"/>
          <w:lang w:val="nl-NL"/>
        </w:rPr>
        <w:t xml:space="preserve">zijn </w:t>
      </w:r>
      <w:r w:rsidR="00310DD8" w:rsidRPr="00A33930">
        <w:rPr>
          <w:rFonts w:eastAsia="Verdana" w:cs="Verdana"/>
          <w:szCs w:val="18"/>
          <w:lang w:val="nl-NL"/>
        </w:rPr>
        <w:t xml:space="preserve">voor de bescherming en erkenning in België. Bij de herziening </w:t>
      </w:r>
      <w:r w:rsidR="00ED6F59" w:rsidRPr="00A33930">
        <w:rPr>
          <w:rFonts w:eastAsia="Verdana" w:cs="Verdana"/>
          <w:szCs w:val="18"/>
          <w:lang w:val="nl-NL"/>
        </w:rPr>
        <w:t>van artikel 22</w:t>
      </w:r>
      <w:r w:rsidR="00ED6F59" w:rsidRPr="00A33930">
        <w:rPr>
          <w:rFonts w:eastAsia="Verdana" w:cs="Verdana"/>
          <w:i/>
          <w:iCs/>
          <w:szCs w:val="18"/>
          <w:lang w:val="nl-NL"/>
        </w:rPr>
        <w:t>bis</w:t>
      </w:r>
      <w:r w:rsidR="00ED6F59" w:rsidRPr="00A33930">
        <w:rPr>
          <w:rFonts w:eastAsia="Verdana" w:cs="Verdana"/>
          <w:szCs w:val="18"/>
          <w:lang w:val="nl-NL"/>
        </w:rPr>
        <w:t xml:space="preserve"> Gw. </w:t>
      </w:r>
      <w:r w:rsidR="00310DD8" w:rsidRPr="00A33930">
        <w:rPr>
          <w:rFonts w:eastAsia="Verdana" w:cs="Verdana"/>
          <w:szCs w:val="18"/>
          <w:lang w:val="nl-NL"/>
        </w:rPr>
        <w:t>in 2008 werd ervoor gekozen om alle basisbeginselen van het IVRK in de Grondwet op te nemen.</w:t>
      </w:r>
      <w:r w:rsidR="00A525C2" w:rsidRPr="00A33930">
        <w:rPr>
          <w:rStyle w:val="Voetnootmarkering"/>
          <w:rFonts w:eastAsia="Verdana" w:cs="Verdana"/>
          <w:szCs w:val="18"/>
          <w:lang w:val="nl-NL"/>
        </w:rPr>
        <w:footnoteReference w:id="230"/>
      </w:r>
      <w:r w:rsidR="00310DD8" w:rsidRPr="00A33930">
        <w:rPr>
          <w:rFonts w:eastAsia="Verdana" w:cs="Verdana"/>
          <w:szCs w:val="18"/>
          <w:lang w:val="nl-NL"/>
        </w:rPr>
        <w:t xml:space="preserve"> Deze </w:t>
      </w:r>
      <w:r w:rsidR="00F453B2" w:rsidRPr="00A33930">
        <w:rPr>
          <w:rFonts w:eastAsia="Verdana" w:cs="Verdana"/>
          <w:szCs w:val="18"/>
          <w:lang w:val="nl-NL"/>
        </w:rPr>
        <w:t>herziening</w:t>
      </w:r>
      <w:r w:rsidR="00310DD8" w:rsidRPr="00A33930">
        <w:rPr>
          <w:rFonts w:eastAsia="Verdana" w:cs="Verdana"/>
          <w:szCs w:val="18"/>
          <w:lang w:val="nl-NL"/>
        </w:rPr>
        <w:t xml:space="preserve"> </w:t>
      </w:r>
      <w:r w:rsidR="00F453B2" w:rsidRPr="00A33930">
        <w:rPr>
          <w:rFonts w:eastAsia="Verdana" w:cs="Verdana"/>
          <w:szCs w:val="18"/>
          <w:lang w:val="nl-NL"/>
        </w:rPr>
        <w:t>bracht erkenning met zich mee voor</w:t>
      </w:r>
      <w:r w:rsidR="00310DD8" w:rsidRPr="00A33930">
        <w:rPr>
          <w:rFonts w:eastAsia="Verdana" w:cs="Verdana"/>
          <w:szCs w:val="18"/>
          <w:lang w:val="nl-NL"/>
        </w:rPr>
        <w:t xml:space="preserve"> de mening van het kind, het principe dat het belang van het kind de eerste overweging moet vormen en zijn recht op maatregelen en diensten die de ontwikkeling bevorderen.</w:t>
      </w:r>
      <w:r w:rsidR="00310DD8" w:rsidRPr="00A33930">
        <w:rPr>
          <w:rStyle w:val="Voetnootmarkering"/>
          <w:rFonts w:eastAsia="Verdana" w:cs="Verdana"/>
          <w:szCs w:val="18"/>
          <w:lang w:val="nl-NL"/>
        </w:rPr>
        <w:footnoteReference w:id="231"/>
      </w:r>
      <w:r w:rsidR="00310DD8" w:rsidRPr="00A33930">
        <w:rPr>
          <w:rFonts w:eastAsia="Verdana" w:cs="Verdana"/>
          <w:szCs w:val="18"/>
          <w:lang w:val="nl-NL"/>
        </w:rPr>
        <w:t xml:space="preserve"> De tekst van het tweede en vierde lid van artikel 22</w:t>
      </w:r>
      <w:r w:rsidR="00310DD8" w:rsidRPr="00A33930">
        <w:rPr>
          <w:rFonts w:eastAsia="Verdana" w:cs="Verdana"/>
          <w:i/>
          <w:iCs/>
          <w:szCs w:val="18"/>
          <w:lang w:val="nl-NL"/>
        </w:rPr>
        <w:t>bis</w:t>
      </w:r>
      <w:r w:rsidR="00310DD8" w:rsidRPr="00A33930">
        <w:rPr>
          <w:rFonts w:eastAsia="Verdana" w:cs="Verdana"/>
          <w:szCs w:val="18"/>
          <w:lang w:val="nl-NL"/>
        </w:rPr>
        <w:t xml:space="preserve"> Gw. is </w:t>
      </w:r>
      <w:r w:rsidR="00523CD7" w:rsidRPr="00A33930">
        <w:rPr>
          <w:rFonts w:eastAsia="Verdana" w:cs="Verdana"/>
          <w:szCs w:val="18"/>
          <w:lang w:val="nl-NL"/>
        </w:rPr>
        <w:t>vergelijkbaar met</w:t>
      </w:r>
      <w:r w:rsidR="00F453B2" w:rsidRPr="00A33930">
        <w:rPr>
          <w:rFonts w:eastAsia="Verdana" w:cs="Verdana"/>
          <w:szCs w:val="18"/>
          <w:lang w:val="nl-NL"/>
        </w:rPr>
        <w:t xml:space="preserve"> </w:t>
      </w:r>
      <w:r w:rsidR="00310DD8" w:rsidRPr="00A33930">
        <w:rPr>
          <w:rFonts w:eastAsia="Verdana" w:cs="Verdana"/>
          <w:szCs w:val="18"/>
          <w:lang w:val="nl-NL"/>
        </w:rPr>
        <w:t>artikel 3.1 en 12 IVRK (</w:t>
      </w:r>
      <w:r w:rsidR="00310DD8" w:rsidRPr="00A33930">
        <w:rPr>
          <w:rFonts w:eastAsia="Verdana" w:cs="Verdana"/>
          <w:i/>
          <w:iCs/>
          <w:szCs w:val="18"/>
          <w:lang w:val="nl-NL"/>
        </w:rPr>
        <w:t>supra</w:t>
      </w:r>
      <w:r w:rsidR="00310DD8" w:rsidRPr="00A33930">
        <w:rPr>
          <w:rFonts w:eastAsia="Verdana" w:cs="Verdana"/>
          <w:szCs w:val="18"/>
          <w:lang w:val="nl-NL"/>
        </w:rPr>
        <w:t xml:space="preserve">, nr. </w:t>
      </w:r>
      <w:r w:rsidR="003B40DB" w:rsidRPr="00A33930">
        <w:rPr>
          <w:rFonts w:eastAsia="Verdana" w:cs="Verdana"/>
          <w:szCs w:val="18"/>
          <w:lang w:val="nl-NL"/>
        </w:rPr>
        <w:t>35</w:t>
      </w:r>
      <w:r w:rsidR="00310DD8" w:rsidRPr="00A33930">
        <w:rPr>
          <w:rFonts w:eastAsia="Verdana" w:cs="Verdana"/>
          <w:szCs w:val="18"/>
          <w:lang w:val="nl-NL"/>
        </w:rPr>
        <w:t xml:space="preserve">). Opgemerkt dient te worden dat dit </w:t>
      </w:r>
      <w:r w:rsidR="009C0EAA" w:rsidRPr="00A33930">
        <w:rPr>
          <w:rFonts w:eastAsia="Verdana" w:cs="Verdana"/>
          <w:szCs w:val="18"/>
          <w:lang w:val="nl-NL"/>
        </w:rPr>
        <w:t>herziene grondwets</w:t>
      </w:r>
      <w:r w:rsidR="00310DD8" w:rsidRPr="00A33930">
        <w:rPr>
          <w:rFonts w:eastAsia="Verdana" w:cs="Verdana"/>
          <w:szCs w:val="18"/>
          <w:lang w:val="nl-NL"/>
        </w:rPr>
        <w:t>artikel zich beperkt tot de algemene beginselen van het IVRK, niet tot al zijn kinderrechten. Dit terwijl het comprehensief karakter van het IVRK op internationaal niveau steeds vaker wordt benadrukt (</w:t>
      </w:r>
      <w:r w:rsidR="00310DD8" w:rsidRPr="00A33930">
        <w:rPr>
          <w:rFonts w:eastAsia="Verdana" w:cs="Verdana"/>
          <w:i/>
          <w:iCs/>
          <w:szCs w:val="18"/>
          <w:lang w:val="nl-NL"/>
        </w:rPr>
        <w:t>supra</w:t>
      </w:r>
      <w:r w:rsidR="00310DD8" w:rsidRPr="00A33930">
        <w:rPr>
          <w:rFonts w:eastAsia="Verdana" w:cs="Verdana"/>
          <w:szCs w:val="18"/>
          <w:lang w:val="nl-NL"/>
        </w:rPr>
        <w:t xml:space="preserve">, nr. </w:t>
      </w:r>
      <w:r w:rsidR="003B40DB" w:rsidRPr="00A33930">
        <w:rPr>
          <w:rFonts w:eastAsia="Verdana" w:cs="Verdana"/>
          <w:szCs w:val="18"/>
          <w:lang w:val="nl-NL"/>
        </w:rPr>
        <w:t>25</w:t>
      </w:r>
      <w:r w:rsidR="00310DD8" w:rsidRPr="00A33930">
        <w:rPr>
          <w:rFonts w:eastAsia="Verdana" w:cs="Verdana"/>
          <w:szCs w:val="18"/>
          <w:lang w:val="nl-NL"/>
        </w:rPr>
        <w:t>).</w:t>
      </w:r>
      <w:r w:rsidR="00FF3E0E" w:rsidRPr="00A33930">
        <w:rPr>
          <w:rStyle w:val="Voetnootmarkering"/>
          <w:rFonts w:eastAsia="Verdana" w:cs="Verdana"/>
          <w:szCs w:val="18"/>
          <w:lang w:val="nl-NL"/>
        </w:rPr>
        <w:footnoteReference w:id="232"/>
      </w:r>
      <w:r w:rsidR="00310DD8" w:rsidRPr="00A33930">
        <w:rPr>
          <w:rFonts w:eastAsia="Verdana" w:cs="Verdana"/>
          <w:szCs w:val="18"/>
          <w:lang w:val="nl-NL"/>
        </w:rPr>
        <w:t xml:space="preserve"> </w:t>
      </w:r>
    </w:p>
    <w:p w14:paraId="3CEB13A1" w14:textId="77777777" w:rsidR="00523CD7" w:rsidRPr="00A33930" w:rsidRDefault="00523CD7" w:rsidP="00523CD7">
      <w:pPr>
        <w:pStyle w:val="Lijstalinea"/>
        <w:spacing w:before="200" w:after="0"/>
        <w:ind w:left="0"/>
        <w:jc w:val="both"/>
        <w:rPr>
          <w:rFonts w:eastAsia="Verdana" w:cs="Verdana"/>
          <w:szCs w:val="18"/>
          <w:lang w:val="nl-NL"/>
        </w:rPr>
      </w:pPr>
    </w:p>
    <w:p w14:paraId="6A5E9B81" w14:textId="7376BC34" w:rsidR="00FF3E0E" w:rsidRPr="00A33930" w:rsidRDefault="00310DD8" w:rsidP="00523CD7">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Desondanks mag het indirecte belang van deze wijziging niet onderschat worden. Het </w:t>
      </w:r>
      <w:r w:rsidR="003B40DB" w:rsidRPr="00A33930">
        <w:rPr>
          <w:rFonts w:eastAsia="Verdana" w:cs="Verdana"/>
          <w:szCs w:val="18"/>
          <w:lang w:val="nl-NL"/>
        </w:rPr>
        <w:t>vormde</w:t>
      </w:r>
      <w:r w:rsidRPr="00A33930">
        <w:rPr>
          <w:rFonts w:eastAsia="Verdana" w:cs="Verdana"/>
          <w:szCs w:val="18"/>
          <w:lang w:val="nl-NL"/>
        </w:rPr>
        <w:t xml:space="preserve"> hiermee de eerste aanzet tot discussie over kinderrechten in België en heeft een politieke, symbolische en programmatorische waarde.</w:t>
      </w:r>
      <w:r w:rsidRPr="00A33930">
        <w:rPr>
          <w:rStyle w:val="Voetnootmarkering"/>
          <w:rFonts w:eastAsia="Verdana" w:cs="Verdana"/>
          <w:szCs w:val="18"/>
          <w:lang w:val="nl-NL"/>
        </w:rPr>
        <w:footnoteReference w:id="233"/>
      </w:r>
      <w:r w:rsidR="00FF3E0E" w:rsidRPr="00A33930">
        <w:rPr>
          <w:rFonts w:eastAsia="Verdana" w:cs="Verdana"/>
          <w:szCs w:val="18"/>
          <w:lang w:val="nl-NL"/>
        </w:rPr>
        <w:t xml:space="preserve"> </w:t>
      </w:r>
      <w:r w:rsidR="003B40DB" w:rsidRPr="00A33930">
        <w:rPr>
          <w:rFonts w:eastAsia="Verdana" w:cs="Verdana"/>
          <w:szCs w:val="18"/>
          <w:lang w:val="nl-NL"/>
        </w:rPr>
        <w:t>Deze wijziging</w:t>
      </w:r>
      <w:r w:rsidR="00FF3E0E" w:rsidRPr="00A33930">
        <w:rPr>
          <w:rFonts w:eastAsia="Verdana" w:cs="Verdana"/>
          <w:szCs w:val="18"/>
          <w:lang w:val="nl-NL"/>
        </w:rPr>
        <w:t xml:space="preserve"> geeft op uitdrukkelijke wijze erkenning aan de moderne maatschappelijke positie die het kind in onze samenleving inneemt. De beperktheid van artikel 22</w:t>
      </w:r>
      <w:r w:rsidR="00FF3E0E" w:rsidRPr="00A33930">
        <w:rPr>
          <w:rFonts w:eastAsia="Verdana" w:cs="Verdana"/>
          <w:i/>
          <w:iCs/>
          <w:szCs w:val="18"/>
          <w:lang w:val="nl-NL"/>
        </w:rPr>
        <w:t>bis</w:t>
      </w:r>
      <w:r w:rsidR="00FF3E0E" w:rsidRPr="00A33930">
        <w:rPr>
          <w:rFonts w:eastAsia="Verdana" w:cs="Verdana"/>
          <w:szCs w:val="18"/>
          <w:lang w:val="nl-NL"/>
        </w:rPr>
        <w:t xml:space="preserve"> Gw. blijft</w:t>
      </w:r>
      <w:r w:rsidR="003B40DB" w:rsidRPr="00A33930">
        <w:rPr>
          <w:rFonts w:eastAsia="Verdana" w:cs="Verdana"/>
          <w:szCs w:val="18"/>
          <w:lang w:val="nl-NL"/>
        </w:rPr>
        <w:t xml:space="preserve"> echter</w:t>
      </w:r>
      <w:r w:rsidR="00FF3E0E" w:rsidRPr="00A33930">
        <w:rPr>
          <w:rFonts w:eastAsia="Verdana" w:cs="Verdana"/>
          <w:szCs w:val="18"/>
          <w:lang w:val="nl-NL"/>
        </w:rPr>
        <w:t xml:space="preserve"> een gemiste kans om de </w:t>
      </w:r>
      <w:r w:rsidR="003B40DB" w:rsidRPr="00A33930">
        <w:rPr>
          <w:rFonts w:eastAsia="Verdana" w:cs="Verdana"/>
          <w:szCs w:val="18"/>
          <w:lang w:val="nl-NL"/>
        </w:rPr>
        <w:t>kinderrechten</w:t>
      </w:r>
      <w:r w:rsidR="00FF3E0E" w:rsidRPr="00A33930">
        <w:rPr>
          <w:rFonts w:eastAsia="Verdana" w:cs="Verdana"/>
          <w:szCs w:val="18"/>
          <w:lang w:val="nl-NL"/>
        </w:rPr>
        <w:t xml:space="preserve"> integraal te erkennen en te implementeren.</w:t>
      </w:r>
      <w:r w:rsidR="00FF3E0E" w:rsidRPr="00A33930">
        <w:rPr>
          <w:rStyle w:val="Voetnootmarkering"/>
          <w:rFonts w:eastAsia="Verdana" w:cs="Verdana"/>
          <w:szCs w:val="18"/>
          <w:lang w:val="nl-NL"/>
        </w:rPr>
        <w:footnoteReference w:id="234"/>
      </w:r>
      <w:r w:rsidR="00FF3E0E" w:rsidRPr="00A33930">
        <w:rPr>
          <w:rFonts w:eastAsia="Verdana" w:cs="Verdana"/>
          <w:szCs w:val="18"/>
          <w:lang w:val="nl-NL"/>
        </w:rPr>
        <w:t xml:space="preserve"> De Grondwet is echter niet de enige plaats waar de</w:t>
      </w:r>
      <w:r w:rsidR="003B40DB" w:rsidRPr="00A33930">
        <w:rPr>
          <w:rFonts w:eastAsia="Verdana" w:cs="Verdana"/>
          <w:szCs w:val="18"/>
          <w:lang w:val="nl-NL"/>
        </w:rPr>
        <w:t>ze</w:t>
      </w:r>
      <w:r w:rsidR="00FF3E0E" w:rsidRPr="00A33930">
        <w:rPr>
          <w:rFonts w:eastAsia="Verdana" w:cs="Verdana"/>
          <w:szCs w:val="18"/>
          <w:lang w:val="nl-NL"/>
        </w:rPr>
        <w:t xml:space="preserve"> kinderrechten inschrijving </w:t>
      </w:r>
      <w:r w:rsidR="00523CD7" w:rsidRPr="00A33930">
        <w:rPr>
          <w:rFonts w:eastAsia="Verdana" w:cs="Verdana"/>
          <w:szCs w:val="18"/>
          <w:lang w:val="nl-NL"/>
        </w:rPr>
        <w:t xml:space="preserve">zouden </w:t>
      </w:r>
      <w:r w:rsidR="00FF3E0E" w:rsidRPr="00A33930">
        <w:rPr>
          <w:rFonts w:eastAsia="Verdana" w:cs="Verdana"/>
          <w:szCs w:val="18"/>
          <w:lang w:val="nl-NL"/>
        </w:rPr>
        <w:t xml:space="preserve">moeten </w:t>
      </w:r>
      <w:r w:rsidR="00523CD7" w:rsidRPr="00A33930">
        <w:rPr>
          <w:rFonts w:eastAsia="Verdana" w:cs="Verdana"/>
          <w:szCs w:val="18"/>
          <w:lang w:val="nl-NL"/>
        </w:rPr>
        <w:t>krijgen,</w:t>
      </w:r>
      <w:r w:rsidR="00FF3E0E" w:rsidRPr="00A33930">
        <w:rPr>
          <w:rFonts w:eastAsia="Verdana" w:cs="Verdana"/>
          <w:szCs w:val="18"/>
          <w:lang w:val="nl-NL"/>
        </w:rPr>
        <w:t xml:space="preserve"> maar vormt hiertoe wel een belangrijke inspiratiebron</w:t>
      </w:r>
      <w:r w:rsidR="00F578B9" w:rsidRPr="00A33930">
        <w:rPr>
          <w:rFonts w:eastAsia="Verdana" w:cs="Verdana"/>
          <w:szCs w:val="18"/>
          <w:lang w:val="nl-NL"/>
        </w:rPr>
        <w:t xml:space="preserve"> (</w:t>
      </w:r>
      <w:r w:rsidR="00F578B9" w:rsidRPr="00A33930">
        <w:rPr>
          <w:rFonts w:eastAsia="Verdana" w:cs="Verdana"/>
          <w:i/>
          <w:iCs/>
          <w:szCs w:val="18"/>
          <w:lang w:val="nl-NL"/>
        </w:rPr>
        <w:t>infra</w:t>
      </w:r>
      <w:r w:rsidR="00F578B9" w:rsidRPr="00A33930">
        <w:rPr>
          <w:rFonts w:eastAsia="Verdana" w:cs="Verdana"/>
          <w:szCs w:val="18"/>
          <w:lang w:val="nl-NL"/>
        </w:rPr>
        <w:t>, nr. 16</w:t>
      </w:r>
      <w:r w:rsidR="00A37216" w:rsidRPr="00A33930">
        <w:rPr>
          <w:rFonts w:eastAsia="Verdana" w:cs="Verdana"/>
          <w:szCs w:val="18"/>
          <w:lang w:val="nl-NL"/>
        </w:rPr>
        <w:t>8</w:t>
      </w:r>
      <w:r w:rsidR="00F578B9" w:rsidRPr="00A33930">
        <w:rPr>
          <w:rFonts w:eastAsia="Verdana" w:cs="Verdana"/>
          <w:szCs w:val="18"/>
          <w:lang w:val="nl-NL"/>
        </w:rPr>
        <w:t>)</w:t>
      </w:r>
      <w:r w:rsidR="00FF3E0E" w:rsidRPr="00A33930">
        <w:rPr>
          <w:rFonts w:eastAsia="Verdana" w:cs="Verdana"/>
          <w:szCs w:val="18"/>
          <w:lang w:val="nl-NL"/>
        </w:rPr>
        <w:t>.</w:t>
      </w:r>
    </w:p>
    <w:p w14:paraId="36032795" w14:textId="77777777" w:rsidR="00995E5D" w:rsidRPr="00A33930" w:rsidRDefault="00995E5D" w:rsidP="00995E5D">
      <w:pPr>
        <w:pStyle w:val="Lijstalinea"/>
        <w:rPr>
          <w:rFonts w:eastAsia="Verdana" w:cs="Verdana"/>
          <w:szCs w:val="18"/>
          <w:lang w:val="nl-NL"/>
        </w:rPr>
      </w:pPr>
    </w:p>
    <w:p w14:paraId="235604CE" w14:textId="77777777" w:rsidR="00995E5D" w:rsidRPr="00A33930" w:rsidRDefault="00995E5D" w:rsidP="00995E5D">
      <w:pPr>
        <w:pStyle w:val="Lijstalinea"/>
        <w:spacing w:before="200" w:after="0"/>
        <w:ind w:left="0"/>
        <w:jc w:val="both"/>
        <w:rPr>
          <w:rFonts w:eastAsia="Verdana" w:cs="Verdana"/>
          <w:szCs w:val="18"/>
          <w:lang w:val="nl-NL"/>
        </w:rPr>
      </w:pPr>
    </w:p>
    <w:p w14:paraId="15030CF6" w14:textId="34478758" w:rsidR="009A1D12" w:rsidRPr="00A33930" w:rsidRDefault="009A1D12" w:rsidP="009A1D12">
      <w:pPr>
        <w:pStyle w:val="Kop3"/>
        <w:numPr>
          <w:ilvl w:val="0"/>
          <w:numId w:val="0"/>
        </w:numPr>
        <w:spacing w:before="360"/>
        <w:ind w:left="357" w:hanging="357"/>
        <w:jc w:val="both"/>
        <w:rPr>
          <w:lang w:val="nl-NL"/>
        </w:rPr>
      </w:pPr>
      <w:bookmarkStart w:id="25" w:name="_Toc134621184"/>
      <w:r w:rsidRPr="00A33930">
        <w:rPr>
          <w:lang w:val="nl-NL"/>
        </w:rPr>
        <w:lastRenderedPageBreak/>
        <w:t>Afdeling II.</w:t>
      </w:r>
      <w:r w:rsidRPr="00A33930">
        <w:rPr>
          <w:lang w:val="nl-NL"/>
        </w:rPr>
        <w:tab/>
      </w:r>
      <w:r w:rsidRPr="00A33930">
        <w:rPr>
          <w:lang w:val="nl-NL"/>
        </w:rPr>
        <w:tab/>
        <w:t>Kind</w:t>
      </w:r>
      <w:r w:rsidR="00E57778" w:rsidRPr="00A33930">
        <w:rPr>
          <w:lang w:val="nl-NL"/>
        </w:rPr>
        <w:t>perspectief</w:t>
      </w:r>
      <w:r w:rsidR="00D36E7B" w:rsidRPr="00A33930">
        <w:rPr>
          <w:lang w:val="nl-NL"/>
        </w:rPr>
        <w:t>: kind</w:t>
      </w:r>
      <w:r w:rsidRPr="00A33930">
        <w:rPr>
          <w:lang w:val="nl-NL"/>
        </w:rPr>
        <w:t xml:space="preserve"> als rechtsobject</w:t>
      </w:r>
      <w:bookmarkEnd w:id="25"/>
    </w:p>
    <w:p w14:paraId="45E1FB2D" w14:textId="6C804427" w:rsidR="00FE7321" w:rsidRPr="00A33930" w:rsidRDefault="00815E26" w:rsidP="00FE7321">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Reeds </w:t>
      </w:r>
      <w:r w:rsidR="00F578B9" w:rsidRPr="00A33930">
        <w:rPr>
          <w:rFonts w:eastAsia="Verdana" w:cs="Verdana"/>
          <w:szCs w:val="18"/>
          <w:lang w:val="nl-NL"/>
        </w:rPr>
        <w:t>tijdens</w:t>
      </w:r>
      <w:r w:rsidRPr="00A33930">
        <w:rPr>
          <w:rFonts w:eastAsia="Verdana" w:cs="Verdana"/>
          <w:szCs w:val="18"/>
          <w:lang w:val="nl-NL"/>
        </w:rPr>
        <w:t xml:space="preserve"> de </w:t>
      </w:r>
      <w:r w:rsidR="009C0EAA" w:rsidRPr="00A33930">
        <w:rPr>
          <w:rFonts w:eastAsia="Verdana" w:cs="Verdana"/>
          <w:szCs w:val="18"/>
          <w:lang w:val="nl-NL"/>
        </w:rPr>
        <w:t xml:space="preserve">voorbereiding </w:t>
      </w:r>
      <w:r w:rsidRPr="00A33930">
        <w:rPr>
          <w:rFonts w:eastAsia="Verdana" w:cs="Verdana"/>
          <w:szCs w:val="18"/>
          <w:lang w:val="nl-NL"/>
        </w:rPr>
        <w:t>van het artikel 22</w:t>
      </w:r>
      <w:r w:rsidRPr="00A33930">
        <w:rPr>
          <w:rFonts w:eastAsia="Verdana" w:cs="Verdana"/>
          <w:i/>
          <w:iCs/>
          <w:szCs w:val="18"/>
          <w:lang w:val="nl-NL"/>
        </w:rPr>
        <w:t>bis</w:t>
      </w:r>
      <w:r w:rsidRPr="00A33930">
        <w:rPr>
          <w:rFonts w:eastAsia="Verdana" w:cs="Verdana"/>
          <w:szCs w:val="18"/>
          <w:lang w:val="nl-NL"/>
        </w:rPr>
        <w:t xml:space="preserve"> Gw.</w:t>
      </w:r>
      <w:r w:rsidR="00F578B9" w:rsidRPr="00A33930">
        <w:rPr>
          <w:rFonts w:eastAsia="Verdana" w:cs="Verdana"/>
          <w:szCs w:val="18"/>
          <w:lang w:val="nl-NL"/>
        </w:rPr>
        <w:t xml:space="preserve"> in 1999</w:t>
      </w:r>
      <w:r w:rsidR="00512906" w:rsidRPr="00A33930">
        <w:rPr>
          <w:rFonts w:eastAsia="Verdana" w:cs="Verdana"/>
          <w:szCs w:val="18"/>
          <w:lang w:val="nl-NL"/>
        </w:rPr>
        <w:t>,</w:t>
      </w:r>
      <w:r w:rsidRPr="00A33930">
        <w:rPr>
          <w:rFonts w:eastAsia="Verdana" w:cs="Verdana"/>
          <w:szCs w:val="18"/>
          <w:lang w:val="nl-NL"/>
        </w:rPr>
        <w:t xml:space="preserve"> werd beklemtoond dat het woord “kind” een uiting was van de wil van de grondwetgever om het kind als rechtssubject erkend te zien in de Grondwet.</w:t>
      </w:r>
      <w:r w:rsidRPr="00A33930">
        <w:rPr>
          <w:rStyle w:val="Voetnootmarkering"/>
          <w:rFonts w:eastAsia="Verdana" w:cs="Verdana"/>
          <w:szCs w:val="18"/>
          <w:lang w:val="nl-NL"/>
        </w:rPr>
        <w:footnoteReference w:id="235"/>
      </w:r>
      <w:r w:rsidRPr="00A33930">
        <w:rPr>
          <w:rFonts w:eastAsia="Verdana" w:cs="Verdana"/>
          <w:szCs w:val="18"/>
          <w:lang w:val="nl-NL"/>
        </w:rPr>
        <w:t xml:space="preserve"> </w:t>
      </w:r>
      <w:r w:rsidR="00674169" w:rsidRPr="00A33930">
        <w:rPr>
          <w:rFonts w:eastAsia="Verdana" w:cs="Verdana"/>
          <w:szCs w:val="18"/>
          <w:lang w:val="nl-NL"/>
        </w:rPr>
        <w:t>Ondanks de</w:t>
      </w:r>
      <w:r w:rsidR="001465FF" w:rsidRPr="00A33930">
        <w:rPr>
          <w:rFonts w:eastAsia="Verdana" w:cs="Verdana"/>
          <w:szCs w:val="18"/>
          <w:lang w:val="nl-NL"/>
        </w:rPr>
        <w:t>ze</w:t>
      </w:r>
      <w:r w:rsidR="00674169" w:rsidRPr="00A33930">
        <w:rPr>
          <w:rFonts w:eastAsia="Verdana" w:cs="Verdana"/>
          <w:szCs w:val="18"/>
          <w:lang w:val="nl-NL"/>
        </w:rPr>
        <w:t xml:space="preserve"> </w:t>
      </w:r>
      <w:r w:rsidR="00674169" w:rsidRPr="00A33930">
        <w:rPr>
          <w:rFonts w:eastAsia="Verdana" w:cs="Verdana"/>
          <w:i/>
          <w:iCs/>
          <w:szCs w:val="18"/>
          <w:lang w:val="nl-NL"/>
        </w:rPr>
        <w:t>ratio legis</w:t>
      </w:r>
      <w:r w:rsidR="00674169" w:rsidRPr="00A33930">
        <w:rPr>
          <w:rFonts w:eastAsia="Verdana" w:cs="Verdana"/>
          <w:szCs w:val="18"/>
          <w:lang w:val="nl-NL"/>
        </w:rPr>
        <w:t xml:space="preserve"> van artikel 22</w:t>
      </w:r>
      <w:r w:rsidR="00674169" w:rsidRPr="00A33930">
        <w:rPr>
          <w:rFonts w:eastAsia="Verdana" w:cs="Verdana"/>
          <w:i/>
          <w:iCs/>
          <w:szCs w:val="18"/>
          <w:lang w:val="nl-NL"/>
        </w:rPr>
        <w:t>bis</w:t>
      </w:r>
      <w:r w:rsidR="00674169" w:rsidRPr="00A33930">
        <w:rPr>
          <w:rFonts w:eastAsia="Verdana" w:cs="Verdana"/>
          <w:szCs w:val="18"/>
          <w:lang w:val="nl-NL"/>
        </w:rPr>
        <w:t xml:space="preserve"> Gw. is het volledig Burgerlijk Wetboek ingebed in </w:t>
      </w:r>
      <w:r w:rsidR="00A40BA9" w:rsidRPr="00A33930">
        <w:rPr>
          <w:rFonts w:eastAsia="Verdana" w:cs="Verdana"/>
          <w:szCs w:val="18"/>
          <w:lang w:val="nl-NL"/>
        </w:rPr>
        <w:t>het</w:t>
      </w:r>
      <w:r w:rsidR="00674169" w:rsidRPr="00A33930">
        <w:rPr>
          <w:rFonts w:eastAsia="Verdana" w:cs="Verdana"/>
          <w:szCs w:val="18"/>
          <w:lang w:val="nl-NL"/>
        </w:rPr>
        <w:t xml:space="preserve"> idee dat enkel volwassenen rechten kunnen uitoefenen en afdwingen.</w:t>
      </w:r>
      <w:r w:rsidR="00FE7321" w:rsidRPr="00A33930">
        <w:rPr>
          <w:rStyle w:val="Voetnootmarkering"/>
          <w:rFonts w:eastAsia="Verdana" w:cs="Verdana"/>
          <w:szCs w:val="18"/>
          <w:lang w:val="nl-NL"/>
        </w:rPr>
        <w:footnoteReference w:id="236"/>
      </w:r>
      <w:r w:rsidR="00674169" w:rsidRPr="00A33930">
        <w:rPr>
          <w:rFonts w:eastAsia="Verdana" w:cs="Verdana"/>
          <w:szCs w:val="18"/>
          <w:lang w:val="nl-NL"/>
        </w:rPr>
        <w:t xml:space="preserve"> </w:t>
      </w:r>
      <w:r w:rsidR="00FE7321" w:rsidRPr="00A33930">
        <w:rPr>
          <w:rFonts w:eastAsia="Verdana" w:cs="Verdana"/>
          <w:szCs w:val="18"/>
          <w:lang w:val="nl-NL"/>
        </w:rPr>
        <w:t>Het legt de nadruk op de beschermingsbehoefte van het kind en versterkt hiermee de objectbenadering.</w:t>
      </w:r>
      <w:r w:rsidR="00FE7321" w:rsidRPr="00A33930">
        <w:rPr>
          <w:rStyle w:val="Voetnootmarkering"/>
          <w:rFonts w:eastAsia="Verdana" w:cs="Verdana"/>
          <w:szCs w:val="18"/>
          <w:lang w:val="nl-NL"/>
        </w:rPr>
        <w:footnoteReference w:id="237"/>
      </w:r>
      <w:r w:rsidR="00FE7321" w:rsidRPr="00A33930">
        <w:rPr>
          <w:rFonts w:eastAsia="Verdana" w:cs="Verdana"/>
          <w:szCs w:val="18"/>
          <w:lang w:val="nl-NL"/>
        </w:rPr>
        <w:t xml:space="preserve"> </w:t>
      </w:r>
      <w:r w:rsidR="00674169" w:rsidRPr="00A33930">
        <w:rPr>
          <w:rFonts w:eastAsia="Verdana" w:cs="Verdana"/>
          <w:szCs w:val="18"/>
          <w:lang w:val="nl-NL"/>
        </w:rPr>
        <w:t xml:space="preserve">De Belgische regelgeving weerspiegelt tot op heden </w:t>
      </w:r>
      <w:r w:rsidR="006A45A7" w:rsidRPr="00A33930">
        <w:rPr>
          <w:rFonts w:eastAsia="Verdana" w:cs="Verdana"/>
          <w:szCs w:val="18"/>
          <w:lang w:val="nl-NL"/>
        </w:rPr>
        <w:t xml:space="preserve">dan ook </w:t>
      </w:r>
      <w:r w:rsidR="00674169" w:rsidRPr="00A33930">
        <w:rPr>
          <w:rFonts w:eastAsia="Verdana" w:cs="Verdana"/>
          <w:szCs w:val="18"/>
          <w:lang w:val="nl-NL"/>
        </w:rPr>
        <w:t>de historisch gegroeide objectgedachte (</w:t>
      </w:r>
      <w:r w:rsidR="00674169" w:rsidRPr="00A33930">
        <w:rPr>
          <w:rFonts w:eastAsia="Verdana" w:cs="Verdana"/>
          <w:i/>
          <w:iCs/>
          <w:szCs w:val="18"/>
          <w:lang w:val="nl-NL"/>
        </w:rPr>
        <w:t>supra</w:t>
      </w:r>
      <w:r w:rsidR="00674169" w:rsidRPr="00A33930">
        <w:rPr>
          <w:rFonts w:eastAsia="Verdana" w:cs="Verdana"/>
          <w:szCs w:val="18"/>
          <w:lang w:val="nl-NL"/>
        </w:rPr>
        <w:t xml:space="preserve">, nr. </w:t>
      </w:r>
      <w:r w:rsidR="00234017" w:rsidRPr="00A33930">
        <w:rPr>
          <w:rFonts w:eastAsia="Verdana" w:cs="Verdana"/>
          <w:szCs w:val="18"/>
          <w:lang w:val="nl-NL"/>
        </w:rPr>
        <w:t>24</w:t>
      </w:r>
      <w:r w:rsidR="00674169" w:rsidRPr="00A33930">
        <w:rPr>
          <w:rFonts w:eastAsia="Verdana" w:cs="Verdana"/>
          <w:szCs w:val="18"/>
          <w:lang w:val="nl-NL"/>
        </w:rPr>
        <w:t xml:space="preserve">). </w:t>
      </w:r>
      <w:r w:rsidR="001465FF" w:rsidRPr="00A33930">
        <w:rPr>
          <w:rFonts w:eastAsia="Verdana" w:cs="Verdana"/>
          <w:szCs w:val="18"/>
          <w:lang w:val="nl-NL"/>
        </w:rPr>
        <w:t>De erkenning van het recht was één ding, maar de uitoefening ervan door het kind bleek heel wat moeilijker te liggen</w:t>
      </w:r>
      <w:r w:rsidR="00CF7FF4" w:rsidRPr="00A33930">
        <w:rPr>
          <w:rFonts w:eastAsia="Verdana" w:cs="Verdana"/>
          <w:szCs w:val="18"/>
          <w:lang w:val="nl-NL"/>
        </w:rPr>
        <w:t>.</w:t>
      </w:r>
      <w:r w:rsidR="001465FF" w:rsidRPr="00A33930">
        <w:rPr>
          <w:rFonts w:eastAsia="Verdana" w:cs="Verdana"/>
          <w:szCs w:val="18"/>
          <w:lang w:val="nl-NL"/>
        </w:rPr>
        <w:t xml:space="preserve"> De discussie of het kind </w:t>
      </w:r>
      <w:r w:rsidR="00941316" w:rsidRPr="00A33930">
        <w:rPr>
          <w:rFonts w:eastAsia="Verdana" w:cs="Verdana"/>
          <w:szCs w:val="18"/>
          <w:lang w:val="nl-NL"/>
        </w:rPr>
        <w:t>titularis</w:t>
      </w:r>
      <w:r w:rsidR="001465FF" w:rsidRPr="00A33930">
        <w:rPr>
          <w:rFonts w:eastAsia="Verdana" w:cs="Verdana"/>
          <w:szCs w:val="18"/>
          <w:lang w:val="nl-NL"/>
        </w:rPr>
        <w:t xml:space="preserve"> is van eigen rechten werd na deze </w:t>
      </w:r>
      <w:r w:rsidR="0038261C" w:rsidRPr="00A33930">
        <w:rPr>
          <w:rFonts w:eastAsia="Verdana" w:cs="Verdana"/>
          <w:szCs w:val="18"/>
          <w:lang w:val="nl-NL"/>
        </w:rPr>
        <w:t xml:space="preserve">tweede </w:t>
      </w:r>
      <w:r w:rsidR="001465FF" w:rsidRPr="00A33930">
        <w:rPr>
          <w:rFonts w:eastAsia="Verdana" w:cs="Verdana"/>
          <w:szCs w:val="18"/>
          <w:lang w:val="nl-NL"/>
        </w:rPr>
        <w:t>grondwetswijziging niet langer gevoerd.</w:t>
      </w:r>
      <w:r w:rsidR="001465FF" w:rsidRPr="00A33930">
        <w:rPr>
          <w:rStyle w:val="Voetnootmarkering"/>
          <w:rFonts w:eastAsia="Verdana" w:cs="Verdana"/>
          <w:szCs w:val="18"/>
          <w:lang w:val="nl-NL"/>
        </w:rPr>
        <w:footnoteReference w:id="238"/>
      </w:r>
      <w:r w:rsidR="001465FF" w:rsidRPr="00A33930">
        <w:rPr>
          <w:rFonts w:eastAsia="Verdana" w:cs="Verdana"/>
          <w:szCs w:val="18"/>
          <w:lang w:val="nl-NL"/>
        </w:rPr>
        <w:t xml:space="preserve"> De redenen hiervoor zijn zeer uiteenlopend en verschillen op Vlaams</w:t>
      </w:r>
      <w:r w:rsidR="00523CD7" w:rsidRPr="00A33930">
        <w:rPr>
          <w:rFonts w:eastAsia="Verdana" w:cs="Verdana"/>
          <w:szCs w:val="18"/>
          <w:lang w:val="nl-NL"/>
        </w:rPr>
        <w:t>, Waals</w:t>
      </w:r>
      <w:r w:rsidR="001465FF" w:rsidRPr="00A33930">
        <w:rPr>
          <w:rFonts w:eastAsia="Verdana" w:cs="Verdana"/>
          <w:szCs w:val="18"/>
          <w:lang w:val="nl-NL"/>
        </w:rPr>
        <w:t xml:space="preserve"> en federaal niveau.</w:t>
      </w:r>
      <w:r w:rsidR="007C6633" w:rsidRPr="00A33930">
        <w:rPr>
          <w:rFonts w:eastAsia="Verdana" w:cs="Verdana"/>
          <w:szCs w:val="18"/>
          <w:lang w:val="nl-NL"/>
        </w:rPr>
        <w:t xml:space="preserve"> Dat heeft een competentiediscussie doen ontstaan: zijn kinderen bekwaam of zijn ze het niet? </w:t>
      </w:r>
    </w:p>
    <w:p w14:paraId="7FA1F47E" w14:textId="77777777" w:rsidR="00941316" w:rsidRPr="00A33930" w:rsidRDefault="00941316" w:rsidP="00941316">
      <w:pPr>
        <w:pStyle w:val="Lijstalinea"/>
        <w:spacing w:before="200" w:after="0"/>
        <w:ind w:left="0"/>
        <w:jc w:val="both"/>
        <w:rPr>
          <w:rFonts w:eastAsia="Verdana" w:cs="Verdana"/>
          <w:szCs w:val="18"/>
          <w:lang w:val="nl-NL"/>
        </w:rPr>
      </w:pPr>
    </w:p>
    <w:p w14:paraId="2AB5B204" w14:textId="77777777" w:rsidR="008261CA" w:rsidRPr="00A33930" w:rsidRDefault="007C6633" w:rsidP="00FE7321">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Deze competentiediscussie geeft weer dat er </w:t>
      </w:r>
      <w:r w:rsidR="00A01578" w:rsidRPr="00A33930">
        <w:rPr>
          <w:rFonts w:eastAsia="Verdana" w:cs="Verdana"/>
          <w:szCs w:val="18"/>
          <w:lang w:val="nl-NL"/>
        </w:rPr>
        <w:t xml:space="preserve">op het vlak van kinderrechten </w:t>
      </w:r>
      <w:r w:rsidR="00941316" w:rsidRPr="00A33930">
        <w:rPr>
          <w:rFonts w:eastAsia="Verdana" w:cs="Verdana"/>
          <w:szCs w:val="18"/>
          <w:lang w:val="nl-NL"/>
        </w:rPr>
        <w:t>geen eensgezindheid</w:t>
      </w:r>
      <w:r w:rsidRPr="00A33930">
        <w:rPr>
          <w:rFonts w:eastAsia="Verdana" w:cs="Verdana"/>
          <w:szCs w:val="18"/>
          <w:lang w:val="nl-NL"/>
        </w:rPr>
        <w:t xml:space="preserve"> bestaat</w:t>
      </w:r>
      <w:r w:rsidR="00941316" w:rsidRPr="00A33930">
        <w:rPr>
          <w:rFonts w:eastAsia="Verdana" w:cs="Verdana"/>
          <w:szCs w:val="18"/>
          <w:lang w:val="nl-NL"/>
        </w:rPr>
        <w:t xml:space="preserve"> in België.</w:t>
      </w:r>
      <w:r w:rsidR="00941316" w:rsidRPr="00A33930">
        <w:rPr>
          <w:rStyle w:val="Voetnootmarkering"/>
          <w:rFonts w:eastAsia="Verdana" w:cs="Verdana"/>
          <w:szCs w:val="18"/>
          <w:lang w:val="nl-NL"/>
        </w:rPr>
        <w:footnoteReference w:id="239"/>
      </w:r>
      <w:r w:rsidRPr="00A33930">
        <w:rPr>
          <w:rFonts w:eastAsia="Verdana" w:cs="Verdana"/>
          <w:szCs w:val="18"/>
          <w:lang w:val="nl-NL"/>
        </w:rPr>
        <w:t xml:space="preserve"> Naargelang de positie die wordt ingenomen </w:t>
      </w:r>
      <w:r w:rsidR="00F578B9" w:rsidRPr="00A33930">
        <w:rPr>
          <w:rFonts w:eastAsia="Verdana" w:cs="Verdana"/>
          <w:szCs w:val="18"/>
          <w:lang w:val="nl-NL"/>
        </w:rPr>
        <w:t>binnen</w:t>
      </w:r>
      <w:r w:rsidRPr="00A33930">
        <w:rPr>
          <w:rFonts w:eastAsia="Verdana" w:cs="Verdana"/>
          <w:szCs w:val="18"/>
          <w:lang w:val="nl-NL"/>
        </w:rPr>
        <w:t xml:space="preserve"> deze discussie</w:t>
      </w:r>
      <w:r w:rsidR="00A01578" w:rsidRPr="00A33930">
        <w:rPr>
          <w:rFonts w:eastAsia="Verdana" w:cs="Verdana"/>
          <w:szCs w:val="18"/>
          <w:lang w:val="nl-NL"/>
        </w:rPr>
        <w:t xml:space="preserve"> worden </w:t>
      </w:r>
      <w:r w:rsidR="00941316" w:rsidRPr="00A33930">
        <w:rPr>
          <w:rFonts w:eastAsia="Verdana" w:cs="Verdana"/>
          <w:szCs w:val="18"/>
          <w:lang w:val="nl-NL"/>
        </w:rPr>
        <w:t>verschillende stromingen</w:t>
      </w:r>
      <w:r w:rsidR="00A01578" w:rsidRPr="00A33930">
        <w:rPr>
          <w:rFonts w:eastAsia="Verdana" w:cs="Verdana"/>
          <w:szCs w:val="18"/>
          <w:lang w:val="nl-NL"/>
        </w:rPr>
        <w:t xml:space="preserve"> van elkaar</w:t>
      </w:r>
      <w:r w:rsidRPr="00A33930">
        <w:rPr>
          <w:rFonts w:eastAsia="Verdana" w:cs="Verdana"/>
          <w:szCs w:val="18"/>
          <w:lang w:val="nl-NL"/>
        </w:rPr>
        <w:t xml:space="preserve"> onderscheiden</w:t>
      </w:r>
      <w:r w:rsidR="00523CD7" w:rsidRPr="00A33930">
        <w:rPr>
          <w:rFonts w:eastAsia="Verdana" w:cs="Verdana"/>
          <w:szCs w:val="18"/>
          <w:lang w:val="nl-NL"/>
        </w:rPr>
        <w:t>. Het gaat hierbij voornamelijk</w:t>
      </w:r>
      <w:r w:rsidR="00941316" w:rsidRPr="00A33930">
        <w:rPr>
          <w:rFonts w:eastAsia="Verdana" w:cs="Verdana"/>
          <w:szCs w:val="18"/>
          <w:lang w:val="nl-NL"/>
        </w:rPr>
        <w:t xml:space="preserve"> over de graad waarop het kind over zijn eigen rechten bezit én mag beschikken.</w:t>
      </w:r>
      <w:r w:rsidR="00941316" w:rsidRPr="00A33930">
        <w:rPr>
          <w:rStyle w:val="Voetnootmarkering"/>
          <w:rFonts w:eastAsia="Verdana" w:cs="Verdana"/>
          <w:szCs w:val="18"/>
          <w:lang w:val="nl-NL"/>
        </w:rPr>
        <w:footnoteReference w:id="240"/>
      </w:r>
      <w:r w:rsidR="008248A9" w:rsidRPr="00A33930">
        <w:rPr>
          <w:rFonts w:eastAsia="Verdana" w:cs="Verdana"/>
          <w:szCs w:val="18"/>
          <w:lang w:val="nl-NL"/>
        </w:rPr>
        <w:t xml:space="preserve"> Teneinde het kindperspectief van de Belgische wetgever uit te diepen, zijn deze stromingen niet onbelangrijk. Zij verklaren waarom er voor een bepaalde opvatting wordt gekozen.</w:t>
      </w:r>
      <w:r w:rsidR="00941316" w:rsidRPr="00A33930">
        <w:rPr>
          <w:rFonts w:eastAsia="Verdana" w:cs="Verdana"/>
          <w:szCs w:val="18"/>
          <w:lang w:val="nl-NL"/>
        </w:rPr>
        <w:t xml:space="preserve"> </w:t>
      </w:r>
    </w:p>
    <w:p w14:paraId="177B1487" w14:textId="77777777" w:rsidR="008261CA" w:rsidRPr="00A33930" w:rsidRDefault="008261CA" w:rsidP="008261CA">
      <w:pPr>
        <w:pStyle w:val="Lijstalinea"/>
        <w:rPr>
          <w:rFonts w:eastAsia="Verdana" w:cs="Verdana"/>
          <w:szCs w:val="18"/>
          <w:lang w:val="nl-NL"/>
        </w:rPr>
      </w:pPr>
    </w:p>
    <w:p w14:paraId="1F69B18F" w14:textId="77777777" w:rsidR="008261CA" w:rsidRPr="00A33930" w:rsidRDefault="007C6633" w:rsidP="008261CA">
      <w:pPr>
        <w:pStyle w:val="Lijstalinea"/>
        <w:spacing w:before="200" w:after="0"/>
        <w:ind w:left="0"/>
        <w:jc w:val="both"/>
        <w:rPr>
          <w:rFonts w:eastAsia="Verdana" w:cs="Verdana"/>
          <w:szCs w:val="18"/>
          <w:lang w:val="nl-NL"/>
        </w:rPr>
      </w:pPr>
      <w:r w:rsidRPr="00A33930">
        <w:rPr>
          <w:rFonts w:eastAsia="Verdana" w:cs="Verdana"/>
          <w:szCs w:val="18"/>
          <w:lang w:val="nl-NL"/>
        </w:rPr>
        <w:t xml:space="preserve">Ten eerste is er </w:t>
      </w:r>
      <w:r w:rsidR="00941316" w:rsidRPr="00A33930">
        <w:rPr>
          <w:rFonts w:eastAsia="Verdana" w:cs="Verdana"/>
          <w:szCs w:val="18"/>
          <w:lang w:val="nl-NL"/>
        </w:rPr>
        <w:t>de reformistische</w:t>
      </w:r>
      <w:r w:rsidRPr="00A33930">
        <w:rPr>
          <w:rFonts w:eastAsia="Verdana" w:cs="Verdana"/>
          <w:szCs w:val="18"/>
          <w:lang w:val="nl-NL"/>
        </w:rPr>
        <w:t xml:space="preserve"> stroming </w:t>
      </w:r>
      <w:r w:rsidR="00A01578" w:rsidRPr="00A33930">
        <w:rPr>
          <w:rFonts w:eastAsia="Verdana" w:cs="Verdana"/>
          <w:szCs w:val="18"/>
          <w:lang w:val="nl-NL"/>
        </w:rPr>
        <w:t xml:space="preserve">die het onbekwaamheidsargument </w:t>
      </w:r>
      <w:r w:rsidR="008248A9" w:rsidRPr="00A33930">
        <w:rPr>
          <w:rFonts w:eastAsia="Verdana" w:cs="Verdana"/>
          <w:szCs w:val="18"/>
          <w:lang w:val="nl-NL"/>
        </w:rPr>
        <w:t>vooropstelt</w:t>
      </w:r>
      <w:r w:rsidR="00A01578" w:rsidRPr="00A33930">
        <w:rPr>
          <w:rFonts w:eastAsia="Verdana" w:cs="Verdana"/>
          <w:szCs w:val="18"/>
          <w:lang w:val="nl-NL"/>
        </w:rPr>
        <w:t xml:space="preserve"> en de kinderen ziet als incompetente wezens die niet of onvoldoende beschikken over de bekwaamheden die noodzakelijk zijn om zichzelf in de samenleving te behelpen</w:t>
      </w:r>
      <w:r w:rsidRPr="00A33930">
        <w:rPr>
          <w:rFonts w:eastAsia="Verdana" w:cs="Verdana"/>
          <w:szCs w:val="18"/>
          <w:lang w:val="nl-NL"/>
        </w:rPr>
        <w:t>.</w:t>
      </w:r>
      <w:r w:rsidRPr="00A33930">
        <w:rPr>
          <w:rStyle w:val="Voetnootmarkering"/>
          <w:rFonts w:eastAsia="Verdana" w:cs="Verdana"/>
          <w:szCs w:val="18"/>
          <w:lang w:val="nl-NL"/>
        </w:rPr>
        <w:footnoteReference w:id="241"/>
      </w:r>
      <w:r w:rsidRPr="00A33930">
        <w:rPr>
          <w:rFonts w:eastAsia="Verdana" w:cs="Verdana"/>
          <w:szCs w:val="18"/>
          <w:lang w:val="nl-NL"/>
        </w:rPr>
        <w:t xml:space="preserve"> </w:t>
      </w:r>
      <w:r w:rsidR="00E46A7D" w:rsidRPr="00A33930">
        <w:rPr>
          <w:rFonts w:eastAsia="Verdana" w:cs="Verdana"/>
          <w:szCs w:val="18"/>
          <w:lang w:val="nl-NL"/>
        </w:rPr>
        <w:t>Voornamelijk de</w:t>
      </w:r>
      <w:r w:rsidR="00A01578" w:rsidRPr="00A33930">
        <w:rPr>
          <w:rFonts w:eastAsia="Verdana" w:cs="Verdana"/>
          <w:szCs w:val="18"/>
          <w:lang w:val="nl-NL"/>
        </w:rPr>
        <w:t xml:space="preserve"> bescherming</w:t>
      </w:r>
      <w:r w:rsidR="00E46A7D" w:rsidRPr="00A33930">
        <w:rPr>
          <w:rFonts w:eastAsia="Verdana" w:cs="Verdana"/>
          <w:szCs w:val="18"/>
          <w:lang w:val="nl-NL"/>
        </w:rPr>
        <w:t>sgedachte</w:t>
      </w:r>
      <w:r w:rsidR="00A01578" w:rsidRPr="00A33930">
        <w:rPr>
          <w:rFonts w:eastAsia="Verdana" w:cs="Verdana"/>
          <w:szCs w:val="18"/>
          <w:lang w:val="nl-NL"/>
        </w:rPr>
        <w:t xml:space="preserve"> staat</w:t>
      </w:r>
      <w:r w:rsidR="00E46A7D" w:rsidRPr="00A33930">
        <w:rPr>
          <w:rFonts w:eastAsia="Verdana" w:cs="Verdana"/>
          <w:szCs w:val="18"/>
          <w:lang w:val="nl-NL"/>
        </w:rPr>
        <w:t xml:space="preserve"> binnen deze stroming</w:t>
      </w:r>
      <w:r w:rsidR="00A01578" w:rsidRPr="00A33930">
        <w:rPr>
          <w:rFonts w:eastAsia="Verdana" w:cs="Verdana"/>
          <w:szCs w:val="18"/>
          <w:lang w:val="nl-NL"/>
        </w:rPr>
        <w:t xml:space="preserve"> centraal. </w:t>
      </w:r>
      <w:r w:rsidR="00470899" w:rsidRPr="00A33930">
        <w:rPr>
          <w:rFonts w:eastAsia="Verdana" w:cs="Verdana"/>
          <w:szCs w:val="18"/>
          <w:lang w:val="nl-NL"/>
        </w:rPr>
        <w:t>Bijkomend</w:t>
      </w:r>
      <w:r w:rsidR="008248A9" w:rsidRPr="00A33930">
        <w:rPr>
          <w:rFonts w:eastAsia="Verdana" w:cs="Verdana"/>
          <w:szCs w:val="18"/>
          <w:lang w:val="nl-NL"/>
        </w:rPr>
        <w:t xml:space="preserve"> is</w:t>
      </w:r>
      <w:r w:rsidR="00A01578" w:rsidRPr="00A33930">
        <w:rPr>
          <w:rFonts w:eastAsia="Verdana" w:cs="Verdana"/>
          <w:szCs w:val="18"/>
          <w:lang w:val="nl-NL"/>
        </w:rPr>
        <w:t xml:space="preserve"> deze stroming ook de mening toegedaan dat de bekwaamheid van kinderen wordt onderschat en dat zij deze bekwaamheid stapsgewijs verwerven.</w:t>
      </w:r>
      <w:r w:rsidR="00A01578" w:rsidRPr="00A33930">
        <w:rPr>
          <w:rStyle w:val="Voetnootmarkering"/>
          <w:rFonts w:eastAsia="Verdana" w:cs="Verdana"/>
          <w:szCs w:val="18"/>
          <w:lang w:val="nl-NL"/>
        </w:rPr>
        <w:footnoteReference w:id="242"/>
      </w:r>
      <w:r w:rsidR="00A01578" w:rsidRPr="00A33930">
        <w:rPr>
          <w:rFonts w:eastAsia="Verdana" w:cs="Verdana"/>
          <w:szCs w:val="18"/>
          <w:lang w:val="nl-NL"/>
        </w:rPr>
        <w:t xml:space="preserve"> </w:t>
      </w:r>
    </w:p>
    <w:p w14:paraId="48A4B6AC" w14:textId="77777777" w:rsidR="008261CA" w:rsidRPr="00A33930" w:rsidRDefault="007C6633" w:rsidP="008261CA">
      <w:pPr>
        <w:pStyle w:val="Lijstalinea"/>
        <w:spacing w:before="200" w:after="0"/>
        <w:ind w:left="0"/>
        <w:jc w:val="both"/>
        <w:rPr>
          <w:rFonts w:eastAsia="Verdana" w:cs="Verdana"/>
          <w:szCs w:val="18"/>
          <w:lang w:val="nl-NL"/>
        </w:rPr>
      </w:pPr>
      <w:r w:rsidRPr="00A33930">
        <w:rPr>
          <w:rFonts w:eastAsia="Verdana" w:cs="Verdana"/>
          <w:szCs w:val="18"/>
          <w:lang w:val="nl-NL"/>
        </w:rPr>
        <w:lastRenderedPageBreak/>
        <w:t xml:space="preserve">Ten tweede zegt de radicale stroming dat kinderen </w:t>
      </w:r>
      <w:r w:rsidR="0060177B" w:rsidRPr="00A33930">
        <w:rPr>
          <w:rFonts w:eastAsia="Verdana" w:cs="Verdana"/>
          <w:szCs w:val="18"/>
          <w:lang w:val="nl-NL"/>
        </w:rPr>
        <w:t xml:space="preserve">over </w:t>
      </w:r>
      <w:r w:rsidRPr="00A33930">
        <w:rPr>
          <w:rFonts w:eastAsia="Verdana" w:cs="Verdana"/>
          <w:szCs w:val="18"/>
          <w:lang w:val="nl-NL"/>
        </w:rPr>
        <w:t xml:space="preserve">alle rechten </w:t>
      </w:r>
      <w:r w:rsidR="0060177B" w:rsidRPr="00A33930">
        <w:rPr>
          <w:rFonts w:eastAsia="Verdana" w:cs="Verdana"/>
          <w:szCs w:val="18"/>
          <w:lang w:val="nl-NL"/>
        </w:rPr>
        <w:t>beschikken</w:t>
      </w:r>
      <w:r w:rsidRPr="00A33930">
        <w:rPr>
          <w:rFonts w:eastAsia="Verdana" w:cs="Verdana"/>
          <w:szCs w:val="18"/>
          <w:lang w:val="nl-NL"/>
        </w:rPr>
        <w:t>.</w:t>
      </w:r>
      <w:r w:rsidRPr="00A33930">
        <w:rPr>
          <w:rStyle w:val="Voetnootmarkering"/>
          <w:rFonts w:eastAsia="Verdana" w:cs="Verdana"/>
          <w:szCs w:val="18"/>
          <w:lang w:val="nl-NL"/>
        </w:rPr>
        <w:footnoteReference w:id="243"/>
      </w:r>
      <w:r w:rsidRPr="00A33930">
        <w:rPr>
          <w:rFonts w:eastAsia="Verdana" w:cs="Verdana"/>
          <w:szCs w:val="18"/>
          <w:lang w:val="nl-NL"/>
        </w:rPr>
        <w:t xml:space="preserve"> </w:t>
      </w:r>
      <w:r w:rsidR="00A01578" w:rsidRPr="00A33930">
        <w:rPr>
          <w:rFonts w:eastAsia="Verdana" w:cs="Verdana"/>
          <w:szCs w:val="18"/>
          <w:lang w:val="nl-NL"/>
        </w:rPr>
        <w:t xml:space="preserve">Het onbekwaamheidsargument wordt in deze stroming betwist en er wordt voor rechtsgelijkheid van minder- en meerderjarigen gepleit. Het kind wordt binnen deze stroming gezien als een </w:t>
      </w:r>
      <w:r w:rsidR="00523CD7" w:rsidRPr="00A33930">
        <w:rPr>
          <w:rFonts w:eastAsia="Verdana" w:cs="Verdana"/>
          <w:szCs w:val="18"/>
          <w:lang w:val="nl-NL"/>
        </w:rPr>
        <w:t>bekwaam</w:t>
      </w:r>
      <w:r w:rsidR="008248A9" w:rsidRPr="00A33930">
        <w:rPr>
          <w:rFonts w:eastAsia="Verdana" w:cs="Verdana"/>
          <w:szCs w:val="18"/>
          <w:lang w:val="nl-NL"/>
        </w:rPr>
        <w:t xml:space="preserve"> en</w:t>
      </w:r>
      <w:r w:rsidR="00A01578" w:rsidRPr="00A33930">
        <w:rPr>
          <w:rFonts w:eastAsia="Verdana" w:cs="Verdana"/>
          <w:szCs w:val="18"/>
          <w:lang w:val="nl-NL"/>
        </w:rPr>
        <w:t xml:space="preserve"> mondig persoon waarbij de nadruk ligt op participatie. </w:t>
      </w:r>
      <w:r w:rsidR="00955C9B" w:rsidRPr="00A33930">
        <w:rPr>
          <w:rFonts w:eastAsia="Verdana" w:cs="Verdana"/>
          <w:szCs w:val="18"/>
          <w:lang w:val="nl-NL"/>
        </w:rPr>
        <w:t>Onder andere de ontwikkeling van het hoorrecht kadert m</w:t>
      </w:r>
      <w:r w:rsidR="00E46A7D" w:rsidRPr="00A33930">
        <w:rPr>
          <w:rFonts w:eastAsia="Verdana" w:cs="Verdana"/>
          <w:szCs w:val="18"/>
          <w:lang w:val="nl-NL"/>
        </w:rPr>
        <w:t>ijns inziens</w:t>
      </w:r>
      <w:r w:rsidR="00955C9B" w:rsidRPr="00A33930">
        <w:rPr>
          <w:rFonts w:eastAsia="Verdana" w:cs="Verdana"/>
          <w:szCs w:val="18"/>
          <w:lang w:val="nl-NL"/>
        </w:rPr>
        <w:t xml:space="preserve"> binnen deze stroming. </w:t>
      </w:r>
    </w:p>
    <w:p w14:paraId="24808612" w14:textId="77777777" w:rsidR="008261CA" w:rsidRPr="00A33930" w:rsidRDefault="008261CA" w:rsidP="008261CA">
      <w:pPr>
        <w:pStyle w:val="Lijstalinea"/>
        <w:spacing w:before="200" w:after="0"/>
        <w:ind w:left="0"/>
        <w:jc w:val="both"/>
        <w:rPr>
          <w:rFonts w:eastAsia="Verdana" w:cs="Verdana"/>
          <w:szCs w:val="18"/>
          <w:lang w:val="nl-NL"/>
        </w:rPr>
      </w:pPr>
    </w:p>
    <w:p w14:paraId="60982A32" w14:textId="7200D1E0" w:rsidR="00941316" w:rsidRPr="00A33930" w:rsidRDefault="007C6633" w:rsidP="008261CA">
      <w:pPr>
        <w:pStyle w:val="Lijstalinea"/>
        <w:spacing w:before="200" w:after="0"/>
        <w:ind w:left="0"/>
        <w:jc w:val="both"/>
        <w:rPr>
          <w:rFonts w:eastAsia="Verdana" w:cs="Verdana"/>
          <w:szCs w:val="18"/>
          <w:lang w:val="nl-NL"/>
        </w:rPr>
      </w:pPr>
      <w:r w:rsidRPr="00A33930">
        <w:rPr>
          <w:rFonts w:eastAsia="Verdana" w:cs="Verdana"/>
          <w:szCs w:val="18"/>
          <w:lang w:val="nl-NL"/>
        </w:rPr>
        <w:t xml:space="preserve">Een derde stroming, de pragmatische stroming, zegt dat kinderen </w:t>
      </w:r>
      <w:r w:rsidR="008248A9" w:rsidRPr="00A33930">
        <w:rPr>
          <w:rFonts w:eastAsia="Verdana" w:cs="Verdana"/>
          <w:szCs w:val="18"/>
          <w:lang w:val="nl-NL"/>
        </w:rPr>
        <w:t xml:space="preserve">titularis zijn van </w:t>
      </w:r>
      <w:r w:rsidRPr="00A33930">
        <w:rPr>
          <w:rFonts w:eastAsia="Verdana" w:cs="Verdana"/>
          <w:szCs w:val="18"/>
          <w:lang w:val="nl-NL"/>
        </w:rPr>
        <w:t>alle rechten indien ze voor deze rechten bekwaam zijn.</w:t>
      </w:r>
      <w:r w:rsidRPr="00A33930">
        <w:rPr>
          <w:rStyle w:val="Voetnootmarkering"/>
          <w:rFonts w:eastAsia="Verdana" w:cs="Verdana"/>
          <w:szCs w:val="18"/>
          <w:lang w:val="nl-NL"/>
        </w:rPr>
        <w:footnoteReference w:id="244"/>
      </w:r>
      <w:r w:rsidRPr="00A33930">
        <w:rPr>
          <w:rFonts w:eastAsia="Verdana" w:cs="Verdana"/>
          <w:szCs w:val="18"/>
          <w:lang w:val="nl-NL"/>
        </w:rPr>
        <w:t xml:space="preserve"> </w:t>
      </w:r>
      <w:r w:rsidR="008248A9" w:rsidRPr="00A33930">
        <w:rPr>
          <w:rFonts w:eastAsia="Verdana" w:cs="Verdana"/>
          <w:szCs w:val="18"/>
          <w:lang w:val="nl-NL"/>
        </w:rPr>
        <w:t xml:space="preserve">Aanhangers van deze stroming proberen een balans te vinden tussen het beschermings- en bevrijdingsperspectief. Er wordt in deze stroming gekozen voor een subjectbenadering, mits er geen aanwijzingen zijn tot onbekwaamheid. </w:t>
      </w:r>
      <w:r w:rsidR="00FC2E13" w:rsidRPr="00A33930">
        <w:rPr>
          <w:rFonts w:eastAsia="Verdana" w:cs="Verdana"/>
          <w:szCs w:val="18"/>
          <w:lang w:val="nl-NL"/>
        </w:rPr>
        <w:t xml:space="preserve">Het grote voordeel van deze stroming is dat de bewijslast voor bekwaamheid niet bij het kind zelf ligt. </w:t>
      </w:r>
      <w:r w:rsidR="00523CD7" w:rsidRPr="00A33930">
        <w:rPr>
          <w:rFonts w:eastAsia="Verdana" w:cs="Verdana"/>
          <w:szCs w:val="18"/>
          <w:lang w:val="nl-NL"/>
        </w:rPr>
        <w:t>Er wordt door de wetgever in uitzonderingen voorzien</w:t>
      </w:r>
      <w:r w:rsidR="00FC2E13" w:rsidRPr="00A33930">
        <w:rPr>
          <w:rFonts w:eastAsia="Verdana" w:cs="Verdana"/>
          <w:szCs w:val="18"/>
          <w:lang w:val="nl-NL"/>
        </w:rPr>
        <w:t xml:space="preserve">. </w:t>
      </w:r>
      <w:r w:rsidRPr="00A33930">
        <w:rPr>
          <w:rFonts w:eastAsia="Verdana" w:cs="Verdana"/>
          <w:szCs w:val="18"/>
          <w:lang w:val="nl-NL"/>
        </w:rPr>
        <w:t>Voornamelijk de</w:t>
      </w:r>
      <w:r w:rsidR="00523CD7" w:rsidRPr="00A33930">
        <w:rPr>
          <w:rFonts w:eastAsia="Verdana" w:cs="Verdana"/>
          <w:szCs w:val="18"/>
          <w:lang w:val="nl-NL"/>
        </w:rPr>
        <w:t>ze</w:t>
      </w:r>
      <w:r w:rsidRPr="00A33930">
        <w:rPr>
          <w:rFonts w:eastAsia="Verdana" w:cs="Verdana"/>
          <w:szCs w:val="18"/>
          <w:lang w:val="nl-NL"/>
        </w:rPr>
        <w:t xml:space="preserve"> </w:t>
      </w:r>
      <w:r w:rsidR="00523CD7" w:rsidRPr="00A33930">
        <w:rPr>
          <w:rFonts w:eastAsia="Verdana" w:cs="Verdana"/>
          <w:szCs w:val="18"/>
          <w:lang w:val="nl-NL"/>
        </w:rPr>
        <w:t>pragmatische stroming</w:t>
      </w:r>
      <w:r w:rsidRPr="00A33930">
        <w:rPr>
          <w:rFonts w:eastAsia="Verdana" w:cs="Verdana"/>
          <w:szCs w:val="18"/>
          <w:lang w:val="nl-NL"/>
        </w:rPr>
        <w:t xml:space="preserve"> bracht het debat op gang over de </w:t>
      </w:r>
      <w:r w:rsidR="00523CD7" w:rsidRPr="00A33930">
        <w:rPr>
          <w:rFonts w:eastAsia="Verdana" w:cs="Verdana"/>
          <w:szCs w:val="18"/>
          <w:lang w:val="nl-NL"/>
        </w:rPr>
        <w:t>huidige</w:t>
      </w:r>
      <w:r w:rsidR="006A45A7" w:rsidRPr="00A33930">
        <w:rPr>
          <w:rFonts w:eastAsia="Verdana" w:cs="Verdana"/>
          <w:szCs w:val="18"/>
          <w:lang w:val="nl-NL"/>
        </w:rPr>
        <w:t xml:space="preserve"> </w:t>
      </w:r>
      <w:r w:rsidRPr="00A33930">
        <w:rPr>
          <w:rFonts w:eastAsia="Verdana" w:cs="Verdana"/>
          <w:szCs w:val="18"/>
          <w:lang w:val="nl-NL"/>
        </w:rPr>
        <w:t xml:space="preserve">objectbenadering in België. </w:t>
      </w:r>
      <w:r w:rsidR="00523CD7" w:rsidRPr="00A33930">
        <w:rPr>
          <w:rFonts w:eastAsia="Verdana" w:cs="Verdana"/>
          <w:szCs w:val="18"/>
          <w:lang w:val="nl-NL"/>
        </w:rPr>
        <w:t xml:space="preserve">Sterke aanhangers </w:t>
      </w:r>
      <w:r w:rsidR="00470899" w:rsidRPr="00A33930">
        <w:rPr>
          <w:rFonts w:eastAsia="Verdana" w:cs="Verdana"/>
          <w:szCs w:val="18"/>
          <w:lang w:val="nl-NL"/>
        </w:rPr>
        <w:t xml:space="preserve">van deze </w:t>
      </w:r>
      <w:r w:rsidR="00E46A7D" w:rsidRPr="00A33930">
        <w:rPr>
          <w:rFonts w:eastAsia="Verdana" w:cs="Verdana"/>
          <w:szCs w:val="18"/>
          <w:lang w:val="nl-NL"/>
        </w:rPr>
        <w:t xml:space="preserve">laatste </w:t>
      </w:r>
      <w:r w:rsidR="00470899" w:rsidRPr="00A33930">
        <w:rPr>
          <w:rFonts w:eastAsia="Verdana" w:cs="Verdana"/>
          <w:szCs w:val="18"/>
          <w:lang w:val="nl-NL"/>
        </w:rPr>
        <w:t xml:space="preserve">stroming </w:t>
      </w:r>
      <w:r w:rsidR="00523CD7" w:rsidRPr="00A33930">
        <w:rPr>
          <w:rFonts w:eastAsia="Verdana" w:cs="Verdana"/>
          <w:szCs w:val="18"/>
          <w:lang w:val="nl-NL"/>
        </w:rPr>
        <w:t xml:space="preserve">zijn </w:t>
      </w:r>
      <w:r w:rsidRPr="00A33930">
        <w:rPr>
          <w:rFonts w:eastAsia="Verdana" w:cs="Verdana"/>
          <w:szCs w:val="18"/>
          <w:lang w:val="nl-NL"/>
        </w:rPr>
        <w:t>de Vlaamse kinderrechtenactoren en de Vlaamse overheden</w:t>
      </w:r>
      <w:r w:rsidR="00523CD7" w:rsidRPr="00A33930">
        <w:rPr>
          <w:rFonts w:eastAsia="Verdana" w:cs="Verdana"/>
          <w:szCs w:val="18"/>
          <w:lang w:val="nl-NL"/>
        </w:rPr>
        <w:t xml:space="preserve">, evenals het IVRK zelf </w:t>
      </w:r>
      <w:r w:rsidR="008248A9" w:rsidRPr="00A33930">
        <w:rPr>
          <w:rFonts w:eastAsia="Verdana" w:cs="Verdana"/>
          <w:szCs w:val="18"/>
          <w:lang w:val="nl-NL"/>
        </w:rPr>
        <w:t>(</w:t>
      </w:r>
      <w:r w:rsidR="008248A9" w:rsidRPr="00A33930">
        <w:rPr>
          <w:rFonts w:eastAsia="Verdana" w:cs="Verdana"/>
          <w:i/>
          <w:iCs/>
          <w:szCs w:val="18"/>
          <w:lang w:val="nl-NL"/>
        </w:rPr>
        <w:t>supra</w:t>
      </w:r>
      <w:r w:rsidR="008248A9" w:rsidRPr="00A33930">
        <w:rPr>
          <w:rFonts w:eastAsia="Verdana" w:cs="Verdana"/>
          <w:szCs w:val="18"/>
          <w:lang w:val="nl-NL"/>
        </w:rPr>
        <w:t xml:space="preserve">, nr. </w:t>
      </w:r>
      <w:r w:rsidR="00234017" w:rsidRPr="00A33930">
        <w:rPr>
          <w:rFonts w:eastAsia="Verdana" w:cs="Verdana"/>
          <w:szCs w:val="18"/>
          <w:lang w:val="nl-NL"/>
        </w:rPr>
        <w:t>33</w:t>
      </w:r>
      <w:r w:rsidR="00523CD7" w:rsidRPr="00A33930">
        <w:rPr>
          <w:rFonts w:eastAsia="Verdana" w:cs="Verdana"/>
          <w:szCs w:val="18"/>
          <w:lang w:val="nl-NL"/>
        </w:rPr>
        <w:t xml:space="preserve"> en </w:t>
      </w:r>
      <w:r w:rsidR="00523CD7" w:rsidRPr="00A33930">
        <w:rPr>
          <w:rFonts w:eastAsia="Verdana" w:cs="Verdana"/>
          <w:i/>
          <w:iCs/>
          <w:szCs w:val="18"/>
          <w:lang w:val="nl-NL"/>
        </w:rPr>
        <w:t>infra</w:t>
      </w:r>
      <w:r w:rsidR="00523CD7" w:rsidRPr="00A33930">
        <w:rPr>
          <w:rFonts w:eastAsia="Verdana" w:cs="Verdana"/>
          <w:szCs w:val="18"/>
          <w:lang w:val="nl-NL"/>
        </w:rPr>
        <w:t xml:space="preserve">, nr. </w:t>
      </w:r>
      <w:r w:rsidR="00234017" w:rsidRPr="00A33930">
        <w:rPr>
          <w:rFonts w:eastAsia="Verdana" w:cs="Verdana"/>
          <w:szCs w:val="18"/>
          <w:lang w:val="nl-NL"/>
        </w:rPr>
        <w:t>70</w:t>
      </w:r>
      <w:r w:rsidR="008248A9" w:rsidRPr="00A33930">
        <w:rPr>
          <w:rFonts w:eastAsia="Verdana" w:cs="Verdana"/>
          <w:szCs w:val="18"/>
          <w:lang w:val="nl-NL"/>
        </w:rPr>
        <w:t>).</w:t>
      </w:r>
    </w:p>
    <w:p w14:paraId="4340C871" w14:textId="2F288BE2" w:rsidR="009A1D12" w:rsidRPr="00A33930" w:rsidRDefault="009A1D12" w:rsidP="009A1D12">
      <w:pPr>
        <w:pStyle w:val="Kop4"/>
        <w:spacing w:before="240" w:after="120"/>
        <w:jc w:val="both"/>
        <w:rPr>
          <w:rFonts w:ascii="Verdana" w:hAnsi="Verdana"/>
          <w:b/>
          <w:bCs/>
          <w:color w:val="auto"/>
          <w:szCs w:val="18"/>
          <w:lang w:val="nl-NL"/>
        </w:rPr>
      </w:pPr>
      <w:r w:rsidRPr="00A33930">
        <w:rPr>
          <w:rFonts w:ascii="Verdana" w:hAnsi="Verdana"/>
          <w:b/>
          <w:bCs/>
          <w:color w:val="auto"/>
          <w:szCs w:val="18"/>
          <w:lang w:val="nl-NL"/>
        </w:rPr>
        <w:t>§1.</w:t>
      </w:r>
      <w:r w:rsidRPr="00A33930">
        <w:rPr>
          <w:rFonts w:ascii="Verdana" w:hAnsi="Verdana"/>
          <w:b/>
          <w:bCs/>
          <w:color w:val="auto"/>
          <w:szCs w:val="18"/>
          <w:lang w:val="nl-NL"/>
        </w:rPr>
        <w:tab/>
        <w:t xml:space="preserve">Invulling op Vlaams </w:t>
      </w:r>
      <w:r w:rsidR="00396C94" w:rsidRPr="00A33930">
        <w:rPr>
          <w:rFonts w:ascii="Verdana" w:hAnsi="Verdana"/>
          <w:b/>
          <w:bCs/>
          <w:color w:val="auto"/>
          <w:szCs w:val="18"/>
          <w:lang w:val="nl-NL"/>
        </w:rPr>
        <w:t>v.</w:t>
      </w:r>
      <w:r w:rsidRPr="00A33930">
        <w:rPr>
          <w:rFonts w:ascii="Verdana" w:hAnsi="Verdana"/>
          <w:b/>
          <w:bCs/>
          <w:color w:val="auto"/>
          <w:szCs w:val="18"/>
          <w:lang w:val="nl-NL"/>
        </w:rPr>
        <w:t xml:space="preserve"> federaal niveau</w:t>
      </w:r>
    </w:p>
    <w:p w14:paraId="0B9DEE3B" w14:textId="77777777" w:rsidR="00E46A7D" w:rsidRPr="00A33930" w:rsidRDefault="009A1D12" w:rsidP="00623ED3">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Op Vlaams niveau zijn pogingen tot het opzetten van een gecoördineerd kinderrechtenbeleid veelbelovend. Zo </w:t>
      </w:r>
      <w:r w:rsidR="001E3737" w:rsidRPr="00A33930">
        <w:rPr>
          <w:rFonts w:eastAsia="Verdana" w:cs="Verdana"/>
          <w:szCs w:val="18"/>
          <w:lang w:val="nl-NL"/>
        </w:rPr>
        <w:t>bestaat</w:t>
      </w:r>
      <w:r w:rsidRPr="00A33930">
        <w:rPr>
          <w:rFonts w:eastAsia="Verdana" w:cs="Verdana"/>
          <w:szCs w:val="18"/>
          <w:lang w:val="nl-NL"/>
        </w:rPr>
        <w:t xml:space="preserve"> sinds 1997 het Kinderrechtencommissariaat bij het Vlaams Parlement, waar</w:t>
      </w:r>
      <w:r w:rsidR="001E3737" w:rsidRPr="00A33930">
        <w:rPr>
          <w:rFonts w:eastAsia="Verdana" w:cs="Verdana"/>
          <w:szCs w:val="18"/>
          <w:lang w:val="nl-NL"/>
        </w:rPr>
        <w:t>bij</w:t>
      </w:r>
      <w:r w:rsidRPr="00A33930">
        <w:rPr>
          <w:rFonts w:eastAsia="Verdana" w:cs="Verdana"/>
          <w:szCs w:val="18"/>
          <w:lang w:val="nl-NL"/>
        </w:rPr>
        <w:t xml:space="preserve"> in het oprichtingsdecreet uitdrukkelijk naar de bepalingen van het IVRK wordt verwezen.</w:t>
      </w:r>
      <w:r w:rsidRPr="00A33930">
        <w:rPr>
          <w:rStyle w:val="Voetnootmarkering"/>
          <w:rFonts w:eastAsia="Verdana" w:cs="Verdana"/>
          <w:szCs w:val="18"/>
          <w:lang w:val="nl-NL"/>
        </w:rPr>
        <w:footnoteReference w:id="245"/>
      </w:r>
      <w:r w:rsidR="00BE3DD3" w:rsidRPr="00A33930">
        <w:rPr>
          <w:rFonts w:eastAsia="Verdana" w:cs="Verdana"/>
          <w:szCs w:val="18"/>
          <w:lang w:val="nl-NL"/>
        </w:rPr>
        <w:t xml:space="preserve"> </w:t>
      </w:r>
      <w:r w:rsidRPr="00A33930">
        <w:rPr>
          <w:rFonts w:eastAsia="Verdana" w:cs="Verdana"/>
          <w:szCs w:val="18"/>
          <w:lang w:val="nl-NL"/>
        </w:rPr>
        <w:t>Het Kinderrechtencommissariaat biedt een kwaliteitsvolle en effectieve opvolgingsstructuur voor de implementatie van het IVRK.</w:t>
      </w:r>
      <w:r w:rsidRPr="00A33930">
        <w:rPr>
          <w:rStyle w:val="Voetnootmarkering"/>
          <w:rFonts w:eastAsia="Verdana" w:cs="Verdana"/>
          <w:szCs w:val="18"/>
          <w:lang w:val="nl-NL"/>
        </w:rPr>
        <w:footnoteReference w:id="246"/>
      </w:r>
      <w:r w:rsidR="00BE3DD3" w:rsidRPr="00A33930">
        <w:rPr>
          <w:rFonts w:eastAsia="Verdana" w:cs="Verdana"/>
          <w:szCs w:val="18"/>
          <w:lang w:val="nl-NL"/>
        </w:rPr>
        <w:t xml:space="preserve"> Het Kinderrechtencommissariaat wordt door de federale wetgever uitgenodigd om advies te geven over geplande wetswijzigingen</w:t>
      </w:r>
      <w:r w:rsidR="00396C94" w:rsidRPr="00A33930">
        <w:rPr>
          <w:rFonts w:eastAsia="Verdana" w:cs="Verdana"/>
          <w:szCs w:val="18"/>
          <w:lang w:val="nl-NL"/>
        </w:rPr>
        <w:t xml:space="preserve"> en </w:t>
      </w:r>
      <w:r w:rsidR="00BE3DD3" w:rsidRPr="00A33930">
        <w:rPr>
          <w:rFonts w:eastAsia="Verdana" w:cs="Verdana"/>
          <w:szCs w:val="18"/>
          <w:lang w:val="nl-NL"/>
        </w:rPr>
        <w:t xml:space="preserve">pleit al jaren voor een andere kijk op kinderrechten. Het volstaat namelijk niet om rechten op papier te </w:t>
      </w:r>
      <w:r w:rsidR="0060177B" w:rsidRPr="00A33930">
        <w:rPr>
          <w:rFonts w:eastAsia="Verdana" w:cs="Verdana"/>
          <w:szCs w:val="18"/>
          <w:lang w:val="nl-NL"/>
        </w:rPr>
        <w:t>verkrijgen</w:t>
      </w:r>
      <w:r w:rsidR="00BE3DD3" w:rsidRPr="00A33930">
        <w:rPr>
          <w:rFonts w:eastAsia="Verdana" w:cs="Verdana"/>
          <w:szCs w:val="18"/>
          <w:lang w:val="nl-NL"/>
        </w:rPr>
        <w:t xml:space="preserve">, zonder de mogelijkheid </w:t>
      </w:r>
      <w:r w:rsidR="00470899" w:rsidRPr="00A33930">
        <w:rPr>
          <w:rFonts w:eastAsia="Verdana" w:cs="Verdana"/>
          <w:szCs w:val="18"/>
          <w:lang w:val="nl-NL"/>
        </w:rPr>
        <w:t>om ze</w:t>
      </w:r>
      <w:r w:rsidR="00BE3DD3" w:rsidRPr="00A33930">
        <w:rPr>
          <w:rFonts w:eastAsia="Verdana" w:cs="Verdana"/>
          <w:szCs w:val="18"/>
          <w:lang w:val="nl-NL"/>
        </w:rPr>
        <w:t xml:space="preserve"> </w:t>
      </w:r>
      <w:r w:rsidR="00470899" w:rsidRPr="00A33930">
        <w:rPr>
          <w:rFonts w:eastAsia="Verdana" w:cs="Verdana"/>
          <w:szCs w:val="18"/>
          <w:lang w:val="nl-NL"/>
        </w:rPr>
        <w:t>af te dwingen</w:t>
      </w:r>
      <w:r w:rsidR="00BE3DD3" w:rsidRPr="00A33930">
        <w:rPr>
          <w:rFonts w:eastAsia="Verdana" w:cs="Verdana"/>
          <w:szCs w:val="18"/>
          <w:lang w:val="nl-NL"/>
        </w:rPr>
        <w:t>.</w:t>
      </w:r>
      <w:r w:rsidR="00B913E7" w:rsidRPr="00A33930">
        <w:rPr>
          <w:rStyle w:val="Voetnootmarkering"/>
          <w:rFonts w:eastAsia="Verdana" w:cs="Verdana"/>
          <w:szCs w:val="18"/>
          <w:lang w:val="nl-NL"/>
        </w:rPr>
        <w:footnoteReference w:id="247"/>
      </w:r>
      <w:r w:rsidR="00BE3DD3" w:rsidRPr="00A33930">
        <w:rPr>
          <w:rFonts w:eastAsia="Verdana" w:cs="Verdana"/>
          <w:szCs w:val="18"/>
          <w:lang w:val="nl-NL"/>
        </w:rPr>
        <w:t xml:space="preserve"> </w:t>
      </w:r>
    </w:p>
    <w:p w14:paraId="02D81203" w14:textId="77777777" w:rsidR="00E46A7D" w:rsidRPr="00A33930" w:rsidRDefault="00E46A7D" w:rsidP="00E46A7D">
      <w:pPr>
        <w:pStyle w:val="Lijstalinea"/>
        <w:spacing w:before="200" w:after="0"/>
        <w:ind w:left="0"/>
        <w:jc w:val="both"/>
        <w:rPr>
          <w:rFonts w:eastAsia="Verdana" w:cs="Verdana"/>
          <w:szCs w:val="18"/>
          <w:lang w:val="nl-NL"/>
        </w:rPr>
      </w:pPr>
    </w:p>
    <w:p w14:paraId="0803A14A" w14:textId="2A21BCCD" w:rsidR="00E46A7D" w:rsidRPr="00A33930" w:rsidRDefault="00D47027" w:rsidP="00E46A7D">
      <w:pPr>
        <w:pStyle w:val="Lijstalinea"/>
        <w:spacing w:before="200" w:after="0"/>
        <w:ind w:left="0"/>
        <w:jc w:val="both"/>
        <w:rPr>
          <w:rFonts w:eastAsia="Verdana" w:cs="Verdana"/>
          <w:szCs w:val="18"/>
          <w:lang w:val="nl-NL"/>
        </w:rPr>
      </w:pPr>
      <w:r w:rsidRPr="00A33930">
        <w:rPr>
          <w:rFonts w:eastAsia="Verdana" w:cs="Verdana"/>
          <w:szCs w:val="18"/>
          <w:lang w:val="nl-NL"/>
        </w:rPr>
        <w:t xml:space="preserve">De eerste Vlaamse kinderrechtencommissaris VANDEKERCKHOVE </w:t>
      </w:r>
      <w:r w:rsidR="00BE3DD3" w:rsidRPr="00A33930">
        <w:rPr>
          <w:rFonts w:eastAsia="Verdana" w:cs="Verdana"/>
          <w:szCs w:val="18"/>
          <w:lang w:val="nl-NL"/>
        </w:rPr>
        <w:t>zette haar</w:t>
      </w:r>
      <w:r w:rsidRPr="00A33930">
        <w:rPr>
          <w:rFonts w:eastAsia="Verdana" w:cs="Verdana"/>
          <w:szCs w:val="18"/>
          <w:lang w:val="nl-NL"/>
        </w:rPr>
        <w:t xml:space="preserve"> </w:t>
      </w:r>
      <w:r w:rsidR="00BE3DD3" w:rsidRPr="00A33930">
        <w:rPr>
          <w:rFonts w:eastAsia="Verdana" w:cs="Verdana"/>
          <w:szCs w:val="18"/>
          <w:lang w:val="nl-NL"/>
        </w:rPr>
        <w:t>sinds</w:t>
      </w:r>
      <w:r w:rsidRPr="00A33930">
        <w:rPr>
          <w:rFonts w:eastAsia="Verdana" w:cs="Verdana"/>
          <w:szCs w:val="18"/>
          <w:lang w:val="nl-NL"/>
        </w:rPr>
        <w:t xml:space="preserve"> </w:t>
      </w:r>
      <w:r w:rsidR="00BE3DD3" w:rsidRPr="00A33930">
        <w:rPr>
          <w:rFonts w:eastAsia="Verdana" w:cs="Verdana"/>
          <w:szCs w:val="18"/>
          <w:lang w:val="nl-NL"/>
        </w:rPr>
        <w:t>1998 in</w:t>
      </w:r>
      <w:r w:rsidRPr="00A33930">
        <w:rPr>
          <w:rFonts w:eastAsia="Verdana" w:cs="Verdana"/>
          <w:szCs w:val="18"/>
          <w:lang w:val="nl-NL"/>
        </w:rPr>
        <w:t xml:space="preserve"> voor een volledige rechtsbescherming van de minderjarigen. Hierbij pleit zij dat de Belgische regeling aangaande het recht op persoonlijk contact veel gebreken kent die de minderjarige eigenlijk ondergeschikt maakt aan (groot)ouders en derden. </w:t>
      </w:r>
      <w:r w:rsidR="00BE3DD3" w:rsidRPr="00A33930">
        <w:rPr>
          <w:rFonts w:eastAsia="Verdana" w:cs="Verdana"/>
          <w:szCs w:val="18"/>
          <w:lang w:val="nl-NL"/>
        </w:rPr>
        <w:t xml:space="preserve">Kinderen leven namelijk in een kortetermijnperspectief, terwijl het recht op persoonlijk contact vaak voor lange termijn bepaald wordt. Het is </w:t>
      </w:r>
      <w:r w:rsidR="00E46A7D" w:rsidRPr="00A33930">
        <w:rPr>
          <w:rFonts w:eastAsia="Verdana" w:cs="Verdana"/>
          <w:szCs w:val="18"/>
          <w:lang w:val="nl-NL"/>
        </w:rPr>
        <w:t>namelijk mogelijk</w:t>
      </w:r>
      <w:r w:rsidR="00BE3DD3" w:rsidRPr="00A33930">
        <w:rPr>
          <w:rFonts w:eastAsia="Verdana" w:cs="Verdana"/>
          <w:szCs w:val="18"/>
          <w:lang w:val="nl-NL"/>
        </w:rPr>
        <w:t xml:space="preserve"> dat </w:t>
      </w:r>
      <w:r w:rsidR="00E46A7D" w:rsidRPr="00A33930">
        <w:rPr>
          <w:rFonts w:eastAsia="Verdana" w:cs="Verdana"/>
          <w:szCs w:val="18"/>
          <w:lang w:val="nl-NL"/>
        </w:rPr>
        <w:t>een</w:t>
      </w:r>
      <w:r w:rsidR="00BE3DD3" w:rsidRPr="00A33930">
        <w:rPr>
          <w:rFonts w:eastAsia="Verdana" w:cs="Verdana"/>
          <w:szCs w:val="18"/>
          <w:lang w:val="nl-NL"/>
        </w:rPr>
        <w:t xml:space="preserve"> </w:t>
      </w:r>
      <w:r w:rsidR="00E46A7D" w:rsidRPr="00A33930">
        <w:rPr>
          <w:rFonts w:eastAsia="Verdana" w:cs="Verdana"/>
          <w:szCs w:val="18"/>
          <w:lang w:val="nl-NL"/>
        </w:rPr>
        <w:t>jongvolwassene</w:t>
      </w:r>
      <w:r w:rsidR="00BE3DD3" w:rsidRPr="00A33930">
        <w:rPr>
          <w:rFonts w:eastAsia="Verdana" w:cs="Verdana"/>
          <w:szCs w:val="18"/>
          <w:lang w:val="nl-NL"/>
        </w:rPr>
        <w:t xml:space="preserve"> van </w:t>
      </w:r>
      <w:r w:rsidR="00523CD7" w:rsidRPr="00A33930">
        <w:rPr>
          <w:rFonts w:eastAsia="Verdana" w:cs="Verdana"/>
          <w:szCs w:val="18"/>
          <w:lang w:val="nl-NL"/>
        </w:rPr>
        <w:t>17</w:t>
      </w:r>
      <w:r w:rsidR="00BE3DD3" w:rsidRPr="00A33930">
        <w:rPr>
          <w:rFonts w:eastAsia="Verdana" w:cs="Verdana"/>
          <w:szCs w:val="18"/>
          <w:lang w:val="nl-NL"/>
        </w:rPr>
        <w:t xml:space="preserve"> jaar </w:t>
      </w:r>
      <w:r w:rsidR="00E46A7D" w:rsidRPr="00A33930">
        <w:rPr>
          <w:rFonts w:eastAsia="Verdana" w:cs="Verdana"/>
          <w:szCs w:val="18"/>
          <w:lang w:val="nl-NL"/>
        </w:rPr>
        <w:t xml:space="preserve">niet </w:t>
      </w:r>
      <w:r w:rsidR="00BE3DD3" w:rsidRPr="00A33930">
        <w:rPr>
          <w:rFonts w:eastAsia="Verdana" w:cs="Verdana"/>
          <w:szCs w:val="18"/>
          <w:lang w:val="nl-NL"/>
        </w:rPr>
        <w:t xml:space="preserve">dezelfde regeling </w:t>
      </w:r>
      <w:r w:rsidR="00396C94" w:rsidRPr="00A33930">
        <w:rPr>
          <w:rFonts w:eastAsia="Verdana" w:cs="Verdana"/>
          <w:szCs w:val="18"/>
          <w:lang w:val="nl-NL"/>
        </w:rPr>
        <w:t>wil behouden</w:t>
      </w:r>
      <w:r w:rsidR="00BE3DD3" w:rsidRPr="00A33930">
        <w:rPr>
          <w:rFonts w:eastAsia="Verdana" w:cs="Verdana"/>
          <w:szCs w:val="18"/>
          <w:lang w:val="nl-NL"/>
        </w:rPr>
        <w:t xml:space="preserve"> </w:t>
      </w:r>
      <w:r w:rsidR="00523CD7" w:rsidRPr="00A33930">
        <w:rPr>
          <w:rFonts w:eastAsia="Verdana" w:cs="Verdana"/>
          <w:szCs w:val="18"/>
          <w:lang w:val="nl-NL"/>
        </w:rPr>
        <w:t>als</w:t>
      </w:r>
      <w:r w:rsidR="00E46A7D" w:rsidRPr="00A33930">
        <w:rPr>
          <w:rFonts w:eastAsia="Verdana" w:cs="Verdana"/>
          <w:szCs w:val="18"/>
          <w:lang w:val="nl-NL"/>
        </w:rPr>
        <w:t xml:space="preserve"> </w:t>
      </w:r>
      <w:r w:rsidR="00E64841">
        <w:rPr>
          <w:rFonts w:eastAsia="Verdana" w:cs="Verdana"/>
          <w:szCs w:val="18"/>
          <w:lang w:val="nl-NL"/>
        </w:rPr>
        <w:t>de regeling</w:t>
      </w:r>
      <w:r w:rsidR="00523CD7" w:rsidRPr="00A33930">
        <w:rPr>
          <w:rFonts w:eastAsia="Verdana" w:cs="Verdana"/>
          <w:szCs w:val="18"/>
          <w:lang w:val="nl-NL"/>
        </w:rPr>
        <w:t xml:space="preserve"> </w:t>
      </w:r>
      <w:r w:rsidR="00E64841">
        <w:rPr>
          <w:rFonts w:eastAsia="Verdana" w:cs="Verdana"/>
          <w:szCs w:val="18"/>
          <w:lang w:val="nl-NL"/>
        </w:rPr>
        <w:t xml:space="preserve">die </w:t>
      </w:r>
      <w:r w:rsidR="00523CD7" w:rsidRPr="00A33930">
        <w:rPr>
          <w:rFonts w:eastAsia="Verdana" w:cs="Verdana"/>
          <w:szCs w:val="18"/>
          <w:lang w:val="nl-NL"/>
        </w:rPr>
        <w:t xml:space="preserve">op </w:t>
      </w:r>
      <w:r w:rsidR="00E46A7D" w:rsidRPr="00A33930">
        <w:rPr>
          <w:rFonts w:eastAsia="Verdana" w:cs="Verdana"/>
          <w:szCs w:val="18"/>
          <w:lang w:val="nl-NL"/>
        </w:rPr>
        <w:t xml:space="preserve">zijn </w:t>
      </w:r>
      <w:r w:rsidR="00523CD7" w:rsidRPr="00A33930">
        <w:rPr>
          <w:rFonts w:eastAsia="Verdana" w:cs="Verdana"/>
          <w:szCs w:val="18"/>
          <w:lang w:val="nl-NL"/>
        </w:rPr>
        <w:t>vierjarige leeftijd</w:t>
      </w:r>
      <w:r w:rsidR="00E46A7D" w:rsidRPr="00A33930">
        <w:rPr>
          <w:rFonts w:eastAsia="Verdana" w:cs="Verdana"/>
          <w:szCs w:val="18"/>
          <w:lang w:val="nl-NL"/>
        </w:rPr>
        <w:t xml:space="preserve"> </w:t>
      </w:r>
      <w:r w:rsidR="00E64841">
        <w:rPr>
          <w:rFonts w:eastAsia="Verdana" w:cs="Verdana"/>
          <w:szCs w:val="18"/>
          <w:lang w:val="nl-NL"/>
        </w:rPr>
        <w:t xml:space="preserve">werd </w:t>
      </w:r>
      <w:r w:rsidR="00E46A7D" w:rsidRPr="00A33930">
        <w:rPr>
          <w:rFonts w:eastAsia="Verdana" w:cs="Verdana"/>
          <w:szCs w:val="18"/>
          <w:lang w:val="nl-NL"/>
        </w:rPr>
        <w:t>vastgelegd</w:t>
      </w:r>
      <w:r w:rsidR="00BE3DD3" w:rsidRPr="00A33930">
        <w:rPr>
          <w:rFonts w:eastAsia="Verdana" w:cs="Verdana"/>
          <w:szCs w:val="18"/>
          <w:lang w:val="nl-NL"/>
        </w:rPr>
        <w:t>.</w:t>
      </w:r>
      <w:r w:rsidR="00BE3DD3" w:rsidRPr="00A33930">
        <w:rPr>
          <w:rStyle w:val="Voetnootmarkering"/>
          <w:rFonts w:eastAsia="Verdana" w:cs="Verdana"/>
          <w:szCs w:val="18"/>
          <w:lang w:val="nl-NL"/>
        </w:rPr>
        <w:footnoteReference w:id="248"/>
      </w:r>
      <w:r w:rsidR="00BE3DD3" w:rsidRPr="00A33930">
        <w:rPr>
          <w:rFonts w:eastAsia="Verdana" w:cs="Verdana"/>
          <w:szCs w:val="18"/>
          <w:lang w:val="nl-NL"/>
        </w:rPr>
        <w:t xml:space="preserve"> </w:t>
      </w:r>
      <w:r w:rsidR="00DF360C" w:rsidRPr="00A33930">
        <w:rPr>
          <w:rFonts w:eastAsia="Verdana" w:cs="Verdana"/>
          <w:szCs w:val="18"/>
          <w:lang w:val="nl-NL"/>
        </w:rPr>
        <w:t>Het kind</w:t>
      </w:r>
      <w:r w:rsidR="00E46A7D" w:rsidRPr="00A33930">
        <w:rPr>
          <w:rFonts w:eastAsia="Verdana" w:cs="Verdana"/>
          <w:szCs w:val="18"/>
          <w:lang w:val="nl-NL"/>
        </w:rPr>
        <w:t xml:space="preserve">, onafhankelijk </w:t>
      </w:r>
      <w:r w:rsidR="00E46A7D" w:rsidRPr="00A33930">
        <w:rPr>
          <w:rFonts w:eastAsia="Verdana" w:cs="Verdana"/>
          <w:szCs w:val="18"/>
          <w:lang w:val="nl-NL"/>
        </w:rPr>
        <w:lastRenderedPageBreak/>
        <w:t>van zijn leeftijd en maturiteit,</w:t>
      </w:r>
      <w:r w:rsidR="00DF360C" w:rsidRPr="00A33930">
        <w:rPr>
          <w:rFonts w:eastAsia="Verdana" w:cs="Verdana"/>
          <w:szCs w:val="18"/>
          <w:lang w:val="nl-NL"/>
        </w:rPr>
        <w:t xml:space="preserve"> blijft voor een </w:t>
      </w:r>
      <w:r w:rsidR="00523CD7" w:rsidRPr="00A33930">
        <w:rPr>
          <w:rFonts w:eastAsia="Verdana" w:cs="Verdana"/>
          <w:szCs w:val="18"/>
          <w:lang w:val="nl-NL"/>
        </w:rPr>
        <w:t>wijziging</w:t>
      </w:r>
      <w:r w:rsidR="00DF360C" w:rsidRPr="00A33930">
        <w:rPr>
          <w:rFonts w:eastAsia="Verdana" w:cs="Verdana"/>
          <w:szCs w:val="18"/>
          <w:lang w:val="nl-NL"/>
        </w:rPr>
        <w:t xml:space="preserve"> van </w:t>
      </w:r>
      <w:r w:rsidR="00E46A7D" w:rsidRPr="00A33930">
        <w:rPr>
          <w:rFonts w:eastAsia="Verdana" w:cs="Verdana"/>
          <w:szCs w:val="18"/>
          <w:lang w:val="nl-NL"/>
        </w:rPr>
        <w:t>een</w:t>
      </w:r>
      <w:r w:rsidR="00DF360C" w:rsidRPr="00A33930">
        <w:rPr>
          <w:rFonts w:eastAsia="Verdana" w:cs="Verdana"/>
          <w:szCs w:val="18"/>
          <w:lang w:val="nl-NL"/>
        </w:rPr>
        <w:t xml:space="preserve"> </w:t>
      </w:r>
      <w:r w:rsidR="00E46A7D" w:rsidRPr="00A33930">
        <w:rPr>
          <w:rFonts w:eastAsia="Verdana" w:cs="Verdana"/>
          <w:szCs w:val="18"/>
          <w:lang w:val="nl-NL"/>
        </w:rPr>
        <w:t>contact</w:t>
      </w:r>
      <w:r w:rsidR="00DF360C" w:rsidRPr="00A33930">
        <w:rPr>
          <w:rFonts w:eastAsia="Verdana" w:cs="Verdana"/>
          <w:szCs w:val="18"/>
          <w:lang w:val="nl-NL"/>
        </w:rPr>
        <w:t xml:space="preserve">regeling afhankelijk van het instellen van een vordering door de ouders. </w:t>
      </w:r>
      <w:r w:rsidR="00915708" w:rsidRPr="00A33930">
        <w:rPr>
          <w:rFonts w:eastAsia="Verdana" w:cs="Verdana"/>
          <w:szCs w:val="18"/>
          <w:lang w:val="nl-NL"/>
        </w:rPr>
        <w:t xml:space="preserve">Het is volgens het Kinderrechtencommissariaat een lacune dat de minderjarigen niet zelf beslissingen inzake persoonlijk contact </w:t>
      </w:r>
      <w:r w:rsidR="00470899" w:rsidRPr="00A33930">
        <w:rPr>
          <w:rFonts w:eastAsia="Verdana" w:cs="Verdana"/>
          <w:szCs w:val="18"/>
          <w:lang w:val="nl-NL"/>
        </w:rPr>
        <w:t>kunnen voorleggen aan de</w:t>
      </w:r>
      <w:r w:rsidR="00915708" w:rsidRPr="00A33930">
        <w:rPr>
          <w:rFonts w:eastAsia="Verdana" w:cs="Verdana"/>
          <w:szCs w:val="18"/>
          <w:lang w:val="nl-NL"/>
        </w:rPr>
        <w:t xml:space="preserve"> rechter.</w:t>
      </w:r>
      <w:r w:rsidR="00915708" w:rsidRPr="00A33930">
        <w:rPr>
          <w:rStyle w:val="Voetnootmarkering"/>
          <w:rFonts w:eastAsia="Verdana" w:cs="Verdana"/>
          <w:szCs w:val="18"/>
          <w:lang w:val="nl-NL"/>
        </w:rPr>
        <w:footnoteReference w:id="249"/>
      </w:r>
      <w:r w:rsidR="00253B22" w:rsidRPr="00A33930">
        <w:rPr>
          <w:rFonts w:eastAsia="Verdana" w:cs="Verdana"/>
          <w:szCs w:val="18"/>
          <w:lang w:val="nl-NL"/>
        </w:rPr>
        <w:t xml:space="preserve"> </w:t>
      </w:r>
      <w:r w:rsidRPr="00A33930">
        <w:rPr>
          <w:rFonts w:eastAsia="Verdana" w:cs="Verdana"/>
          <w:szCs w:val="18"/>
          <w:lang w:val="nl-NL"/>
        </w:rPr>
        <w:t>Het recht op persoonlijk contact zou een eigen recht van het kind moeten zijn, maar dat impliceert een omgangs</w:t>
      </w:r>
      <w:r w:rsidRPr="00A33930">
        <w:rPr>
          <w:rFonts w:eastAsia="Verdana" w:cs="Verdana"/>
          <w:i/>
          <w:iCs/>
          <w:szCs w:val="18"/>
          <w:lang w:val="nl-NL"/>
        </w:rPr>
        <w:t>plicht</w:t>
      </w:r>
      <w:r w:rsidRPr="00A33930">
        <w:rPr>
          <w:rFonts w:eastAsia="Verdana" w:cs="Verdana"/>
          <w:szCs w:val="18"/>
          <w:lang w:val="nl-NL"/>
        </w:rPr>
        <w:t xml:space="preserve"> voor (groot)ouders en derden.</w:t>
      </w:r>
      <w:r w:rsidRPr="00A33930">
        <w:rPr>
          <w:rStyle w:val="Voetnootmarkering"/>
          <w:rFonts w:eastAsia="Verdana" w:cs="Verdana"/>
          <w:szCs w:val="18"/>
          <w:lang w:val="nl-NL"/>
        </w:rPr>
        <w:footnoteReference w:id="250"/>
      </w:r>
      <w:r w:rsidR="00DF360C" w:rsidRPr="00A33930">
        <w:rPr>
          <w:rFonts w:eastAsia="Verdana" w:cs="Verdana"/>
          <w:szCs w:val="18"/>
          <w:lang w:val="nl-NL"/>
        </w:rPr>
        <w:t xml:space="preserve"> Laat dat nu net hetgeen zijn waar de moeilijkheden liggen op federaal niveau (</w:t>
      </w:r>
      <w:r w:rsidR="00DF360C" w:rsidRPr="00A33930">
        <w:rPr>
          <w:rFonts w:eastAsia="Verdana" w:cs="Verdana"/>
          <w:i/>
          <w:iCs/>
          <w:szCs w:val="18"/>
          <w:lang w:val="nl-NL"/>
        </w:rPr>
        <w:t>infra</w:t>
      </w:r>
      <w:r w:rsidR="00DF360C" w:rsidRPr="00A33930">
        <w:rPr>
          <w:rFonts w:eastAsia="Verdana" w:cs="Verdana"/>
          <w:szCs w:val="18"/>
          <w:lang w:val="nl-NL"/>
        </w:rPr>
        <w:t xml:space="preserve">, nr. </w:t>
      </w:r>
      <w:r w:rsidR="00234017" w:rsidRPr="00A33930">
        <w:rPr>
          <w:rFonts w:eastAsia="Verdana" w:cs="Verdana"/>
          <w:szCs w:val="18"/>
          <w:lang w:val="nl-NL"/>
        </w:rPr>
        <w:t>71</w:t>
      </w:r>
      <w:r w:rsidR="00DF360C" w:rsidRPr="00A33930">
        <w:rPr>
          <w:rFonts w:eastAsia="Verdana" w:cs="Verdana"/>
          <w:szCs w:val="18"/>
          <w:lang w:val="nl-NL"/>
        </w:rPr>
        <w:t>).</w:t>
      </w:r>
      <w:r w:rsidRPr="00A33930">
        <w:rPr>
          <w:rFonts w:eastAsia="Verdana" w:cs="Verdana"/>
          <w:szCs w:val="18"/>
          <w:lang w:val="nl-NL"/>
        </w:rPr>
        <w:t xml:space="preserve"> </w:t>
      </w:r>
      <w:r w:rsidR="00DF360C" w:rsidRPr="00A33930">
        <w:rPr>
          <w:rFonts w:eastAsia="Verdana" w:cs="Verdana"/>
          <w:szCs w:val="18"/>
          <w:lang w:val="nl-NL"/>
        </w:rPr>
        <w:t xml:space="preserve">Volgens het Kinderrechtencommissariaat is de enige juiste reactie hierop een “en dan?”-reactie. Het kind heeft ook een plicht om contacten te onderhouden en daar lijken </w:t>
      </w:r>
      <w:r w:rsidR="00470899" w:rsidRPr="00A33930">
        <w:rPr>
          <w:rFonts w:eastAsia="Verdana" w:cs="Verdana"/>
          <w:szCs w:val="18"/>
          <w:lang w:val="nl-NL"/>
        </w:rPr>
        <w:t xml:space="preserve">op zijn beurt </w:t>
      </w:r>
      <w:r w:rsidR="00DF360C" w:rsidRPr="00A33930">
        <w:rPr>
          <w:rFonts w:eastAsia="Verdana" w:cs="Verdana"/>
          <w:szCs w:val="18"/>
          <w:lang w:val="nl-NL"/>
        </w:rPr>
        <w:t>geen problemen mee te zijn</w:t>
      </w:r>
      <w:r w:rsidR="00470899" w:rsidRPr="00A33930">
        <w:rPr>
          <w:rFonts w:eastAsia="Verdana" w:cs="Verdana"/>
          <w:szCs w:val="18"/>
          <w:lang w:val="nl-NL"/>
        </w:rPr>
        <w:t>. I</w:t>
      </w:r>
      <w:r w:rsidR="00DF360C" w:rsidRPr="00A33930">
        <w:rPr>
          <w:rFonts w:eastAsia="Verdana" w:cs="Verdana"/>
          <w:szCs w:val="18"/>
          <w:lang w:val="nl-NL"/>
        </w:rPr>
        <w:t xml:space="preserve">n tegenstelling tot een </w:t>
      </w:r>
      <w:r w:rsidR="00470899" w:rsidRPr="00A33930">
        <w:rPr>
          <w:rFonts w:eastAsia="Verdana" w:cs="Verdana"/>
          <w:szCs w:val="18"/>
          <w:lang w:val="nl-NL"/>
        </w:rPr>
        <w:t>meerderjarige,</w:t>
      </w:r>
      <w:r w:rsidR="00DF360C" w:rsidRPr="00A33930">
        <w:rPr>
          <w:rFonts w:eastAsia="Verdana" w:cs="Verdana"/>
          <w:szCs w:val="18"/>
          <w:lang w:val="nl-NL"/>
        </w:rPr>
        <w:t xml:space="preserve"> kan een kind hier niets aan </w:t>
      </w:r>
      <w:r w:rsidR="00234017" w:rsidRPr="00A33930">
        <w:rPr>
          <w:rFonts w:eastAsia="Verdana" w:cs="Verdana"/>
          <w:szCs w:val="18"/>
          <w:lang w:val="nl-NL"/>
        </w:rPr>
        <w:t>veranderen</w:t>
      </w:r>
      <w:r w:rsidR="00DF360C" w:rsidRPr="00A33930">
        <w:rPr>
          <w:rFonts w:eastAsia="Verdana" w:cs="Verdana"/>
          <w:szCs w:val="18"/>
          <w:lang w:val="nl-NL"/>
        </w:rPr>
        <w:t>.</w:t>
      </w:r>
      <w:r w:rsidR="00DF360C" w:rsidRPr="00A33930">
        <w:rPr>
          <w:rStyle w:val="Voetnootmarkering"/>
          <w:rFonts w:eastAsia="Verdana" w:cs="Verdana"/>
          <w:szCs w:val="18"/>
          <w:lang w:val="nl-NL"/>
        </w:rPr>
        <w:footnoteReference w:id="251"/>
      </w:r>
      <w:r w:rsidR="00DF360C" w:rsidRPr="00A33930">
        <w:rPr>
          <w:rFonts w:eastAsia="Verdana" w:cs="Verdana"/>
          <w:szCs w:val="18"/>
          <w:lang w:val="nl-NL"/>
        </w:rPr>
        <w:t xml:space="preserve"> </w:t>
      </w:r>
    </w:p>
    <w:p w14:paraId="143791AA" w14:textId="77777777" w:rsidR="00E46A7D" w:rsidRPr="00A33930" w:rsidRDefault="00E46A7D" w:rsidP="00E46A7D">
      <w:pPr>
        <w:pStyle w:val="Lijstalinea"/>
        <w:spacing w:before="200" w:after="0"/>
        <w:ind w:left="0"/>
        <w:jc w:val="both"/>
        <w:rPr>
          <w:rFonts w:eastAsia="Verdana" w:cs="Verdana"/>
          <w:szCs w:val="18"/>
          <w:lang w:val="nl-NL"/>
        </w:rPr>
      </w:pPr>
    </w:p>
    <w:p w14:paraId="70CEFFB6" w14:textId="6F0F3298" w:rsidR="00253B22" w:rsidRPr="00A33930" w:rsidRDefault="00BE3DD3" w:rsidP="00E46A7D">
      <w:pPr>
        <w:pStyle w:val="Lijstalinea"/>
        <w:spacing w:before="200" w:after="0"/>
        <w:ind w:left="0"/>
        <w:jc w:val="both"/>
        <w:rPr>
          <w:rFonts w:eastAsia="Verdana" w:cs="Verdana"/>
          <w:szCs w:val="18"/>
          <w:lang w:val="nl-NL"/>
        </w:rPr>
      </w:pPr>
      <w:r w:rsidRPr="00A33930">
        <w:rPr>
          <w:rFonts w:eastAsia="Verdana" w:cs="Verdana"/>
          <w:szCs w:val="18"/>
          <w:lang w:val="nl-NL"/>
        </w:rPr>
        <w:t>In 2021 legde het Kinderrechtencommissariaat nogmaals de nadruk op het heropenen van het debat tot herziening van de principiële handelingsonbekwaamheid van de minderjarige en de toekenning van een algemene procesbekwaamheid.</w:t>
      </w:r>
      <w:r w:rsidRPr="00A33930">
        <w:rPr>
          <w:rStyle w:val="Voetnootmarkering"/>
          <w:rFonts w:eastAsia="Verdana" w:cs="Verdana"/>
          <w:szCs w:val="18"/>
          <w:lang w:val="nl-NL"/>
        </w:rPr>
        <w:footnoteReference w:id="252"/>
      </w:r>
      <w:r w:rsidRPr="00A33930">
        <w:rPr>
          <w:rFonts w:eastAsia="Verdana" w:cs="Verdana"/>
          <w:szCs w:val="18"/>
          <w:lang w:val="nl-NL"/>
        </w:rPr>
        <w:t xml:space="preserve"> Dit is namelijk ook wat een strikte lezing van het IVRK</w:t>
      </w:r>
      <w:r w:rsidR="00CA06C2" w:rsidRPr="00A33930">
        <w:rPr>
          <w:rFonts w:eastAsia="Verdana" w:cs="Verdana"/>
          <w:szCs w:val="18"/>
          <w:lang w:val="nl-NL"/>
        </w:rPr>
        <w:t xml:space="preserve"> en </w:t>
      </w:r>
      <w:r w:rsidR="00623ED3" w:rsidRPr="00A33930">
        <w:rPr>
          <w:rFonts w:eastAsia="Verdana" w:cs="Verdana"/>
          <w:szCs w:val="18"/>
          <w:lang w:val="nl-NL"/>
        </w:rPr>
        <w:t xml:space="preserve">de </w:t>
      </w:r>
      <w:r w:rsidR="00311953" w:rsidRPr="00A33930">
        <w:rPr>
          <w:rFonts w:eastAsia="Verdana" w:cs="Verdana"/>
          <w:i/>
          <w:iCs/>
          <w:szCs w:val="18"/>
          <w:lang w:val="nl-NL"/>
        </w:rPr>
        <w:t xml:space="preserve">list of </w:t>
      </w:r>
      <w:r w:rsidR="00623ED3" w:rsidRPr="00A33930">
        <w:rPr>
          <w:rFonts w:eastAsia="Verdana" w:cs="Verdana"/>
          <w:i/>
          <w:iCs/>
          <w:szCs w:val="18"/>
          <w:lang w:val="nl-NL"/>
        </w:rPr>
        <w:t>issues</w:t>
      </w:r>
      <w:r w:rsidR="00623ED3" w:rsidRPr="00A33930">
        <w:rPr>
          <w:rFonts w:eastAsia="Verdana" w:cs="Verdana"/>
          <w:szCs w:val="18"/>
          <w:lang w:val="nl-NL"/>
        </w:rPr>
        <w:t xml:space="preserve"> </w:t>
      </w:r>
      <w:r w:rsidR="00311953" w:rsidRPr="00A33930">
        <w:rPr>
          <w:rFonts w:eastAsia="Verdana" w:cs="Verdana"/>
          <w:szCs w:val="18"/>
          <w:lang w:val="nl-NL"/>
        </w:rPr>
        <w:t>bij</w:t>
      </w:r>
      <w:r w:rsidR="00623ED3" w:rsidRPr="00A33930">
        <w:rPr>
          <w:rFonts w:eastAsia="Verdana" w:cs="Verdana"/>
          <w:szCs w:val="18"/>
          <w:lang w:val="nl-NL"/>
        </w:rPr>
        <w:t xml:space="preserve"> het</w:t>
      </w:r>
      <w:r w:rsidR="00CA06C2" w:rsidRPr="00A33930">
        <w:rPr>
          <w:rFonts w:eastAsia="Verdana" w:cs="Verdana"/>
          <w:szCs w:val="18"/>
          <w:lang w:val="nl-NL"/>
        </w:rPr>
        <w:t xml:space="preserve"> VN-Kinderrechtencomité </w:t>
      </w:r>
      <w:r w:rsidRPr="00A33930">
        <w:rPr>
          <w:rFonts w:eastAsia="Verdana" w:cs="Verdana"/>
          <w:szCs w:val="18"/>
          <w:lang w:val="nl-NL"/>
        </w:rPr>
        <w:t>van België vraagt.</w:t>
      </w:r>
      <w:r w:rsidR="00FC7208" w:rsidRPr="00A33930">
        <w:rPr>
          <w:rStyle w:val="Voetnootmarkering"/>
          <w:rFonts w:eastAsia="Verdana" w:cs="Verdana"/>
          <w:szCs w:val="18"/>
          <w:lang w:val="nl-NL"/>
        </w:rPr>
        <w:footnoteReference w:id="253"/>
      </w:r>
      <w:r w:rsidRPr="00A33930">
        <w:rPr>
          <w:rFonts w:eastAsia="Verdana" w:cs="Verdana"/>
          <w:szCs w:val="18"/>
          <w:lang w:val="nl-NL"/>
        </w:rPr>
        <w:t xml:space="preserve"> </w:t>
      </w:r>
      <w:r w:rsidR="00B91988" w:rsidRPr="00A33930">
        <w:rPr>
          <w:rFonts w:eastAsia="Verdana" w:cs="Verdana"/>
          <w:szCs w:val="18"/>
          <w:lang w:val="nl-NL"/>
        </w:rPr>
        <w:t xml:space="preserve">Zij sluiten zich </w:t>
      </w:r>
      <w:r w:rsidR="00634A25" w:rsidRPr="00A33930">
        <w:rPr>
          <w:rFonts w:eastAsia="Verdana" w:cs="Verdana"/>
          <w:szCs w:val="18"/>
          <w:lang w:val="nl-NL"/>
        </w:rPr>
        <w:t xml:space="preserve">dan ook </w:t>
      </w:r>
      <w:r w:rsidR="00B91988" w:rsidRPr="00A33930">
        <w:rPr>
          <w:rFonts w:eastAsia="Verdana" w:cs="Verdana"/>
          <w:szCs w:val="18"/>
          <w:lang w:val="nl-NL"/>
        </w:rPr>
        <w:t>aan bij de pragmatische stroming (</w:t>
      </w:r>
      <w:r w:rsidR="00B91988" w:rsidRPr="00A33930">
        <w:rPr>
          <w:rFonts w:eastAsia="Verdana" w:cs="Verdana"/>
          <w:i/>
          <w:iCs/>
          <w:szCs w:val="18"/>
          <w:lang w:val="nl-NL"/>
        </w:rPr>
        <w:t>supra</w:t>
      </w:r>
      <w:r w:rsidR="00B91988" w:rsidRPr="00A33930">
        <w:rPr>
          <w:rFonts w:eastAsia="Verdana" w:cs="Verdana"/>
          <w:szCs w:val="18"/>
          <w:lang w:val="nl-NL"/>
        </w:rPr>
        <w:t xml:space="preserve">, nr. </w:t>
      </w:r>
      <w:r w:rsidR="00234017" w:rsidRPr="00A33930">
        <w:rPr>
          <w:rFonts w:eastAsia="Verdana" w:cs="Verdana"/>
          <w:szCs w:val="18"/>
          <w:lang w:val="nl-NL"/>
        </w:rPr>
        <w:t>69</w:t>
      </w:r>
      <w:r w:rsidR="00B91988" w:rsidRPr="00A33930">
        <w:rPr>
          <w:rFonts w:eastAsia="Verdana" w:cs="Verdana"/>
          <w:szCs w:val="18"/>
          <w:lang w:val="nl-NL"/>
        </w:rPr>
        <w:t>).</w:t>
      </w:r>
      <w:r w:rsidR="00FC2E13" w:rsidRPr="00A33930">
        <w:rPr>
          <w:rFonts w:eastAsia="Verdana" w:cs="Verdana"/>
          <w:szCs w:val="18"/>
          <w:lang w:val="nl-NL"/>
        </w:rPr>
        <w:t xml:space="preserve"> </w:t>
      </w:r>
      <w:r w:rsidR="00F2151C" w:rsidRPr="00A33930">
        <w:rPr>
          <w:rFonts w:eastAsia="Verdana" w:cs="Verdana"/>
          <w:szCs w:val="18"/>
          <w:lang w:val="nl-NL"/>
        </w:rPr>
        <w:t xml:space="preserve">Enerzijds is bescherming niet </w:t>
      </w:r>
      <w:r w:rsidR="00A37216" w:rsidRPr="00A33930">
        <w:rPr>
          <w:rFonts w:eastAsia="Verdana" w:cs="Verdana"/>
          <w:szCs w:val="18"/>
          <w:lang w:val="nl-NL"/>
        </w:rPr>
        <w:t xml:space="preserve">geheel </w:t>
      </w:r>
      <w:r w:rsidR="00F2151C" w:rsidRPr="00A33930">
        <w:rPr>
          <w:rFonts w:eastAsia="Verdana" w:cs="Verdana"/>
          <w:szCs w:val="18"/>
          <w:lang w:val="nl-NL"/>
        </w:rPr>
        <w:t xml:space="preserve">onlogisch, maar anderzijds moet dit volgens het Kinderrechtencommissariaat voor een deel worden losgelaten indien de uitoefening van het recht door het kind hierdoor in gedrang komt. </w:t>
      </w:r>
    </w:p>
    <w:p w14:paraId="157DE7DB" w14:textId="77777777" w:rsidR="00253B22" w:rsidRPr="00A33930" w:rsidRDefault="00253B22" w:rsidP="00E46A7D">
      <w:pPr>
        <w:pStyle w:val="Lijstalinea"/>
        <w:spacing w:before="200" w:after="0"/>
        <w:ind w:left="0"/>
        <w:jc w:val="both"/>
        <w:rPr>
          <w:rFonts w:eastAsia="Verdana" w:cs="Verdana"/>
          <w:szCs w:val="18"/>
          <w:lang w:val="nl-NL"/>
        </w:rPr>
      </w:pPr>
    </w:p>
    <w:p w14:paraId="17C45725" w14:textId="0FBAEAB9" w:rsidR="009A1D12" w:rsidRPr="00A33930" w:rsidRDefault="00623ED3" w:rsidP="00E46A7D">
      <w:pPr>
        <w:pStyle w:val="Lijstalinea"/>
        <w:spacing w:before="200" w:after="0"/>
        <w:ind w:left="0"/>
        <w:jc w:val="both"/>
        <w:rPr>
          <w:rFonts w:eastAsia="Verdana" w:cs="Verdana"/>
          <w:szCs w:val="18"/>
          <w:lang w:val="nl-NL"/>
        </w:rPr>
      </w:pPr>
      <w:r w:rsidRPr="00A33930">
        <w:rPr>
          <w:rFonts w:eastAsia="Verdana" w:cs="Verdana"/>
          <w:szCs w:val="18"/>
          <w:lang w:val="nl-NL"/>
        </w:rPr>
        <w:t xml:space="preserve">Merk op dat zelfs op Vlaams niveau er verschillende meningen over het kindperspectief bestaan. </w:t>
      </w:r>
      <w:r w:rsidR="00523CD7" w:rsidRPr="00A33930">
        <w:rPr>
          <w:rFonts w:eastAsia="Verdana" w:cs="Verdana"/>
          <w:szCs w:val="18"/>
          <w:lang w:val="nl-NL"/>
        </w:rPr>
        <w:t>Zo</w:t>
      </w:r>
      <w:r w:rsidRPr="00A33930">
        <w:rPr>
          <w:rFonts w:eastAsia="Verdana" w:cs="Verdana"/>
          <w:szCs w:val="18"/>
          <w:lang w:val="nl-NL"/>
        </w:rPr>
        <w:t xml:space="preserve"> wordt </w:t>
      </w:r>
      <w:r w:rsidR="00523CD7" w:rsidRPr="00A33930">
        <w:rPr>
          <w:rFonts w:eastAsia="Verdana" w:cs="Verdana"/>
          <w:szCs w:val="18"/>
          <w:lang w:val="nl-NL"/>
        </w:rPr>
        <w:t xml:space="preserve">er </w:t>
      </w:r>
      <w:r w:rsidRPr="00A33930">
        <w:rPr>
          <w:rFonts w:eastAsia="Verdana" w:cs="Verdana"/>
          <w:szCs w:val="18"/>
          <w:lang w:val="nl-NL"/>
        </w:rPr>
        <w:t>bijkomend</w:t>
      </w:r>
      <w:r w:rsidR="00311953" w:rsidRPr="00A33930">
        <w:rPr>
          <w:rFonts w:eastAsia="Verdana" w:cs="Verdana"/>
          <w:szCs w:val="18"/>
          <w:lang w:val="nl-NL"/>
        </w:rPr>
        <w:t>e</w:t>
      </w:r>
      <w:r w:rsidR="00B62AAC" w:rsidRPr="00A33930">
        <w:rPr>
          <w:rFonts w:eastAsia="Verdana" w:cs="Verdana"/>
          <w:szCs w:val="18"/>
          <w:lang w:val="nl-NL"/>
        </w:rPr>
        <w:t xml:space="preserve"> bezorgdheid </w:t>
      </w:r>
      <w:r w:rsidRPr="00A33930">
        <w:rPr>
          <w:rFonts w:eastAsia="Verdana" w:cs="Verdana"/>
          <w:szCs w:val="18"/>
          <w:lang w:val="nl-NL"/>
        </w:rPr>
        <w:t xml:space="preserve">geuit </w:t>
      </w:r>
      <w:r w:rsidR="00B62AAC" w:rsidRPr="00A33930">
        <w:rPr>
          <w:rFonts w:eastAsia="Verdana" w:cs="Verdana"/>
          <w:szCs w:val="18"/>
          <w:lang w:val="nl-NL"/>
        </w:rPr>
        <w:t xml:space="preserve">voor de goede rechtsbedeling </w:t>
      </w:r>
      <w:r w:rsidR="00523CD7" w:rsidRPr="00A33930">
        <w:rPr>
          <w:rFonts w:eastAsia="Verdana" w:cs="Verdana"/>
          <w:szCs w:val="18"/>
          <w:lang w:val="nl-NL"/>
        </w:rPr>
        <w:t>indien</w:t>
      </w:r>
      <w:r w:rsidR="00B62AAC" w:rsidRPr="00A33930">
        <w:rPr>
          <w:rFonts w:eastAsia="Verdana" w:cs="Verdana"/>
          <w:szCs w:val="18"/>
          <w:lang w:val="nl-NL"/>
        </w:rPr>
        <w:t xml:space="preserve"> elk kind</w:t>
      </w:r>
      <w:r w:rsidR="003803A5" w:rsidRPr="00A33930">
        <w:rPr>
          <w:rFonts w:eastAsia="Verdana" w:cs="Verdana"/>
          <w:szCs w:val="18"/>
          <w:lang w:val="nl-NL"/>
        </w:rPr>
        <w:t xml:space="preserve">, mits het </w:t>
      </w:r>
      <w:r w:rsidR="00B62AAC" w:rsidRPr="00A33930">
        <w:rPr>
          <w:rFonts w:eastAsia="Verdana" w:cs="Verdana"/>
          <w:szCs w:val="18"/>
          <w:lang w:val="nl-NL"/>
        </w:rPr>
        <w:t>nodige onderscheidingsvermogen, de zaak zelf aanhangig kan maken bij de familierechtbank.</w:t>
      </w:r>
      <w:r w:rsidR="00B62AAC" w:rsidRPr="00A33930">
        <w:rPr>
          <w:rStyle w:val="Voetnootmarkering"/>
          <w:rFonts w:eastAsia="Verdana" w:cs="Verdana"/>
          <w:szCs w:val="18"/>
          <w:lang w:val="nl-NL"/>
        </w:rPr>
        <w:footnoteReference w:id="254"/>
      </w:r>
      <w:r w:rsidR="00CA06C2" w:rsidRPr="00A33930">
        <w:rPr>
          <w:rFonts w:eastAsia="Verdana" w:cs="Verdana"/>
          <w:szCs w:val="18"/>
          <w:lang w:val="nl-NL"/>
        </w:rPr>
        <w:t xml:space="preserve"> </w:t>
      </w:r>
      <w:r w:rsidR="00915708" w:rsidRPr="00A33930">
        <w:rPr>
          <w:rFonts w:eastAsia="Verdana" w:cs="Verdana"/>
          <w:szCs w:val="18"/>
          <w:lang w:val="nl-NL"/>
        </w:rPr>
        <w:t xml:space="preserve">Dit moet echter worden genuanceerd: het aantal probleemsituaties waarin rechtsingang voor minderjarigen wenselijk en dus noodzakelijk </w:t>
      </w:r>
      <w:r w:rsidR="00F2151C" w:rsidRPr="00A33930">
        <w:rPr>
          <w:rFonts w:eastAsia="Verdana" w:cs="Verdana"/>
          <w:szCs w:val="18"/>
          <w:lang w:val="nl-NL"/>
        </w:rPr>
        <w:t xml:space="preserve">is, zijn </w:t>
      </w:r>
      <w:r w:rsidR="00915708" w:rsidRPr="00A33930">
        <w:rPr>
          <w:rFonts w:eastAsia="Verdana" w:cs="Verdana"/>
          <w:szCs w:val="18"/>
          <w:lang w:val="nl-NL"/>
        </w:rPr>
        <w:t xml:space="preserve">volgens </w:t>
      </w:r>
      <w:r w:rsidR="00F2151C" w:rsidRPr="00A33930">
        <w:rPr>
          <w:rFonts w:eastAsia="Verdana" w:cs="Verdana"/>
          <w:szCs w:val="18"/>
          <w:lang w:val="nl-NL"/>
        </w:rPr>
        <w:t>ex-</w:t>
      </w:r>
      <w:r w:rsidR="007F6DF9" w:rsidRPr="00A33930">
        <w:rPr>
          <w:rFonts w:eastAsia="Verdana" w:cs="Verdana"/>
          <w:szCs w:val="18"/>
          <w:lang w:val="nl-NL"/>
        </w:rPr>
        <w:t>k</w:t>
      </w:r>
      <w:r w:rsidR="00F2151C" w:rsidRPr="00A33930">
        <w:rPr>
          <w:rFonts w:eastAsia="Verdana" w:cs="Verdana"/>
          <w:szCs w:val="18"/>
          <w:lang w:val="nl-NL"/>
        </w:rPr>
        <w:t xml:space="preserve">inderrechtencommissaris </w:t>
      </w:r>
      <w:r w:rsidR="00915708" w:rsidRPr="00A33930">
        <w:rPr>
          <w:rFonts w:eastAsia="Verdana" w:cs="Verdana"/>
          <w:szCs w:val="18"/>
          <w:lang w:val="nl-NL"/>
        </w:rPr>
        <w:t>VANOBBERGEN niet zo talrijk.</w:t>
      </w:r>
      <w:r w:rsidR="00915708" w:rsidRPr="00A33930">
        <w:rPr>
          <w:rStyle w:val="Voetnootmarkering"/>
          <w:rFonts w:eastAsia="Verdana" w:cs="Verdana"/>
          <w:szCs w:val="18"/>
          <w:lang w:val="nl-NL"/>
        </w:rPr>
        <w:footnoteReference w:id="255"/>
      </w:r>
    </w:p>
    <w:p w14:paraId="28B364F0" w14:textId="77777777" w:rsidR="00090B95" w:rsidRPr="00A33930" w:rsidRDefault="00090B95" w:rsidP="00090B95">
      <w:pPr>
        <w:pStyle w:val="Lijstalinea"/>
        <w:spacing w:before="200" w:after="0"/>
        <w:ind w:left="0"/>
        <w:jc w:val="both"/>
        <w:rPr>
          <w:rFonts w:eastAsia="Verdana" w:cs="Verdana"/>
          <w:szCs w:val="18"/>
          <w:lang w:val="nl-NL"/>
        </w:rPr>
      </w:pPr>
    </w:p>
    <w:p w14:paraId="189F03D8" w14:textId="3F69B98E" w:rsidR="00253B22" w:rsidRPr="00A33930" w:rsidRDefault="009A1D12" w:rsidP="00A5350D">
      <w:pPr>
        <w:pStyle w:val="Lijstalinea"/>
        <w:numPr>
          <w:ilvl w:val="0"/>
          <w:numId w:val="4"/>
        </w:numPr>
        <w:spacing w:before="200" w:after="0"/>
        <w:ind w:left="0" w:firstLine="0"/>
        <w:jc w:val="both"/>
        <w:rPr>
          <w:lang w:val="nl-NL"/>
        </w:rPr>
      </w:pPr>
      <w:r w:rsidRPr="00A33930">
        <w:rPr>
          <w:rFonts w:eastAsia="Verdana" w:cs="Verdana"/>
          <w:szCs w:val="18"/>
          <w:lang w:val="nl-NL"/>
        </w:rPr>
        <w:lastRenderedPageBreak/>
        <w:t xml:space="preserve">Op federaal niveau is </w:t>
      </w:r>
      <w:r w:rsidR="00090B95" w:rsidRPr="00A33930">
        <w:rPr>
          <w:rFonts w:eastAsia="Verdana" w:cs="Verdana"/>
          <w:szCs w:val="18"/>
          <w:lang w:val="nl-NL"/>
        </w:rPr>
        <w:t>er steeds meer</w:t>
      </w:r>
      <w:r w:rsidRPr="00A33930">
        <w:rPr>
          <w:rFonts w:eastAsia="Verdana" w:cs="Verdana"/>
          <w:szCs w:val="18"/>
          <w:lang w:val="nl-NL"/>
        </w:rPr>
        <w:t xml:space="preserve"> aandacht voor </w:t>
      </w:r>
      <w:r w:rsidR="00623ED3" w:rsidRPr="00A33930">
        <w:rPr>
          <w:rFonts w:eastAsia="Verdana" w:cs="Verdana"/>
          <w:szCs w:val="18"/>
          <w:lang w:val="nl-NL"/>
        </w:rPr>
        <w:t>de</w:t>
      </w:r>
      <w:r w:rsidRPr="00A33930">
        <w:rPr>
          <w:rFonts w:eastAsia="Verdana" w:cs="Verdana"/>
          <w:szCs w:val="18"/>
          <w:lang w:val="nl-NL"/>
        </w:rPr>
        <w:t xml:space="preserve"> kinderrechten</w:t>
      </w:r>
      <w:r w:rsidR="00523CD7" w:rsidRPr="00A33930">
        <w:rPr>
          <w:rFonts w:eastAsia="Verdana" w:cs="Verdana"/>
          <w:szCs w:val="18"/>
          <w:lang w:val="nl-NL"/>
        </w:rPr>
        <w:t>.</w:t>
      </w:r>
      <w:r w:rsidR="00CA06C2" w:rsidRPr="00A33930">
        <w:rPr>
          <w:rStyle w:val="Voetnootmarkering"/>
          <w:rFonts w:eastAsia="Verdana" w:cs="Verdana"/>
          <w:szCs w:val="18"/>
          <w:lang w:val="nl-NL"/>
        </w:rPr>
        <w:footnoteReference w:id="256"/>
      </w:r>
      <w:r w:rsidR="00396C94" w:rsidRPr="00A33930">
        <w:rPr>
          <w:rFonts w:eastAsia="Verdana" w:cs="Verdana"/>
          <w:szCs w:val="18"/>
          <w:lang w:val="nl-NL"/>
        </w:rPr>
        <w:t xml:space="preserve"> </w:t>
      </w:r>
      <w:r w:rsidR="006A45A7" w:rsidRPr="00A33930">
        <w:rPr>
          <w:rFonts w:eastAsia="Verdana" w:cs="Verdana"/>
          <w:szCs w:val="18"/>
          <w:lang w:val="nl-NL"/>
        </w:rPr>
        <w:t xml:space="preserve">In 1999 werd in de Senaat aangehaald dat het kind </w:t>
      </w:r>
      <w:r w:rsidR="00B01E55" w:rsidRPr="00A33930">
        <w:rPr>
          <w:rFonts w:eastAsia="Verdana" w:cs="Verdana"/>
          <w:szCs w:val="18"/>
          <w:lang w:val="nl-NL"/>
        </w:rPr>
        <w:t>beschouwen</w:t>
      </w:r>
      <w:r w:rsidR="00090B95" w:rsidRPr="00A33930">
        <w:rPr>
          <w:rFonts w:eastAsia="Verdana" w:cs="Verdana"/>
          <w:szCs w:val="18"/>
          <w:lang w:val="nl-NL"/>
        </w:rPr>
        <w:t xml:space="preserve"> als</w:t>
      </w:r>
      <w:r w:rsidR="006A45A7" w:rsidRPr="00A33930">
        <w:rPr>
          <w:rFonts w:eastAsia="Verdana" w:cs="Verdana"/>
          <w:szCs w:val="18"/>
          <w:lang w:val="nl-NL"/>
        </w:rPr>
        <w:t xml:space="preserve"> een volwaardige medespeler</w:t>
      </w:r>
      <w:r w:rsidR="00090B95" w:rsidRPr="00A33930">
        <w:rPr>
          <w:rFonts w:eastAsia="Verdana" w:cs="Verdana"/>
          <w:szCs w:val="18"/>
          <w:lang w:val="nl-NL"/>
        </w:rPr>
        <w:t xml:space="preserve"> </w:t>
      </w:r>
      <w:r w:rsidR="006A45A7" w:rsidRPr="00A33930">
        <w:rPr>
          <w:rFonts w:eastAsia="Verdana" w:cs="Verdana"/>
          <w:szCs w:val="18"/>
          <w:lang w:val="nl-NL"/>
        </w:rPr>
        <w:t>begint bij aanpassing van de Grondwet.</w:t>
      </w:r>
      <w:r w:rsidR="00EF08F7" w:rsidRPr="00A33930">
        <w:rPr>
          <w:rStyle w:val="Voetnootmarkering"/>
          <w:rFonts w:eastAsia="Verdana" w:cs="Verdana"/>
          <w:szCs w:val="18"/>
          <w:lang w:val="nl-NL"/>
        </w:rPr>
        <w:footnoteReference w:id="257"/>
      </w:r>
      <w:r w:rsidR="0038261C" w:rsidRPr="00A33930">
        <w:rPr>
          <w:rFonts w:eastAsia="Verdana" w:cs="Verdana"/>
          <w:szCs w:val="18"/>
          <w:lang w:val="nl-NL"/>
        </w:rPr>
        <w:t xml:space="preserve"> Dit recht leek </w:t>
      </w:r>
      <w:r w:rsidR="00523CD7" w:rsidRPr="00A33930">
        <w:rPr>
          <w:rFonts w:eastAsia="Verdana" w:cs="Verdana"/>
          <w:szCs w:val="18"/>
          <w:lang w:val="nl-NL"/>
        </w:rPr>
        <w:t>op het eerste gezicht dan ook</w:t>
      </w:r>
      <w:r w:rsidR="0038261C" w:rsidRPr="00A33930">
        <w:rPr>
          <w:rFonts w:eastAsia="Verdana" w:cs="Verdana"/>
          <w:szCs w:val="18"/>
          <w:lang w:val="nl-NL"/>
        </w:rPr>
        <w:t xml:space="preserve"> verworven</w:t>
      </w:r>
      <w:r w:rsidR="00523CD7" w:rsidRPr="00A33930">
        <w:rPr>
          <w:rFonts w:eastAsia="Verdana" w:cs="Verdana"/>
          <w:szCs w:val="18"/>
          <w:lang w:val="nl-NL"/>
        </w:rPr>
        <w:t xml:space="preserve"> middels de grondwetswijziging</w:t>
      </w:r>
      <w:r w:rsidR="00470899" w:rsidRPr="00A33930">
        <w:rPr>
          <w:rFonts w:eastAsia="Verdana" w:cs="Verdana"/>
          <w:szCs w:val="18"/>
          <w:lang w:val="nl-NL"/>
        </w:rPr>
        <w:t xml:space="preserve"> (</w:t>
      </w:r>
      <w:r w:rsidR="00470899" w:rsidRPr="00A33930">
        <w:rPr>
          <w:rFonts w:eastAsia="Verdana" w:cs="Verdana"/>
          <w:i/>
          <w:iCs/>
          <w:szCs w:val="18"/>
          <w:lang w:val="nl-NL"/>
        </w:rPr>
        <w:t>supra</w:t>
      </w:r>
      <w:r w:rsidR="00470899" w:rsidRPr="00A33930">
        <w:rPr>
          <w:rFonts w:eastAsia="Verdana" w:cs="Verdana"/>
          <w:szCs w:val="18"/>
          <w:lang w:val="nl-NL"/>
        </w:rPr>
        <w:t xml:space="preserve">, nr. </w:t>
      </w:r>
      <w:r w:rsidR="00234017" w:rsidRPr="00A33930">
        <w:rPr>
          <w:rFonts w:eastAsia="Verdana" w:cs="Verdana"/>
          <w:szCs w:val="18"/>
          <w:lang w:val="nl-NL"/>
        </w:rPr>
        <w:t>66</w:t>
      </w:r>
      <w:r w:rsidR="00470899" w:rsidRPr="00A33930">
        <w:rPr>
          <w:rFonts w:eastAsia="Verdana" w:cs="Verdana"/>
          <w:szCs w:val="18"/>
          <w:lang w:val="nl-NL"/>
        </w:rPr>
        <w:t>)</w:t>
      </w:r>
      <w:r w:rsidR="0038261C" w:rsidRPr="00A33930">
        <w:rPr>
          <w:rFonts w:eastAsia="Verdana" w:cs="Verdana"/>
          <w:szCs w:val="18"/>
          <w:lang w:val="nl-NL"/>
        </w:rPr>
        <w:t>.</w:t>
      </w:r>
      <w:r w:rsidR="00B91988" w:rsidRPr="00A33930">
        <w:rPr>
          <w:rFonts w:eastAsia="Verdana" w:cs="Verdana"/>
          <w:szCs w:val="18"/>
          <w:lang w:val="nl-NL"/>
        </w:rPr>
        <w:t xml:space="preserve"> Door de Nationale Commissie voor de Rechten van het Kind worden rapporteringen opgemaakt voor het VN-Kinderrechtencomité. Er zijn reeds zes rapporten opgesteld, waarvan de laatste dateert uit 2017. Een volgend rapport wordt verwacht in 2024.</w:t>
      </w:r>
      <w:r w:rsidR="00D479D0" w:rsidRPr="00A33930">
        <w:rPr>
          <w:rStyle w:val="Voetnootmarkering"/>
          <w:rFonts w:eastAsia="Verdana" w:cs="Verdana"/>
          <w:szCs w:val="18"/>
          <w:lang w:val="nl-NL"/>
        </w:rPr>
        <w:footnoteReference w:id="258"/>
      </w:r>
      <w:r w:rsidR="00D479D0" w:rsidRPr="00A33930">
        <w:rPr>
          <w:rFonts w:eastAsia="Verdana" w:cs="Verdana"/>
          <w:szCs w:val="18"/>
          <w:lang w:val="nl-NL"/>
        </w:rPr>
        <w:t xml:space="preserve"> In </w:t>
      </w:r>
      <w:r w:rsidR="00955C9B" w:rsidRPr="00A33930">
        <w:rPr>
          <w:rFonts w:eastAsia="Verdana" w:cs="Verdana"/>
          <w:szCs w:val="18"/>
          <w:lang w:val="nl-NL"/>
        </w:rPr>
        <w:t>het</w:t>
      </w:r>
      <w:r w:rsidR="00D479D0" w:rsidRPr="00A33930">
        <w:rPr>
          <w:rFonts w:eastAsia="Verdana" w:cs="Verdana"/>
          <w:szCs w:val="18"/>
          <w:lang w:val="nl-NL"/>
        </w:rPr>
        <w:t xml:space="preserve"> rapport </w:t>
      </w:r>
      <w:r w:rsidR="00955C9B" w:rsidRPr="00A33930">
        <w:rPr>
          <w:rFonts w:eastAsia="Verdana" w:cs="Verdana"/>
          <w:szCs w:val="18"/>
          <w:lang w:val="nl-NL"/>
        </w:rPr>
        <w:t xml:space="preserve">uit 2017 </w:t>
      </w:r>
      <w:r w:rsidR="00D479D0" w:rsidRPr="00A33930">
        <w:rPr>
          <w:rFonts w:eastAsia="Verdana" w:cs="Verdana"/>
          <w:szCs w:val="18"/>
          <w:lang w:val="nl-NL"/>
        </w:rPr>
        <w:t>wordt aandacht gevraagd voor een passend belang voor de mening van het kind en het afschaffen van de leeftijd</w:t>
      </w:r>
      <w:r w:rsidR="00470899" w:rsidRPr="00A33930">
        <w:rPr>
          <w:rFonts w:eastAsia="Verdana" w:cs="Verdana"/>
          <w:szCs w:val="18"/>
          <w:lang w:val="nl-NL"/>
        </w:rPr>
        <w:t>s</w:t>
      </w:r>
      <w:r w:rsidR="00D479D0" w:rsidRPr="00A33930">
        <w:rPr>
          <w:rFonts w:eastAsia="Verdana" w:cs="Verdana"/>
          <w:szCs w:val="18"/>
          <w:lang w:val="nl-NL"/>
        </w:rPr>
        <w:t xml:space="preserve">grenzen </w:t>
      </w:r>
      <w:r w:rsidR="00470899" w:rsidRPr="00A33930">
        <w:rPr>
          <w:rFonts w:eastAsia="Verdana" w:cs="Verdana"/>
          <w:szCs w:val="18"/>
          <w:lang w:val="nl-NL"/>
        </w:rPr>
        <w:t>bij het hoorrecht</w:t>
      </w:r>
      <w:r w:rsidR="00D479D0" w:rsidRPr="00A33930">
        <w:rPr>
          <w:rFonts w:eastAsia="Verdana" w:cs="Verdana"/>
          <w:szCs w:val="18"/>
          <w:lang w:val="nl-NL"/>
        </w:rPr>
        <w:t>.</w:t>
      </w:r>
      <w:r w:rsidR="00D479D0" w:rsidRPr="00A33930">
        <w:rPr>
          <w:rStyle w:val="Voetnootmarkering"/>
          <w:rFonts w:eastAsia="Verdana" w:cs="Verdana"/>
          <w:szCs w:val="18"/>
          <w:lang w:val="nl-NL"/>
        </w:rPr>
        <w:footnoteReference w:id="259"/>
      </w:r>
      <w:r w:rsidR="00D479D0" w:rsidRPr="00A33930">
        <w:rPr>
          <w:rFonts w:eastAsia="Verdana" w:cs="Verdana"/>
          <w:szCs w:val="18"/>
          <w:lang w:val="nl-NL"/>
        </w:rPr>
        <w:t xml:space="preserve"> </w:t>
      </w:r>
      <w:r w:rsidR="00D479D0" w:rsidRPr="00A33930">
        <w:rPr>
          <w:rFonts w:eastAsia="Verdana" w:cs="Verdana"/>
          <w:i/>
          <w:iCs/>
          <w:szCs w:val="18"/>
          <w:lang w:val="nl-NL"/>
        </w:rPr>
        <w:t>Inter alia</w:t>
      </w:r>
      <w:r w:rsidR="00D479D0" w:rsidRPr="00A33930">
        <w:rPr>
          <w:rFonts w:eastAsia="Verdana" w:cs="Verdana"/>
          <w:szCs w:val="18"/>
          <w:lang w:val="nl-NL"/>
        </w:rPr>
        <w:t xml:space="preserve"> kan hieruit </w:t>
      </w:r>
      <w:r w:rsidR="00253B22" w:rsidRPr="00A33930">
        <w:rPr>
          <w:rFonts w:eastAsia="Verdana" w:cs="Verdana"/>
          <w:szCs w:val="18"/>
          <w:lang w:val="nl-NL"/>
        </w:rPr>
        <w:t xml:space="preserve">worden </w:t>
      </w:r>
      <w:r w:rsidR="00D479D0" w:rsidRPr="00A33930">
        <w:rPr>
          <w:rFonts w:eastAsia="Verdana" w:cs="Verdana"/>
          <w:szCs w:val="18"/>
          <w:lang w:val="nl-NL"/>
        </w:rPr>
        <w:t xml:space="preserve">afgeleid dat het VN-Kinderrechtencomité geen </w:t>
      </w:r>
      <w:r w:rsidR="00470899" w:rsidRPr="00A33930">
        <w:rPr>
          <w:rFonts w:eastAsia="Verdana" w:cs="Verdana"/>
          <w:szCs w:val="18"/>
          <w:lang w:val="nl-NL"/>
        </w:rPr>
        <w:t xml:space="preserve">gebruik van </w:t>
      </w:r>
      <w:r w:rsidR="008261CA" w:rsidRPr="00A33930">
        <w:rPr>
          <w:rFonts w:eastAsia="Verdana" w:cs="Verdana"/>
          <w:szCs w:val="18"/>
          <w:lang w:val="nl-NL"/>
        </w:rPr>
        <w:t xml:space="preserve">strikte </w:t>
      </w:r>
      <w:r w:rsidR="00D479D0" w:rsidRPr="00A33930">
        <w:rPr>
          <w:rFonts w:eastAsia="Verdana" w:cs="Verdana"/>
          <w:szCs w:val="18"/>
          <w:lang w:val="nl-NL"/>
        </w:rPr>
        <w:t>leeftijd</w:t>
      </w:r>
      <w:r w:rsidR="00470899" w:rsidRPr="00A33930">
        <w:rPr>
          <w:rFonts w:eastAsia="Verdana" w:cs="Verdana"/>
          <w:szCs w:val="18"/>
          <w:lang w:val="nl-NL"/>
        </w:rPr>
        <w:t>s</w:t>
      </w:r>
      <w:r w:rsidR="00D479D0" w:rsidRPr="00A33930">
        <w:rPr>
          <w:rFonts w:eastAsia="Verdana" w:cs="Verdana"/>
          <w:szCs w:val="18"/>
          <w:lang w:val="nl-NL"/>
        </w:rPr>
        <w:t xml:space="preserve">grenzen wenst binnen het statuut van </w:t>
      </w:r>
      <w:r w:rsidR="00234017" w:rsidRPr="00A33930">
        <w:rPr>
          <w:rFonts w:eastAsia="Verdana" w:cs="Verdana"/>
          <w:szCs w:val="18"/>
          <w:lang w:val="nl-NL"/>
        </w:rPr>
        <w:t xml:space="preserve">de </w:t>
      </w:r>
      <w:r w:rsidR="00D479D0" w:rsidRPr="00A33930">
        <w:rPr>
          <w:rFonts w:eastAsia="Verdana" w:cs="Verdana"/>
          <w:szCs w:val="18"/>
          <w:lang w:val="nl-NL"/>
        </w:rPr>
        <w:t>minderjarige.</w:t>
      </w:r>
      <w:r w:rsidR="000E0F9D" w:rsidRPr="00A33930">
        <w:rPr>
          <w:rStyle w:val="Voetnootmarkering"/>
          <w:rFonts w:eastAsia="Verdana" w:cs="Verdana"/>
          <w:szCs w:val="18"/>
          <w:lang w:val="nl-NL"/>
        </w:rPr>
        <w:footnoteReference w:id="260"/>
      </w:r>
      <w:r w:rsidR="00634A25" w:rsidRPr="00A33930">
        <w:rPr>
          <w:rFonts w:eastAsia="Verdana" w:cs="Verdana"/>
          <w:szCs w:val="18"/>
          <w:lang w:val="nl-NL"/>
        </w:rPr>
        <w:t xml:space="preserve"> </w:t>
      </w:r>
      <w:r w:rsidR="00E73F41" w:rsidRPr="00A33930">
        <w:rPr>
          <w:rFonts w:eastAsia="Verdana" w:cs="Verdana"/>
          <w:szCs w:val="18"/>
          <w:lang w:val="nl-NL"/>
        </w:rPr>
        <w:t>Vaste en absolute leeftijdsgrenzen zijn niet in overeenstemming met het principe van “evolving capacities</w:t>
      </w:r>
      <w:r w:rsidR="00470899" w:rsidRPr="00A33930">
        <w:rPr>
          <w:rFonts w:eastAsia="Verdana" w:cs="Verdana"/>
          <w:szCs w:val="18"/>
          <w:lang w:val="nl-NL"/>
        </w:rPr>
        <w:t xml:space="preserve"> of the child</w:t>
      </w:r>
      <w:r w:rsidR="00E73F41" w:rsidRPr="00A33930">
        <w:rPr>
          <w:rFonts w:eastAsia="Verdana" w:cs="Verdana"/>
          <w:szCs w:val="18"/>
          <w:lang w:val="nl-NL"/>
        </w:rPr>
        <w:t>”.</w:t>
      </w:r>
      <w:r w:rsidR="00E73F41" w:rsidRPr="00A33930">
        <w:rPr>
          <w:rStyle w:val="Voetnootmarkering"/>
          <w:rFonts w:eastAsia="Verdana" w:cs="Verdana"/>
          <w:szCs w:val="18"/>
          <w:lang w:val="nl-NL"/>
        </w:rPr>
        <w:footnoteReference w:id="261"/>
      </w:r>
      <w:r w:rsidR="00E73F41" w:rsidRPr="00A33930">
        <w:rPr>
          <w:rFonts w:eastAsia="Verdana" w:cs="Verdana"/>
          <w:szCs w:val="18"/>
          <w:lang w:val="nl-NL"/>
        </w:rPr>
        <w:t xml:space="preserve"> </w:t>
      </w:r>
      <w:r w:rsidR="00634A25" w:rsidRPr="00A33930">
        <w:rPr>
          <w:rFonts w:eastAsia="Verdana" w:cs="Verdana"/>
          <w:szCs w:val="18"/>
          <w:lang w:val="nl-NL"/>
        </w:rPr>
        <w:t xml:space="preserve">De </w:t>
      </w:r>
      <w:r w:rsidR="00A37216" w:rsidRPr="00A33930">
        <w:rPr>
          <w:rFonts w:eastAsia="Verdana" w:cs="Verdana"/>
          <w:szCs w:val="18"/>
          <w:lang w:val="nl-NL"/>
        </w:rPr>
        <w:t>kern</w:t>
      </w:r>
      <w:r w:rsidR="00634A25" w:rsidRPr="00A33930">
        <w:rPr>
          <w:rFonts w:eastAsia="Verdana" w:cs="Verdana"/>
          <w:szCs w:val="18"/>
          <w:lang w:val="nl-NL"/>
        </w:rPr>
        <w:t>vraag is echter hoe dit moet worden uitgewerkt per nationaal rechtsstelsel, dat vaak vasthangt aan andere vereisten (</w:t>
      </w:r>
      <w:r w:rsidR="00634A25" w:rsidRPr="00A33930">
        <w:rPr>
          <w:rFonts w:eastAsia="Verdana" w:cs="Verdana"/>
          <w:i/>
          <w:iCs/>
          <w:szCs w:val="18"/>
          <w:lang w:val="nl-NL"/>
        </w:rPr>
        <w:t>supra</w:t>
      </w:r>
      <w:r w:rsidR="00634A25" w:rsidRPr="00A33930">
        <w:rPr>
          <w:rFonts w:eastAsia="Verdana" w:cs="Verdana"/>
          <w:szCs w:val="18"/>
          <w:lang w:val="nl-NL"/>
        </w:rPr>
        <w:t xml:space="preserve">, nr. </w:t>
      </w:r>
      <w:r w:rsidR="00234017" w:rsidRPr="00A33930">
        <w:rPr>
          <w:rFonts w:eastAsia="Verdana" w:cs="Verdana"/>
          <w:szCs w:val="18"/>
          <w:lang w:val="nl-NL"/>
        </w:rPr>
        <w:t>30 en nr. 49</w:t>
      </w:r>
      <w:r w:rsidR="00634A25" w:rsidRPr="00A33930">
        <w:rPr>
          <w:rFonts w:eastAsia="Verdana" w:cs="Verdana"/>
          <w:szCs w:val="18"/>
          <w:lang w:val="nl-NL"/>
        </w:rPr>
        <w:t>).</w:t>
      </w:r>
      <w:r w:rsidR="00A5350D" w:rsidRPr="00A33930">
        <w:rPr>
          <w:rFonts w:eastAsia="Verdana" w:cs="Verdana"/>
          <w:szCs w:val="18"/>
          <w:lang w:val="nl-NL"/>
        </w:rPr>
        <w:t xml:space="preserve"> </w:t>
      </w:r>
    </w:p>
    <w:p w14:paraId="240987DC" w14:textId="77777777" w:rsidR="00253B22" w:rsidRPr="00A33930" w:rsidRDefault="00253B22" w:rsidP="00253B22">
      <w:pPr>
        <w:pStyle w:val="Lijstalinea"/>
        <w:spacing w:before="200" w:after="0"/>
        <w:ind w:left="0"/>
        <w:jc w:val="both"/>
        <w:rPr>
          <w:rFonts w:eastAsia="Verdana" w:cs="Verdana"/>
          <w:szCs w:val="18"/>
          <w:lang w:val="nl-NL"/>
        </w:rPr>
      </w:pPr>
    </w:p>
    <w:p w14:paraId="19C6B89B" w14:textId="030BAE87" w:rsidR="0038261C" w:rsidRPr="00A33930" w:rsidRDefault="00A5350D" w:rsidP="00253B22">
      <w:pPr>
        <w:pStyle w:val="Lijstalinea"/>
        <w:spacing w:before="200" w:after="0"/>
        <w:ind w:left="0"/>
        <w:jc w:val="both"/>
        <w:rPr>
          <w:lang w:val="nl-NL"/>
        </w:rPr>
      </w:pPr>
      <w:r w:rsidRPr="00A33930">
        <w:rPr>
          <w:rFonts w:eastAsia="Verdana" w:cs="Verdana"/>
          <w:szCs w:val="18"/>
          <w:lang w:val="nl-NL"/>
        </w:rPr>
        <w:t xml:space="preserve">Uit de parlementaire </w:t>
      </w:r>
      <w:r w:rsidR="00634A25" w:rsidRPr="00A33930">
        <w:rPr>
          <w:rFonts w:eastAsia="Verdana" w:cs="Verdana"/>
          <w:szCs w:val="18"/>
          <w:lang w:val="nl-NL"/>
        </w:rPr>
        <w:t>stukken</w:t>
      </w:r>
      <w:r w:rsidRPr="00A33930">
        <w:rPr>
          <w:rFonts w:eastAsia="Verdana" w:cs="Verdana"/>
          <w:szCs w:val="18"/>
          <w:lang w:val="nl-NL"/>
        </w:rPr>
        <w:t xml:space="preserve"> blijkt dat </w:t>
      </w:r>
      <w:r w:rsidR="00634A25" w:rsidRPr="00A33930">
        <w:rPr>
          <w:rFonts w:eastAsia="Verdana" w:cs="Verdana"/>
          <w:szCs w:val="18"/>
          <w:lang w:val="nl-NL"/>
        </w:rPr>
        <w:t xml:space="preserve">het kind als rechtssubject </w:t>
      </w:r>
      <w:r w:rsidRPr="00A33930">
        <w:rPr>
          <w:rFonts w:eastAsia="Verdana" w:cs="Verdana"/>
          <w:szCs w:val="18"/>
          <w:lang w:val="nl-NL"/>
        </w:rPr>
        <w:t xml:space="preserve">op federaal niveau </w:t>
      </w:r>
      <w:r w:rsidR="00634A25" w:rsidRPr="00A33930">
        <w:rPr>
          <w:rFonts w:eastAsia="Verdana" w:cs="Verdana"/>
          <w:szCs w:val="18"/>
          <w:lang w:val="nl-NL"/>
        </w:rPr>
        <w:t xml:space="preserve">voldoende </w:t>
      </w:r>
      <w:r w:rsidRPr="00A33930">
        <w:rPr>
          <w:rFonts w:eastAsia="Verdana" w:cs="Verdana"/>
          <w:szCs w:val="18"/>
          <w:lang w:val="nl-NL"/>
        </w:rPr>
        <w:t>steun vindt</w:t>
      </w:r>
      <w:r w:rsidR="008261CA" w:rsidRPr="00A33930">
        <w:rPr>
          <w:rFonts w:eastAsia="Verdana" w:cs="Verdana"/>
          <w:szCs w:val="18"/>
          <w:lang w:val="nl-NL"/>
        </w:rPr>
        <w:t xml:space="preserve">. Toch verkrijgt </w:t>
      </w:r>
      <w:r w:rsidR="00634A25" w:rsidRPr="00A33930">
        <w:rPr>
          <w:rFonts w:eastAsia="Verdana" w:cs="Verdana"/>
          <w:szCs w:val="18"/>
          <w:lang w:val="nl-NL"/>
        </w:rPr>
        <w:t xml:space="preserve">dit perspectief vaak geen toepassing </w:t>
      </w:r>
      <w:r w:rsidRPr="00A33930">
        <w:rPr>
          <w:rFonts w:eastAsia="Verdana" w:cs="Verdana"/>
          <w:szCs w:val="18"/>
          <w:lang w:val="nl-NL"/>
        </w:rPr>
        <w:t xml:space="preserve">door andere praktische </w:t>
      </w:r>
      <w:r w:rsidR="00634A25" w:rsidRPr="00A33930">
        <w:rPr>
          <w:rFonts w:eastAsia="Verdana" w:cs="Verdana"/>
          <w:szCs w:val="18"/>
          <w:lang w:val="nl-NL"/>
        </w:rPr>
        <w:t xml:space="preserve">en wettelijke </w:t>
      </w:r>
      <w:r w:rsidRPr="00A33930">
        <w:rPr>
          <w:rFonts w:eastAsia="Verdana" w:cs="Verdana"/>
          <w:szCs w:val="18"/>
          <w:lang w:val="nl-NL"/>
        </w:rPr>
        <w:t xml:space="preserve">maatregelen waar </w:t>
      </w:r>
      <w:r w:rsidR="00634A25" w:rsidRPr="00A33930">
        <w:rPr>
          <w:rFonts w:eastAsia="Verdana" w:cs="Verdana"/>
          <w:szCs w:val="18"/>
          <w:lang w:val="nl-NL"/>
        </w:rPr>
        <w:t>het</w:t>
      </w:r>
      <w:r w:rsidRPr="00A33930">
        <w:rPr>
          <w:rFonts w:eastAsia="Verdana" w:cs="Verdana"/>
          <w:szCs w:val="18"/>
          <w:lang w:val="nl-NL"/>
        </w:rPr>
        <w:t xml:space="preserve"> mee verbonden is. </w:t>
      </w:r>
      <w:r w:rsidR="00523CD7" w:rsidRPr="00A33930">
        <w:rPr>
          <w:rFonts w:eastAsia="Verdana" w:cs="Verdana"/>
          <w:szCs w:val="18"/>
          <w:lang w:val="nl-NL"/>
        </w:rPr>
        <w:t xml:space="preserve">Het haalt met andere woorden steeds de eindhorde niet. </w:t>
      </w:r>
      <w:r w:rsidRPr="00A33930">
        <w:rPr>
          <w:rFonts w:eastAsia="Verdana" w:cs="Verdana"/>
          <w:szCs w:val="18"/>
          <w:lang w:val="nl-NL"/>
        </w:rPr>
        <w:t>Iedereen is het erover eens dat kinderen moeten beschermd worden</w:t>
      </w:r>
      <w:r w:rsidR="00470899" w:rsidRPr="00A33930">
        <w:rPr>
          <w:rFonts w:eastAsia="Verdana" w:cs="Verdana"/>
          <w:szCs w:val="18"/>
          <w:lang w:val="nl-NL"/>
        </w:rPr>
        <w:t>, waardoor d</w:t>
      </w:r>
      <w:r w:rsidR="00523CD7" w:rsidRPr="00A33930">
        <w:rPr>
          <w:rFonts w:eastAsia="Verdana" w:cs="Verdana"/>
          <w:szCs w:val="18"/>
          <w:lang w:val="nl-NL"/>
        </w:rPr>
        <w:t>e</w:t>
      </w:r>
      <w:r w:rsidRPr="00A33930">
        <w:rPr>
          <w:rFonts w:eastAsia="Verdana" w:cs="Verdana"/>
          <w:szCs w:val="18"/>
          <w:lang w:val="nl-NL"/>
        </w:rPr>
        <w:t xml:space="preserve"> vraag </w:t>
      </w:r>
      <w:r w:rsidR="00634A25" w:rsidRPr="00A33930">
        <w:rPr>
          <w:rFonts w:eastAsia="Verdana" w:cs="Verdana"/>
          <w:szCs w:val="18"/>
          <w:lang w:val="nl-NL"/>
        </w:rPr>
        <w:t>voornamelijk</w:t>
      </w:r>
      <w:r w:rsidR="00470899" w:rsidRPr="00A33930">
        <w:rPr>
          <w:rFonts w:eastAsia="Verdana" w:cs="Verdana"/>
          <w:szCs w:val="18"/>
          <w:lang w:val="nl-NL"/>
        </w:rPr>
        <w:t xml:space="preserve"> is</w:t>
      </w:r>
      <w:r w:rsidRPr="00A33930">
        <w:rPr>
          <w:rFonts w:eastAsia="Verdana" w:cs="Verdana"/>
          <w:szCs w:val="18"/>
          <w:lang w:val="nl-NL"/>
        </w:rPr>
        <w:t xml:space="preserve"> </w:t>
      </w:r>
      <w:r w:rsidRPr="00A33930">
        <w:rPr>
          <w:rFonts w:eastAsia="Verdana" w:cs="Verdana"/>
          <w:i/>
          <w:iCs/>
          <w:szCs w:val="18"/>
          <w:lang w:val="nl-NL"/>
        </w:rPr>
        <w:t>in welke mate</w:t>
      </w:r>
      <w:r w:rsidRPr="00A33930">
        <w:rPr>
          <w:rFonts w:eastAsia="Verdana" w:cs="Verdana"/>
          <w:szCs w:val="18"/>
          <w:lang w:val="nl-NL"/>
        </w:rPr>
        <w:t xml:space="preserve"> de kinderen rechtssubjecten zijn.</w:t>
      </w:r>
      <w:r w:rsidRPr="00A33930">
        <w:rPr>
          <w:rStyle w:val="Voetnootmarkering"/>
          <w:rFonts w:eastAsia="Verdana" w:cs="Verdana"/>
          <w:szCs w:val="18"/>
          <w:lang w:val="nl-NL"/>
        </w:rPr>
        <w:footnoteReference w:id="262"/>
      </w:r>
      <w:r w:rsidRPr="00A33930">
        <w:rPr>
          <w:rFonts w:eastAsia="Verdana" w:cs="Verdana"/>
          <w:szCs w:val="18"/>
          <w:lang w:val="nl-NL"/>
        </w:rPr>
        <w:t xml:space="preserve"> </w:t>
      </w:r>
      <w:r w:rsidR="0038261C" w:rsidRPr="00A33930">
        <w:rPr>
          <w:rFonts w:eastAsia="Verdana" w:cs="Verdana"/>
          <w:szCs w:val="18"/>
          <w:lang w:val="nl-NL"/>
        </w:rPr>
        <w:t xml:space="preserve">De federale wetgevende </w:t>
      </w:r>
      <w:r w:rsidR="007A2EF4" w:rsidRPr="00A33930">
        <w:rPr>
          <w:rFonts w:eastAsia="Verdana" w:cs="Verdana"/>
          <w:szCs w:val="18"/>
          <w:lang w:val="nl-NL"/>
        </w:rPr>
        <w:t>initiatieven</w:t>
      </w:r>
      <w:r w:rsidR="0038261C" w:rsidRPr="00A33930">
        <w:rPr>
          <w:rFonts w:eastAsia="Verdana" w:cs="Verdana"/>
          <w:szCs w:val="18"/>
          <w:lang w:val="nl-NL"/>
        </w:rPr>
        <w:t xml:space="preserve"> worden </w:t>
      </w:r>
      <w:r w:rsidR="00634A25" w:rsidRPr="00A33930">
        <w:rPr>
          <w:rFonts w:eastAsia="Verdana" w:cs="Verdana"/>
          <w:szCs w:val="18"/>
          <w:lang w:val="nl-NL"/>
        </w:rPr>
        <w:t xml:space="preserve">hierdoor </w:t>
      </w:r>
      <w:r w:rsidR="0038261C" w:rsidRPr="00A33930">
        <w:rPr>
          <w:rFonts w:eastAsia="Verdana" w:cs="Verdana"/>
          <w:szCs w:val="18"/>
          <w:lang w:val="nl-NL"/>
        </w:rPr>
        <w:t xml:space="preserve">zelden gebaseerd op </w:t>
      </w:r>
      <w:r w:rsidR="00634A25" w:rsidRPr="00A33930">
        <w:rPr>
          <w:rFonts w:eastAsia="Verdana" w:cs="Verdana"/>
          <w:szCs w:val="18"/>
          <w:lang w:val="nl-NL"/>
        </w:rPr>
        <w:t>de bepalingen van</w:t>
      </w:r>
      <w:r w:rsidR="0038261C" w:rsidRPr="00A33930">
        <w:rPr>
          <w:rFonts w:eastAsia="Verdana" w:cs="Verdana"/>
          <w:szCs w:val="18"/>
          <w:lang w:val="nl-NL"/>
        </w:rPr>
        <w:t xml:space="preserve"> </w:t>
      </w:r>
      <w:r w:rsidR="008261CA" w:rsidRPr="00A33930">
        <w:rPr>
          <w:rFonts w:eastAsia="Verdana" w:cs="Verdana"/>
          <w:szCs w:val="18"/>
          <w:lang w:val="nl-NL"/>
        </w:rPr>
        <w:t xml:space="preserve">het </w:t>
      </w:r>
      <w:r w:rsidR="0038261C" w:rsidRPr="00A33930">
        <w:rPr>
          <w:rFonts w:eastAsia="Verdana" w:cs="Verdana"/>
          <w:szCs w:val="18"/>
          <w:lang w:val="nl-NL"/>
        </w:rPr>
        <w:t>IVRK</w:t>
      </w:r>
      <w:r w:rsidR="00470899" w:rsidRPr="00A33930">
        <w:rPr>
          <w:rFonts w:eastAsia="Verdana" w:cs="Verdana"/>
          <w:szCs w:val="18"/>
          <w:lang w:val="nl-NL"/>
        </w:rPr>
        <w:t xml:space="preserve">, </w:t>
      </w:r>
      <w:r w:rsidR="0038261C" w:rsidRPr="00A33930">
        <w:rPr>
          <w:rFonts w:eastAsia="Verdana" w:cs="Verdana"/>
          <w:szCs w:val="18"/>
          <w:lang w:val="nl-NL"/>
        </w:rPr>
        <w:t xml:space="preserve">maar worden meer </w:t>
      </w:r>
      <w:r w:rsidR="00634A25" w:rsidRPr="00A33930">
        <w:rPr>
          <w:rFonts w:eastAsia="Verdana" w:cs="Verdana"/>
          <w:szCs w:val="18"/>
          <w:lang w:val="nl-NL"/>
        </w:rPr>
        <w:t>“</w:t>
      </w:r>
      <w:r w:rsidR="0038261C" w:rsidRPr="00A33930">
        <w:rPr>
          <w:rFonts w:eastAsia="Verdana" w:cs="Verdana"/>
          <w:szCs w:val="18"/>
          <w:lang w:val="nl-NL"/>
        </w:rPr>
        <w:t>aangehaakt</w:t>
      </w:r>
      <w:r w:rsidR="00634A25" w:rsidRPr="00A33930">
        <w:rPr>
          <w:rFonts w:eastAsia="Verdana" w:cs="Verdana"/>
          <w:szCs w:val="18"/>
          <w:lang w:val="nl-NL"/>
        </w:rPr>
        <w:t xml:space="preserve">” </w:t>
      </w:r>
      <w:r w:rsidR="0038261C" w:rsidRPr="00A33930">
        <w:rPr>
          <w:rFonts w:eastAsia="Verdana" w:cs="Verdana"/>
          <w:szCs w:val="18"/>
          <w:lang w:val="nl-NL"/>
        </w:rPr>
        <w:t xml:space="preserve">aan andere hervormingen, ontwikkelingen of (politieke) </w:t>
      </w:r>
      <w:r w:rsidR="00A80A70" w:rsidRPr="00A33930">
        <w:rPr>
          <w:rFonts w:eastAsia="Verdana" w:cs="Verdana"/>
          <w:szCs w:val="18"/>
          <w:lang w:val="nl-NL"/>
        </w:rPr>
        <w:t>beweegredenen</w:t>
      </w:r>
      <w:r w:rsidR="0038261C" w:rsidRPr="00A33930">
        <w:rPr>
          <w:rFonts w:eastAsia="Verdana" w:cs="Verdana"/>
          <w:szCs w:val="18"/>
          <w:lang w:val="nl-NL"/>
        </w:rPr>
        <w:t>.</w:t>
      </w:r>
      <w:r w:rsidR="0038261C" w:rsidRPr="00A33930">
        <w:rPr>
          <w:rStyle w:val="Voetnootmarkering"/>
          <w:rFonts w:eastAsia="Verdana" w:cs="Verdana"/>
          <w:szCs w:val="18"/>
          <w:lang w:val="nl-NL"/>
        </w:rPr>
        <w:footnoteReference w:id="263"/>
      </w:r>
    </w:p>
    <w:p w14:paraId="1183F38A" w14:textId="77777777" w:rsidR="00A43EF3" w:rsidRPr="00A33930" w:rsidRDefault="00A43EF3" w:rsidP="00A43EF3">
      <w:pPr>
        <w:pStyle w:val="Lijstalinea"/>
        <w:spacing w:before="200" w:after="0"/>
        <w:ind w:left="0"/>
        <w:jc w:val="both"/>
        <w:rPr>
          <w:lang w:val="nl-NL"/>
        </w:rPr>
      </w:pPr>
    </w:p>
    <w:p w14:paraId="1CC34843" w14:textId="73029C81" w:rsidR="00995E5D" w:rsidRPr="00A33930" w:rsidRDefault="00634A25" w:rsidP="00995E5D">
      <w:pPr>
        <w:pStyle w:val="Lijstalinea"/>
        <w:numPr>
          <w:ilvl w:val="0"/>
          <w:numId w:val="4"/>
        </w:numPr>
        <w:spacing w:before="200" w:after="0"/>
        <w:ind w:left="0" w:firstLine="0"/>
        <w:jc w:val="both"/>
        <w:rPr>
          <w:lang w:val="nl-NL"/>
        </w:rPr>
      </w:pPr>
      <w:r w:rsidRPr="00A33930">
        <w:rPr>
          <w:rFonts w:eastAsia="Verdana" w:cs="Verdana"/>
          <w:szCs w:val="18"/>
          <w:lang w:val="nl-NL"/>
        </w:rPr>
        <w:t>Zowel op federaal als op Vlaams</w:t>
      </w:r>
      <w:r w:rsidR="00A5350D" w:rsidRPr="00A33930">
        <w:rPr>
          <w:rFonts w:eastAsia="Verdana" w:cs="Verdana"/>
          <w:szCs w:val="18"/>
          <w:lang w:val="nl-NL"/>
        </w:rPr>
        <w:t xml:space="preserve"> niveau</w:t>
      </w:r>
      <w:r w:rsidRPr="00A33930">
        <w:rPr>
          <w:rFonts w:eastAsia="Verdana" w:cs="Verdana"/>
          <w:szCs w:val="18"/>
          <w:lang w:val="nl-NL"/>
        </w:rPr>
        <w:t xml:space="preserve"> wordt</w:t>
      </w:r>
      <w:r w:rsidR="00A5350D" w:rsidRPr="00A33930">
        <w:rPr>
          <w:rFonts w:eastAsia="Verdana" w:cs="Verdana"/>
          <w:szCs w:val="18"/>
          <w:lang w:val="nl-NL"/>
        </w:rPr>
        <w:t xml:space="preserve"> </w:t>
      </w:r>
      <w:r w:rsidR="00CA06C2" w:rsidRPr="00A33930">
        <w:rPr>
          <w:rFonts w:eastAsia="Verdana" w:cs="Verdana"/>
          <w:szCs w:val="18"/>
          <w:lang w:val="nl-NL"/>
        </w:rPr>
        <w:t>voornamelijk een</w:t>
      </w:r>
      <w:r w:rsidR="0038261C" w:rsidRPr="00A33930">
        <w:rPr>
          <w:rFonts w:eastAsia="Verdana" w:cs="Verdana"/>
          <w:szCs w:val="18"/>
          <w:lang w:val="nl-NL"/>
        </w:rPr>
        <w:t xml:space="preserve"> </w:t>
      </w:r>
      <w:r w:rsidR="00CA06C2" w:rsidRPr="00A33930">
        <w:rPr>
          <w:rFonts w:eastAsia="Verdana" w:cs="Verdana"/>
          <w:szCs w:val="18"/>
          <w:lang w:val="nl-NL"/>
        </w:rPr>
        <w:t>pragmatisch</w:t>
      </w:r>
      <w:r w:rsidR="00A5350D" w:rsidRPr="00A33930">
        <w:rPr>
          <w:rFonts w:eastAsia="Verdana" w:cs="Verdana"/>
          <w:szCs w:val="18"/>
          <w:lang w:val="nl-NL"/>
        </w:rPr>
        <w:t xml:space="preserve"> </w:t>
      </w:r>
      <w:r w:rsidR="00CA06C2" w:rsidRPr="00A33930">
        <w:rPr>
          <w:rFonts w:eastAsia="Verdana" w:cs="Verdana"/>
          <w:szCs w:val="18"/>
          <w:lang w:val="nl-NL"/>
        </w:rPr>
        <w:t>standpunt</w:t>
      </w:r>
      <w:r w:rsidR="00A5350D" w:rsidRPr="00A33930">
        <w:rPr>
          <w:rFonts w:eastAsia="Verdana" w:cs="Verdana"/>
          <w:szCs w:val="18"/>
          <w:lang w:val="nl-NL"/>
        </w:rPr>
        <w:t xml:space="preserve"> </w:t>
      </w:r>
      <w:r w:rsidR="00CA06C2" w:rsidRPr="00A33930">
        <w:rPr>
          <w:rFonts w:eastAsia="Verdana" w:cs="Verdana"/>
          <w:szCs w:val="18"/>
          <w:lang w:val="nl-NL"/>
        </w:rPr>
        <w:t>aangenomen</w:t>
      </w:r>
      <w:r w:rsidR="00793162" w:rsidRPr="00A33930">
        <w:rPr>
          <w:rFonts w:eastAsia="Verdana" w:cs="Verdana"/>
          <w:szCs w:val="18"/>
          <w:lang w:val="nl-NL"/>
        </w:rPr>
        <w:t>. Echter voorziet het Vlaams niveau in een modernere opvatting dan het federaal niveau</w:t>
      </w:r>
      <w:r w:rsidR="00A5350D" w:rsidRPr="00A33930">
        <w:rPr>
          <w:rFonts w:eastAsia="Verdana" w:cs="Verdana"/>
          <w:szCs w:val="18"/>
          <w:lang w:val="nl-NL"/>
        </w:rPr>
        <w:t>.</w:t>
      </w:r>
      <w:r w:rsidR="00CA06C2" w:rsidRPr="00A33930">
        <w:rPr>
          <w:rStyle w:val="Voetnootmarkering"/>
          <w:rFonts w:eastAsia="Verdana" w:cs="Verdana"/>
          <w:szCs w:val="18"/>
          <w:lang w:val="nl-NL"/>
        </w:rPr>
        <w:footnoteReference w:id="264"/>
      </w:r>
      <w:r w:rsidR="00A5350D" w:rsidRPr="00A33930">
        <w:rPr>
          <w:rFonts w:eastAsia="Verdana" w:cs="Verdana"/>
          <w:szCs w:val="18"/>
          <w:lang w:val="nl-NL"/>
        </w:rPr>
        <w:t xml:space="preserve"> </w:t>
      </w:r>
      <w:r w:rsidR="0038261C" w:rsidRPr="00A33930">
        <w:rPr>
          <w:rFonts w:eastAsia="Verdana" w:cs="Verdana"/>
          <w:szCs w:val="18"/>
          <w:lang w:val="nl-NL"/>
        </w:rPr>
        <w:t xml:space="preserve">Er </w:t>
      </w:r>
      <w:r w:rsidR="00234017" w:rsidRPr="00A33930">
        <w:rPr>
          <w:rFonts w:eastAsia="Verdana" w:cs="Verdana"/>
          <w:szCs w:val="18"/>
          <w:lang w:val="nl-NL"/>
        </w:rPr>
        <w:t>doet</w:t>
      </w:r>
      <w:r w:rsidR="00E704C8" w:rsidRPr="00A33930">
        <w:rPr>
          <w:rFonts w:eastAsia="Verdana" w:cs="Verdana"/>
          <w:szCs w:val="18"/>
          <w:lang w:val="nl-NL"/>
        </w:rPr>
        <w:t xml:space="preserve"> zich</w:t>
      </w:r>
      <w:r w:rsidR="0038261C" w:rsidRPr="00A33930">
        <w:rPr>
          <w:rFonts w:eastAsia="Verdana" w:cs="Verdana"/>
          <w:szCs w:val="18"/>
          <w:lang w:val="nl-NL"/>
        </w:rPr>
        <w:t xml:space="preserve"> een spanning </w:t>
      </w:r>
      <w:r w:rsidR="00234017" w:rsidRPr="00A33930">
        <w:rPr>
          <w:rFonts w:eastAsia="Verdana" w:cs="Verdana"/>
          <w:szCs w:val="18"/>
          <w:lang w:val="nl-NL"/>
        </w:rPr>
        <w:t>voor</w:t>
      </w:r>
      <w:r w:rsidR="00E704C8" w:rsidRPr="00A33930">
        <w:rPr>
          <w:rFonts w:eastAsia="Verdana" w:cs="Verdana"/>
          <w:szCs w:val="18"/>
          <w:lang w:val="nl-NL"/>
        </w:rPr>
        <w:t xml:space="preserve"> </w:t>
      </w:r>
      <w:r w:rsidR="0038261C" w:rsidRPr="00A33930">
        <w:rPr>
          <w:rFonts w:eastAsia="Verdana" w:cs="Verdana"/>
          <w:szCs w:val="18"/>
          <w:lang w:val="nl-NL"/>
        </w:rPr>
        <w:t xml:space="preserve">tussen </w:t>
      </w:r>
      <w:r w:rsidR="00E704C8" w:rsidRPr="00A33930">
        <w:rPr>
          <w:rFonts w:eastAsia="Verdana" w:cs="Verdana"/>
          <w:szCs w:val="18"/>
          <w:lang w:val="nl-NL"/>
        </w:rPr>
        <w:t xml:space="preserve">het respecteren van de </w:t>
      </w:r>
      <w:r w:rsidR="0038261C" w:rsidRPr="00A33930">
        <w:rPr>
          <w:rFonts w:eastAsia="Verdana" w:cs="Verdana"/>
          <w:szCs w:val="18"/>
          <w:lang w:val="nl-NL"/>
        </w:rPr>
        <w:t xml:space="preserve">autonomie </w:t>
      </w:r>
      <w:r w:rsidR="00E704C8" w:rsidRPr="00A33930">
        <w:rPr>
          <w:rFonts w:eastAsia="Verdana" w:cs="Verdana"/>
          <w:szCs w:val="18"/>
          <w:lang w:val="nl-NL"/>
        </w:rPr>
        <w:t xml:space="preserve">van het kind enerzijds, </w:t>
      </w:r>
      <w:r w:rsidR="0038261C" w:rsidRPr="00A33930">
        <w:rPr>
          <w:rFonts w:eastAsia="Verdana" w:cs="Verdana"/>
          <w:szCs w:val="18"/>
          <w:lang w:val="nl-NL"/>
        </w:rPr>
        <w:t>en</w:t>
      </w:r>
      <w:r w:rsidR="00E704C8" w:rsidRPr="00A33930">
        <w:rPr>
          <w:rFonts w:eastAsia="Verdana" w:cs="Verdana"/>
          <w:szCs w:val="18"/>
          <w:lang w:val="nl-NL"/>
        </w:rPr>
        <w:t xml:space="preserve"> de</w:t>
      </w:r>
      <w:r w:rsidR="0038261C" w:rsidRPr="00A33930">
        <w:rPr>
          <w:rFonts w:eastAsia="Verdana" w:cs="Verdana"/>
          <w:szCs w:val="18"/>
          <w:lang w:val="nl-NL"/>
        </w:rPr>
        <w:t xml:space="preserve"> bescherming van het kind</w:t>
      </w:r>
      <w:r w:rsidR="00E704C8" w:rsidRPr="00A33930">
        <w:rPr>
          <w:rFonts w:eastAsia="Verdana" w:cs="Verdana"/>
          <w:szCs w:val="18"/>
          <w:lang w:val="nl-NL"/>
        </w:rPr>
        <w:t xml:space="preserve"> anderzijds</w:t>
      </w:r>
      <w:r w:rsidR="0038261C" w:rsidRPr="00A33930">
        <w:rPr>
          <w:rFonts w:eastAsia="Verdana" w:cs="Verdana"/>
          <w:szCs w:val="18"/>
          <w:lang w:val="nl-NL"/>
        </w:rPr>
        <w:t xml:space="preserve">. </w:t>
      </w:r>
      <w:r w:rsidR="00A37216" w:rsidRPr="00A33930">
        <w:rPr>
          <w:rFonts w:eastAsia="Verdana" w:cs="Verdana"/>
          <w:szCs w:val="18"/>
          <w:lang w:val="nl-NL"/>
        </w:rPr>
        <w:t>Hierdoor</w:t>
      </w:r>
      <w:r w:rsidR="0038261C" w:rsidRPr="00A33930">
        <w:rPr>
          <w:rFonts w:eastAsia="Verdana" w:cs="Verdana"/>
          <w:szCs w:val="18"/>
          <w:lang w:val="nl-NL"/>
        </w:rPr>
        <w:t xml:space="preserve"> wordt in verschillende </w:t>
      </w:r>
      <w:r w:rsidR="0038261C" w:rsidRPr="00A33930">
        <w:rPr>
          <w:rFonts w:eastAsia="Verdana" w:cs="Verdana"/>
          <w:szCs w:val="18"/>
          <w:lang w:val="nl-NL"/>
        </w:rPr>
        <w:lastRenderedPageBreak/>
        <w:t xml:space="preserve">aangelegenheden een wisselend belang gehecht aan het perspectief van het kind en </w:t>
      </w:r>
      <w:r w:rsidR="00253B22" w:rsidRPr="00A33930">
        <w:rPr>
          <w:rFonts w:eastAsia="Verdana" w:cs="Verdana"/>
          <w:szCs w:val="18"/>
          <w:lang w:val="nl-NL"/>
        </w:rPr>
        <w:t xml:space="preserve">de invulling van </w:t>
      </w:r>
      <w:r w:rsidR="0038261C" w:rsidRPr="00A33930">
        <w:rPr>
          <w:rFonts w:eastAsia="Verdana" w:cs="Verdana"/>
          <w:szCs w:val="18"/>
          <w:lang w:val="nl-NL"/>
        </w:rPr>
        <w:t>zijn kinderrechten</w:t>
      </w:r>
      <w:r w:rsidR="000C3E9E" w:rsidRPr="00A33930">
        <w:rPr>
          <w:rFonts w:eastAsia="Verdana" w:cs="Verdana"/>
          <w:szCs w:val="18"/>
          <w:lang w:val="nl-NL"/>
        </w:rPr>
        <w:t>.</w:t>
      </w:r>
      <w:r w:rsidR="000C3E9E" w:rsidRPr="00A33930">
        <w:rPr>
          <w:rStyle w:val="Voetnootmarkering"/>
          <w:rFonts w:eastAsia="Verdana" w:cs="Verdana"/>
          <w:szCs w:val="18"/>
          <w:lang w:val="nl-NL"/>
        </w:rPr>
        <w:footnoteReference w:id="265"/>
      </w:r>
    </w:p>
    <w:p w14:paraId="54E53F07" w14:textId="334BB443" w:rsidR="009A1D12" w:rsidRPr="00A33930" w:rsidRDefault="009A1D12" w:rsidP="009A1D12">
      <w:pPr>
        <w:pStyle w:val="Kop4"/>
        <w:spacing w:before="240" w:after="120"/>
        <w:jc w:val="both"/>
        <w:rPr>
          <w:rFonts w:ascii="Verdana" w:hAnsi="Verdana"/>
          <w:b/>
          <w:bCs/>
          <w:color w:val="auto"/>
          <w:szCs w:val="18"/>
          <w:lang w:val="nl-NL"/>
        </w:rPr>
      </w:pPr>
      <w:r w:rsidRPr="00A33930">
        <w:rPr>
          <w:rFonts w:ascii="Verdana" w:hAnsi="Verdana"/>
          <w:b/>
          <w:bCs/>
          <w:color w:val="auto"/>
          <w:szCs w:val="18"/>
          <w:lang w:val="nl-NL"/>
        </w:rPr>
        <w:t>§</w:t>
      </w:r>
      <w:r w:rsidR="003424A5" w:rsidRPr="00A33930">
        <w:rPr>
          <w:rFonts w:ascii="Verdana" w:hAnsi="Verdana"/>
          <w:b/>
          <w:bCs/>
          <w:color w:val="auto"/>
          <w:szCs w:val="18"/>
          <w:lang w:val="nl-NL"/>
        </w:rPr>
        <w:t>2</w:t>
      </w:r>
      <w:r w:rsidRPr="00A33930">
        <w:rPr>
          <w:rFonts w:ascii="Verdana" w:hAnsi="Verdana"/>
          <w:b/>
          <w:bCs/>
          <w:color w:val="auto"/>
          <w:szCs w:val="18"/>
          <w:lang w:val="nl-NL"/>
        </w:rPr>
        <w:t>.</w:t>
      </w:r>
      <w:r w:rsidRPr="00A33930">
        <w:rPr>
          <w:rFonts w:ascii="Verdana" w:hAnsi="Verdana"/>
          <w:b/>
          <w:bCs/>
          <w:color w:val="auto"/>
          <w:szCs w:val="18"/>
          <w:lang w:val="nl-NL"/>
        </w:rPr>
        <w:tab/>
      </w:r>
      <w:r w:rsidR="003424A5" w:rsidRPr="00A33930">
        <w:rPr>
          <w:rFonts w:ascii="Verdana" w:hAnsi="Verdana"/>
          <w:b/>
          <w:bCs/>
          <w:color w:val="auto"/>
          <w:szCs w:val="18"/>
          <w:lang w:val="nl-NL"/>
        </w:rPr>
        <w:t>Discussie</w:t>
      </w:r>
      <w:r w:rsidRPr="00A33930">
        <w:rPr>
          <w:rFonts w:ascii="Verdana" w:hAnsi="Verdana"/>
          <w:b/>
          <w:bCs/>
          <w:color w:val="auto"/>
          <w:szCs w:val="18"/>
          <w:lang w:val="nl-NL"/>
        </w:rPr>
        <w:t xml:space="preserve"> kind als rechtssubject</w:t>
      </w:r>
      <w:r w:rsidR="008039BC" w:rsidRPr="00A33930">
        <w:rPr>
          <w:rFonts w:ascii="Verdana" w:hAnsi="Verdana"/>
          <w:b/>
          <w:bCs/>
          <w:color w:val="auto"/>
          <w:szCs w:val="18"/>
          <w:lang w:val="nl-NL"/>
        </w:rPr>
        <w:t xml:space="preserve"> v. rechtsobject</w:t>
      </w:r>
    </w:p>
    <w:p w14:paraId="04E05639" w14:textId="3EA0FA56" w:rsidR="003424A5" w:rsidRPr="00A33930" w:rsidRDefault="00E704C8" w:rsidP="00A37216">
      <w:pPr>
        <w:pStyle w:val="Lijstalinea"/>
        <w:numPr>
          <w:ilvl w:val="0"/>
          <w:numId w:val="4"/>
        </w:numPr>
        <w:spacing w:before="200" w:after="0"/>
        <w:ind w:left="0" w:firstLine="0"/>
        <w:jc w:val="both"/>
        <w:rPr>
          <w:rFonts w:eastAsia="Verdana" w:cs="Verdana"/>
          <w:szCs w:val="18"/>
          <w:lang w:val="nl-NL"/>
        </w:rPr>
      </w:pPr>
      <w:r w:rsidRPr="00A33930">
        <w:rPr>
          <w:lang w:val="nl-NL"/>
        </w:rPr>
        <w:t xml:space="preserve">Het IVRK besteedt juridisch veel aandacht aan het versterken van de rechtspositie van kinderen </w:t>
      </w:r>
      <w:r w:rsidR="00553045" w:rsidRPr="00A33930">
        <w:rPr>
          <w:lang w:val="nl-NL"/>
        </w:rPr>
        <w:t>(</w:t>
      </w:r>
      <w:r w:rsidR="00553045" w:rsidRPr="00A33930">
        <w:rPr>
          <w:i/>
          <w:iCs/>
          <w:lang w:val="nl-NL"/>
        </w:rPr>
        <w:t>supra</w:t>
      </w:r>
      <w:r w:rsidR="00553045" w:rsidRPr="00A33930">
        <w:rPr>
          <w:lang w:val="nl-NL"/>
        </w:rPr>
        <w:t xml:space="preserve">, nr. </w:t>
      </w:r>
      <w:r w:rsidR="00234017" w:rsidRPr="00A33930">
        <w:rPr>
          <w:lang w:val="nl-NL"/>
        </w:rPr>
        <w:t>32</w:t>
      </w:r>
      <w:r w:rsidR="00553045" w:rsidRPr="00A33930">
        <w:rPr>
          <w:lang w:val="nl-NL"/>
        </w:rPr>
        <w:t>)</w:t>
      </w:r>
      <w:r w:rsidRPr="00A33930">
        <w:rPr>
          <w:lang w:val="nl-NL"/>
        </w:rPr>
        <w:t xml:space="preserve">. Uit de </w:t>
      </w:r>
      <w:r w:rsidR="00A37216" w:rsidRPr="00A33930">
        <w:rPr>
          <w:lang w:val="nl-NL"/>
        </w:rPr>
        <w:t xml:space="preserve">(Belgische) </w:t>
      </w:r>
      <w:r w:rsidRPr="00A33930">
        <w:rPr>
          <w:lang w:val="nl-NL"/>
        </w:rPr>
        <w:t xml:space="preserve">praktijk is echter gebleken dat dit kindperspectief soms gebruikt wordt voor zaken die tegen de </w:t>
      </w:r>
      <w:r w:rsidRPr="00A33930">
        <w:rPr>
          <w:i/>
          <w:iCs/>
          <w:lang w:val="nl-NL"/>
        </w:rPr>
        <w:t>ratio legis</w:t>
      </w:r>
      <w:r w:rsidRPr="00A33930">
        <w:rPr>
          <w:lang w:val="nl-NL"/>
        </w:rPr>
        <w:t xml:space="preserve"> van het IVRK ingaan.</w:t>
      </w:r>
      <w:r w:rsidR="009A6714" w:rsidRPr="00A33930">
        <w:rPr>
          <w:rStyle w:val="Voetnootmarkering"/>
          <w:lang w:val="nl-NL"/>
        </w:rPr>
        <w:footnoteReference w:id="266"/>
      </w:r>
      <w:r w:rsidR="00553045" w:rsidRPr="00A33930">
        <w:rPr>
          <w:lang w:val="nl-NL"/>
        </w:rPr>
        <w:t xml:space="preserve"> </w:t>
      </w:r>
      <w:r w:rsidRPr="00A33930">
        <w:rPr>
          <w:lang w:val="nl-NL"/>
        </w:rPr>
        <w:t>De erkenning van het kind als rechtssubject wordt zo bijvoorbeeld ingeroepen om kinderen op jonge leeftijd strafrechtelijk verantwoordelijk te stellen.</w:t>
      </w:r>
      <w:r w:rsidRPr="00A33930">
        <w:rPr>
          <w:rStyle w:val="Voetnootmarkering"/>
          <w:lang w:val="nl-NL"/>
        </w:rPr>
        <w:footnoteReference w:id="267"/>
      </w:r>
      <w:r w:rsidRPr="00A33930">
        <w:rPr>
          <w:lang w:val="nl-NL"/>
        </w:rPr>
        <w:t xml:space="preserve"> Er wordt kritiek geuit op het verkrijgen van </w:t>
      </w:r>
      <w:r w:rsidR="00234017" w:rsidRPr="00A33930">
        <w:rPr>
          <w:lang w:val="nl-NL"/>
        </w:rPr>
        <w:t>dergelijke</w:t>
      </w:r>
      <w:r w:rsidRPr="00A33930">
        <w:rPr>
          <w:lang w:val="nl-NL"/>
        </w:rPr>
        <w:t xml:space="preserve"> rechten als heel jong kind: wat als </w:t>
      </w:r>
      <w:r w:rsidR="00F03A89" w:rsidRPr="00A33930">
        <w:rPr>
          <w:lang w:val="nl-NL"/>
        </w:rPr>
        <w:t>het zelf</w:t>
      </w:r>
      <w:r w:rsidRPr="00A33930">
        <w:rPr>
          <w:lang w:val="nl-NL"/>
        </w:rPr>
        <w:t xml:space="preserve"> </w:t>
      </w:r>
      <w:r w:rsidR="00F03A89" w:rsidRPr="00A33930">
        <w:rPr>
          <w:lang w:val="nl-NL"/>
        </w:rPr>
        <w:t xml:space="preserve">uitoefenen van </w:t>
      </w:r>
      <w:r w:rsidR="00234017" w:rsidRPr="00A33930">
        <w:rPr>
          <w:lang w:val="nl-NL"/>
        </w:rPr>
        <w:t xml:space="preserve">deze </w:t>
      </w:r>
      <w:r w:rsidRPr="00A33930">
        <w:rPr>
          <w:lang w:val="nl-NL"/>
        </w:rPr>
        <w:t xml:space="preserve">rechten het kind te zwaar valt? Wat als de minderjarige hierdoor extra wordt belast? Het beeld van kinderen als “not-yets” en hun afhankelijkheid van volwassenen heeft met </w:t>
      </w:r>
      <w:r w:rsidR="00F03A89" w:rsidRPr="00A33930">
        <w:rPr>
          <w:lang w:val="nl-NL"/>
        </w:rPr>
        <w:t>meer</w:t>
      </w:r>
      <w:r w:rsidRPr="00A33930">
        <w:rPr>
          <w:lang w:val="nl-NL"/>
        </w:rPr>
        <w:t xml:space="preserve"> te maken dan enkel de leeftijd. Er zijn bepaalde groepen kinderen die bijzonder kwetsbaar zijn en deze mogen niet over het hoofd worden gezien.</w:t>
      </w:r>
      <w:r w:rsidRPr="00A33930">
        <w:rPr>
          <w:rStyle w:val="Voetnootmarkering"/>
          <w:lang w:val="nl-NL"/>
        </w:rPr>
        <w:footnoteReference w:id="268"/>
      </w:r>
      <w:r w:rsidRPr="00A33930">
        <w:rPr>
          <w:lang w:val="nl-NL"/>
        </w:rPr>
        <w:t xml:space="preserve"> Bovendien vinden sommigen dat het kind er zelf geen baat bij zou </w:t>
      </w:r>
      <w:r w:rsidR="007F6DF9" w:rsidRPr="00A33930">
        <w:rPr>
          <w:lang w:val="nl-NL"/>
        </w:rPr>
        <w:t>hebben</w:t>
      </w:r>
      <w:r w:rsidRPr="00A33930">
        <w:rPr>
          <w:lang w:val="nl-NL"/>
        </w:rPr>
        <w:t xml:space="preserve"> omdat het overleggen en opkomen voor de eigen mening eerst moet worden aangeleerd.</w:t>
      </w:r>
      <w:r w:rsidRPr="00A33930">
        <w:rPr>
          <w:rStyle w:val="Voetnootmarkering"/>
          <w:lang w:val="nl-NL"/>
        </w:rPr>
        <w:footnoteReference w:id="269"/>
      </w:r>
      <w:r w:rsidRPr="00A33930">
        <w:rPr>
          <w:lang w:val="nl-NL"/>
        </w:rPr>
        <w:t xml:space="preserve"> Dit aanleren gebeurt in een verticale relatie, zijnde tussen minder- en meerderjarige. Dat wil in essentie zeggen: laat het kind een kind zijn</w:t>
      </w:r>
      <w:r w:rsidR="003424A5" w:rsidRPr="00A33930">
        <w:rPr>
          <w:lang w:val="nl-NL"/>
        </w:rPr>
        <w:t>.</w:t>
      </w:r>
      <w:r w:rsidR="003424A5" w:rsidRPr="00A33930">
        <w:rPr>
          <w:rStyle w:val="Voetnootmarkering"/>
          <w:lang w:val="nl-NL"/>
        </w:rPr>
        <w:footnoteReference w:id="270"/>
      </w:r>
      <w:r w:rsidR="003424A5" w:rsidRPr="00A33930">
        <w:rPr>
          <w:lang w:val="nl-NL"/>
        </w:rPr>
        <w:t xml:space="preserve"> Bijkomend oordeel</w:t>
      </w:r>
      <w:r w:rsidR="00553045" w:rsidRPr="00A33930">
        <w:rPr>
          <w:lang w:val="nl-NL"/>
        </w:rPr>
        <w:t>t</w:t>
      </w:r>
      <w:r w:rsidR="003424A5" w:rsidRPr="00A33930">
        <w:rPr>
          <w:lang w:val="nl-NL"/>
        </w:rPr>
        <w:t xml:space="preserve"> het </w:t>
      </w:r>
      <w:r w:rsidR="003424A5" w:rsidRPr="00A33930">
        <w:rPr>
          <w:rFonts w:eastAsia="Verdana" w:cs="Verdana"/>
          <w:szCs w:val="18"/>
          <w:lang w:val="nl-NL"/>
        </w:rPr>
        <w:t>Hof van Cassatie in zijn arrest van 10 februari 2020 dat, in zaken die het kind aanbelangen, zijn hoorrecht uit artikel 1004/1</w:t>
      </w:r>
      <w:r w:rsidR="00F92120" w:rsidRPr="00A33930">
        <w:rPr>
          <w:rFonts w:eastAsia="Verdana" w:cs="Verdana"/>
          <w:szCs w:val="18"/>
          <w:lang w:val="nl-NL"/>
        </w:rPr>
        <w:t xml:space="preserve"> en 1004/2</w:t>
      </w:r>
      <w:r w:rsidR="003424A5" w:rsidRPr="00A33930">
        <w:rPr>
          <w:rFonts w:eastAsia="Verdana" w:cs="Verdana"/>
          <w:szCs w:val="18"/>
          <w:lang w:val="nl-NL"/>
        </w:rPr>
        <w:t xml:space="preserve"> Ger.W. en het nemen van een beslissing rekening houdend met het belang van het kind volstaat in het licht van de mensenrechtelijke verplichtingen en de Grondwet.</w:t>
      </w:r>
      <w:r w:rsidR="003424A5" w:rsidRPr="00A33930">
        <w:rPr>
          <w:rStyle w:val="Voetnootmarkering"/>
          <w:rFonts w:eastAsia="Verdana" w:cs="Verdana"/>
          <w:szCs w:val="18"/>
          <w:lang w:val="nl-NL"/>
        </w:rPr>
        <w:footnoteReference w:id="271"/>
      </w:r>
      <w:r w:rsidR="008F0D64" w:rsidRPr="00A33930">
        <w:rPr>
          <w:rFonts w:eastAsia="Verdana" w:cs="Verdana"/>
          <w:szCs w:val="18"/>
          <w:lang w:val="nl-NL"/>
        </w:rPr>
        <w:t xml:space="preserve"> </w:t>
      </w:r>
      <w:r w:rsidR="003424A5" w:rsidRPr="00A33930">
        <w:rPr>
          <w:lang w:val="nl-NL"/>
        </w:rPr>
        <w:t>In lagere rechtspraak wordt voornamelijk de nadruk gelegd op het feit dat het kind alle belang heeft om contacten te onderhouden én om dit zelf te kunnen vragen</w:t>
      </w:r>
      <w:r w:rsidR="00E60B4B" w:rsidRPr="00A33930">
        <w:rPr>
          <w:lang w:val="nl-NL"/>
        </w:rPr>
        <w:t xml:space="preserve"> (</w:t>
      </w:r>
      <w:r w:rsidR="00E60B4B" w:rsidRPr="00A33930">
        <w:rPr>
          <w:i/>
          <w:iCs/>
          <w:lang w:val="nl-NL"/>
        </w:rPr>
        <w:t>infra</w:t>
      </w:r>
      <w:r w:rsidR="00E60B4B" w:rsidRPr="00A33930">
        <w:rPr>
          <w:lang w:val="nl-NL"/>
        </w:rPr>
        <w:t xml:space="preserve">, nr. </w:t>
      </w:r>
      <w:r w:rsidR="00234017" w:rsidRPr="00A33930">
        <w:rPr>
          <w:lang w:val="nl-NL"/>
        </w:rPr>
        <w:t>100</w:t>
      </w:r>
      <w:r w:rsidR="00E60B4B" w:rsidRPr="00A33930">
        <w:rPr>
          <w:lang w:val="nl-NL"/>
        </w:rPr>
        <w:t>)</w:t>
      </w:r>
      <w:r w:rsidR="003424A5" w:rsidRPr="00A33930">
        <w:rPr>
          <w:lang w:val="nl-NL"/>
        </w:rPr>
        <w:t>.</w:t>
      </w:r>
    </w:p>
    <w:p w14:paraId="47143073" w14:textId="77777777" w:rsidR="00CA06C2" w:rsidRPr="00A33930" w:rsidRDefault="00CA06C2" w:rsidP="00CA06C2">
      <w:pPr>
        <w:pStyle w:val="Lijstalinea"/>
        <w:rPr>
          <w:lang w:val="nl-NL"/>
        </w:rPr>
      </w:pPr>
    </w:p>
    <w:p w14:paraId="55EED953" w14:textId="067D21CC" w:rsidR="00CA06C2" w:rsidRPr="00A33930" w:rsidRDefault="00553045" w:rsidP="00AC268E">
      <w:pPr>
        <w:pStyle w:val="Lijstalinea"/>
        <w:numPr>
          <w:ilvl w:val="0"/>
          <w:numId w:val="4"/>
        </w:numPr>
        <w:spacing w:before="200" w:after="0"/>
        <w:ind w:left="0" w:firstLine="0"/>
        <w:jc w:val="both"/>
        <w:rPr>
          <w:lang w:val="nl-NL"/>
        </w:rPr>
      </w:pPr>
      <w:r w:rsidRPr="00A33930">
        <w:rPr>
          <w:lang w:val="nl-NL"/>
        </w:rPr>
        <w:t>Wat betreft</w:t>
      </w:r>
      <w:r w:rsidR="00246A33" w:rsidRPr="00A33930">
        <w:rPr>
          <w:lang w:val="nl-NL"/>
        </w:rPr>
        <w:t xml:space="preserve"> </w:t>
      </w:r>
      <w:r w:rsidRPr="00A33930">
        <w:rPr>
          <w:lang w:val="nl-NL"/>
        </w:rPr>
        <w:t>het opmaken</w:t>
      </w:r>
      <w:r w:rsidR="00246A33" w:rsidRPr="00A33930">
        <w:rPr>
          <w:lang w:val="nl-NL"/>
        </w:rPr>
        <w:t xml:space="preserve"> van</w:t>
      </w:r>
      <w:r w:rsidR="00CA06C2" w:rsidRPr="00A33930">
        <w:rPr>
          <w:lang w:val="nl-NL"/>
        </w:rPr>
        <w:t xml:space="preserve"> </w:t>
      </w:r>
      <w:r w:rsidR="00246A33" w:rsidRPr="00A33930">
        <w:rPr>
          <w:lang w:val="nl-NL"/>
        </w:rPr>
        <w:t>een</w:t>
      </w:r>
      <w:r w:rsidR="00CA06C2" w:rsidRPr="00A33930">
        <w:rPr>
          <w:lang w:val="nl-NL"/>
        </w:rPr>
        <w:t xml:space="preserve"> </w:t>
      </w:r>
      <w:r w:rsidRPr="00A33930">
        <w:rPr>
          <w:lang w:val="nl-NL"/>
        </w:rPr>
        <w:t xml:space="preserve">(te) </w:t>
      </w:r>
      <w:r w:rsidR="00246A33" w:rsidRPr="00A33930">
        <w:rPr>
          <w:lang w:val="nl-NL"/>
        </w:rPr>
        <w:t xml:space="preserve">strikt </w:t>
      </w:r>
      <w:r w:rsidR="00CA06C2" w:rsidRPr="00A33930">
        <w:rPr>
          <w:lang w:val="nl-NL"/>
        </w:rPr>
        <w:t xml:space="preserve">juridisch kader worden soms bedenkingen geuit over de juridisering van het kind. De vraag hierbij is of het kinderrechtendebat geen nood heeft aan een sociaal-politieke lezing waardoor het handelen van de persoon in concrete situaties </w:t>
      </w:r>
      <w:r w:rsidR="00B363C4" w:rsidRPr="00A33930">
        <w:rPr>
          <w:lang w:val="nl-NL"/>
        </w:rPr>
        <w:t>verder</w:t>
      </w:r>
      <w:r w:rsidR="00CA06C2" w:rsidRPr="00A33930">
        <w:rPr>
          <w:lang w:val="nl-NL"/>
        </w:rPr>
        <w:t xml:space="preserve"> </w:t>
      </w:r>
      <w:r w:rsidRPr="00A33930">
        <w:rPr>
          <w:lang w:val="nl-NL"/>
        </w:rPr>
        <w:t xml:space="preserve">moet </w:t>
      </w:r>
      <w:r w:rsidRPr="00A33930">
        <w:rPr>
          <w:lang w:val="nl-NL"/>
        </w:rPr>
        <w:lastRenderedPageBreak/>
        <w:t>worden</w:t>
      </w:r>
      <w:r w:rsidR="00CA06C2" w:rsidRPr="00A33930">
        <w:rPr>
          <w:lang w:val="nl-NL"/>
        </w:rPr>
        <w:t xml:space="preserve"> onderzocht.</w:t>
      </w:r>
      <w:r w:rsidR="00CA06C2" w:rsidRPr="00A33930">
        <w:rPr>
          <w:rStyle w:val="Voetnootmarkering"/>
          <w:lang w:val="nl-NL"/>
        </w:rPr>
        <w:footnoteReference w:id="272"/>
      </w:r>
      <w:r w:rsidR="00CA06C2" w:rsidRPr="00A33930">
        <w:rPr>
          <w:lang w:val="nl-NL"/>
        </w:rPr>
        <w:t xml:space="preserve"> </w:t>
      </w:r>
      <w:r w:rsidR="008039BC" w:rsidRPr="00A33930">
        <w:rPr>
          <w:lang w:val="nl-NL"/>
        </w:rPr>
        <w:t>De kinderrechten</w:t>
      </w:r>
      <w:r w:rsidR="00CA06C2" w:rsidRPr="00A33930">
        <w:rPr>
          <w:lang w:val="nl-NL"/>
        </w:rPr>
        <w:t xml:space="preserve"> zouden dan moeten worden gezien als een </w:t>
      </w:r>
      <w:r w:rsidR="00CA06C2" w:rsidRPr="00A33930">
        <w:rPr>
          <w:i/>
          <w:iCs/>
          <w:lang w:val="nl-NL"/>
        </w:rPr>
        <w:t>empowerment</w:t>
      </w:r>
      <w:r w:rsidR="00CA06C2" w:rsidRPr="00A33930">
        <w:rPr>
          <w:lang w:val="nl-NL"/>
        </w:rPr>
        <w:t xml:space="preserve"> van het kind, binnen </w:t>
      </w:r>
      <w:r w:rsidR="008039BC" w:rsidRPr="00A33930">
        <w:rPr>
          <w:lang w:val="nl-NL"/>
        </w:rPr>
        <w:t>zijn</w:t>
      </w:r>
      <w:r w:rsidR="00CA06C2" w:rsidRPr="00A33930">
        <w:rPr>
          <w:lang w:val="nl-NL"/>
        </w:rPr>
        <w:t xml:space="preserve"> maatschappelijke mogelijkheden.</w:t>
      </w:r>
      <w:r w:rsidR="00CA06C2" w:rsidRPr="00A33930">
        <w:rPr>
          <w:rStyle w:val="Voetnootmarkering"/>
          <w:lang w:val="nl-NL"/>
        </w:rPr>
        <w:footnoteReference w:id="273"/>
      </w:r>
      <w:r w:rsidR="00CA06C2" w:rsidRPr="00A33930">
        <w:rPr>
          <w:lang w:val="nl-NL"/>
        </w:rPr>
        <w:t xml:space="preserve"> Essentieel voor een kinderrechtenbeleid met het kind als </w:t>
      </w:r>
      <w:r w:rsidR="00A80A70" w:rsidRPr="00A33930">
        <w:rPr>
          <w:lang w:val="nl-NL"/>
        </w:rPr>
        <w:t>rechtssubject</w:t>
      </w:r>
      <w:r w:rsidR="00CA06C2" w:rsidRPr="00A33930">
        <w:rPr>
          <w:lang w:val="nl-NL"/>
        </w:rPr>
        <w:t xml:space="preserve"> is niet zozeer de wet of het verdrag, wel het sociaal beleid en de ontwikkelingsmogelijkheden van het kind. Vanuit de discussie over de </w:t>
      </w:r>
      <w:r w:rsidR="00E60B4B" w:rsidRPr="00A33930">
        <w:rPr>
          <w:lang w:val="nl-NL"/>
        </w:rPr>
        <w:t xml:space="preserve">wettelijke </w:t>
      </w:r>
      <w:r w:rsidR="00CA06C2" w:rsidRPr="00A33930">
        <w:rPr>
          <w:lang w:val="nl-NL"/>
        </w:rPr>
        <w:t>aanpak van kinderrechten volgt logischerwijze ook een discussie over het pedagogisch beleid.</w:t>
      </w:r>
      <w:r w:rsidR="00CA06C2" w:rsidRPr="00A33930">
        <w:rPr>
          <w:rStyle w:val="Voetnootmarkering"/>
          <w:lang w:val="nl-NL"/>
        </w:rPr>
        <w:footnoteReference w:id="274"/>
      </w:r>
      <w:r w:rsidR="00CA06C2" w:rsidRPr="00A33930">
        <w:rPr>
          <w:lang w:val="nl-NL"/>
        </w:rPr>
        <w:t xml:space="preserve"> </w:t>
      </w:r>
    </w:p>
    <w:p w14:paraId="2D587A16" w14:textId="77777777" w:rsidR="003424A5" w:rsidRPr="00A33930" w:rsidRDefault="003424A5" w:rsidP="003424A5">
      <w:pPr>
        <w:pStyle w:val="Lijstalinea"/>
        <w:rPr>
          <w:lang w:val="nl-NL"/>
        </w:rPr>
      </w:pPr>
    </w:p>
    <w:p w14:paraId="5C4653B5" w14:textId="271F0F13" w:rsidR="009A1D12" w:rsidRPr="00A33930" w:rsidRDefault="00A43EF3" w:rsidP="009A1D12">
      <w:pPr>
        <w:pStyle w:val="Lijstalinea"/>
        <w:numPr>
          <w:ilvl w:val="0"/>
          <w:numId w:val="4"/>
        </w:numPr>
        <w:spacing w:before="200" w:after="0"/>
        <w:ind w:left="0" w:firstLine="0"/>
        <w:jc w:val="both"/>
        <w:rPr>
          <w:lang w:val="nl-NL"/>
        </w:rPr>
      </w:pPr>
      <w:r w:rsidRPr="00A33930">
        <w:rPr>
          <w:lang w:val="nl-NL"/>
        </w:rPr>
        <w:t>De conclusie die uit de benadering van het kind</w:t>
      </w:r>
      <w:r w:rsidR="00E57778" w:rsidRPr="00A33930">
        <w:rPr>
          <w:lang w:val="nl-NL"/>
        </w:rPr>
        <w:t>perspectief</w:t>
      </w:r>
      <w:r w:rsidRPr="00A33930">
        <w:rPr>
          <w:lang w:val="nl-NL"/>
        </w:rPr>
        <w:t xml:space="preserve"> in België volgt is niet zozeer dat het kind geen rechtssubject </w:t>
      </w:r>
      <w:r w:rsidRPr="00A33930">
        <w:rPr>
          <w:i/>
          <w:iCs/>
          <w:lang w:val="nl-NL"/>
        </w:rPr>
        <w:t>mag</w:t>
      </w:r>
      <w:r w:rsidRPr="00A33930">
        <w:rPr>
          <w:lang w:val="nl-NL"/>
        </w:rPr>
        <w:t xml:space="preserve"> zijn</w:t>
      </w:r>
      <w:r w:rsidR="008261CA" w:rsidRPr="00A33930">
        <w:rPr>
          <w:lang w:val="nl-NL"/>
        </w:rPr>
        <w:t xml:space="preserve"> </w:t>
      </w:r>
      <w:r w:rsidRPr="00A33930">
        <w:rPr>
          <w:lang w:val="nl-NL"/>
        </w:rPr>
        <w:t xml:space="preserve">maar dat dit </w:t>
      </w:r>
      <w:r w:rsidR="00A80A70" w:rsidRPr="00A33930">
        <w:rPr>
          <w:lang w:val="nl-NL"/>
        </w:rPr>
        <w:t>met de nodige nuances</w:t>
      </w:r>
      <w:r w:rsidRPr="00A33930">
        <w:rPr>
          <w:lang w:val="nl-NL"/>
        </w:rPr>
        <w:t xml:space="preserve"> moet worden aangepakt</w:t>
      </w:r>
      <w:r w:rsidR="00F03A89" w:rsidRPr="00A33930">
        <w:rPr>
          <w:lang w:val="nl-NL"/>
        </w:rPr>
        <w:t>,</w:t>
      </w:r>
      <w:r w:rsidRPr="00A33930">
        <w:rPr>
          <w:lang w:val="nl-NL"/>
        </w:rPr>
        <w:t xml:space="preserve"> </w:t>
      </w:r>
      <w:r w:rsidR="00E60B4B" w:rsidRPr="00A33930">
        <w:rPr>
          <w:lang w:val="nl-NL"/>
        </w:rPr>
        <w:t>mits</w:t>
      </w:r>
      <w:r w:rsidRPr="00A33930">
        <w:rPr>
          <w:lang w:val="nl-NL"/>
        </w:rPr>
        <w:t xml:space="preserve"> </w:t>
      </w:r>
      <w:r w:rsidR="00A80A70" w:rsidRPr="00A33930">
        <w:rPr>
          <w:lang w:val="nl-NL"/>
        </w:rPr>
        <w:t>bijkomende</w:t>
      </w:r>
      <w:r w:rsidRPr="00A33930">
        <w:rPr>
          <w:lang w:val="nl-NL"/>
        </w:rPr>
        <w:t xml:space="preserve"> aandacht voor </w:t>
      </w:r>
      <w:r w:rsidR="00A80A70" w:rsidRPr="00A33930">
        <w:rPr>
          <w:lang w:val="nl-NL"/>
        </w:rPr>
        <w:t xml:space="preserve">zijn </w:t>
      </w:r>
      <w:r w:rsidRPr="00A33930">
        <w:rPr>
          <w:lang w:val="nl-NL"/>
        </w:rPr>
        <w:t xml:space="preserve">autonomie en bescherming. Het vastleggen van een rechtspositie voor minderjarigen </w:t>
      </w:r>
      <w:r w:rsidR="0025650F" w:rsidRPr="00A33930">
        <w:rPr>
          <w:lang w:val="nl-NL"/>
        </w:rPr>
        <w:t xml:space="preserve">in het burgerlijk recht </w:t>
      </w:r>
      <w:r w:rsidRPr="00A33930">
        <w:rPr>
          <w:lang w:val="nl-NL"/>
        </w:rPr>
        <w:t xml:space="preserve">komt </w:t>
      </w:r>
      <w:r w:rsidR="00776E8F" w:rsidRPr="00A33930">
        <w:rPr>
          <w:lang w:val="nl-NL"/>
        </w:rPr>
        <w:t>hier deels aan tegemoet,</w:t>
      </w:r>
      <w:r w:rsidRPr="00A33930">
        <w:rPr>
          <w:lang w:val="nl-NL"/>
        </w:rPr>
        <w:t xml:space="preserve"> maar heeft waarschijnlijk ook wat ongewenste neveneffecten.</w:t>
      </w:r>
      <w:r w:rsidRPr="00A33930">
        <w:rPr>
          <w:rStyle w:val="Voetnootmarkering"/>
          <w:lang w:val="nl-NL"/>
        </w:rPr>
        <w:footnoteReference w:id="275"/>
      </w:r>
      <w:r w:rsidRPr="00A33930">
        <w:rPr>
          <w:lang w:val="nl-NL"/>
        </w:rPr>
        <w:t xml:space="preserve"> </w:t>
      </w:r>
      <w:r w:rsidR="003424A5" w:rsidRPr="00A33930">
        <w:rPr>
          <w:lang w:val="nl-NL"/>
        </w:rPr>
        <w:t xml:space="preserve">Het is op deze neveneffecten dat </w:t>
      </w:r>
      <w:r w:rsidR="00A80A70" w:rsidRPr="00A33930">
        <w:rPr>
          <w:lang w:val="nl-NL"/>
        </w:rPr>
        <w:t xml:space="preserve">door de Belgische wetgever </w:t>
      </w:r>
      <w:r w:rsidR="003424A5" w:rsidRPr="00A33930">
        <w:rPr>
          <w:lang w:val="nl-NL"/>
        </w:rPr>
        <w:t>moet worden geanticipeerd</w:t>
      </w:r>
      <w:r w:rsidR="00A80A70" w:rsidRPr="00A33930">
        <w:rPr>
          <w:lang w:val="nl-NL"/>
        </w:rPr>
        <w:t xml:space="preserve">, en dat </w:t>
      </w:r>
      <w:r w:rsidR="00E60B4B" w:rsidRPr="00A33930">
        <w:rPr>
          <w:lang w:val="nl-NL"/>
        </w:rPr>
        <w:t xml:space="preserve">op verschillende </w:t>
      </w:r>
      <w:r w:rsidR="00553045" w:rsidRPr="00A33930">
        <w:rPr>
          <w:lang w:val="nl-NL"/>
        </w:rPr>
        <w:t>beleids</w:t>
      </w:r>
      <w:r w:rsidR="00E60B4B" w:rsidRPr="00A33930">
        <w:rPr>
          <w:lang w:val="nl-NL"/>
        </w:rPr>
        <w:t>niveaus</w:t>
      </w:r>
      <w:r w:rsidR="003424A5" w:rsidRPr="00A33930">
        <w:rPr>
          <w:lang w:val="nl-NL"/>
        </w:rPr>
        <w:t>.</w:t>
      </w:r>
    </w:p>
    <w:p w14:paraId="45538BCE" w14:textId="7A668473" w:rsidR="009A1D12" w:rsidRPr="00A33930" w:rsidRDefault="009A1D12" w:rsidP="009A1D12">
      <w:pPr>
        <w:pStyle w:val="Kop3"/>
        <w:numPr>
          <w:ilvl w:val="0"/>
          <w:numId w:val="0"/>
        </w:numPr>
        <w:spacing w:before="360"/>
        <w:ind w:left="357" w:hanging="357"/>
        <w:jc w:val="both"/>
        <w:rPr>
          <w:lang w:val="nl-NL"/>
        </w:rPr>
      </w:pPr>
      <w:bookmarkStart w:id="26" w:name="_Toc134621185"/>
      <w:r w:rsidRPr="00A33930">
        <w:rPr>
          <w:lang w:val="nl-NL"/>
        </w:rPr>
        <w:t>Afdeling III.</w:t>
      </w:r>
      <w:r w:rsidRPr="00A33930">
        <w:rPr>
          <w:lang w:val="nl-NL"/>
        </w:rPr>
        <w:tab/>
      </w:r>
      <w:r w:rsidRPr="00A33930">
        <w:rPr>
          <w:lang w:val="nl-NL"/>
        </w:rPr>
        <w:tab/>
        <w:t>Invulling belang van het kind</w:t>
      </w:r>
      <w:bookmarkEnd w:id="26"/>
    </w:p>
    <w:p w14:paraId="0D1FB710" w14:textId="4B641E9C" w:rsidR="004D2C87" w:rsidRPr="00A33930" w:rsidRDefault="003C2191" w:rsidP="00D302AF">
      <w:pPr>
        <w:pStyle w:val="Lijstalinea"/>
        <w:numPr>
          <w:ilvl w:val="0"/>
          <w:numId w:val="4"/>
        </w:numPr>
        <w:spacing w:before="200" w:after="0"/>
        <w:ind w:left="0" w:firstLine="0"/>
        <w:jc w:val="both"/>
        <w:rPr>
          <w:rFonts w:eastAsia="Verdana" w:cs="Verdana"/>
          <w:b/>
          <w:bCs/>
          <w:szCs w:val="18"/>
          <w:lang w:val="nl-NL"/>
        </w:rPr>
      </w:pPr>
      <w:r w:rsidRPr="00A33930">
        <w:rPr>
          <w:rFonts w:eastAsia="Verdana" w:cs="Verdana"/>
          <w:szCs w:val="18"/>
          <w:lang w:val="nl-NL"/>
        </w:rPr>
        <w:t xml:space="preserve">Inmiddels </w:t>
      </w:r>
      <w:r w:rsidR="00553045" w:rsidRPr="00A33930">
        <w:rPr>
          <w:rFonts w:eastAsia="Verdana" w:cs="Verdana"/>
          <w:szCs w:val="18"/>
          <w:lang w:val="nl-NL"/>
        </w:rPr>
        <w:t xml:space="preserve">is duidelijk </w:t>
      </w:r>
      <w:r w:rsidRPr="00A33930">
        <w:rPr>
          <w:rFonts w:eastAsia="Verdana" w:cs="Verdana"/>
          <w:szCs w:val="18"/>
          <w:lang w:val="nl-NL"/>
        </w:rPr>
        <w:t>dat het gewijzigde, moderne kind</w:t>
      </w:r>
      <w:r w:rsidR="00E57778" w:rsidRPr="00A33930">
        <w:rPr>
          <w:rFonts w:eastAsia="Verdana" w:cs="Verdana"/>
          <w:szCs w:val="18"/>
          <w:lang w:val="nl-NL"/>
        </w:rPr>
        <w:t>perspectief</w:t>
      </w:r>
      <w:r w:rsidRPr="00A33930">
        <w:rPr>
          <w:rFonts w:eastAsia="Verdana" w:cs="Verdana"/>
          <w:szCs w:val="18"/>
          <w:lang w:val="nl-NL"/>
        </w:rPr>
        <w:t xml:space="preserve"> er in principe voor moet zorgen dat het kind als volwaardig deelnemer deelneemt aan de samenleving. </w:t>
      </w:r>
      <w:r w:rsidR="003B79EF" w:rsidRPr="00A33930">
        <w:rPr>
          <w:rFonts w:eastAsia="Verdana" w:cs="Verdana"/>
          <w:szCs w:val="18"/>
          <w:lang w:val="nl-NL"/>
        </w:rPr>
        <w:t>Op nationaal niveau vormt artikel 22</w:t>
      </w:r>
      <w:r w:rsidR="003B79EF" w:rsidRPr="00A33930">
        <w:rPr>
          <w:rFonts w:eastAsia="Verdana" w:cs="Verdana"/>
          <w:i/>
          <w:iCs/>
          <w:szCs w:val="18"/>
          <w:lang w:val="nl-NL"/>
        </w:rPr>
        <w:t>bis</w:t>
      </w:r>
      <w:r w:rsidR="00815E26" w:rsidRPr="00A33930">
        <w:rPr>
          <w:rFonts w:eastAsia="Verdana" w:cs="Verdana"/>
          <w:i/>
          <w:iCs/>
          <w:szCs w:val="18"/>
          <w:lang w:val="nl-NL"/>
        </w:rPr>
        <w:t>,</w:t>
      </w:r>
      <w:r w:rsidR="00815E26" w:rsidRPr="00A33930">
        <w:rPr>
          <w:rFonts w:eastAsia="Verdana" w:cs="Verdana"/>
          <w:szCs w:val="18"/>
          <w:lang w:val="nl-NL"/>
        </w:rPr>
        <w:t xml:space="preserve"> </w:t>
      </w:r>
      <w:r w:rsidR="004D498E" w:rsidRPr="00A33930">
        <w:rPr>
          <w:rFonts w:eastAsia="Verdana" w:cs="Verdana"/>
          <w:szCs w:val="18"/>
          <w:lang w:val="nl-NL"/>
        </w:rPr>
        <w:t>vierde lid</w:t>
      </w:r>
      <w:r w:rsidR="003B79EF" w:rsidRPr="00A33930">
        <w:rPr>
          <w:rFonts w:eastAsia="Verdana" w:cs="Verdana"/>
          <w:szCs w:val="18"/>
          <w:lang w:val="nl-NL"/>
        </w:rPr>
        <w:t xml:space="preserve"> Gw. de weerspiegeling van artikel 3.1 IVRK</w:t>
      </w:r>
      <w:r w:rsidR="00E10EDC" w:rsidRPr="00A33930">
        <w:rPr>
          <w:rFonts w:eastAsia="Verdana" w:cs="Verdana"/>
          <w:szCs w:val="18"/>
          <w:lang w:val="nl-NL"/>
        </w:rPr>
        <w:t xml:space="preserve"> </w:t>
      </w:r>
      <w:r w:rsidRPr="00A33930">
        <w:rPr>
          <w:rFonts w:eastAsia="Verdana" w:cs="Verdana"/>
          <w:szCs w:val="18"/>
          <w:lang w:val="nl-NL"/>
        </w:rPr>
        <w:t>dat</w:t>
      </w:r>
      <w:r w:rsidR="009A1D12" w:rsidRPr="00A33930">
        <w:rPr>
          <w:rFonts w:eastAsia="Verdana" w:cs="Verdana"/>
          <w:szCs w:val="18"/>
          <w:lang w:val="nl-NL"/>
        </w:rPr>
        <w:t xml:space="preserve"> bepaalt dat het belang van het kind de eerste overweging vormt bij elke beslissing die </w:t>
      </w:r>
      <w:r w:rsidR="00FC391D" w:rsidRPr="00A33930">
        <w:rPr>
          <w:rFonts w:eastAsia="Verdana" w:cs="Verdana"/>
          <w:szCs w:val="18"/>
          <w:lang w:val="nl-NL"/>
        </w:rPr>
        <w:t>hem</w:t>
      </w:r>
      <w:r w:rsidR="00916067" w:rsidRPr="00A33930">
        <w:rPr>
          <w:rFonts w:eastAsia="Verdana" w:cs="Verdana"/>
          <w:szCs w:val="18"/>
          <w:lang w:val="nl-NL"/>
        </w:rPr>
        <w:t xml:space="preserve"> </w:t>
      </w:r>
      <w:r w:rsidR="00FC391D" w:rsidRPr="00A33930">
        <w:rPr>
          <w:rFonts w:eastAsia="Verdana" w:cs="Verdana"/>
          <w:szCs w:val="18"/>
          <w:lang w:val="nl-NL"/>
        </w:rPr>
        <w:t>aanbelangt</w:t>
      </w:r>
      <w:r w:rsidR="00553045" w:rsidRPr="00A33930">
        <w:rPr>
          <w:rFonts w:eastAsia="Verdana" w:cs="Verdana"/>
          <w:szCs w:val="18"/>
          <w:lang w:val="nl-NL"/>
        </w:rPr>
        <w:t xml:space="preserve"> </w:t>
      </w:r>
      <w:r w:rsidRPr="00A33930">
        <w:rPr>
          <w:rFonts w:eastAsia="Verdana" w:cs="Verdana"/>
          <w:szCs w:val="18"/>
          <w:lang w:val="nl-NL"/>
        </w:rPr>
        <w:t>(</w:t>
      </w:r>
      <w:r w:rsidRPr="00A33930">
        <w:rPr>
          <w:rFonts w:eastAsia="Verdana" w:cs="Verdana"/>
          <w:i/>
          <w:iCs/>
          <w:szCs w:val="18"/>
          <w:lang w:val="nl-NL"/>
        </w:rPr>
        <w:t>supra</w:t>
      </w:r>
      <w:r w:rsidRPr="00A33930">
        <w:rPr>
          <w:rFonts w:eastAsia="Verdana" w:cs="Verdana"/>
          <w:szCs w:val="18"/>
          <w:lang w:val="nl-NL"/>
        </w:rPr>
        <w:t xml:space="preserve">, nr. </w:t>
      </w:r>
      <w:r w:rsidR="00234017" w:rsidRPr="00A33930">
        <w:rPr>
          <w:rFonts w:eastAsia="Verdana" w:cs="Verdana"/>
          <w:szCs w:val="18"/>
          <w:lang w:val="nl-NL"/>
        </w:rPr>
        <w:t>34</w:t>
      </w:r>
      <w:r w:rsidRPr="00A33930">
        <w:rPr>
          <w:rFonts w:eastAsia="Verdana" w:cs="Verdana"/>
          <w:szCs w:val="18"/>
          <w:lang w:val="nl-NL"/>
        </w:rPr>
        <w:t>)</w:t>
      </w:r>
      <w:r w:rsidR="009A1D12" w:rsidRPr="00A33930">
        <w:rPr>
          <w:rFonts w:eastAsia="Verdana" w:cs="Verdana"/>
          <w:szCs w:val="18"/>
          <w:lang w:val="nl-NL"/>
        </w:rPr>
        <w:t>.</w:t>
      </w:r>
      <w:r w:rsidR="009A1D12" w:rsidRPr="00A33930">
        <w:rPr>
          <w:rStyle w:val="Voetnootmarkering"/>
          <w:rFonts w:eastAsia="Verdana" w:cs="Verdana"/>
          <w:szCs w:val="18"/>
          <w:lang w:val="nl-NL"/>
        </w:rPr>
        <w:footnoteReference w:id="276"/>
      </w:r>
    </w:p>
    <w:p w14:paraId="6DA9B94C" w14:textId="77777777" w:rsidR="003C2191" w:rsidRPr="00A33930" w:rsidRDefault="003C2191" w:rsidP="003C2191">
      <w:pPr>
        <w:pStyle w:val="Lijstalinea"/>
        <w:spacing w:before="200" w:after="0"/>
        <w:ind w:left="0"/>
        <w:jc w:val="both"/>
        <w:rPr>
          <w:rFonts w:eastAsia="Verdana" w:cs="Verdana"/>
          <w:b/>
          <w:bCs/>
          <w:szCs w:val="18"/>
          <w:lang w:val="nl-NL"/>
        </w:rPr>
      </w:pPr>
    </w:p>
    <w:p w14:paraId="562257B9" w14:textId="28A52C82" w:rsidR="007A752D" w:rsidRPr="00A33930" w:rsidRDefault="00815E26" w:rsidP="00D302AF">
      <w:pPr>
        <w:pStyle w:val="Lijstalinea"/>
        <w:numPr>
          <w:ilvl w:val="0"/>
          <w:numId w:val="4"/>
        </w:numPr>
        <w:spacing w:before="200" w:after="0"/>
        <w:ind w:left="0" w:firstLine="0"/>
        <w:jc w:val="both"/>
        <w:rPr>
          <w:rFonts w:eastAsia="Verdana" w:cs="Verdana"/>
          <w:b/>
          <w:bCs/>
          <w:szCs w:val="18"/>
          <w:lang w:val="nl-NL"/>
        </w:rPr>
      </w:pPr>
      <w:r w:rsidRPr="00A33930">
        <w:rPr>
          <w:lang w:val="nl-NL"/>
        </w:rPr>
        <w:t>Artikel 22</w:t>
      </w:r>
      <w:r w:rsidRPr="00A33930">
        <w:rPr>
          <w:i/>
          <w:iCs/>
          <w:lang w:val="nl-NL"/>
        </w:rPr>
        <w:t>bis</w:t>
      </w:r>
      <w:r w:rsidR="004D498E" w:rsidRPr="00A33930">
        <w:rPr>
          <w:lang w:val="nl-NL"/>
        </w:rPr>
        <w:t>, vierde lid</w:t>
      </w:r>
      <w:r w:rsidRPr="00A33930">
        <w:rPr>
          <w:lang w:val="nl-NL"/>
        </w:rPr>
        <w:t xml:space="preserve"> Gw. gaat </w:t>
      </w:r>
      <w:r w:rsidR="00A37216" w:rsidRPr="00A33930">
        <w:rPr>
          <w:lang w:val="nl-NL"/>
        </w:rPr>
        <w:t xml:space="preserve">hierbij </w:t>
      </w:r>
      <w:r w:rsidRPr="00A33930">
        <w:rPr>
          <w:lang w:val="nl-NL"/>
        </w:rPr>
        <w:t xml:space="preserve">verder dan wordt voorzien door artikel 3.1 IVRK. Daar waar de Grondwet het belang van het kind als </w:t>
      </w:r>
      <w:r w:rsidR="00553045" w:rsidRPr="00A33930">
        <w:rPr>
          <w:lang w:val="nl-NL"/>
        </w:rPr>
        <w:t>“</w:t>
      </w:r>
      <w:r w:rsidRPr="00A33930">
        <w:rPr>
          <w:lang w:val="nl-NL"/>
        </w:rPr>
        <w:t>de</w:t>
      </w:r>
      <w:r w:rsidR="00553045" w:rsidRPr="00A33930">
        <w:rPr>
          <w:lang w:val="nl-NL"/>
        </w:rPr>
        <w:t>”</w:t>
      </w:r>
      <w:r w:rsidRPr="00A33930">
        <w:rPr>
          <w:lang w:val="nl-NL"/>
        </w:rPr>
        <w:t xml:space="preserve"> eerste overweging ziet, maakt het IVRK slechts melding van </w:t>
      </w:r>
      <w:r w:rsidR="00553045" w:rsidRPr="00A33930">
        <w:rPr>
          <w:lang w:val="nl-NL"/>
        </w:rPr>
        <w:t>“</w:t>
      </w:r>
      <w:r w:rsidRPr="00A33930">
        <w:rPr>
          <w:lang w:val="nl-NL"/>
        </w:rPr>
        <w:t>een</w:t>
      </w:r>
      <w:r w:rsidR="00553045" w:rsidRPr="00A33930">
        <w:rPr>
          <w:lang w:val="nl-NL"/>
        </w:rPr>
        <w:t>”</w:t>
      </w:r>
      <w:r w:rsidRPr="00A33930">
        <w:rPr>
          <w:lang w:val="nl-NL"/>
        </w:rPr>
        <w:t xml:space="preserve"> eerste overweging</w:t>
      </w:r>
      <w:r w:rsidR="006D24B8" w:rsidRPr="00A33930">
        <w:rPr>
          <w:lang w:val="nl-NL"/>
        </w:rPr>
        <w:t>.</w:t>
      </w:r>
      <w:r w:rsidR="00672812" w:rsidRPr="00A33930">
        <w:rPr>
          <w:rStyle w:val="Voetnootmarkering"/>
          <w:lang w:val="nl-NL"/>
        </w:rPr>
        <w:footnoteReference w:id="277"/>
      </w:r>
      <w:r w:rsidR="006D24B8" w:rsidRPr="00A33930">
        <w:rPr>
          <w:lang w:val="nl-NL"/>
        </w:rPr>
        <w:t xml:space="preserve"> Bijgevolg zou de rechter volgens een strikte lezing van de Grondwet enkel rekening mogen houden met de belangen van de ouders indien daardoor het belang van het kind niet wordt geschaad. Dit komt </w:t>
      </w:r>
      <w:r w:rsidR="00CA154B" w:rsidRPr="00A33930">
        <w:rPr>
          <w:lang w:val="nl-NL"/>
        </w:rPr>
        <w:t xml:space="preserve">volgens verschillende auteurs </w:t>
      </w:r>
      <w:r w:rsidR="006D24B8" w:rsidRPr="00A33930">
        <w:rPr>
          <w:lang w:val="nl-NL"/>
        </w:rPr>
        <w:t>niet overeen met de bedoeling van het IVRK</w:t>
      </w:r>
      <w:r w:rsidR="00A80A70" w:rsidRPr="00A33930">
        <w:rPr>
          <w:lang w:val="nl-NL"/>
        </w:rPr>
        <w:t>,</w:t>
      </w:r>
      <w:r w:rsidR="006D24B8" w:rsidRPr="00A33930">
        <w:rPr>
          <w:lang w:val="nl-NL"/>
        </w:rPr>
        <w:t xml:space="preserve"> </w:t>
      </w:r>
      <w:r w:rsidR="003C2191" w:rsidRPr="00A33930">
        <w:rPr>
          <w:lang w:val="nl-NL"/>
        </w:rPr>
        <w:t xml:space="preserve">waarbij ook </w:t>
      </w:r>
      <w:r w:rsidR="006D24B8" w:rsidRPr="00A33930">
        <w:rPr>
          <w:lang w:val="nl-NL"/>
        </w:rPr>
        <w:t>het</w:t>
      </w:r>
      <w:r w:rsidR="004D498E" w:rsidRPr="00A33930">
        <w:rPr>
          <w:lang w:val="nl-NL"/>
        </w:rPr>
        <w:t xml:space="preserve"> VN-Kinderrechtencomité het </w:t>
      </w:r>
      <w:r w:rsidR="003C2191" w:rsidRPr="00A33930">
        <w:rPr>
          <w:lang w:val="nl-NL"/>
        </w:rPr>
        <w:t xml:space="preserve">criterium van het </w:t>
      </w:r>
      <w:r w:rsidR="004D498E" w:rsidRPr="00A33930">
        <w:rPr>
          <w:lang w:val="nl-NL"/>
        </w:rPr>
        <w:t xml:space="preserve">belang van het kind </w:t>
      </w:r>
      <w:r w:rsidR="006D24B8" w:rsidRPr="00A33930">
        <w:rPr>
          <w:lang w:val="nl-NL"/>
        </w:rPr>
        <w:t xml:space="preserve">ziet </w:t>
      </w:r>
      <w:r w:rsidR="004D498E" w:rsidRPr="00A33930">
        <w:rPr>
          <w:lang w:val="nl-NL"/>
        </w:rPr>
        <w:t xml:space="preserve">als een bemiddelend beginsel in het oplossen van conflicten tussen verschillende </w:t>
      </w:r>
      <w:r w:rsidR="004D498E" w:rsidRPr="00A33930">
        <w:rPr>
          <w:lang w:val="nl-NL"/>
        </w:rPr>
        <w:lastRenderedPageBreak/>
        <w:t>rechten uit het IVRK.</w:t>
      </w:r>
      <w:r w:rsidR="004D498E" w:rsidRPr="00A33930">
        <w:rPr>
          <w:rStyle w:val="Voetnootmarkering"/>
          <w:lang w:val="nl-NL"/>
        </w:rPr>
        <w:footnoteReference w:id="278"/>
      </w:r>
      <w:r w:rsidR="00CA154B" w:rsidRPr="00A33930">
        <w:rPr>
          <w:lang w:val="nl-NL"/>
        </w:rPr>
        <w:t xml:space="preserve"> Bovendien moet ook het belang van de ouders in rekening worden gebracht.</w:t>
      </w:r>
      <w:r w:rsidR="003C2191" w:rsidRPr="00A33930">
        <w:rPr>
          <w:lang w:val="nl-NL"/>
        </w:rPr>
        <w:t xml:space="preserve"> Het IVRK zoekt zo aansluiting op de bepalingen </w:t>
      </w:r>
      <w:r w:rsidR="00553045" w:rsidRPr="00A33930">
        <w:rPr>
          <w:lang w:val="nl-NL"/>
        </w:rPr>
        <w:t>van</w:t>
      </w:r>
      <w:r w:rsidR="003C2191" w:rsidRPr="00A33930">
        <w:rPr>
          <w:lang w:val="nl-NL"/>
        </w:rPr>
        <w:t xml:space="preserve"> het EVRM.</w:t>
      </w:r>
      <w:r w:rsidR="003C2191" w:rsidRPr="00A33930">
        <w:rPr>
          <w:rStyle w:val="Voetnootmarkering"/>
          <w:lang w:val="nl-NL"/>
        </w:rPr>
        <w:footnoteReference w:id="279"/>
      </w:r>
    </w:p>
    <w:p w14:paraId="641D7DCE" w14:textId="77777777" w:rsidR="003C2191" w:rsidRPr="00A33930" w:rsidRDefault="003C2191" w:rsidP="003C2191">
      <w:pPr>
        <w:pStyle w:val="Lijstalinea"/>
        <w:spacing w:before="200" w:after="0"/>
        <w:ind w:left="0"/>
        <w:jc w:val="both"/>
        <w:rPr>
          <w:rFonts w:eastAsia="Verdana" w:cs="Verdana"/>
          <w:b/>
          <w:bCs/>
          <w:szCs w:val="18"/>
          <w:lang w:val="nl-NL"/>
        </w:rPr>
      </w:pPr>
    </w:p>
    <w:p w14:paraId="4A04E479" w14:textId="15B6F5A3" w:rsidR="00D302AF" w:rsidRPr="00A33930" w:rsidRDefault="007A752D" w:rsidP="00D302AF">
      <w:pPr>
        <w:pStyle w:val="Lijstalinea"/>
        <w:numPr>
          <w:ilvl w:val="0"/>
          <w:numId w:val="4"/>
        </w:numPr>
        <w:spacing w:before="200" w:after="0"/>
        <w:ind w:left="0" w:firstLine="0"/>
        <w:jc w:val="both"/>
        <w:rPr>
          <w:rFonts w:eastAsia="Verdana" w:cs="Verdana"/>
          <w:b/>
          <w:bCs/>
          <w:szCs w:val="18"/>
          <w:lang w:val="nl-NL"/>
        </w:rPr>
      </w:pPr>
      <w:r w:rsidRPr="00A33930">
        <w:rPr>
          <w:lang w:val="nl-NL"/>
        </w:rPr>
        <w:t xml:space="preserve">In de rechtspraak wordt </w:t>
      </w:r>
      <w:r w:rsidR="006D24B8" w:rsidRPr="00A33930">
        <w:rPr>
          <w:lang w:val="nl-NL"/>
        </w:rPr>
        <w:t xml:space="preserve">tevens </w:t>
      </w:r>
      <w:r w:rsidRPr="00A33930">
        <w:rPr>
          <w:lang w:val="nl-NL"/>
        </w:rPr>
        <w:t>enkel</w:t>
      </w:r>
      <w:r w:rsidR="004D498E" w:rsidRPr="00A33930">
        <w:rPr>
          <w:lang w:val="nl-NL"/>
        </w:rPr>
        <w:t xml:space="preserve"> een abstracte invulling gegeven aan het belang van het kind.</w:t>
      </w:r>
      <w:r w:rsidR="004D498E" w:rsidRPr="00A33930">
        <w:rPr>
          <w:rStyle w:val="Voetnootmarkering"/>
          <w:lang w:val="nl-NL"/>
        </w:rPr>
        <w:footnoteReference w:id="280"/>
      </w:r>
      <w:r w:rsidR="004D498E" w:rsidRPr="00A33930">
        <w:rPr>
          <w:lang w:val="nl-NL"/>
        </w:rPr>
        <w:t xml:space="preserve"> </w:t>
      </w:r>
      <w:r w:rsidRPr="00A33930">
        <w:rPr>
          <w:lang w:val="nl-NL"/>
        </w:rPr>
        <w:t>Het belang van het kind neemt een bijzondere plaats in doordat het</w:t>
      </w:r>
      <w:r w:rsidR="00B65E8C" w:rsidRPr="00A33930">
        <w:rPr>
          <w:lang w:val="nl-NL"/>
        </w:rPr>
        <w:t xml:space="preserve"> kind</w:t>
      </w:r>
      <w:r w:rsidRPr="00A33930">
        <w:rPr>
          <w:lang w:val="nl-NL"/>
        </w:rPr>
        <w:t xml:space="preserve"> de zwakke</w:t>
      </w:r>
      <w:r w:rsidR="00FC391D" w:rsidRPr="00A33930">
        <w:rPr>
          <w:lang w:val="nl-NL"/>
        </w:rPr>
        <w:t>re</w:t>
      </w:r>
      <w:r w:rsidRPr="00A33930">
        <w:rPr>
          <w:lang w:val="nl-NL"/>
        </w:rPr>
        <w:t xml:space="preserve"> partij is</w:t>
      </w:r>
      <w:r w:rsidR="00B65E8C" w:rsidRPr="00A33930">
        <w:rPr>
          <w:lang w:val="nl-NL"/>
        </w:rPr>
        <w:t>,</w:t>
      </w:r>
      <w:r w:rsidRPr="00A33930">
        <w:rPr>
          <w:lang w:val="nl-NL"/>
        </w:rPr>
        <w:t xml:space="preserve"> maar het houdt geen vetorecht in voor het kind.</w:t>
      </w:r>
      <w:r w:rsidR="00856E2F" w:rsidRPr="00A33930">
        <w:rPr>
          <w:rStyle w:val="Voetnootmarkering"/>
          <w:lang w:val="nl-NL"/>
        </w:rPr>
        <w:footnoteReference w:id="281"/>
      </w:r>
      <w:r w:rsidRPr="00A33930">
        <w:rPr>
          <w:lang w:val="nl-NL"/>
        </w:rPr>
        <w:t xml:space="preserve"> De rechter moet </w:t>
      </w:r>
      <w:r w:rsidR="003C2191" w:rsidRPr="00A33930">
        <w:rPr>
          <w:lang w:val="nl-NL"/>
        </w:rPr>
        <w:t xml:space="preserve">tevens </w:t>
      </w:r>
      <w:r w:rsidRPr="00A33930">
        <w:rPr>
          <w:lang w:val="nl-NL"/>
        </w:rPr>
        <w:t>rekening houden met de belangen van de andere partijen in het geding.</w:t>
      </w:r>
      <w:r w:rsidRPr="00A33930">
        <w:rPr>
          <w:rStyle w:val="Voetnootmarkering"/>
          <w:lang w:val="nl-NL"/>
        </w:rPr>
        <w:footnoteReference w:id="282"/>
      </w:r>
      <w:r w:rsidR="00B65E8C" w:rsidRPr="00A33930">
        <w:rPr>
          <w:lang w:val="nl-NL"/>
        </w:rPr>
        <w:t xml:space="preserve"> </w:t>
      </w:r>
      <w:r w:rsidR="006D24B8" w:rsidRPr="00A33930">
        <w:rPr>
          <w:lang w:val="nl-NL"/>
        </w:rPr>
        <w:t xml:space="preserve">De mogelijkheid bestaat </w:t>
      </w:r>
      <w:r w:rsidR="00B65E8C" w:rsidRPr="00A33930">
        <w:rPr>
          <w:lang w:val="nl-NL"/>
        </w:rPr>
        <w:t xml:space="preserve">dat het belang van het kind </w:t>
      </w:r>
      <w:r w:rsidR="006D24B8" w:rsidRPr="00A33930">
        <w:rPr>
          <w:lang w:val="nl-NL"/>
        </w:rPr>
        <w:t>primeert</w:t>
      </w:r>
      <w:r w:rsidR="00B65E8C" w:rsidRPr="00A33930">
        <w:rPr>
          <w:lang w:val="nl-NL"/>
        </w:rPr>
        <w:t xml:space="preserve"> op dat van de ouders.</w:t>
      </w:r>
      <w:r w:rsidR="00B65E8C" w:rsidRPr="00A33930">
        <w:rPr>
          <w:rStyle w:val="Voetnootmarkering"/>
          <w:lang w:val="nl-NL"/>
        </w:rPr>
        <w:footnoteReference w:id="283"/>
      </w:r>
      <w:r w:rsidR="006B6A22" w:rsidRPr="00A33930">
        <w:rPr>
          <w:lang w:val="nl-NL"/>
        </w:rPr>
        <w:t xml:space="preserve"> </w:t>
      </w:r>
      <w:r w:rsidR="00FC391D" w:rsidRPr="00A33930">
        <w:rPr>
          <w:lang w:val="nl-NL"/>
        </w:rPr>
        <w:t>Hierdoor</w:t>
      </w:r>
      <w:r w:rsidR="006B6A22" w:rsidRPr="00A33930">
        <w:rPr>
          <w:lang w:val="nl-NL"/>
        </w:rPr>
        <w:t xml:space="preserve"> </w:t>
      </w:r>
      <w:r w:rsidR="00FC391D" w:rsidRPr="00A33930">
        <w:rPr>
          <w:lang w:val="nl-NL"/>
        </w:rPr>
        <w:t>situeert</w:t>
      </w:r>
      <w:r w:rsidR="006B6A22" w:rsidRPr="00A33930">
        <w:rPr>
          <w:lang w:val="nl-NL"/>
        </w:rPr>
        <w:t xml:space="preserve"> het belang van het kind zich op de onzichtbare grens tussen het individuele en collectieve belang</w:t>
      </w:r>
      <w:r w:rsidR="00FC391D" w:rsidRPr="00A33930">
        <w:rPr>
          <w:lang w:val="nl-NL"/>
        </w:rPr>
        <w:t xml:space="preserve"> binnen het privé-, familie- en gezinsleven</w:t>
      </w:r>
      <w:r w:rsidR="006B6A22" w:rsidRPr="00A33930">
        <w:rPr>
          <w:lang w:val="nl-NL"/>
        </w:rPr>
        <w:t xml:space="preserve">. </w:t>
      </w:r>
    </w:p>
    <w:p w14:paraId="633BA967" w14:textId="77777777" w:rsidR="00D302AF" w:rsidRPr="00A33930" w:rsidRDefault="00D302AF" w:rsidP="00D302AF">
      <w:pPr>
        <w:pStyle w:val="Lijstalinea"/>
        <w:spacing w:before="200" w:after="0"/>
        <w:ind w:left="0"/>
        <w:jc w:val="both"/>
        <w:rPr>
          <w:rFonts w:eastAsia="Verdana" w:cs="Verdana"/>
          <w:b/>
          <w:bCs/>
          <w:szCs w:val="18"/>
          <w:lang w:val="nl-NL"/>
        </w:rPr>
      </w:pPr>
    </w:p>
    <w:p w14:paraId="28CC0444" w14:textId="0FCD33B5" w:rsidR="00D302AF" w:rsidRPr="00A33930" w:rsidRDefault="00553045" w:rsidP="001242E1">
      <w:pPr>
        <w:pStyle w:val="Lijstalinea"/>
        <w:numPr>
          <w:ilvl w:val="0"/>
          <w:numId w:val="4"/>
        </w:numPr>
        <w:spacing w:before="200" w:after="0"/>
        <w:ind w:left="0" w:firstLine="0"/>
        <w:jc w:val="both"/>
        <w:rPr>
          <w:rFonts w:eastAsia="Verdana" w:cs="Verdana"/>
          <w:b/>
          <w:bCs/>
          <w:szCs w:val="18"/>
          <w:lang w:val="nl-NL"/>
        </w:rPr>
      </w:pPr>
      <w:r w:rsidRPr="00A33930">
        <w:rPr>
          <w:rFonts w:eastAsia="Verdana" w:cs="Verdana"/>
          <w:szCs w:val="18"/>
          <w:lang w:val="nl-NL"/>
        </w:rPr>
        <w:t>Aangaande het recht op persoonlijk contact hanteert</w:t>
      </w:r>
      <w:r w:rsidR="00D302AF" w:rsidRPr="00A33930">
        <w:rPr>
          <w:rFonts w:eastAsia="Verdana" w:cs="Verdana"/>
          <w:szCs w:val="18"/>
          <w:lang w:val="nl-NL"/>
        </w:rPr>
        <w:t xml:space="preserve"> </w:t>
      </w:r>
      <w:r w:rsidRPr="00A33930">
        <w:rPr>
          <w:rFonts w:eastAsia="Verdana" w:cs="Verdana"/>
          <w:szCs w:val="18"/>
          <w:lang w:val="nl-NL"/>
        </w:rPr>
        <w:t xml:space="preserve">artikel 374, §1, vierde lid oud BW </w:t>
      </w:r>
      <w:r w:rsidR="00916067" w:rsidRPr="00A33930">
        <w:rPr>
          <w:rFonts w:eastAsia="Verdana" w:cs="Verdana"/>
          <w:szCs w:val="18"/>
          <w:lang w:val="nl-NL"/>
        </w:rPr>
        <w:t>dit belang van het kind als specifiek toetsingscriterium.</w:t>
      </w:r>
      <w:r w:rsidR="00916067" w:rsidRPr="00A33930">
        <w:rPr>
          <w:rStyle w:val="Voetnootmarkering"/>
          <w:rFonts w:eastAsia="Verdana" w:cs="Verdana"/>
          <w:szCs w:val="18"/>
          <w:lang w:val="nl-NL"/>
        </w:rPr>
        <w:footnoteReference w:id="284"/>
      </w:r>
      <w:r w:rsidR="00916067" w:rsidRPr="00A33930">
        <w:rPr>
          <w:rFonts w:eastAsia="Verdana" w:cs="Verdana"/>
          <w:b/>
          <w:bCs/>
          <w:szCs w:val="18"/>
          <w:lang w:val="nl-NL"/>
        </w:rPr>
        <w:t xml:space="preserve"> </w:t>
      </w:r>
      <w:r w:rsidR="00916067" w:rsidRPr="00A33930">
        <w:rPr>
          <w:rFonts w:eastAsia="Verdana" w:cs="Verdana"/>
          <w:szCs w:val="18"/>
          <w:lang w:val="nl-NL"/>
        </w:rPr>
        <w:t xml:space="preserve">Opgemerkt dient te worden dat </w:t>
      </w:r>
      <w:r w:rsidR="00101873" w:rsidRPr="00A33930">
        <w:rPr>
          <w:rFonts w:eastAsia="Verdana" w:cs="Verdana"/>
          <w:szCs w:val="18"/>
          <w:lang w:val="nl-NL"/>
        </w:rPr>
        <w:t xml:space="preserve">artikel 374, §2, laatste lid oud BW </w:t>
      </w:r>
      <w:r w:rsidR="00916067" w:rsidRPr="00A33930">
        <w:rPr>
          <w:rFonts w:eastAsia="Verdana" w:cs="Verdana"/>
          <w:szCs w:val="18"/>
          <w:lang w:val="nl-NL"/>
        </w:rPr>
        <w:t>bepaalt</w:t>
      </w:r>
      <w:r w:rsidR="00101873" w:rsidRPr="00A33930">
        <w:rPr>
          <w:rFonts w:eastAsia="Verdana" w:cs="Verdana"/>
          <w:szCs w:val="18"/>
          <w:lang w:val="nl-NL"/>
        </w:rPr>
        <w:t xml:space="preserve"> dat naast het belang van het kind ook het belang van de ouders speelt</w:t>
      </w:r>
      <w:r w:rsidR="00566B1B" w:rsidRPr="00A33930">
        <w:rPr>
          <w:rFonts w:eastAsia="Verdana" w:cs="Verdana"/>
          <w:szCs w:val="18"/>
          <w:lang w:val="nl-NL"/>
        </w:rPr>
        <w:t xml:space="preserve">. </w:t>
      </w:r>
      <w:r w:rsidR="00D302AF" w:rsidRPr="00A33930">
        <w:rPr>
          <w:szCs w:val="18"/>
          <w:lang w:val="nl-NL"/>
        </w:rPr>
        <w:t xml:space="preserve">De uitoefening van het recht op persoonlijk contact kan enkel geweigerd worden </w:t>
      </w:r>
      <w:r w:rsidRPr="00A33930">
        <w:rPr>
          <w:szCs w:val="18"/>
          <w:lang w:val="nl-NL"/>
        </w:rPr>
        <w:t>wanneer</w:t>
      </w:r>
      <w:r w:rsidR="00D302AF" w:rsidRPr="00A33930">
        <w:rPr>
          <w:szCs w:val="18"/>
          <w:lang w:val="nl-NL"/>
        </w:rPr>
        <w:t xml:space="preserve"> de uitoefening van dat recht ingaat tegen het belang van het kind.</w:t>
      </w:r>
      <w:r w:rsidR="00D302AF" w:rsidRPr="00A33930">
        <w:rPr>
          <w:rStyle w:val="Voetnootmarkering"/>
          <w:szCs w:val="18"/>
          <w:lang w:val="nl-NL"/>
        </w:rPr>
        <w:footnoteReference w:id="285"/>
      </w:r>
      <w:r w:rsidR="001242E1" w:rsidRPr="00A33930">
        <w:rPr>
          <w:szCs w:val="18"/>
          <w:lang w:val="nl-NL"/>
        </w:rPr>
        <w:t xml:space="preserve"> </w:t>
      </w:r>
      <w:r w:rsidR="001242E1" w:rsidRPr="00A33930">
        <w:rPr>
          <w:rFonts w:eastAsia="Verdana" w:cs="Verdana"/>
          <w:szCs w:val="18"/>
          <w:lang w:val="nl-NL"/>
        </w:rPr>
        <w:t>Net zoals op mensenrechtelijk niveau</w:t>
      </w:r>
      <w:r w:rsidR="00FC391D" w:rsidRPr="00A33930">
        <w:rPr>
          <w:rFonts w:eastAsia="Verdana" w:cs="Verdana"/>
          <w:szCs w:val="18"/>
          <w:lang w:val="nl-NL"/>
        </w:rPr>
        <w:t>,</w:t>
      </w:r>
      <w:r w:rsidR="001242E1" w:rsidRPr="00A33930">
        <w:rPr>
          <w:rFonts w:eastAsia="Verdana" w:cs="Verdana"/>
          <w:szCs w:val="18"/>
          <w:lang w:val="nl-NL"/>
        </w:rPr>
        <w:t xml:space="preserve"> wordt er door de Belgische wetgever of door rechtspraak niet voorzien in een definiëring van dit belang </w:t>
      </w:r>
      <w:r w:rsidRPr="00A33930">
        <w:rPr>
          <w:rFonts w:eastAsia="Verdana" w:cs="Verdana"/>
          <w:szCs w:val="18"/>
          <w:lang w:val="nl-NL"/>
        </w:rPr>
        <w:t>(</w:t>
      </w:r>
      <w:r w:rsidRPr="00A33930">
        <w:rPr>
          <w:rFonts w:eastAsia="Verdana" w:cs="Verdana"/>
          <w:i/>
          <w:iCs/>
          <w:szCs w:val="18"/>
          <w:lang w:val="nl-NL"/>
        </w:rPr>
        <w:t>supra</w:t>
      </w:r>
      <w:r w:rsidRPr="00A33930">
        <w:rPr>
          <w:rFonts w:eastAsia="Verdana" w:cs="Verdana"/>
          <w:szCs w:val="18"/>
          <w:lang w:val="nl-NL"/>
        </w:rPr>
        <w:t xml:space="preserve">, nr. </w:t>
      </w:r>
      <w:r w:rsidR="000515F1" w:rsidRPr="00A33930">
        <w:rPr>
          <w:rFonts w:eastAsia="Verdana" w:cs="Verdana"/>
          <w:szCs w:val="18"/>
          <w:lang w:val="nl-NL"/>
        </w:rPr>
        <w:t>35 en nr. 52</w:t>
      </w:r>
      <w:r w:rsidRPr="00A33930">
        <w:rPr>
          <w:rFonts w:eastAsia="Verdana" w:cs="Verdana"/>
          <w:szCs w:val="18"/>
          <w:lang w:val="nl-NL"/>
        </w:rPr>
        <w:t>)</w:t>
      </w:r>
      <w:r w:rsidR="001242E1" w:rsidRPr="00A33930">
        <w:rPr>
          <w:rFonts w:eastAsia="Verdana" w:cs="Verdana"/>
          <w:szCs w:val="18"/>
          <w:lang w:val="nl-NL"/>
        </w:rPr>
        <w:t>.</w:t>
      </w:r>
      <w:r w:rsidR="001242E1" w:rsidRPr="00A33930">
        <w:rPr>
          <w:rFonts w:eastAsia="Verdana" w:cs="Verdana"/>
          <w:b/>
          <w:bCs/>
          <w:szCs w:val="18"/>
          <w:lang w:val="nl-NL"/>
        </w:rPr>
        <w:t xml:space="preserve"> </w:t>
      </w:r>
      <w:r w:rsidR="00F06A57" w:rsidRPr="00A33930">
        <w:rPr>
          <w:rFonts w:eastAsia="Verdana" w:cs="Verdana"/>
          <w:szCs w:val="18"/>
          <w:lang w:val="nl-NL"/>
        </w:rPr>
        <w:t xml:space="preserve">Het is een vaag en waardegebonden criterium dat </w:t>
      </w:r>
      <w:r w:rsidR="009320AB" w:rsidRPr="00A33930">
        <w:rPr>
          <w:rFonts w:eastAsia="Verdana" w:cs="Verdana"/>
          <w:szCs w:val="18"/>
          <w:lang w:val="nl-NL"/>
        </w:rPr>
        <w:t>voortdurend</w:t>
      </w:r>
      <w:r w:rsidR="00F06A57" w:rsidRPr="00A33930">
        <w:rPr>
          <w:rFonts w:eastAsia="Verdana" w:cs="Verdana"/>
          <w:szCs w:val="18"/>
          <w:lang w:val="nl-NL"/>
        </w:rPr>
        <w:t xml:space="preserve"> in ontwikkeling is. </w:t>
      </w:r>
      <w:r w:rsidR="001242E1" w:rsidRPr="00A33930">
        <w:rPr>
          <w:szCs w:val="18"/>
          <w:lang w:val="nl-NL"/>
        </w:rPr>
        <w:t>Hierdoor is er een zekere appreciatiemarge weggelegd voor de rechter.</w:t>
      </w:r>
      <w:r w:rsidR="00916067" w:rsidRPr="00A33930">
        <w:rPr>
          <w:rStyle w:val="Voetnootmarkering"/>
          <w:szCs w:val="18"/>
          <w:lang w:val="nl-NL"/>
        </w:rPr>
        <w:footnoteReference w:id="286"/>
      </w:r>
      <w:r w:rsidR="004D2C87" w:rsidRPr="00A33930">
        <w:rPr>
          <w:szCs w:val="18"/>
          <w:lang w:val="nl-NL"/>
        </w:rPr>
        <w:t xml:space="preserve"> Dat zorgt vaak voor een subjectieve invulling van het belang van het kind vanuit het perspectief van volwassenen.</w:t>
      </w:r>
      <w:r w:rsidR="004D2C87" w:rsidRPr="00A33930">
        <w:rPr>
          <w:rStyle w:val="Voetnootmarkering"/>
          <w:rFonts w:eastAsia="Verdana" w:cs="Verdana"/>
          <w:szCs w:val="18"/>
          <w:lang w:val="nl-NL"/>
        </w:rPr>
        <w:footnoteReference w:id="287"/>
      </w:r>
      <w:r w:rsidR="00671A1A" w:rsidRPr="00A33930">
        <w:rPr>
          <w:szCs w:val="18"/>
          <w:lang w:val="nl-NL"/>
        </w:rPr>
        <w:t xml:space="preserve"> Het belang van het kind speelt in zaken betreffende het persoonlijk contact een dubbele rol: enerzijds is het in het belang van het kind contacten te onderhouden, maar anderzijds zou een gedwongen contact het belang van het kind schenden indien dit kind geconfronteerd wordt met ongeïnteresseerde en afwijzende volwassenen.</w:t>
      </w:r>
      <w:r w:rsidR="00671A1A" w:rsidRPr="00A33930">
        <w:rPr>
          <w:rStyle w:val="Voetnootmarkering"/>
          <w:szCs w:val="18"/>
          <w:lang w:val="nl-NL"/>
        </w:rPr>
        <w:footnoteReference w:id="288"/>
      </w:r>
    </w:p>
    <w:p w14:paraId="6DA7E29B" w14:textId="185DD773" w:rsidR="004D2C87" w:rsidRPr="00A33930" w:rsidRDefault="004D2C87" w:rsidP="004D2C87">
      <w:pPr>
        <w:pStyle w:val="Lijstalinea"/>
        <w:spacing w:before="200" w:after="0"/>
        <w:ind w:left="0"/>
        <w:jc w:val="both"/>
        <w:rPr>
          <w:rFonts w:eastAsia="Verdana" w:cs="Verdana"/>
          <w:b/>
          <w:bCs/>
          <w:szCs w:val="18"/>
          <w:lang w:val="nl-NL"/>
        </w:rPr>
      </w:pPr>
    </w:p>
    <w:p w14:paraId="5EC58405" w14:textId="59248291" w:rsidR="009A1D12" w:rsidRPr="00A33930" w:rsidRDefault="004D2C87" w:rsidP="004D2C87">
      <w:pPr>
        <w:pStyle w:val="Lijstalinea"/>
        <w:numPr>
          <w:ilvl w:val="0"/>
          <w:numId w:val="4"/>
        </w:numPr>
        <w:spacing w:before="200" w:after="0"/>
        <w:ind w:left="0" w:firstLine="0"/>
        <w:jc w:val="both"/>
        <w:rPr>
          <w:rFonts w:eastAsia="Verdana" w:cs="Verdana"/>
          <w:b/>
          <w:bCs/>
          <w:szCs w:val="18"/>
          <w:lang w:val="nl-NL"/>
        </w:rPr>
      </w:pPr>
      <w:r w:rsidRPr="00A33930">
        <w:rPr>
          <w:szCs w:val="18"/>
          <w:lang w:val="nl-NL"/>
        </w:rPr>
        <w:lastRenderedPageBreak/>
        <w:t>De Belgische rechtsleer wijst erop dat het belang van het kind een invulling moet krijgen vanuit het geheel aan kinderrechten, met inbegrip van de participatie.</w:t>
      </w:r>
      <w:r w:rsidRPr="00A33930">
        <w:rPr>
          <w:rStyle w:val="Voetnootmarkering"/>
          <w:lang w:val="nl-NL"/>
        </w:rPr>
        <w:footnoteReference w:id="289"/>
      </w:r>
      <w:r w:rsidRPr="00A33930">
        <w:rPr>
          <w:szCs w:val="18"/>
          <w:lang w:val="nl-NL"/>
        </w:rPr>
        <w:t xml:space="preserve"> In zaken betreffende het recht op persoonlijk contact moet een evenwicht worden gezocht tussen het belang van het kind en zijn zelfbeschikkingsrecht. </w:t>
      </w:r>
      <w:r w:rsidRPr="00A33930">
        <w:rPr>
          <w:rFonts w:eastAsia="Verdana" w:cs="Verdana"/>
          <w:szCs w:val="18"/>
          <w:lang w:val="nl-NL"/>
        </w:rPr>
        <w:t>Met artikel 22</w:t>
      </w:r>
      <w:r w:rsidRPr="00A33930">
        <w:rPr>
          <w:rFonts w:eastAsia="Verdana" w:cs="Verdana"/>
          <w:i/>
          <w:iCs/>
          <w:szCs w:val="18"/>
          <w:lang w:val="nl-NL"/>
        </w:rPr>
        <w:t>bis</w:t>
      </w:r>
      <w:r w:rsidRPr="00A33930">
        <w:rPr>
          <w:rFonts w:eastAsia="Verdana" w:cs="Verdana"/>
          <w:szCs w:val="18"/>
          <w:lang w:val="nl-NL"/>
        </w:rPr>
        <w:t xml:space="preserve"> Gw. </w:t>
      </w:r>
      <w:r w:rsidRPr="00A33930">
        <w:rPr>
          <w:rFonts w:eastAsia="Verdana" w:cs="Verdana"/>
          <w:i/>
          <w:iCs/>
          <w:szCs w:val="18"/>
          <w:lang w:val="nl-NL"/>
        </w:rPr>
        <w:t>juncto</w:t>
      </w:r>
      <w:r w:rsidRPr="00A33930">
        <w:rPr>
          <w:rFonts w:eastAsia="Verdana" w:cs="Verdana"/>
          <w:szCs w:val="18"/>
          <w:lang w:val="nl-NL"/>
        </w:rPr>
        <w:t xml:space="preserve"> artikel 12.1 IVRK wordt aan het kind dat in staat is zijn mening te vormen het recht geboden om zijn mening te uiten in zaken die hem aanbelangen. Het verplicht elke instantie om rekening te houden met het belang van het kind waarbij </w:t>
      </w:r>
      <w:r w:rsidRPr="00A33930">
        <w:rPr>
          <w:lang w:val="nl-NL"/>
        </w:rPr>
        <w:t xml:space="preserve">passend belang moet worden gehecht aan zijn mening, in overeenstemming met de leeftijd en </w:t>
      </w:r>
      <w:r w:rsidR="00553045" w:rsidRPr="00A33930">
        <w:rPr>
          <w:lang w:val="nl-NL"/>
        </w:rPr>
        <w:t>maturiteit</w:t>
      </w:r>
      <w:r w:rsidRPr="00A33930">
        <w:rPr>
          <w:lang w:val="nl-NL"/>
        </w:rPr>
        <w:t xml:space="preserve"> van het kind.</w:t>
      </w:r>
      <w:r w:rsidRPr="00A33930">
        <w:rPr>
          <w:rStyle w:val="Voetnootmarkering"/>
          <w:lang w:val="nl-NL"/>
        </w:rPr>
        <w:footnoteReference w:id="290"/>
      </w:r>
      <w:r w:rsidRPr="00A33930">
        <w:rPr>
          <w:rFonts w:eastAsia="Verdana" w:cs="Verdana"/>
          <w:szCs w:val="18"/>
          <w:lang w:val="nl-NL"/>
        </w:rPr>
        <w:t xml:space="preserve"> Artikel 1004/1 </w:t>
      </w:r>
      <w:r w:rsidR="00776E8F" w:rsidRPr="00A33930">
        <w:rPr>
          <w:rFonts w:eastAsia="Verdana" w:cs="Verdana"/>
          <w:szCs w:val="18"/>
          <w:lang w:val="nl-NL"/>
        </w:rPr>
        <w:t>Ger.W.</w:t>
      </w:r>
      <w:r w:rsidRPr="00A33930">
        <w:rPr>
          <w:rFonts w:eastAsia="Verdana" w:cs="Verdana"/>
          <w:szCs w:val="18"/>
          <w:lang w:val="nl-NL"/>
        </w:rPr>
        <w:t xml:space="preserve"> </w:t>
      </w:r>
      <w:r w:rsidR="008E4DB3" w:rsidRPr="00A33930">
        <w:rPr>
          <w:rFonts w:eastAsia="Verdana" w:cs="Verdana"/>
          <w:szCs w:val="18"/>
          <w:lang w:val="nl-NL"/>
        </w:rPr>
        <w:t>schrijft</w:t>
      </w:r>
      <w:r w:rsidRPr="00A33930">
        <w:rPr>
          <w:rFonts w:eastAsia="Verdana" w:cs="Verdana"/>
          <w:szCs w:val="18"/>
          <w:lang w:val="nl-NL"/>
        </w:rPr>
        <w:t xml:space="preserve"> in de procedure betreffende het recht op persoonlijk contact een recht in voor de minderjarige om te worden gehoord. Een letterlijke lezing van dit artikel geeft het kind een eigen recht (“heeft het recht”) en stemt overeen met de bedoeling van het IVRK om het kind te beschouwen als rechtssubject</w:t>
      </w:r>
      <w:r w:rsidR="00FC391D" w:rsidRPr="00A33930">
        <w:rPr>
          <w:rFonts w:eastAsia="Verdana" w:cs="Verdana"/>
          <w:szCs w:val="18"/>
          <w:lang w:val="nl-NL"/>
        </w:rPr>
        <w:t xml:space="preserve"> (</w:t>
      </w:r>
      <w:r w:rsidR="00FC391D" w:rsidRPr="00A33930">
        <w:rPr>
          <w:rFonts w:eastAsia="Verdana" w:cs="Verdana"/>
          <w:i/>
          <w:iCs/>
          <w:szCs w:val="18"/>
          <w:lang w:val="nl-NL"/>
        </w:rPr>
        <w:t>supra</w:t>
      </w:r>
      <w:r w:rsidR="00FC391D" w:rsidRPr="00A33930">
        <w:rPr>
          <w:rFonts w:eastAsia="Verdana" w:cs="Verdana"/>
          <w:szCs w:val="18"/>
          <w:lang w:val="nl-NL"/>
        </w:rPr>
        <w:t>, nr. 32</w:t>
      </w:r>
      <w:r w:rsidR="00776E8F" w:rsidRPr="00A33930">
        <w:rPr>
          <w:rFonts w:eastAsia="Verdana" w:cs="Verdana"/>
          <w:szCs w:val="18"/>
          <w:lang w:val="nl-NL"/>
        </w:rPr>
        <w:t xml:space="preserve"> en nr. 73</w:t>
      </w:r>
      <w:r w:rsidR="00FC391D" w:rsidRPr="00A33930">
        <w:rPr>
          <w:rFonts w:eastAsia="Verdana" w:cs="Verdana"/>
          <w:szCs w:val="18"/>
          <w:lang w:val="nl-NL"/>
        </w:rPr>
        <w:t>).</w:t>
      </w:r>
      <w:r w:rsidR="00D56D5A" w:rsidRPr="00A33930">
        <w:rPr>
          <w:rFonts w:eastAsia="Verdana" w:cs="Verdana"/>
          <w:b/>
          <w:bCs/>
          <w:szCs w:val="18"/>
          <w:lang w:val="nl-NL"/>
        </w:rPr>
        <w:t xml:space="preserve"> </w:t>
      </w:r>
      <w:r w:rsidR="00D56D5A" w:rsidRPr="00A33930">
        <w:rPr>
          <w:rFonts w:eastAsia="Verdana" w:cs="Verdana"/>
          <w:szCs w:val="18"/>
          <w:lang w:val="nl-NL"/>
        </w:rPr>
        <w:t xml:space="preserve">Desondanks </w:t>
      </w:r>
      <w:r w:rsidR="00776E8F" w:rsidRPr="00A33930">
        <w:rPr>
          <w:rFonts w:eastAsia="Verdana" w:cs="Verdana"/>
          <w:szCs w:val="18"/>
          <w:lang w:val="nl-NL"/>
        </w:rPr>
        <w:t>vormt</w:t>
      </w:r>
      <w:r w:rsidR="00D56D5A" w:rsidRPr="00A33930">
        <w:rPr>
          <w:rFonts w:eastAsia="Verdana" w:cs="Verdana"/>
          <w:szCs w:val="18"/>
          <w:lang w:val="nl-NL"/>
        </w:rPr>
        <w:t xml:space="preserve"> ook de mening van het kind geen vetorecht voor het toestaan of weigeren van een recht op persoonlijk contact, er wordt enkel “passend belang” aan gehecht.</w:t>
      </w:r>
      <w:r w:rsidR="00955C9B" w:rsidRPr="00A33930">
        <w:rPr>
          <w:rFonts w:eastAsia="Verdana" w:cs="Verdana"/>
          <w:szCs w:val="18"/>
          <w:lang w:val="nl-NL"/>
        </w:rPr>
        <w:t xml:space="preserve"> Een gedetailleerde bespreking van de beperkingen aan dit hoorrecht gaat het bestek van dit onderzoek te buiten. De gevolgen die aan dit hoorrecht worden gekoppeld zijn afhankelijk van subjectieve invullingen door volwassenen,</w:t>
      </w:r>
      <w:r w:rsidR="007D660D" w:rsidRPr="00A33930">
        <w:rPr>
          <w:rFonts w:eastAsia="Verdana" w:cs="Verdana"/>
          <w:szCs w:val="18"/>
          <w:lang w:val="nl-NL"/>
        </w:rPr>
        <w:t xml:space="preserve"> wat laat uitschijnen dat ook hier nog een sterke objectgedachte wordt gehanteerd</w:t>
      </w:r>
      <w:r w:rsidR="00955C9B" w:rsidRPr="00A33930">
        <w:rPr>
          <w:rFonts w:eastAsia="Verdana" w:cs="Verdana"/>
          <w:szCs w:val="18"/>
          <w:lang w:val="nl-NL"/>
        </w:rPr>
        <w:t>.</w:t>
      </w:r>
      <w:r w:rsidR="00955C9B" w:rsidRPr="00A33930">
        <w:rPr>
          <w:rStyle w:val="Voetnootmarkering"/>
          <w:rFonts w:eastAsia="Verdana" w:cs="Verdana"/>
          <w:szCs w:val="18"/>
          <w:lang w:val="nl-NL"/>
        </w:rPr>
        <w:footnoteReference w:id="291"/>
      </w:r>
    </w:p>
    <w:p w14:paraId="10EB6E4D" w14:textId="77777777" w:rsidR="004D2C87" w:rsidRPr="00A33930" w:rsidRDefault="004D2C87" w:rsidP="004D2C87">
      <w:pPr>
        <w:pStyle w:val="Lijstalinea"/>
        <w:spacing w:before="200" w:after="0"/>
        <w:ind w:left="0"/>
        <w:jc w:val="both"/>
        <w:rPr>
          <w:rFonts w:eastAsia="Verdana" w:cs="Verdana"/>
          <w:b/>
          <w:bCs/>
          <w:szCs w:val="18"/>
          <w:lang w:val="nl-NL"/>
        </w:rPr>
      </w:pPr>
    </w:p>
    <w:p w14:paraId="5D17AF7E" w14:textId="56F6D156" w:rsidR="00C5081E" w:rsidRPr="00A33930" w:rsidRDefault="009C0EAA" w:rsidP="00553045">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Uit bovenstaande volgt dat de Belgische wetgever een verschillend kindperspectief hanteert dan op mensenrechtelijk niveau wordt voorgeschreven. Naar Belgisch recht is het kind een rechtsobject</w:t>
      </w:r>
      <w:r w:rsidR="00F03A89" w:rsidRPr="00A33930">
        <w:rPr>
          <w:rFonts w:eastAsia="Verdana" w:cs="Verdana"/>
          <w:szCs w:val="18"/>
          <w:lang w:val="nl-NL"/>
        </w:rPr>
        <w:t xml:space="preserve"> en </w:t>
      </w:r>
      <w:r w:rsidRPr="00A33930">
        <w:rPr>
          <w:rFonts w:eastAsia="Verdana" w:cs="Verdana"/>
          <w:szCs w:val="18"/>
          <w:lang w:val="nl-NL"/>
        </w:rPr>
        <w:t xml:space="preserve">geen rechtssubject zoals voorzien </w:t>
      </w:r>
      <w:r w:rsidR="008970EA" w:rsidRPr="00A33930">
        <w:rPr>
          <w:rFonts w:eastAsia="Verdana" w:cs="Verdana"/>
          <w:szCs w:val="18"/>
          <w:lang w:val="nl-NL"/>
        </w:rPr>
        <w:t>in</w:t>
      </w:r>
      <w:r w:rsidRPr="00A33930">
        <w:rPr>
          <w:rFonts w:eastAsia="Verdana" w:cs="Verdana"/>
          <w:szCs w:val="18"/>
          <w:lang w:val="nl-NL"/>
        </w:rPr>
        <w:t xml:space="preserve"> artikel 9.3 IVRK.</w:t>
      </w:r>
      <w:r w:rsidR="00672812" w:rsidRPr="00A33930">
        <w:rPr>
          <w:rFonts w:eastAsia="Verdana" w:cs="Verdana"/>
          <w:szCs w:val="18"/>
          <w:lang w:val="nl-NL"/>
        </w:rPr>
        <w:t xml:space="preserve"> Daar waar het mensenrechtelijk </w:t>
      </w:r>
      <w:r w:rsidR="00E57778" w:rsidRPr="00A33930">
        <w:rPr>
          <w:rFonts w:eastAsia="Verdana" w:cs="Verdana"/>
          <w:szCs w:val="18"/>
          <w:lang w:val="nl-NL"/>
        </w:rPr>
        <w:t xml:space="preserve">kindperspectief </w:t>
      </w:r>
      <w:r w:rsidR="00672812" w:rsidRPr="00A33930">
        <w:rPr>
          <w:rFonts w:eastAsia="Verdana" w:cs="Verdana"/>
          <w:szCs w:val="18"/>
          <w:lang w:val="nl-NL"/>
        </w:rPr>
        <w:t xml:space="preserve">is geëvolueerd naar een moderner beeld waarin het kind als individu in gelijkheid treedt met volwassenen, </w:t>
      </w:r>
      <w:r w:rsidR="00F03A89" w:rsidRPr="00A33930">
        <w:rPr>
          <w:rFonts w:eastAsia="Verdana" w:cs="Verdana"/>
          <w:szCs w:val="18"/>
          <w:lang w:val="nl-NL"/>
        </w:rPr>
        <w:t>steekt</w:t>
      </w:r>
      <w:r w:rsidR="00672812" w:rsidRPr="00A33930">
        <w:rPr>
          <w:rFonts w:eastAsia="Verdana" w:cs="Verdana"/>
          <w:szCs w:val="18"/>
          <w:lang w:val="nl-NL"/>
        </w:rPr>
        <w:t xml:space="preserve"> het Belgisch </w:t>
      </w:r>
      <w:r w:rsidR="00E57778" w:rsidRPr="00A33930">
        <w:rPr>
          <w:rFonts w:eastAsia="Verdana" w:cs="Verdana"/>
          <w:szCs w:val="18"/>
          <w:lang w:val="nl-NL"/>
        </w:rPr>
        <w:t xml:space="preserve">kindperspectief </w:t>
      </w:r>
      <w:r w:rsidR="00672812" w:rsidRPr="00A33930">
        <w:rPr>
          <w:rFonts w:eastAsia="Verdana" w:cs="Verdana"/>
          <w:szCs w:val="18"/>
          <w:lang w:val="nl-NL"/>
        </w:rPr>
        <w:t xml:space="preserve">nog in </w:t>
      </w:r>
      <w:r w:rsidR="00553045" w:rsidRPr="00A33930">
        <w:rPr>
          <w:rFonts w:eastAsia="Verdana" w:cs="Verdana"/>
          <w:szCs w:val="18"/>
          <w:lang w:val="nl-NL"/>
        </w:rPr>
        <w:t>een ouderwets</w:t>
      </w:r>
      <w:r w:rsidR="00F03A89" w:rsidRPr="00A33930">
        <w:rPr>
          <w:rFonts w:eastAsia="Verdana" w:cs="Verdana"/>
          <w:szCs w:val="18"/>
          <w:lang w:val="nl-NL"/>
        </w:rPr>
        <w:t xml:space="preserve"> jasje</w:t>
      </w:r>
      <w:r w:rsidR="00672812" w:rsidRPr="00A33930">
        <w:rPr>
          <w:rFonts w:eastAsia="Verdana" w:cs="Verdana"/>
          <w:szCs w:val="18"/>
          <w:lang w:val="nl-NL"/>
        </w:rPr>
        <w:t>.</w:t>
      </w:r>
      <w:r w:rsidRPr="00A33930">
        <w:rPr>
          <w:rFonts w:eastAsia="Verdana" w:cs="Verdana"/>
          <w:szCs w:val="18"/>
          <w:lang w:val="nl-NL"/>
        </w:rPr>
        <w:t xml:space="preserve"> </w:t>
      </w:r>
      <w:r w:rsidR="00672812" w:rsidRPr="00A33930">
        <w:rPr>
          <w:rFonts w:eastAsia="Verdana" w:cs="Verdana"/>
          <w:szCs w:val="18"/>
          <w:lang w:val="nl-NL"/>
        </w:rPr>
        <w:t>Dit perspectief</w:t>
      </w:r>
      <w:r w:rsidRPr="00A33930">
        <w:rPr>
          <w:rFonts w:eastAsia="Verdana" w:cs="Verdana"/>
          <w:szCs w:val="18"/>
          <w:lang w:val="nl-NL"/>
        </w:rPr>
        <w:t xml:space="preserve"> wordt verklaard </w:t>
      </w:r>
      <w:r w:rsidR="00F03A89" w:rsidRPr="00A33930">
        <w:rPr>
          <w:rFonts w:eastAsia="Verdana" w:cs="Verdana"/>
          <w:szCs w:val="18"/>
          <w:lang w:val="nl-NL"/>
        </w:rPr>
        <w:t>door de invloed van</w:t>
      </w:r>
      <w:r w:rsidR="00672812" w:rsidRPr="00A33930">
        <w:rPr>
          <w:rFonts w:eastAsia="Verdana" w:cs="Verdana"/>
          <w:szCs w:val="18"/>
          <w:lang w:val="nl-NL"/>
        </w:rPr>
        <w:t xml:space="preserve"> </w:t>
      </w:r>
      <w:r w:rsidR="00F03A89" w:rsidRPr="00A33930">
        <w:rPr>
          <w:rFonts w:eastAsia="Verdana" w:cs="Verdana"/>
          <w:szCs w:val="18"/>
          <w:lang w:val="nl-NL"/>
        </w:rPr>
        <w:t>de</w:t>
      </w:r>
      <w:r w:rsidR="00672812" w:rsidRPr="00A33930">
        <w:rPr>
          <w:rFonts w:eastAsia="Verdana" w:cs="Verdana"/>
          <w:szCs w:val="18"/>
          <w:lang w:val="nl-NL"/>
        </w:rPr>
        <w:t xml:space="preserve"> pragmatische stroming</w:t>
      </w:r>
      <w:r w:rsidR="00F03A89" w:rsidRPr="00A33930">
        <w:rPr>
          <w:rFonts w:eastAsia="Verdana" w:cs="Verdana"/>
          <w:szCs w:val="18"/>
          <w:lang w:val="nl-NL"/>
        </w:rPr>
        <w:t xml:space="preserve">, </w:t>
      </w:r>
      <w:r w:rsidR="00672812" w:rsidRPr="00A33930">
        <w:rPr>
          <w:rFonts w:eastAsia="Verdana" w:cs="Verdana"/>
          <w:szCs w:val="18"/>
          <w:lang w:val="nl-NL"/>
        </w:rPr>
        <w:t>waar</w:t>
      </w:r>
      <w:r w:rsidR="00FC391D" w:rsidRPr="00A33930">
        <w:rPr>
          <w:rFonts w:eastAsia="Verdana" w:cs="Verdana"/>
          <w:szCs w:val="18"/>
          <w:lang w:val="nl-NL"/>
        </w:rPr>
        <w:t>in</w:t>
      </w:r>
      <w:r w:rsidR="00672812" w:rsidRPr="00A33930">
        <w:rPr>
          <w:rFonts w:eastAsia="Verdana" w:cs="Verdana"/>
          <w:szCs w:val="18"/>
          <w:lang w:val="nl-NL"/>
        </w:rPr>
        <w:t xml:space="preserve"> momenteel een evenwicht wordt</w:t>
      </w:r>
      <w:r w:rsidR="004E0854" w:rsidRPr="00A33930">
        <w:rPr>
          <w:rFonts w:eastAsia="Verdana" w:cs="Verdana"/>
          <w:szCs w:val="18"/>
          <w:lang w:val="nl-NL"/>
        </w:rPr>
        <w:t xml:space="preserve"> </w:t>
      </w:r>
      <w:r w:rsidR="00672812" w:rsidRPr="00A33930">
        <w:rPr>
          <w:rFonts w:eastAsia="Verdana" w:cs="Verdana"/>
          <w:szCs w:val="18"/>
          <w:lang w:val="nl-NL"/>
        </w:rPr>
        <w:t>gezocht tussen de bescherming en de autonomie van het kind. Dit evenwicht probeert men te bereiken via een concretere invulling van het belang van het kind</w:t>
      </w:r>
      <w:r w:rsidR="007D660D" w:rsidRPr="00A33930">
        <w:rPr>
          <w:rFonts w:eastAsia="Verdana" w:cs="Verdana"/>
          <w:szCs w:val="18"/>
          <w:lang w:val="nl-NL"/>
        </w:rPr>
        <w:t>,</w:t>
      </w:r>
      <w:r w:rsidR="00672812" w:rsidRPr="00A33930">
        <w:rPr>
          <w:rFonts w:eastAsia="Verdana" w:cs="Verdana"/>
          <w:szCs w:val="18"/>
          <w:lang w:val="nl-NL"/>
        </w:rPr>
        <w:t xml:space="preserve"> </w:t>
      </w:r>
      <w:r w:rsidR="007D660D" w:rsidRPr="00A33930">
        <w:rPr>
          <w:rFonts w:eastAsia="Verdana" w:cs="Verdana"/>
          <w:szCs w:val="18"/>
          <w:lang w:val="nl-NL"/>
        </w:rPr>
        <w:t>waarbij</w:t>
      </w:r>
      <w:r w:rsidR="00672812" w:rsidRPr="00A33930">
        <w:rPr>
          <w:rFonts w:eastAsia="Verdana" w:cs="Verdana"/>
          <w:szCs w:val="18"/>
          <w:lang w:val="nl-NL"/>
        </w:rPr>
        <w:t xml:space="preserve"> de mening van het kind middels het</w:t>
      </w:r>
      <w:r w:rsidR="00F91B5C" w:rsidRPr="00A33930">
        <w:rPr>
          <w:rFonts w:eastAsia="Verdana" w:cs="Verdana"/>
          <w:szCs w:val="18"/>
          <w:lang w:val="nl-NL"/>
        </w:rPr>
        <w:t xml:space="preserve"> Belgisch</w:t>
      </w:r>
      <w:r w:rsidR="00672812" w:rsidRPr="00A33930">
        <w:rPr>
          <w:rFonts w:eastAsia="Verdana" w:cs="Verdana"/>
          <w:szCs w:val="18"/>
          <w:lang w:val="nl-NL"/>
        </w:rPr>
        <w:t xml:space="preserve"> hoorrecht </w:t>
      </w:r>
      <w:r w:rsidR="007D660D" w:rsidRPr="00A33930">
        <w:rPr>
          <w:rFonts w:eastAsia="Verdana" w:cs="Verdana"/>
          <w:szCs w:val="18"/>
          <w:lang w:val="nl-NL"/>
        </w:rPr>
        <w:t>wordt gewaarborgd</w:t>
      </w:r>
      <w:r w:rsidR="00672812" w:rsidRPr="00A33930">
        <w:rPr>
          <w:rFonts w:eastAsia="Verdana" w:cs="Verdana"/>
          <w:szCs w:val="18"/>
          <w:lang w:val="nl-NL"/>
        </w:rPr>
        <w:t xml:space="preserve">. Dat is </w:t>
      </w:r>
      <w:r w:rsidR="00553045" w:rsidRPr="00A33930">
        <w:rPr>
          <w:rFonts w:eastAsia="Verdana" w:cs="Verdana"/>
          <w:szCs w:val="18"/>
          <w:lang w:val="nl-NL"/>
        </w:rPr>
        <w:t>volgens</w:t>
      </w:r>
      <w:r w:rsidR="00672812" w:rsidRPr="00A33930">
        <w:rPr>
          <w:rFonts w:eastAsia="Verdana" w:cs="Verdana"/>
          <w:szCs w:val="18"/>
          <w:lang w:val="nl-NL"/>
        </w:rPr>
        <w:t xml:space="preserve"> de geest en de letter van de wet </w:t>
      </w:r>
      <w:r w:rsidR="00955C9B" w:rsidRPr="00A33930">
        <w:rPr>
          <w:rFonts w:eastAsia="Verdana" w:cs="Verdana"/>
          <w:szCs w:val="18"/>
          <w:lang w:val="nl-NL"/>
        </w:rPr>
        <w:t>bij</w:t>
      </w:r>
      <w:r w:rsidR="00672812" w:rsidRPr="00A33930">
        <w:rPr>
          <w:rFonts w:eastAsia="Verdana" w:cs="Verdana"/>
          <w:szCs w:val="18"/>
          <w:lang w:val="nl-NL"/>
        </w:rPr>
        <w:t xml:space="preserve"> de mensenrechtelijke Verdragen echter </w:t>
      </w:r>
      <w:r w:rsidR="00F03A89" w:rsidRPr="00A33930">
        <w:rPr>
          <w:rFonts w:eastAsia="Verdana" w:cs="Verdana"/>
          <w:szCs w:val="18"/>
          <w:lang w:val="nl-NL"/>
        </w:rPr>
        <w:t>onvoldoende</w:t>
      </w:r>
      <w:r w:rsidR="00672812" w:rsidRPr="00A33930">
        <w:rPr>
          <w:rFonts w:eastAsia="Verdana" w:cs="Verdana"/>
          <w:szCs w:val="18"/>
          <w:lang w:val="nl-NL"/>
        </w:rPr>
        <w:t>.</w:t>
      </w:r>
    </w:p>
    <w:p w14:paraId="1C508E46" w14:textId="77777777" w:rsidR="003B596F" w:rsidRPr="00A33930" w:rsidRDefault="003B596F">
      <w:pPr>
        <w:spacing w:after="160" w:line="259" w:lineRule="auto"/>
        <w:rPr>
          <w:lang w:val="nl-NL"/>
        </w:rPr>
      </w:pPr>
    </w:p>
    <w:p w14:paraId="3ADF6A3B" w14:textId="3A1551BB" w:rsidR="00707EE7" w:rsidRPr="00A33930" w:rsidRDefault="00707EE7">
      <w:pPr>
        <w:spacing w:after="160" w:line="259" w:lineRule="auto"/>
        <w:rPr>
          <w:lang w:val="nl-NL"/>
        </w:rPr>
      </w:pPr>
      <w:r w:rsidRPr="00A33930">
        <w:rPr>
          <w:sz w:val="20"/>
          <w:szCs w:val="28"/>
          <w:lang w:val="nl-NL"/>
        </w:rPr>
        <w:br w:type="page"/>
      </w:r>
    </w:p>
    <w:p w14:paraId="380B6704" w14:textId="65B58660" w:rsidR="00DE29AD" w:rsidRPr="00A33930" w:rsidRDefault="00DF4D5B" w:rsidP="00DE29AD">
      <w:pPr>
        <w:pStyle w:val="Kop2"/>
        <w:numPr>
          <w:ilvl w:val="0"/>
          <w:numId w:val="0"/>
        </w:numPr>
        <w:ind w:left="360" w:hanging="360"/>
        <w:jc w:val="both"/>
        <w:rPr>
          <w:sz w:val="20"/>
          <w:szCs w:val="28"/>
          <w:lang w:val="nl-NL"/>
        </w:rPr>
      </w:pPr>
      <w:bookmarkStart w:id="27" w:name="_Toc134621186"/>
      <w:r w:rsidRPr="00A33930">
        <w:rPr>
          <w:sz w:val="20"/>
          <w:szCs w:val="28"/>
          <w:lang w:val="nl-NL"/>
        </w:rPr>
        <w:lastRenderedPageBreak/>
        <w:t>HOOFDSTUK II.</w:t>
      </w:r>
      <w:r w:rsidRPr="00A33930">
        <w:rPr>
          <w:sz w:val="20"/>
          <w:szCs w:val="28"/>
          <w:lang w:val="nl-NL"/>
        </w:rPr>
        <w:tab/>
      </w:r>
      <w:r w:rsidR="007C2599" w:rsidRPr="00A33930">
        <w:rPr>
          <w:sz w:val="20"/>
          <w:szCs w:val="28"/>
          <w:lang w:val="nl-NL"/>
        </w:rPr>
        <w:t>CONTACTRECHTEN</w:t>
      </w:r>
      <w:r w:rsidR="009A1D12" w:rsidRPr="00A33930">
        <w:rPr>
          <w:sz w:val="20"/>
          <w:szCs w:val="28"/>
          <w:lang w:val="nl-NL"/>
        </w:rPr>
        <w:t xml:space="preserve"> IN HET BELGISCH FAMILIERECHT</w:t>
      </w:r>
      <w:bookmarkEnd w:id="27"/>
    </w:p>
    <w:p w14:paraId="2579EDB0" w14:textId="2A01385E" w:rsidR="002C7ADB" w:rsidRPr="00A33930" w:rsidRDefault="009A1D12" w:rsidP="007F14C1">
      <w:pPr>
        <w:pStyle w:val="Kop3"/>
        <w:numPr>
          <w:ilvl w:val="0"/>
          <w:numId w:val="0"/>
        </w:numPr>
        <w:spacing w:before="360"/>
        <w:ind w:left="357" w:hanging="357"/>
        <w:jc w:val="both"/>
        <w:rPr>
          <w:lang w:val="nl-NL"/>
        </w:rPr>
      </w:pPr>
      <w:bookmarkStart w:id="28" w:name="_Toc134621187"/>
      <w:r w:rsidRPr="00A33930">
        <w:rPr>
          <w:lang w:val="nl-NL"/>
        </w:rPr>
        <w:t>Afdeling I.</w:t>
      </w:r>
      <w:r w:rsidRPr="00A33930">
        <w:rPr>
          <w:lang w:val="nl-NL"/>
        </w:rPr>
        <w:tab/>
      </w:r>
      <w:r w:rsidRPr="00A33930">
        <w:rPr>
          <w:lang w:val="nl-NL"/>
        </w:rPr>
        <w:tab/>
        <w:t>In de wet</w:t>
      </w:r>
      <w:bookmarkEnd w:id="28"/>
    </w:p>
    <w:p w14:paraId="0BDC2885" w14:textId="62F186A3" w:rsidR="0074631A" w:rsidRPr="00A33930" w:rsidRDefault="0074631A" w:rsidP="0074631A">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De objectgedachte brengt in België een beschermingsstatuut voor de minderjarige met zich mee. Naar Belgisch recht heeft de minderjarige </w:t>
      </w:r>
      <w:r w:rsidR="00C328BB" w:rsidRPr="00A33930">
        <w:rPr>
          <w:rFonts w:eastAsia="Verdana" w:cs="Verdana"/>
          <w:szCs w:val="18"/>
          <w:lang w:val="nl-NL"/>
        </w:rPr>
        <w:t>volgens de heersende pragmatische stroming hoof</w:t>
      </w:r>
      <w:r w:rsidR="008970EA" w:rsidRPr="00A33930">
        <w:rPr>
          <w:rFonts w:eastAsia="Verdana" w:cs="Verdana"/>
          <w:szCs w:val="18"/>
          <w:lang w:val="nl-NL"/>
        </w:rPr>
        <w:t>d</w:t>
      </w:r>
      <w:r w:rsidR="00C328BB" w:rsidRPr="00A33930">
        <w:rPr>
          <w:rFonts w:eastAsia="Verdana" w:cs="Verdana"/>
          <w:szCs w:val="18"/>
          <w:lang w:val="nl-NL"/>
        </w:rPr>
        <w:t xml:space="preserve">zakelijk </w:t>
      </w:r>
      <w:r w:rsidRPr="00A33930">
        <w:rPr>
          <w:rFonts w:eastAsia="Verdana" w:cs="Verdana"/>
          <w:szCs w:val="18"/>
          <w:lang w:val="nl-NL"/>
        </w:rPr>
        <w:t>bescherming nodig</w:t>
      </w:r>
      <w:r w:rsidR="00C328BB" w:rsidRPr="00A33930">
        <w:rPr>
          <w:rFonts w:eastAsia="Verdana" w:cs="Verdana"/>
          <w:szCs w:val="18"/>
          <w:lang w:val="nl-NL"/>
        </w:rPr>
        <w:t xml:space="preserve"> (</w:t>
      </w:r>
      <w:r w:rsidR="00C328BB" w:rsidRPr="00A33930">
        <w:rPr>
          <w:rFonts w:eastAsia="Verdana" w:cs="Verdana"/>
          <w:i/>
          <w:iCs/>
          <w:szCs w:val="18"/>
          <w:lang w:val="nl-NL"/>
        </w:rPr>
        <w:t>supra</w:t>
      </w:r>
      <w:r w:rsidR="00C328BB" w:rsidRPr="00A33930">
        <w:rPr>
          <w:rFonts w:eastAsia="Verdana" w:cs="Verdana"/>
          <w:szCs w:val="18"/>
          <w:lang w:val="nl-NL"/>
        </w:rPr>
        <w:t xml:space="preserve">, nr. </w:t>
      </w:r>
      <w:r w:rsidR="00C673AD" w:rsidRPr="00A33930">
        <w:rPr>
          <w:rFonts w:eastAsia="Verdana" w:cs="Verdana"/>
          <w:szCs w:val="18"/>
          <w:lang w:val="nl-NL"/>
        </w:rPr>
        <w:t>69</w:t>
      </w:r>
      <w:r w:rsidR="00C328BB" w:rsidRPr="00A33930">
        <w:rPr>
          <w:rFonts w:eastAsia="Verdana" w:cs="Verdana"/>
          <w:szCs w:val="18"/>
          <w:lang w:val="nl-NL"/>
        </w:rPr>
        <w:t>)</w:t>
      </w:r>
      <w:r w:rsidRPr="00A33930">
        <w:rPr>
          <w:rFonts w:eastAsia="Verdana" w:cs="Verdana"/>
          <w:szCs w:val="18"/>
          <w:lang w:val="nl-NL"/>
        </w:rPr>
        <w:t>. Deze bescherming wordt wettelijk voorzien door de gezagsuitoefening over de minderjarige en zijn handelings- en procesonbekwaamheid. Hierna wordt eerst de handelings- en procesonbekwaamheid van het kind behandeld</w:t>
      </w:r>
      <w:r w:rsidR="00EC0C0E" w:rsidRPr="00A33930">
        <w:rPr>
          <w:rFonts w:eastAsia="Verdana" w:cs="Verdana"/>
          <w:szCs w:val="18"/>
          <w:lang w:val="nl-NL"/>
        </w:rPr>
        <w:t>.</w:t>
      </w:r>
      <w:r w:rsidRPr="00A33930">
        <w:rPr>
          <w:rFonts w:eastAsia="Verdana" w:cs="Verdana"/>
          <w:szCs w:val="18"/>
          <w:lang w:val="nl-NL"/>
        </w:rPr>
        <w:t xml:space="preserve"> </w:t>
      </w:r>
      <w:r w:rsidR="00EC0C0E" w:rsidRPr="00A33930">
        <w:rPr>
          <w:rFonts w:eastAsia="Verdana" w:cs="Verdana"/>
          <w:szCs w:val="18"/>
          <w:lang w:val="nl-NL"/>
        </w:rPr>
        <w:t>Nadien volgen</w:t>
      </w:r>
      <w:r w:rsidRPr="00A33930">
        <w:rPr>
          <w:rFonts w:eastAsia="Verdana" w:cs="Verdana"/>
          <w:szCs w:val="18"/>
          <w:lang w:val="nl-NL"/>
        </w:rPr>
        <w:t xml:space="preserve"> de ouderlijke verantwoordelijkheden. Een korte schets van de huidige contactrechten moet vervolgens toelaten om te </w:t>
      </w:r>
      <w:r w:rsidR="00AC19F9" w:rsidRPr="00A33930">
        <w:rPr>
          <w:rFonts w:eastAsia="Verdana" w:cs="Verdana"/>
          <w:szCs w:val="18"/>
          <w:lang w:val="nl-NL"/>
        </w:rPr>
        <w:t>onderzoeken</w:t>
      </w:r>
      <w:r w:rsidRPr="00A33930">
        <w:rPr>
          <w:rFonts w:eastAsia="Verdana" w:cs="Verdana"/>
          <w:szCs w:val="18"/>
          <w:lang w:val="nl-NL"/>
        </w:rPr>
        <w:t xml:space="preserve"> of er in het Belgische recht wordt voorzien in een</w:t>
      </w:r>
      <w:r w:rsidR="00E3510C" w:rsidRPr="00A33930">
        <w:rPr>
          <w:rFonts w:eastAsia="Verdana" w:cs="Verdana"/>
          <w:szCs w:val="18"/>
          <w:lang w:val="nl-NL"/>
        </w:rPr>
        <w:t xml:space="preserve"> eigen</w:t>
      </w:r>
      <w:r w:rsidRPr="00A33930">
        <w:rPr>
          <w:rFonts w:eastAsia="Verdana" w:cs="Verdana"/>
          <w:szCs w:val="18"/>
          <w:lang w:val="nl-NL"/>
        </w:rPr>
        <w:t xml:space="preserve"> recht op persoonlijk contact van het kind.</w:t>
      </w:r>
    </w:p>
    <w:p w14:paraId="4FC278E2" w14:textId="71BBF117" w:rsidR="00310DD8" w:rsidRPr="00A33930" w:rsidRDefault="00310DD8" w:rsidP="00310DD8">
      <w:pPr>
        <w:pStyle w:val="Kop4"/>
        <w:spacing w:before="240" w:after="120"/>
        <w:jc w:val="both"/>
        <w:rPr>
          <w:rFonts w:ascii="Verdana" w:hAnsi="Verdana"/>
          <w:b/>
          <w:bCs/>
          <w:color w:val="auto"/>
          <w:szCs w:val="18"/>
          <w:lang w:val="nl-NL"/>
        </w:rPr>
      </w:pPr>
      <w:r w:rsidRPr="00A33930">
        <w:rPr>
          <w:rFonts w:ascii="Verdana" w:hAnsi="Verdana"/>
          <w:b/>
          <w:bCs/>
          <w:color w:val="auto"/>
          <w:szCs w:val="18"/>
          <w:lang w:val="nl-NL"/>
        </w:rPr>
        <w:t>§1.</w:t>
      </w:r>
      <w:r w:rsidRPr="00A33930">
        <w:rPr>
          <w:rFonts w:ascii="Verdana" w:hAnsi="Verdana"/>
          <w:b/>
          <w:bCs/>
          <w:color w:val="auto"/>
          <w:szCs w:val="18"/>
          <w:lang w:val="nl-NL"/>
        </w:rPr>
        <w:tab/>
      </w:r>
      <w:r w:rsidRPr="00A33930">
        <w:rPr>
          <w:rFonts w:ascii="Verdana" w:hAnsi="Verdana"/>
          <w:b/>
          <w:bCs/>
          <w:color w:val="auto"/>
          <w:szCs w:val="18"/>
          <w:lang w:val="nl-NL"/>
        </w:rPr>
        <w:tab/>
        <w:t>Handelings- en procesonbekwaamheid van het kind</w:t>
      </w:r>
    </w:p>
    <w:p w14:paraId="72A453C2" w14:textId="6B54D5F9" w:rsidR="00310DD8" w:rsidRPr="00A33930" w:rsidRDefault="00310DD8" w:rsidP="00310DD8">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Naar Belgisch recht is een minderjarige de natuurlijke persoon die de volle leeftijd van achttien jaar nog niet heeft bereikt.</w:t>
      </w:r>
      <w:r w:rsidRPr="00A33930">
        <w:rPr>
          <w:rStyle w:val="Voetnootmarkering"/>
          <w:rFonts w:eastAsia="Verdana" w:cs="Verdana"/>
          <w:szCs w:val="18"/>
          <w:lang w:val="nl-NL"/>
        </w:rPr>
        <w:footnoteReference w:id="292"/>
      </w:r>
      <w:r w:rsidRPr="00A33930">
        <w:rPr>
          <w:rFonts w:eastAsia="Verdana" w:cs="Verdana"/>
          <w:szCs w:val="18"/>
          <w:lang w:val="nl-NL"/>
        </w:rPr>
        <w:t xml:space="preserve"> Het kind moet worden klaargestoomd om tegen zijn achttiende verjaardag zelfstandig te kunnen deelnemen aan het rechtsverkeer.</w:t>
      </w:r>
      <w:r w:rsidRPr="00A33930">
        <w:rPr>
          <w:rStyle w:val="Voetnootmarkering"/>
          <w:rFonts w:eastAsia="Verdana" w:cs="Verdana"/>
          <w:szCs w:val="18"/>
          <w:lang w:val="nl-NL"/>
        </w:rPr>
        <w:footnoteReference w:id="293"/>
      </w:r>
      <w:r w:rsidRPr="00A33930">
        <w:rPr>
          <w:rFonts w:eastAsia="Verdana" w:cs="Verdana"/>
          <w:szCs w:val="18"/>
          <w:lang w:val="nl-NL"/>
        </w:rPr>
        <w:t xml:space="preserve"> </w:t>
      </w:r>
    </w:p>
    <w:p w14:paraId="252E3BA1" w14:textId="77777777" w:rsidR="00310DD8" w:rsidRPr="00A33930" w:rsidRDefault="00310DD8" w:rsidP="00310DD8">
      <w:pPr>
        <w:pStyle w:val="Lijstalinea"/>
        <w:spacing w:before="200" w:after="0"/>
        <w:ind w:left="0"/>
        <w:jc w:val="both"/>
        <w:rPr>
          <w:rFonts w:eastAsia="Verdana" w:cs="Verdana"/>
          <w:szCs w:val="18"/>
          <w:lang w:val="nl-NL"/>
        </w:rPr>
      </w:pPr>
    </w:p>
    <w:p w14:paraId="633AA832" w14:textId="660C83A9" w:rsidR="0017255E" w:rsidRPr="00A33930" w:rsidRDefault="0017255E" w:rsidP="00671183">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Dat klaarstomen mag best letterlijk genomen worden. </w:t>
      </w:r>
      <w:r w:rsidR="00310DD8" w:rsidRPr="00A33930">
        <w:rPr>
          <w:rFonts w:eastAsia="Verdana" w:cs="Verdana"/>
          <w:szCs w:val="18"/>
          <w:lang w:val="nl-NL"/>
        </w:rPr>
        <w:t xml:space="preserve">Kinderen </w:t>
      </w:r>
      <w:r w:rsidR="009866F0" w:rsidRPr="00A33930">
        <w:rPr>
          <w:rFonts w:eastAsia="Verdana" w:cs="Verdana"/>
          <w:szCs w:val="18"/>
          <w:lang w:val="nl-NL"/>
        </w:rPr>
        <w:t>zijn</w:t>
      </w:r>
      <w:r w:rsidR="00310DD8" w:rsidRPr="00A33930">
        <w:rPr>
          <w:rFonts w:eastAsia="Verdana" w:cs="Verdana"/>
          <w:szCs w:val="18"/>
          <w:lang w:val="nl-NL"/>
        </w:rPr>
        <w:t xml:space="preserve"> </w:t>
      </w:r>
      <w:r w:rsidR="009B068F" w:rsidRPr="00A33930">
        <w:rPr>
          <w:rFonts w:eastAsia="Verdana" w:cs="Verdana"/>
          <w:szCs w:val="18"/>
          <w:lang w:val="nl-NL"/>
        </w:rPr>
        <w:t xml:space="preserve">in België </w:t>
      </w:r>
      <w:r w:rsidR="00310DD8" w:rsidRPr="00A33930">
        <w:rPr>
          <w:rFonts w:eastAsia="Verdana" w:cs="Verdana"/>
          <w:szCs w:val="18"/>
          <w:lang w:val="nl-NL"/>
        </w:rPr>
        <w:t>namelijk rechtsbekwaam</w:t>
      </w:r>
      <w:r w:rsidR="009866F0" w:rsidRPr="00A33930">
        <w:rPr>
          <w:rFonts w:eastAsia="Verdana" w:cs="Verdana"/>
          <w:szCs w:val="18"/>
          <w:lang w:val="nl-NL"/>
        </w:rPr>
        <w:t xml:space="preserve"> </w:t>
      </w:r>
      <w:r w:rsidR="008B0511" w:rsidRPr="00A33930">
        <w:rPr>
          <w:rFonts w:eastAsia="Verdana" w:cs="Verdana"/>
          <w:szCs w:val="18"/>
          <w:lang w:val="nl-NL"/>
        </w:rPr>
        <w:t xml:space="preserve">en </w:t>
      </w:r>
      <w:r w:rsidR="00FC7208" w:rsidRPr="00A33930">
        <w:rPr>
          <w:rFonts w:eastAsia="Verdana" w:cs="Verdana"/>
          <w:szCs w:val="18"/>
          <w:lang w:val="nl-NL"/>
        </w:rPr>
        <w:t>zijn</w:t>
      </w:r>
      <w:r w:rsidR="009866F0" w:rsidRPr="00A33930">
        <w:rPr>
          <w:rFonts w:eastAsia="Verdana" w:cs="Verdana"/>
          <w:szCs w:val="18"/>
          <w:lang w:val="nl-NL"/>
        </w:rPr>
        <w:t xml:space="preserve"> titularis van alle mogelijke rechten en plichten</w:t>
      </w:r>
      <w:r w:rsidR="009B068F" w:rsidRPr="00A33930">
        <w:rPr>
          <w:rFonts w:eastAsia="Verdana" w:cs="Verdana"/>
          <w:szCs w:val="18"/>
          <w:lang w:val="nl-NL"/>
        </w:rPr>
        <w:t xml:space="preserve">, maar </w:t>
      </w:r>
      <w:r w:rsidR="00FC7208" w:rsidRPr="00A33930">
        <w:rPr>
          <w:rFonts w:eastAsia="Verdana" w:cs="Verdana"/>
          <w:szCs w:val="18"/>
          <w:lang w:val="nl-NL"/>
        </w:rPr>
        <w:t>hierbij zijn</w:t>
      </w:r>
      <w:r w:rsidR="009B068F" w:rsidRPr="00A33930">
        <w:rPr>
          <w:rFonts w:eastAsia="Verdana" w:cs="Verdana"/>
          <w:szCs w:val="18"/>
          <w:lang w:val="nl-NL"/>
        </w:rPr>
        <w:t xml:space="preserve"> zij </w:t>
      </w:r>
      <w:r w:rsidR="00F92120" w:rsidRPr="00A33930">
        <w:rPr>
          <w:rFonts w:eastAsia="Verdana" w:cs="Verdana"/>
          <w:szCs w:val="18"/>
          <w:lang w:val="nl-NL"/>
        </w:rPr>
        <w:t xml:space="preserve">algemeen </w:t>
      </w:r>
      <w:r w:rsidR="009B068F" w:rsidRPr="00A33930">
        <w:rPr>
          <w:rFonts w:eastAsia="Verdana" w:cs="Verdana"/>
          <w:szCs w:val="18"/>
          <w:lang w:val="nl-NL"/>
        </w:rPr>
        <w:t>handelingsonbekwaam.</w:t>
      </w:r>
      <w:r w:rsidR="00772858" w:rsidRPr="00A33930">
        <w:rPr>
          <w:rStyle w:val="Voetnootmarkering"/>
          <w:rFonts w:eastAsia="Verdana" w:cs="Verdana"/>
          <w:szCs w:val="18"/>
          <w:lang w:val="nl-NL"/>
        </w:rPr>
        <w:footnoteReference w:id="294"/>
      </w:r>
      <w:r w:rsidR="00310DD8" w:rsidRPr="00A33930">
        <w:rPr>
          <w:rFonts w:eastAsia="Verdana" w:cs="Verdana"/>
          <w:szCs w:val="18"/>
          <w:lang w:val="nl-NL"/>
        </w:rPr>
        <w:t xml:space="preserve"> Zij kunnen niet zelf rechtshandelingen stellen </w:t>
      </w:r>
      <w:r w:rsidR="00310DD8" w:rsidRPr="00A33930">
        <w:rPr>
          <w:lang w:val="nl-NL"/>
        </w:rPr>
        <w:t>doordat zij in principe geen geldige toestemming kunnen geven.</w:t>
      </w:r>
      <w:r w:rsidR="00310DD8" w:rsidRPr="00A33930">
        <w:rPr>
          <w:rStyle w:val="Voetnootmarkering"/>
          <w:lang w:val="nl-NL"/>
        </w:rPr>
        <w:footnoteReference w:id="295"/>
      </w:r>
      <w:r w:rsidR="00310DD8" w:rsidRPr="00A33930">
        <w:rPr>
          <w:lang w:val="nl-NL"/>
        </w:rPr>
        <w:t xml:space="preserve"> Het kind </w:t>
      </w:r>
      <w:r w:rsidR="00E51C3F" w:rsidRPr="00A33930">
        <w:rPr>
          <w:lang w:val="nl-NL"/>
        </w:rPr>
        <w:t>is dus niet in staat</w:t>
      </w:r>
      <w:r w:rsidR="00310DD8" w:rsidRPr="00A33930">
        <w:rPr>
          <w:lang w:val="nl-NL"/>
        </w:rPr>
        <w:t xml:space="preserve"> zelf een contract </w:t>
      </w:r>
      <w:r w:rsidR="00E51C3F" w:rsidRPr="00A33930">
        <w:rPr>
          <w:lang w:val="nl-NL"/>
        </w:rPr>
        <w:t>te ondertekenen</w:t>
      </w:r>
      <w:r w:rsidR="00310DD8" w:rsidRPr="00A33930">
        <w:rPr>
          <w:lang w:val="nl-NL"/>
        </w:rPr>
        <w:t>.</w:t>
      </w:r>
      <w:r w:rsidR="00E51C3F" w:rsidRPr="00A33930">
        <w:rPr>
          <w:lang w:val="nl-NL"/>
        </w:rPr>
        <w:t xml:space="preserve"> </w:t>
      </w:r>
      <w:r w:rsidR="00310DD8" w:rsidRPr="00A33930">
        <w:rPr>
          <w:lang w:val="nl-NL"/>
        </w:rPr>
        <w:t xml:space="preserve">Bijkomend is de minderjarige principieel procesonbekwaam waardoor hij niet zelf en zelfstandig proceshandelingen </w:t>
      </w:r>
      <w:r w:rsidR="009B068F" w:rsidRPr="00A33930">
        <w:rPr>
          <w:lang w:val="nl-NL"/>
        </w:rPr>
        <w:t>kan</w:t>
      </w:r>
      <w:r w:rsidR="00310DD8" w:rsidRPr="00A33930">
        <w:rPr>
          <w:lang w:val="nl-NL"/>
        </w:rPr>
        <w:t xml:space="preserve"> stellen.</w:t>
      </w:r>
      <w:r w:rsidR="00310DD8" w:rsidRPr="00A33930">
        <w:rPr>
          <w:rStyle w:val="Voetnootmarkering"/>
          <w:lang w:val="nl-NL"/>
        </w:rPr>
        <w:footnoteReference w:id="296"/>
      </w:r>
      <w:r w:rsidR="00310DD8" w:rsidRPr="00A33930">
        <w:rPr>
          <w:lang w:val="nl-NL"/>
        </w:rPr>
        <w:t xml:space="preserve"> In een rechtszaak, zelfs wanneer het hem aanbelangt, is het voor het kind niet mogelijk om als eiser, verweerder of tussenkomende partij op te treden.</w:t>
      </w:r>
      <w:r w:rsidR="009866F0" w:rsidRPr="00A33930">
        <w:rPr>
          <w:rStyle w:val="Voetnootmarkering"/>
          <w:lang w:val="nl-NL"/>
        </w:rPr>
        <w:footnoteReference w:id="297"/>
      </w:r>
      <w:r w:rsidR="00772858" w:rsidRPr="00A33930">
        <w:rPr>
          <w:lang w:val="nl-NL"/>
        </w:rPr>
        <w:t xml:space="preserve"> Het kind zal zich moeten laten vertegenwoordigen door een wettelijke vertegenwoordiger</w:t>
      </w:r>
      <w:r w:rsidR="00E51C3F" w:rsidRPr="00A33930">
        <w:rPr>
          <w:lang w:val="nl-NL"/>
        </w:rPr>
        <w:t xml:space="preserve">, </w:t>
      </w:r>
      <w:r w:rsidR="00E61413" w:rsidRPr="00A33930">
        <w:rPr>
          <w:lang w:val="nl-NL"/>
        </w:rPr>
        <w:t xml:space="preserve">door </w:t>
      </w:r>
      <w:r w:rsidR="00E51C3F" w:rsidRPr="00A33930">
        <w:rPr>
          <w:lang w:val="nl-NL"/>
        </w:rPr>
        <w:t>een persoon met ouderlijk gezag</w:t>
      </w:r>
      <w:r w:rsidR="00772858" w:rsidRPr="00A33930">
        <w:rPr>
          <w:lang w:val="nl-NL"/>
        </w:rPr>
        <w:t>.</w:t>
      </w:r>
      <w:r w:rsidR="00772858" w:rsidRPr="00A33930">
        <w:rPr>
          <w:rStyle w:val="Voetnootmarkering"/>
          <w:lang w:val="nl-NL"/>
        </w:rPr>
        <w:footnoteReference w:id="298"/>
      </w:r>
      <w:r w:rsidR="00E51C3F" w:rsidRPr="00A33930">
        <w:rPr>
          <w:lang w:val="nl-NL"/>
        </w:rPr>
        <w:t xml:space="preserve"> Hierop bestaan wel enkele uitzonderingen.</w:t>
      </w:r>
      <w:r w:rsidR="00E51C3F" w:rsidRPr="00A33930">
        <w:rPr>
          <w:rStyle w:val="Voetnootmarkering"/>
          <w:lang w:val="nl-NL"/>
        </w:rPr>
        <w:footnoteReference w:id="299"/>
      </w:r>
      <w:r w:rsidR="00310DD8" w:rsidRPr="00A33930">
        <w:rPr>
          <w:lang w:val="nl-NL"/>
        </w:rPr>
        <w:t xml:space="preserve"> Aan de basis hiervan ligt </w:t>
      </w:r>
      <w:r w:rsidR="00A40BA9" w:rsidRPr="00A33930">
        <w:rPr>
          <w:lang w:val="nl-NL"/>
        </w:rPr>
        <w:t>het</w:t>
      </w:r>
      <w:r w:rsidR="00310DD8" w:rsidRPr="00A33930">
        <w:rPr>
          <w:lang w:val="nl-NL"/>
        </w:rPr>
        <w:t xml:space="preserve"> idee </w:t>
      </w:r>
      <w:r w:rsidR="00310DD8" w:rsidRPr="00A33930">
        <w:rPr>
          <w:lang w:val="nl-NL"/>
        </w:rPr>
        <w:lastRenderedPageBreak/>
        <w:t>dat de minderjarige bescherming nodig heeft en zich moet laten (bege)leiden door meerderjarigen.</w:t>
      </w:r>
      <w:r w:rsidR="001837DE" w:rsidRPr="00A33930">
        <w:rPr>
          <w:rStyle w:val="Voetnootmarkering"/>
          <w:lang w:val="nl-NL"/>
        </w:rPr>
        <w:footnoteReference w:id="300"/>
      </w:r>
      <w:r w:rsidR="00310DD8" w:rsidRPr="00A33930">
        <w:rPr>
          <w:lang w:val="nl-NL"/>
        </w:rPr>
        <w:t xml:space="preserve"> </w:t>
      </w:r>
      <w:r w:rsidR="00E61413" w:rsidRPr="00A33930">
        <w:rPr>
          <w:lang w:val="nl-NL"/>
        </w:rPr>
        <w:t xml:space="preserve">Wanneer er sprake is van belangentegenstellingen met de ouders, is het in bepaalde gevallen mogelijk om een voogd </w:t>
      </w:r>
      <w:r w:rsidR="00E61413" w:rsidRPr="00A33930">
        <w:rPr>
          <w:i/>
          <w:iCs/>
          <w:lang w:val="nl-NL"/>
        </w:rPr>
        <w:t>ad hoc</w:t>
      </w:r>
      <w:r w:rsidR="00E61413" w:rsidRPr="00A33930">
        <w:rPr>
          <w:lang w:val="nl-NL"/>
        </w:rPr>
        <w:t xml:space="preserve"> aan te stellen.</w:t>
      </w:r>
      <w:r w:rsidR="0060757B" w:rsidRPr="00A33930">
        <w:rPr>
          <w:rStyle w:val="Voetnootmarkering"/>
          <w:lang w:val="nl-NL"/>
        </w:rPr>
        <w:footnoteReference w:id="301"/>
      </w:r>
      <w:r w:rsidR="00E61413" w:rsidRPr="00A33930">
        <w:rPr>
          <w:lang w:val="nl-NL"/>
        </w:rPr>
        <w:t xml:space="preserve"> Deze voogd </w:t>
      </w:r>
      <w:r w:rsidR="00E61413" w:rsidRPr="00A33930">
        <w:rPr>
          <w:i/>
          <w:iCs/>
          <w:lang w:val="nl-NL"/>
        </w:rPr>
        <w:t>ad hoc</w:t>
      </w:r>
      <w:r w:rsidR="00E61413" w:rsidRPr="00A33930">
        <w:rPr>
          <w:lang w:val="nl-NL"/>
        </w:rPr>
        <w:t xml:space="preserve"> vertegenwoordigt de minderjarige vervolgens in het rechtsgeding.</w:t>
      </w:r>
      <w:r w:rsidR="00E61413" w:rsidRPr="00A33930">
        <w:rPr>
          <w:rStyle w:val="Voetnootmarkering"/>
          <w:lang w:val="nl-NL"/>
        </w:rPr>
        <w:footnoteReference w:id="302"/>
      </w:r>
      <w:r w:rsidR="00E61413" w:rsidRPr="00A33930">
        <w:rPr>
          <w:lang w:val="nl-NL"/>
        </w:rPr>
        <w:t xml:space="preserve"> Tot op heden </w:t>
      </w:r>
      <w:r w:rsidR="0060757B" w:rsidRPr="00A33930">
        <w:rPr>
          <w:lang w:val="nl-NL"/>
        </w:rPr>
        <w:t xml:space="preserve">is deze aanstelling niet mogelijk </w:t>
      </w:r>
      <w:r w:rsidR="00671183" w:rsidRPr="00A33930">
        <w:rPr>
          <w:lang w:val="nl-NL"/>
        </w:rPr>
        <w:t>inzake het recht op persoonlijk contact</w:t>
      </w:r>
      <w:r w:rsidR="0060757B" w:rsidRPr="00A33930">
        <w:rPr>
          <w:lang w:val="nl-NL"/>
        </w:rPr>
        <w:t>.</w:t>
      </w:r>
      <w:r w:rsidR="00F41039" w:rsidRPr="00A33930">
        <w:rPr>
          <w:rStyle w:val="Voetnootmarkering"/>
          <w:lang w:val="nl-NL"/>
        </w:rPr>
        <w:footnoteReference w:id="303"/>
      </w:r>
      <w:r w:rsidR="0060757B" w:rsidRPr="00A33930">
        <w:rPr>
          <w:lang w:val="nl-NL"/>
        </w:rPr>
        <w:t xml:space="preserve"> </w:t>
      </w:r>
      <w:r w:rsidR="007F6DF9" w:rsidRPr="00A33930">
        <w:rPr>
          <w:rFonts w:eastAsia="Verdana" w:cs="Verdana"/>
          <w:szCs w:val="18"/>
          <w:lang w:val="nl-NL"/>
        </w:rPr>
        <w:t>Dit omdat er</w:t>
      </w:r>
      <w:r w:rsidR="00310DD8" w:rsidRPr="00A33930">
        <w:rPr>
          <w:rFonts w:eastAsia="Verdana" w:cs="Verdana"/>
          <w:szCs w:val="18"/>
          <w:lang w:val="nl-NL"/>
        </w:rPr>
        <w:t xml:space="preserve"> door de Belgische wetgever niet </w:t>
      </w:r>
      <w:r w:rsidR="007F6DF9" w:rsidRPr="00A33930">
        <w:rPr>
          <w:rFonts w:eastAsia="Verdana" w:cs="Verdana"/>
          <w:szCs w:val="18"/>
          <w:lang w:val="nl-NL"/>
        </w:rPr>
        <w:t xml:space="preserve">wordt </w:t>
      </w:r>
      <w:r w:rsidR="00310DD8" w:rsidRPr="00A33930">
        <w:rPr>
          <w:rFonts w:eastAsia="Verdana" w:cs="Verdana"/>
          <w:szCs w:val="18"/>
          <w:lang w:val="nl-NL"/>
        </w:rPr>
        <w:t xml:space="preserve">voorzien in uitzonderingen op deze handelings- en procesonbekwaamheid van het kind </w:t>
      </w:r>
      <w:r w:rsidR="007F6DF9" w:rsidRPr="00A33930">
        <w:rPr>
          <w:rFonts w:eastAsia="Verdana" w:cs="Verdana"/>
          <w:szCs w:val="18"/>
          <w:lang w:val="nl-NL"/>
        </w:rPr>
        <w:t>in zaken betreffende</w:t>
      </w:r>
      <w:r w:rsidR="00310DD8" w:rsidRPr="00A33930">
        <w:rPr>
          <w:rFonts w:eastAsia="Verdana" w:cs="Verdana"/>
          <w:szCs w:val="18"/>
          <w:lang w:val="nl-NL"/>
        </w:rPr>
        <w:t xml:space="preserve"> het recht op persoonlijk contact.</w:t>
      </w:r>
      <w:r w:rsidR="00310DD8" w:rsidRPr="00A33930">
        <w:rPr>
          <w:rStyle w:val="Voetnootmarkering"/>
          <w:rFonts w:eastAsia="Verdana" w:cs="Verdana"/>
          <w:szCs w:val="18"/>
          <w:lang w:val="nl-NL"/>
        </w:rPr>
        <w:footnoteReference w:id="304"/>
      </w:r>
      <w:r w:rsidR="00310DD8" w:rsidRPr="00A33930">
        <w:rPr>
          <w:rFonts w:eastAsia="Verdana" w:cs="Verdana"/>
          <w:szCs w:val="18"/>
          <w:lang w:val="nl-NL"/>
        </w:rPr>
        <w:t xml:space="preserve"> </w:t>
      </w:r>
      <w:r w:rsidR="009B068F" w:rsidRPr="00A33930">
        <w:rPr>
          <w:lang w:val="nl-NL"/>
        </w:rPr>
        <w:t>Hierdoor moet het kind als partij in het geding worden vertegenwoordigd door de ouder(s) die het ouderlijk gezag uitoefenen of door de voogd.</w:t>
      </w:r>
      <w:r w:rsidR="009B068F" w:rsidRPr="00A33930">
        <w:rPr>
          <w:rStyle w:val="Voetnootmarkering"/>
          <w:lang w:val="nl-NL"/>
        </w:rPr>
        <w:footnoteReference w:id="305"/>
      </w:r>
      <w:r w:rsidR="009B068F" w:rsidRPr="00A33930">
        <w:rPr>
          <w:lang w:val="nl-NL"/>
        </w:rPr>
        <w:t xml:space="preserve"> Dit lijkt echter geen waterdicht systeem: de zekerheid dat de wettelijke vertegenwoordiger effectief in het belang van het kind spreekt is </w:t>
      </w:r>
      <w:r w:rsidR="00671183" w:rsidRPr="00A33930">
        <w:rPr>
          <w:lang w:val="nl-NL"/>
        </w:rPr>
        <w:t>er niet</w:t>
      </w:r>
      <w:r w:rsidR="009B068F" w:rsidRPr="00A33930">
        <w:rPr>
          <w:lang w:val="nl-NL"/>
        </w:rPr>
        <w:t xml:space="preserve">. </w:t>
      </w:r>
    </w:p>
    <w:p w14:paraId="5C536074" w14:textId="77777777" w:rsidR="0017255E" w:rsidRPr="00A33930" w:rsidRDefault="0017255E" w:rsidP="0017255E">
      <w:pPr>
        <w:pStyle w:val="Lijstalinea"/>
        <w:rPr>
          <w:rFonts w:eastAsia="Verdana" w:cs="Verdana"/>
          <w:szCs w:val="18"/>
          <w:lang w:val="nl-NL"/>
        </w:rPr>
      </w:pPr>
    </w:p>
    <w:p w14:paraId="2394DB2A" w14:textId="186AB53D" w:rsidR="00310DD8" w:rsidRPr="00A33930" w:rsidRDefault="00310DD8" w:rsidP="00310DD8">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Voor de wet van 20 mei 2021 </w:t>
      </w:r>
      <w:r w:rsidR="00EB4028" w:rsidRPr="00A33930">
        <w:rPr>
          <w:rFonts w:eastAsia="Verdana" w:cs="Verdana"/>
          <w:szCs w:val="18"/>
          <w:lang w:val="nl-NL"/>
        </w:rPr>
        <w:t xml:space="preserve">werd nu en dan </w:t>
      </w:r>
      <w:r w:rsidRPr="00A33930">
        <w:rPr>
          <w:rFonts w:eastAsia="Verdana" w:cs="Verdana"/>
          <w:szCs w:val="18"/>
          <w:lang w:val="nl-NL"/>
        </w:rPr>
        <w:t xml:space="preserve">aanvaard dat de minderjarige </w:t>
      </w:r>
      <w:r w:rsidRPr="00A33930">
        <w:rPr>
          <w:rFonts w:eastAsia="Verdana" w:cs="Verdana"/>
          <w:i/>
          <w:iCs/>
          <w:szCs w:val="18"/>
          <w:lang w:val="nl-NL"/>
        </w:rPr>
        <w:t>soms</w:t>
      </w:r>
      <w:r w:rsidRPr="00A33930">
        <w:rPr>
          <w:rFonts w:eastAsia="Verdana" w:cs="Verdana"/>
          <w:szCs w:val="18"/>
          <w:lang w:val="nl-NL"/>
        </w:rPr>
        <w:t xml:space="preserve"> procesbekwaam </w:t>
      </w:r>
      <w:r w:rsidR="007F6DF9" w:rsidRPr="00A33930">
        <w:rPr>
          <w:rFonts w:eastAsia="Verdana" w:cs="Verdana"/>
          <w:szCs w:val="18"/>
          <w:lang w:val="nl-NL"/>
        </w:rPr>
        <w:t>was</w:t>
      </w:r>
      <w:r w:rsidR="00E60B4B" w:rsidRPr="00A33930">
        <w:rPr>
          <w:rFonts w:eastAsia="Verdana" w:cs="Verdana"/>
          <w:szCs w:val="18"/>
          <w:lang w:val="nl-NL"/>
        </w:rPr>
        <w:t xml:space="preserve"> </w:t>
      </w:r>
      <w:r w:rsidRPr="00A33930">
        <w:rPr>
          <w:rFonts w:eastAsia="Verdana" w:cs="Verdana"/>
          <w:szCs w:val="18"/>
          <w:lang w:val="nl-NL"/>
        </w:rPr>
        <w:t>wegens het persoonlijke karakter van de vordering tot persoonlijk contact.</w:t>
      </w:r>
      <w:r w:rsidRPr="00A33930">
        <w:rPr>
          <w:rStyle w:val="Voetnootmarkering"/>
          <w:rFonts w:eastAsia="Verdana" w:cs="Verdana"/>
          <w:szCs w:val="18"/>
          <w:lang w:val="nl-NL"/>
        </w:rPr>
        <w:footnoteReference w:id="306"/>
      </w:r>
      <w:r w:rsidRPr="00A33930">
        <w:rPr>
          <w:rFonts w:eastAsia="Verdana" w:cs="Verdana"/>
          <w:szCs w:val="18"/>
          <w:lang w:val="nl-NL"/>
        </w:rPr>
        <w:t xml:space="preserve"> Deze </w:t>
      </w:r>
      <w:r w:rsidR="009B068F" w:rsidRPr="00A33930">
        <w:rPr>
          <w:rFonts w:eastAsia="Verdana" w:cs="Verdana"/>
          <w:szCs w:val="18"/>
          <w:lang w:val="nl-NL"/>
        </w:rPr>
        <w:t>uitschieters werden echter</w:t>
      </w:r>
      <w:r w:rsidRPr="00A33930">
        <w:rPr>
          <w:rFonts w:eastAsia="Verdana" w:cs="Verdana"/>
          <w:szCs w:val="18"/>
          <w:lang w:val="nl-NL"/>
        </w:rPr>
        <w:t xml:space="preserve"> niet </w:t>
      </w:r>
      <w:r w:rsidR="009B068F" w:rsidRPr="00A33930">
        <w:rPr>
          <w:rFonts w:eastAsia="Verdana" w:cs="Verdana"/>
          <w:szCs w:val="18"/>
          <w:lang w:val="nl-NL"/>
        </w:rPr>
        <w:t>aangenomen</w:t>
      </w:r>
      <w:r w:rsidRPr="00A33930">
        <w:rPr>
          <w:rFonts w:eastAsia="Verdana" w:cs="Verdana"/>
          <w:szCs w:val="18"/>
          <w:lang w:val="nl-NL"/>
        </w:rPr>
        <w:t xml:space="preserve"> in de parlementaire voorbereiding bij de laatste aanpassing van de wet van 20 mei 2021 inzake het recht op persoonlijk contact van broers en zussen.</w:t>
      </w:r>
      <w:r w:rsidRPr="00A33930">
        <w:rPr>
          <w:rStyle w:val="Voetnootmarkering"/>
          <w:rFonts w:eastAsia="Verdana" w:cs="Verdana"/>
          <w:szCs w:val="18"/>
          <w:lang w:val="nl-NL"/>
        </w:rPr>
        <w:footnoteReference w:id="307"/>
      </w:r>
      <w:r w:rsidRPr="00A33930">
        <w:rPr>
          <w:rFonts w:eastAsia="Verdana" w:cs="Verdana"/>
          <w:szCs w:val="18"/>
          <w:lang w:val="nl-NL"/>
        </w:rPr>
        <w:t xml:space="preserve"> Een belangrijk onderdeel uit </w:t>
      </w:r>
      <w:r w:rsidR="00EB4028" w:rsidRPr="00A33930">
        <w:rPr>
          <w:rFonts w:eastAsia="Verdana" w:cs="Verdana"/>
          <w:szCs w:val="18"/>
          <w:lang w:val="nl-NL"/>
        </w:rPr>
        <w:t>dit</w:t>
      </w:r>
      <w:r w:rsidRPr="00A33930">
        <w:rPr>
          <w:rFonts w:eastAsia="Verdana" w:cs="Verdana"/>
          <w:szCs w:val="18"/>
          <w:lang w:val="nl-NL"/>
        </w:rPr>
        <w:t xml:space="preserve"> wetsvoorstel, namelijk de procesbekwaamheid en handelingsbekwaamheid voor de afdwingbaarheid van de rechten, heeft de Commissie van Justitie niet overleefd.</w:t>
      </w:r>
      <w:r w:rsidRPr="00A33930">
        <w:rPr>
          <w:rStyle w:val="Voetnootmarkering"/>
          <w:rFonts w:eastAsia="Verdana" w:cs="Verdana"/>
          <w:szCs w:val="18"/>
          <w:lang w:val="nl-NL"/>
        </w:rPr>
        <w:footnoteReference w:id="308"/>
      </w:r>
      <w:r w:rsidRPr="00A33930">
        <w:rPr>
          <w:rFonts w:eastAsia="Verdana" w:cs="Verdana"/>
          <w:szCs w:val="18"/>
          <w:lang w:val="nl-NL"/>
        </w:rPr>
        <w:t xml:space="preserve"> </w:t>
      </w:r>
      <w:r w:rsidR="004B3B9A" w:rsidRPr="00A33930">
        <w:rPr>
          <w:rFonts w:eastAsia="Verdana" w:cs="Verdana"/>
          <w:szCs w:val="18"/>
          <w:lang w:val="nl-NL"/>
        </w:rPr>
        <w:t>Dit zou zowel symbolisch, psychologisch als praktisch moeilijk liggen.</w:t>
      </w:r>
      <w:r w:rsidR="004B3B9A" w:rsidRPr="00A33930">
        <w:rPr>
          <w:rStyle w:val="Voetnootmarkering"/>
          <w:rFonts w:eastAsia="Verdana" w:cs="Verdana"/>
          <w:szCs w:val="18"/>
          <w:lang w:val="nl-NL"/>
        </w:rPr>
        <w:footnoteReference w:id="309"/>
      </w:r>
      <w:r w:rsidR="00B01E55" w:rsidRPr="00A33930">
        <w:rPr>
          <w:rFonts w:eastAsia="Verdana" w:cs="Verdana"/>
          <w:szCs w:val="18"/>
          <w:lang w:val="nl-NL"/>
        </w:rPr>
        <w:t xml:space="preserve"> Zo </w:t>
      </w:r>
      <w:r w:rsidR="007F6DF9" w:rsidRPr="00A33930">
        <w:rPr>
          <w:rFonts w:eastAsia="Verdana" w:cs="Verdana"/>
          <w:szCs w:val="18"/>
          <w:lang w:val="nl-NL"/>
        </w:rPr>
        <w:t>werd</w:t>
      </w:r>
      <w:r w:rsidR="00B01E55" w:rsidRPr="00A33930">
        <w:rPr>
          <w:rFonts w:eastAsia="Verdana" w:cs="Verdana"/>
          <w:szCs w:val="18"/>
          <w:lang w:val="nl-NL"/>
        </w:rPr>
        <w:t xml:space="preserve"> bijvoorbeeld aangehaald dat het kind toch nog als middel ingezet </w:t>
      </w:r>
      <w:r w:rsidR="007F6DF9" w:rsidRPr="00A33930">
        <w:rPr>
          <w:rFonts w:eastAsia="Verdana" w:cs="Verdana"/>
          <w:szCs w:val="18"/>
          <w:lang w:val="nl-NL"/>
        </w:rPr>
        <w:t>zou</w:t>
      </w:r>
      <w:r w:rsidR="00B01E55" w:rsidRPr="00A33930">
        <w:rPr>
          <w:rFonts w:eastAsia="Verdana" w:cs="Verdana"/>
          <w:szCs w:val="18"/>
          <w:lang w:val="nl-NL"/>
        </w:rPr>
        <w:t xml:space="preserve"> worden in een vechtscheiding, </w:t>
      </w:r>
      <w:r w:rsidR="00B01E55" w:rsidRPr="00A33930">
        <w:rPr>
          <w:rFonts w:eastAsia="Verdana" w:cs="Verdana"/>
          <w:szCs w:val="18"/>
          <w:lang w:val="nl-NL"/>
        </w:rPr>
        <w:lastRenderedPageBreak/>
        <w:t xml:space="preserve">waardoor </w:t>
      </w:r>
      <w:r w:rsidR="00A40BA9" w:rsidRPr="00A33930">
        <w:rPr>
          <w:rFonts w:eastAsia="Verdana" w:cs="Verdana"/>
          <w:szCs w:val="18"/>
          <w:lang w:val="nl-NL"/>
        </w:rPr>
        <w:t>hij</w:t>
      </w:r>
      <w:r w:rsidR="00B01E55" w:rsidRPr="00A33930">
        <w:rPr>
          <w:rFonts w:eastAsia="Verdana" w:cs="Verdana"/>
          <w:szCs w:val="18"/>
          <w:lang w:val="nl-NL"/>
        </w:rPr>
        <w:t xml:space="preserve"> </w:t>
      </w:r>
      <w:r w:rsidR="00A40BA9" w:rsidRPr="00A33930">
        <w:rPr>
          <w:rFonts w:eastAsia="Verdana" w:cs="Verdana"/>
          <w:szCs w:val="18"/>
          <w:lang w:val="nl-NL"/>
        </w:rPr>
        <w:t>wellicht</w:t>
      </w:r>
      <w:r w:rsidR="00B01E55" w:rsidRPr="00A33930">
        <w:rPr>
          <w:rFonts w:eastAsia="Verdana" w:cs="Verdana"/>
          <w:szCs w:val="18"/>
          <w:lang w:val="nl-NL"/>
        </w:rPr>
        <w:t xml:space="preserve"> niet langer zijn eigen belangen </w:t>
      </w:r>
      <w:r w:rsidR="007F6DF9" w:rsidRPr="00A33930">
        <w:rPr>
          <w:rFonts w:eastAsia="Verdana" w:cs="Verdana"/>
          <w:szCs w:val="18"/>
          <w:lang w:val="nl-NL"/>
        </w:rPr>
        <w:t>zou verdedigen</w:t>
      </w:r>
      <w:r w:rsidR="00B01E55" w:rsidRPr="00A33930">
        <w:rPr>
          <w:rFonts w:eastAsia="Verdana" w:cs="Verdana"/>
          <w:szCs w:val="18"/>
          <w:lang w:val="nl-NL"/>
        </w:rPr>
        <w:t>.</w:t>
      </w:r>
      <w:r w:rsidR="00B01E55" w:rsidRPr="00A33930">
        <w:rPr>
          <w:rStyle w:val="Voetnootmarkering"/>
          <w:rFonts w:eastAsia="Verdana" w:cs="Verdana"/>
          <w:szCs w:val="18"/>
          <w:lang w:val="nl-NL"/>
        </w:rPr>
        <w:footnoteReference w:id="310"/>
      </w:r>
      <w:r w:rsidR="004B3B9A" w:rsidRPr="00A33930">
        <w:rPr>
          <w:rFonts w:eastAsia="Verdana" w:cs="Verdana"/>
          <w:szCs w:val="18"/>
          <w:lang w:val="nl-NL"/>
        </w:rPr>
        <w:t xml:space="preserve"> </w:t>
      </w:r>
      <w:r w:rsidR="00B01E55" w:rsidRPr="00A33930">
        <w:rPr>
          <w:rFonts w:eastAsia="Verdana" w:cs="Verdana"/>
          <w:szCs w:val="18"/>
          <w:lang w:val="nl-NL"/>
        </w:rPr>
        <w:t xml:space="preserve">Bovendien </w:t>
      </w:r>
      <w:r w:rsidR="007F6DF9" w:rsidRPr="00A33930">
        <w:rPr>
          <w:rFonts w:eastAsia="Verdana" w:cs="Verdana"/>
          <w:szCs w:val="18"/>
          <w:lang w:val="nl-NL"/>
        </w:rPr>
        <w:t>zou het deuren openen</w:t>
      </w:r>
      <w:r w:rsidR="00B01E55" w:rsidRPr="00A33930">
        <w:rPr>
          <w:rFonts w:eastAsia="Verdana" w:cs="Verdana"/>
          <w:szCs w:val="18"/>
          <w:lang w:val="nl-NL"/>
        </w:rPr>
        <w:t xml:space="preserve"> naar de rechtbank voor ontevreden kinderen.</w:t>
      </w:r>
      <w:r w:rsidR="00B01E55" w:rsidRPr="00A33930">
        <w:rPr>
          <w:rStyle w:val="Voetnootmarkering"/>
          <w:rFonts w:eastAsia="Verdana" w:cs="Verdana"/>
          <w:szCs w:val="18"/>
          <w:lang w:val="nl-NL"/>
        </w:rPr>
        <w:footnoteReference w:id="311"/>
      </w:r>
      <w:r w:rsidR="00B01E55" w:rsidRPr="00A33930">
        <w:rPr>
          <w:rFonts w:eastAsia="Verdana" w:cs="Verdana"/>
          <w:szCs w:val="18"/>
          <w:lang w:val="nl-NL"/>
        </w:rPr>
        <w:t xml:space="preserve"> </w:t>
      </w:r>
      <w:r w:rsidRPr="00A33930">
        <w:rPr>
          <w:rFonts w:eastAsia="Verdana" w:cs="Verdana"/>
          <w:szCs w:val="18"/>
          <w:lang w:val="nl-NL"/>
        </w:rPr>
        <w:t>Dit maakt dat er vragen kunnen worden gesteld naar de slagkracht van eventuele nieuwe bepalingen en bijgevolg ook naar de overeenstemming van het Belgisch recht met mensenrechtelijke normen</w:t>
      </w:r>
      <w:r w:rsidR="00EB4028" w:rsidRPr="00A33930">
        <w:rPr>
          <w:rFonts w:eastAsia="Verdana" w:cs="Verdana"/>
          <w:szCs w:val="18"/>
          <w:lang w:val="nl-NL"/>
        </w:rPr>
        <w:t>: is het dan wel zo efficiënt?</w:t>
      </w:r>
    </w:p>
    <w:p w14:paraId="20A8978D" w14:textId="77777777" w:rsidR="00310DD8" w:rsidRPr="00A33930" w:rsidRDefault="00310DD8" w:rsidP="00310DD8">
      <w:pPr>
        <w:pStyle w:val="Lijstalinea"/>
        <w:rPr>
          <w:rFonts w:eastAsia="Verdana" w:cs="Verdana"/>
          <w:szCs w:val="18"/>
          <w:lang w:val="nl-NL"/>
        </w:rPr>
      </w:pPr>
    </w:p>
    <w:p w14:paraId="0FFF49E4" w14:textId="35335154" w:rsidR="00310DD8" w:rsidRPr="00A33930" w:rsidRDefault="00310DD8" w:rsidP="004B3B9A">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Opgemerkt dient te worden dat artikel 9 IVRK een belangrijke nuancering inhoudt voor deze principiële procesonbekwaamheid naar Belgisch recht. Het IVRK beschouwt het kind immers als rechtssubject, als titularis van een eigen recht op persoonlijk contact (</w:t>
      </w:r>
      <w:r w:rsidRPr="00A33930">
        <w:rPr>
          <w:rFonts w:eastAsia="Verdana" w:cs="Verdana"/>
          <w:i/>
          <w:iCs/>
          <w:szCs w:val="18"/>
          <w:lang w:val="nl-NL"/>
        </w:rPr>
        <w:t>supra</w:t>
      </w:r>
      <w:r w:rsidRPr="00A33930">
        <w:rPr>
          <w:rFonts w:eastAsia="Verdana" w:cs="Verdana"/>
          <w:szCs w:val="18"/>
          <w:lang w:val="nl-NL"/>
        </w:rPr>
        <w:t xml:space="preserve">, nr. </w:t>
      </w:r>
      <w:r w:rsidR="00C673AD" w:rsidRPr="00A33930">
        <w:rPr>
          <w:rFonts w:eastAsia="Verdana" w:cs="Verdana"/>
          <w:szCs w:val="18"/>
          <w:lang w:val="nl-NL"/>
        </w:rPr>
        <w:t>32</w:t>
      </w:r>
      <w:r w:rsidRPr="00A33930">
        <w:rPr>
          <w:rFonts w:eastAsia="Verdana" w:cs="Verdana"/>
          <w:szCs w:val="18"/>
          <w:lang w:val="nl-NL"/>
        </w:rPr>
        <w:t>). De initiële bedoeling van de wetgever was om dit ook te voorzien in het Belgische recht.</w:t>
      </w:r>
      <w:r w:rsidRPr="00A33930">
        <w:rPr>
          <w:rStyle w:val="Voetnootmarkering"/>
          <w:rFonts w:eastAsia="Verdana" w:cs="Verdana"/>
          <w:szCs w:val="18"/>
          <w:lang w:val="nl-NL"/>
        </w:rPr>
        <w:footnoteReference w:id="312"/>
      </w:r>
      <w:r w:rsidRPr="00A33930">
        <w:rPr>
          <w:rFonts w:eastAsia="Verdana" w:cs="Verdana"/>
          <w:szCs w:val="18"/>
          <w:lang w:val="nl-NL"/>
        </w:rPr>
        <w:t xml:space="preserve"> Toch bleek de toekenning van enige vorm van procesbekwaamheid aan minderjarigen destijds een brug te ver.</w:t>
      </w:r>
      <w:r w:rsidRPr="00A33930">
        <w:rPr>
          <w:rStyle w:val="Voetnootmarkering"/>
          <w:rFonts w:eastAsia="Verdana" w:cs="Verdana"/>
          <w:szCs w:val="18"/>
          <w:lang w:val="nl-NL"/>
        </w:rPr>
        <w:footnoteReference w:id="313"/>
      </w:r>
      <w:r w:rsidR="004B3B9A" w:rsidRPr="00A33930">
        <w:rPr>
          <w:rFonts w:eastAsia="Verdana" w:cs="Verdana"/>
          <w:szCs w:val="18"/>
          <w:lang w:val="nl-NL"/>
        </w:rPr>
        <w:t xml:space="preserve"> M</w:t>
      </w:r>
      <w:r w:rsidR="009710CE" w:rsidRPr="00A33930">
        <w:rPr>
          <w:rFonts w:eastAsia="Verdana" w:cs="Verdana"/>
          <w:szCs w:val="18"/>
          <w:lang w:val="nl-NL"/>
        </w:rPr>
        <w:t xml:space="preserve">ijns inziens </w:t>
      </w:r>
      <w:r w:rsidR="004B3B9A" w:rsidRPr="00A33930">
        <w:rPr>
          <w:rFonts w:eastAsia="Verdana" w:cs="Verdana"/>
          <w:szCs w:val="18"/>
          <w:lang w:val="nl-NL"/>
        </w:rPr>
        <w:t xml:space="preserve">is het eerder logisch dat het kind een eigen vorderingsrecht zou moeten krijgen in </w:t>
      </w:r>
      <w:r w:rsidR="004B3B9A" w:rsidRPr="00A33930">
        <w:rPr>
          <w:rFonts w:eastAsia="Verdana" w:cs="Verdana"/>
          <w:i/>
          <w:iCs/>
          <w:szCs w:val="18"/>
          <w:lang w:val="nl-NL"/>
        </w:rPr>
        <w:t>alle</w:t>
      </w:r>
      <w:r w:rsidR="004B3B9A" w:rsidRPr="00A33930">
        <w:rPr>
          <w:rFonts w:eastAsia="Verdana" w:cs="Verdana"/>
          <w:szCs w:val="18"/>
          <w:lang w:val="nl-NL"/>
        </w:rPr>
        <w:t xml:space="preserve"> beslissingen die hem aanbelangen, niet enkel in deze </w:t>
      </w:r>
      <w:r w:rsidR="004B3B9A" w:rsidRPr="00A33930">
        <w:rPr>
          <w:rFonts w:eastAsia="Verdana" w:cs="Verdana"/>
          <w:i/>
          <w:iCs/>
          <w:szCs w:val="18"/>
          <w:lang w:val="nl-NL"/>
        </w:rPr>
        <w:t>enkele</w:t>
      </w:r>
      <w:r w:rsidR="004B3B9A" w:rsidRPr="00A33930">
        <w:rPr>
          <w:rFonts w:eastAsia="Verdana" w:cs="Verdana"/>
          <w:szCs w:val="18"/>
          <w:lang w:val="nl-NL"/>
        </w:rPr>
        <w:t xml:space="preserve"> gevallen opgenomen in het oud BW. Ook hier blijft het Belgisch recht dus voor een groot deel in gebreke.</w:t>
      </w:r>
    </w:p>
    <w:p w14:paraId="7BA78AAA" w14:textId="3A87B27D" w:rsidR="00D47027" w:rsidRPr="00A33930" w:rsidRDefault="009A1D12" w:rsidP="00D47027">
      <w:pPr>
        <w:pStyle w:val="Kop4"/>
        <w:spacing w:before="240" w:after="120"/>
        <w:jc w:val="both"/>
        <w:rPr>
          <w:rFonts w:ascii="Verdana" w:hAnsi="Verdana"/>
          <w:b/>
          <w:bCs/>
          <w:color w:val="auto"/>
          <w:szCs w:val="18"/>
          <w:lang w:val="nl-NL"/>
        </w:rPr>
      </w:pPr>
      <w:r w:rsidRPr="00A33930">
        <w:rPr>
          <w:rFonts w:ascii="Verdana" w:hAnsi="Verdana"/>
          <w:b/>
          <w:bCs/>
          <w:color w:val="auto"/>
          <w:szCs w:val="18"/>
          <w:lang w:val="nl-NL"/>
        </w:rPr>
        <w:t>§</w:t>
      </w:r>
      <w:r w:rsidR="00310DD8" w:rsidRPr="00A33930">
        <w:rPr>
          <w:rFonts w:ascii="Verdana" w:hAnsi="Verdana"/>
          <w:b/>
          <w:bCs/>
          <w:color w:val="auto"/>
          <w:szCs w:val="18"/>
          <w:lang w:val="nl-NL"/>
        </w:rPr>
        <w:t>2</w:t>
      </w:r>
      <w:r w:rsidRPr="00A33930">
        <w:rPr>
          <w:rFonts w:ascii="Verdana" w:hAnsi="Verdana"/>
          <w:b/>
          <w:bCs/>
          <w:color w:val="auto"/>
          <w:szCs w:val="18"/>
          <w:lang w:val="nl-NL"/>
        </w:rPr>
        <w:t>.</w:t>
      </w:r>
      <w:r w:rsidRPr="00A33930">
        <w:rPr>
          <w:rFonts w:ascii="Verdana" w:hAnsi="Verdana"/>
          <w:b/>
          <w:bCs/>
          <w:color w:val="auto"/>
          <w:szCs w:val="18"/>
          <w:lang w:val="nl-NL"/>
        </w:rPr>
        <w:tab/>
      </w:r>
      <w:r w:rsidR="004B3B9A" w:rsidRPr="00A33930">
        <w:rPr>
          <w:rFonts w:ascii="Verdana" w:hAnsi="Verdana"/>
          <w:b/>
          <w:bCs/>
          <w:color w:val="auto"/>
          <w:szCs w:val="18"/>
          <w:lang w:val="nl-NL"/>
        </w:rPr>
        <w:tab/>
      </w:r>
      <w:r w:rsidRPr="00A33930">
        <w:rPr>
          <w:rFonts w:ascii="Verdana" w:hAnsi="Verdana"/>
          <w:b/>
          <w:bCs/>
          <w:color w:val="auto"/>
          <w:szCs w:val="18"/>
          <w:lang w:val="nl-NL"/>
        </w:rPr>
        <w:t>Ouderlijke verantwoordelijkheden</w:t>
      </w:r>
    </w:p>
    <w:p w14:paraId="73AA2B94" w14:textId="13AF80C0" w:rsidR="00DF360C" w:rsidRPr="00A33930" w:rsidRDefault="00D47027" w:rsidP="00CF1769">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In België is het recht op persoonlijk contact verbonden aan het ouderlijk gezag en de ouderlijke verantwoordelijkheden.</w:t>
      </w:r>
      <w:r w:rsidR="00E25046" w:rsidRPr="00A33930">
        <w:rPr>
          <w:rStyle w:val="Voetnootmarkering"/>
          <w:rFonts w:eastAsia="Verdana" w:cs="Verdana"/>
          <w:szCs w:val="18"/>
          <w:lang w:val="nl-NL"/>
        </w:rPr>
        <w:footnoteReference w:id="314"/>
      </w:r>
      <w:r w:rsidRPr="00A33930">
        <w:rPr>
          <w:rFonts w:eastAsia="Verdana" w:cs="Verdana"/>
          <w:szCs w:val="18"/>
          <w:lang w:val="nl-NL"/>
        </w:rPr>
        <w:t xml:space="preserve"> </w:t>
      </w:r>
      <w:r w:rsidR="009A1D12" w:rsidRPr="00A33930">
        <w:rPr>
          <w:rFonts w:eastAsia="Verdana" w:cs="Verdana"/>
          <w:szCs w:val="18"/>
          <w:lang w:val="nl-NL"/>
        </w:rPr>
        <w:t>Het ouderlijk gezag is de bevoegdheid van ouders om beslissingen te nemen over de persoon van hun kinderen</w:t>
      </w:r>
      <w:r w:rsidR="00403371" w:rsidRPr="00A33930">
        <w:rPr>
          <w:rFonts w:eastAsia="Verdana" w:cs="Verdana"/>
          <w:szCs w:val="18"/>
          <w:lang w:val="nl-NL"/>
        </w:rPr>
        <w:t xml:space="preserve"> en hun goederen</w:t>
      </w:r>
      <w:r w:rsidR="009A1D12" w:rsidRPr="00A33930">
        <w:rPr>
          <w:rFonts w:eastAsia="Verdana" w:cs="Verdana"/>
          <w:szCs w:val="18"/>
          <w:lang w:val="nl-NL"/>
        </w:rPr>
        <w:t>.</w:t>
      </w:r>
      <w:r w:rsidR="009A1D12" w:rsidRPr="00A33930">
        <w:rPr>
          <w:rStyle w:val="Voetnootmarkering"/>
          <w:rFonts w:eastAsia="Verdana" w:cs="Verdana"/>
          <w:szCs w:val="18"/>
          <w:lang w:val="nl-NL"/>
        </w:rPr>
        <w:footnoteReference w:id="315"/>
      </w:r>
      <w:r w:rsidR="009A1D12" w:rsidRPr="00A33930">
        <w:rPr>
          <w:rFonts w:eastAsia="Verdana" w:cs="Verdana"/>
          <w:szCs w:val="18"/>
          <w:lang w:val="nl-NL"/>
        </w:rPr>
        <w:t xml:space="preserve"> </w:t>
      </w:r>
      <w:r w:rsidR="00BF1BDA" w:rsidRPr="00A33930">
        <w:rPr>
          <w:rFonts w:eastAsia="Verdana" w:cs="Verdana"/>
          <w:szCs w:val="18"/>
          <w:lang w:val="nl-NL"/>
        </w:rPr>
        <w:t>“</w:t>
      </w:r>
      <w:r w:rsidR="00CD3433" w:rsidRPr="00A33930">
        <w:rPr>
          <w:rFonts w:eastAsia="Verdana" w:cs="Verdana"/>
          <w:szCs w:val="18"/>
          <w:lang w:val="nl-NL"/>
        </w:rPr>
        <w:t>Ouders</w:t>
      </w:r>
      <w:r w:rsidR="00BF1BDA" w:rsidRPr="00A33930">
        <w:rPr>
          <w:rFonts w:eastAsia="Verdana" w:cs="Verdana"/>
          <w:szCs w:val="18"/>
          <w:lang w:val="nl-NL"/>
        </w:rPr>
        <w:t>”</w:t>
      </w:r>
      <w:r w:rsidR="00CD3433" w:rsidRPr="00A33930">
        <w:rPr>
          <w:rFonts w:eastAsia="Verdana" w:cs="Verdana"/>
          <w:szCs w:val="18"/>
          <w:lang w:val="nl-NL"/>
        </w:rPr>
        <w:t xml:space="preserve"> zijn de personen met wie het kind een juridische afstammingsband heeft.</w:t>
      </w:r>
      <w:r w:rsidR="00CD3433" w:rsidRPr="00A33930">
        <w:rPr>
          <w:rStyle w:val="Voetnootmarkering"/>
          <w:rFonts w:eastAsia="Verdana" w:cs="Verdana"/>
          <w:szCs w:val="18"/>
          <w:lang w:val="nl-NL"/>
        </w:rPr>
        <w:footnoteReference w:id="316"/>
      </w:r>
      <w:r w:rsidR="00CD3433" w:rsidRPr="00A33930">
        <w:rPr>
          <w:rFonts w:eastAsia="Verdana" w:cs="Verdana"/>
          <w:szCs w:val="18"/>
          <w:lang w:val="nl-NL"/>
        </w:rPr>
        <w:t xml:space="preserve"> </w:t>
      </w:r>
      <w:r w:rsidR="00CF1769" w:rsidRPr="00A33930">
        <w:rPr>
          <w:rFonts w:eastAsia="Verdana" w:cs="Verdana"/>
          <w:szCs w:val="18"/>
          <w:lang w:val="nl-NL"/>
        </w:rPr>
        <w:t>Volgens</w:t>
      </w:r>
      <w:r w:rsidR="00D302AF" w:rsidRPr="00A33930">
        <w:rPr>
          <w:rFonts w:eastAsia="Verdana" w:cs="Verdana"/>
          <w:szCs w:val="18"/>
          <w:lang w:val="nl-NL"/>
        </w:rPr>
        <w:t xml:space="preserve"> het principe van gezagsco-ouderschap</w:t>
      </w:r>
      <w:r w:rsidR="00CF1769" w:rsidRPr="00A33930">
        <w:rPr>
          <w:rFonts w:eastAsia="Verdana" w:cs="Verdana"/>
          <w:szCs w:val="18"/>
          <w:lang w:val="nl-NL"/>
        </w:rPr>
        <w:t xml:space="preserve"> zijn beide ouders in beginsel titularis van het ouderlijk gezag</w:t>
      </w:r>
      <w:r w:rsidR="00D034FE" w:rsidRPr="00A33930">
        <w:rPr>
          <w:rFonts w:eastAsia="Verdana" w:cs="Verdana"/>
          <w:szCs w:val="18"/>
          <w:lang w:val="nl-NL"/>
        </w:rPr>
        <w:t>, ongeacht de relationele situatie</w:t>
      </w:r>
      <w:r w:rsidR="00D302AF" w:rsidRPr="00A33930">
        <w:rPr>
          <w:rFonts w:eastAsia="Verdana" w:cs="Verdana"/>
          <w:szCs w:val="18"/>
          <w:lang w:val="nl-NL"/>
        </w:rPr>
        <w:t>.</w:t>
      </w:r>
      <w:r w:rsidR="00D302AF" w:rsidRPr="00A33930">
        <w:rPr>
          <w:rStyle w:val="Voetnootmarkering"/>
          <w:rFonts w:eastAsia="Verdana" w:cs="Verdana"/>
          <w:szCs w:val="18"/>
          <w:lang w:val="nl-NL"/>
        </w:rPr>
        <w:footnoteReference w:id="317"/>
      </w:r>
      <w:r w:rsidR="009A1D12" w:rsidRPr="00A33930">
        <w:rPr>
          <w:rFonts w:eastAsia="Verdana" w:cs="Verdana"/>
          <w:szCs w:val="18"/>
          <w:lang w:val="nl-NL"/>
        </w:rPr>
        <w:t xml:space="preserve"> </w:t>
      </w:r>
      <w:r w:rsidR="00D302AF" w:rsidRPr="00A33930">
        <w:rPr>
          <w:rFonts w:eastAsia="Verdana" w:cs="Verdana"/>
          <w:szCs w:val="18"/>
          <w:lang w:val="nl-NL"/>
        </w:rPr>
        <w:t>Ouders die</w:t>
      </w:r>
      <w:r w:rsidR="00CF1769" w:rsidRPr="00A33930">
        <w:rPr>
          <w:rFonts w:eastAsia="Verdana" w:cs="Verdana"/>
          <w:szCs w:val="18"/>
          <w:lang w:val="nl-NL"/>
        </w:rPr>
        <w:t xml:space="preserve"> niet samenleven maar</w:t>
      </w:r>
      <w:r w:rsidR="00D302AF" w:rsidRPr="00A33930">
        <w:rPr>
          <w:rFonts w:eastAsia="Verdana" w:cs="Verdana"/>
          <w:szCs w:val="18"/>
          <w:lang w:val="nl-NL"/>
        </w:rPr>
        <w:t xml:space="preserve"> het ouderlijk gezag </w:t>
      </w:r>
      <w:r w:rsidR="00CF1769" w:rsidRPr="00A33930">
        <w:rPr>
          <w:rFonts w:eastAsia="Verdana" w:cs="Verdana"/>
          <w:szCs w:val="18"/>
          <w:lang w:val="nl-NL"/>
        </w:rPr>
        <w:t xml:space="preserve">samen </w:t>
      </w:r>
      <w:r w:rsidR="00D302AF" w:rsidRPr="00A33930">
        <w:rPr>
          <w:rFonts w:eastAsia="Verdana" w:cs="Verdana"/>
          <w:szCs w:val="18"/>
          <w:lang w:val="nl-NL"/>
        </w:rPr>
        <w:t xml:space="preserve">uitoefenen, </w:t>
      </w:r>
      <w:r w:rsidR="0060177B" w:rsidRPr="00A33930">
        <w:rPr>
          <w:rFonts w:eastAsia="Verdana" w:cs="Verdana"/>
          <w:szCs w:val="18"/>
          <w:lang w:val="nl-NL"/>
        </w:rPr>
        <w:t>verkrijgen een</w:t>
      </w:r>
      <w:r w:rsidR="00D302AF" w:rsidRPr="00A33930">
        <w:rPr>
          <w:rFonts w:eastAsia="Verdana" w:cs="Verdana"/>
          <w:szCs w:val="18"/>
          <w:lang w:val="nl-NL"/>
        </w:rPr>
        <w:t xml:space="preserve"> recht om contact te onderhouden met hun kinderen via een verblijfsregeling</w:t>
      </w:r>
      <w:r w:rsidR="00EC0C0E" w:rsidRPr="00A33930">
        <w:rPr>
          <w:rFonts w:eastAsia="Verdana" w:cs="Verdana"/>
          <w:szCs w:val="18"/>
          <w:lang w:val="nl-NL"/>
        </w:rPr>
        <w:t xml:space="preserve"> (</w:t>
      </w:r>
      <w:r w:rsidR="00EC0C0E" w:rsidRPr="00A33930">
        <w:rPr>
          <w:rFonts w:eastAsia="Verdana" w:cs="Verdana"/>
          <w:i/>
          <w:iCs/>
          <w:szCs w:val="18"/>
          <w:lang w:val="nl-NL"/>
        </w:rPr>
        <w:t>infra</w:t>
      </w:r>
      <w:r w:rsidR="00EC0C0E" w:rsidRPr="00A33930">
        <w:rPr>
          <w:rFonts w:eastAsia="Verdana" w:cs="Verdana"/>
          <w:szCs w:val="18"/>
          <w:lang w:val="nl-NL"/>
        </w:rPr>
        <w:t>, nr. 90)</w:t>
      </w:r>
      <w:r w:rsidR="00DF360C" w:rsidRPr="00A33930">
        <w:rPr>
          <w:rFonts w:eastAsia="Verdana" w:cs="Verdana"/>
          <w:szCs w:val="18"/>
          <w:lang w:val="nl-NL"/>
        </w:rPr>
        <w:t>.</w:t>
      </w:r>
      <w:r w:rsidR="00CF1769" w:rsidRPr="00A33930">
        <w:rPr>
          <w:rStyle w:val="Voetnootmarkering"/>
          <w:rFonts w:eastAsia="Verdana" w:cs="Verdana"/>
          <w:szCs w:val="18"/>
          <w:lang w:val="nl-NL"/>
        </w:rPr>
        <w:footnoteReference w:id="318"/>
      </w:r>
      <w:r w:rsidR="00CF1769" w:rsidRPr="00A33930">
        <w:rPr>
          <w:rFonts w:eastAsia="Verdana" w:cs="Verdana"/>
          <w:szCs w:val="18"/>
          <w:lang w:val="nl-NL"/>
        </w:rPr>
        <w:t xml:space="preserve"> </w:t>
      </w:r>
      <w:r w:rsidR="00856E2F" w:rsidRPr="00A33930">
        <w:rPr>
          <w:rFonts w:eastAsia="Verdana" w:cs="Verdana"/>
          <w:szCs w:val="18"/>
          <w:lang w:val="nl-NL"/>
        </w:rPr>
        <w:t>De exclusieve uitoefening van het ouderlijk gezag is echter de uitzondering. Een loutere onenigheid of slechte verstandhouding tussen ouders volstaat niet</w:t>
      </w:r>
      <w:r w:rsidR="00CF1769" w:rsidRPr="00A33930">
        <w:rPr>
          <w:rFonts w:eastAsia="Verdana" w:cs="Verdana"/>
          <w:szCs w:val="18"/>
          <w:lang w:val="nl-NL"/>
        </w:rPr>
        <w:t xml:space="preserve"> om exclusief ouderlijk gezag uit te oefenen</w:t>
      </w:r>
      <w:r w:rsidR="00856E2F" w:rsidRPr="00A33930">
        <w:rPr>
          <w:rFonts w:eastAsia="Verdana" w:cs="Verdana"/>
          <w:szCs w:val="18"/>
          <w:lang w:val="nl-NL"/>
        </w:rPr>
        <w:t>.</w:t>
      </w:r>
      <w:r w:rsidR="00856E2F" w:rsidRPr="00A33930">
        <w:rPr>
          <w:rStyle w:val="Voetnootmarkering"/>
          <w:rFonts w:eastAsia="Verdana" w:cs="Verdana"/>
          <w:szCs w:val="18"/>
          <w:lang w:val="nl-NL"/>
        </w:rPr>
        <w:footnoteReference w:id="319"/>
      </w:r>
      <w:r w:rsidR="00856E2F" w:rsidRPr="00A33930">
        <w:rPr>
          <w:rFonts w:eastAsia="Verdana" w:cs="Verdana"/>
          <w:szCs w:val="18"/>
          <w:lang w:val="nl-NL"/>
        </w:rPr>
        <w:t xml:space="preserve"> </w:t>
      </w:r>
      <w:r w:rsidR="00DF360C" w:rsidRPr="00A33930">
        <w:rPr>
          <w:rFonts w:eastAsia="Verdana" w:cs="Verdana"/>
          <w:szCs w:val="18"/>
          <w:lang w:val="nl-NL"/>
        </w:rPr>
        <w:t xml:space="preserve">Indien de rechter de uitoefening van het ouderlijk gezag </w:t>
      </w:r>
      <w:r w:rsidR="00CF1769" w:rsidRPr="00A33930">
        <w:rPr>
          <w:rFonts w:eastAsia="Verdana" w:cs="Verdana"/>
          <w:szCs w:val="18"/>
          <w:lang w:val="nl-NL"/>
        </w:rPr>
        <w:t xml:space="preserve">toch </w:t>
      </w:r>
      <w:r w:rsidR="00DF360C" w:rsidRPr="00A33930">
        <w:rPr>
          <w:rFonts w:eastAsia="Verdana" w:cs="Verdana"/>
          <w:szCs w:val="18"/>
          <w:lang w:val="nl-NL"/>
        </w:rPr>
        <w:t xml:space="preserve">opdraagt aan één ouder, </w:t>
      </w:r>
      <w:r w:rsidR="00CF1769" w:rsidRPr="00A33930">
        <w:rPr>
          <w:rFonts w:eastAsia="Verdana" w:cs="Verdana"/>
          <w:szCs w:val="18"/>
          <w:lang w:val="nl-NL"/>
        </w:rPr>
        <w:lastRenderedPageBreak/>
        <w:t>verkrijgt</w:t>
      </w:r>
      <w:r w:rsidR="00DF360C" w:rsidRPr="00A33930">
        <w:rPr>
          <w:rFonts w:eastAsia="Verdana" w:cs="Verdana"/>
          <w:szCs w:val="18"/>
          <w:lang w:val="nl-NL"/>
        </w:rPr>
        <w:t xml:space="preserve"> de ouder </w:t>
      </w:r>
      <w:r w:rsidR="00CF1769" w:rsidRPr="00A33930">
        <w:rPr>
          <w:rFonts w:eastAsia="Verdana" w:cs="Verdana"/>
          <w:szCs w:val="18"/>
          <w:lang w:val="nl-NL"/>
        </w:rPr>
        <w:t xml:space="preserve">zonder ouderlijk gezag </w:t>
      </w:r>
      <w:r w:rsidR="00DF360C" w:rsidRPr="00A33930">
        <w:rPr>
          <w:rFonts w:eastAsia="Verdana" w:cs="Verdana"/>
          <w:szCs w:val="18"/>
          <w:lang w:val="nl-NL"/>
        </w:rPr>
        <w:t>een recht op persoonlijk contact.</w:t>
      </w:r>
      <w:r w:rsidR="00DF360C" w:rsidRPr="00A33930">
        <w:rPr>
          <w:rStyle w:val="Voetnootmarkering"/>
          <w:rFonts w:eastAsia="Verdana" w:cs="Verdana"/>
          <w:szCs w:val="18"/>
          <w:lang w:val="nl-NL"/>
        </w:rPr>
        <w:footnoteReference w:id="320"/>
      </w:r>
      <w:r w:rsidR="00856E2F" w:rsidRPr="00A33930">
        <w:rPr>
          <w:rFonts w:eastAsia="Verdana" w:cs="Verdana"/>
          <w:szCs w:val="18"/>
          <w:lang w:val="nl-NL"/>
        </w:rPr>
        <w:t xml:space="preserve"> </w:t>
      </w:r>
      <w:r w:rsidR="00D034FE" w:rsidRPr="00A33930">
        <w:rPr>
          <w:rFonts w:eastAsia="Verdana" w:cs="Verdana"/>
          <w:szCs w:val="18"/>
          <w:lang w:val="nl-NL"/>
        </w:rPr>
        <w:t>Naar Belgisch recht zit dit recht op persoonlijk contact van de ouder vervat in zijn recht van materiële bewaring, dat de titularis het recht geeft om de dagelijkse zorg over het kind waar te nemen en om fundamentele opvoedingsbeslissingen te nemen.</w:t>
      </w:r>
      <w:r w:rsidR="00D034FE" w:rsidRPr="00A33930">
        <w:rPr>
          <w:rStyle w:val="Voetnootmarkering"/>
          <w:rFonts w:eastAsia="Verdana" w:cs="Verdana"/>
          <w:szCs w:val="18"/>
          <w:lang w:val="nl-NL"/>
        </w:rPr>
        <w:footnoteReference w:id="321"/>
      </w:r>
      <w:r w:rsidR="00D034FE" w:rsidRPr="00A33930">
        <w:rPr>
          <w:rFonts w:eastAsia="Verdana" w:cs="Verdana"/>
          <w:szCs w:val="18"/>
          <w:lang w:val="nl-NL"/>
        </w:rPr>
        <w:t xml:space="preserve"> </w:t>
      </w:r>
      <w:r w:rsidR="00856E2F" w:rsidRPr="00A33930">
        <w:rPr>
          <w:rFonts w:eastAsia="Verdana" w:cs="Verdana"/>
          <w:szCs w:val="18"/>
          <w:lang w:val="nl-NL"/>
        </w:rPr>
        <w:t xml:space="preserve">De modaliteiten van dit recht op persoonlijk contact worden door de familierechtbank bepaald indien </w:t>
      </w:r>
      <w:r w:rsidR="009710CE" w:rsidRPr="00A33930">
        <w:rPr>
          <w:rFonts w:eastAsia="Verdana" w:cs="Verdana"/>
          <w:szCs w:val="18"/>
          <w:lang w:val="nl-NL"/>
        </w:rPr>
        <w:t>hierom</w:t>
      </w:r>
      <w:r w:rsidR="00856E2F" w:rsidRPr="00A33930">
        <w:rPr>
          <w:rFonts w:eastAsia="Verdana" w:cs="Verdana"/>
          <w:szCs w:val="18"/>
          <w:lang w:val="nl-NL"/>
        </w:rPr>
        <w:t xml:space="preserve"> </w:t>
      </w:r>
      <w:r w:rsidR="009710CE" w:rsidRPr="00A33930">
        <w:rPr>
          <w:rFonts w:eastAsia="Verdana" w:cs="Verdana"/>
          <w:szCs w:val="18"/>
          <w:lang w:val="nl-NL"/>
        </w:rPr>
        <w:t>wordt</w:t>
      </w:r>
      <w:r w:rsidR="00856E2F" w:rsidRPr="00A33930">
        <w:rPr>
          <w:rFonts w:eastAsia="Verdana" w:cs="Verdana"/>
          <w:szCs w:val="18"/>
          <w:lang w:val="nl-NL"/>
        </w:rPr>
        <w:t xml:space="preserve"> </w:t>
      </w:r>
      <w:r w:rsidR="009710CE" w:rsidRPr="00A33930">
        <w:rPr>
          <w:rFonts w:eastAsia="Verdana" w:cs="Verdana"/>
          <w:szCs w:val="18"/>
          <w:lang w:val="nl-NL"/>
        </w:rPr>
        <w:t>gevraagd</w:t>
      </w:r>
      <w:r w:rsidR="00856E2F" w:rsidRPr="00A33930">
        <w:rPr>
          <w:rFonts w:eastAsia="Verdana" w:cs="Verdana"/>
          <w:szCs w:val="18"/>
          <w:lang w:val="nl-NL"/>
        </w:rPr>
        <w:t>.</w:t>
      </w:r>
      <w:r w:rsidR="00856E2F" w:rsidRPr="00A33930">
        <w:rPr>
          <w:rStyle w:val="Voetnootmarkering"/>
          <w:rFonts w:eastAsia="Verdana" w:cs="Verdana"/>
          <w:szCs w:val="18"/>
          <w:lang w:val="nl-NL"/>
        </w:rPr>
        <w:footnoteReference w:id="322"/>
      </w:r>
      <w:r w:rsidR="00D034FE" w:rsidRPr="00A33930">
        <w:rPr>
          <w:rFonts w:eastAsia="Verdana" w:cs="Verdana"/>
          <w:szCs w:val="18"/>
          <w:lang w:val="nl-NL"/>
        </w:rPr>
        <w:t xml:space="preserve"> </w:t>
      </w:r>
    </w:p>
    <w:p w14:paraId="1120886F" w14:textId="77777777" w:rsidR="00D302AF" w:rsidRPr="00A33930" w:rsidRDefault="00D302AF" w:rsidP="00D302AF">
      <w:pPr>
        <w:pStyle w:val="Lijstalinea"/>
        <w:spacing w:before="200" w:after="0"/>
        <w:ind w:left="0"/>
        <w:jc w:val="both"/>
        <w:rPr>
          <w:rFonts w:eastAsia="Verdana" w:cs="Verdana"/>
          <w:szCs w:val="18"/>
          <w:lang w:val="nl-NL"/>
        </w:rPr>
      </w:pPr>
    </w:p>
    <w:p w14:paraId="416615ED" w14:textId="4C4DF6AC" w:rsidR="00C85FA3" w:rsidRPr="00A33930" w:rsidRDefault="00B95908" w:rsidP="00C85FA3">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Doordat het kind principieel handelings- en procesonbekwaam is, heeft het</w:t>
      </w:r>
      <w:r w:rsidR="009A1D12" w:rsidRPr="00A33930">
        <w:rPr>
          <w:rFonts w:eastAsia="Verdana" w:cs="Verdana"/>
          <w:szCs w:val="18"/>
          <w:lang w:val="nl-NL"/>
        </w:rPr>
        <w:t xml:space="preserve"> ouderlijk gezag tot doel kinderen op te voeden tot rechtssubjecten die zelfstandig kunnen optreden eens zij de meerderjarigheid </w:t>
      </w:r>
      <w:r w:rsidR="0060177B" w:rsidRPr="00A33930">
        <w:rPr>
          <w:rFonts w:eastAsia="Verdana" w:cs="Verdana"/>
          <w:szCs w:val="18"/>
          <w:lang w:val="nl-NL"/>
        </w:rPr>
        <w:t>bereiken</w:t>
      </w:r>
      <w:r w:rsidR="0071003F" w:rsidRPr="00A33930">
        <w:rPr>
          <w:rFonts w:eastAsia="Verdana" w:cs="Verdana"/>
          <w:szCs w:val="18"/>
          <w:lang w:val="nl-NL"/>
        </w:rPr>
        <w:t xml:space="preserve"> (</w:t>
      </w:r>
      <w:r w:rsidR="0071003F" w:rsidRPr="00A33930">
        <w:rPr>
          <w:rFonts w:eastAsia="Verdana" w:cs="Verdana"/>
          <w:i/>
          <w:iCs/>
          <w:szCs w:val="18"/>
          <w:lang w:val="nl-NL"/>
        </w:rPr>
        <w:t>supra</w:t>
      </w:r>
      <w:r w:rsidR="0071003F" w:rsidRPr="00A33930">
        <w:rPr>
          <w:rFonts w:eastAsia="Verdana" w:cs="Verdana"/>
          <w:szCs w:val="18"/>
          <w:lang w:val="nl-NL"/>
        </w:rPr>
        <w:t xml:space="preserve">, nr. </w:t>
      </w:r>
      <w:r w:rsidR="00C673AD" w:rsidRPr="00A33930">
        <w:rPr>
          <w:rFonts w:eastAsia="Verdana" w:cs="Verdana"/>
          <w:szCs w:val="18"/>
          <w:lang w:val="nl-NL"/>
        </w:rPr>
        <w:t>83</w:t>
      </w:r>
      <w:r w:rsidR="0071003F" w:rsidRPr="00A33930">
        <w:rPr>
          <w:rFonts w:eastAsia="Verdana" w:cs="Verdana"/>
          <w:szCs w:val="18"/>
          <w:lang w:val="nl-NL"/>
        </w:rPr>
        <w:t>)</w:t>
      </w:r>
      <w:r w:rsidR="009A1D12" w:rsidRPr="00A33930">
        <w:rPr>
          <w:rFonts w:eastAsia="Verdana" w:cs="Verdana"/>
          <w:szCs w:val="18"/>
          <w:lang w:val="nl-NL"/>
        </w:rPr>
        <w:t>.</w:t>
      </w:r>
      <w:r w:rsidR="009A1D12" w:rsidRPr="00A33930">
        <w:rPr>
          <w:rStyle w:val="Voetnootmarkering"/>
          <w:rFonts w:eastAsia="Verdana" w:cs="Verdana"/>
          <w:szCs w:val="18"/>
          <w:lang w:val="nl-NL"/>
        </w:rPr>
        <w:footnoteReference w:id="323"/>
      </w:r>
      <w:r w:rsidR="00B657E9" w:rsidRPr="00A33930">
        <w:rPr>
          <w:rFonts w:eastAsia="Verdana" w:cs="Verdana"/>
          <w:szCs w:val="18"/>
          <w:lang w:val="nl-NL"/>
        </w:rPr>
        <w:t xml:space="preserve"> De finaliteit van het ouderlijk gezag bestaat uit het leiden van het socialisatieproces in hoofde van het kind zodat </w:t>
      </w:r>
      <w:r w:rsidR="00C35952" w:rsidRPr="00A33930">
        <w:rPr>
          <w:rFonts w:eastAsia="Verdana" w:cs="Verdana"/>
          <w:szCs w:val="18"/>
          <w:lang w:val="nl-NL"/>
        </w:rPr>
        <w:t>deze</w:t>
      </w:r>
      <w:r w:rsidR="00B657E9" w:rsidRPr="00A33930">
        <w:rPr>
          <w:rFonts w:eastAsia="Verdana" w:cs="Verdana"/>
          <w:szCs w:val="18"/>
          <w:lang w:val="nl-NL"/>
        </w:rPr>
        <w:t xml:space="preserve"> in staat wordt gesteld zich in de maatschappij te begeven vanaf zijn meerderjarigheid.</w:t>
      </w:r>
      <w:r w:rsidR="00B657E9" w:rsidRPr="00A33930">
        <w:rPr>
          <w:rStyle w:val="Voetnootmarkering"/>
          <w:rFonts w:eastAsia="Verdana" w:cs="Verdana"/>
          <w:szCs w:val="18"/>
          <w:lang w:val="nl-NL"/>
        </w:rPr>
        <w:footnoteReference w:id="324"/>
      </w:r>
      <w:r w:rsidR="00B657E9" w:rsidRPr="00A33930">
        <w:rPr>
          <w:rFonts w:eastAsia="Verdana" w:cs="Verdana"/>
          <w:szCs w:val="18"/>
          <w:lang w:val="nl-NL"/>
        </w:rPr>
        <w:t xml:space="preserve"> Eenmaal het kind deze meerderjarigheid heeft bereikt, houdt de rol van de ouder en zijn ouderlijk gezag op te bestaan.</w:t>
      </w:r>
      <w:r w:rsidR="00B657E9" w:rsidRPr="00A33930">
        <w:rPr>
          <w:rStyle w:val="Voetnootmarkering"/>
          <w:rFonts w:eastAsia="Verdana" w:cs="Verdana"/>
          <w:szCs w:val="18"/>
          <w:lang w:val="nl-NL"/>
        </w:rPr>
        <w:footnoteReference w:id="325"/>
      </w:r>
      <w:r w:rsidR="00B657E9" w:rsidRPr="00A33930">
        <w:rPr>
          <w:rFonts w:eastAsia="Verdana" w:cs="Verdana"/>
          <w:szCs w:val="18"/>
          <w:lang w:val="nl-NL"/>
        </w:rPr>
        <w:t xml:space="preserve"> </w:t>
      </w:r>
      <w:r w:rsidR="00D302AF" w:rsidRPr="00A33930">
        <w:rPr>
          <w:rFonts w:eastAsia="Verdana" w:cs="Verdana"/>
          <w:szCs w:val="18"/>
          <w:lang w:val="nl-NL"/>
        </w:rPr>
        <w:t>Volgens de wet is het ouderlijk gezag dan ook zowel een recht als een plicht voor de ouders.</w:t>
      </w:r>
      <w:r w:rsidR="00D302AF" w:rsidRPr="00A33930">
        <w:rPr>
          <w:rStyle w:val="Voetnootmarkering"/>
          <w:rFonts w:eastAsia="Verdana" w:cs="Verdana"/>
          <w:szCs w:val="18"/>
          <w:lang w:val="nl-NL"/>
        </w:rPr>
        <w:footnoteReference w:id="326"/>
      </w:r>
    </w:p>
    <w:p w14:paraId="0463F5CD" w14:textId="77777777" w:rsidR="00C85FA3" w:rsidRPr="00A33930" w:rsidRDefault="00C85FA3" w:rsidP="00C85FA3">
      <w:pPr>
        <w:pStyle w:val="Lijstalinea"/>
        <w:rPr>
          <w:rFonts w:eastAsia="Verdana" w:cs="Verdana"/>
          <w:szCs w:val="18"/>
          <w:lang w:val="nl-NL"/>
        </w:rPr>
      </w:pPr>
    </w:p>
    <w:p w14:paraId="35CCAD5C" w14:textId="1D8C0828" w:rsidR="00C85FA3" w:rsidRPr="00A33930" w:rsidRDefault="009A1D12" w:rsidP="00C85FA3">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In verband met het ouderlijk gezag kan </w:t>
      </w:r>
      <w:r w:rsidR="00C85FA3" w:rsidRPr="00A33930">
        <w:rPr>
          <w:rFonts w:eastAsia="Verdana" w:cs="Verdana"/>
          <w:szCs w:val="18"/>
          <w:lang w:val="nl-NL"/>
        </w:rPr>
        <w:t xml:space="preserve">tevens </w:t>
      </w:r>
      <w:r w:rsidRPr="00A33930">
        <w:rPr>
          <w:rFonts w:eastAsia="Verdana" w:cs="Verdana"/>
          <w:szCs w:val="18"/>
          <w:lang w:val="nl-NL"/>
        </w:rPr>
        <w:t>verwezen worden naar het arrest</w:t>
      </w:r>
      <w:r w:rsidR="00B95908" w:rsidRPr="00A33930">
        <w:rPr>
          <w:rFonts w:eastAsia="Verdana" w:cs="Verdana"/>
          <w:szCs w:val="18"/>
          <w:lang w:val="nl-NL"/>
        </w:rPr>
        <w:t>-</w:t>
      </w:r>
      <w:r w:rsidRPr="00A33930">
        <w:rPr>
          <w:rFonts w:eastAsia="Verdana" w:cs="Verdana"/>
          <w:szCs w:val="18"/>
          <w:lang w:val="nl-NL"/>
        </w:rPr>
        <w:t>Marckx, waardoor in de Belgische wetgeving een belangrijke wijziging werd doorgevoerd.</w:t>
      </w:r>
      <w:r w:rsidR="00D034FE" w:rsidRPr="00A33930">
        <w:rPr>
          <w:rStyle w:val="Voetnootmarkering"/>
          <w:rFonts w:eastAsia="Verdana" w:cs="Verdana"/>
          <w:szCs w:val="18"/>
          <w:lang w:val="nl-NL"/>
        </w:rPr>
        <w:footnoteReference w:id="327"/>
      </w:r>
      <w:r w:rsidRPr="00A33930">
        <w:rPr>
          <w:rFonts w:eastAsia="Verdana" w:cs="Verdana"/>
          <w:szCs w:val="18"/>
          <w:lang w:val="nl-NL"/>
        </w:rPr>
        <w:t xml:space="preserve"> Het begrip </w:t>
      </w:r>
      <w:r w:rsidR="00B95908" w:rsidRPr="00A33930">
        <w:rPr>
          <w:rFonts w:eastAsia="Verdana" w:cs="Verdana"/>
          <w:szCs w:val="18"/>
          <w:lang w:val="nl-NL"/>
        </w:rPr>
        <w:t>“</w:t>
      </w:r>
      <w:r w:rsidRPr="00A33930">
        <w:rPr>
          <w:rFonts w:eastAsia="Verdana" w:cs="Verdana"/>
          <w:szCs w:val="18"/>
          <w:lang w:val="nl-NL"/>
        </w:rPr>
        <w:t>ouderlijke macht</w:t>
      </w:r>
      <w:r w:rsidR="00B95908" w:rsidRPr="00A33930">
        <w:rPr>
          <w:rFonts w:eastAsia="Verdana" w:cs="Verdana"/>
          <w:szCs w:val="18"/>
          <w:lang w:val="nl-NL"/>
        </w:rPr>
        <w:t>”</w:t>
      </w:r>
      <w:r w:rsidRPr="00A33930">
        <w:rPr>
          <w:rFonts w:eastAsia="Verdana" w:cs="Verdana"/>
          <w:szCs w:val="18"/>
          <w:lang w:val="nl-NL"/>
        </w:rPr>
        <w:t xml:space="preserve"> werd in 1987 vervangen door </w:t>
      </w:r>
      <w:r w:rsidR="00B95908" w:rsidRPr="00A33930">
        <w:rPr>
          <w:rFonts w:eastAsia="Verdana" w:cs="Verdana"/>
          <w:szCs w:val="18"/>
          <w:lang w:val="nl-NL"/>
        </w:rPr>
        <w:t>“</w:t>
      </w:r>
      <w:r w:rsidRPr="00A33930">
        <w:rPr>
          <w:rFonts w:eastAsia="Verdana" w:cs="Verdana"/>
          <w:szCs w:val="18"/>
          <w:lang w:val="nl-NL"/>
        </w:rPr>
        <w:t>ouderlijk gezag</w:t>
      </w:r>
      <w:r w:rsidR="00B95908" w:rsidRPr="00A33930">
        <w:rPr>
          <w:rFonts w:eastAsia="Verdana" w:cs="Verdana"/>
          <w:szCs w:val="18"/>
          <w:lang w:val="nl-NL"/>
        </w:rPr>
        <w:t>”,</w:t>
      </w:r>
      <w:r w:rsidRPr="00A33930">
        <w:rPr>
          <w:rFonts w:eastAsia="Verdana" w:cs="Verdana"/>
          <w:szCs w:val="18"/>
          <w:lang w:val="nl-NL"/>
        </w:rPr>
        <w:t xml:space="preserve"> waarmee de wetgever het functionele karakter van de ouderlijke verantwoordelijkheden benadrukt. </w:t>
      </w:r>
      <w:r w:rsidR="00C85FA3" w:rsidRPr="00A33930">
        <w:rPr>
          <w:rFonts w:eastAsia="Verdana" w:cs="Verdana"/>
          <w:szCs w:val="18"/>
          <w:lang w:val="nl-NL"/>
        </w:rPr>
        <w:t xml:space="preserve">Het gezag van de ouders staat met andere woorden ten dienste van het kind. </w:t>
      </w:r>
      <w:r w:rsidRPr="00A33930">
        <w:rPr>
          <w:rFonts w:eastAsia="Verdana" w:cs="Verdana"/>
          <w:szCs w:val="18"/>
          <w:lang w:val="nl-NL"/>
        </w:rPr>
        <w:t xml:space="preserve">Belangrijk hierbij is de wet inzake de gezamenlijke uitoefening van het ouderlijk gezag, </w:t>
      </w:r>
      <w:r w:rsidR="00D034FE" w:rsidRPr="00A33930">
        <w:rPr>
          <w:rFonts w:eastAsia="Verdana" w:cs="Verdana"/>
          <w:szCs w:val="18"/>
          <w:lang w:val="nl-NL"/>
        </w:rPr>
        <w:t>waarmee</w:t>
      </w:r>
      <w:r w:rsidRPr="00A33930">
        <w:rPr>
          <w:rFonts w:eastAsia="Verdana" w:cs="Verdana"/>
          <w:szCs w:val="18"/>
          <w:lang w:val="nl-NL"/>
        </w:rPr>
        <w:t xml:space="preserve"> een einde wordt gesteld aan de concurrentie rond het kind en in bepaalde mate de rechten uit artikel 9 IVRK worden verankerd.</w:t>
      </w:r>
      <w:r w:rsidRPr="00A33930">
        <w:rPr>
          <w:rStyle w:val="Voetnootmarkering"/>
          <w:rFonts w:eastAsia="Verdana" w:cs="Verdana"/>
          <w:szCs w:val="18"/>
          <w:lang w:val="nl-NL"/>
        </w:rPr>
        <w:footnoteReference w:id="328"/>
      </w:r>
      <w:r w:rsidRPr="00A33930">
        <w:rPr>
          <w:rFonts w:eastAsia="Verdana" w:cs="Verdana"/>
          <w:szCs w:val="18"/>
          <w:lang w:val="nl-NL"/>
        </w:rPr>
        <w:t xml:space="preserve"> </w:t>
      </w:r>
      <w:r w:rsidR="00D034FE" w:rsidRPr="00A33930">
        <w:rPr>
          <w:rFonts w:eastAsia="Verdana" w:cs="Verdana"/>
          <w:szCs w:val="18"/>
          <w:lang w:val="nl-NL"/>
        </w:rPr>
        <w:t>Dit</w:t>
      </w:r>
      <w:r w:rsidRPr="00A33930">
        <w:rPr>
          <w:rFonts w:eastAsia="Verdana" w:cs="Verdana"/>
          <w:szCs w:val="18"/>
          <w:lang w:val="nl-NL"/>
        </w:rPr>
        <w:t xml:space="preserve"> </w:t>
      </w:r>
      <w:r w:rsidR="00D034FE" w:rsidRPr="00A33930">
        <w:rPr>
          <w:rFonts w:eastAsia="Verdana" w:cs="Verdana"/>
          <w:szCs w:val="18"/>
          <w:lang w:val="nl-NL"/>
        </w:rPr>
        <w:t>betreft echter</w:t>
      </w:r>
      <w:r w:rsidRPr="00A33930">
        <w:rPr>
          <w:rFonts w:eastAsia="Verdana" w:cs="Verdana"/>
          <w:szCs w:val="18"/>
          <w:lang w:val="nl-NL"/>
        </w:rPr>
        <w:t xml:space="preserve"> geen volledige omzetting van artikel 9 IVRK </w:t>
      </w:r>
      <w:r w:rsidR="00D034FE" w:rsidRPr="00A33930">
        <w:rPr>
          <w:rFonts w:eastAsia="Verdana" w:cs="Verdana"/>
          <w:szCs w:val="18"/>
          <w:lang w:val="nl-NL"/>
        </w:rPr>
        <w:t>doordat</w:t>
      </w:r>
      <w:r w:rsidRPr="00A33930">
        <w:rPr>
          <w:rFonts w:eastAsia="Verdana" w:cs="Verdana"/>
          <w:szCs w:val="18"/>
          <w:lang w:val="nl-NL"/>
        </w:rPr>
        <w:t xml:space="preserve"> het recht in deze wet niet wordt opgevat als een recht eigen aan het kind.</w:t>
      </w:r>
      <w:r w:rsidR="00C85FA3" w:rsidRPr="00A33930">
        <w:rPr>
          <w:rFonts w:eastAsia="Verdana" w:cs="Verdana"/>
          <w:szCs w:val="18"/>
          <w:lang w:val="nl-NL"/>
        </w:rPr>
        <w:t xml:space="preserve"> </w:t>
      </w:r>
    </w:p>
    <w:p w14:paraId="72E19CA0" w14:textId="02D74A6B" w:rsidR="00A63B82" w:rsidRPr="00A33930" w:rsidRDefault="00A63B82" w:rsidP="00A63B82">
      <w:pPr>
        <w:pStyle w:val="Kop4"/>
        <w:spacing w:before="240" w:after="120"/>
        <w:jc w:val="both"/>
        <w:rPr>
          <w:rFonts w:ascii="Verdana" w:hAnsi="Verdana"/>
          <w:b/>
          <w:bCs/>
          <w:color w:val="auto"/>
          <w:szCs w:val="18"/>
          <w:lang w:val="nl-NL"/>
        </w:rPr>
      </w:pPr>
      <w:r w:rsidRPr="00A33930">
        <w:rPr>
          <w:rFonts w:ascii="Verdana" w:hAnsi="Verdana"/>
          <w:b/>
          <w:bCs/>
          <w:color w:val="auto"/>
          <w:szCs w:val="18"/>
          <w:lang w:val="nl-NL"/>
        </w:rPr>
        <w:t>§</w:t>
      </w:r>
      <w:r w:rsidR="00310DD8" w:rsidRPr="00A33930">
        <w:rPr>
          <w:rFonts w:ascii="Verdana" w:hAnsi="Verdana"/>
          <w:b/>
          <w:bCs/>
          <w:color w:val="auto"/>
          <w:szCs w:val="18"/>
          <w:lang w:val="nl-NL"/>
        </w:rPr>
        <w:t>3</w:t>
      </w:r>
      <w:r w:rsidRPr="00A33930">
        <w:rPr>
          <w:rFonts w:ascii="Verdana" w:hAnsi="Verdana"/>
          <w:b/>
          <w:bCs/>
          <w:color w:val="auto"/>
          <w:szCs w:val="18"/>
          <w:lang w:val="nl-NL"/>
        </w:rPr>
        <w:t>.</w:t>
      </w:r>
      <w:r w:rsidRPr="00A33930">
        <w:rPr>
          <w:rFonts w:ascii="Verdana" w:hAnsi="Verdana"/>
          <w:b/>
          <w:bCs/>
          <w:color w:val="auto"/>
          <w:szCs w:val="18"/>
          <w:lang w:val="nl-NL"/>
        </w:rPr>
        <w:tab/>
      </w:r>
      <w:r w:rsidR="004B3B9A" w:rsidRPr="00A33930">
        <w:rPr>
          <w:rFonts w:ascii="Verdana" w:hAnsi="Verdana"/>
          <w:b/>
          <w:bCs/>
          <w:color w:val="auto"/>
          <w:szCs w:val="18"/>
          <w:lang w:val="nl-NL"/>
        </w:rPr>
        <w:tab/>
      </w:r>
      <w:r w:rsidR="007F14C1" w:rsidRPr="00A33930">
        <w:rPr>
          <w:rFonts w:ascii="Verdana" w:hAnsi="Verdana"/>
          <w:b/>
          <w:bCs/>
          <w:color w:val="auto"/>
          <w:szCs w:val="18"/>
          <w:lang w:val="nl-NL"/>
        </w:rPr>
        <w:t>Contactgerechtigden anno 2023</w:t>
      </w:r>
    </w:p>
    <w:p w14:paraId="64E285D7" w14:textId="13937F28" w:rsidR="005D36FC" w:rsidRPr="00A33930" w:rsidRDefault="005D36FC" w:rsidP="00C85FA3">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Het recht voor een volwassene om een kind geregeld te mogen ontmoeten of bij zich te </w:t>
      </w:r>
      <w:r w:rsidR="0060177B" w:rsidRPr="00A33930">
        <w:rPr>
          <w:rFonts w:eastAsia="Verdana" w:cs="Verdana"/>
          <w:szCs w:val="18"/>
          <w:lang w:val="nl-NL"/>
        </w:rPr>
        <w:t>houden</w:t>
      </w:r>
      <w:r w:rsidRPr="00A33930">
        <w:rPr>
          <w:rFonts w:eastAsia="Verdana" w:cs="Verdana"/>
          <w:szCs w:val="18"/>
          <w:lang w:val="nl-NL"/>
        </w:rPr>
        <w:t xml:space="preserve"> wordt in algemene bewoordingen het “omgangsrecht” genoemd. Binnen deze algemene term is er sprake van twee nuances.</w:t>
      </w:r>
      <w:r w:rsidRPr="00A33930">
        <w:rPr>
          <w:rStyle w:val="Voetnootmarkering"/>
          <w:rFonts w:eastAsia="Verdana" w:cs="Verdana"/>
          <w:szCs w:val="18"/>
          <w:lang w:val="nl-NL"/>
        </w:rPr>
        <w:footnoteReference w:id="329"/>
      </w:r>
      <w:r w:rsidRPr="00A33930">
        <w:rPr>
          <w:rFonts w:eastAsia="Verdana" w:cs="Verdana"/>
          <w:szCs w:val="18"/>
          <w:lang w:val="nl-NL"/>
        </w:rPr>
        <w:t xml:space="preserve"> Enerzijds is er de verblijfsregeling, die wordt opgemaakt voor de juridische ouders van het kind die het ouderlijk gezag gezamenlijk uitoefenen. Anderzijds is er het </w:t>
      </w:r>
      <w:r w:rsidRPr="00A33930">
        <w:rPr>
          <w:rFonts w:eastAsia="Verdana" w:cs="Verdana"/>
          <w:szCs w:val="18"/>
          <w:lang w:val="nl-NL"/>
        </w:rPr>
        <w:lastRenderedPageBreak/>
        <w:t xml:space="preserve">recht op persoonlijk contact, dat enkel geldt voor de juridische ouder en andere contactgerechtigden die geen ouderlijk gezag uitoefenen. </w:t>
      </w:r>
    </w:p>
    <w:p w14:paraId="5D041754" w14:textId="77777777" w:rsidR="005D36FC" w:rsidRPr="00A33930" w:rsidRDefault="005D36FC" w:rsidP="005D36FC">
      <w:pPr>
        <w:pStyle w:val="Lijstalinea"/>
        <w:spacing w:before="200" w:after="0"/>
        <w:ind w:left="0"/>
        <w:jc w:val="both"/>
        <w:rPr>
          <w:rFonts w:eastAsia="Verdana" w:cs="Verdana"/>
          <w:szCs w:val="18"/>
          <w:lang w:val="nl-NL"/>
        </w:rPr>
      </w:pPr>
    </w:p>
    <w:p w14:paraId="63C851B3" w14:textId="6005C519" w:rsidR="00C85FA3" w:rsidRPr="00A33930" w:rsidRDefault="00C85FA3" w:rsidP="00C85FA3">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Voor de invoering van de wet van 13 april 1995 werd in het Belgische recht niet voorzien in een wettelijk kader voor het recht op persoonlijk contact. Er werd bijvoorbeeld enkel melding gemaakt van een “recht op omgang” in artikel 1288, eerste lid Gerechtelijk Wetboek. </w:t>
      </w:r>
      <w:r w:rsidRPr="00A33930">
        <w:rPr>
          <w:rFonts w:eastAsia="Verdana"/>
          <w:lang w:val="nl-NL"/>
        </w:rPr>
        <w:t>Met de wet van 13 april 1995 betreffende de gezamenlijke uitoefening van het ouderlijk gezag werd het systeem van ouderlijke verantwoordelijkheden hervormd</w:t>
      </w:r>
      <w:r w:rsidRPr="00A33930">
        <w:rPr>
          <w:rFonts w:eastAsia="Verdana" w:cs="Verdana"/>
          <w:szCs w:val="18"/>
          <w:lang w:val="nl-NL"/>
        </w:rPr>
        <w:t>.</w:t>
      </w:r>
      <w:r w:rsidRPr="00A33930">
        <w:rPr>
          <w:rStyle w:val="Voetnootmarkering"/>
          <w:rFonts w:eastAsia="Verdana"/>
          <w:lang w:val="nl-NL"/>
        </w:rPr>
        <w:footnoteReference w:id="330"/>
      </w:r>
      <w:r w:rsidRPr="00A33930">
        <w:rPr>
          <w:rFonts w:eastAsia="Verdana" w:cs="Verdana"/>
          <w:szCs w:val="18"/>
          <w:lang w:val="nl-NL"/>
        </w:rPr>
        <w:t xml:space="preserve"> Deze wet introduceerde het, nu gebruikelijke, begrip “recht op persoonlijk contact”. Het bracht de Belgische wetgeving in overeenstemming met artikel 8 EVRM.</w:t>
      </w:r>
      <w:r w:rsidRPr="00A33930">
        <w:rPr>
          <w:rStyle w:val="Voetnootmarkering"/>
          <w:rFonts w:eastAsia="Verdana" w:cs="Verdana"/>
          <w:szCs w:val="18"/>
          <w:lang w:val="nl-NL"/>
        </w:rPr>
        <w:footnoteReference w:id="331"/>
      </w:r>
      <w:r w:rsidR="005D36FC" w:rsidRPr="00A33930">
        <w:rPr>
          <w:rFonts w:eastAsia="Verdana" w:cs="Verdana"/>
          <w:szCs w:val="18"/>
          <w:lang w:val="nl-NL"/>
        </w:rPr>
        <w:t xml:space="preserve"> </w:t>
      </w:r>
      <w:r w:rsidRPr="00A33930">
        <w:rPr>
          <w:rFonts w:eastAsia="Verdana"/>
          <w:lang w:val="nl-NL"/>
        </w:rPr>
        <w:t>Het recht op persoonlijk contact vindt zijn oorsprong in de artikelen 371 en 373-375</w:t>
      </w:r>
      <w:r w:rsidRPr="00A33930">
        <w:rPr>
          <w:rFonts w:eastAsia="Verdana"/>
          <w:i/>
          <w:iCs/>
          <w:lang w:val="nl-NL"/>
        </w:rPr>
        <w:t>bis</w:t>
      </w:r>
      <w:r w:rsidRPr="00A33930">
        <w:rPr>
          <w:rFonts w:eastAsia="Verdana"/>
          <w:lang w:val="nl-NL"/>
        </w:rPr>
        <w:t xml:space="preserve"> oud BW.</w:t>
      </w:r>
    </w:p>
    <w:p w14:paraId="186B4BEB" w14:textId="77777777" w:rsidR="001D4492" w:rsidRPr="00A33930" w:rsidRDefault="001D4492" w:rsidP="001D4492">
      <w:pPr>
        <w:pStyle w:val="Lijstalinea"/>
        <w:spacing w:before="200" w:after="0"/>
        <w:ind w:left="0"/>
        <w:jc w:val="both"/>
        <w:rPr>
          <w:rFonts w:eastAsia="Verdana"/>
          <w:lang w:val="nl-NL"/>
        </w:rPr>
      </w:pPr>
    </w:p>
    <w:p w14:paraId="53853E0A" w14:textId="0C242D5A" w:rsidR="00A63B82" w:rsidRPr="00A33930" w:rsidRDefault="00A63B82" w:rsidP="00A63B82">
      <w:pPr>
        <w:pStyle w:val="Lijstalinea"/>
        <w:numPr>
          <w:ilvl w:val="0"/>
          <w:numId w:val="4"/>
        </w:numPr>
        <w:spacing w:before="200" w:after="0"/>
        <w:ind w:left="0" w:firstLine="0"/>
        <w:jc w:val="both"/>
        <w:rPr>
          <w:rFonts w:eastAsia="Verdana"/>
          <w:lang w:val="nl-NL"/>
        </w:rPr>
      </w:pPr>
      <w:r w:rsidRPr="00A33930">
        <w:rPr>
          <w:rFonts w:eastAsia="Verdana"/>
          <w:lang w:val="nl-NL"/>
        </w:rPr>
        <w:t>Naar Belgisch recht is er sprake van vier categorieën van contactgerechtigden met minderjarigen: ouders, grootouders en broers en zussen zijn principieel contactgerechtigd. Andere personen met een bijzonder affectieve band met het kind zijn virtueel contactgerechtigden en bezitten tevens over een recht op persoonlijk contact.</w:t>
      </w:r>
      <w:r w:rsidRPr="00A33930">
        <w:rPr>
          <w:vertAlign w:val="superscript"/>
          <w:lang w:val="nl-NL"/>
        </w:rPr>
        <w:footnoteReference w:id="332"/>
      </w:r>
    </w:p>
    <w:p w14:paraId="47C35CDC" w14:textId="77777777" w:rsidR="00A63B82" w:rsidRPr="00A33930" w:rsidRDefault="00A63B82" w:rsidP="00A63B82">
      <w:pPr>
        <w:pStyle w:val="Lijstalinea"/>
        <w:spacing w:before="200" w:after="0"/>
        <w:ind w:left="0"/>
        <w:jc w:val="both"/>
        <w:rPr>
          <w:rFonts w:eastAsia="Verdana"/>
          <w:lang w:val="nl-NL"/>
        </w:rPr>
      </w:pPr>
    </w:p>
    <w:p w14:paraId="042D578D" w14:textId="4EEB0477" w:rsidR="00A63B82" w:rsidRPr="00A33930" w:rsidRDefault="00C014C0" w:rsidP="00A63B82">
      <w:pPr>
        <w:pStyle w:val="Lijstalinea"/>
        <w:numPr>
          <w:ilvl w:val="0"/>
          <w:numId w:val="4"/>
        </w:numPr>
        <w:spacing w:before="200" w:after="0"/>
        <w:ind w:left="0" w:firstLine="0"/>
        <w:jc w:val="both"/>
        <w:rPr>
          <w:rFonts w:eastAsia="Verdana"/>
          <w:lang w:val="nl-NL"/>
        </w:rPr>
      </w:pPr>
      <w:r w:rsidRPr="00A33930">
        <w:rPr>
          <w:rFonts w:eastAsia="Verdana" w:cs="Verdana"/>
          <w:szCs w:val="18"/>
          <w:lang w:val="nl-NL"/>
        </w:rPr>
        <w:t xml:space="preserve">Het contact dat ouders met hun kinderen mogen onderhouden wordt geregeld in de artikelen 373-375 oud BW. </w:t>
      </w:r>
      <w:r w:rsidR="00A63B82" w:rsidRPr="00A33930">
        <w:rPr>
          <w:rFonts w:eastAsia="Verdana" w:cs="Verdana"/>
          <w:szCs w:val="18"/>
          <w:lang w:val="nl-NL"/>
        </w:rPr>
        <w:t xml:space="preserve">De ouder die geen ouderlijk gezag uitoefent heeft recht op persoonlijk contact met het kind </w:t>
      </w:r>
      <w:r w:rsidR="00AC19F9" w:rsidRPr="00A33930">
        <w:rPr>
          <w:rFonts w:eastAsia="Verdana" w:cs="Verdana"/>
          <w:szCs w:val="18"/>
          <w:lang w:val="nl-NL"/>
        </w:rPr>
        <w:t>middels</w:t>
      </w:r>
      <w:r w:rsidR="00A63B82" w:rsidRPr="00A33930">
        <w:rPr>
          <w:rFonts w:eastAsia="Verdana" w:cs="Verdana"/>
          <w:szCs w:val="18"/>
          <w:lang w:val="nl-NL"/>
        </w:rPr>
        <w:t xml:space="preserve"> art</w:t>
      </w:r>
      <w:r w:rsidR="001D4492" w:rsidRPr="00A33930">
        <w:rPr>
          <w:rFonts w:eastAsia="Verdana" w:cs="Verdana"/>
          <w:szCs w:val="18"/>
          <w:lang w:val="nl-NL"/>
        </w:rPr>
        <w:t>ikel</w:t>
      </w:r>
      <w:r w:rsidR="00A63B82" w:rsidRPr="00A33930">
        <w:rPr>
          <w:rFonts w:eastAsia="Verdana" w:cs="Verdana"/>
          <w:szCs w:val="18"/>
          <w:lang w:val="nl-NL"/>
        </w:rPr>
        <w:t xml:space="preserve"> 374, §1, vierde lid oud BW.</w:t>
      </w:r>
      <w:r w:rsidR="00A63B82" w:rsidRPr="00A33930">
        <w:rPr>
          <w:rStyle w:val="Voetnootmarkering"/>
          <w:rFonts w:eastAsia="Verdana" w:cs="Verdana"/>
          <w:szCs w:val="18"/>
          <w:lang w:val="nl-NL"/>
        </w:rPr>
        <w:footnoteReference w:id="333"/>
      </w:r>
      <w:r w:rsidR="00E7622F" w:rsidRPr="00A33930">
        <w:rPr>
          <w:rFonts w:eastAsia="Verdana" w:cs="Verdana"/>
          <w:szCs w:val="18"/>
          <w:lang w:val="nl-NL"/>
        </w:rPr>
        <w:t xml:space="preserve"> </w:t>
      </w:r>
      <w:r w:rsidR="008B0511" w:rsidRPr="00A33930">
        <w:rPr>
          <w:rFonts w:eastAsia="Verdana" w:cs="Verdana"/>
          <w:szCs w:val="18"/>
          <w:lang w:val="nl-NL"/>
        </w:rPr>
        <w:t>Dit recht op persoonlijk contact tussen ouder en kind is echter geen absoluut onaantastbaar recht.</w:t>
      </w:r>
      <w:r w:rsidR="00C10CD3" w:rsidRPr="00A33930">
        <w:rPr>
          <w:rStyle w:val="Voetnootmarkering"/>
          <w:rFonts w:eastAsia="Verdana" w:cs="Verdana"/>
          <w:szCs w:val="18"/>
          <w:lang w:val="nl-NL"/>
        </w:rPr>
        <w:footnoteReference w:id="334"/>
      </w:r>
      <w:r w:rsidR="00A63B82" w:rsidRPr="00A33930">
        <w:rPr>
          <w:rFonts w:eastAsia="Verdana" w:cs="Verdana"/>
          <w:szCs w:val="18"/>
          <w:lang w:val="nl-NL"/>
        </w:rPr>
        <w:t xml:space="preserve"> </w:t>
      </w:r>
      <w:r w:rsidR="008B0511" w:rsidRPr="00A33930">
        <w:rPr>
          <w:rFonts w:eastAsia="Verdana" w:cs="Verdana"/>
          <w:szCs w:val="18"/>
          <w:lang w:val="nl-NL"/>
        </w:rPr>
        <w:t>H</w:t>
      </w:r>
      <w:r w:rsidR="00A63B82" w:rsidRPr="00A33930">
        <w:rPr>
          <w:rFonts w:eastAsia="Verdana" w:cs="Verdana"/>
          <w:szCs w:val="18"/>
          <w:lang w:val="nl-NL"/>
        </w:rPr>
        <w:t xml:space="preserve">et recht </w:t>
      </w:r>
      <w:r w:rsidR="008B0511" w:rsidRPr="00A33930">
        <w:rPr>
          <w:rFonts w:eastAsia="Verdana" w:cs="Verdana"/>
          <w:szCs w:val="18"/>
          <w:lang w:val="nl-NL"/>
        </w:rPr>
        <w:t xml:space="preserve">kan </w:t>
      </w:r>
      <w:r w:rsidR="00A63B82" w:rsidRPr="00A33930">
        <w:rPr>
          <w:rFonts w:eastAsia="Verdana" w:cs="Verdana"/>
          <w:szCs w:val="18"/>
          <w:lang w:val="nl-NL"/>
        </w:rPr>
        <w:t>worden geweigerd om</w:t>
      </w:r>
      <w:r w:rsidR="00E7622F" w:rsidRPr="00A33930">
        <w:rPr>
          <w:rFonts w:eastAsia="Verdana" w:cs="Verdana"/>
          <w:szCs w:val="18"/>
          <w:lang w:val="nl-NL"/>
        </w:rPr>
        <w:t xml:space="preserve"> bijzonder</w:t>
      </w:r>
      <w:r w:rsidR="00A63B82" w:rsidRPr="00A33930">
        <w:rPr>
          <w:rFonts w:eastAsia="Verdana" w:cs="Verdana"/>
          <w:szCs w:val="18"/>
          <w:lang w:val="nl-NL"/>
        </w:rPr>
        <w:t xml:space="preserve"> ernstige redenen, waarbij dit is beperkt tot uiterst uitzonderlijke omstandigheden.</w:t>
      </w:r>
      <w:r w:rsidR="00A63B82" w:rsidRPr="00A33930">
        <w:rPr>
          <w:rStyle w:val="Voetnootmarkering"/>
          <w:rFonts w:eastAsia="Verdana" w:cs="Verdana"/>
          <w:szCs w:val="18"/>
          <w:lang w:val="nl-NL"/>
        </w:rPr>
        <w:footnoteReference w:id="335"/>
      </w:r>
      <w:r w:rsidR="00E7622F" w:rsidRPr="00A33930">
        <w:rPr>
          <w:rFonts w:eastAsia="Verdana" w:cs="Verdana"/>
          <w:szCs w:val="18"/>
          <w:lang w:val="nl-NL"/>
        </w:rPr>
        <w:t xml:space="preserve"> </w:t>
      </w:r>
      <w:r w:rsidR="00403371" w:rsidRPr="00A33930">
        <w:rPr>
          <w:rFonts w:eastAsia="Verdana" w:cs="Verdana"/>
          <w:szCs w:val="18"/>
          <w:lang w:val="nl-NL"/>
        </w:rPr>
        <w:t>Degene die beweert dat het persoonlijk contact niet in belang is van het kind, moet dit bewijzen.</w:t>
      </w:r>
      <w:r w:rsidR="00403371" w:rsidRPr="00A33930">
        <w:rPr>
          <w:rStyle w:val="Voetnootmarkering"/>
          <w:rFonts w:eastAsia="Verdana" w:cs="Verdana"/>
          <w:szCs w:val="18"/>
          <w:lang w:val="nl-NL"/>
        </w:rPr>
        <w:footnoteReference w:id="336"/>
      </w:r>
      <w:r w:rsidR="00403371" w:rsidRPr="00A33930">
        <w:rPr>
          <w:rFonts w:eastAsia="Verdana" w:cs="Verdana"/>
          <w:szCs w:val="18"/>
          <w:lang w:val="nl-NL"/>
        </w:rPr>
        <w:t xml:space="preserve"> </w:t>
      </w:r>
      <w:r w:rsidR="008B0511" w:rsidRPr="00A33930">
        <w:rPr>
          <w:rFonts w:eastAsia="Verdana" w:cs="Verdana"/>
          <w:szCs w:val="18"/>
          <w:lang w:val="nl-NL"/>
        </w:rPr>
        <w:t>Initieel voorzag het wetsvoorstel in de toepassing van het criterium van het belang van het kind</w:t>
      </w:r>
      <w:r w:rsidR="0017255E" w:rsidRPr="00A33930">
        <w:rPr>
          <w:rFonts w:eastAsia="Verdana" w:cs="Verdana"/>
          <w:szCs w:val="18"/>
          <w:lang w:val="nl-NL"/>
        </w:rPr>
        <w:t>,</w:t>
      </w:r>
      <w:r w:rsidR="008B0511" w:rsidRPr="00A33930">
        <w:rPr>
          <w:rFonts w:eastAsia="Verdana" w:cs="Verdana"/>
          <w:szCs w:val="18"/>
          <w:lang w:val="nl-NL"/>
        </w:rPr>
        <w:t xml:space="preserve"> maar dat belang bleek door zijn </w:t>
      </w:r>
      <w:r w:rsidR="00C85FA3" w:rsidRPr="00A33930">
        <w:rPr>
          <w:rFonts w:eastAsia="Verdana" w:cs="Verdana"/>
          <w:szCs w:val="18"/>
          <w:lang w:val="nl-NL"/>
        </w:rPr>
        <w:t>ongedefinieerd</w:t>
      </w:r>
      <w:r w:rsidR="008B0511" w:rsidRPr="00A33930">
        <w:rPr>
          <w:rFonts w:eastAsia="Verdana" w:cs="Verdana"/>
          <w:szCs w:val="18"/>
          <w:lang w:val="nl-NL"/>
        </w:rPr>
        <w:t xml:space="preserve"> </w:t>
      </w:r>
      <w:r w:rsidR="00C85FA3" w:rsidRPr="00A33930">
        <w:rPr>
          <w:rFonts w:eastAsia="Verdana" w:cs="Verdana"/>
          <w:szCs w:val="18"/>
          <w:lang w:val="nl-NL"/>
        </w:rPr>
        <w:t>karakter</w:t>
      </w:r>
      <w:r w:rsidR="008B0511" w:rsidRPr="00A33930">
        <w:rPr>
          <w:rFonts w:eastAsia="Verdana" w:cs="Verdana"/>
          <w:szCs w:val="18"/>
          <w:lang w:val="nl-NL"/>
        </w:rPr>
        <w:t xml:space="preserve"> vrij snel in te druisen tegen het wel of niet </w:t>
      </w:r>
      <w:r w:rsidR="0060177B" w:rsidRPr="00A33930">
        <w:rPr>
          <w:rFonts w:eastAsia="Verdana" w:cs="Verdana"/>
          <w:szCs w:val="18"/>
          <w:lang w:val="nl-NL"/>
        </w:rPr>
        <w:t>onderhouden</w:t>
      </w:r>
      <w:r w:rsidR="008B0511" w:rsidRPr="00A33930">
        <w:rPr>
          <w:rFonts w:eastAsia="Verdana" w:cs="Verdana"/>
          <w:szCs w:val="18"/>
          <w:lang w:val="nl-NL"/>
        </w:rPr>
        <w:t xml:space="preserve"> van persoonlijk contact.</w:t>
      </w:r>
      <w:r w:rsidR="008B0511" w:rsidRPr="00A33930">
        <w:rPr>
          <w:rStyle w:val="Voetnootmarkering"/>
          <w:rFonts w:eastAsia="Verdana" w:cs="Verdana"/>
          <w:szCs w:val="18"/>
          <w:lang w:val="nl-NL"/>
        </w:rPr>
        <w:footnoteReference w:id="337"/>
      </w:r>
      <w:r w:rsidR="008B0511" w:rsidRPr="00A33930">
        <w:rPr>
          <w:rFonts w:eastAsia="Verdana" w:cs="Verdana"/>
          <w:szCs w:val="18"/>
          <w:lang w:val="nl-NL"/>
        </w:rPr>
        <w:t xml:space="preserve"> De invulling van de bijzonder ernstige redenen gebeurt door </w:t>
      </w:r>
      <w:r w:rsidR="008B0511" w:rsidRPr="00A33930">
        <w:rPr>
          <w:rFonts w:eastAsia="Verdana" w:cs="Verdana"/>
          <w:szCs w:val="18"/>
          <w:lang w:val="nl-NL"/>
        </w:rPr>
        <w:lastRenderedPageBreak/>
        <w:t>de rechtspraak.</w:t>
      </w:r>
      <w:r w:rsidR="00DF360C" w:rsidRPr="00A33930">
        <w:rPr>
          <w:rStyle w:val="Voetnootmarkering"/>
          <w:rFonts w:eastAsia="Verdana" w:cs="Verdana"/>
          <w:szCs w:val="18"/>
          <w:lang w:val="nl-NL"/>
        </w:rPr>
        <w:footnoteReference w:id="338"/>
      </w:r>
      <w:r w:rsidR="00DF360C" w:rsidRPr="00A33930">
        <w:rPr>
          <w:rFonts w:eastAsia="Verdana" w:cs="Verdana"/>
          <w:szCs w:val="18"/>
          <w:lang w:val="nl-NL"/>
        </w:rPr>
        <w:t xml:space="preserve"> </w:t>
      </w:r>
      <w:r w:rsidR="00096C7F" w:rsidRPr="00A33930">
        <w:rPr>
          <w:rFonts w:eastAsia="Verdana" w:cs="Verdana"/>
          <w:szCs w:val="18"/>
          <w:lang w:val="nl-NL"/>
        </w:rPr>
        <w:t>Het persoonlijk contact wordt niet ambtshalve door de rechter opgelegd, de volwassene moet hierom verzoeken.</w:t>
      </w:r>
      <w:r w:rsidR="00096C7F" w:rsidRPr="00A33930">
        <w:rPr>
          <w:rStyle w:val="Voetnootmarkering"/>
          <w:rFonts w:eastAsia="Verdana" w:cs="Verdana"/>
          <w:szCs w:val="18"/>
          <w:lang w:val="nl-NL"/>
        </w:rPr>
        <w:footnoteReference w:id="339"/>
      </w:r>
      <w:r w:rsidR="00096C7F" w:rsidRPr="00A33930">
        <w:rPr>
          <w:rFonts w:eastAsia="Verdana" w:cs="Verdana"/>
          <w:szCs w:val="18"/>
          <w:lang w:val="nl-NL"/>
        </w:rPr>
        <w:t xml:space="preserve"> </w:t>
      </w:r>
      <w:r w:rsidR="00CF10A6" w:rsidRPr="00A33930">
        <w:rPr>
          <w:rFonts w:eastAsia="Verdana" w:cs="Verdana"/>
          <w:szCs w:val="18"/>
          <w:lang w:val="nl-NL"/>
        </w:rPr>
        <w:t>Het komt niet vaak voor dat het recht op persoonlijk contact tussen ouder en kind wordt ontzegd</w:t>
      </w:r>
      <w:r w:rsidR="00096C7F" w:rsidRPr="00A33930">
        <w:rPr>
          <w:rFonts w:eastAsia="Verdana" w:cs="Verdana"/>
          <w:szCs w:val="18"/>
          <w:lang w:val="nl-NL"/>
        </w:rPr>
        <w:t>, in het belang van het kind</w:t>
      </w:r>
      <w:r w:rsidR="00CF10A6" w:rsidRPr="00A33930">
        <w:rPr>
          <w:rFonts w:eastAsia="Verdana" w:cs="Verdana"/>
          <w:szCs w:val="18"/>
          <w:lang w:val="nl-NL"/>
        </w:rPr>
        <w:t>.</w:t>
      </w:r>
      <w:r w:rsidR="003352DD" w:rsidRPr="00A33930">
        <w:rPr>
          <w:rStyle w:val="Voetnootmarkering"/>
          <w:rFonts w:eastAsia="Verdana" w:cs="Verdana"/>
          <w:szCs w:val="18"/>
          <w:lang w:val="nl-NL"/>
        </w:rPr>
        <w:footnoteReference w:id="340"/>
      </w:r>
      <w:r w:rsidR="00CF10A6" w:rsidRPr="00A33930">
        <w:rPr>
          <w:rFonts w:eastAsia="Verdana" w:cs="Verdana"/>
          <w:szCs w:val="18"/>
          <w:lang w:val="nl-NL"/>
        </w:rPr>
        <w:t xml:space="preserve"> Vaak wordt door de rechter gekozen voor bepaalde modaliteiten en beperkingen aan dit recht om een breuk tussen ouder en kind te vermijden.</w:t>
      </w:r>
      <w:r w:rsidR="00CF10A6" w:rsidRPr="00A33930">
        <w:rPr>
          <w:rStyle w:val="Voetnootmarkering"/>
          <w:rFonts w:eastAsia="Verdana" w:cs="Verdana"/>
          <w:szCs w:val="18"/>
          <w:lang w:val="nl-NL"/>
        </w:rPr>
        <w:footnoteReference w:id="341"/>
      </w:r>
      <w:r w:rsidR="00C85FA3" w:rsidRPr="00A33930">
        <w:rPr>
          <w:rFonts w:eastAsia="Verdana" w:cs="Verdana"/>
          <w:szCs w:val="18"/>
          <w:lang w:val="nl-NL"/>
        </w:rPr>
        <w:t xml:space="preserve"> </w:t>
      </w:r>
      <w:r w:rsidR="00C85FA3" w:rsidRPr="00A33930">
        <w:rPr>
          <w:rFonts w:eastAsia="Verdana"/>
          <w:lang w:val="nl-NL"/>
        </w:rPr>
        <w:t>Het recht op persoonlijk contact is in België een recht van de meerderjarigen, niet van de minderjarige</w:t>
      </w:r>
      <w:r w:rsidR="00EC0C0E" w:rsidRPr="00A33930">
        <w:rPr>
          <w:rFonts w:eastAsia="Verdana"/>
          <w:lang w:val="nl-NL"/>
        </w:rPr>
        <w:t>n</w:t>
      </w:r>
      <w:r w:rsidR="00C85FA3" w:rsidRPr="00A33930">
        <w:rPr>
          <w:rFonts w:eastAsia="Verdana"/>
          <w:lang w:val="nl-NL"/>
        </w:rPr>
        <w:t>. Zo bestaat er voor ouders slechts een</w:t>
      </w:r>
      <w:r w:rsidR="00C35952" w:rsidRPr="00A33930">
        <w:rPr>
          <w:rFonts w:eastAsia="Verdana"/>
          <w:i/>
          <w:iCs/>
          <w:lang w:val="nl-NL"/>
        </w:rPr>
        <w:t xml:space="preserve"> </w:t>
      </w:r>
      <w:r w:rsidR="00C35952" w:rsidRPr="00A33930">
        <w:rPr>
          <w:rFonts w:eastAsia="Verdana"/>
          <w:lang w:val="nl-NL"/>
        </w:rPr>
        <w:t>recht</w:t>
      </w:r>
      <w:r w:rsidR="00C85FA3" w:rsidRPr="00A33930">
        <w:rPr>
          <w:rFonts w:eastAsia="Verdana"/>
          <w:lang w:val="nl-NL"/>
        </w:rPr>
        <w:t>, maar geen plicht om contact te onderhouden met zijn kinderen (</w:t>
      </w:r>
      <w:r w:rsidR="00C85FA3" w:rsidRPr="00A33930">
        <w:rPr>
          <w:rFonts w:eastAsia="Verdana"/>
          <w:i/>
          <w:iCs/>
          <w:lang w:val="nl-NL"/>
        </w:rPr>
        <w:t>infra</w:t>
      </w:r>
      <w:r w:rsidR="00C85FA3" w:rsidRPr="00A33930">
        <w:rPr>
          <w:rFonts w:eastAsia="Verdana"/>
          <w:lang w:val="nl-NL"/>
        </w:rPr>
        <w:t xml:space="preserve">, nr. </w:t>
      </w:r>
      <w:r w:rsidR="00C673AD" w:rsidRPr="00A33930">
        <w:rPr>
          <w:rFonts w:eastAsia="Verdana"/>
          <w:lang w:val="nl-NL"/>
        </w:rPr>
        <w:t>98</w:t>
      </w:r>
      <w:r w:rsidR="00C85FA3" w:rsidRPr="00A33930">
        <w:rPr>
          <w:rFonts w:eastAsia="Verdana"/>
          <w:lang w:val="nl-NL"/>
        </w:rPr>
        <w:t>).</w:t>
      </w:r>
      <w:r w:rsidR="00C85FA3" w:rsidRPr="00A33930">
        <w:rPr>
          <w:rStyle w:val="Voetnootmarkering"/>
          <w:rFonts w:eastAsia="Verdana"/>
          <w:lang w:val="nl-NL"/>
        </w:rPr>
        <w:footnoteReference w:id="342"/>
      </w:r>
    </w:p>
    <w:p w14:paraId="32E4995A" w14:textId="77777777" w:rsidR="001D4492" w:rsidRPr="00A33930" w:rsidRDefault="001D4492" w:rsidP="001D4492">
      <w:pPr>
        <w:pStyle w:val="Lijstalinea"/>
        <w:spacing w:before="200" w:after="0"/>
        <w:ind w:left="0"/>
        <w:jc w:val="both"/>
        <w:rPr>
          <w:rFonts w:eastAsia="Verdana"/>
          <w:lang w:val="nl-NL"/>
        </w:rPr>
      </w:pPr>
    </w:p>
    <w:p w14:paraId="6716156F" w14:textId="5FFB7717" w:rsidR="000505BA" w:rsidRPr="00A33930" w:rsidRDefault="00A63B82" w:rsidP="000505BA">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Sinds de wet van 13 april 1995</w:t>
      </w:r>
      <w:r w:rsidR="00C85FA3" w:rsidRPr="00A33930">
        <w:rPr>
          <w:rFonts w:eastAsia="Verdana" w:cs="Verdana"/>
          <w:szCs w:val="18"/>
          <w:lang w:val="nl-NL"/>
        </w:rPr>
        <w:t xml:space="preserve"> </w:t>
      </w:r>
      <w:r w:rsidRPr="00A33930">
        <w:rPr>
          <w:rFonts w:eastAsia="Verdana" w:cs="Verdana"/>
          <w:szCs w:val="18"/>
          <w:lang w:val="nl-NL"/>
        </w:rPr>
        <w:t>voorziet art</w:t>
      </w:r>
      <w:r w:rsidR="00292727" w:rsidRPr="00A33930">
        <w:rPr>
          <w:rFonts w:eastAsia="Verdana" w:cs="Verdana"/>
          <w:szCs w:val="18"/>
          <w:lang w:val="nl-NL"/>
        </w:rPr>
        <w:t>ikel</w:t>
      </w:r>
      <w:r w:rsidRPr="00A33930">
        <w:rPr>
          <w:rFonts w:eastAsia="Verdana" w:cs="Verdana"/>
          <w:szCs w:val="18"/>
          <w:lang w:val="nl-NL"/>
        </w:rPr>
        <w:t xml:space="preserve"> 375</w:t>
      </w:r>
      <w:r w:rsidR="00292727" w:rsidRPr="00A33930">
        <w:rPr>
          <w:rFonts w:eastAsia="Verdana" w:cs="Verdana"/>
          <w:i/>
          <w:iCs/>
          <w:szCs w:val="18"/>
          <w:lang w:val="nl-NL"/>
        </w:rPr>
        <w:t>bis</w:t>
      </w:r>
      <w:r w:rsidRPr="00A33930">
        <w:rPr>
          <w:rFonts w:eastAsia="Verdana" w:cs="Verdana"/>
          <w:szCs w:val="18"/>
          <w:lang w:val="nl-NL"/>
        </w:rPr>
        <w:t xml:space="preserve"> oud BW in een recht op persoonlijk contact met het kind voor grootouders en iedere andere persoon indien hij aantoont dat hij met het kind een bijzondere affectieve band heeft</w:t>
      </w:r>
      <w:r w:rsidR="00C85FA3" w:rsidRPr="00A33930">
        <w:rPr>
          <w:rFonts w:eastAsia="Verdana" w:cs="Verdana"/>
          <w:szCs w:val="18"/>
          <w:lang w:val="nl-NL"/>
        </w:rPr>
        <w:t xml:space="preserve">, </w:t>
      </w:r>
      <w:r w:rsidRPr="00A33930">
        <w:rPr>
          <w:rFonts w:eastAsia="Verdana" w:cs="Verdana"/>
          <w:szCs w:val="18"/>
          <w:lang w:val="nl-NL"/>
        </w:rPr>
        <w:t xml:space="preserve"> zoals bijvoorbeeld de stiefouder of de overgrootouders.</w:t>
      </w:r>
      <w:r w:rsidR="00C85FA3" w:rsidRPr="00A33930">
        <w:rPr>
          <w:rStyle w:val="Voetnootmarkering"/>
          <w:rFonts w:eastAsia="Verdana" w:cs="Verdana"/>
          <w:szCs w:val="18"/>
          <w:lang w:val="nl-NL"/>
        </w:rPr>
        <w:footnoteReference w:id="343"/>
      </w:r>
      <w:r w:rsidR="00292727" w:rsidRPr="00A33930">
        <w:rPr>
          <w:rFonts w:eastAsia="Verdana" w:cs="Verdana"/>
          <w:szCs w:val="18"/>
          <w:lang w:val="nl-NL"/>
        </w:rPr>
        <w:t xml:space="preserve"> </w:t>
      </w:r>
      <w:r w:rsidR="00C85FA3" w:rsidRPr="00A33930">
        <w:rPr>
          <w:rFonts w:eastAsia="Verdana" w:cs="Verdana"/>
          <w:szCs w:val="18"/>
          <w:lang w:val="nl-NL"/>
        </w:rPr>
        <w:t>Het onderhouden van persoonlijk contact tussen een kind en een persoon waarmee het een bijzondere band heeft vereist geen biologische band.</w:t>
      </w:r>
      <w:r w:rsidR="00C85FA3" w:rsidRPr="00A33930">
        <w:rPr>
          <w:rStyle w:val="Voetnootmarkering"/>
          <w:rFonts w:eastAsia="Verdana" w:cs="Verdana"/>
          <w:szCs w:val="18"/>
          <w:lang w:val="nl-NL"/>
        </w:rPr>
        <w:footnoteReference w:id="344"/>
      </w:r>
      <w:r w:rsidR="00C85FA3" w:rsidRPr="00A33930">
        <w:rPr>
          <w:rFonts w:eastAsia="Verdana" w:cs="Verdana"/>
          <w:szCs w:val="18"/>
          <w:lang w:val="nl-NL"/>
        </w:rPr>
        <w:t xml:space="preserve"> </w:t>
      </w:r>
      <w:r w:rsidR="00C35952" w:rsidRPr="00A33930">
        <w:rPr>
          <w:rFonts w:eastAsia="Verdana" w:cs="Verdana"/>
          <w:szCs w:val="18"/>
          <w:lang w:val="nl-NL"/>
        </w:rPr>
        <w:t>Grootouders zijn geen dragers van het ouderlijk gezag.</w:t>
      </w:r>
      <w:r w:rsidR="00C35952" w:rsidRPr="00A33930">
        <w:rPr>
          <w:rStyle w:val="Voetnootmarkering"/>
          <w:rFonts w:eastAsia="Verdana" w:cs="Verdana"/>
          <w:szCs w:val="18"/>
          <w:lang w:val="nl-NL"/>
        </w:rPr>
        <w:footnoteReference w:id="345"/>
      </w:r>
      <w:r w:rsidR="00C35952" w:rsidRPr="00A33930">
        <w:rPr>
          <w:rFonts w:eastAsia="Verdana" w:cs="Verdana"/>
          <w:szCs w:val="18"/>
          <w:lang w:val="nl-NL"/>
        </w:rPr>
        <w:t xml:space="preserve"> </w:t>
      </w:r>
      <w:r w:rsidR="00E84671" w:rsidRPr="00A33930">
        <w:rPr>
          <w:rFonts w:eastAsia="Verdana" w:cs="Verdana"/>
          <w:szCs w:val="18"/>
          <w:lang w:val="nl-NL"/>
        </w:rPr>
        <w:t xml:space="preserve">Voor de grootouders </w:t>
      </w:r>
      <w:r w:rsidR="00C85FA3" w:rsidRPr="00A33930">
        <w:rPr>
          <w:rFonts w:eastAsia="Verdana" w:cs="Verdana"/>
          <w:szCs w:val="18"/>
          <w:lang w:val="nl-NL"/>
        </w:rPr>
        <w:t>kan</w:t>
      </w:r>
      <w:r w:rsidR="00E84671" w:rsidRPr="00A33930">
        <w:rPr>
          <w:rFonts w:eastAsia="Verdana" w:cs="Verdana"/>
          <w:szCs w:val="18"/>
          <w:lang w:val="nl-NL"/>
        </w:rPr>
        <w:t xml:space="preserve"> het</w:t>
      </w:r>
      <w:r w:rsidR="00C85FA3" w:rsidRPr="00A33930">
        <w:rPr>
          <w:rFonts w:eastAsia="Verdana" w:cs="Verdana"/>
          <w:szCs w:val="18"/>
          <w:lang w:val="nl-NL"/>
        </w:rPr>
        <w:t xml:space="preserve"> </w:t>
      </w:r>
      <w:r w:rsidR="00C35952" w:rsidRPr="00A33930">
        <w:rPr>
          <w:rFonts w:eastAsia="Verdana" w:cs="Verdana"/>
          <w:szCs w:val="18"/>
          <w:lang w:val="nl-NL"/>
        </w:rPr>
        <w:t xml:space="preserve">wel </w:t>
      </w:r>
      <w:r w:rsidR="00C85FA3" w:rsidRPr="00A33930">
        <w:rPr>
          <w:rFonts w:eastAsia="Verdana" w:cs="Verdana"/>
          <w:szCs w:val="18"/>
          <w:lang w:val="nl-NL"/>
        </w:rPr>
        <w:t xml:space="preserve">zijn oorsprong vinden in het natuurrecht, </w:t>
      </w:r>
      <w:r w:rsidR="00E84671" w:rsidRPr="00A33930">
        <w:rPr>
          <w:rFonts w:eastAsia="Verdana" w:cs="Verdana"/>
          <w:szCs w:val="18"/>
          <w:lang w:val="nl-NL"/>
        </w:rPr>
        <w:t>door</w:t>
      </w:r>
      <w:r w:rsidR="00C85FA3" w:rsidRPr="00A33930">
        <w:rPr>
          <w:rFonts w:eastAsia="Verdana" w:cs="Verdana"/>
          <w:szCs w:val="18"/>
          <w:lang w:val="nl-NL"/>
        </w:rPr>
        <w:t xml:space="preserve"> de betrekkingen van genegenheid, eerbied en toewijding </w:t>
      </w:r>
      <w:r w:rsidR="00C35952" w:rsidRPr="00A33930">
        <w:rPr>
          <w:rFonts w:eastAsia="Verdana" w:cs="Verdana"/>
          <w:szCs w:val="18"/>
          <w:lang w:val="nl-NL"/>
        </w:rPr>
        <w:t>ten gevolge</w:t>
      </w:r>
      <w:r w:rsidR="00C10CD3" w:rsidRPr="00A33930">
        <w:rPr>
          <w:rFonts w:eastAsia="Verdana" w:cs="Verdana"/>
          <w:szCs w:val="18"/>
          <w:lang w:val="nl-NL"/>
        </w:rPr>
        <w:t xml:space="preserve"> </w:t>
      </w:r>
      <w:r w:rsidR="00C85FA3" w:rsidRPr="00A33930">
        <w:rPr>
          <w:rFonts w:eastAsia="Verdana" w:cs="Verdana"/>
          <w:szCs w:val="18"/>
          <w:lang w:val="nl-NL"/>
        </w:rPr>
        <w:t>van het bloedverwantschap.</w:t>
      </w:r>
      <w:r w:rsidR="00C85FA3" w:rsidRPr="00A33930">
        <w:rPr>
          <w:rStyle w:val="Voetnootmarkering"/>
          <w:rFonts w:eastAsia="Verdana" w:cs="Verdana"/>
          <w:szCs w:val="18"/>
          <w:lang w:val="nl-NL"/>
        </w:rPr>
        <w:footnoteReference w:id="346"/>
      </w:r>
      <w:r w:rsidR="00C85FA3" w:rsidRPr="00A33930">
        <w:rPr>
          <w:rFonts w:eastAsia="Verdana" w:cs="Verdana"/>
          <w:szCs w:val="18"/>
          <w:lang w:val="nl-NL"/>
        </w:rPr>
        <w:t xml:space="preserve"> </w:t>
      </w:r>
      <w:r w:rsidR="00E84671" w:rsidRPr="00A33930">
        <w:rPr>
          <w:rFonts w:eastAsia="Verdana" w:cs="Verdana"/>
          <w:szCs w:val="18"/>
          <w:lang w:val="nl-NL"/>
        </w:rPr>
        <w:t>Voor de grootouders wordt deze band verondersteld.</w:t>
      </w:r>
      <w:r w:rsidR="00E84671" w:rsidRPr="00A33930">
        <w:rPr>
          <w:rStyle w:val="Voetnootmarkering"/>
          <w:rFonts w:eastAsia="Verdana" w:cs="Verdana"/>
          <w:szCs w:val="18"/>
          <w:lang w:val="nl-NL"/>
        </w:rPr>
        <w:footnoteReference w:id="347"/>
      </w:r>
      <w:r w:rsidR="00C85FA3" w:rsidRPr="00A33930">
        <w:rPr>
          <w:rFonts w:eastAsia="Verdana" w:cs="Verdana"/>
          <w:szCs w:val="18"/>
          <w:lang w:val="nl-NL"/>
        </w:rPr>
        <w:t xml:space="preserve"> Deze </w:t>
      </w:r>
      <w:r w:rsidR="00C35952" w:rsidRPr="00A33930">
        <w:rPr>
          <w:rFonts w:eastAsia="Verdana" w:cs="Verdana"/>
          <w:szCs w:val="18"/>
          <w:lang w:val="nl-NL"/>
        </w:rPr>
        <w:t xml:space="preserve">voorwaarden voor een </w:t>
      </w:r>
      <w:r w:rsidR="00C85FA3" w:rsidRPr="00A33930">
        <w:rPr>
          <w:rFonts w:eastAsia="Verdana" w:cs="Verdana"/>
          <w:szCs w:val="18"/>
          <w:lang w:val="nl-NL"/>
        </w:rPr>
        <w:t xml:space="preserve">affectieve band tussen de meerderjarige en het kind </w:t>
      </w:r>
      <w:r w:rsidR="00C35952" w:rsidRPr="00A33930">
        <w:rPr>
          <w:rFonts w:eastAsia="Verdana" w:cs="Verdana"/>
          <w:szCs w:val="18"/>
          <w:lang w:val="nl-NL"/>
        </w:rPr>
        <w:t>zijn</w:t>
      </w:r>
      <w:r w:rsidR="00955C9B" w:rsidRPr="00A33930">
        <w:rPr>
          <w:rFonts w:eastAsia="Verdana" w:cs="Verdana"/>
          <w:szCs w:val="18"/>
          <w:lang w:val="nl-NL"/>
        </w:rPr>
        <w:t xml:space="preserve"> </w:t>
      </w:r>
      <w:r w:rsidR="00C10CD3" w:rsidRPr="00A33930">
        <w:rPr>
          <w:rFonts w:eastAsia="Verdana" w:cs="Verdana"/>
          <w:szCs w:val="18"/>
          <w:lang w:val="nl-NL"/>
        </w:rPr>
        <w:t xml:space="preserve">de laatste jaren </w:t>
      </w:r>
      <w:r w:rsidR="00955C9B" w:rsidRPr="00A33930">
        <w:rPr>
          <w:rFonts w:eastAsia="Verdana" w:cs="Verdana"/>
          <w:szCs w:val="18"/>
          <w:lang w:val="nl-NL"/>
        </w:rPr>
        <w:t>sterk verruimd</w:t>
      </w:r>
      <w:r w:rsidR="00C85FA3" w:rsidRPr="00A33930">
        <w:rPr>
          <w:rFonts w:eastAsia="Verdana" w:cs="Verdana"/>
          <w:szCs w:val="18"/>
          <w:lang w:val="nl-NL"/>
        </w:rPr>
        <w:t>.</w:t>
      </w:r>
      <w:r w:rsidR="00C85FA3" w:rsidRPr="00A33930">
        <w:rPr>
          <w:rStyle w:val="Voetnootmarkering"/>
          <w:rFonts w:eastAsia="Verdana" w:cs="Verdana"/>
          <w:szCs w:val="18"/>
          <w:lang w:val="nl-NL"/>
        </w:rPr>
        <w:footnoteReference w:id="348"/>
      </w:r>
      <w:r w:rsidR="00C85FA3" w:rsidRPr="00A33930">
        <w:rPr>
          <w:rFonts w:eastAsia="Verdana" w:cs="Verdana"/>
          <w:szCs w:val="18"/>
          <w:lang w:val="nl-NL"/>
        </w:rPr>
        <w:t xml:space="preserve"> Het Hof van Cassatie liet </w:t>
      </w:r>
      <w:r w:rsidR="00C85FA3" w:rsidRPr="00A33930">
        <w:rPr>
          <w:rFonts w:eastAsia="Verdana" w:cs="Verdana"/>
          <w:szCs w:val="18"/>
          <w:lang w:val="nl-NL"/>
        </w:rPr>
        <w:lastRenderedPageBreak/>
        <w:t xml:space="preserve">in 2009 blijken dat </w:t>
      </w:r>
      <w:r w:rsidR="000B166E" w:rsidRPr="00A33930">
        <w:rPr>
          <w:rFonts w:eastAsia="Verdana" w:cs="Verdana"/>
          <w:szCs w:val="18"/>
          <w:lang w:val="nl-NL"/>
        </w:rPr>
        <w:t>de band</w:t>
      </w:r>
      <w:r w:rsidR="00C85FA3" w:rsidRPr="00A33930">
        <w:rPr>
          <w:rFonts w:eastAsia="Verdana" w:cs="Verdana"/>
          <w:szCs w:val="18"/>
          <w:lang w:val="nl-NL"/>
        </w:rPr>
        <w:t xml:space="preserve"> niet </w:t>
      </w:r>
      <w:r w:rsidR="000B166E" w:rsidRPr="00A33930">
        <w:rPr>
          <w:rFonts w:eastAsia="Verdana" w:cs="Verdana"/>
          <w:szCs w:val="18"/>
          <w:lang w:val="nl-NL"/>
        </w:rPr>
        <w:t>langer wederkerig en actueel moet zijn</w:t>
      </w:r>
      <w:r w:rsidR="00C85FA3" w:rsidRPr="00A33930">
        <w:rPr>
          <w:rFonts w:eastAsia="Verdana" w:cs="Verdana"/>
          <w:szCs w:val="18"/>
          <w:lang w:val="nl-NL"/>
        </w:rPr>
        <w:t>.</w:t>
      </w:r>
      <w:r w:rsidR="00C85FA3" w:rsidRPr="00A33930">
        <w:rPr>
          <w:rStyle w:val="Voetnootmarkering"/>
          <w:rFonts w:eastAsia="Verdana" w:cs="Verdana"/>
          <w:szCs w:val="18"/>
          <w:lang w:val="nl-NL"/>
        </w:rPr>
        <w:footnoteReference w:id="349"/>
      </w:r>
      <w:r w:rsidR="00C85FA3" w:rsidRPr="00A33930">
        <w:rPr>
          <w:rFonts w:eastAsia="Verdana" w:cs="Verdana"/>
          <w:szCs w:val="18"/>
          <w:lang w:val="nl-NL"/>
        </w:rPr>
        <w:t xml:space="preserve"> Indien deze band niet meer bestaat op het ogenblik van het verzoek, wordt teruggevallen op een beoordeling in het belang van het kind.</w:t>
      </w:r>
      <w:r w:rsidR="00C85FA3" w:rsidRPr="00A33930">
        <w:rPr>
          <w:rStyle w:val="Voetnootmarkering"/>
          <w:rFonts w:eastAsia="Verdana" w:cs="Verdana"/>
          <w:szCs w:val="18"/>
          <w:lang w:val="nl-NL"/>
        </w:rPr>
        <w:footnoteReference w:id="350"/>
      </w:r>
      <w:r w:rsidR="00C85FA3" w:rsidRPr="00A33930">
        <w:rPr>
          <w:rFonts w:eastAsia="Verdana" w:cs="Verdana"/>
          <w:szCs w:val="18"/>
          <w:lang w:val="nl-NL"/>
        </w:rPr>
        <w:t xml:space="preserve"> Het bestaan van deze bijzonder affectieve band heeft niet noodzakelijk tot gevolg dat er een recht op persoonlijk contact wordt toegekend.</w:t>
      </w:r>
      <w:r w:rsidR="001E3E46" w:rsidRPr="00A33930">
        <w:rPr>
          <w:rStyle w:val="Voetnootmarkering"/>
          <w:rFonts w:eastAsia="Verdana" w:cs="Verdana"/>
          <w:szCs w:val="18"/>
          <w:lang w:val="nl-NL"/>
        </w:rPr>
        <w:footnoteReference w:id="351"/>
      </w:r>
      <w:r w:rsidR="00C85FA3" w:rsidRPr="00A33930">
        <w:rPr>
          <w:rFonts w:eastAsia="Verdana" w:cs="Verdana"/>
          <w:szCs w:val="18"/>
          <w:lang w:val="nl-NL"/>
        </w:rPr>
        <w:t xml:space="preserve"> </w:t>
      </w:r>
      <w:r w:rsidR="007D337E" w:rsidRPr="00A33930">
        <w:rPr>
          <w:rFonts w:eastAsia="Verdana" w:cs="Verdana"/>
          <w:szCs w:val="18"/>
          <w:lang w:val="nl-NL"/>
        </w:rPr>
        <w:t>Artikel 375</w:t>
      </w:r>
      <w:r w:rsidR="007D337E" w:rsidRPr="00A33930">
        <w:rPr>
          <w:rFonts w:eastAsia="Verdana" w:cs="Verdana"/>
          <w:i/>
          <w:iCs/>
          <w:szCs w:val="18"/>
          <w:lang w:val="nl-NL"/>
        </w:rPr>
        <w:t>bis</w:t>
      </w:r>
      <w:r w:rsidR="007D337E" w:rsidRPr="00A33930">
        <w:rPr>
          <w:rFonts w:eastAsia="Verdana" w:cs="Verdana"/>
          <w:szCs w:val="18"/>
          <w:lang w:val="nl-NL"/>
        </w:rPr>
        <w:t xml:space="preserve"> oud BW wordt in het belang van het kind </w:t>
      </w:r>
      <w:r w:rsidR="000B166E" w:rsidRPr="00A33930">
        <w:rPr>
          <w:rFonts w:eastAsia="Verdana" w:cs="Verdana"/>
          <w:szCs w:val="18"/>
          <w:lang w:val="nl-NL"/>
        </w:rPr>
        <w:t>steeds meer ingevuld in het licht van artikel 8.1 EVRM zoals geïnterpreteerd door het EHRM</w:t>
      </w:r>
      <w:r w:rsidR="009710CE" w:rsidRPr="00A33930">
        <w:rPr>
          <w:rFonts w:eastAsia="Verdana" w:cs="Verdana"/>
          <w:szCs w:val="18"/>
          <w:lang w:val="nl-NL"/>
        </w:rPr>
        <w:t xml:space="preserve"> (</w:t>
      </w:r>
      <w:r w:rsidR="009710CE" w:rsidRPr="00A33930">
        <w:rPr>
          <w:rFonts w:eastAsia="Verdana" w:cs="Verdana"/>
          <w:i/>
          <w:iCs/>
          <w:szCs w:val="18"/>
          <w:lang w:val="nl-NL"/>
        </w:rPr>
        <w:t>supra</w:t>
      </w:r>
      <w:r w:rsidR="009710CE" w:rsidRPr="00A33930">
        <w:rPr>
          <w:rFonts w:eastAsia="Verdana" w:cs="Verdana"/>
          <w:szCs w:val="18"/>
          <w:lang w:val="nl-NL"/>
        </w:rPr>
        <w:t>, nr. 56)</w:t>
      </w:r>
      <w:r w:rsidR="005D36FC" w:rsidRPr="00A33930">
        <w:rPr>
          <w:lang w:val="nl-NL"/>
        </w:rPr>
        <w:t>.</w:t>
      </w:r>
      <w:r w:rsidR="005F5204" w:rsidRPr="00A33930">
        <w:rPr>
          <w:rStyle w:val="Voetnootmarkering"/>
          <w:rFonts w:eastAsia="Verdana" w:cs="Verdana"/>
          <w:szCs w:val="18"/>
          <w:lang w:val="nl-NL"/>
        </w:rPr>
        <w:footnoteReference w:id="352"/>
      </w:r>
      <w:r w:rsidR="00C85FA3" w:rsidRPr="00A33930">
        <w:rPr>
          <w:rFonts w:eastAsia="Verdana" w:cs="Verdana"/>
          <w:szCs w:val="18"/>
          <w:lang w:val="nl-NL"/>
        </w:rPr>
        <w:t xml:space="preserve"> </w:t>
      </w:r>
      <w:r w:rsidRPr="00A33930">
        <w:rPr>
          <w:rFonts w:eastAsia="Verdana" w:cs="Verdana"/>
          <w:szCs w:val="18"/>
          <w:lang w:val="nl-NL"/>
        </w:rPr>
        <w:t>Contact tussen grootouders en kleinkind wordt</w:t>
      </w:r>
      <w:r w:rsidR="00C85FA3" w:rsidRPr="00A33930">
        <w:rPr>
          <w:rFonts w:eastAsia="Verdana" w:cs="Verdana"/>
          <w:szCs w:val="18"/>
          <w:lang w:val="nl-NL"/>
        </w:rPr>
        <w:t xml:space="preserve"> </w:t>
      </w:r>
      <w:r w:rsidRPr="00A33930">
        <w:rPr>
          <w:rFonts w:eastAsia="Verdana" w:cs="Verdana"/>
          <w:szCs w:val="18"/>
          <w:lang w:val="nl-NL"/>
        </w:rPr>
        <w:t>geacht in principe in het belang van het kind te zijn</w:t>
      </w:r>
      <w:r w:rsidR="00C85FA3" w:rsidRPr="00A33930">
        <w:rPr>
          <w:rFonts w:eastAsia="Verdana" w:cs="Verdana"/>
          <w:szCs w:val="18"/>
          <w:lang w:val="nl-NL"/>
        </w:rPr>
        <w:t>,</w:t>
      </w:r>
      <w:r w:rsidRPr="00A33930">
        <w:rPr>
          <w:rFonts w:eastAsia="Verdana" w:cs="Verdana"/>
          <w:szCs w:val="18"/>
          <w:lang w:val="nl-NL"/>
        </w:rPr>
        <w:t xml:space="preserve"> </w:t>
      </w:r>
      <w:r w:rsidR="00C85FA3" w:rsidRPr="00A33930">
        <w:rPr>
          <w:rFonts w:eastAsia="Verdana" w:cs="Verdana"/>
          <w:szCs w:val="18"/>
          <w:lang w:val="nl-NL"/>
        </w:rPr>
        <w:t>vanwege</w:t>
      </w:r>
      <w:r w:rsidRPr="00A33930">
        <w:rPr>
          <w:rFonts w:eastAsia="Verdana" w:cs="Verdana"/>
          <w:szCs w:val="18"/>
          <w:lang w:val="nl-NL"/>
        </w:rPr>
        <w:t xml:space="preserve"> </w:t>
      </w:r>
      <w:r w:rsidR="00C85FA3" w:rsidRPr="00A33930">
        <w:rPr>
          <w:rFonts w:eastAsia="Verdana" w:cs="Verdana"/>
          <w:szCs w:val="18"/>
          <w:lang w:val="nl-NL"/>
        </w:rPr>
        <w:t>de</w:t>
      </w:r>
      <w:r w:rsidRPr="00A33930">
        <w:rPr>
          <w:rFonts w:eastAsia="Verdana" w:cs="Verdana"/>
          <w:szCs w:val="18"/>
          <w:lang w:val="nl-NL"/>
        </w:rPr>
        <w:t xml:space="preserve"> belangrijk</w:t>
      </w:r>
      <w:r w:rsidR="00C85FA3" w:rsidRPr="00A33930">
        <w:rPr>
          <w:rFonts w:eastAsia="Verdana" w:cs="Verdana"/>
          <w:szCs w:val="18"/>
          <w:lang w:val="nl-NL"/>
        </w:rPr>
        <w:t>e</w:t>
      </w:r>
      <w:r w:rsidRPr="00A33930">
        <w:rPr>
          <w:rFonts w:eastAsia="Verdana" w:cs="Verdana"/>
          <w:szCs w:val="18"/>
          <w:lang w:val="nl-NL"/>
        </w:rPr>
        <w:t xml:space="preserve"> </w:t>
      </w:r>
      <w:r w:rsidR="00C85FA3" w:rsidRPr="00A33930">
        <w:rPr>
          <w:rFonts w:eastAsia="Verdana" w:cs="Verdana"/>
          <w:szCs w:val="18"/>
          <w:lang w:val="nl-NL"/>
        </w:rPr>
        <w:t>positie</w:t>
      </w:r>
      <w:r w:rsidRPr="00A33930">
        <w:rPr>
          <w:rFonts w:eastAsia="Verdana" w:cs="Verdana"/>
          <w:szCs w:val="18"/>
          <w:lang w:val="nl-NL"/>
        </w:rPr>
        <w:t xml:space="preserve"> in </w:t>
      </w:r>
      <w:r w:rsidR="00C35952" w:rsidRPr="00A33930">
        <w:rPr>
          <w:rFonts w:eastAsia="Verdana" w:cs="Verdana"/>
          <w:szCs w:val="18"/>
          <w:lang w:val="nl-NL"/>
        </w:rPr>
        <w:t>diens</w:t>
      </w:r>
      <w:r w:rsidRPr="00A33930">
        <w:rPr>
          <w:rFonts w:eastAsia="Verdana" w:cs="Verdana"/>
          <w:szCs w:val="18"/>
          <w:lang w:val="nl-NL"/>
        </w:rPr>
        <w:t xml:space="preserve"> ontwikkeling.</w:t>
      </w:r>
      <w:r w:rsidRPr="00A33930">
        <w:rPr>
          <w:rStyle w:val="Voetnootmarkering"/>
          <w:rFonts w:eastAsia="Verdana" w:cs="Verdana"/>
          <w:szCs w:val="18"/>
          <w:lang w:val="nl-NL"/>
        </w:rPr>
        <w:footnoteReference w:id="353"/>
      </w:r>
      <w:r w:rsidRPr="00A33930">
        <w:rPr>
          <w:rFonts w:eastAsia="Verdana" w:cs="Verdana"/>
          <w:szCs w:val="18"/>
          <w:lang w:val="nl-NL"/>
        </w:rPr>
        <w:t xml:space="preserve"> </w:t>
      </w:r>
      <w:r w:rsidR="00C85FA3" w:rsidRPr="00A33930">
        <w:rPr>
          <w:rFonts w:eastAsia="Verdana" w:cs="Verdana"/>
          <w:szCs w:val="18"/>
          <w:lang w:val="nl-NL"/>
        </w:rPr>
        <w:t xml:space="preserve">Omgekeerd </w:t>
      </w:r>
      <w:r w:rsidR="00C35952" w:rsidRPr="00A33930">
        <w:rPr>
          <w:rFonts w:eastAsia="Verdana" w:cs="Verdana"/>
          <w:szCs w:val="18"/>
          <w:lang w:val="nl-NL"/>
        </w:rPr>
        <w:t>bevat</w:t>
      </w:r>
      <w:r w:rsidR="00C85FA3" w:rsidRPr="00A33930">
        <w:rPr>
          <w:rFonts w:eastAsia="Verdana" w:cs="Verdana"/>
          <w:szCs w:val="18"/>
          <w:lang w:val="nl-NL"/>
        </w:rPr>
        <w:t xml:space="preserve"> artikel 375</w:t>
      </w:r>
      <w:r w:rsidR="00C85FA3" w:rsidRPr="00A33930">
        <w:rPr>
          <w:rFonts w:eastAsia="Verdana" w:cs="Verdana"/>
          <w:i/>
          <w:iCs/>
          <w:szCs w:val="18"/>
          <w:lang w:val="nl-NL"/>
        </w:rPr>
        <w:t>bis</w:t>
      </w:r>
      <w:r w:rsidR="00C85FA3" w:rsidRPr="00A33930">
        <w:rPr>
          <w:rFonts w:eastAsia="Verdana" w:cs="Verdana"/>
          <w:szCs w:val="18"/>
          <w:lang w:val="nl-NL"/>
        </w:rPr>
        <w:t xml:space="preserve"> oud BW geen verplichting voor een grootouder die geen persoonlijk contact met zijn kleinkind wil, ondanks het bestaan van een biologische band.</w:t>
      </w:r>
      <w:r w:rsidR="00C85FA3" w:rsidRPr="00A33930">
        <w:rPr>
          <w:rStyle w:val="Voetnootmarkering"/>
          <w:rFonts w:eastAsia="Verdana" w:cs="Verdana"/>
          <w:szCs w:val="18"/>
          <w:lang w:val="nl-NL"/>
        </w:rPr>
        <w:footnoteReference w:id="354"/>
      </w:r>
      <w:r w:rsidR="00C85FA3" w:rsidRPr="00A33930">
        <w:rPr>
          <w:rFonts w:eastAsia="Verdana" w:cs="Verdana"/>
          <w:szCs w:val="18"/>
          <w:lang w:val="nl-NL"/>
        </w:rPr>
        <w:t xml:space="preserve"> </w:t>
      </w:r>
      <w:r w:rsidRPr="00A33930">
        <w:rPr>
          <w:rFonts w:eastAsia="Verdana" w:cs="Verdana"/>
          <w:szCs w:val="18"/>
          <w:lang w:val="nl-NL"/>
        </w:rPr>
        <w:t>In afwezigheid van onderlinge overeenstemming wordt over de uitoefening van dit recht besloten door de familierechtbank</w:t>
      </w:r>
      <w:r w:rsidRPr="00A33930">
        <w:rPr>
          <w:rStyle w:val="Voetnootmarkering"/>
          <w:rFonts w:eastAsia="Verdana" w:cs="Verdana"/>
          <w:szCs w:val="18"/>
          <w:lang w:val="nl-NL"/>
        </w:rPr>
        <w:footnoteReference w:id="355"/>
      </w:r>
      <w:r w:rsidRPr="00A33930">
        <w:rPr>
          <w:rFonts w:eastAsia="Verdana" w:cs="Verdana"/>
          <w:szCs w:val="18"/>
          <w:lang w:val="nl-NL"/>
        </w:rPr>
        <w:t xml:space="preserve">, </w:t>
      </w:r>
      <w:r w:rsidR="00D365FF" w:rsidRPr="00A33930">
        <w:rPr>
          <w:rFonts w:eastAsia="Verdana" w:cs="Verdana"/>
          <w:szCs w:val="18"/>
          <w:lang w:val="nl-NL"/>
        </w:rPr>
        <w:t>rekening houdend</w:t>
      </w:r>
      <w:r w:rsidRPr="00A33930">
        <w:rPr>
          <w:rFonts w:eastAsia="Verdana" w:cs="Verdana"/>
          <w:szCs w:val="18"/>
          <w:lang w:val="nl-NL"/>
        </w:rPr>
        <w:t xml:space="preserve"> met het belang van het kind.</w:t>
      </w:r>
      <w:r w:rsidRPr="00A33930">
        <w:rPr>
          <w:rStyle w:val="Voetnootmarkering"/>
          <w:rFonts w:eastAsia="Verdana" w:cs="Verdana"/>
          <w:szCs w:val="18"/>
          <w:lang w:val="nl-NL"/>
        </w:rPr>
        <w:footnoteReference w:id="356"/>
      </w:r>
    </w:p>
    <w:p w14:paraId="467F7BB6" w14:textId="77777777" w:rsidR="000505BA" w:rsidRPr="00A33930" w:rsidRDefault="000505BA" w:rsidP="000505BA">
      <w:pPr>
        <w:pStyle w:val="Lijstalinea"/>
        <w:spacing w:before="200" w:after="0"/>
        <w:ind w:left="0"/>
        <w:jc w:val="both"/>
        <w:rPr>
          <w:rFonts w:eastAsia="Verdana" w:cs="Verdana"/>
          <w:szCs w:val="18"/>
          <w:lang w:val="nl-NL"/>
        </w:rPr>
      </w:pPr>
    </w:p>
    <w:p w14:paraId="2B526433" w14:textId="60156CBA" w:rsidR="005D36FC" w:rsidRPr="00A33930" w:rsidRDefault="00C35952" w:rsidP="00CA154B">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Middels</w:t>
      </w:r>
      <w:r w:rsidR="00A63B82" w:rsidRPr="00A33930">
        <w:rPr>
          <w:rFonts w:eastAsia="Verdana" w:cs="Verdana"/>
          <w:szCs w:val="18"/>
          <w:lang w:val="nl-NL"/>
        </w:rPr>
        <w:t xml:space="preserve"> de wet van 20 mei 2021 </w:t>
      </w:r>
      <w:r w:rsidRPr="00A33930">
        <w:rPr>
          <w:rFonts w:eastAsia="Verdana" w:cs="Verdana"/>
          <w:szCs w:val="18"/>
          <w:lang w:val="nl-NL"/>
        </w:rPr>
        <w:t xml:space="preserve">voorziet </w:t>
      </w:r>
      <w:r w:rsidR="00A63B82" w:rsidRPr="00A33930">
        <w:rPr>
          <w:rFonts w:eastAsia="Verdana" w:cs="Verdana"/>
          <w:szCs w:val="18"/>
          <w:lang w:val="nl-NL"/>
        </w:rPr>
        <w:t xml:space="preserve">de Belgische wetgever </w:t>
      </w:r>
      <w:r w:rsidRPr="00A33930">
        <w:rPr>
          <w:rFonts w:eastAsia="Verdana" w:cs="Verdana"/>
          <w:szCs w:val="18"/>
          <w:lang w:val="nl-NL"/>
        </w:rPr>
        <w:t>in artikel 375</w:t>
      </w:r>
      <w:r w:rsidRPr="00A33930">
        <w:rPr>
          <w:rFonts w:eastAsia="Verdana" w:cs="Verdana"/>
          <w:i/>
          <w:iCs/>
          <w:szCs w:val="18"/>
          <w:lang w:val="nl-NL"/>
        </w:rPr>
        <w:t>bis</w:t>
      </w:r>
      <w:r w:rsidRPr="00A33930">
        <w:rPr>
          <w:rFonts w:eastAsia="Verdana" w:cs="Verdana"/>
          <w:szCs w:val="18"/>
          <w:lang w:val="nl-NL"/>
        </w:rPr>
        <w:t xml:space="preserve">, eerste lid oud BW in </w:t>
      </w:r>
      <w:r w:rsidR="00A63B82" w:rsidRPr="00A33930">
        <w:rPr>
          <w:rFonts w:eastAsia="Verdana" w:cs="Verdana"/>
          <w:szCs w:val="18"/>
          <w:lang w:val="nl-NL"/>
        </w:rPr>
        <w:t>het recht om niet van elkaar te worden gescheiden en het recht op persoonlijk contact tussen alle broers en zussen.</w:t>
      </w:r>
      <w:r w:rsidR="00A63B82" w:rsidRPr="00A33930">
        <w:rPr>
          <w:rStyle w:val="Voetnootmarkering"/>
          <w:rFonts w:eastAsia="Verdana" w:cs="Verdana"/>
          <w:szCs w:val="18"/>
          <w:lang w:val="nl-NL"/>
        </w:rPr>
        <w:footnoteReference w:id="357"/>
      </w:r>
      <w:r w:rsidR="00A63B82" w:rsidRPr="00A33930">
        <w:rPr>
          <w:rFonts w:eastAsia="Verdana" w:cs="Verdana"/>
          <w:szCs w:val="18"/>
          <w:lang w:val="nl-NL"/>
        </w:rPr>
        <w:t xml:space="preserve"> </w:t>
      </w:r>
      <w:r w:rsidR="00D87C0D" w:rsidRPr="00A33930">
        <w:rPr>
          <w:rFonts w:eastAsia="Verdana" w:cs="Verdana"/>
          <w:szCs w:val="18"/>
          <w:lang w:val="nl-NL"/>
        </w:rPr>
        <w:t xml:space="preserve">Nu </w:t>
      </w:r>
      <w:r w:rsidR="002C7C76" w:rsidRPr="00A33930">
        <w:rPr>
          <w:rFonts w:eastAsia="Verdana" w:cs="Verdana"/>
          <w:szCs w:val="18"/>
          <w:lang w:val="nl-NL"/>
        </w:rPr>
        <w:t>hebben</w:t>
      </w:r>
      <w:r w:rsidR="00D87C0D" w:rsidRPr="00A33930">
        <w:rPr>
          <w:rFonts w:eastAsia="Verdana" w:cs="Verdana"/>
          <w:szCs w:val="18"/>
          <w:lang w:val="nl-NL"/>
        </w:rPr>
        <w:t>, naast grootouders,</w:t>
      </w:r>
      <w:r w:rsidR="00A63B82" w:rsidRPr="00A33930">
        <w:rPr>
          <w:rFonts w:eastAsia="Verdana" w:cs="Verdana"/>
          <w:szCs w:val="18"/>
          <w:lang w:val="nl-NL"/>
        </w:rPr>
        <w:t xml:space="preserve"> ook alle </w:t>
      </w:r>
      <w:r w:rsidR="005515C7" w:rsidRPr="00A33930">
        <w:rPr>
          <w:rFonts w:eastAsia="Verdana" w:cs="Verdana"/>
          <w:szCs w:val="18"/>
          <w:lang w:val="nl-NL"/>
        </w:rPr>
        <w:t xml:space="preserve">minderjarige </w:t>
      </w:r>
      <w:r w:rsidR="00A63B82" w:rsidRPr="00A33930">
        <w:rPr>
          <w:rFonts w:eastAsia="Verdana" w:cs="Verdana"/>
          <w:szCs w:val="18"/>
          <w:lang w:val="nl-NL"/>
        </w:rPr>
        <w:t xml:space="preserve">broers en zussen het recht </w:t>
      </w:r>
      <w:r w:rsidR="007F6DF9" w:rsidRPr="00A33930">
        <w:rPr>
          <w:rFonts w:eastAsia="Verdana" w:cs="Verdana"/>
          <w:szCs w:val="18"/>
          <w:lang w:val="nl-NL"/>
        </w:rPr>
        <w:t xml:space="preserve">om </w:t>
      </w:r>
      <w:r w:rsidR="00A63B82" w:rsidRPr="00A33930">
        <w:rPr>
          <w:rFonts w:eastAsia="Verdana" w:cs="Verdana"/>
          <w:szCs w:val="18"/>
          <w:lang w:val="nl-NL"/>
        </w:rPr>
        <w:t>op elke leeftijd persoonlijk contact met elkaar te onderhouden.</w:t>
      </w:r>
      <w:r w:rsidR="00A63B82" w:rsidRPr="00A33930">
        <w:rPr>
          <w:rStyle w:val="Voetnootmarkering"/>
          <w:rFonts w:eastAsia="Verdana" w:cs="Verdana"/>
          <w:szCs w:val="18"/>
          <w:lang w:val="nl-NL"/>
        </w:rPr>
        <w:footnoteReference w:id="358"/>
      </w:r>
      <w:r w:rsidR="00292727" w:rsidRPr="00A33930">
        <w:rPr>
          <w:rFonts w:eastAsia="Verdana" w:cs="Verdana"/>
          <w:szCs w:val="18"/>
          <w:lang w:val="nl-NL"/>
        </w:rPr>
        <w:t xml:space="preserve"> </w:t>
      </w:r>
      <w:r w:rsidR="002C7C76" w:rsidRPr="00A33930">
        <w:rPr>
          <w:rFonts w:eastAsia="Verdana" w:cs="Verdana"/>
          <w:szCs w:val="18"/>
          <w:lang w:val="nl-NL"/>
        </w:rPr>
        <w:t>De rechter moet bij zijn</w:t>
      </w:r>
      <w:r w:rsidR="00B65E8C" w:rsidRPr="00A33930">
        <w:rPr>
          <w:rFonts w:eastAsia="Verdana" w:cs="Verdana"/>
          <w:szCs w:val="18"/>
          <w:lang w:val="nl-NL"/>
        </w:rPr>
        <w:t xml:space="preserve"> beoordeling van het recht op persoonlijk contact rekening houden met de rechten van</w:t>
      </w:r>
      <w:r w:rsidR="002C7C76" w:rsidRPr="00A33930">
        <w:rPr>
          <w:rFonts w:eastAsia="Verdana" w:cs="Verdana"/>
          <w:szCs w:val="18"/>
          <w:lang w:val="nl-NL"/>
        </w:rPr>
        <w:t xml:space="preserve"> diens</w:t>
      </w:r>
      <w:r w:rsidR="00B65E8C" w:rsidRPr="00A33930">
        <w:rPr>
          <w:rFonts w:eastAsia="Verdana" w:cs="Verdana"/>
          <w:szCs w:val="18"/>
          <w:lang w:val="nl-NL"/>
        </w:rPr>
        <w:t xml:space="preserve"> broers en zussen.</w:t>
      </w:r>
      <w:r w:rsidR="00B65E8C" w:rsidRPr="00A33930">
        <w:rPr>
          <w:rStyle w:val="Voetnootmarkering"/>
          <w:rFonts w:eastAsia="Verdana" w:cs="Verdana"/>
          <w:szCs w:val="18"/>
          <w:lang w:val="nl-NL"/>
        </w:rPr>
        <w:footnoteReference w:id="359"/>
      </w:r>
      <w:r w:rsidR="00B65E8C" w:rsidRPr="00A33930">
        <w:rPr>
          <w:rFonts w:eastAsia="Verdana" w:cs="Verdana"/>
          <w:szCs w:val="18"/>
          <w:lang w:val="nl-NL"/>
        </w:rPr>
        <w:t xml:space="preserve"> </w:t>
      </w:r>
      <w:r w:rsidR="00A63B82" w:rsidRPr="00A33930">
        <w:rPr>
          <w:rFonts w:eastAsia="Verdana" w:cs="Verdana"/>
          <w:szCs w:val="18"/>
          <w:lang w:val="nl-NL"/>
        </w:rPr>
        <w:t>Deze regeling geldt vooreerst voor broers en zussen die een juridisch vastgestelde oorspronkelijke of vol adoptieve afstammingsband ten aanzien van minstens één gemeenschappelijke ouder hebben.</w:t>
      </w:r>
      <w:r w:rsidR="00A63B82" w:rsidRPr="00A33930">
        <w:rPr>
          <w:rStyle w:val="Voetnootmarkering"/>
          <w:rFonts w:eastAsia="Verdana" w:cs="Verdana"/>
          <w:szCs w:val="18"/>
          <w:lang w:val="nl-NL"/>
        </w:rPr>
        <w:footnoteReference w:id="360"/>
      </w:r>
      <w:r w:rsidR="00A63B82" w:rsidRPr="00A33930">
        <w:rPr>
          <w:rFonts w:eastAsia="Verdana" w:cs="Verdana"/>
          <w:szCs w:val="18"/>
          <w:lang w:val="nl-NL"/>
        </w:rPr>
        <w:t xml:space="preserve"> Daarnaast worden ook de personen die samen in eenzelfde gezin zijn opgevoed en een bijzondere affectieve band met elkaar hebben ontwikkeld beschouwd als broers en zussen.</w:t>
      </w:r>
      <w:r w:rsidR="00292727" w:rsidRPr="00A33930">
        <w:rPr>
          <w:rStyle w:val="Voetnootmarkering"/>
          <w:rFonts w:eastAsia="Verdana" w:cs="Verdana"/>
          <w:szCs w:val="18"/>
          <w:lang w:val="nl-NL"/>
        </w:rPr>
        <w:footnoteReference w:id="361"/>
      </w:r>
      <w:r w:rsidR="00A63B82" w:rsidRPr="00A33930">
        <w:rPr>
          <w:rFonts w:eastAsia="Verdana" w:cs="Verdana"/>
          <w:szCs w:val="18"/>
          <w:lang w:val="nl-NL"/>
        </w:rPr>
        <w:t xml:space="preserve"> Denk hierbij aan geadopteerde broers of zussen, of stiefbroers en -zussen.</w:t>
      </w:r>
      <w:r w:rsidR="00A63B82" w:rsidRPr="00A33930">
        <w:rPr>
          <w:rStyle w:val="Voetnootmarkering"/>
          <w:rFonts w:eastAsia="Verdana" w:cs="Verdana"/>
          <w:szCs w:val="18"/>
          <w:lang w:val="nl-NL"/>
        </w:rPr>
        <w:footnoteReference w:id="362"/>
      </w:r>
    </w:p>
    <w:p w14:paraId="1373D5B3" w14:textId="77777777" w:rsidR="009710CE" w:rsidRPr="00A33930" w:rsidRDefault="009710CE" w:rsidP="009710CE">
      <w:pPr>
        <w:pStyle w:val="Lijstalinea"/>
        <w:spacing w:before="200" w:after="0"/>
        <w:ind w:left="0"/>
        <w:jc w:val="both"/>
        <w:rPr>
          <w:rFonts w:eastAsia="Verdana" w:cs="Verdana"/>
          <w:szCs w:val="18"/>
          <w:lang w:val="nl-NL"/>
        </w:rPr>
      </w:pPr>
    </w:p>
    <w:p w14:paraId="50793794" w14:textId="184E98A8" w:rsidR="0084611F" w:rsidRPr="00A33930" w:rsidRDefault="0084611F" w:rsidP="0084611F">
      <w:pPr>
        <w:pStyle w:val="Kop4"/>
        <w:spacing w:before="240" w:after="120"/>
        <w:jc w:val="both"/>
        <w:rPr>
          <w:rFonts w:ascii="Verdana" w:hAnsi="Verdana"/>
          <w:b/>
          <w:bCs/>
          <w:color w:val="auto"/>
          <w:szCs w:val="18"/>
          <w:lang w:val="nl-NL"/>
        </w:rPr>
      </w:pPr>
      <w:r w:rsidRPr="00A33930">
        <w:rPr>
          <w:rFonts w:ascii="Verdana" w:hAnsi="Verdana"/>
          <w:b/>
          <w:bCs/>
          <w:color w:val="auto"/>
          <w:szCs w:val="18"/>
          <w:lang w:val="nl-NL"/>
        </w:rPr>
        <w:lastRenderedPageBreak/>
        <w:t>§</w:t>
      </w:r>
      <w:r w:rsidR="00310DD8" w:rsidRPr="00A33930">
        <w:rPr>
          <w:rFonts w:ascii="Verdana" w:hAnsi="Verdana"/>
          <w:b/>
          <w:bCs/>
          <w:color w:val="auto"/>
          <w:szCs w:val="18"/>
          <w:lang w:val="nl-NL"/>
        </w:rPr>
        <w:t>4</w:t>
      </w:r>
      <w:r w:rsidRPr="00A33930">
        <w:rPr>
          <w:rFonts w:ascii="Verdana" w:hAnsi="Verdana"/>
          <w:b/>
          <w:bCs/>
          <w:color w:val="auto"/>
          <w:szCs w:val="18"/>
          <w:lang w:val="nl-NL"/>
        </w:rPr>
        <w:t xml:space="preserve">. </w:t>
      </w:r>
      <w:r w:rsidRPr="00A33930">
        <w:rPr>
          <w:rFonts w:ascii="Verdana" w:hAnsi="Verdana"/>
          <w:b/>
          <w:bCs/>
          <w:color w:val="auto"/>
          <w:szCs w:val="18"/>
          <w:lang w:val="nl-NL"/>
        </w:rPr>
        <w:tab/>
      </w:r>
      <w:r w:rsidR="004B3B9A" w:rsidRPr="00A33930">
        <w:rPr>
          <w:rFonts w:ascii="Verdana" w:hAnsi="Verdana"/>
          <w:b/>
          <w:bCs/>
          <w:color w:val="auto"/>
          <w:szCs w:val="18"/>
          <w:lang w:val="nl-NL"/>
        </w:rPr>
        <w:tab/>
      </w:r>
      <w:r w:rsidR="00CA0285" w:rsidRPr="00A33930">
        <w:rPr>
          <w:rFonts w:ascii="Verdana" w:hAnsi="Verdana"/>
          <w:b/>
          <w:bCs/>
          <w:color w:val="auto"/>
          <w:szCs w:val="18"/>
          <w:lang w:val="nl-NL"/>
        </w:rPr>
        <w:t>E</w:t>
      </w:r>
      <w:r w:rsidR="00310DD8" w:rsidRPr="00A33930">
        <w:rPr>
          <w:rFonts w:ascii="Verdana" w:hAnsi="Verdana"/>
          <w:b/>
          <w:bCs/>
          <w:color w:val="auto"/>
          <w:szCs w:val="18"/>
          <w:lang w:val="nl-NL"/>
        </w:rPr>
        <w:t>en e</w:t>
      </w:r>
      <w:r w:rsidR="00CA0285" w:rsidRPr="00A33930">
        <w:rPr>
          <w:rFonts w:ascii="Verdana" w:hAnsi="Verdana"/>
          <w:b/>
          <w:bCs/>
          <w:color w:val="auto"/>
          <w:szCs w:val="18"/>
          <w:lang w:val="nl-NL"/>
        </w:rPr>
        <w:t>igen</w:t>
      </w:r>
      <w:r w:rsidRPr="00A33930">
        <w:rPr>
          <w:rFonts w:ascii="Verdana" w:hAnsi="Verdana"/>
          <w:b/>
          <w:bCs/>
          <w:color w:val="auto"/>
          <w:szCs w:val="18"/>
          <w:lang w:val="nl-NL"/>
        </w:rPr>
        <w:t xml:space="preserve"> recht van het kind?</w:t>
      </w:r>
    </w:p>
    <w:p w14:paraId="438B3490" w14:textId="2A0C8EF1" w:rsidR="0084611F" w:rsidRPr="00A33930" w:rsidRDefault="00E11A4D" w:rsidP="009C78CD">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Het recht op persoonlijk contact is vanuit </w:t>
      </w:r>
      <w:r w:rsidR="009710CE" w:rsidRPr="00A33930">
        <w:rPr>
          <w:rFonts w:eastAsia="Verdana" w:cs="Verdana"/>
          <w:szCs w:val="18"/>
          <w:lang w:val="nl-NL"/>
        </w:rPr>
        <w:t>de traditionele</w:t>
      </w:r>
      <w:r w:rsidRPr="00A33930">
        <w:rPr>
          <w:rFonts w:eastAsia="Verdana" w:cs="Verdana"/>
          <w:szCs w:val="18"/>
          <w:lang w:val="nl-NL"/>
        </w:rPr>
        <w:t xml:space="preserve"> </w:t>
      </w:r>
      <w:r w:rsidR="009710CE" w:rsidRPr="00A33930">
        <w:rPr>
          <w:rFonts w:eastAsia="Verdana" w:cs="Verdana"/>
          <w:szCs w:val="18"/>
          <w:lang w:val="nl-NL"/>
        </w:rPr>
        <w:t>invalshoek</w:t>
      </w:r>
      <w:r w:rsidRPr="00A33930">
        <w:rPr>
          <w:rFonts w:eastAsia="Verdana" w:cs="Verdana"/>
          <w:szCs w:val="18"/>
          <w:lang w:val="nl-NL"/>
        </w:rPr>
        <w:t xml:space="preserve"> </w:t>
      </w:r>
      <w:r w:rsidR="002C7C76" w:rsidRPr="00A33930">
        <w:rPr>
          <w:rFonts w:eastAsia="Verdana" w:cs="Verdana"/>
          <w:szCs w:val="18"/>
          <w:lang w:val="nl-NL"/>
        </w:rPr>
        <w:t>een</w:t>
      </w:r>
      <w:r w:rsidRPr="00A33930">
        <w:rPr>
          <w:rFonts w:eastAsia="Verdana" w:cs="Verdana"/>
          <w:szCs w:val="18"/>
          <w:lang w:val="nl-NL"/>
        </w:rPr>
        <w:t xml:space="preserve"> recht van de </w:t>
      </w:r>
      <w:r w:rsidR="00D87C0D" w:rsidRPr="00A33930">
        <w:rPr>
          <w:rFonts w:eastAsia="Verdana" w:cs="Verdana"/>
          <w:szCs w:val="18"/>
          <w:lang w:val="nl-NL"/>
        </w:rPr>
        <w:t>meerderjarige</w:t>
      </w:r>
      <w:r w:rsidR="0067571D" w:rsidRPr="00A33930">
        <w:rPr>
          <w:rFonts w:eastAsia="Verdana" w:cs="Verdana"/>
          <w:szCs w:val="18"/>
          <w:lang w:val="nl-NL"/>
        </w:rPr>
        <w:t xml:space="preserve"> </w:t>
      </w:r>
      <w:r w:rsidR="005515C7" w:rsidRPr="00A33930">
        <w:rPr>
          <w:rFonts w:eastAsia="Verdana" w:cs="Verdana"/>
          <w:szCs w:val="18"/>
          <w:lang w:val="nl-NL"/>
        </w:rPr>
        <w:t>ten aanzien van</w:t>
      </w:r>
      <w:r w:rsidR="0067571D" w:rsidRPr="00A33930">
        <w:rPr>
          <w:rFonts w:eastAsia="Verdana" w:cs="Verdana"/>
          <w:szCs w:val="18"/>
          <w:lang w:val="nl-NL"/>
        </w:rPr>
        <w:t xml:space="preserve"> het kind</w:t>
      </w:r>
      <w:r w:rsidRPr="00A33930">
        <w:rPr>
          <w:rFonts w:eastAsia="Verdana" w:cs="Verdana"/>
          <w:szCs w:val="18"/>
          <w:lang w:val="nl-NL"/>
        </w:rPr>
        <w:t>.</w:t>
      </w:r>
      <w:r w:rsidR="008D0526" w:rsidRPr="00A33930">
        <w:rPr>
          <w:rFonts w:eastAsia="Verdana" w:cs="Verdana"/>
          <w:szCs w:val="18"/>
          <w:lang w:val="nl-NL"/>
        </w:rPr>
        <w:t xml:space="preserve"> </w:t>
      </w:r>
      <w:r w:rsidR="005515C7" w:rsidRPr="00A33930">
        <w:rPr>
          <w:rFonts w:eastAsia="Verdana" w:cs="Verdana"/>
          <w:szCs w:val="18"/>
          <w:lang w:val="nl-NL"/>
        </w:rPr>
        <w:t>In</w:t>
      </w:r>
      <w:r w:rsidR="0084611F" w:rsidRPr="00A33930">
        <w:rPr>
          <w:rFonts w:eastAsia="Verdana" w:cs="Verdana"/>
          <w:szCs w:val="18"/>
          <w:lang w:val="nl-NL"/>
        </w:rPr>
        <w:t xml:space="preserve"> 1993 deed een voorstel tot invoering van een eigen recht op persoonlijk contact </w:t>
      </w:r>
      <w:r w:rsidR="005515C7" w:rsidRPr="00A33930">
        <w:rPr>
          <w:rFonts w:eastAsia="Verdana" w:cs="Verdana"/>
          <w:szCs w:val="18"/>
          <w:lang w:val="nl-NL"/>
        </w:rPr>
        <w:t xml:space="preserve">initieel </w:t>
      </w:r>
      <w:r w:rsidR="0084611F" w:rsidRPr="00A33930">
        <w:rPr>
          <w:rFonts w:eastAsia="Verdana" w:cs="Verdana"/>
          <w:szCs w:val="18"/>
          <w:lang w:val="nl-NL"/>
        </w:rPr>
        <w:t>wel de ronde.</w:t>
      </w:r>
      <w:r w:rsidR="0084611F" w:rsidRPr="00A33930">
        <w:rPr>
          <w:rStyle w:val="Voetnootmarkering"/>
          <w:rFonts w:eastAsia="Verdana" w:cs="Verdana"/>
          <w:szCs w:val="18"/>
          <w:lang w:val="nl-NL"/>
        </w:rPr>
        <w:footnoteReference w:id="363"/>
      </w:r>
      <w:r w:rsidR="0084611F" w:rsidRPr="00A33930">
        <w:rPr>
          <w:rFonts w:eastAsia="Verdana" w:cs="Verdana"/>
          <w:szCs w:val="18"/>
          <w:lang w:val="nl-NL"/>
        </w:rPr>
        <w:t xml:space="preserve"> </w:t>
      </w:r>
      <w:r w:rsidR="002B6711" w:rsidRPr="00A33930">
        <w:rPr>
          <w:rFonts w:eastAsia="Verdana" w:cs="Verdana"/>
          <w:szCs w:val="18"/>
          <w:lang w:val="nl-NL"/>
        </w:rPr>
        <w:t>Dit wetsvoorstel</w:t>
      </w:r>
      <w:r w:rsidR="0084611F" w:rsidRPr="00A33930">
        <w:rPr>
          <w:rFonts w:eastAsia="Verdana" w:cs="Verdana"/>
          <w:szCs w:val="18"/>
          <w:lang w:val="nl-NL"/>
        </w:rPr>
        <w:t xml:space="preserve"> </w:t>
      </w:r>
      <w:r w:rsidR="002B6711" w:rsidRPr="00A33930">
        <w:rPr>
          <w:rFonts w:eastAsia="Verdana" w:cs="Verdana"/>
          <w:szCs w:val="18"/>
          <w:lang w:val="nl-NL"/>
        </w:rPr>
        <w:t>wou</w:t>
      </w:r>
      <w:r w:rsidR="0084611F" w:rsidRPr="00A33930">
        <w:rPr>
          <w:rFonts w:eastAsia="Verdana" w:cs="Verdana"/>
          <w:szCs w:val="18"/>
          <w:lang w:val="nl-NL"/>
        </w:rPr>
        <w:t xml:space="preserve"> een invoering van een nieuw artikel 37</w:t>
      </w:r>
      <w:r w:rsidR="005220E6" w:rsidRPr="00A33930">
        <w:rPr>
          <w:rFonts w:eastAsia="Verdana" w:cs="Verdana"/>
          <w:szCs w:val="18"/>
          <w:lang w:val="nl-NL"/>
        </w:rPr>
        <w:t>5</w:t>
      </w:r>
      <w:r w:rsidR="0084611F" w:rsidRPr="00A33930">
        <w:rPr>
          <w:rFonts w:eastAsia="Verdana" w:cs="Verdana"/>
          <w:i/>
          <w:iCs/>
          <w:szCs w:val="18"/>
          <w:lang w:val="nl-NL"/>
        </w:rPr>
        <w:t xml:space="preserve">bis </w:t>
      </w:r>
      <w:r w:rsidR="0084611F" w:rsidRPr="00A33930">
        <w:rPr>
          <w:rFonts w:eastAsia="Verdana" w:cs="Verdana"/>
          <w:szCs w:val="18"/>
          <w:lang w:val="nl-NL"/>
        </w:rPr>
        <w:t xml:space="preserve">BW </w:t>
      </w:r>
      <w:r w:rsidR="005515C7" w:rsidRPr="00A33930">
        <w:rPr>
          <w:rFonts w:eastAsia="Verdana" w:cs="Verdana"/>
          <w:szCs w:val="18"/>
          <w:lang w:val="nl-NL"/>
        </w:rPr>
        <w:t xml:space="preserve">verwezenlijken, </w:t>
      </w:r>
      <w:r w:rsidR="0084611F" w:rsidRPr="00A33930">
        <w:rPr>
          <w:rFonts w:eastAsia="Verdana" w:cs="Verdana"/>
          <w:szCs w:val="18"/>
          <w:lang w:val="nl-NL"/>
        </w:rPr>
        <w:t xml:space="preserve">dat </w:t>
      </w:r>
      <w:r w:rsidR="009710CE" w:rsidRPr="00A33930">
        <w:rPr>
          <w:rFonts w:eastAsia="Verdana" w:cs="Verdana"/>
          <w:szCs w:val="18"/>
          <w:lang w:val="nl-NL"/>
        </w:rPr>
        <w:t>zou voorzien</w:t>
      </w:r>
      <w:r w:rsidR="0084611F" w:rsidRPr="00A33930">
        <w:rPr>
          <w:rFonts w:eastAsia="Verdana" w:cs="Verdana"/>
          <w:szCs w:val="18"/>
          <w:lang w:val="nl-NL"/>
        </w:rPr>
        <w:t xml:space="preserve"> in de mogelijkheid van </w:t>
      </w:r>
      <w:r w:rsidR="009710CE" w:rsidRPr="00A33930">
        <w:rPr>
          <w:rFonts w:eastAsia="Verdana" w:cs="Verdana"/>
          <w:szCs w:val="18"/>
          <w:lang w:val="nl-NL"/>
        </w:rPr>
        <w:t>een</w:t>
      </w:r>
      <w:r w:rsidR="0084611F" w:rsidRPr="00A33930">
        <w:rPr>
          <w:rFonts w:eastAsia="Verdana" w:cs="Verdana"/>
          <w:szCs w:val="18"/>
          <w:lang w:val="nl-NL"/>
        </w:rPr>
        <w:t xml:space="preserve"> recht</w:t>
      </w:r>
      <w:r w:rsidR="002B6711" w:rsidRPr="00A33930">
        <w:rPr>
          <w:rFonts w:eastAsia="Verdana" w:cs="Verdana"/>
          <w:szCs w:val="18"/>
          <w:lang w:val="nl-NL"/>
        </w:rPr>
        <w:t xml:space="preserve"> op persoonlijk contact</w:t>
      </w:r>
      <w:r w:rsidR="0084611F" w:rsidRPr="00A33930">
        <w:rPr>
          <w:rFonts w:eastAsia="Verdana" w:cs="Verdana"/>
          <w:szCs w:val="18"/>
          <w:lang w:val="nl-NL"/>
        </w:rPr>
        <w:t xml:space="preserve"> in hoofde van het kind. </w:t>
      </w:r>
      <w:r w:rsidR="00C21260" w:rsidRPr="00A33930">
        <w:rPr>
          <w:rFonts w:eastAsia="Verdana" w:cs="Verdana"/>
          <w:szCs w:val="18"/>
          <w:lang w:val="nl-NL"/>
        </w:rPr>
        <w:t xml:space="preserve">Met dit artikel zouden de verplichtingen uit het IVRK zijn omgezet in het nationaal recht. </w:t>
      </w:r>
      <w:r w:rsidR="009710CE" w:rsidRPr="00A33930">
        <w:rPr>
          <w:rFonts w:eastAsia="Verdana" w:cs="Verdana"/>
          <w:szCs w:val="18"/>
          <w:lang w:val="nl-NL"/>
        </w:rPr>
        <w:t>Het</w:t>
      </w:r>
      <w:r w:rsidR="002C7C76" w:rsidRPr="00A33930">
        <w:rPr>
          <w:rFonts w:eastAsia="Verdana" w:cs="Verdana"/>
          <w:szCs w:val="18"/>
          <w:lang w:val="nl-NL"/>
        </w:rPr>
        <w:t xml:space="preserve"> artikel</w:t>
      </w:r>
      <w:r w:rsidR="005220E6" w:rsidRPr="00A33930">
        <w:rPr>
          <w:rFonts w:eastAsia="Verdana" w:cs="Verdana"/>
          <w:szCs w:val="18"/>
          <w:lang w:val="nl-NL"/>
        </w:rPr>
        <w:t xml:space="preserve"> zou</w:t>
      </w:r>
      <w:r w:rsidR="009710CE" w:rsidRPr="00A33930">
        <w:rPr>
          <w:rFonts w:eastAsia="Verdana" w:cs="Verdana"/>
          <w:szCs w:val="18"/>
          <w:lang w:val="nl-NL"/>
        </w:rPr>
        <w:t xml:space="preserve"> als volgt</w:t>
      </w:r>
      <w:r w:rsidR="005220E6" w:rsidRPr="00A33930">
        <w:rPr>
          <w:rFonts w:eastAsia="Verdana" w:cs="Verdana"/>
          <w:szCs w:val="18"/>
          <w:lang w:val="nl-NL"/>
        </w:rPr>
        <w:t xml:space="preserve"> luiden</w:t>
      </w:r>
      <w:r w:rsidR="002B6711" w:rsidRPr="00A33930">
        <w:rPr>
          <w:rFonts w:eastAsia="Verdana" w:cs="Verdana"/>
          <w:szCs w:val="18"/>
          <w:lang w:val="nl-NL"/>
        </w:rPr>
        <w:t>:</w:t>
      </w:r>
      <w:r w:rsidR="005220E6" w:rsidRPr="00A33930">
        <w:rPr>
          <w:rFonts w:eastAsia="Verdana" w:cs="Verdana"/>
          <w:szCs w:val="18"/>
          <w:lang w:val="nl-NL"/>
        </w:rPr>
        <w:t xml:space="preserve"> “Het kind heeft het recht persoonlijk contact te onderhouden met zijn beide ouders, zijn grootouders, zijn broers en zussen en met iedere persoon waarmee hij een bijzondere affectieve band heeft”.</w:t>
      </w:r>
      <w:r w:rsidR="005220E6" w:rsidRPr="00A33930">
        <w:rPr>
          <w:rStyle w:val="Voetnootmarkering"/>
          <w:rFonts w:eastAsia="Verdana" w:cs="Verdana"/>
          <w:szCs w:val="18"/>
          <w:lang w:val="nl-NL"/>
        </w:rPr>
        <w:footnoteReference w:id="364"/>
      </w:r>
      <w:r w:rsidR="005220E6" w:rsidRPr="00A33930">
        <w:rPr>
          <w:rFonts w:eastAsia="Verdana" w:cs="Verdana"/>
          <w:szCs w:val="18"/>
          <w:lang w:val="nl-NL"/>
        </w:rPr>
        <w:t xml:space="preserve"> </w:t>
      </w:r>
      <w:r w:rsidR="0084611F" w:rsidRPr="00A33930">
        <w:rPr>
          <w:rFonts w:eastAsia="Verdana" w:cs="Verdana"/>
          <w:szCs w:val="18"/>
          <w:lang w:val="nl-NL"/>
        </w:rPr>
        <w:t xml:space="preserve">Ondanks de bedoeling </w:t>
      </w:r>
      <w:r w:rsidR="00D87C0D" w:rsidRPr="00A33930">
        <w:rPr>
          <w:rFonts w:eastAsia="Verdana" w:cs="Verdana"/>
          <w:szCs w:val="18"/>
          <w:lang w:val="nl-NL"/>
        </w:rPr>
        <w:t xml:space="preserve">van dit wetsvoorstel </w:t>
      </w:r>
      <w:r w:rsidR="0084611F" w:rsidRPr="00A33930">
        <w:rPr>
          <w:rFonts w:eastAsia="Verdana" w:cs="Verdana"/>
          <w:szCs w:val="18"/>
          <w:lang w:val="nl-NL"/>
        </w:rPr>
        <w:t>om het recht</w:t>
      </w:r>
      <w:r w:rsidR="00D87C0D" w:rsidRPr="00A33930">
        <w:rPr>
          <w:rFonts w:eastAsia="Verdana" w:cs="Verdana"/>
          <w:szCs w:val="18"/>
          <w:lang w:val="nl-NL"/>
        </w:rPr>
        <w:t xml:space="preserve"> op persoonlijk contact</w:t>
      </w:r>
      <w:r w:rsidR="0084611F" w:rsidRPr="00A33930">
        <w:rPr>
          <w:rFonts w:eastAsia="Verdana" w:cs="Verdana"/>
          <w:szCs w:val="18"/>
          <w:lang w:val="nl-NL"/>
        </w:rPr>
        <w:t xml:space="preserve"> in hoofde van het kind te doen ontstaan, werd </w:t>
      </w:r>
      <w:r w:rsidR="00566B1B" w:rsidRPr="00A33930">
        <w:rPr>
          <w:rFonts w:eastAsia="Verdana" w:cs="Verdana"/>
          <w:szCs w:val="18"/>
          <w:lang w:val="nl-NL"/>
        </w:rPr>
        <w:t>het</w:t>
      </w:r>
      <w:r w:rsidR="0084611F" w:rsidRPr="00A33930">
        <w:rPr>
          <w:rFonts w:eastAsia="Verdana" w:cs="Verdana"/>
          <w:szCs w:val="18"/>
          <w:lang w:val="nl-NL"/>
        </w:rPr>
        <w:t xml:space="preserve"> </w:t>
      </w:r>
      <w:r w:rsidR="00D87C0D" w:rsidRPr="00A33930">
        <w:rPr>
          <w:rFonts w:eastAsia="Verdana" w:cs="Verdana"/>
          <w:szCs w:val="18"/>
          <w:lang w:val="nl-NL"/>
        </w:rPr>
        <w:t>uiteindelijk</w:t>
      </w:r>
      <w:r w:rsidR="0084611F" w:rsidRPr="00A33930">
        <w:rPr>
          <w:rFonts w:eastAsia="Verdana" w:cs="Verdana"/>
          <w:szCs w:val="18"/>
          <w:lang w:val="nl-NL"/>
        </w:rPr>
        <w:t xml:space="preserve"> </w:t>
      </w:r>
      <w:r w:rsidR="005515C7" w:rsidRPr="00A33930">
        <w:rPr>
          <w:rFonts w:eastAsia="Verdana" w:cs="Verdana"/>
          <w:szCs w:val="18"/>
          <w:lang w:val="nl-NL"/>
        </w:rPr>
        <w:t>enkel</w:t>
      </w:r>
      <w:r w:rsidR="0084611F" w:rsidRPr="00A33930">
        <w:rPr>
          <w:rFonts w:eastAsia="Verdana" w:cs="Verdana"/>
          <w:szCs w:val="18"/>
          <w:lang w:val="nl-NL"/>
        </w:rPr>
        <w:t xml:space="preserve"> toegekend aan derden die met het kind een bijzonder affectieve band hebben</w:t>
      </w:r>
      <w:r w:rsidR="00D87C0D" w:rsidRPr="00A33930">
        <w:rPr>
          <w:rFonts w:eastAsia="Verdana" w:cs="Verdana"/>
          <w:szCs w:val="18"/>
          <w:lang w:val="nl-NL"/>
        </w:rPr>
        <w:t xml:space="preserve"> (</w:t>
      </w:r>
      <w:r w:rsidR="00D87C0D" w:rsidRPr="00A33930">
        <w:rPr>
          <w:rFonts w:eastAsia="Verdana" w:cs="Verdana"/>
          <w:i/>
          <w:iCs/>
          <w:szCs w:val="18"/>
          <w:lang w:val="nl-NL"/>
        </w:rPr>
        <w:t>supra</w:t>
      </w:r>
      <w:r w:rsidR="00D87C0D" w:rsidRPr="00A33930">
        <w:rPr>
          <w:rFonts w:eastAsia="Verdana" w:cs="Verdana"/>
          <w:szCs w:val="18"/>
          <w:lang w:val="nl-NL"/>
        </w:rPr>
        <w:t xml:space="preserve">, nr. </w:t>
      </w:r>
      <w:r w:rsidR="00C673AD" w:rsidRPr="00A33930">
        <w:rPr>
          <w:rFonts w:eastAsia="Verdana" w:cs="Verdana"/>
          <w:szCs w:val="18"/>
          <w:lang w:val="nl-NL"/>
        </w:rPr>
        <w:t>94</w:t>
      </w:r>
      <w:r w:rsidR="00D87C0D" w:rsidRPr="00A33930">
        <w:rPr>
          <w:rFonts w:eastAsia="Verdana" w:cs="Verdana"/>
          <w:szCs w:val="18"/>
          <w:lang w:val="nl-NL"/>
        </w:rPr>
        <w:t>)</w:t>
      </w:r>
      <w:r w:rsidR="0084611F" w:rsidRPr="00A33930">
        <w:rPr>
          <w:rFonts w:eastAsia="Verdana" w:cs="Verdana"/>
          <w:szCs w:val="18"/>
          <w:lang w:val="nl-NL"/>
        </w:rPr>
        <w:t>.</w:t>
      </w:r>
      <w:r w:rsidR="00D87C0D" w:rsidRPr="00A33930">
        <w:rPr>
          <w:rFonts w:eastAsia="Verdana" w:cs="Verdana"/>
          <w:szCs w:val="18"/>
          <w:lang w:val="nl-NL"/>
        </w:rPr>
        <w:t xml:space="preserve"> </w:t>
      </w:r>
      <w:r w:rsidR="00C21260" w:rsidRPr="00A33930">
        <w:rPr>
          <w:rFonts w:eastAsia="Verdana" w:cs="Verdana"/>
          <w:szCs w:val="18"/>
          <w:lang w:val="nl-NL"/>
        </w:rPr>
        <w:t xml:space="preserve">De bepaling </w:t>
      </w:r>
      <w:r w:rsidR="005515C7" w:rsidRPr="00A33930">
        <w:rPr>
          <w:rFonts w:eastAsia="Verdana" w:cs="Verdana"/>
          <w:szCs w:val="18"/>
          <w:lang w:val="nl-NL"/>
        </w:rPr>
        <w:t>met het recht in hoofde van het kind werd in</w:t>
      </w:r>
      <w:r w:rsidR="00C21260" w:rsidRPr="00A33930">
        <w:rPr>
          <w:rFonts w:eastAsia="Verdana" w:cs="Verdana"/>
          <w:szCs w:val="18"/>
          <w:lang w:val="nl-NL"/>
        </w:rPr>
        <w:t xml:space="preserve"> de laatste stemming niet </w:t>
      </w:r>
      <w:r w:rsidR="005515C7" w:rsidRPr="00A33930">
        <w:rPr>
          <w:rFonts w:eastAsia="Verdana" w:cs="Verdana"/>
          <w:szCs w:val="18"/>
          <w:lang w:val="nl-NL"/>
        </w:rPr>
        <w:t>weerhouden</w:t>
      </w:r>
      <w:r w:rsidR="00C21260" w:rsidRPr="00A33930">
        <w:rPr>
          <w:rFonts w:eastAsia="Verdana" w:cs="Verdana"/>
          <w:szCs w:val="18"/>
          <w:lang w:val="nl-NL"/>
        </w:rPr>
        <w:t>.</w:t>
      </w:r>
      <w:r w:rsidR="00C21260" w:rsidRPr="00A33930">
        <w:rPr>
          <w:rStyle w:val="Voetnootmarkering"/>
          <w:rFonts w:eastAsia="Verdana" w:cs="Verdana"/>
          <w:szCs w:val="18"/>
          <w:lang w:val="nl-NL"/>
        </w:rPr>
        <w:footnoteReference w:id="365"/>
      </w:r>
      <w:r w:rsidR="00C21260" w:rsidRPr="00A33930">
        <w:rPr>
          <w:rFonts w:eastAsia="Verdana" w:cs="Verdana"/>
          <w:szCs w:val="18"/>
          <w:lang w:val="nl-NL"/>
        </w:rPr>
        <w:t xml:space="preserve"> </w:t>
      </w:r>
      <w:r w:rsidR="00A40BA9" w:rsidRPr="00A33930">
        <w:rPr>
          <w:rFonts w:eastAsia="Verdana" w:cs="Verdana"/>
          <w:szCs w:val="18"/>
          <w:lang w:val="nl-NL"/>
        </w:rPr>
        <w:t>Het</w:t>
      </w:r>
      <w:r w:rsidR="00D87C0D" w:rsidRPr="00A33930">
        <w:rPr>
          <w:rFonts w:eastAsia="Verdana" w:cs="Verdana"/>
          <w:szCs w:val="18"/>
          <w:lang w:val="nl-NL"/>
        </w:rPr>
        <w:t xml:space="preserve"> idee dat het kind een eigen recht op persoonlijk contact zou krijgen werd in de Kamer </w:t>
      </w:r>
      <w:r w:rsidR="002C7C76" w:rsidRPr="00A33930">
        <w:rPr>
          <w:rFonts w:eastAsia="Verdana" w:cs="Verdana"/>
          <w:szCs w:val="18"/>
          <w:lang w:val="nl-NL"/>
        </w:rPr>
        <w:t xml:space="preserve">dus </w:t>
      </w:r>
      <w:r w:rsidR="00D87C0D" w:rsidRPr="00A33930">
        <w:rPr>
          <w:rFonts w:eastAsia="Verdana" w:cs="Verdana"/>
          <w:szCs w:val="18"/>
          <w:lang w:val="nl-NL"/>
        </w:rPr>
        <w:t>met veel tegenstand onthaald.</w:t>
      </w:r>
      <w:r w:rsidR="00D87C0D" w:rsidRPr="00A33930">
        <w:rPr>
          <w:rStyle w:val="Voetnootmarkering"/>
          <w:rFonts w:eastAsia="Verdana" w:cs="Verdana"/>
          <w:szCs w:val="18"/>
          <w:lang w:val="nl-NL"/>
        </w:rPr>
        <w:footnoteReference w:id="366"/>
      </w:r>
      <w:r w:rsidR="00462C04" w:rsidRPr="00A33930">
        <w:rPr>
          <w:rFonts w:eastAsia="Verdana" w:cs="Verdana"/>
          <w:szCs w:val="18"/>
          <w:lang w:val="nl-NL"/>
        </w:rPr>
        <w:t xml:space="preserve"> </w:t>
      </w:r>
      <w:r w:rsidR="00B824EE" w:rsidRPr="00A33930">
        <w:rPr>
          <w:rFonts w:eastAsia="Verdana" w:cs="Verdana"/>
          <w:szCs w:val="18"/>
          <w:lang w:val="nl-NL"/>
        </w:rPr>
        <w:t>De</w:t>
      </w:r>
      <w:r w:rsidR="002C7C76" w:rsidRPr="00A33930">
        <w:rPr>
          <w:rFonts w:eastAsia="Verdana" w:cs="Verdana"/>
          <w:szCs w:val="18"/>
          <w:lang w:val="nl-NL"/>
        </w:rPr>
        <w:t xml:space="preserve">ze </w:t>
      </w:r>
      <w:r w:rsidR="00B824EE" w:rsidRPr="00A33930">
        <w:rPr>
          <w:rFonts w:eastAsia="Verdana" w:cs="Verdana"/>
          <w:szCs w:val="18"/>
          <w:lang w:val="nl-NL"/>
        </w:rPr>
        <w:t xml:space="preserve">ommezwaai </w:t>
      </w:r>
      <w:r w:rsidR="002C7C76" w:rsidRPr="00A33930">
        <w:rPr>
          <w:rFonts w:eastAsia="Verdana" w:cs="Verdana"/>
          <w:szCs w:val="18"/>
          <w:lang w:val="nl-NL"/>
        </w:rPr>
        <w:t>vindt zijn oorsprong</w:t>
      </w:r>
      <w:r w:rsidR="00462C04" w:rsidRPr="00A33930">
        <w:rPr>
          <w:rFonts w:eastAsia="Verdana" w:cs="Verdana"/>
          <w:szCs w:val="18"/>
          <w:lang w:val="nl-NL"/>
        </w:rPr>
        <w:t xml:space="preserve"> in de toekenning van enige vorm van procesbekwaamheid aan het kind.</w:t>
      </w:r>
      <w:r w:rsidR="00B824EE" w:rsidRPr="00A33930">
        <w:rPr>
          <w:rStyle w:val="Voetnootmarkering"/>
          <w:rFonts w:eastAsia="Verdana" w:cs="Verdana"/>
          <w:szCs w:val="18"/>
          <w:lang w:val="nl-NL"/>
        </w:rPr>
        <w:footnoteReference w:id="367"/>
      </w:r>
      <w:r w:rsidR="0084611F" w:rsidRPr="00A33930">
        <w:rPr>
          <w:rFonts w:eastAsia="Verdana" w:cs="Verdana"/>
          <w:szCs w:val="18"/>
          <w:lang w:val="nl-NL"/>
        </w:rPr>
        <w:t xml:space="preserve"> </w:t>
      </w:r>
      <w:r w:rsidR="00C21260" w:rsidRPr="00A33930">
        <w:rPr>
          <w:rFonts w:eastAsia="Verdana" w:cs="Verdana"/>
          <w:szCs w:val="18"/>
          <w:lang w:val="nl-NL"/>
        </w:rPr>
        <w:t xml:space="preserve">Wanneer het kind geen mogelijkheid heeft om zijn recht af te dwingen, is de </w:t>
      </w:r>
      <w:r w:rsidR="005515C7" w:rsidRPr="00A33930">
        <w:rPr>
          <w:rFonts w:eastAsia="Verdana" w:cs="Verdana"/>
          <w:szCs w:val="18"/>
          <w:lang w:val="nl-NL"/>
        </w:rPr>
        <w:t>invoering</w:t>
      </w:r>
      <w:r w:rsidR="00C21260" w:rsidRPr="00A33930">
        <w:rPr>
          <w:rFonts w:eastAsia="Verdana" w:cs="Verdana"/>
          <w:szCs w:val="18"/>
          <w:lang w:val="nl-NL"/>
        </w:rPr>
        <w:t xml:space="preserve"> van een subjectief recht </w:t>
      </w:r>
      <w:r w:rsidR="005515C7" w:rsidRPr="00A33930">
        <w:rPr>
          <w:rFonts w:eastAsia="Verdana" w:cs="Verdana"/>
          <w:szCs w:val="18"/>
          <w:lang w:val="nl-NL"/>
        </w:rPr>
        <w:t xml:space="preserve">volgens velen </w:t>
      </w:r>
      <w:r w:rsidR="00C21260" w:rsidRPr="00A33930">
        <w:rPr>
          <w:rFonts w:eastAsia="Verdana" w:cs="Verdana"/>
          <w:szCs w:val="18"/>
          <w:lang w:val="nl-NL"/>
        </w:rPr>
        <w:t>overbodig.</w:t>
      </w:r>
      <w:r w:rsidR="00C21260" w:rsidRPr="00A33930">
        <w:rPr>
          <w:rStyle w:val="Voetnootmarkering"/>
          <w:rFonts w:eastAsia="Verdana" w:cs="Verdana"/>
          <w:szCs w:val="18"/>
          <w:lang w:val="nl-NL"/>
        </w:rPr>
        <w:footnoteReference w:id="368"/>
      </w:r>
      <w:r w:rsidR="00C21260" w:rsidRPr="00A33930">
        <w:rPr>
          <w:rFonts w:eastAsia="Verdana" w:cs="Verdana"/>
          <w:szCs w:val="18"/>
          <w:lang w:val="nl-NL"/>
        </w:rPr>
        <w:t xml:space="preserve"> </w:t>
      </w:r>
      <w:r w:rsidR="006B6A22" w:rsidRPr="00A33930">
        <w:rPr>
          <w:rFonts w:eastAsia="Verdana" w:cs="Verdana"/>
          <w:szCs w:val="18"/>
          <w:lang w:val="nl-NL"/>
        </w:rPr>
        <w:t xml:space="preserve">Daarbij wordt gesteld dat het versterken van het zelfbeschikkingsrecht van het kind en zijn “participatie” een risico vormt voor conflictueuze relaties tussen ouders en kinderen. </w:t>
      </w:r>
      <w:r w:rsidR="0084611F" w:rsidRPr="00A33930">
        <w:rPr>
          <w:rFonts w:eastAsia="Verdana" w:cs="Verdana"/>
          <w:szCs w:val="18"/>
          <w:lang w:val="nl-NL"/>
        </w:rPr>
        <w:t>Na</w:t>
      </w:r>
      <w:r w:rsidR="002C7C76" w:rsidRPr="00A33930">
        <w:rPr>
          <w:rFonts w:eastAsia="Verdana" w:cs="Verdana"/>
          <w:szCs w:val="18"/>
          <w:lang w:val="nl-NL"/>
        </w:rPr>
        <w:t xml:space="preserve">dien </w:t>
      </w:r>
      <w:r w:rsidR="0084611F" w:rsidRPr="00A33930">
        <w:rPr>
          <w:rFonts w:eastAsia="Verdana" w:cs="Verdana"/>
          <w:szCs w:val="18"/>
          <w:lang w:val="nl-NL"/>
        </w:rPr>
        <w:t xml:space="preserve">is er geen nieuw wetsvoorstel meer ingesteld dat een recht op persoonlijk contact van het kind </w:t>
      </w:r>
      <w:r w:rsidR="005515C7" w:rsidRPr="00A33930">
        <w:rPr>
          <w:rFonts w:eastAsia="Verdana" w:cs="Verdana"/>
          <w:szCs w:val="18"/>
          <w:lang w:val="nl-NL"/>
        </w:rPr>
        <w:t>poogde</w:t>
      </w:r>
      <w:r w:rsidR="0084611F" w:rsidRPr="00A33930">
        <w:rPr>
          <w:rFonts w:eastAsia="Verdana" w:cs="Verdana"/>
          <w:szCs w:val="18"/>
          <w:lang w:val="nl-NL"/>
        </w:rPr>
        <w:t xml:space="preserve"> in te schrijven in de Belgische regelgeving.</w:t>
      </w:r>
      <w:r w:rsidR="005515C7" w:rsidRPr="00A33930">
        <w:rPr>
          <w:rFonts w:eastAsia="Verdana" w:cs="Verdana"/>
          <w:szCs w:val="18"/>
          <w:lang w:val="nl-NL"/>
        </w:rPr>
        <w:t xml:space="preserve"> Dit wordt mede door twee belangrijke elementen verklaard: de wederkerigheid van het recht op persoonlijk contact (</w:t>
      </w:r>
      <w:r w:rsidR="005515C7" w:rsidRPr="00A33930">
        <w:rPr>
          <w:rFonts w:eastAsia="Verdana" w:cs="Verdana"/>
          <w:i/>
          <w:iCs/>
          <w:szCs w:val="18"/>
          <w:lang w:val="nl-NL"/>
        </w:rPr>
        <w:t>infra</w:t>
      </w:r>
      <w:r w:rsidR="005515C7" w:rsidRPr="00A33930">
        <w:rPr>
          <w:rFonts w:eastAsia="Verdana" w:cs="Verdana"/>
          <w:szCs w:val="18"/>
          <w:lang w:val="nl-NL"/>
        </w:rPr>
        <w:t xml:space="preserve">, nr. </w:t>
      </w:r>
      <w:r w:rsidR="00C673AD" w:rsidRPr="00A33930">
        <w:rPr>
          <w:rFonts w:eastAsia="Verdana" w:cs="Verdana"/>
          <w:szCs w:val="18"/>
          <w:lang w:val="nl-NL"/>
        </w:rPr>
        <w:t>97</w:t>
      </w:r>
      <w:r w:rsidR="005515C7" w:rsidRPr="00A33930">
        <w:rPr>
          <w:rFonts w:eastAsia="Verdana" w:cs="Verdana"/>
          <w:szCs w:val="18"/>
          <w:lang w:val="nl-NL"/>
        </w:rPr>
        <w:t xml:space="preserve">) en het doen ontstaan van een </w:t>
      </w:r>
      <w:r w:rsidR="009C78CD" w:rsidRPr="00A33930">
        <w:rPr>
          <w:rFonts w:eastAsia="Verdana" w:cs="Verdana"/>
          <w:szCs w:val="18"/>
          <w:lang w:val="nl-NL"/>
        </w:rPr>
        <w:t>contact</w:t>
      </w:r>
      <w:r w:rsidR="005515C7" w:rsidRPr="00A33930">
        <w:rPr>
          <w:rFonts w:eastAsia="Verdana" w:cs="Verdana"/>
          <w:szCs w:val="18"/>
          <w:lang w:val="nl-NL"/>
        </w:rPr>
        <w:t>plicht in hoofde van de meerderjarige (</w:t>
      </w:r>
      <w:r w:rsidR="005515C7" w:rsidRPr="00A33930">
        <w:rPr>
          <w:rFonts w:eastAsia="Verdana" w:cs="Verdana"/>
          <w:i/>
          <w:iCs/>
          <w:szCs w:val="18"/>
          <w:lang w:val="nl-NL"/>
        </w:rPr>
        <w:t>infra</w:t>
      </w:r>
      <w:r w:rsidR="005515C7" w:rsidRPr="00A33930">
        <w:rPr>
          <w:rFonts w:eastAsia="Verdana" w:cs="Verdana"/>
          <w:szCs w:val="18"/>
          <w:lang w:val="nl-NL"/>
        </w:rPr>
        <w:t xml:space="preserve">, nr. </w:t>
      </w:r>
      <w:r w:rsidR="00C673AD" w:rsidRPr="00A33930">
        <w:rPr>
          <w:rFonts w:eastAsia="Verdana" w:cs="Verdana"/>
          <w:szCs w:val="18"/>
          <w:lang w:val="nl-NL"/>
        </w:rPr>
        <w:t>98</w:t>
      </w:r>
      <w:r w:rsidR="005515C7" w:rsidRPr="00A33930">
        <w:rPr>
          <w:rFonts w:eastAsia="Verdana" w:cs="Verdana"/>
          <w:szCs w:val="18"/>
          <w:lang w:val="nl-NL"/>
        </w:rPr>
        <w:t>).</w:t>
      </w:r>
    </w:p>
    <w:p w14:paraId="4BBC943B" w14:textId="77777777" w:rsidR="005220E6" w:rsidRPr="00A33930" w:rsidRDefault="005220E6" w:rsidP="005220E6">
      <w:pPr>
        <w:pStyle w:val="Lijstalinea"/>
        <w:rPr>
          <w:rFonts w:eastAsia="Verdana" w:cs="Verdana"/>
          <w:szCs w:val="18"/>
          <w:lang w:val="nl-NL"/>
        </w:rPr>
      </w:pPr>
    </w:p>
    <w:p w14:paraId="5B0E6D84" w14:textId="49BAEBE4" w:rsidR="00C5081E" w:rsidRPr="00A33930" w:rsidRDefault="009C0EAA" w:rsidP="005515C7">
      <w:pPr>
        <w:pStyle w:val="Lijstalinea"/>
        <w:numPr>
          <w:ilvl w:val="0"/>
          <w:numId w:val="4"/>
        </w:numPr>
        <w:spacing w:before="200" w:after="0"/>
        <w:ind w:left="0" w:firstLine="0"/>
        <w:jc w:val="both"/>
        <w:rPr>
          <w:rFonts w:eastAsia="Verdana" w:cs="Verdana"/>
          <w:szCs w:val="18"/>
          <w:lang w:val="nl-NL"/>
        </w:rPr>
      </w:pPr>
      <w:r w:rsidRPr="00A33930">
        <w:rPr>
          <w:rFonts w:eastAsia="Verdana"/>
          <w:lang w:val="nl-NL"/>
        </w:rPr>
        <w:t>Het ouderlijk gezag wordt vandaag steeds meer gezien als een horizontale relatie, waarbij de focus ligt op de geleidelijke afname van gezag.</w:t>
      </w:r>
      <w:r w:rsidRPr="00A33930">
        <w:rPr>
          <w:rStyle w:val="Voetnootmarkering"/>
          <w:rFonts w:eastAsia="Verdana"/>
          <w:lang w:val="nl-NL"/>
        </w:rPr>
        <w:footnoteReference w:id="369"/>
      </w:r>
      <w:r w:rsidRPr="00A33930">
        <w:rPr>
          <w:rFonts w:eastAsia="Verdana"/>
          <w:lang w:val="nl-NL"/>
        </w:rPr>
        <w:t xml:space="preserve"> Deze </w:t>
      </w:r>
      <w:r w:rsidR="00566B1B" w:rsidRPr="00A33930">
        <w:rPr>
          <w:rFonts w:eastAsia="Verdana"/>
          <w:lang w:val="nl-NL"/>
        </w:rPr>
        <w:t>verschuiving</w:t>
      </w:r>
      <w:r w:rsidR="00C5081E" w:rsidRPr="00A33930">
        <w:rPr>
          <w:rFonts w:eastAsia="Verdana"/>
          <w:lang w:val="nl-NL"/>
        </w:rPr>
        <w:t xml:space="preserve"> </w:t>
      </w:r>
      <w:r w:rsidRPr="00A33930">
        <w:rPr>
          <w:rFonts w:eastAsia="Verdana"/>
          <w:lang w:val="nl-NL"/>
        </w:rPr>
        <w:t>volgt de</w:t>
      </w:r>
      <w:r w:rsidR="00C5081E" w:rsidRPr="00A33930">
        <w:rPr>
          <w:rFonts w:eastAsia="Verdana"/>
          <w:lang w:val="nl-NL"/>
        </w:rPr>
        <w:t xml:space="preserve"> </w:t>
      </w:r>
      <w:r w:rsidR="009710CE" w:rsidRPr="00A33930">
        <w:rPr>
          <w:rFonts w:eastAsia="Verdana"/>
          <w:i/>
          <w:iCs/>
          <w:lang w:val="nl-NL"/>
        </w:rPr>
        <w:t>ratio legis</w:t>
      </w:r>
      <w:r w:rsidRPr="00A33930">
        <w:rPr>
          <w:rFonts w:eastAsia="Verdana"/>
          <w:lang w:val="nl-NL"/>
        </w:rPr>
        <w:t xml:space="preserve"> van het</w:t>
      </w:r>
      <w:r w:rsidR="00C5081E" w:rsidRPr="00A33930">
        <w:rPr>
          <w:rFonts w:eastAsia="Verdana"/>
          <w:lang w:val="nl-NL"/>
        </w:rPr>
        <w:t xml:space="preserve"> IVRK (</w:t>
      </w:r>
      <w:r w:rsidR="00C5081E" w:rsidRPr="00A33930">
        <w:rPr>
          <w:rFonts w:eastAsia="Verdana"/>
          <w:i/>
          <w:iCs/>
          <w:lang w:val="nl-NL"/>
        </w:rPr>
        <w:t>supra</w:t>
      </w:r>
      <w:r w:rsidR="00C5081E" w:rsidRPr="00A33930">
        <w:rPr>
          <w:rFonts w:eastAsia="Verdana"/>
          <w:lang w:val="nl-NL"/>
        </w:rPr>
        <w:t xml:space="preserve">, nr. </w:t>
      </w:r>
      <w:r w:rsidR="00C673AD" w:rsidRPr="00A33930">
        <w:rPr>
          <w:rFonts w:eastAsia="Verdana"/>
          <w:lang w:val="nl-NL"/>
        </w:rPr>
        <w:t>32</w:t>
      </w:r>
      <w:r w:rsidR="00C5081E" w:rsidRPr="00A33930">
        <w:rPr>
          <w:rFonts w:eastAsia="Verdana"/>
          <w:lang w:val="nl-NL"/>
        </w:rPr>
        <w:t>).</w:t>
      </w:r>
      <w:r w:rsidR="00C5081E" w:rsidRPr="00A33930">
        <w:rPr>
          <w:rStyle w:val="Voetnootmarkering"/>
          <w:lang w:val="nl-NL"/>
        </w:rPr>
        <w:footnoteReference w:id="370"/>
      </w:r>
      <w:r w:rsidRPr="00A33930">
        <w:rPr>
          <w:rFonts w:eastAsia="Verdana"/>
          <w:lang w:val="nl-NL"/>
        </w:rPr>
        <w:t xml:space="preserve"> </w:t>
      </w:r>
      <w:r w:rsidR="006B6A22" w:rsidRPr="00A33930">
        <w:rPr>
          <w:rFonts w:eastAsia="Verdana"/>
          <w:lang w:val="nl-NL"/>
        </w:rPr>
        <w:t xml:space="preserve">Het IVRK </w:t>
      </w:r>
      <w:r w:rsidR="002C7C76" w:rsidRPr="00A33930">
        <w:rPr>
          <w:rFonts w:eastAsia="Verdana"/>
          <w:lang w:val="nl-NL"/>
        </w:rPr>
        <w:t>brengt</w:t>
      </w:r>
      <w:r w:rsidR="006B6A22" w:rsidRPr="00A33930">
        <w:rPr>
          <w:rFonts w:eastAsia="Verdana"/>
          <w:lang w:val="nl-NL"/>
        </w:rPr>
        <w:t xml:space="preserve"> meer balans in de </w:t>
      </w:r>
      <w:r w:rsidR="002C7C76" w:rsidRPr="00A33930">
        <w:rPr>
          <w:rFonts w:eastAsia="Verdana"/>
          <w:lang w:val="nl-NL"/>
        </w:rPr>
        <w:t xml:space="preserve">toepassing en toetsing van </w:t>
      </w:r>
      <w:r w:rsidR="006B6A22" w:rsidRPr="00A33930">
        <w:rPr>
          <w:rFonts w:eastAsia="Verdana"/>
          <w:lang w:val="nl-NL"/>
        </w:rPr>
        <w:t>rechten</w:t>
      </w:r>
      <w:r w:rsidR="00566B1B" w:rsidRPr="00A33930">
        <w:rPr>
          <w:rFonts w:eastAsia="Verdana"/>
          <w:lang w:val="nl-NL"/>
        </w:rPr>
        <w:t>,</w:t>
      </w:r>
      <w:r w:rsidR="006B6A22" w:rsidRPr="00A33930">
        <w:rPr>
          <w:rFonts w:eastAsia="Verdana"/>
          <w:lang w:val="nl-NL"/>
        </w:rPr>
        <w:t xml:space="preserve"> door het kind een eigen stem te geven. </w:t>
      </w:r>
      <w:r w:rsidR="002C7C76" w:rsidRPr="00A33930">
        <w:rPr>
          <w:rFonts w:eastAsia="Verdana"/>
          <w:lang w:val="nl-NL"/>
        </w:rPr>
        <w:t xml:space="preserve">Dat wordt benadrukt door de wederkerigheid van het recht op persoonlijk contact. </w:t>
      </w:r>
      <w:r w:rsidR="00772858" w:rsidRPr="00A33930">
        <w:rPr>
          <w:rFonts w:eastAsia="Verdana"/>
          <w:lang w:val="nl-NL"/>
        </w:rPr>
        <w:t xml:space="preserve">Het kind heeft namelijk een levenslange plicht tot </w:t>
      </w:r>
      <w:r w:rsidR="009320AB" w:rsidRPr="00A33930">
        <w:rPr>
          <w:rFonts w:eastAsia="Verdana"/>
          <w:lang w:val="nl-NL"/>
        </w:rPr>
        <w:t>respect</w:t>
      </w:r>
      <w:r w:rsidR="00772858" w:rsidRPr="00A33930">
        <w:rPr>
          <w:rFonts w:eastAsia="Verdana"/>
          <w:lang w:val="nl-NL"/>
        </w:rPr>
        <w:t xml:space="preserve"> tegenover zijn ouders, zelfs na zijn meerderjarigheid.</w:t>
      </w:r>
      <w:r w:rsidR="00772858" w:rsidRPr="00A33930">
        <w:rPr>
          <w:rStyle w:val="Voetnootmarkering"/>
          <w:rFonts w:eastAsia="Verdana"/>
          <w:lang w:val="nl-NL"/>
        </w:rPr>
        <w:footnoteReference w:id="371"/>
      </w:r>
      <w:r w:rsidR="00772858" w:rsidRPr="00A33930">
        <w:rPr>
          <w:rFonts w:eastAsia="Verdana"/>
          <w:lang w:val="nl-NL"/>
        </w:rPr>
        <w:t xml:space="preserve"> </w:t>
      </w:r>
      <w:r w:rsidR="00BD2733" w:rsidRPr="00A33930">
        <w:rPr>
          <w:rFonts w:eastAsia="Verdana"/>
          <w:lang w:val="nl-NL"/>
        </w:rPr>
        <w:t>Traditioneel was</w:t>
      </w:r>
      <w:r w:rsidR="002C7C76" w:rsidRPr="00A33930">
        <w:rPr>
          <w:rFonts w:eastAsia="Verdana"/>
          <w:lang w:val="nl-NL"/>
        </w:rPr>
        <w:t xml:space="preserve"> enkel</w:t>
      </w:r>
      <w:r w:rsidR="00BD2733" w:rsidRPr="00A33930">
        <w:rPr>
          <w:rFonts w:eastAsia="Verdana"/>
          <w:lang w:val="nl-NL"/>
        </w:rPr>
        <w:t xml:space="preserve"> het kind verbonden tot deze verplichting. </w:t>
      </w:r>
      <w:r w:rsidR="00C5081E" w:rsidRPr="00A33930">
        <w:rPr>
          <w:lang w:val="nl-NL"/>
        </w:rPr>
        <w:t>Tot de wet van 13 april 1995 luidde artikel 371 oud BW dan ook: “Een kind, van welke leeftijd ook, is aan zijn ouders eerbied en ontzag verschuldigd”.</w:t>
      </w:r>
      <w:r w:rsidR="00C5081E" w:rsidRPr="00A33930">
        <w:rPr>
          <w:rStyle w:val="Voetnootmarkering"/>
          <w:lang w:val="nl-NL"/>
        </w:rPr>
        <w:footnoteReference w:id="372"/>
      </w:r>
      <w:r w:rsidR="00C5081E" w:rsidRPr="00A33930">
        <w:rPr>
          <w:lang w:val="nl-NL"/>
        </w:rPr>
        <w:t xml:space="preserve"> Nu luidt het: “Een kind en zijn ouders zijn op </w:t>
      </w:r>
      <w:r w:rsidR="00C5081E" w:rsidRPr="00A33930">
        <w:rPr>
          <w:lang w:val="nl-NL"/>
        </w:rPr>
        <w:lastRenderedPageBreak/>
        <w:t>elke leeftijd aan elkaar respect verschuldigd”.</w:t>
      </w:r>
      <w:r w:rsidR="00674169" w:rsidRPr="00A33930">
        <w:rPr>
          <w:lang w:val="nl-NL"/>
        </w:rPr>
        <w:t xml:space="preserve"> </w:t>
      </w:r>
      <w:r w:rsidR="002C7C76" w:rsidRPr="00A33930">
        <w:rPr>
          <w:lang w:val="nl-NL"/>
        </w:rPr>
        <w:t>Hiermee</w:t>
      </w:r>
      <w:r w:rsidR="000505BA" w:rsidRPr="00A33930">
        <w:rPr>
          <w:lang w:val="nl-NL"/>
        </w:rPr>
        <w:t xml:space="preserve"> </w:t>
      </w:r>
      <w:r w:rsidR="002C7C76" w:rsidRPr="00A33930">
        <w:rPr>
          <w:lang w:val="nl-NL"/>
        </w:rPr>
        <w:t>wordt</w:t>
      </w:r>
      <w:r w:rsidR="000505BA" w:rsidRPr="00A33930">
        <w:rPr>
          <w:lang w:val="nl-NL"/>
        </w:rPr>
        <w:t xml:space="preserve"> de wederkerigheid van de relatie tussen ouder en kind </w:t>
      </w:r>
      <w:r w:rsidR="002C7C76" w:rsidRPr="00A33930">
        <w:rPr>
          <w:lang w:val="nl-NL"/>
        </w:rPr>
        <w:t>benadrukt</w:t>
      </w:r>
      <w:r w:rsidR="00BD2733" w:rsidRPr="00A33930">
        <w:rPr>
          <w:lang w:val="nl-NL"/>
        </w:rPr>
        <w:t>, evenals het zelfbeschikkingsrecht van het kind.</w:t>
      </w:r>
      <w:r w:rsidR="00BD2733" w:rsidRPr="00A33930">
        <w:rPr>
          <w:rStyle w:val="Voetnootmarkering"/>
          <w:lang w:val="nl-NL"/>
        </w:rPr>
        <w:footnoteReference w:id="373"/>
      </w:r>
      <w:r w:rsidR="00BD2733" w:rsidRPr="00A33930">
        <w:rPr>
          <w:lang w:val="nl-NL"/>
        </w:rPr>
        <w:t xml:space="preserve"> </w:t>
      </w:r>
      <w:r w:rsidR="009320AB" w:rsidRPr="00A33930">
        <w:rPr>
          <w:lang w:val="nl-NL"/>
        </w:rPr>
        <w:t xml:space="preserve">Dit wederzijds respect mag dan wel in de wet zijn ingeschreven, toch zal het perspectief van het kind vaak moeten wijken voor dat van de ouder. Het kind blijft nu eenmaal </w:t>
      </w:r>
      <w:r w:rsidR="002C7C76" w:rsidRPr="00A33930">
        <w:rPr>
          <w:lang w:val="nl-NL"/>
        </w:rPr>
        <w:t xml:space="preserve">volgens de huidige opvattingen voornamelijk </w:t>
      </w:r>
      <w:r w:rsidR="009320AB" w:rsidRPr="00A33930">
        <w:rPr>
          <w:lang w:val="nl-NL"/>
        </w:rPr>
        <w:t>een rechtsobject</w:t>
      </w:r>
      <w:r w:rsidR="002C7C76" w:rsidRPr="00A33930">
        <w:rPr>
          <w:lang w:val="nl-NL"/>
        </w:rPr>
        <w:t xml:space="preserve"> (</w:t>
      </w:r>
      <w:r w:rsidR="002C7C76" w:rsidRPr="00A33930">
        <w:rPr>
          <w:i/>
          <w:iCs/>
          <w:lang w:val="nl-NL"/>
        </w:rPr>
        <w:t>supra</w:t>
      </w:r>
      <w:r w:rsidR="002C7C76" w:rsidRPr="00A33930">
        <w:rPr>
          <w:lang w:val="nl-NL"/>
        </w:rPr>
        <w:t xml:space="preserve">, nr. </w:t>
      </w:r>
      <w:r w:rsidR="00C673AD" w:rsidRPr="00A33930">
        <w:rPr>
          <w:lang w:val="nl-NL"/>
        </w:rPr>
        <w:t>75</w:t>
      </w:r>
      <w:r w:rsidR="002C7C76" w:rsidRPr="00A33930">
        <w:rPr>
          <w:lang w:val="nl-NL"/>
        </w:rPr>
        <w:t>)</w:t>
      </w:r>
      <w:r w:rsidR="00E73F41" w:rsidRPr="00A33930">
        <w:rPr>
          <w:lang w:val="nl-NL"/>
        </w:rPr>
        <w:t>.</w:t>
      </w:r>
    </w:p>
    <w:p w14:paraId="538C4847" w14:textId="77777777" w:rsidR="00C5081E" w:rsidRPr="00A33930" w:rsidRDefault="00C5081E" w:rsidP="00674169">
      <w:pPr>
        <w:rPr>
          <w:rFonts w:eastAsia="Verdana" w:cs="Verdana"/>
          <w:szCs w:val="18"/>
          <w:lang w:val="nl-NL"/>
        </w:rPr>
      </w:pPr>
    </w:p>
    <w:p w14:paraId="0B9753E8" w14:textId="22F85B0D" w:rsidR="00F9577E" w:rsidRPr="00A33930" w:rsidRDefault="00C5081E" w:rsidP="00B824EE">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In België bestaat </w:t>
      </w:r>
      <w:r w:rsidR="00674169" w:rsidRPr="00A33930">
        <w:rPr>
          <w:rFonts w:eastAsia="Verdana" w:cs="Verdana"/>
          <w:szCs w:val="18"/>
          <w:lang w:val="nl-NL"/>
        </w:rPr>
        <w:t xml:space="preserve">anno 2023 </w:t>
      </w:r>
      <w:r w:rsidRPr="00A33930">
        <w:rPr>
          <w:rFonts w:eastAsia="Verdana" w:cs="Verdana"/>
          <w:szCs w:val="18"/>
          <w:lang w:val="nl-NL"/>
        </w:rPr>
        <w:t xml:space="preserve">voor ouders slechts een recht op persoonlijk contact maar geen </w:t>
      </w:r>
      <w:r w:rsidRPr="00A33930">
        <w:rPr>
          <w:rFonts w:eastAsia="Verdana" w:cs="Verdana"/>
          <w:i/>
          <w:iCs/>
          <w:szCs w:val="18"/>
          <w:lang w:val="nl-NL"/>
        </w:rPr>
        <w:t>plicht</w:t>
      </w:r>
      <w:r w:rsidRPr="00A33930">
        <w:rPr>
          <w:rFonts w:eastAsia="Verdana" w:cs="Verdana"/>
          <w:szCs w:val="18"/>
          <w:lang w:val="nl-NL"/>
        </w:rPr>
        <w:t xml:space="preserve"> om contact te onderhouden met zijn kinderen.</w:t>
      </w:r>
      <w:r w:rsidRPr="00A33930">
        <w:rPr>
          <w:rStyle w:val="Voetnootmarkering"/>
          <w:rFonts w:eastAsia="Verdana" w:cs="Verdana"/>
          <w:szCs w:val="18"/>
          <w:lang w:val="nl-NL"/>
        </w:rPr>
        <w:footnoteReference w:id="374"/>
      </w:r>
      <w:r w:rsidRPr="00A33930">
        <w:rPr>
          <w:rFonts w:eastAsia="Verdana" w:cs="Verdana"/>
          <w:szCs w:val="18"/>
          <w:lang w:val="nl-NL"/>
        </w:rPr>
        <w:t xml:space="preserve"> Dat heeft als gevolg dat het kind een </w:t>
      </w:r>
      <w:r w:rsidR="00E73F41" w:rsidRPr="00A33930">
        <w:rPr>
          <w:rFonts w:eastAsia="Verdana" w:cs="Verdana"/>
          <w:szCs w:val="18"/>
          <w:lang w:val="nl-NL"/>
        </w:rPr>
        <w:t>contact</w:t>
      </w:r>
      <w:r w:rsidRPr="00A33930">
        <w:rPr>
          <w:rFonts w:eastAsia="Verdana" w:cs="Verdana"/>
          <w:i/>
          <w:iCs/>
          <w:szCs w:val="18"/>
          <w:lang w:val="nl-NL"/>
        </w:rPr>
        <w:t>plicht</w:t>
      </w:r>
      <w:r w:rsidRPr="00A33930">
        <w:rPr>
          <w:rFonts w:eastAsia="Verdana" w:cs="Verdana"/>
          <w:szCs w:val="18"/>
          <w:lang w:val="nl-NL"/>
        </w:rPr>
        <w:t xml:space="preserve"> heeft ten opzichte van de ouders omdat zij een </w:t>
      </w:r>
      <w:r w:rsidR="00E73F41" w:rsidRPr="00A33930">
        <w:rPr>
          <w:rFonts w:eastAsia="Verdana" w:cs="Verdana"/>
          <w:szCs w:val="18"/>
          <w:lang w:val="nl-NL"/>
        </w:rPr>
        <w:t>contact</w:t>
      </w:r>
      <w:r w:rsidRPr="00A33930">
        <w:rPr>
          <w:rFonts w:eastAsia="Verdana" w:cs="Verdana"/>
          <w:i/>
          <w:iCs/>
          <w:szCs w:val="18"/>
          <w:lang w:val="nl-NL"/>
        </w:rPr>
        <w:t>recht</w:t>
      </w:r>
      <w:r w:rsidRPr="00A33930">
        <w:rPr>
          <w:rFonts w:eastAsia="Verdana" w:cs="Verdana"/>
          <w:szCs w:val="18"/>
          <w:lang w:val="nl-NL"/>
        </w:rPr>
        <w:t xml:space="preserve"> hebben ten opzichte van het kind. Deze </w:t>
      </w:r>
      <w:r w:rsidR="00E73F41" w:rsidRPr="00A33930">
        <w:rPr>
          <w:rFonts w:eastAsia="Verdana" w:cs="Verdana"/>
          <w:szCs w:val="18"/>
          <w:lang w:val="nl-NL"/>
        </w:rPr>
        <w:t>contact</w:t>
      </w:r>
      <w:r w:rsidRPr="00A33930">
        <w:rPr>
          <w:rFonts w:eastAsia="Verdana" w:cs="Verdana"/>
          <w:i/>
          <w:iCs/>
          <w:szCs w:val="18"/>
          <w:lang w:val="nl-NL"/>
        </w:rPr>
        <w:t>plicht</w:t>
      </w:r>
      <w:r w:rsidRPr="00A33930">
        <w:rPr>
          <w:rFonts w:eastAsia="Verdana" w:cs="Verdana"/>
          <w:szCs w:val="18"/>
          <w:lang w:val="nl-NL"/>
        </w:rPr>
        <w:t xml:space="preserve"> wordt niet aan de ouders opgelegd omdat dit een schending zou uitmaken van hun persoonlijke vrijheid.</w:t>
      </w:r>
      <w:r w:rsidRPr="00A33930">
        <w:rPr>
          <w:rStyle w:val="Voetnootmarkering"/>
          <w:rFonts w:eastAsia="Verdana" w:cs="Verdana"/>
          <w:szCs w:val="18"/>
          <w:lang w:val="nl-NL"/>
        </w:rPr>
        <w:footnoteReference w:id="375"/>
      </w:r>
      <w:r w:rsidR="009E4C3D" w:rsidRPr="00A33930">
        <w:rPr>
          <w:rFonts w:eastAsia="Verdana" w:cs="Verdana"/>
          <w:szCs w:val="18"/>
          <w:lang w:val="nl-NL"/>
        </w:rPr>
        <w:t xml:space="preserve"> </w:t>
      </w:r>
      <w:r w:rsidR="005318F0" w:rsidRPr="00A33930">
        <w:rPr>
          <w:rFonts w:eastAsia="Verdana" w:cs="Verdana"/>
          <w:szCs w:val="18"/>
          <w:lang w:val="nl-NL"/>
        </w:rPr>
        <w:t>Het betreft dus eenrichtingsverkeer, maar</w:t>
      </w:r>
      <w:r w:rsidR="00791813" w:rsidRPr="00A33930">
        <w:rPr>
          <w:rFonts w:eastAsia="Verdana" w:cs="Verdana"/>
          <w:szCs w:val="18"/>
          <w:lang w:val="nl-NL"/>
        </w:rPr>
        <w:t xml:space="preserve"> is dit niet wat ouderwets? Is een ouder-kindrelatie dan toch niet wederkerig</w:t>
      </w:r>
      <w:r w:rsidR="009710CE" w:rsidRPr="00A33930">
        <w:rPr>
          <w:rFonts w:eastAsia="Verdana" w:cs="Verdana"/>
          <w:szCs w:val="18"/>
          <w:lang w:val="nl-NL"/>
        </w:rPr>
        <w:t xml:space="preserve"> zoals voorzien in artikel 371 oud BW</w:t>
      </w:r>
      <w:r w:rsidR="00791813" w:rsidRPr="00A33930">
        <w:rPr>
          <w:rFonts w:eastAsia="Verdana" w:cs="Verdana"/>
          <w:szCs w:val="18"/>
          <w:lang w:val="nl-NL"/>
        </w:rPr>
        <w:t>?</w:t>
      </w:r>
      <w:r w:rsidR="009320AB" w:rsidRPr="00A33930">
        <w:rPr>
          <w:rFonts w:eastAsia="Verdana" w:cs="Verdana"/>
          <w:szCs w:val="18"/>
          <w:lang w:val="nl-NL"/>
        </w:rPr>
        <w:t xml:space="preserve"> </w:t>
      </w:r>
      <w:r w:rsidR="00671A1A" w:rsidRPr="00A33930">
        <w:rPr>
          <w:rFonts w:eastAsia="Verdana" w:cs="Verdana"/>
          <w:szCs w:val="18"/>
          <w:lang w:val="nl-NL"/>
        </w:rPr>
        <w:t xml:space="preserve">Dit </w:t>
      </w:r>
      <w:r w:rsidR="00C673AD" w:rsidRPr="00A33930">
        <w:rPr>
          <w:rFonts w:eastAsia="Verdana" w:cs="Verdana"/>
          <w:szCs w:val="18"/>
          <w:lang w:val="nl-NL"/>
        </w:rPr>
        <w:t>is</w:t>
      </w:r>
      <w:r w:rsidR="00671A1A" w:rsidRPr="00A33930">
        <w:rPr>
          <w:rFonts w:eastAsia="Verdana" w:cs="Verdana"/>
          <w:szCs w:val="18"/>
          <w:lang w:val="nl-NL"/>
        </w:rPr>
        <w:t xml:space="preserve"> op internationaal niveau </w:t>
      </w:r>
      <w:r w:rsidR="00F9577E" w:rsidRPr="00A33930">
        <w:rPr>
          <w:rFonts w:eastAsia="Verdana" w:cs="Verdana"/>
          <w:szCs w:val="18"/>
          <w:lang w:val="nl-NL"/>
        </w:rPr>
        <w:t xml:space="preserve">namelijk </w:t>
      </w:r>
      <w:r w:rsidR="00C673AD" w:rsidRPr="00A33930">
        <w:rPr>
          <w:rFonts w:eastAsia="Verdana" w:cs="Verdana"/>
          <w:szCs w:val="18"/>
          <w:lang w:val="nl-NL"/>
        </w:rPr>
        <w:t>wel een belangrijk uitgangspunt</w:t>
      </w:r>
      <w:r w:rsidR="00671A1A" w:rsidRPr="00A33930">
        <w:rPr>
          <w:rFonts w:eastAsia="Verdana" w:cs="Verdana"/>
          <w:szCs w:val="18"/>
          <w:lang w:val="nl-NL"/>
        </w:rPr>
        <w:t xml:space="preserve"> (</w:t>
      </w:r>
      <w:r w:rsidR="00671A1A" w:rsidRPr="00A33930">
        <w:rPr>
          <w:rFonts w:eastAsia="Verdana" w:cs="Verdana"/>
          <w:i/>
          <w:iCs/>
          <w:szCs w:val="18"/>
          <w:lang w:val="nl-NL"/>
        </w:rPr>
        <w:t>supra</w:t>
      </w:r>
      <w:r w:rsidR="00671A1A" w:rsidRPr="00A33930">
        <w:rPr>
          <w:rFonts w:eastAsia="Verdana" w:cs="Verdana"/>
          <w:szCs w:val="18"/>
          <w:lang w:val="nl-NL"/>
        </w:rPr>
        <w:t xml:space="preserve">, nr. </w:t>
      </w:r>
      <w:r w:rsidR="00C673AD" w:rsidRPr="00A33930">
        <w:rPr>
          <w:rFonts w:eastAsia="Verdana" w:cs="Verdana"/>
          <w:szCs w:val="18"/>
          <w:lang w:val="nl-NL"/>
        </w:rPr>
        <w:t>56</w:t>
      </w:r>
      <w:r w:rsidR="00671A1A" w:rsidRPr="00A33930">
        <w:rPr>
          <w:rFonts w:eastAsia="Verdana" w:cs="Verdana"/>
          <w:szCs w:val="18"/>
          <w:lang w:val="nl-NL"/>
        </w:rPr>
        <w:t>).</w:t>
      </w:r>
    </w:p>
    <w:p w14:paraId="477AAF17" w14:textId="77777777" w:rsidR="00F9577E" w:rsidRPr="00A33930" w:rsidRDefault="00F9577E" w:rsidP="00F9577E">
      <w:pPr>
        <w:pStyle w:val="Lijstalinea"/>
        <w:rPr>
          <w:lang w:val="nl-NL"/>
        </w:rPr>
      </w:pPr>
    </w:p>
    <w:p w14:paraId="3DDCECCD" w14:textId="582BDF94" w:rsidR="00DB543F" w:rsidRPr="00A33930" w:rsidRDefault="000F53E1" w:rsidP="00F9577E">
      <w:pPr>
        <w:pStyle w:val="Lijstalinea"/>
        <w:spacing w:before="200" w:after="0"/>
        <w:ind w:left="0"/>
        <w:jc w:val="both"/>
        <w:rPr>
          <w:rFonts w:eastAsia="Verdana" w:cs="Verdana"/>
          <w:szCs w:val="18"/>
          <w:lang w:val="nl-NL"/>
        </w:rPr>
      </w:pPr>
      <w:r w:rsidRPr="00A33930">
        <w:rPr>
          <w:lang w:val="nl-NL"/>
        </w:rPr>
        <w:t xml:space="preserve">Op de overheid rust een positieve plicht om het privé-, familie- en gezinsleven te garanderen en te beschermen. De familierechtbank kan zodus geen </w:t>
      </w:r>
      <w:r w:rsidRPr="00A33930">
        <w:rPr>
          <w:i/>
          <w:iCs/>
          <w:lang w:val="nl-NL"/>
        </w:rPr>
        <w:t>plicht</w:t>
      </w:r>
      <w:r w:rsidRPr="00A33930">
        <w:rPr>
          <w:lang w:val="nl-NL"/>
        </w:rPr>
        <w:t xml:space="preserve"> tot contact opleggen </w:t>
      </w:r>
      <w:r w:rsidR="00F9577E" w:rsidRPr="00A33930">
        <w:rPr>
          <w:lang w:val="nl-NL"/>
        </w:rPr>
        <w:t>wanneer</w:t>
      </w:r>
      <w:r w:rsidRPr="00A33930">
        <w:rPr>
          <w:lang w:val="nl-NL"/>
        </w:rPr>
        <w:t xml:space="preserve"> dit </w:t>
      </w:r>
      <w:r w:rsidR="00F9577E" w:rsidRPr="00A33930">
        <w:rPr>
          <w:lang w:val="nl-NL"/>
        </w:rPr>
        <w:t xml:space="preserve">eventueel </w:t>
      </w:r>
      <w:r w:rsidRPr="00A33930">
        <w:rPr>
          <w:lang w:val="nl-NL"/>
        </w:rPr>
        <w:t>het belang van het kind zou dienen.</w:t>
      </w:r>
      <w:r w:rsidRPr="00A33930">
        <w:rPr>
          <w:rStyle w:val="Voetnootmarkering"/>
          <w:lang w:val="nl-NL"/>
        </w:rPr>
        <w:footnoteReference w:id="376"/>
      </w:r>
      <w:r w:rsidRPr="00A33930">
        <w:rPr>
          <w:lang w:val="nl-NL"/>
        </w:rPr>
        <w:t xml:space="preserve"> </w:t>
      </w:r>
      <w:r w:rsidR="00F9577E" w:rsidRPr="00A33930">
        <w:rPr>
          <w:rFonts w:eastAsia="Verdana" w:cs="Verdana"/>
          <w:szCs w:val="18"/>
          <w:lang w:val="nl-NL"/>
        </w:rPr>
        <w:t>Een</w:t>
      </w:r>
      <w:r w:rsidR="00671A1A" w:rsidRPr="00A33930">
        <w:rPr>
          <w:rFonts w:eastAsia="Verdana" w:cs="Verdana"/>
          <w:szCs w:val="18"/>
          <w:lang w:val="nl-NL"/>
        </w:rPr>
        <w:t xml:space="preserve"> eigen </w:t>
      </w:r>
      <w:r w:rsidR="00F9577E" w:rsidRPr="00A33930">
        <w:rPr>
          <w:rFonts w:eastAsia="Verdana" w:cs="Verdana"/>
          <w:szCs w:val="18"/>
          <w:lang w:val="nl-NL"/>
        </w:rPr>
        <w:t>contact</w:t>
      </w:r>
      <w:r w:rsidR="00671A1A" w:rsidRPr="00A33930">
        <w:rPr>
          <w:rFonts w:eastAsia="Verdana" w:cs="Verdana"/>
          <w:szCs w:val="18"/>
          <w:lang w:val="nl-NL"/>
        </w:rPr>
        <w:t xml:space="preserve">recht van het kind </w:t>
      </w:r>
      <w:r w:rsidR="00A50143" w:rsidRPr="00A33930">
        <w:rPr>
          <w:rFonts w:eastAsia="Verdana" w:cs="Verdana"/>
          <w:szCs w:val="18"/>
          <w:lang w:val="nl-NL"/>
        </w:rPr>
        <w:t>kan mogelijk</w:t>
      </w:r>
      <w:r w:rsidR="00F9577E" w:rsidRPr="00A33930">
        <w:rPr>
          <w:rFonts w:eastAsia="Verdana" w:cs="Verdana"/>
          <w:szCs w:val="18"/>
          <w:lang w:val="nl-NL"/>
        </w:rPr>
        <w:t>s</w:t>
      </w:r>
      <w:r w:rsidR="00671A1A" w:rsidRPr="00A33930">
        <w:rPr>
          <w:rFonts w:eastAsia="Verdana" w:cs="Verdana"/>
          <w:szCs w:val="18"/>
          <w:lang w:val="nl-NL"/>
        </w:rPr>
        <w:t xml:space="preserve"> snel beschouwd worden als een louter theoretisch recht, doordat de uitoefening zou botsen tegen het recht op persoonlijke vrijheid en de onschendbaarheid van de woning van de volwassene.</w:t>
      </w:r>
      <w:r w:rsidR="00671A1A" w:rsidRPr="00A33930">
        <w:rPr>
          <w:rStyle w:val="Voetnootmarkering"/>
          <w:rFonts w:eastAsia="Verdana" w:cs="Verdana"/>
          <w:szCs w:val="18"/>
          <w:lang w:val="nl-NL"/>
        </w:rPr>
        <w:footnoteReference w:id="377"/>
      </w:r>
      <w:r w:rsidR="00671A1A" w:rsidRPr="00A33930">
        <w:rPr>
          <w:rFonts w:eastAsia="Verdana" w:cs="Verdana"/>
          <w:szCs w:val="18"/>
          <w:lang w:val="nl-NL"/>
        </w:rPr>
        <w:t xml:space="preserve"> </w:t>
      </w:r>
      <w:r w:rsidR="00387759" w:rsidRPr="00A33930">
        <w:rPr>
          <w:rFonts w:eastAsia="Verdana" w:cs="Verdana"/>
          <w:szCs w:val="18"/>
          <w:lang w:val="nl-NL"/>
        </w:rPr>
        <w:t xml:space="preserve">Dit recht </w:t>
      </w:r>
      <w:r w:rsidR="00DB543F" w:rsidRPr="00A33930">
        <w:rPr>
          <w:rFonts w:eastAsia="Verdana" w:cs="Verdana"/>
          <w:szCs w:val="18"/>
          <w:lang w:val="nl-NL"/>
        </w:rPr>
        <w:t>beschermt de woning van de volwassene tegen het zonder toestemming betreden van de woning.</w:t>
      </w:r>
      <w:r w:rsidR="00387759" w:rsidRPr="00A33930">
        <w:rPr>
          <w:rFonts w:eastAsia="Verdana" w:cs="Verdana"/>
          <w:szCs w:val="18"/>
          <w:lang w:val="nl-NL"/>
        </w:rPr>
        <w:t xml:space="preserve"> </w:t>
      </w:r>
    </w:p>
    <w:p w14:paraId="2ECF0CD4" w14:textId="77777777" w:rsidR="00DB543F" w:rsidRPr="00A33930" w:rsidRDefault="00DB543F" w:rsidP="00F9577E">
      <w:pPr>
        <w:pStyle w:val="Lijstalinea"/>
        <w:spacing w:before="200" w:after="0"/>
        <w:ind w:left="0"/>
        <w:jc w:val="both"/>
        <w:rPr>
          <w:rFonts w:eastAsia="Verdana" w:cs="Verdana"/>
          <w:szCs w:val="18"/>
          <w:lang w:val="nl-NL"/>
        </w:rPr>
      </w:pPr>
    </w:p>
    <w:p w14:paraId="57947089" w14:textId="5F753715" w:rsidR="005515C7" w:rsidRPr="00A33930" w:rsidRDefault="000F53E1" w:rsidP="00F9577E">
      <w:pPr>
        <w:pStyle w:val="Lijstalinea"/>
        <w:spacing w:before="200" w:after="0"/>
        <w:ind w:left="0"/>
        <w:jc w:val="both"/>
        <w:rPr>
          <w:rFonts w:eastAsia="Verdana" w:cs="Verdana"/>
          <w:szCs w:val="18"/>
          <w:lang w:val="nl-NL"/>
        </w:rPr>
      </w:pPr>
      <w:r w:rsidRPr="00A33930">
        <w:rPr>
          <w:rFonts w:eastAsia="Verdana" w:cs="Verdana"/>
          <w:szCs w:val="18"/>
          <w:lang w:val="nl-NL"/>
        </w:rPr>
        <w:t>Het ontstaan van enige vorm van contact</w:t>
      </w:r>
      <w:r w:rsidRPr="00A33930">
        <w:rPr>
          <w:rFonts w:eastAsia="Verdana" w:cs="Verdana"/>
          <w:i/>
          <w:iCs/>
          <w:szCs w:val="18"/>
          <w:lang w:val="nl-NL"/>
        </w:rPr>
        <w:t>plicht</w:t>
      </w:r>
      <w:r w:rsidRPr="00A33930">
        <w:rPr>
          <w:rFonts w:eastAsia="Verdana" w:cs="Verdana"/>
          <w:szCs w:val="18"/>
          <w:lang w:val="nl-NL"/>
        </w:rPr>
        <w:t xml:space="preserve"> ten aanzien van een meerderjarige moet evenwel genuanceerd worden. Het recht op persoonlijk contact houdt namelijk geen</w:t>
      </w:r>
      <w:r w:rsidR="00671A1A" w:rsidRPr="00A33930">
        <w:rPr>
          <w:rFonts w:eastAsia="Verdana" w:cs="Verdana"/>
          <w:szCs w:val="18"/>
          <w:lang w:val="nl-NL"/>
        </w:rPr>
        <w:t xml:space="preserve"> absolute</w:t>
      </w:r>
      <w:r w:rsidRPr="00A33930">
        <w:rPr>
          <w:rFonts w:eastAsia="Verdana" w:cs="Verdana"/>
          <w:szCs w:val="18"/>
          <w:lang w:val="nl-NL"/>
        </w:rPr>
        <w:t xml:space="preserve"> beperking in op het recht op persoonlijke vrijheid van de </w:t>
      </w:r>
      <w:r w:rsidR="00671A1A" w:rsidRPr="00A33930">
        <w:rPr>
          <w:rFonts w:eastAsia="Verdana" w:cs="Verdana"/>
          <w:szCs w:val="18"/>
          <w:lang w:val="nl-NL"/>
        </w:rPr>
        <w:t>volwassene</w:t>
      </w:r>
      <w:r w:rsidRPr="00A33930">
        <w:rPr>
          <w:rFonts w:eastAsia="Verdana" w:cs="Verdana"/>
          <w:szCs w:val="18"/>
          <w:lang w:val="nl-NL"/>
        </w:rPr>
        <w:t>. Deze beperking doet zich in principe pas voor indien dit recht als een plicht zou worden afgedwongen.</w:t>
      </w:r>
      <w:r w:rsidRPr="00A33930">
        <w:rPr>
          <w:rStyle w:val="Voetnootmarkering"/>
          <w:rFonts w:eastAsia="Verdana" w:cs="Verdana"/>
          <w:szCs w:val="18"/>
          <w:lang w:val="nl-NL"/>
        </w:rPr>
        <w:footnoteReference w:id="378"/>
      </w:r>
      <w:r w:rsidR="00111958" w:rsidRPr="00A33930">
        <w:rPr>
          <w:rFonts w:eastAsia="Verdana" w:cs="Verdana"/>
          <w:szCs w:val="18"/>
          <w:lang w:val="nl-NL"/>
        </w:rPr>
        <w:t xml:space="preserve"> Het is </w:t>
      </w:r>
      <w:r w:rsidR="00671A1A" w:rsidRPr="00A33930">
        <w:rPr>
          <w:rFonts w:eastAsia="Verdana" w:cs="Verdana"/>
          <w:szCs w:val="18"/>
          <w:lang w:val="nl-NL"/>
        </w:rPr>
        <w:t>bovendien</w:t>
      </w:r>
      <w:r w:rsidR="00111958" w:rsidRPr="00A33930">
        <w:rPr>
          <w:rFonts w:eastAsia="Verdana" w:cs="Verdana"/>
          <w:szCs w:val="18"/>
          <w:lang w:val="nl-NL"/>
        </w:rPr>
        <w:t xml:space="preserve"> </w:t>
      </w:r>
      <w:r w:rsidR="00671A1A" w:rsidRPr="00A33930">
        <w:rPr>
          <w:rFonts w:eastAsia="Verdana" w:cs="Verdana"/>
          <w:szCs w:val="18"/>
          <w:lang w:val="nl-NL"/>
        </w:rPr>
        <w:t xml:space="preserve">zeer </w:t>
      </w:r>
      <w:r w:rsidR="00111958" w:rsidRPr="00A33930">
        <w:rPr>
          <w:rFonts w:eastAsia="Verdana" w:cs="Verdana"/>
          <w:szCs w:val="18"/>
          <w:lang w:val="nl-NL"/>
        </w:rPr>
        <w:t xml:space="preserve">onwenselijk om het recht op privé-, familie- en gezinsleven uit artikel 8.1 EVRM af te wegen tegen het grondrecht op fysieke integriteit en persoonlijke vrijheid. Dat zou </w:t>
      </w:r>
      <w:r w:rsidR="00671A1A" w:rsidRPr="00A33930">
        <w:rPr>
          <w:rFonts w:eastAsia="Verdana" w:cs="Verdana"/>
          <w:szCs w:val="18"/>
          <w:lang w:val="nl-NL"/>
        </w:rPr>
        <w:t>namelijk</w:t>
      </w:r>
      <w:r w:rsidR="00111958" w:rsidRPr="00A33930">
        <w:rPr>
          <w:rFonts w:eastAsia="Verdana" w:cs="Verdana"/>
          <w:szCs w:val="18"/>
          <w:lang w:val="nl-NL"/>
        </w:rPr>
        <w:t xml:space="preserve"> fysieke dwang</w:t>
      </w:r>
      <w:r w:rsidR="00671A1A" w:rsidRPr="00A33930">
        <w:rPr>
          <w:rFonts w:eastAsia="Verdana" w:cs="Verdana"/>
          <w:szCs w:val="18"/>
          <w:lang w:val="nl-NL"/>
        </w:rPr>
        <w:t xml:space="preserve"> impliceren, </w:t>
      </w:r>
      <w:r w:rsidR="00111958" w:rsidRPr="00A33930">
        <w:rPr>
          <w:rFonts w:eastAsia="Verdana" w:cs="Verdana"/>
          <w:szCs w:val="18"/>
          <w:lang w:val="nl-NL"/>
        </w:rPr>
        <w:t xml:space="preserve">zowel </w:t>
      </w:r>
      <w:r w:rsidR="00671A1A" w:rsidRPr="00A33930">
        <w:rPr>
          <w:rFonts w:eastAsia="Verdana" w:cs="Verdana"/>
          <w:szCs w:val="18"/>
          <w:lang w:val="nl-NL"/>
        </w:rPr>
        <w:t xml:space="preserve">ten aanzien van </w:t>
      </w:r>
      <w:r w:rsidR="00111958" w:rsidRPr="00A33930">
        <w:rPr>
          <w:rFonts w:eastAsia="Verdana" w:cs="Verdana"/>
          <w:szCs w:val="18"/>
          <w:lang w:val="nl-NL"/>
        </w:rPr>
        <w:t>andere contactgerechtigden als</w:t>
      </w:r>
      <w:r w:rsidR="00671A1A" w:rsidRPr="00A33930">
        <w:rPr>
          <w:rFonts w:eastAsia="Verdana" w:cs="Verdana"/>
          <w:szCs w:val="18"/>
          <w:lang w:val="nl-NL"/>
        </w:rPr>
        <w:t xml:space="preserve"> ten aanzien van</w:t>
      </w:r>
      <w:r w:rsidR="00111958" w:rsidRPr="00A33930">
        <w:rPr>
          <w:rFonts w:eastAsia="Verdana" w:cs="Verdana"/>
          <w:szCs w:val="18"/>
          <w:lang w:val="nl-NL"/>
        </w:rPr>
        <w:t xml:space="preserve"> de kinderen.</w:t>
      </w:r>
      <w:r w:rsidR="00111958" w:rsidRPr="00A33930">
        <w:rPr>
          <w:rStyle w:val="Voetnootmarkering"/>
          <w:rFonts w:eastAsia="Verdana" w:cs="Verdana"/>
          <w:szCs w:val="18"/>
          <w:lang w:val="nl-NL"/>
        </w:rPr>
        <w:footnoteReference w:id="379"/>
      </w:r>
      <w:r w:rsidR="00671A1A" w:rsidRPr="00A33930">
        <w:rPr>
          <w:rFonts w:eastAsia="Verdana" w:cs="Verdana"/>
          <w:szCs w:val="18"/>
          <w:lang w:val="nl-NL"/>
        </w:rPr>
        <w:t xml:space="preserve"> </w:t>
      </w:r>
      <w:r w:rsidR="005515C7" w:rsidRPr="00A33930">
        <w:rPr>
          <w:lang w:val="nl-NL"/>
        </w:rPr>
        <w:br w:type="page"/>
      </w:r>
    </w:p>
    <w:p w14:paraId="2AE373A0" w14:textId="5DDF38D7" w:rsidR="009A1D12" w:rsidRPr="00A33930" w:rsidRDefault="009A1D12" w:rsidP="009A1D12">
      <w:pPr>
        <w:pStyle w:val="Kop3"/>
        <w:numPr>
          <w:ilvl w:val="0"/>
          <w:numId w:val="0"/>
        </w:numPr>
        <w:spacing w:before="360"/>
        <w:ind w:left="357" w:hanging="357"/>
        <w:jc w:val="both"/>
        <w:rPr>
          <w:lang w:val="nl-NL"/>
        </w:rPr>
      </w:pPr>
      <w:bookmarkStart w:id="29" w:name="_Toc134621188"/>
      <w:r w:rsidRPr="00A33930">
        <w:rPr>
          <w:lang w:val="nl-NL"/>
        </w:rPr>
        <w:lastRenderedPageBreak/>
        <w:t>Afdeling II.</w:t>
      </w:r>
      <w:r w:rsidRPr="00A33930">
        <w:rPr>
          <w:lang w:val="nl-NL"/>
        </w:rPr>
        <w:tab/>
      </w:r>
      <w:r w:rsidRPr="00A33930">
        <w:rPr>
          <w:lang w:val="nl-NL"/>
        </w:rPr>
        <w:tab/>
        <w:t>In de praktijk</w:t>
      </w:r>
      <w:bookmarkEnd w:id="29"/>
    </w:p>
    <w:p w14:paraId="4AA423F9" w14:textId="39BFDB53" w:rsidR="00A97A0A" w:rsidRPr="00A33930" w:rsidRDefault="00AC19F9" w:rsidP="00117B8D">
      <w:pPr>
        <w:pStyle w:val="Lijstalinea"/>
        <w:numPr>
          <w:ilvl w:val="0"/>
          <w:numId w:val="4"/>
        </w:numPr>
        <w:spacing w:before="200" w:after="0"/>
        <w:ind w:left="0" w:firstLine="0"/>
        <w:jc w:val="both"/>
        <w:rPr>
          <w:lang w:val="nl-NL"/>
        </w:rPr>
      </w:pPr>
      <w:r w:rsidRPr="00A33930">
        <w:rPr>
          <w:rFonts w:eastAsia="Verdana" w:cs="Verdana"/>
          <w:szCs w:val="18"/>
          <w:lang w:val="nl-NL"/>
        </w:rPr>
        <w:t>Door de wet van 30 juli 2013 werd de bevoegdheid voor geschillen inzake de uitoefening van het ouderlijk gezag toegekend aan de familierechtbank.</w:t>
      </w:r>
      <w:r w:rsidR="00113FE8" w:rsidRPr="00A33930">
        <w:rPr>
          <w:rStyle w:val="Voetnootmarkering"/>
          <w:rFonts w:eastAsia="Verdana" w:cs="Verdana"/>
          <w:szCs w:val="18"/>
          <w:lang w:val="nl-NL"/>
        </w:rPr>
        <w:footnoteReference w:id="380"/>
      </w:r>
      <w:r w:rsidR="00A97A0A" w:rsidRPr="00A33930">
        <w:rPr>
          <w:rFonts w:eastAsia="Verdana" w:cs="Verdana"/>
          <w:szCs w:val="18"/>
          <w:lang w:val="nl-NL"/>
        </w:rPr>
        <w:t xml:space="preserve"> </w:t>
      </w:r>
      <w:r w:rsidR="00B037A0" w:rsidRPr="00A33930">
        <w:rPr>
          <w:lang w:val="nl-NL"/>
        </w:rPr>
        <w:t>Zoals reeds aangehaald staat de minderjarige onder ouderlijk gezag</w:t>
      </w:r>
      <w:r w:rsidR="00A97A0A" w:rsidRPr="00A33930">
        <w:rPr>
          <w:lang w:val="nl-NL"/>
        </w:rPr>
        <w:t xml:space="preserve"> en is hij procesonbekwaam (</w:t>
      </w:r>
      <w:r w:rsidR="00A97A0A" w:rsidRPr="00A33930">
        <w:rPr>
          <w:i/>
          <w:iCs/>
          <w:lang w:val="nl-NL"/>
        </w:rPr>
        <w:t>supra</w:t>
      </w:r>
      <w:r w:rsidR="00A97A0A" w:rsidRPr="00A33930">
        <w:rPr>
          <w:lang w:val="nl-NL"/>
        </w:rPr>
        <w:t xml:space="preserve">, nr. </w:t>
      </w:r>
      <w:r w:rsidR="00C673AD" w:rsidRPr="00A33930">
        <w:rPr>
          <w:lang w:val="nl-NL"/>
        </w:rPr>
        <w:t>82</w:t>
      </w:r>
      <w:r w:rsidR="00A97A0A" w:rsidRPr="00A33930">
        <w:rPr>
          <w:lang w:val="nl-NL"/>
        </w:rPr>
        <w:t>)</w:t>
      </w:r>
      <w:r w:rsidR="00B037A0" w:rsidRPr="00A33930">
        <w:rPr>
          <w:lang w:val="nl-NL"/>
        </w:rPr>
        <w:t>. Hij wordt in procedures voor de rechtbank doorgaans vertegenwoordigd door zijn ouders</w:t>
      </w:r>
      <w:r w:rsidR="00723562" w:rsidRPr="00A33930">
        <w:rPr>
          <w:lang w:val="nl-NL"/>
        </w:rPr>
        <w:t xml:space="preserve">, maar zal </w:t>
      </w:r>
      <w:r w:rsidR="00224414" w:rsidRPr="00A33930">
        <w:rPr>
          <w:lang w:val="nl-NL"/>
        </w:rPr>
        <w:t xml:space="preserve">hierbij </w:t>
      </w:r>
      <w:r w:rsidR="00723562" w:rsidRPr="00A33930">
        <w:rPr>
          <w:lang w:val="nl-NL"/>
        </w:rPr>
        <w:t xml:space="preserve">nooit </w:t>
      </w:r>
      <w:r w:rsidR="00224414" w:rsidRPr="00A33930">
        <w:rPr>
          <w:lang w:val="nl-NL"/>
        </w:rPr>
        <w:t xml:space="preserve">zelf </w:t>
      </w:r>
      <w:r w:rsidR="00723562" w:rsidRPr="00A33930">
        <w:rPr>
          <w:lang w:val="nl-NL"/>
        </w:rPr>
        <w:t>optreden als procespartij</w:t>
      </w:r>
      <w:r w:rsidR="00B037A0" w:rsidRPr="00A33930">
        <w:rPr>
          <w:lang w:val="nl-NL"/>
        </w:rPr>
        <w:t>.</w:t>
      </w:r>
      <w:r w:rsidR="00A97A0A" w:rsidRPr="00A33930">
        <w:rPr>
          <w:rStyle w:val="Voetnootmarkering"/>
          <w:lang w:val="nl-NL"/>
        </w:rPr>
        <w:footnoteReference w:id="381"/>
      </w:r>
      <w:r w:rsidR="00A6428B" w:rsidRPr="00A33930">
        <w:rPr>
          <w:lang w:val="nl-NL"/>
        </w:rPr>
        <w:t xml:space="preserve"> </w:t>
      </w:r>
      <w:r w:rsidR="00224414" w:rsidRPr="00A33930">
        <w:rPr>
          <w:lang w:val="nl-NL"/>
        </w:rPr>
        <w:t xml:space="preserve">Dit vormt voor het kind een praktisch probleem. </w:t>
      </w:r>
      <w:r w:rsidR="00A97A0A" w:rsidRPr="00A33930">
        <w:rPr>
          <w:lang w:val="nl-NL"/>
        </w:rPr>
        <w:t>De minderjarige kan zich richten tot het openbaar ministerie, die vervolgens een vordering instelt op grond van artikel 387</w:t>
      </w:r>
      <w:r w:rsidR="00A97A0A" w:rsidRPr="00A33930">
        <w:rPr>
          <w:i/>
          <w:iCs/>
          <w:lang w:val="nl-NL"/>
        </w:rPr>
        <w:t>bis</w:t>
      </w:r>
      <w:r w:rsidR="00A97A0A" w:rsidRPr="00A33930">
        <w:rPr>
          <w:lang w:val="nl-NL"/>
        </w:rPr>
        <w:t xml:space="preserve"> oud BW.</w:t>
      </w:r>
      <w:r w:rsidR="00A97A0A" w:rsidRPr="00A33930">
        <w:rPr>
          <w:rStyle w:val="Voetnootmarkering"/>
          <w:lang w:val="nl-NL"/>
        </w:rPr>
        <w:footnoteReference w:id="382"/>
      </w:r>
      <w:r w:rsidR="00A97A0A" w:rsidRPr="00A33930">
        <w:rPr>
          <w:lang w:val="nl-NL"/>
        </w:rPr>
        <w:t xml:space="preserve"> </w:t>
      </w:r>
      <w:r w:rsidR="00117B8D" w:rsidRPr="00A33930">
        <w:rPr>
          <w:lang w:val="nl-NL"/>
        </w:rPr>
        <w:t>Indien er door de meerderjarigen geen overeenkomst wordt bereikt over het persoonlijk contact met het kind, doet de familierechtbank in het belang van het kind uitspraak over de uitoefening van dit recht.</w:t>
      </w:r>
      <w:r w:rsidR="00117B8D" w:rsidRPr="00A33930">
        <w:rPr>
          <w:rStyle w:val="Voetnootmarkering"/>
          <w:lang w:val="nl-NL"/>
        </w:rPr>
        <w:footnoteReference w:id="383"/>
      </w:r>
      <w:r w:rsidR="00117B8D" w:rsidRPr="00A33930">
        <w:rPr>
          <w:lang w:val="nl-NL"/>
        </w:rPr>
        <w:t xml:space="preserve"> De uitoefening van dit recht wordt enkel geweigerd indien dit strijdig is met het belang van het kind (</w:t>
      </w:r>
      <w:r w:rsidR="00117B8D" w:rsidRPr="00A33930">
        <w:rPr>
          <w:i/>
          <w:iCs/>
          <w:lang w:val="nl-NL"/>
        </w:rPr>
        <w:t>supra</w:t>
      </w:r>
      <w:r w:rsidR="00117B8D" w:rsidRPr="00A33930">
        <w:rPr>
          <w:lang w:val="nl-NL"/>
        </w:rPr>
        <w:t xml:space="preserve">, nr. </w:t>
      </w:r>
      <w:r w:rsidR="00C673AD" w:rsidRPr="00A33930">
        <w:rPr>
          <w:lang w:val="nl-NL"/>
        </w:rPr>
        <w:t>79</w:t>
      </w:r>
      <w:r w:rsidR="00117B8D" w:rsidRPr="00A33930">
        <w:rPr>
          <w:lang w:val="nl-NL"/>
        </w:rPr>
        <w:t>). De bewijslast ligt bij de meerderjarige(n) die zich verzetten tegen het contactrecht. De wetgever heeft ervoor gekozen het recht op persoonlijk contact inhoudelijk niet in te vullen</w:t>
      </w:r>
      <w:r w:rsidR="00723562" w:rsidRPr="00A33930">
        <w:rPr>
          <w:lang w:val="nl-NL"/>
        </w:rPr>
        <w:t>, waardoor h</w:t>
      </w:r>
      <w:r w:rsidR="00117B8D" w:rsidRPr="00A33930">
        <w:rPr>
          <w:lang w:val="nl-NL"/>
        </w:rPr>
        <w:t>et aan de rechter</w:t>
      </w:r>
      <w:r w:rsidR="00723562" w:rsidRPr="00A33930">
        <w:rPr>
          <w:lang w:val="nl-NL"/>
        </w:rPr>
        <w:t xml:space="preserve"> is</w:t>
      </w:r>
      <w:r w:rsidR="00117B8D" w:rsidRPr="00A33930">
        <w:rPr>
          <w:lang w:val="nl-NL"/>
        </w:rPr>
        <w:t xml:space="preserve"> om dit begrip </w:t>
      </w:r>
      <w:r w:rsidR="00117B8D" w:rsidRPr="00A33930">
        <w:rPr>
          <w:i/>
          <w:iCs/>
          <w:lang w:val="nl-NL"/>
        </w:rPr>
        <w:t>in concreto</w:t>
      </w:r>
      <w:r w:rsidR="00117B8D" w:rsidRPr="00A33930">
        <w:rPr>
          <w:lang w:val="nl-NL"/>
        </w:rPr>
        <w:t xml:space="preserve"> te beoordelen. </w:t>
      </w:r>
      <w:r w:rsidR="00A97A0A" w:rsidRPr="00A33930">
        <w:rPr>
          <w:lang w:val="nl-NL"/>
        </w:rPr>
        <w:t xml:space="preserve">Het </w:t>
      </w:r>
      <w:r w:rsidR="00117B8D" w:rsidRPr="00A33930">
        <w:rPr>
          <w:lang w:val="nl-NL"/>
        </w:rPr>
        <w:t>recht van het kind zit eigenlijk verwrongen tussen</w:t>
      </w:r>
      <w:r w:rsidR="00A97A0A" w:rsidRPr="00A33930">
        <w:rPr>
          <w:lang w:val="nl-NL"/>
        </w:rPr>
        <w:t xml:space="preserve"> belangentegenstellingen: wanneer de belangen van ouder en kind zo tegenstrijdig zijn, is het moeilijk te rechtvaardigen dat </w:t>
      </w:r>
      <w:r w:rsidR="00723562" w:rsidRPr="00A33930">
        <w:rPr>
          <w:lang w:val="nl-NL"/>
        </w:rPr>
        <w:t xml:space="preserve">de ouders naar de rechtbank gaan in naam van het kind of dat het kind wordt vertegenwoordigd </w:t>
      </w:r>
      <w:r w:rsidR="00A97A0A" w:rsidRPr="00A33930">
        <w:rPr>
          <w:lang w:val="nl-NL"/>
        </w:rPr>
        <w:t xml:space="preserve">door een </w:t>
      </w:r>
      <w:r w:rsidR="008536D9" w:rsidRPr="00A33930">
        <w:rPr>
          <w:lang w:val="nl-NL"/>
        </w:rPr>
        <w:t>middellijke</w:t>
      </w:r>
      <w:r w:rsidR="00A97A0A" w:rsidRPr="00A33930">
        <w:rPr>
          <w:lang w:val="nl-NL"/>
        </w:rPr>
        <w:t xml:space="preserve"> vertegenwoordiger die met de middelen van d</w:t>
      </w:r>
      <w:r w:rsidR="00117B8D" w:rsidRPr="00A33930">
        <w:rPr>
          <w:lang w:val="nl-NL"/>
        </w:rPr>
        <w:t>iezelfde</w:t>
      </w:r>
      <w:r w:rsidR="00A97A0A" w:rsidRPr="00A33930">
        <w:rPr>
          <w:lang w:val="nl-NL"/>
        </w:rPr>
        <w:t xml:space="preserve"> ouders wordt gefinancierd.</w:t>
      </w:r>
    </w:p>
    <w:p w14:paraId="23FE71FD" w14:textId="77777777" w:rsidR="00A97A0A" w:rsidRPr="00A33930" w:rsidRDefault="00A97A0A" w:rsidP="00A97A0A">
      <w:pPr>
        <w:pStyle w:val="Lijstalinea"/>
        <w:spacing w:before="200" w:after="0"/>
        <w:ind w:left="0"/>
        <w:jc w:val="both"/>
        <w:rPr>
          <w:lang w:val="nl-NL"/>
        </w:rPr>
      </w:pPr>
    </w:p>
    <w:p w14:paraId="00185397" w14:textId="3B512E18" w:rsidR="002C2204" w:rsidRPr="00A33930" w:rsidRDefault="00A97A0A" w:rsidP="002C2204">
      <w:pPr>
        <w:pStyle w:val="Lijstalinea"/>
        <w:numPr>
          <w:ilvl w:val="0"/>
          <w:numId w:val="4"/>
        </w:numPr>
        <w:spacing w:before="200" w:after="0"/>
        <w:ind w:left="0" w:firstLine="0"/>
        <w:jc w:val="both"/>
        <w:rPr>
          <w:lang w:val="nl-NL"/>
        </w:rPr>
      </w:pPr>
      <w:r w:rsidRPr="00A33930">
        <w:rPr>
          <w:lang w:val="nl-NL"/>
        </w:rPr>
        <w:t xml:space="preserve">In principe zijn kinderen niet procesbekwaam, doch wordt hen in </w:t>
      </w:r>
      <w:r w:rsidR="00AA26F0" w:rsidRPr="00A33930">
        <w:rPr>
          <w:lang w:val="nl-NL"/>
        </w:rPr>
        <w:t xml:space="preserve">zeer </w:t>
      </w:r>
      <w:r w:rsidRPr="00A33930">
        <w:rPr>
          <w:lang w:val="nl-NL"/>
        </w:rPr>
        <w:t xml:space="preserve">uitzonderlijke gevallen toch een eigen rechtsingang verleend. Dit vloeit voort uit </w:t>
      </w:r>
      <w:r w:rsidR="00D875DF" w:rsidRPr="00A33930">
        <w:rPr>
          <w:lang w:val="nl-NL"/>
        </w:rPr>
        <w:t xml:space="preserve">de bescherming </w:t>
      </w:r>
      <w:r w:rsidR="0048791A" w:rsidRPr="00A33930">
        <w:rPr>
          <w:lang w:val="nl-NL"/>
        </w:rPr>
        <w:t>geboden door</w:t>
      </w:r>
      <w:r w:rsidR="00D875DF" w:rsidRPr="00A33930">
        <w:rPr>
          <w:lang w:val="nl-NL"/>
        </w:rPr>
        <w:t xml:space="preserve"> </w:t>
      </w:r>
      <w:r w:rsidR="00224414" w:rsidRPr="00A33930">
        <w:rPr>
          <w:lang w:val="nl-NL"/>
        </w:rPr>
        <w:t>artikel 8.1 EVRM</w:t>
      </w:r>
      <w:r w:rsidR="00AA26F0" w:rsidRPr="00A33930">
        <w:rPr>
          <w:lang w:val="nl-NL"/>
        </w:rPr>
        <w:t xml:space="preserve"> en wanneer diens persoonlijke belangen doorwegen</w:t>
      </w:r>
      <w:r w:rsidRPr="00A33930">
        <w:rPr>
          <w:lang w:val="nl-NL"/>
        </w:rPr>
        <w:t>.</w:t>
      </w:r>
      <w:r w:rsidR="00D875DF" w:rsidRPr="00A33930">
        <w:rPr>
          <w:rStyle w:val="Voetnootmarkering"/>
          <w:lang w:val="nl-NL"/>
        </w:rPr>
        <w:footnoteReference w:id="384"/>
      </w:r>
      <w:r w:rsidRPr="00A33930">
        <w:rPr>
          <w:lang w:val="nl-NL"/>
        </w:rPr>
        <w:t xml:space="preserve"> In de praktijk gebeurt het dus </w:t>
      </w:r>
      <w:r w:rsidRPr="00A33930">
        <w:rPr>
          <w:i/>
          <w:iCs/>
          <w:lang w:val="nl-NL"/>
        </w:rPr>
        <w:t>soms</w:t>
      </w:r>
      <w:r w:rsidRPr="00A33930">
        <w:rPr>
          <w:lang w:val="nl-NL"/>
        </w:rPr>
        <w:t xml:space="preserve"> dat de minderjarige als zelfstandige procespartij mag tussenkomen in een geding over het recht op persoonlijk contact.</w:t>
      </w:r>
      <w:r w:rsidR="00D875DF" w:rsidRPr="00A33930">
        <w:rPr>
          <w:rStyle w:val="Voetnootmarkering"/>
          <w:lang w:val="nl-NL"/>
        </w:rPr>
        <w:footnoteReference w:id="385"/>
      </w:r>
      <w:r w:rsidRPr="00A33930">
        <w:rPr>
          <w:lang w:val="nl-NL"/>
        </w:rPr>
        <w:t xml:space="preserve"> Nochtans is dat niet bij wet bepaald</w:t>
      </w:r>
      <w:r w:rsidR="00224414" w:rsidRPr="00A33930">
        <w:rPr>
          <w:lang w:val="nl-NL"/>
        </w:rPr>
        <w:t xml:space="preserve"> want</w:t>
      </w:r>
      <w:r w:rsidR="00723562" w:rsidRPr="00A33930">
        <w:rPr>
          <w:lang w:val="nl-NL"/>
        </w:rPr>
        <w:t xml:space="preserve"> de wet vertrekt </w:t>
      </w:r>
      <w:r w:rsidR="00AA26F0" w:rsidRPr="00A33930">
        <w:rPr>
          <w:lang w:val="nl-NL"/>
        </w:rPr>
        <w:t xml:space="preserve">namelijk </w:t>
      </w:r>
      <w:r w:rsidR="00723562" w:rsidRPr="00A33930">
        <w:rPr>
          <w:lang w:val="nl-NL"/>
        </w:rPr>
        <w:t xml:space="preserve">vanuit </w:t>
      </w:r>
      <w:r w:rsidR="00A40BA9" w:rsidRPr="00A33930">
        <w:rPr>
          <w:lang w:val="nl-NL"/>
        </w:rPr>
        <w:t>het</w:t>
      </w:r>
      <w:r w:rsidR="00723562" w:rsidRPr="00A33930">
        <w:rPr>
          <w:lang w:val="nl-NL"/>
        </w:rPr>
        <w:t xml:space="preserve"> idee dat het gaat om een geschil tussen ouder(s) en grootouders of derden over het kind</w:t>
      </w:r>
      <w:r w:rsidR="00E74826" w:rsidRPr="00A33930">
        <w:rPr>
          <w:lang w:val="nl-NL"/>
        </w:rPr>
        <w:t>.</w:t>
      </w:r>
      <w:r w:rsidR="00AA26F0" w:rsidRPr="00A33930">
        <w:rPr>
          <w:lang w:val="nl-NL"/>
        </w:rPr>
        <w:t xml:space="preserve"> Het kind heeft de mogelijkheid om gehoord te worden, maar meer dan deze mogelijkheid heeft het kind in </w:t>
      </w:r>
      <w:r w:rsidR="00AA26F0" w:rsidRPr="00A33930">
        <w:rPr>
          <w:lang w:val="nl-NL"/>
        </w:rPr>
        <w:lastRenderedPageBreak/>
        <w:t>principe niet (</w:t>
      </w:r>
      <w:r w:rsidR="00AA26F0" w:rsidRPr="00A33930">
        <w:rPr>
          <w:i/>
          <w:iCs/>
          <w:lang w:val="nl-NL"/>
        </w:rPr>
        <w:t>supra</w:t>
      </w:r>
      <w:r w:rsidR="00AA26F0" w:rsidRPr="00A33930">
        <w:rPr>
          <w:lang w:val="nl-NL"/>
        </w:rPr>
        <w:t xml:space="preserve">, nr. </w:t>
      </w:r>
      <w:r w:rsidR="00A6711A" w:rsidRPr="00A33930">
        <w:rPr>
          <w:lang w:val="nl-NL"/>
        </w:rPr>
        <w:t>80</w:t>
      </w:r>
      <w:r w:rsidR="00AA26F0" w:rsidRPr="00A33930">
        <w:rPr>
          <w:lang w:val="nl-NL"/>
        </w:rPr>
        <w:t>).</w:t>
      </w:r>
      <w:r w:rsidR="00AA26F0" w:rsidRPr="00A33930">
        <w:rPr>
          <w:rStyle w:val="Voetnootmarkering"/>
          <w:lang w:val="nl-NL"/>
        </w:rPr>
        <w:footnoteReference w:id="386"/>
      </w:r>
      <w:r w:rsidR="00A13997" w:rsidRPr="00A33930">
        <w:rPr>
          <w:lang w:val="nl-NL"/>
        </w:rPr>
        <w:t xml:space="preserve"> Deze versnipperde aanpak leidt tot rechtsonzekerheid voor het kind, al zou een verplicht contact onmogelijk het belang van het kind kunnen dienen.</w:t>
      </w:r>
      <w:r w:rsidR="0063560D" w:rsidRPr="00A33930">
        <w:rPr>
          <w:lang w:val="nl-NL"/>
        </w:rPr>
        <w:t xml:space="preserve"> Bovendien lijkt het contraproductief om een kind tegen zijn wil in te verplichten contacten </w:t>
      </w:r>
      <w:r w:rsidR="00566B1B" w:rsidRPr="00A33930">
        <w:rPr>
          <w:lang w:val="nl-NL"/>
        </w:rPr>
        <w:t xml:space="preserve">met anderen </w:t>
      </w:r>
      <w:r w:rsidR="0063560D" w:rsidRPr="00A33930">
        <w:rPr>
          <w:lang w:val="nl-NL"/>
        </w:rPr>
        <w:t>te onderhouden.</w:t>
      </w:r>
      <w:r w:rsidR="00325ED8" w:rsidRPr="00A33930">
        <w:rPr>
          <w:rStyle w:val="Voetnootmarkering"/>
          <w:lang w:val="nl-NL"/>
        </w:rPr>
        <w:footnoteReference w:id="387"/>
      </w:r>
    </w:p>
    <w:p w14:paraId="404B6899" w14:textId="77777777" w:rsidR="002C2204" w:rsidRPr="00A33930" w:rsidRDefault="002C2204" w:rsidP="002C2204">
      <w:pPr>
        <w:pStyle w:val="Lijstalinea"/>
        <w:rPr>
          <w:rFonts w:eastAsia="Verdana" w:cs="Verdana"/>
          <w:szCs w:val="18"/>
          <w:lang w:val="nl-NL"/>
        </w:rPr>
      </w:pPr>
    </w:p>
    <w:p w14:paraId="0F33240B" w14:textId="6C534A6C" w:rsidR="00117B8D" w:rsidRPr="00A33930" w:rsidRDefault="002C2204" w:rsidP="002C2204">
      <w:pPr>
        <w:pStyle w:val="Lijstalinea"/>
        <w:numPr>
          <w:ilvl w:val="0"/>
          <w:numId w:val="4"/>
        </w:numPr>
        <w:spacing w:before="200" w:after="0"/>
        <w:ind w:left="0" w:firstLine="0"/>
        <w:jc w:val="both"/>
        <w:rPr>
          <w:lang w:val="nl-NL"/>
        </w:rPr>
      </w:pPr>
      <w:r w:rsidRPr="00A33930">
        <w:rPr>
          <w:rFonts w:eastAsia="Verdana" w:cs="Verdana"/>
          <w:szCs w:val="18"/>
          <w:lang w:val="nl-NL"/>
        </w:rPr>
        <w:t>Het Grondwettelijk Hof en de hoven en rechtbanken lezen alsmaar meer het recht in het licht van de bepalingen van het IVRK.</w:t>
      </w:r>
      <w:r w:rsidRPr="00A33930">
        <w:rPr>
          <w:rStyle w:val="Voetnootmarkering"/>
          <w:rFonts w:eastAsia="Verdana" w:cs="Verdana"/>
          <w:szCs w:val="18"/>
          <w:lang w:val="nl-NL"/>
        </w:rPr>
        <w:footnoteReference w:id="388"/>
      </w:r>
      <w:r w:rsidRPr="00A33930">
        <w:rPr>
          <w:lang w:val="nl-NL"/>
        </w:rPr>
        <w:t xml:space="preserve"> </w:t>
      </w:r>
      <w:r w:rsidR="00082E2B" w:rsidRPr="00A33930">
        <w:rPr>
          <w:lang w:val="nl-NL"/>
        </w:rPr>
        <w:t xml:space="preserve">In de lagere rechtspraak lijkt dat minder het geval te zijn. </w:t>
      </w:r>
      <w:r w:rsidR="003D2DFC" w:rsidRPr="00A33930">
        <w:rPr>
          <w:lang w:val="nl-NL"/>
        </w:rPr>
        <w:t xml:space="preserve">Een vonnis dat vandaag </w:t>
      </w:r>
      <w:r w:rsidR="00A40BA9" w:rsidRPr="00A33930">
        <w:rPr>
          <w:lang w:val="nl-NL"/>
        </w:rPr>
        <w:t>wellicht</w:t>
      </w:r>
      <w:r w:rsidR="003D2DFC" w:rsidRPr="00A33930">
        <w:rPr>
          <w:lang w:val="nl-NL"/>
        </w:rPr>
        <w:t xml:space="preserve"> nog steeds een belangrijk argument vormt tegen de inschrijving van een eigen contactrecht </w:t>
      </w:r>
      <w:r w:rsidR="003D2DFC" w:rsidRPr="00A33930">
        <w:rPr>
          <w:rFonts w:eastAsia="Verdana" w:cs="Verdana"/>
          <w:szCs w:val="18"/>
          <w:lang w:val="nl-NL"/>
        </w:rPr>
        <w:t>is het vonnis van d</w:t>
      </w:r>
      <w:r w:rsidR="00117B8D" w:rsidRPr="00A33930">
        <w:rPr>
          <w:rFonts w:eastAsia="Verdana" w:cs="Verdana"/>
          <w:szCs w:val="18"/>
          <w:lang w:val="nl-NL"/>
        </w:rPr>
        <w:t xml:space="preserve">e Rechtbank van Eerste Aanleg te Brugge </w:t>
      </w:r>
      <w:r w:rsidR="003D2DFC" w:rsidRPr="00A33930">
        <w:rPr>
          <w:rFonts w:eastAsia="Verdana" w:cs="Verdana"/>
          <w:szCs w:val="18"/>
          <w:lang w:val="nl-NL"/>
        </w:rPr>
        <w:t>uit</w:t>
      </w:r>
      <w:r w:rsidR="00117B8D" w:rsidRPr="00A33930">
        <w:rPr>
          <w:rFonts w:eastAsia="Verdana" w:cs="Verdana"/>
          <w:szCs w:val="18"/>
          <w:lang w:val="nl-NL"/>
        </w:rPr>
        <w:t xml:space="preserve"> 1969</w:t>
      </w:r>
      <w:r w:rsidR="003D2DFC" w:rsidRPr="00A33930">
        <w:rPr>
          <w:rFonts w:eastAsia="Verdana" w:cs="Verdana"/>
          <w:szCs w:val="18"/>
          <w:lang w:val="nl-NL"/>
        </w:rPr>
        <w:t>. Merk op dat dit vonnis dateert van 20 jaar voor de inwerkingtreding van het IVRK</w:t>
      </w:r>
      <w:r w:rsidR="00224414" w:rsidRPr="00A33930">
        <w:rPr>
          <w:rFonts w:eastAsia="Verdana" w:cs="Verdana"/>
          <w:szCs w:val="18"/>
          <w:lang w:val="nl-NL"/>
        </w:rPr>
        <w:t xml:space="preserve"> (</w:t>
      </w:r>
      <w:r w:rsidR="00224414" w:rsidRPr="00A33930">
        <w:rPr>
          <w:rFonts w:eastAsia="Verdana" w:cs="Verdana"/>
          <w:i/>
          <w:iCs/>
          <w:szCs w:val="18"/>
          <w:lang w:val="nl-NL"/>
        </w:rPr>
        <w:t>supra</w:t>
      </w:r>
      <w:r w:rsidR="00224414" w:rsidRPr="00A33930">
        <w:rPr>
          <w:rFonts w:eastAsia="Verdana" w:cs="Verdana"/>
          <w:szCs w:val="18"/>
          <w:lang w:val="nl-NL"/>
        </w:rPr>
        <w:t>, nr. 25)</w:t>
      </w:r>
      <w:r w:rsidR="003D2DFC" w:rsidRPr="00A33930">
        <w:rPr>
          <w:rFonts w:eastAsia="Verdana" w:cs="Verdana"/>
          <w:szCs w:val="18"/>
          <w:lang w:val="nl-NL"/>
        </w:rPr>
        <w:t xml:space="preserve">. </w:t>
      </w:r>
      <w:r w:rsidR="00566B1B" w:rsidRPr="00A33930">
        <w:rPr>
          <w:rFonts w:eastAsia="Verdana" w:cs="Verdana"/>
          <w:szCs w:val="18"/>
          <w:lang w:val="nl-NL"/>
        </w:rPr>
        <w:t>Het</w:t>
      </w:r>
      <w:r w:rsidR="000F53E1" w:rsidRPr="00A33930">
        <w:rPr>
          <w:rFonts w:eastAsia="Verdana" w:cs="Verdana"/>
          <w:szCs w:val="18"/>
          <w:lang w:val="nl-NL"/>
        </w:rPr>
        <w:t xml:space="preserve"> </w:t>
      </w:r>
      <w:r w:rsidR="003D2DFC" w:rsidRPr="00A33930">
        <w:rPr>
          <w:rFonts w:eastAsia="Verdana" w:cs="Verdana"/>
          <w:szCs w:val="18"/>
          <w:lang w:val="nl-NL"/>
        </w:rPr>
        <w:t xml:space="preserve">werd </w:t>
      </w:r>
      <w:r w:rsidR="00117B8D" w:rsidRPr="00A33930">
        <w:rPr>
          <w:rFonts w:eastAsia="Verdana" w:cs="Verdana"/>
          <w:szCs w:val="18"/>
          <w:lang w:val="nl-NL"/>
        </w:rPr>
        <w:t xml:space="preserve">onmogelijk </w:t>
      </w:r>
      <w:r w:rsidR="003D2DFC" w:rsidRPr="00A33930">
        <w:rPr>
          <w:rFonts w:eastAsia="Verdana" w:cs="Verdana"/>
          <w:szCs w:val="18"/>
          <w:lang w:val="nl-NL"/>
        </w:rPr>
        <w:t xml:space="preserve">geacht </w:t>
      </w:r>
      <w:r w:rsidR="00566B1B" w:rsidRPr="00A33930">
        <w:rPr>
          <w:rFonts w:eastAsia="Verdana" w:cs="Verdana"/>
          <w:szCs w:val="18"/>
          <w:lang w:val="nl-NL"/>
        </w:rPr>
        <w:t xml:space="preserve">aan </w:t>
      </w:r>
      <w:r w:rsidR="00117B8D" w:rsidRPr="00A33930">
        <w:rPr>
          <w:rFonts w:eastAsia="Verdana" w:cs="Verdana"/>
          <w:szCs w:val="18"/>
          <w:lang w:val="nl-NL"/>
        </w:rPr>
        <w:t xml:space="preserve">een kind een werkelijk afdwingbaar recht van omgang te geven, </w:t>
      </w:r>
      <w:r w:rsidR="00566B1B" w:rsidRPr="00A33930">
        <w:rPr>
          <w:rFonts w:eastAsia="Verdana" w:cs="Verdana"/>
          <w:szCs w:val="18"/>
          <w:lang w:val="nl-NL"/>
        </w:rPr>
        <w:t>doordat</w:t>
      </w:r>
      <w:r w:rsidR="00117B8D" w:rsidRPr="00A33930">
        <w:rPr>
          <w:rFonts w:eastAsia="Verdana" w:cs="Verdana"/>
          <w:szCs w:val="18"/>
          <w:lang w:val="nl-NL"/>
        </w:rPr>
        <w:t xml:space="preserve"> dit een omgangs</w:t>
      </w:r>
      <w:r w:rsidR="00117B8D" w:rsidRPr="00A33930">
        <w:rPr>
          <w:rFonts w:eastAsia="Verdana" w:cs="Verdana"/>
          <w:i/>
          <w:iCs/>
          <w:szCs w:val="18"/>
          <w:lang w:val="nl-NL"/>
        </w:rPr>
        <w:t>plicht</w:t>
      </w:r>
      <w:r w:rsidR="00117B8D" w:rsidRPr="00A33930">
        <w:rPr>
          <w:rFonts w:eastAsia="Verdana" w:cs="Verdana"/>
          <w:szCs w:val="18"/>
          <w:lang w:val="nl-NL"/>
        </w:rPr>
        <w:t xml:space="preserve"> zou inhouden ten aanzien van de meerderjarige.</w:t>
      </w:r>
      <w:r w:rsidR="00117B8D" w:rsidRPr="00A33930">
        <w:rPr>
          <w:rStyle w:val="Voetnootmarkering"/>
          <w:rFonts w:eastAsia="Verdana" w:cs="Verdana"/>
          <w:szCs w:val="18"/>
          <w:lang w:val="nl-NL"/>
        </w:rPr>
        <w:footnoteReference w:id="389"/>
      </w:r>
      <w:r w:rsidR="00117B8D" w:rsidRPr="00A33930">
        <w:rPr>
          <w:rFonts w:eastAsia="Verdana" w:cs="Verdana"/>
          <w:szCs w:val="18"/>
          <w:lang w:val="nl-NL"/>
        </w:rPr>
        <w:t xml:space="preserve"> Dat zou een schending zijn van </w:t>
      </w:r>
      <w:r w:rsidR="00387759" w:rsidRPr="00A33930">
        <w:rPr>
          <w:rFonts w:eastAsia="Verdana" w:cs="Verdana"/>
          <w:szCs w:val="18"/>
          <w:lang w:val="nl-NL"/>
        </w:rPr>
        <w:t>zijn</w:t>
      </w:r>
      <w:r w:rsidR="00117B8D" w:rsidRPr="00A33930">
        <w:rPr>
          <w:rFonts w:eastAsia="Verdana" w:cs="Verdana"/>
          <w:szCs w:val="18"/>
          <w:lang w:val="nl-NL"/>
        </w:rPr>
        <w:t xml:space="preserve"> persoonlijke vrijheid en </w:t>
      </w:r>
      <w:r w:rsidR="00387759" w:rsidRPr="00A33930">
        <w:rPr>
          <w:rFonts w:eastAsia="Verdana" w:cs="Verdana"/>
          <w:szCs w:val="18"/>
          <w:lang w:val="nl-NL"/>
        </w:rPr>
        <w:t>zijn</w:t>
      </w:r>
      <w:r w:rsidR="00117B8D" w:rsidRPr="00A33930">
        <w:rPr>
          <w:rFonts w:eastAsia="Verdana" w:cs="Verdana"/>
          <w:szCs w:val="18"/>
          <w:lang w:val="nl-NL"/>
        </w:rPr>
        <w:t xml:space="preserve"> onschendbaarheid van de woning</w:t>
      </w:r>
      <w:r w:rsidR="00671A1A" w:rsidRPr="00A33930">
        <w:rPr>
          <w:rFonts w:eastAsia="Verdana" w:cs="Verdana"/>
          <w:szCs w:val="18"/>
          <w:lang w:val="nl-NL"/>
        </w:rPr>
        <w:t xml:space="preserve"> (</w:t>
      </w:r>
      <w:r w:rsidR="00671A1A" w:rsidRPr="00A33930">
        <w:rPr>
          <w:rFonts w:eastAsia="Verdana" w:cs="Verdana"/>
          <w:i/>
          <w:iCs/>
          <w:szCs w:val="18"/>
          <w:lang w:val="nl-NL"/>
        </w:rPr>
        <w:t>supra</w:t>
      </w:r>
      <w:r w:rsidR="00671A1A" w:rsidRPr="00A33930">
        <w:rPr>
          <w:rFonts w:eastAsia="Verdana" w:cs="Verdana"/>
          <w:szCs w:val="18"/>
          <w:lang w:val="nl-NL"/>
        </w:rPr>
        <w:t xml:space="preserve">, nr. </w:t>
      </w:r>
      <w:r w:rsidR="00A6711A" w:rsidRPr="00A33930">
        <w:rPr>
          <w:rFonts w:eastAsia="Verdana" w:cs="Verdana"/>
          <w:szCs w:val="18"/>
          <w:lang w:val="nl-NL"/>
        </w:rPr>
        <w:t>98</w:t>
      </w:r>
      <w:r w:rsidR="00671A1A" w:rsidRPr="00A33930">
        <w:rPr>
          <w:rFonts w:eastAsia="Verdana" w:cs="Verdana"/>
          <w:szCs w:val="18"/>
          <w:lang w:val="nl-NL"/>
        </w:rPr>
        <w:t>)</w:t>
      </w:r>
      <w:r w:rsidR="00117B8D" w:rsidRPr="00A33930">
        <w:rPr>
          <w:rFonts w:eastAsia="Verdana" w:cs="Verdana"/>
          <w:szCs w:val="18"/>
          <w:lang w:val="nl-NL"/>
        </w:rPr>
        <w:t xml:space="preserve">. </w:t>
      </w:r>
      <w:r w:rsidR="007A6A75" w:rsidRPr="00A33930">
        <w:rPr>
          <w:rFonts w:eastAsia="Verdana" w:cs="Verdana"/>
          <w:szCs w:val="18"/>
          <w:lang w:val="nl-NL"/>
        </w:rPr>
        <w:t>Dit standpunt is m</w:t>
      </w:r>
      <w:r w:rsidR="00224414" w:rsidRPr="00A33930">
        <w:rPr>
          <w:rFonts w:eastAsia="Verdana" w:cs="Verdana"/>
          <w:szCs w:val="18"/>
          <w:lang w:val="nl-NL"/>
        </w:rPr>
        <w:t>ijns inziens</w:t>
      </w:r>
      <w:r w:rsidR="007A6A75" w:rsidRPr="00A33930">
        <w:rPr>
          <w:rFonts w:eastAsia="Verdana" w:cs="Verdana"/>
          <w:szCs w:val="18"/>
          <w:lang w:val="nl-NL"/>
        </w:rPr>
        <w:t xml:space="preserve"> vandaag grotendeels ongewijzigd en verklaart ook nog steeds </w:t>
      </w:r>
      <w:r w:rsidR="0048791A" w:rsidRPr="00A33930">
        <w:rPr>
          <w:rFonts w:eastAsia="Verdana" w:cs="Verdana"/>
          <w:szCs w:val="18"/>
          <w:lang w:val="nl-NL"/>
        </w:rPr>
        <w:t xml:space="preserve">voor een groot deel </w:t>
      </w:r>
      <w:r w:rsidR="007A6A75" w:rsidRPr="00A33930">
        <w:rPr>
          <w:rFonts w:eastAsia="Verdana" w:cs="Verdana"/>
          <w:szCs w:val="18"/>
          <w:lang w:val="nl-NL"/>
        </w:rPr>
        <w:t>de huidige opvattingen (</w:t>
      </w:r>
      <w:r w:rsidR="007A6A75" w:rsidRPr="00A33930">
        <w:rPr>
          <w:rFonts w:eastAsia="Verdana" w:cs="Verdana"/>
          <w:i/>
          <w:iCs/>
          <w:szCs w:val="18"/>
          <w:lang w:val="nl-NL"/>
        </w:rPr>
        <w:t>supra</w:t>
      </w:r>
      <w:r w:rsidR="007A6A75" w:rsidRPr="00A33930">
        <w:rPr>
          <w:rFonts w:eastAsia="Verdana" w:cs="Verdana"/>
          <w:szCs w:val="18"/>
          <w:lang w:val="nl-NL"/>
        </w:rPr>
        <w:t xml:space="preserve">, nr. </w:t>
      </w:r>
      <w:r w:rsidR="00A6711A" w:rsidRPr="00A33930">
        <w:rPr>
          <w:rFonts w:eastAsia="Verdana" w:cs="Verdana"/>
          <w:szCs w:val="18"/>
          <w:lang w:val="nl-NL"/>
        </w:rPr>
        <w:t>81</w:t>
      </w:r>
      <w:r w:rsidR="007A6A75" w:rsidRPr="00A33930">
        <w:rPr>
          <w:rFonts w:eastAsia="Verdana" w:cs="Verdana"/>
          <w:szCs w:val="18"/>
          <w:lang w:val="nl-NL"/>
        </w:rPr>
        <w:t>).</w:t>
      </w:r>
    </w:p>
    <w:p w14:paraId="2DB252D9" w14:textId="77777777" w:rsidR="00117B8D" w:rsidRPr="00A33930" w:rsidRDefault="00117B8D" w:rsidP="00117B8D">
      <w:pPr>
        <w:pStyle w:val="Lijstalinea"/>
        <w:rPr>
          <w:rFonts w:eastAsia="Verdana" w:cs="Verdana"/>
          <w:b/>
          <w:bCs/>
          <w:szCs w:val="18"/>
          <w:lang w:val="nl-NL"/>
        </w:rPr>
      </w:pPr>
    </w:p>
    <w:p w14:paraId="6ECD149D" w14:textId="6C96573E" w:rsidR="00082E2B" w:rsidRPr="00A33930" w:rsidRDefault="00F41450" w:rsidP="009A1D12">
      <w:pPr>
        <w:pStyle w:val="Lijstalinea"/>
        <w:numPr>
          <w:ilvl w:val="0"/>
          <w:numId w:val="4"/>
        </w:numPr>
        <w:spacing w:before="200" w:after="0"/>
        <w:ind w:left="0" w:firstLine="0"/>
        <w:jc w:val="both"/>
        <w:rPr>
          <w:rFonts w:eastAsia="Verdana" w:cs="Verdana"/>
          <w:b/>
          <w:bCs/>
          <w:szCs w:val="18"/>
          <w:lang w:val="nl-NL"/>
        </w:rPr>
      </w:pPr>
      <w:r w:rsidRPr="00A33930">
        <w:rPr>
          <w:rFonts w:eastAsia="Verdana" w:cs="Verdana"/>
          <w:szCs w:val="18"/>
          <w:lang w:val="nl-NL"/>
        </w:rPr>
        <w:t>M</w:t>
      </w:r>
      <w:r w:rsidR="00082E2B" w:rsidRPr="00A33930">
        <w:rPr>
          <w:rFonts w:eastAsia="Verdana" w:cs="Verdana"/>
          <w:szCs w:val="18"/>
          <w:lang w:val="nl-NL"/>
        </w:rPr>
        <w:t>ijns inziens</w:t>
      </w:r>
      <w:r w:rsidRPr="00A33930">
        <w:rPr>
          <w:rFonts w:eastAsia="Verdana" w:cs="Verdana"/>
          <w:szCs w:val="18"/>
          <w:lang w:val="nl-NL"/>
        </w:rPr>
        <w:t xml:space="preserve"> </w:t>
      </w:r>
      <w:r w:rsidR="000F53E1" w:rsidRPr="00A33930">
        <w:rPr>
          <w:rFonts w:eastAsia="Verdana" w:cs="Verdana"/>
          <w:szCs w:val="18"/>
          <w:lang w:val="nl-NL"/>
        </w:rPr>
        <w:t>is</w:t>
      </w:r>
      <w:r w:rsidR="00082E2B" w:rsidRPr="00A33930">
        <w:rPr>
          <w:rFonts w:eastAsia="Verdana" w:cs="Verdana"/>
          <w:szCs w:val="18"/>
          <w:lang w:val="nl-NL"/>
        </w:rPr>
        <w:t xml:space="preserve"> het</w:t>
      </w:r>
      <w:r w:rsidR="000F53E1" w:rsidRPr="00A33930">
        <w:rPr>
          <w:rFonts w:eastAsia="Verdana" w:cs="Verdana"/>
          <w:szCs w:val="18"/>
          <w:lang w:val="nl-NL"/>
        </w:rPr>
        <w:t xml:space="preserve"> eerder </w:t>
      </w:r>
      <w:r w:rsidRPr="00A33930">
        <w:rPr>
          <w:rFonts w:eastAsia="Verdana" w:cs="Verdana"/>
          <w:szCs w:val="18"/>
          <w:lang w:val="nl-NL"/>
        </w:rPr>
        <w:t>opmerkelijk</w:t>
      </w:r>
      <w:r w:rsidR="0069469B" w:rsidRPr="00A33930">
        <w:rPr>
          <w:rFonts w:eastAsia="Verdana" w:cs="Verdana"/>
          <w:szCs w:val="18"/>
          <w:lang w:val="nl-NL"/>
        </w:rPr>
        <w:t xml:space="preserve"> dat ongeveer</w:t>
      </w:r>
      <w:r w:rsidR="00117B8D" w:rsidRPr="00A33930">
        <w:rPr>
          <w:rFonts w:eastAsia="Verdana" w:cs="Verdana"/>
          <w:szCs w:val="18"/>
          <w:lang w:val="nl-NL"/>
        </w:rPr>
        <w:t xml:space="preserve"> 15 jaar na de inwerkingtreding van het IVRK de rechter in een Gents vonnis van 2004 </w:t>
      </w:r>
      <w:r w:rsidR="00DB023C" w:rsidRPr="00A33930">
        <w:rPr>
          <w:lang w:val="nl-NL"/>
        </w:rPr>
        <w:t>aan de moeder van twee kinderen een positieve plicht op</w:t>
      </w:r>
      <w:r w:rsidR="0069469B" w:rsidRPr="00A33930">
        <w:rPr>
          <w:lang w:val="nl-NL"/>
        </w:rPr>
        <w:t>legt</w:t>
      </w:r>
      <w:r w:rsidR="00DB023C" w:rsidRPr="00A33930">
        <w:rPr>
          <w:lang w:val="nl-NL"/>
        </w:rPr>
        <w:t xml:space="preserve"> hen te motiveren persoonlijk contact te onderhouden met de grootouders.</w:t>
      </w:r>
      <w:r w:rsidR="00DB023C" w:rsidRPr="00A33930">
        <w:rPr>
          <w:rStyle w:val="Voetnootmarkering"/>
          <w:lang w:val="nl-NL"/>
        </w:rPr>
        <w:footnoteReference w:id="390"/>
      </w:r>
      <w:r w:rsidR="00DB023C" w:rsidRPr="00A33930">
        <w:rPr>
          <w:lang w:val="nl-NL"/>
        </w:rPr>
        <w:t xml:space="preserve"> </w:t>
      </w:r>
      <w:r w:rsidR="000F53E1" w:rsidRPr="00A33930">
        <w:rPr>
          <w:lang w:val="nl-NL"/>
        </w:rPr>
        <w:t>Zonder in te gaan op de details van d</w:t>
      </w:r>
      <w:r w:rsidR="002C2204" w:rsidRPr="00A33930">
        <w:rPr>
          <w:lang w:val="nl-NL"/>
        </w:rPr>
        <w:t xml:space="preserve">it vonnis </w:t>
      </w:r>
      <w:r w:rsidR="00EB68FE" w:rsidRPr="00A33930">
        <w:rPr>
          <w:lang w:val="nl-NL"/>
        </w:rPr>
        <w:t>betreft</w:t>
      </w:r>
      <w:r w:rsidR="000F53E1" w:rsidRPr="00A33930">
        <w:rPr>
          <w:lang w:val="nl-NL"/>
        </w:rPr>
        <w:t xml:space="preserve"> dit </w:t>
      </w:r>
      <w:r w:rsidR="00082E2B" w:rsidRPr="00A33930">
        <w:rPr>
          <w:lang w:val="nl-NL"/>
        </w:rPr>
        <w:t>mijns inziens</w:t>
      </w:r>
      <w:r w:rsidR="006A138A" w:rsidRPr="00A33930">
        <w:rPr>
          <w:lang w:val="nl-NL"/>
        </w:rPr>
        <w:t xml:space="preserve"> </w:t>
      </w:r>
      <w:r w:rsidR="002C2204" w:rsidRPr="00A33930">
        <w:rPr>
          <w:lang w:val="nl-NL"/>
        </w:rPr>
        <w:t xml:space="preserve">een uitspraak die ingaat tegen de </w:t>
      </w:r>
      <w:r w:rsidR="002C2204" w:rsidRPr="00A33930">
        <w:rPr>
          <w:i/>
          <w:iCs/>
          <w:lang w:val="nl-NL"/>
        </w:rPr>
        <w:t>ratio legis</w:t>
      </w:r>
      <w:r w:rsidR="002C2204" w:rsidRPr="00A33930">
        <w:rPr>
          <w:lang w:val="nl-NL"/>
        </w:rPr>
        <w:t xml:space="preserve"> van</w:t>
      </w:r>
      <w:r w:rsidR="006A138A" w:rsidRPr="00A33930">
        <w:rPr>
          <w:lang w:val="nl-NL"/>
        </w:rPr>
        <w:t xml:space="preserve"> het IVRK. Deze zaak geeft duidelijk de diepgewortelde objectgedachte in België weer</w:t>
      </w:r>
      <w:r w:rsidR="002C2204" w:rsidRPr="00A33930">
        <w:rPr>
          <w:lang w:val="nl-NL"/>
        </w:rPr>
        <w:t>, zelfs wanneer de moeder de keuze van het contactrecht aan het kind laat</w:t>
      </w:r>
      <w:r w:rsidR="006A138A" w:rsidRPr="00A33930">
        <w:rPr>
          <w:lang w:val="nl-NL"/>
        </w:rPr>
        <w:t xml:space="preserve">. Er wordt </w:t>
      </w:r>
      <w:r w:rsidR="00EB68FE" w:rsidRPr="00A33930">
        <w:rPr>
          <w:lang w:val="nl-NL"/>
        </w:rPr>
        <w:t>hierbij</w:t>
      </w:r>
      <w:r w:rsidR="006A138A" w:rsidRPr="00A33930">
        <w:rPr>
          <w:lang w:val="nl-NL"/>
        </w:rPr>
        <w:t xml:space="preserve"> aangehaald </w:t>
      </w:r>
      <w:r w:rsidR="000F53E1" w:rsidRPr="00A33930">
        <w:rPr>
          <w:lang w:val="nl-NL"/>
        </w:rPr>
        <w:t>dat d</w:t>
      </w:r>
      <w:r w:rsidR="006A138A" w:rsidRPr="00A33930">
        <w:rPr>
          <w:lang w:val="nl-NL"/>
        </w:rPr>
        <w:t xml:space="preserve">ergelijke houding verkeerd </w:t>
      </w:r>
      <w:r w:rsidR="002C2204" w:rsidRPr="00A33930">
        <w:rPr>
          <w:lang w:val="nl-NL"/>
        </w:rPr>
        <w:t xml:space="preserve">is </w:t>
      </w:r>
      <w:r w:rsidR="006A138A" w:rsidRPr="00A33930">
        <w:rPr>
          <w:lang w:val="nl-NL"/>
        </w:rPr>
        <w:t xml:space="preserve">omdat zij de volle verantwoordelijkheid voor het recht op persoonlijk contact op de </w:t>
      </w:r>
      <w:r w:rsidR="002C2204" w:rsidRPr="00A33930">
        <w:rPr>
          <w:lang w:val="nl-NL"/>
        </w:rPr>
        <w:t>“</w:t>
      </w:r>
      <w:r w:rsidR="006A138A" w:rsidRPr="00A33930">
        <w:rPr>
          <w:lang w:val="nl-NL"/>
        </w:rPr>
        <w:t>frêle</w:t>
      </w:r>
      <w:r w:rsidR="002C2204" w:rsidRPr="00A33930">
        <w:rPr>
          <w:lang w:val="nl-NL"/>
        </w:rPr>
        <w:t>”</w:t>
      </w:r>
      <w:r w:rsidR="006A138A" w:rsidRPr="00A33930">
        <w:rPr>
          <w:lang w:val="nl-NL"/>
        </w:rPr>
        <w:t xml:space="preserve"> schouders van de kinderen</w:t>
      </w:r>
      <w:r w:rsidR="002C2204" w:rsidRPr="00A33930">
        <w:rPr>
          <w:lang w:val="nl-NL"/>
        </w:rPr>
        <w:t xml:space="preserve"> legt</w:t>
      </w:r>
      <w:r w:rsidR="006A138A" w:rsidRPr="00A33930">
        <w:rPr>
          <w:lang w:val="nl-NL"/>
        </w:rPr>
        <w:t>.</w:t>
      </w:r>
      <w:r w:rsidR="00B01E55" w:rsidRPr="00A33930">
        <w:rPr>
          <w:rStyle w:val="Voetnootmarkering"/>
          <w:lang w:val="nl-NL"/>
        </w:rPr>
        <w:footnoteReference w:id="391"/>
      </w:r>
      <w:r w:rsidR="000F53E1" w:rsidRPr="00A33930">
        <w:rPr>
          <w:lang w:val="nl-NL"/>
        </w:rPr>
        <w:t xml:space="preserve"> </w:t>
      </w:r>
    </w:p>
    <w:p w14:paraId="4C9CAF10" w14:textId="77777777" w:rsidR="00082E2B" w:rsidRPr="00A33930" w:rsidRDefault="00082E2B" w:rsidP="00082E2B">
      <w:pPr>
        <w:pStyle w:val="Lijstalinea"/>
        <w:rPr>
          <w:lang w:val="nl-NL"/>
        </w:rPr>
      </w:pPr>
    </w:p>
    <w:p w14:paraId="7C0AC184" w14:textId="6489E883" w:rsidR="0066493B" w:rsidRPr="00A33930" w:rsidRDefault="00C4136C" w:rsidP="00082E2B">
      <w:pPr>
        <w:pStyle w:val="Lijstalinea"/>
        <w:spacing w:before="200" w:after="0"/>
        <w:ind w:left="0"/>
        <w:jc w:val="both"/>
        <w:rPr>
          <w:rFonts w:eastAsia="Verdana" w:cs="Verdana"/>
          <w:b/>
          <w:bCs/>
          <w:szCs w:val="18"/>
          <w:lang w:val="nl-NL"/>
        </w:rPr>
      </w:pPr>
      <w:r w:rsidRPr="00A33930">
        <w:rPr>
          <w:lang w:val="nl-NL"/>
        </w:rPr>
        <w:t>In een vonnis van Bergen uit 2019 werd dan weer de nadruk gelegd op het feit dat het kind voordeel uit het contact moet halen, en niet de persoon die de uitoefening van het recht op persoonlijk contact opeist.</w:t>
      </w:r>
      <w:r w:rsidRPr="00A33930">
        <w:rPr>
          <w:rStyle w:val="Voetnootmarkering"/>
          <w:lang w:val="nl-NL"/>
        </w:rPr>
        <w:footnoteReference w:id="392"/>
      </w:r>
      <w:r w:rsidRPr="00A33930">
        <w:rPr>
          <w:lang w:val="nl-NL"/>
        </w:rPr>
        <w:t xml:space="preserve"> </w:t>
      </w:r>
      <w:r w:rsidR="002C2204" w:rsidRPr="00A33930">
        <w:rPr>
          <w:lang w:val="nl-NL"/>
        </w:rPr>
        <w:t xml:space="preserve">Er blijkt dus geen </w:t>
      </w:r>
      <w:r w:rsidR="008536D9" w:rsidRPr="00A33930">
        <w:rPr>
          <w:lang w:val="nl-NL"/>
        </w:rPr>
        <w:t>eensgezindheid</w:t>
      </w:r>
      <w:r w:rsidR="002C2204" w:rsidRPr="00A33930">
        <w:rPr>
          <w:lang w:val="nl-NL"/>
        </w:rPr>
        <w:t xml:space="preserve"> te zijn in de Belgische rechtspraak over de gedetailleerde </w:t>
      </w:r>
      <w:r w:rsidR="002C2204" w:rsidRPr="00A33930">
        <w:rPr>
          <w:lang w:val="nl-NL"/>
        </w:rPr>
        <w:lastRenderedPageBreak/>
        <w:t>invulling en toepassing van het recht op persoonlijk contact. M</w:t>
      </w:r>
      <w:r w:rsidR="00082E2B" w:rsidRPr="00A33930">
        <w:rPr>
          <w:lang w:val="nl-NL"/>
        </w:rPr>
        <w:t>ijns inziens</w:t>
      </w:r>
      <w:r w:rsidR="000F53E1" w:rsidRPr="00A33930">
        <w:rPr>
          <w:lang w:val="nl-NL"/>
        </w:rPr>
        <w:t xml:space="preserve"> </w:t>
      </w:r>
      <w:r w:rsidR="00082E2B" w:rsidRPr="00A33930">
        <w:rPr>
          <w:lang w:val="nl-NL"/>
        </w:rPr>
        <w:t>lijkt</w:t>
      </w:r>
      <w:r w:rsidR="002C2204" w:rsidRPr="00A33930">
        <w:rPr>
          <w:lang w:val="nl-NL"/>
        </w:rPr>
        <w:t xml:space="preserve"> de </w:t>
      </w:r>
      <w:r w:rsidR="000F53E1" w:rsidRPr="00A33930">
        <w:rPr>
          <w:lang w:val="nl-NL"/>
        </w:rPr>
        <w:t xml:space="preserve">rechtspraak niet </w:t>
      </w:r>
      <w:r w:rsidR="00C66EAF" w:rsidRPr="00A33930">
        <w:rPr>
          <w:lang w:val="nl-NL"/>
        </w:rPr>
        <w:t xml:space="preserve">te </w:t>
      </w:r>
      <w:r w:rsidR="00082E2B" w:rsidRPr="00A33930">
        <w:rPr>
          <w:lang w:val="nl-NL"/>
        </w:rPr>
        <w:t>weten wat</w:t>
      </w:r>
      <w:r w:rsidR="000F53E1" w:rsidRPr="00A33930">
        <w:rPr>
          <w:lang w:val="nl-NL"/>
        </w:rPr>
        <w:t xml:space="preserve"> te doen met de object- </w:t>
      </w:r>
      <w:r w:rsidR="002C2204" w:rsidRPr="00A33930">
        <w:rPr>
          <w:i/>
          <w:iCs/>
          <w:lang w:val="nl-NL"/>
        </w:rPr>
        <w:t>versus</w:t>
      </w:r>
      <w:r w:rsidR="000F53E1" w:rsidRPr="00A33930">
        <w:rPr>
          <w:lang w:val="nl-NL"/>
        </w:rPr>
        <w:t xml:space="preserve"> subjectbenadering in </w:t>
      </w:r>
      <w:r w:rsidR="00082E2B" w:rsidRPr="00A33930">
        <w:rPr>
          <w:lang w:val="nl-NL"/>
        </w:rPr>
        <w:t>het huidig Belgisch recht</w:t>
      </w:r>
      <w:r w:rsidR="000F53E1" w:rsidRPr="00A33930">
        <w:rPr>
          <w:lang w:val="nl-NL"/>
        </w:rPr>
        <w:t>.</w:t>
      </w:r>
    </w:p>
    <w:p w14:paraId="72D789BA" w14:textId="150BADC2" w:rsidR="009A1D12" w:rsidRPr="00A33930" w:rsidRDefault="009A1D12" w:rsidP="009A1D12">
      <w:pPr>
        <w:pStyle w:val="Kop3"/>
        <w:numPr>
          <w:ilvl w:val="0"/>
          <w:numId w:val="0"/>
        </w:numPr>
        <w:spacing w:before="360"/>
        <w:ind w:left="357" w:hanging="357"/>
        <w:jc w:val="both"/>
        <w:rPr>
          <w:lang w:val="nl-NL"/>
        </w:rPr>
      </w:pPr>
      <w:bookmarkStart w:id="30" w:name="_Toc134621189"/>
      <w:r w:rsidRPr="00A33930">
        <w:rPr>
          <w:lang w:val="nl-NL"/>
        </w:rPr>
        <w:t>Afdeling III.</w:t>
      </w:r>
      <w:r w:rsidRPr="00A33930">
        <w:rPr>
          <w:lang w:val="nl-NL"/>
        </w:rPr>
        <w:tab/>
      </w:r>
      <w:r w:rsidRPr="00A33930">
        <w:rPr>
          <w:lang w:val="nl-NL"/>
        </w:rPr>
        <w:tab/>
        <w:t>Afdwingbaarheid</w:t>
      </w:r>
      <w:bookmarkEnd w:id="30"/>
    </w:p>
    <w:p w14:paraId="7BE2D778" w14:textId="7EB1FA1F" w:rsidR="00E51A37" w:rsidRPr="00A33930" w:rsidRDefault="002A339A" w:rsidP="00B037A0">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Doordat het recht op persoonlijk contact </w:t>
      </w:r>
      <w:r w:rsidR="006A6215" w:rsidRPr="00A33930">
        <w:rPr>
          <w:rFonts w:eastAsia="Verdana" w:cs="Verdana"/>
          <w:szCs w:val="18"/>
          <w:lang w:val="nl-NL"/>
        </w:rPr>
        <w:t>gekoppeld</w:t>
      </w:r>
      <w:r w:rsidRPr="00A33930">
        <w:rPr>
          <w:rFonts w:eastAsia="Verdana" w:cs="Verdana"/>
          <w:szCs w:val="18"/>
          <w:lang w:val="nl-NL"/>
        </w:rPr>
        <w:t xml:space="preserve"> </w:t>
      </w:r>
      <w:r w:rsidR="006A6215" w:rsidRPr="00A33930">
        <w:rPr>
          <w:rFonts w:eastAsia="Verdana" w:cs="Verdana"/>
          <w:szCs w:val="18"/>
          <w:lang w:val="nl-NL"/>
        </w:rPr>
        <w:t>wordt</w:t>
      </w:r>
      <w:r w:rsidRPr="00A33930">
        <w:rPr>
          <w:rFonts w:eastAsia="Verdana" w:cs="Verdana"/>
          <w:szCs w:val="18"/>
          <w:lang w:val="nl-NL"/>
        </w:rPr>
        <w:t xml:space="preserve"> </w:t>
      </w:r>
      <w:r w:rsidR="006A6215" w:rsidRPr="00A33930">
        <w:rPr>
          <w:rFonts w:eastAsia="Verdana" w:cs="Verdana"/>
          <w:szCs w:val="18"/>
          <w:lang w:val="nl-NL"/>
        </w:rPr>
        <w:t>aan</w:t>
      </w:r>
      <w:r w:rsidRPr="00A33930">
        <w:rPr>
          <w:rFonts w:eastAsia="Verdana" w:cs="Verdana"/>
          <w:szCs w:val="18"/>
          <w:lang w:val="nl-NL"/>
        </w:rPr>
        <w:t xml:space="preserve"> </w:t>
      </w:r>
      <w:r w:rsidR="006A6215" w:rsidRPr="00A33930">
        <w:rPr>
          <w:rFonts w:eastAsia="Verdana" w:cs="Verdana"/>
          <w:szCs w:val="18"/>
          <w:lang w:val="nl-NL"/>
        </w:rPr>
        <w:t>de</w:t>
      </w:r>
      <w:r w:rsidRPr="00A33930">
        <w:rPr>
          <w:rFonts w:eastAsia="Verdana" w:cs="Verdana"/>
          <w:szCs w:val="18"/>
          <w:lang w:val="nl-NL"/>
        </w:rPr>
        <w:t xml:space="preserve"> ouderlijk </w:t>
      </w:r>
      <w:r w:rsidR="006A6215" w:rsidRPr="00A33930">
        <w:rPr>
          <w:rFonts w:eastAsia="Verdana" w:cs="Verdana"/>
          <w:szCs w:val="18"/>
          <w:lang w:val="nl-NL"/>
        </w:rPr>
        <w:t>verantwoordelijkheden,</w:t>
      </w:r>
      <w:r w:rsidRPr="00A33930">
        <w:rPr>
          <w:rFonts w:eastAsia="Verdana" w:cs="Verdana"/>
          <w:szCs w:val="18"/>
          <w:lang w:val="nl-NL"/>
        </w:rPr>
        <w:t xml:space="preserve"> kan dit recht door de ouders worden afgedwongen voor de rechtbank. </w:t>
      </w:r>
      <w:r w:rsidR="001242E1" w:rsidRPr="00A33930">
        <w:rPr>
          <w:rFonts w:eastAsia="Verdana" w:cs="Verdana"/>
          <w:szCs w:val="18"/>
          <w:lang w:val="nl-NL"/>
        </w:rPr>
        <w:t>Wanneer één van de ouders weigert uit te voeren, is het mogelijk de zaak voor de familierechtbank te brengen op grond van artikel 387</w:t>
      </w:r>
      <w:r w:rsidR="001242E1" w:rsidRPr="00A33930">
        <w:rPr>
          <w:rFonts w:eastAsia="Verdana" w:cs="Verdana"/>
          <w:i/>
          <w:iCs/>
          <w:szCs w:val="18"/>
          <w:lang w:val="nl-NL"/>
        </w:rPr>
        <w:t>ter</w:t>
      </w:r>
      <w:r w:rsidR="001242E1" w:rsidRPr="00A33930">
        <w:rPr>
          <w:rFonts w:eastAsia="Verdana" w:cs="Verdana"/>
          <w:szCs w:val="18"/>
          <w:lang w:val="nl-NL"/>
        </w:rPr>
        <w:t>, §1, eerste lid oud BW.</w:t>
      </w:r>
      <w:r w:rsidR="00E51A37" w:rsidRPr="00A33930">
        <w:rPr>
          <w:rFonts w:eastAsia="Verdana" w:cs="Verdana"/>
          <w:szCs w:val="18"/>
          <w:lang w:val="nl-NL"/>
        </w:rPr>
        <w:t xml:space="preserve"> </w:t>
      </w:r>
    </w:p>
    <w:p w14:paraId="3299037B" w14:textId="77777777" w:rsidR="00E51A37" w:rsidRPr="00A33930" w:rsidRDefault="00E51A37" w:rsidP="00E51A37">
      <w:pPr>
        <w:pStyle w:val="Lijstalinea"/>
        <w:spacing w:before="200" w:after="0"/>
        <w:ind w:left="0"/>
        <w:jc w:val="both"/>
        <w:rPr>
          <w:rFonts w:eastAsia="Verdana" w:cs="Verdana"/>
          <w:szCs w:val="18"/>
          <w:lang w:val="nl-NL"/>
        </w:rPr>
      </w:pPr>
    </w:p>
    <w:p w14:paraId="4C03BA93" w14:textId="03690D48" w:rsidR="001242E1" w:rsidRPr="00A33930" w:rsidRDefault="008B7BA8" w:rsidP="00B037A0">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Door de huidige aandacht voor ADR is een melding van de mogelijkheid </w:t>
      </w:r>
      <w:r w:rsidR="00E51A37" w:rsidRPr="00A33930">
        <w:rPr>
          <w:rFonts w:eastAsia="Verdana" w:cs="Verdana"/>
          <w:szCs w:val="18"/>
          <w:lang w:val="nl-NL"/>
        </w:rPr>
        <w:t xml:space="preserve">tot </w:t>
      </w:r>
      <w:r w:rsidR="00A67C8C" w:rsidRPr="00A33930">
        <w:rPr>
          <w:rFonts w:eastAsia="Verdana" w:cs="Verdana"/>
          <w:szCs w:val="18"/>
          <w:lang w:val="nl-NL"/>
        </w:rPr>
        <w:t>(</w:t>
      </w:r>
      <w:r w:rsidR="00E51A37" w:rsidRPr="00A33930">
        <w:rPr>
          <w:rFonts w:eastAsia="Verdana" w:cs="Verdana"/>
          <w:szCs w:val="18"/>
          <w:lang w:val="nl-NL"/>
        </w:rPr>
        <w:t>omgangs</w:t>
      </w:r>
      <w:r w:rsidR="00A67C8C" w:rsidRPr="00A33930">
        <w:rPr>
          <w:rFonts w:eastAsia="Verdana" w:cs="Verdana"/>
          <w:szCs w:val="18"/>
          <w:lang w:val="nl-NL"/>
        </w:rPr>
        <w:t>)</w:t>
      </w:r>
      <w:r w:rsidR="00E51A37" w:rsidRPr="00A33930">
        <w:rPr>
          <w:rFonts w:eastAsia="Verdana" w:cs="Verdana"/>
          <w:szCs w:val="18"/>
          <w:lang w:val="nl-NL"/>
        </w:rPr>
        <w:t>bemiddeling</w:t>
      </w:r>
      <w:r w:rsidRPr="00A33930">
        <w:rPr>
          <w:rFonts w:eastAsia="Verdana" w:cs="Verdana"/>
          <w:szCs w:val="18"/>
          <w:lang w:val="nl-NL"/>
        </w:rPr>
        <w:t xml:space="preserve"> hier passend.</w:t>
      </w:r>
      <w:r w:rsidR="00254C7E" w:rsidRPr="00A33930">
        <w:rPr>
          <w:rStyle w:val="Voetnootmarkering"/>
          <w:rFonts w:eastAsia="Verdana" w:cs="Verdana"/>
          <w:szCs w:val="18"/>
          <w:lang w:val="nl-NL"/>
        </w:rPr>
        <w:footnoteReference w:id="393"/>
      </w:r>
      <w:r w:rsidRPr="00A33930">
        <w:rPr>
          <w:rFonts w:eastAsia="Verdana" w:cs="Verdana"/>
          <w:szCs w:val="18"/>
          <w:lang w:val="nl-NL"/>
        </w:rPr>
        <w:t xml:space="preserve"> In een bemiddeling krijgt het kind de mogelijkheid zijn mening te uiten</w:t>
      </w:r>
      <w:r w:rsidR="00E51A37" w:rsidRPr="00A33930">
        <w:rPr>
          <w:rFonts w:eastAsia="Verdana" w:cs="Verdana"/>
          <w:szCs w:val="18"/>
          <w:lang w:val="nl-NL"/>
        </w:rPr>
        <w:t xml:space="preserve">. Het voordeel is dat het geschil zo buiten de rechtbank blijft, wat </w:t>
      </w:r>
      <w:r w:rsidR="008970EA" w:rsidRPr="00A33930">
        <w:rPr>
          <w:rFonts w:eastAsia="Verdana" w:cs="Verdana"/>
          <w:szCs w:val="18"/>
          <w:lang w:val="nl-NL"/>
        </w:rPr>
        <w:t>mogelijke</w:t>
      </w:r>
      <w:r w:rsidR="00E51A37" w:rsidRPr="00A33930">
        <w:rPr>
          <w:rFonts w:eastAsia="Verdana" w:cs="Verdana"/>
          <w:szCs w:val="18"/>
          <w:lang w:val="nl-NL"/>
        </w:rPr>
        <w:t xml:space="preserve"> polarisatie </w:t>
      </w:r>
      <w:r w:rsidRPr="00A33930">
        <w:rPr>
          <w:rFonts w:eastAsia="Verdana" w:cs="Verdana"/>
          <w:szCs w:val="18"/>
          <w:lang w:val="nl-NL"/>
        </w:rPr>
        <w:t>en loya</w:t>
      </w:r>
      <w:r w:rsidR="008970EA" w:rsidRPr="00A33930">
        <w:rPr>
          <w:rFonts w:eastAsia="Verdana" w:cs="Verdana"/>
          <w:szCs w:val="18"/>
          <w:lang w:val="nl-NL"/>
        </w:rPr>
        <w:t>li</w:t>
      </w:r>
      <w:r w:rsidRPr="00A33930">
        <w:rPr>
          <w:rFonts w:eastAsia="Verdana" w:cs="Verdana"/>
          <w:szCs w:val="18"/>
          <w:lang w:val="nl-NL"/>
        </w:rPr>
        <w:t>teitsconflict</w:t>
      </w:r>
      <w:r w:rsidR="002846C6" w:rsidRPr="00A33930">
        <w:rPr>
          <w:rFonts w:eastAsia="Verdana" w:cs="Verdana"/>
          <w:szCs w:val="18"/>
          <w:lang w:val="nl-NL"/>
        </w:rPr>
        <w:t>en</w:t>
      </w:r>
      <w:r w:rsidRPr="00A33930">
        <w:rPr>
          <w:rFonts w:eastAsia="Verdana" w:cs="Verdana"/>
          <w:szCs w:val="18"/>
          <w:lang w:val="nl-NL"/>
        </w:rPr>
        <w:t xml:space="preserve"> bij het kind </w:t>
      </w:r>
      <w:r w:rsidR="008970EA" w:rsidRPr="00A33930">
        <w:rPr>
          <w:rFonts w:eastAsia="Verdana" w:cs="Verdana"/>
          <w:szCs w:val="18"/>
          <w:lang w:val="nl-NL"/>
        </w:rPr>
        <w:t>voorkomt</w:t>
      </w:r>
      <w:r w:rsidR="00E51A37" w:rsidRPr="00A33930">
        <w:rPr>
          <w:rFonts w:eastAsia="Verdana" w:cs="Verdana"/>
          <w:szCs w:val="18"/>
          <w:lang w:val="nl-NL"/>
        </w:rPr>
        <w:t>.</w:t>
      </w:r>
      <w:r w:rsidRPr="00A33930">
        <w:rPr>
          <w:rFonts w:eastAsia="Verdana" w:cs="Verdana"/>
          <w:szCs w:val="18"/>
          <w:lang w:val="nl-NL"/>
        </w:rPr>
        <w:t xml:space="preserve"> Een zelfontworpen oplossing is ook een (beter) gedragen oplossing.</w:t>
      </w:r>
      <w:r w:rsidR="00E51A37" w:rsidRPr="00A33930">
        <w:rPr>
          <w:rFonts w:eastAsia="Verdana" w:cs="Verdana"/>
          <w:szCs w:val="18"/>
          <w:lang w:val="nl-NL"/>
        </w:rPr>
        <w:t xml:space="preserve"> </w:t>
      </w:r>
      <w:r w:rsidRPr="00A33930">
        <w:rPr>
          <w:rFonts w:eastAsia="Verdana" w:cs="Verdana"/>
          <w:szCs w:val="18"/>
          <w:lang w:val="nl-NL"/>
        </w:rPr>
        <w:t>In een kader buiten de rechtbank is het voor het kind wellicht aangenamer en makkelijker om</w:t>
      </w:r>
      <w:r w:rsidR="00E51A37" w:rsidRPr="00A33930">
        <w:rPr>
          <w:rFonts w:eastAsia="Verdana" w:cs="Verdana"/>
          <w:szCs w:val="18"/>
          <w:lang w:val="nl-NL"/>
        </w:rPr>
        <w:t xml:space="preserve"> het conflict</w:t>
      </w:r>
      <w:r w:rsidRPr="00A33930">
        <w:rPr>
          <w:rFonts w:eastAsia="Verdana" w:cs="Verdana"/>
          <w:szCs w:val="18"/>
          <w:lang w:val="nl-NL"/>
        </w:rPr>
        <w:t xml:space="preserve"> tussen zijn (groot)ouders</w:t>
      </w:r>
      <w:r w:rsidR="00FD479E" w:rsidRPr="00A33930">
        <w:rPr>
          <w:rFonts w:eastAsia="Verdana" w:cs="Verdana"/>
          <w:szCs w:val="18"/>
          <w:lang w:val="nl-NL"/>
        </w:rPr>
        <w:t xml:space="preserve"> en/of derden</w:t>
      </w:r>
      <w:r w:rsidRPr="00A33930">
        <w:rPr>
          <w:rFonts w:eastAsia="Verdana" w:cs="Verdana"/>
          <w:szCs w:val="18"/>
          <w:lang w:val="nl-NL"/>
        </w:rPr>
        <w:t xml:space="preserve"> te plaatsen. In tegenstelling tot zijn hoorrecht voor de rechtbank, is de rol van het kind in de bemiddelingspraktijk niet vastgelegd.</w:t>
      </w:r>
      <w:r w:rsidR="00254C7E" w:rsidRPr="00A33930">
        <w:rPr>
          <w:rStyle w:val="Voetnootmarkering"/>
          <w:rFonts w:eastAsia="Verdana" w:cs="Verdana"/>
          <w:szCs w:val="18"/>
          <w:lang w:val="nl-NL"/>
        </w:rPr>
        <w:footnoteReference w:id="394"/>
      </w:r>
      <w:r w:rsidRPr="00A33930">
        <w:rPr>
          <w:rFonts w:eastAsia="Verdana" w:cs="Verdana"/>
          <w:szCs w:val="18"/>
          <w:lang w:val="nl-NL"/>
        </w:rPr>
        <w:t xml:space="preserve"> </w:t>
      </w:r>
      <w:r w:rsidR="006B48B2" w:rsidRPr="00A33930">
        <w:rPr>
          <w:rFonts w:eastAsia="Verdana" w:cs="Verdana"/>
          <w:szCs w:val="18"/>
          <w:lang w:val="nl-NL"/>
        </w:rPr>
        <w:t>Beiden zijn</w:t>
      </w:r>
      <w:r w:rsidR="00254C7E" w:rsidRPr="00A33930">
        <w:rPr>
          <w:rFonts w:eastAsia="Verdana" w:cs="Verdana"/>
          <w:szCs w:val="18"/>
          <w:lang w:val="nl-NL"/>
        </w:rPr>
        <w:t xml:space="preserve"> tot op heden </w:t>
      </w:r>
      <w:r w:rsidR="00E57778" w:rsidRPr="00A33930">
        <w:rPr>
          <w:rFonts w:eastAsia="Verdana" w:cs="Verdana"/>
          <w:szCs w:val="18"/>
          <w:lang w:val="nl-NL"/>
        </w:rPr>
        <w:t xml:space="preserve">namelijk </w:t>
      </w:r>
      <w:r w:rsidR="00254C7E" w:rsidRPr="00A33930">
        <w:rPr>
          <w:rFonts w:eastAsia="Verdana" w:cs="Verdana"/>
          <w:szCs w:val="18"/>
          <w:lang w:val="nl-NL"/>
        </w:rPr>
        <w:t>erg volwassenen-georiënteerd.</w:t>
      </w:r>
      <w:r w:rsidR="00254C7E" w:rsidRPr="00A33930">
        <w:rPr>
          <w:rStyle w:val="Voetnootmarkering"/>
          <w:rFonts w:eastAsia="Verdana" w:cs="Verdana"/>
          <w:szCs w:val="18"/>
          <w:lang w:val="nl-NL"/>
        </w:rPr>
        <w:footnoteReference w:id="395"/>
      </w:r>
      <w:r w:rsidR="00254C7E" w:rsidRPr="00A33930">
        <w:rPr>
          <w:rFonts w:eastAsia="Verdana" w:cs="Verdana"/>
          <w:szCs w:val="18"/>
          <w:lang w:val="nl-NL"/>
        </w:rPr>
        <w:t xml:space="preserve"> </w:t>
      </w:r>
      <w:r w:rsidR="003D5F29" w:rsidRPr="00A33930">
        <w:rPr>
          <w:rFonts w:eastAsia="Verdana" w:cs="Verdana"/>
          <w:szCs w:val="18"/>
          <w:lang w:val="nl-NL"/>
        </w:rPr>
        <w:t xml:space="preserve">Momenteel </w:t>
      </w:r>
      <w:r w:rsidR="00E57778" w:rsidRPr="00A33930">
        <w:rPr>
          <w:rFonts w:eastAsia="Verdana" w:cs="Verdana"/>
          <w:szCs w:val="18"/>
          <w:lang w:val="nl-NL"/>
        </w:rPr>
        <w:t>vormt</w:t>
      </w:r>
      <w:r w:rsidR="003D5F29" w:rsidRPr="00A33930">
        <w:rPr>
          <w:rFonts w:eastAsia="Verdana" w:cs="Verdana"/>
          <w:szCs w:val="18"/>
          <w:lang w:val="nl-NL"/>
        </w:rPr>
        <w:t xml:space="preserve"> </w:t>
      </w:r>
      <w:r w:rsidR="00E57778" w:rsidRPr="00A33930">
        <w:rPr>
          <w:rFonts w:eastAsia="Verdana" w:cs="Verdana"/>
          <w:szCs w:val="18"/>
          <w:lang w:val="nl-NL"/>
        </w:rPr>
        <w:t>bemiddeling</w:t>
      </w:r>
      <w:r w:rsidR="003D5F29" w:rsidRPr="00A33930">
        <w:rPr>
          <w:rFonts w:eastAsia="Verdana" w:cs="Verdana"/>
          <w:szCs w:val="18"/>
          <w:lang w:val="nl-NL"/>
        </w:rPr>
        <w:t xml:space="preserve"> een middel tot constructieve dialoog tussen de ouders. </w:t>
      </w:r>
      <w:r w:rsidRPr="00A33930">
        <w:rPr>
          <w:rFonts w:eastAsia="Verdana" w:cs="Verdana"/>
          <w:szCs w:val="18"/>
          <w:lang w:val="nl-NL"/>
        </w:rPr>
        <w:t xml:space="preserve">Dat maakt </w:t>
      </w:r>
      <w:r w:rsidR="003D2DFC" w:rsidRPr="00A33930">
        <w:rPr>
          <w:rFonts w:eastAsia="Verdana" w:cs="Verdana"/>
          <w:szCs w:val="18"/>
          <w:lang w:val="nl-NL"/>
        </w:rPr>
        <w:t>m</w:t>
      </w:r>
      <w:r w:rsidR="00E57778" w:rsidRPr="00A33930">
        <w:rPr>
          <w:rFonts w:eastAsia="Verdana" w:cs="Verdana"/>
          <w:szCs w:val="18"/>
          <w:lang w:val="nl-NL"/>
        </w:rPr>
        <w:t>ijns inziens</w:t>
      </w:r>
      <w:r w:rsidRPr="00A33930">
        <w:rPr>
          <w:rFonts w:eastAsia="Verdana" w:cs="Verdana"/>
          <w:szCs w:val="18"/>
          <w:lang w:val="nl-NL"/>
        </w:rPr>
        <w:t xml:space="preserve"> dat ook hier een afdwinging van een eigen recht op contact eerder onmogelijk lijkt. </w:t>
      </w:r>
      <w:r w:rsidR="0082229D" w:rsidRPr="00A33930">
        <w:rPr>
          <w:rFonts w:eastAsia="Verdana" w:cs="Verdana"/>
          <w:szCs w:val="18"/>
          <w:lang w:val="nl-NL"/>
        </w:rPr>
        <w:t>De stem van het</w:t>
      </w:r>
      <w:r w:rsidRPr="00A33930">
        <w:rPr>
          <w:rFonts w:eastAsia="Verdana" w:cs="Verdana"/>
          <w:szCs w:val="18"/>
          <w:lang w:val="nl-NL"/>
        </w:rPr>
        <w:t xml:space="preserve"> kind </w:t>
      </w:r>
      <w:r w:rsidR="002846C6" w:rsidRPr="00A33930">
        <w:rPr>
          <w:rFonts w:eastAsia="Verdana" w:cs="Verdana"/>
          <w:szCs w:val="18"/>
          <w:lang w:val="nl-NL"/>
        </w:rPr>
        <w:t>lijkt</w:t>
      </w:r>
      <w:r w:rsidRPr="00A33930">
        <w:rPr>
          <w:rFonts w:eastAsia="Verdana" w:cs="Verdana"/>
          <w:szCs w:val="18"/>
          <w:lang w:val="nl-NL"/>
        </w:rPr>
        <w:t xml:space="preserve"> </w:t>
      </w:r>
      <w:r w:rsidR="002846C6" w:rsidRPr="00A33930">
        <w:rPr>
          <w:rFonts w:eastAsia="Verdana" w:cs="Verdana"/>
          <w:szCs w:val="18"/>
          <w:lang w:val="nl-NL"/>
        </w:rPr>
        <w:t xml:space="preserve">in </w:t>
      </w:r>
      <w:r w:rsidR="00FD479E" w:rsidRPr="00A33930">
        <w:rPr>
          <w:rFonts w:eastAsia="Verdana" w:cs="Verdana"/>
          <w:szCs w:val="18"/>
          <w:lang w:val="nl-NL"/>
        </w:rPr>
        <w:t>dit</w:t>
      </w:r>
      <w:r w:rsidR="002846C6" w:rsidRPr="00A33930">
        <w:rPr>
          <w:rFonts w:eastAsia="Verdana" w:cs="Verdana"/>
          <w:szCs w:val="18"/>
          <w:lang w:val="nl-NL"/>
        </w:rPr>
        <w:t xml:space="preserve"> opzicht </w:t>
      </w:r>
      <w:r w:rsidRPr="00A33930">
        <w:rPr>
          <w:rFonts w:eastAsia="Verdana" w:cs="Verdana"/>
          <w:szCs w:val="18"/>
          <w:lang w:val="nl-NL"/>
        </w:rPr>
        <w:t xml:space="preserve">onvoldoende </w:t>
      </w:r>
      <w:r w:rsidR="0082229D" w:rsidRPr="00A33930">
        <w:rPr>
          <w:rFonts w:eastAsia="Verdana" w:cs="Verdana"/>
          <w:szCs w:val="18"/>
          <w:lang w:val="nl-NL"/>
        </w:rPr>
        <w:t>gewicht</w:t>
      </w:r>
      <w:r w:rsidR="002846C6" w:rsidRPr="00A33930">
        <w:rPr>
          <w:rFonts w:eastAsia="Verdana" w:cs="Verdana"/>
          <w:szCs w:val="18"/>
          <w:lang w:val="nl-NL"/>
        </w:rPr>
        <w:t xml:space="preserve"> te krijgen</w:t>
      </w:r>
      <w:r w:rsidRPr="00A33930">
        <w:rPr>
          <w:rFonts w:eastAsia="Verdana" w:cs="Verdana"/>
          <w:szCs w:val="18"/>
          <w:lang w:val="nl-NL"/>
        </w:rPr>
        <w:t>.</w:t>
      </w:r>
    </w:p>
    <w:p w14:paraId="5592B327" w14:textId="77777777" w:rsidR="001242E1" w:rsidRPr="00A33930" w:rsidRDefault="001242E1" w:rsidP="001242E1">
      <w:pPr>
        <w:pStyle w:val="Lijstalinea"/>
        <w:spacing w:before="200" w:after="0"/>
        <w:ind w:left="0"/>
        <w:jc w:val="both"/>
        <w:rPr>
          <w:rFonts w:eastAsia="Verdana" w:cs="Verdana"/>
          <w:szCs w:val="18"/>
          <w:lang w:val="nl-NL"/>
        </w:rPr>
      </w:pPr>
    </w:p>
    <w:p w14:paraId="0BA5575F" w14:textId="3EF806C7" w:rsidR="00B037A0" w:rsidRPr="00A33930" w:rsidRDefault="00C014C0" w:rsidP="00B037A0">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België </w:t>
      </w:r>
      <w:r w:rsidR="00566B1B" w:rsidRPr="00A33930">
        <w:rPr>
          <w:rFonts w:eastAsia="Verdana" w:cs="Verdana"/>
          <w:szCs w:val="18"/>
          <w:lang w:val="nl-NL"/>
        </w:rPr>
        <w:t>voorziet niet in</w:t>
      </w:r>
      <w:r w:rsidRPr="00A33930">
        <w:rPr>
          <w:rFonts w:eastAsia="Verdana" w:cs="Verdana"/>
          <w:szCs w:val="18"/>
          <w:lang w:val="nl-NL"/>
        </w:rPr>
        <w:t xml:space="preserve"> eigen recht </w:t>
      </w:r>
      <w:r w:rsidR="00B037A0" w:rsidRPr="00A33930">
        <w:rPr>
          <w:rFonts w:eastAsia="Verdana" w:cs="Verdana"/>
          <w:szCs w:val="18"/>
          <w:lang w:val="nl-NL"/>
        </w:rPr>
        <w:t xml:space="preserve">op persoonlijk contact </w:t>
      </w:r>
      <w:r w:rsidR="00566B1B" w:rsidRPr="00A33930">
        <w:rPr>
          <w:rFonts w:eastAsia="Verdana" w:cs="Verdana"/>
          <w:szCs w:val="18"/>
          <w:lang w:val="nl-NL"/>
        </w:rPr>
        <w:t>van</w:t>
      </w:r>
      <w:r w:rsidRPr="00A33930">
        <w:rPr>
          <w:rFonts w:eastAsia="Verdana" w:cs="Verdana"/>
          <w:szCs w:val="18"/>
          <w:lang w:val="nl-NL"/>
        </w:rPr>
        <w:t xml:space="preserve"> het kind.</w:t>
      </w:r>
      <w:r w:rsidRPr="00A33930">
        <w:rPr>
          <w:rFonts w:eastAsia="Verdana" w:cs="Verdana"/>
          <w:szCs w:val="18"/>
          <w:vertAlign w:val="superscript"/>
          <w:lang w:val="nl-NL"/>
        </w:rPr>
        <w:footnoteReference w:id="396"/>
      </w:r>
      <w:r w:rsidR="001242E1" w:rsidRPr="00A33930">
        <w:rPr>
          <w:rFonts w:eastAsia="Verdana" w:cs="Verdana"/>
          <w:szCs w:val="18"/>
          <w:vertAlign w:val="superscript"/>
          <w:lang w:val="nl-NL"/>
        </w:rPr>
        <w:t xml:space="preserve"> </w:t>
      </w:r>
      <w:r w:rsidR="001242E1" w:rsidRPr="00A33930">
        <w:rPr>
          <w:szCs w:val="18"/>
          <w:lang w:val="nl-NL"/>
        </w:rPr>
        <w:t xml:space="preserve">In het Belgisch rechtssysteem blijft dit recht voorbehouden aan de ouders, </w:t>
      </w:r>
      <w:r w:rsidR="009866F0" w:rsidRPr="00A33930">
        <w:rPr>
          <w:szCs w:val="18"/>
          <w:lang w:val="nl-NL"/>
        </w:rPr>
        <w:t>het</w:t>
      </w:r>
      <w:r w:rsidR="001242E1" w:rsidRPr="00A33930">
        <w:rPr>
          <w:szCs w:val="18"/>
          <w:lang w:val="nl-NL"/>
        </w:rPr>
        <w:t xml:space="preserve"> </w:t>
      </w:r>
      <w:r w:rsidR="009866F0" w:rsidRPr="00A33930">
        <w:rPr>
          <w:szCs w:val="18"/>
          <w:lang w:val="nl-NL"/>
        </w:rPr>
        <w:t>kind</w:t>
      </w:r>
      <w:r w:rsidR="001242E1" w:rsidRPr="00A33930">
        <w:rPr>
          <w:szCs w:val="18"/>
          <w:lang w:val="nl-NL"/>
        </w:rPr>
        <w:t xml:space="preserve"> zelf </w:t>
      </w:r>
      <w:r w:rsidR="009866F0" w:rsidRPr="00A33930">
        <w:rPr>
          <w:szCs w:val="18"/>
          <w:lang w:val="nl-NL"/>
        </w:rPr>
        <w:t>kan</w:t>
      </w:r>
      <w:r w:rsidR="001242E1" w:rsidRPr="00A33930">
        <w:rPr>
          <w:szCs w:val="18"/>
          <w:lang w:val="nl-NL"/>
        </w:rPr>
        <w:t xml:space="preserve"> </w:t>
      </w:r>
      <w:r w:rsidR="009866F0" w:rsidRPr="00A33930">
        <w:rPr>
          <w:szCs w:val="18"/>
          <w:lang w:val="nl-NL"/>
        </w:rPr>
        <w:t>dit recht</w:t>
      </w:r>
      <w:r w:rsidR="001242E1" w:rsidRPr="00A33930">
        <w:rPr>
          <w:szCs w:val="18"/>
          <w:lang w:val="nl-NL"/>
        </w:rPr>
        <w:t xml:space="preserve"> </w:t>
      </w:r>
      <w:r w:rsidR="006B6A22" w:rsidRPr="00A33930">
        <w:rPr>
          <w:szCs w:val="18"/>
          <w:lang w:val="nl-NL"/>
        </w:rPr>
        <w:t xml:space="preserve">dus ook </w:t>
      </w:r>
      <w:r w:rsidR="001242E1" w:rsidRPr="00A33930">
        <w:rPr>
          <w:szCs w:val="18"/>
          <w:lang w:val="nl-NL"/>
        </w:rPr>
        <w:t xml:space="preserve">niet afdwingen. </w:t>
      </w:r>
      <w:r w:rsidR="00B037A0" w:rsidRPr="00A33930">
        <w:rPr>
          <w:szCs w:val="18"/>
          <w:lang w:val="nl-NL"/>
        </w:rPr>
        <w:t>De rechtbanken hebben vooralsnog geen rechtsmacht om een recht op persoonlijk contact met een meerderjarige toe te kennen, zelfs niet wanneer het om een beschermde meerderjarige gaat.</w:t>
      </w:r>
      <w:r w:rsidR="00B037A0" w:rsidRPr="00A33930">
        <w:rPr>
          <w:rStyle w:val="Voetnootmarkering"/>
          <w:szCs w:val="18"/>
          <w:lang w:val="nl-NL"/>
        </w:rPr>
        <w:footnoteReference w:id="397"/>
      </w:r>
      <w:r w:rsidR="00B037A0" w:rsidRPr="00A33930">
        <w:rPr>
          <w:szCs w:val="18"/>
          <w:lang w:val="nl-NL"/>
        </w:rPr>
        <w:t xml:space="preserve"> </w:t>
      </w:r>
      <w:r w:rsidR="002A339A" w:rsidRPr="00A33930">
        <w:rPr>
          <w:szCs w:val="18"/>
          <w:lang w:val="nl-NL"/>
        </w:rPr>
        <w:t>Het kind wordt in deze procedure duidelijk gezien als rechtsobject. Een</w:t>
      </w:r>
      <w:r w:rsidRPr="00A33930">
        <w:rPr>
          <w:szCs w:val="18"/>
          <w:lang w:val="nl-NL"/>
        </w:rPr>
        <w:t xml:space="preserve"> omgangs</w:t>
      </w:r>
      <w:r w:rsidRPr="00A33930">
        <w:rPr>
          <w:i/>
          <w:iCs/>
          <w:szCs w:val="18"/>
          <w:lang w:val="nl-NL"/>
        </w:rPr>
        <w:t>plicht</w:t>
      </w:r>
      <w:r w:rsidRPr="00A33930">
        <w:rPr>
          <w:szCs w:val="18"/>
          <w:lang w:val="nl-NL"/>
        </w:rPr>
        <w:t xml:space="preserve"> valt </w:t>
      </w:r>
      <w:r w:rsidR="002A339A" w:rsidRPr="00A33930">
        <w:rPr>
          <w:szCs w:val="18"/>
          <w:lang w:val="nl-NL"/>
        </w:rPr>
        <w:t xml:space="preserve">volgens de huidige opvattingen tevens </w:t>
      </w:r>
      <w:r w:rsidRPr="00A33930">
        <w:rPr>
          <w:szCs w:val="18"/>
          <w:lang w:val="nl-NL"/>
        </w:rPr>
        <w:t>moeilijk te handhaven.</w:t>
      </w:r>
      <w:r w:rsidR="00B037A0" w:rsidRPr="00A33930">
        <w:rPr>
          <w:szCs w:val="18"/>
          <w:lang w:val="nl-NL"/>
        </w:rPr>
        <w:t xml:space="preserve"> </w:t>
      </w:r>
      <w:r w:rsidR="0084611F" w:rsidRPr="00A33930">
        <w:rPr>
          <w:szCs w:val="18"/>
          <w:lang w:val="nl-NL"/>
        </w:rPr>
        <w:t>De ouders hebben</w:t>
      </w:r>
      <w:r w:rsidR="00B037A0" w:rsidRPr="00A33930">
        <w:rPr>
          <w:szCs w:val="18"/>
          <w:lang w:val="nl-NL"/>
        </w:rPr>
        <w:t xml:space="preserve"> echter wel</w:t>
      </w:r>
      <w:r w:rsidR="0084611F" w:rsidRPr="00A33930">
        <w:rPr>
          <w:szCs w:val="18"/>
          <w:lang w:val="nl-NL"/>
        </w:rPr>
        <w:t xml:space="preserve"> de plicht om </w:t>
      </w:r>
      <w:r w:rsidR="00053876" w:rsidRPr="00A33930">
        <w:rPr>
          <w:szCs w:val="18"/>
          <w:lang w:val="nl-NL"/>
        </w:rPr>
        <w:t>het recht op persoonlijk contact correct uit te voeren. Als zij dit niet respecteren, zijn zij zowel burgerrechtelijk als strafrechtelijk sanctioneerbaar</w:t>
      </w:r>
      <w:r w:rsidR="006A6215" w:rsidRPr="00A33930">
        <w:rPr>
          <w:szCs w:val="18"/>
          <w:lang w:val="nl-NL"/>
        </w:rPr>
        <w:t xml:space="preserve"> met</w:t>
      </w:r>
      <w:r w:rsidR="00053876" w:rsidRPr="00A33930">
        <w:rPr>
          <w:szCs w:val="18"/>
          <w:lang w:val="nl-NL"/>
        </w:rPr>
        <w:t xml:space="preserve"> gedwongen tenuitvoerlegging, opleggen van een dwangsom of een strafrechtelijke veroordeling wegens niet-afgifte van het kind.</w:t>
      </w:r>
      <w:r w:rsidR="00053876" w:rsidRPr="00A33930">
        <w:rPr>
          <w:rStyle w:val="Voetnootmarkering"/>
          <w:szCs w:val="18"/>
          <w:lang w:val="nl-NL"/>
        </w:rPr>
        <w:footnoteReference w:id="398"/>
      </w:r>
      <w:r w:rsidR="006B6A22" w:rsidRPr="00A33930">
        <w:rPr>
          <w:szCs w:val="18"/>
          <w:lang w:val="nl-NL"/>
        </w:rPr>
        <w:t xml:space="preserve"> </w:t>
      </w:r>
    </w:p>
    <w:p w14:paraId="6D26436D" w14:textId="77777777" w:rsidR="00870068" w:rsidRPr="00A33930" w:rsidRDefault="00870068" w:rsidP="00870068">
      <w:pPr>
        <w:pStyle w:val="Lijstalinea"/>
        <w:rPr>
          <w:rFonts w:eastAsia="Verdana" w:cs="Verdana"/>
          <w:szCs w:val="18"/>
          <w:lang w:val="nl-NL"/>
        </w:rPr>
      </w:pPr>
    </w:p>
    <w:p w14:paraId="44A25ACD" w14:textId="77777777" w:rsidR="0048791A" w:rsidRPr="00A33930" w:rsidRDefault="00870068" w:rsidP="00C4136C">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Oorspronkelijk werd weinig aandacht besteed aan de wil van het kind in zaken betreffende ouderlijk gezag. De laatste jaren worden zijn ontwikkelende vermogens en mening wel meer in rekening gebracht</w:t>
      </w:r>
      <w:r w:rsidR="006A6215" w:rsidRPr="00A33930">
        <w:rPr>
          <w:rFonts w:eastAsia="Verdana" w:cs="Verdana"/>
          <w:szCs w:val="18"/>
          <w:lang w:val="nl-NL"/>
        </w:rPr>
        <w:t>, o.</w:t>
      </w:r>
      <w:r w:rsidR="00E57778" w:rsidRPr="00A33930">
        <w:rPr>
          <w:rFonts w:eastAsia="Verdana" w:cs="Verdana"/>
          <w:szCs w:val="18"/>
          <w:lang w:val="nl-NL"/>
        </w:rPr>
        <w:t>a.</w:t>
      </w:r>
      <w:r w:rsidR="006A6215" w:rsidRPr="00A33930">
        <w:rPr>
          <w:rFonts w:eastAsia="Verdana" w:cs="Verdana"/>
          <w:szCs w:val="18"/>
          <w:lang w:val="nl-NL"/>
        </w:rPr>
        <w:t xml:space="preserve"> via het hoorrecht</w:t>
      </w:r>
      <w:r w:rsidR="00EE2F06" w:rsidRPr="00A33930">
        <w:rPr>
          <w:rFonts w:eastAsia="Verdana" w:cs="Verdana"/>
          <w:szCs w:val="18"/>
          <w:lang w:val="nl-NL"/>
        </w:rPr>
        <w:t xml:space="preserve"> (</w:t>
      </w:r>
      <w:r w:rsidR="00EE2F06" w:rsidRPr="00A33930">
        <w:rPr>
          <w:rFonts w:eastAsia="Verdana" w:cs="Verdana"/>
          <w:i/>
          <w:iCs/>
          <w:szCs w:val="18"/>
          <w:lang w:val="nl-NL"/>
        </w:rPr>
        <w:t xml:space="preserve">supra, </w:t>
      </w:r>
      <w:r w:rsidR="00EE2F06" w:rsidRPr="00A33930">
        <w:rPr>
          <w:rFonts w:eastAsia="Verdana" w:cs="Verdana"/>
          <w:szCs w:val="18"/>
          <w:lang w:val="nl-NL"/>
        </w:rPr>
        <w:t xml:space="preserve">nr. </w:t>
      </w:r>
      <w:r w:rsidR="00A6711A" w:rsidRPr="00A33930">
        <w:rPr>
          <w:rFonts w:eastAsia="Verdana" w:cs="Verdana"/>
          <w:szCs w:val="18"/>
          <w:lang w:val="nl-NL"/>
        </w:rPr>
        <w:t>80</w:t>
      </w:r>
      <w:r w:rsidR="00EE2F06" w:rsidRPr="00A33930">
        <w:rPr>
          <w:rFonts w:eastAsia="Verdana" w:cs="Verdana"/>
          <w:szCs w:val="18"/>
          <w:lang w:val="nl-NL"/>
        </w:rPr>
        <w:t>)</w:t>
      </w:r>
      <w:r w:rsidRPr="00A33930">
        <w:rPr>
          <w:rFonts w:eastAsia="Verdana" w:cs="Verdana"/>
          <w:szCs w:val="18"/>
          <w:lang w:val="nl-NL"/>
        </w:rPr>
        <w:t xml:space="preserve">. Ondanks pogingen om het kind </w:t>
      </w:r>
      <w:r w:rsidR="006A6215" w:rsidRPr="00A33930">
        <w:rPr>
          <w:rFonts w:eastAsia="Verdana" w:cs="Verdana"/>
          <w:szCs w:val="18"/>
          <w:lang w:val="nl-NL"/>
        </w:rPr>
        <w:t xml:space="preserve">meer </w:t>
      </w:r>
      <w:r w:rsidRPr="00A33930">
        <w:rPr>
          <w:rFonts w:eastAsia="Verdana" w:cs="Verdana"/>
          <w:szCs w:val="18"/>
          <w:lang w:val="nl-NL"/>
        </w:rPr>
        <w:t xml:space="preserve">te </w:t>
      </w:r>
      <w:r w:rsidRPr="00A33930">
        <w:rPr>
          <w:rFonts w:eastAsia="Verdana" w:cs="Verdana"/>
          <w:szCs w:val="18"/>
          <w:lang w:val="nl-NL"/>
        </w:rPr>
        <w:lastRenderedPageBreak/>
        <w:t xml:space="preserve">betrekken, loopt het recht van het kind niet gelijk met </w:t>
      </w:r>
      <w:r w:rsidR="006A6215" w:rsidRPr="00A33930">
        <w:rPr>
          <w:rFonts w:eastAsia="Verdana" w:cs="Verdana"/>
          <w:szCs w:val="18"/>
          <w:lang w:val="nl-NL"/>
        </w:rPr>
        <w:t>da</w:t>
      </w:r>
      <w:r w:rsidR="00EE2F06" w:rsidRPr="00A33930">
        <w:rPr>
          <w:rFonts w:eastAsia="Verdana" w:cs="Verdana"/>
          <w:szCs w:val="18"/>
          <w:lang w:val="nl-NL"/>
        </w:rPr>
        <w:t>t</w:t>
      </w:r>
      <w:r w:rsidRPr="00A33930">
        <w:rPr>
          <w:rFonts w:eastAsia="Verdana" w:cs="Verdana"/>
          <w:szCs w:val="18"/>
          <w:lang w:val="nl-NL"/>
        </w:rPr>
        <w:t xml:space="preserve"> van de ouder. Het is bijna ondenkbaar dat het kind zich kan verzetten tegen een toekenning van een recht op persoonlijk contact</w:t>
      </w:r>
      <w:r w:rsidR="00EE2F06" w:rsidRPr="00A33930">
        <w:rPr>
          <w:rFonts w:eastAsia="Verdana" w:cs="Verdana"/>
          <w:szCs w:val="18"/>
          <w:lang w:val="nl-NL"/>
        </w:rPr>
        <w:t>, wat voor ouders wel mogelijk is</w:t>
      </w:r>
      <w:r w:rsidRPr="00A33930">
        <w:rPr>
          <w:rFonts w:eastAsia="Verdana" w:cs="Verdana"/>
          <w:szCs w:val="18"/>
          <w:lang w:val="nl-NL"/>
        </w:rPr>
        <w:t>.</w:t>
      </w:r>
      <w:r w:rsidRPr="00A33930">
        <w:rPr>
          <w:rStyle w:val="Voetnootmarkering"/>
          <w:rFonts w:eastAsia="Verdana" w:cs="Verdana"/>
          <w:szCs w:val="18"/>
          <w:lang w:val="nl-NL"/>
        </w:rPr>
        <w:footnoteReference w:id="399"/>
      </w:r>
      <w:r w:rsidRPr="00A33930">
        <w:rPr>
          <w:rFonts w:eastAsia="Verdana" w:cs="Verdana"/>
          <w:szCs w:val="18"/>
          <w:lang w:val="nl-NL"/>
        </w:rPr>
        <w:t xml:space="preserve"> Enkel </w:t>
      </w:r>
      <w:r w:rsidR="00482FA9" w:rsidRPr="00A33930">
        <w:rPr>
          <w:rFonts w:eastAsia="Verdana" w:cs="Verdana"/>
          <w:szCs w:val="18"/>
          <w:lang w:val="nl-NL"/>
        </w:rPr>
        <w:t>wanneer</w:t>
      </w:r>
      <w:r w:rsidRPr="00A33930">
        <w:rPr>
          <w:rFonts w:eastAsia="Verdana" w:cs="Verdana"/>
          <w:szCs w:val="18"/>
          <w:lang w:val="nl-NL"/>
        </w:rPr>
        <w:t xml:space="preserve"> deze toekenning gepaard gaat met dwang, primeert het belang van het kind (</w:t>
      </w:r>
      <w:r w:rsidRPr="00A33930">
        <w:rPr>
          <w:rFonts w:eastAsia="Verdana" w:cs="Verdana"/>
          <w:i/>
          <w:iCs/>
          <w:szCs w:val="18"/>
          <w:lang w:val="nl-NL"/>
        </w:rPr>
        <w:t>supra</w:t>
      </w:r>
      <w:r w:rsidRPr="00A33930">
        <w:rPr>
          <w:rFonts w:eastAsia="Verdana" w:cs="Verdana"/>
          <w:szCs w:val="18"/>
          <w:lang w:val="nl-NL"/>
        </w:rPr>
        <w:t xml:space="preserve">, nr. </w:t>
      </w:r>
      <w:r w:rsidR="00A6711A" w:rsidRPr="00A33930">
        <w:rPr>
          <w:rFonts w:eastAsia="Verdana" w:cs="Verdana"/>
          <w:szCs w:val="18"/>
          <w:lang w:val="nl-NL"/>
        </w:rPr>
        <w:t>79</w:t>
      </w:r>
      <w:r w:rsidRPr="00A33930">
        <w:rPr>
          <w:rFonts w:eastAsia="Verdana" w:cs="Verdana"/>
          <w:szCs w:val="18"/>
          <w:lang w:val="nl-NL"/>
        </w:rPr>
        <w:t>).</w:t>
      </w:r>
      <w:r w:rsidRPr="00A33930">
        <w:rPr>
          <w:rStyle w:val="Voetnootmarkering"/>
          <w:rFonts w:eastAsia="Verdana" w:cs="Verdana"/>
          <w:szCs w:val="18"/>
          <w:lang w:val="nl-NL"/>
        </w:rPr>
        <w:footnoteReference w:id="400"/>
      </w:r>
      <w:r w:rsidRPr="00A33930">
        <w:rPr>
          <w:rFonts w:eastAsia="Verdana" w:cs="Verdana"/>
          <w:szCs w:val="18"/>
          <w:lang w:val="nl-NL"/>
        </w:rPr>
        <w:t xml:space="preserve"> </w:t>
      </w:r>
      <w:r w:rsidR="00856E2F" w:rsidRPr="00A33930">
        <w:rPr>
          <w:rFonts w:eastAsia="Verdana" w:cs="Verdana"/>
          <w:szCs w:val="18"/>
          <w:lang w:val="nl-NL"/>
        </w:rPr>
        <w:t>Het feit dat het kind wordt gehoord maakt hem vooralsnog geen procespartij.</w:t>
      </w:r>
      <w:r w:rsidR="00CA154B" w:rsidRPr="00A33930">
        <w:rPr>
          <w:rStyle w:val="Voetnootmarkering"/>
          <w:rFonts w:eastAsia="Verdana" w:cs="Verdana"/>
          <w:szCs w:val="18"/>
          <w:lang w:val="nl-NL"/>
        </w:rPr>
        <w:footnoteReference w:id="401"/>
      </w:r>
      <w:r w:rsidR="00856E2F" w:rsidRPr="00A33930">
        <w:rPr>
          <w:rFonts w:eastAsia="Verdana" w:cs="Verdana"/>
          <w:szCs w:val="18"/>
          <w:lang w:val="nl-NL"/>
        </w:rPr>
        <w:t xml:space="preserve"> Hij kan dus </w:t>
      </w:r>
      <w:r w:rsidR="00EE2F06" w:rsidRPr="00A33930">
        <w:rPr>
          <w:rFonts w:eastAsia="Verdana" w:cs="Verdana"/>
          <w:szCs w:val="18"/>
          <w:lang w:val="nl-NL"/>
        </w:rPr>
        <w:t xml:space="preserve">ook </w:t>
      </w:r>
      <w:r w:rsidR="00856E2F" w:rsidRPr="00A33930">
        <w:rPr>
          <w:rFonts w:eastAsia="Verdana" w:cs="Verdana"/>
          <w:szCs w:val="18"/>
          <w:lang w:val="nl-NL"/>
        </w:rPr>
        <w:t>geen beroep aantekenen indien de familierechtbank niet volgens zijn wensen heeft geoordeeld.</w:t>
      </w:r>
      <w:r w:rsidR="00856E2F" w:rsidRPr="00A33930">
        <w:rPr>
          <w:rStyle w:val="Voetnootmarkering"/>
          <w:rFonts w:eastAsia="Verdana" w:cs="Verdana"/>
          <w:szCs w:val="18"/>
          <w:lang w:val="nl-NL"/>
        </w:rPr>
        <w:footnoteReference w:id="402"/>
      </w:r>
      <w:r w:rsidR="00C4136C" w:rsidRPr="00A33930">
        <w:rPr>
          <w:rFonts w:eastAsia="Verdana" w:cs="Verdana"/>
          <w:szCs w:val="18"/>
          <w:lang w:val="nl-NL"/>
        </w:rPr>
        <w:t xml:space="preserve"> </w:t>
      </w:r>
    </w:p>
    <w:p w14:paraId="23824417" w14:textId="77777777" w:rsidR="0048791A" w:rsidRPr="00A33930" w:rsidRDefault="0048791A" w:rsidP="0048791A">
      <w:pPr>
        <w:pStyle w:val="Lijstalinea"/>
        <w:rPr>
          <w:rFonts w:eastAsia="Verdana" w:cs="Verdana"/>
          <w:szCs w:val="18"/>
          <w:lang w:val="nl-NL"/>
        </w:rPr>
      </w:pPr>
    </w:p>
    <w:p w14:paraId="62BFA4E8" w14:textId="05FC8C63" w:rsidR="00870068" w:rsidRPr="00A33930" w:rsidRDefault="006A6215" w:rsidP="0048791A">
      <w:pPr>
        <w:pStyle w:val="Lijstalinea"/>
        <w:spacing w:before="200" w:after="0"/>
        <w:ind w:left="0"/>
        <w:jc w:val="both"/>
        <w:rPr>
          <w:rFonts w:eastAsia="Verdana" w:cs="Verdana"/>
          <w:szCs w:val="18"/>
          <w:lang w:val="nl-NL"/>
        </w:rPr>
      </w:pPr>
      <w:r w:rsidRPr="00A33930">
        <w:rPr>
          <w:rFonts w:eastAsia="Verdana" w:cs="Verdana"/>
          <w:szCs w:val="18"/>
          <w:lang w:val="nl-NL"/>
        </w:rPr>
        <w:t>Het kind in België blijft</w:t>
      </w:r>
      <w:r w:rsidR="00EE2F06" w:rsidRPr="00A33930">
        <w:rPr>
          <w:rFonts w:eastAsia="Verdana" w:cs="Verdana"/>
          <w:szCs w:val="18"/>
          <w:lang w:val="nl-NL"/>
        </w:rPr>
        <w:t xml:space="preserve"> dus</w:t>
      </w:r>
      <w:r w:rsidRPr="00A33930">
        <w:rPr>
          <w:rFonts w:eastAsia="Verdana" w:cs="Verdana"/>
          <w:szCs w:val="18"/>
          <w:lang w:val="nl-NL"/>
        </w:rPr>
        <w:t xml:space="preserve"> ook </w:t>
      </w:r>
      <w:r w:rsidR="00EE2F06" w:rsidRPr="00A33930">
        <w:rPr>
          <w:rFonts w:eastAsia="Verdana" w:cs="Verdana"/>
          <w:szCs w:val="18"/>
          <w:lang w:val="nl-NL"/>
        </w:rPr>
        <w:t>met betrekking tot</w:t>
      </w:r>
      <w:r w:rsidRPr="00A33930">
        <w:rPr>
          <w:rFonts w:eastAsia="Verdana" w:cs="Verdana"/>
          <w:szCs w:val="18"/>
          <w:lang w:val="nl-NL"/>
        </w:rPr>
        <w:t xml:space="preserve"> de afdwinging van zijn rechten </w:t>
      </w:r>
      <w:r w:rsidR="00EE2F06" w:rsidRPr="00A33930">
        <w:rPr>
          <w:rFonts w:eastAsia="Verdana" w:cs="Verdana"/>
          <w:szCs w:val="18"/>
          <w:lang w:val="nl-NL"/>
        </w:rPr>
        <w:t>voornamelijk een object</w:t>
      </w:r>
      <w:r w:rsidRPr="00A33930">
        <w:rPr>
          <w:rFonts w:eastAsia="Verdana" w:cs="Verdana"/>
          <w:szCs w:val="18"/>
          <w:lang w:val="nl-NL"/>
        </w:rPr>
        <w:t>.</w:t>
      </w:r>
      <w:r w:rsidR="00EE2F06" w:rsidRPr="00A33930">
        <w:rPr>
          <w:rFonts w:eastAsia="Verdana" w:cs="Verdana"/>
          <w:szCs w:val="18"/>
          <w:lang w:val="nl-NL"/>
        </w:rPr>
        <w:t xml:space="preserve"> Hij mag dan wel in staat zijn om zijn mening te uiten, uiteindelijk worden de beslissingen nog steeds boven zijn hoofd genomen. </w:t>
      </w:r>
      <w:r w:rsidR="00C4136C" w:rsidRPr="00A33930">
        <w:rPr>
          <w:rFonts w:eastAsia="Verdana" w:cs="Verdana"/>
          <w:szCs w:val="18"/>
          <w:lang w:val="nl-NL"/>
        </w:rPr>
        <w:t xml:space="preserve">Het in overweging nemen van </w:t>
      </w:r>
      <w:r w:rsidR="0048791A" w:rsidRPr="00A33930">
        <w:rPr>
          <w:rFonts w:eastAsia="Verdana" w:cs="Verdana"/>
          <w:szCs w:val="18"/>
          <w:lang w:val="nl-NL"/>
        </w:rPr>
        <w:t xml:space="preserve">het </w:t>
      </w:r>
      <w:r w:rsidR="00C4136C" w:rsidRPr="00A33930">
        <w:rPr>
          <w:rFonts w:eastAsia="Verdana" w:cs="Verdana"/>
          <w:szCs w:val="18"/>
          <w:lang w:val="nl-NL"/>
        </w:rPr>
        <w:t>belang van het kind is een goede zaak voor het recht op persoonlijk contact</w:t>
      </w:r>
      <w:r w:rsidR="00EE2F06" w:rsidRPr="00A33930">
        <w:rPr>
          <w:rFonts w:eastAsia="Verdana" w:cs="Verdana"/>
          <w:szCs w:val="18"/>
          <w:lang w:val="nl-NL"/>
        </w:rPr>
        <w:t>, maar dit volstaat m</w:t>
      </w:r>
      <w:r w:rsidR="00E57778" w:rsidRPr="00A33930">
        <w:rPr>
          <w:rFonts w:eastAsia="Verdana" w:cs="Verdana"/>
          <w:szCs w:val="18"/>
          <w:lang w:val="nl-NL"/>
        </w:rPr>
        <w:t>ijns inziens</w:t>
      </w:r>
      <w:r w:rsidR="00EE2F06" w:rsidRPr="00A33930">
        <w:rPr>
          <w:rFonts w:eastAsia="Verdana" w:cs="Verdana"/>
          <w:szCs w:val="18"/>
          <w:lang w:val="nl-NL"/>
        </w:rPr>
        <w:t xml:space="preserve"> niet om het </w:t>
      </w:r>
      <w:r w:rsidR="00EE2F06" w:rsidRPr="00A33930">
        <w:rPr>
          <w:rFonts w:eastAsia="Verdana" w:cs="Verdana"/>
          <w:i/>
          <w:iCs/>
          <w:szCs w:val="18"/>
          <w:lang w:val="nl-NL"/>
        </w:rPr>
        <w:t>eigen</w:t>
      </w:r>
      <w:r w:rsidR="00EE2F06" w:rsidRPr="00A33930">
        <w:rPr>
          <w:rFonts w:eastAsia="Verdana" w:cs="Verdana"/>
          <w:szCs w:val="18"/>
          <w:lang w:val="nl-NL"/>
        </w:rPr>
        <w:t xml:space="preserve"> contactrecht te garanderen.</w:t>
      </w:r>
    </w:p>
    <w:p w14:paraId="6DFA78E0" w14:textId="77777777" w:rsidR="00B037A0" w:rsidRPr="00A33930" w:rsidRDefault="00B037A0" w:rsidP="00B037A0">
      <w:pPr>
        <w:pStyle w:val="Lijstalinea"/>
        <w:spacing w:before="200" w:after="0"/>
        <w:ind w:left="0"/>
        <w:jc w:val="both"/>
        <w:rPr>
          <w:rFonts w:eastAsia="Verdana" w:cs="Verdana"/>
          <w:szCs w:val="18"/>
          <w:lang w:val="nl-NL"/>
        </w:rPr>
      </w:pPr>
    </w:p>
    <w:p w14:paraId="4722BC24" w14:textId="4E770C80" w:rsidR="006D3605" w:rsidRPr="00A33930" w:rsidRDefault="00EE2F06" w:rsidP="006D3605">
      <w:pPr>
        <w:pStyle w:val="Lijstalinea"/>
        <w:numPr>
          <w:ilvl w:val="0"/>
          <w:numId w:val="4"/>
        </w:numPr>
        <w:spacing w:before="200" w:after="0"/>
        <w:ind w:left="0" w:firstLine="0"/>
        <w:jc w:val="both"/>
        <w:rPr>
          <w:rFonts w:eastAsia="Verdana" w:cs="Verdana"/>
          <w:szCs w:val="18"/>
          <w:lang w:val="nl-NL"/>
        </w:rPr>
      </w:pPr>
      <w:r w:rsidRPr="00A33930">
        <w:rPr>
          <w:szCs w:val="18"/>
          <w:lang w:val="nl-NL"/>
        </w:rPr>
        <w:t xml:space="preserve">Bijkomend heeft het inschrijven </w:t>
      </w:r>
      <w:r w:rsidR="006B6A22" w:rsidRPr="00A33930">
        <w:rPr>
          <w:szCs w:val="18"/>
          <w:lang w:val="nl-NL"/>
        </w:rPr>
        <w:t xml:space="preserve">van subjectieve kinderrechten enkel zin wanneer het kind zelf rechten en vrijheden kan afdwingen. Anders is er slechts sprake van wettelijke </w:t>
      </w:r>
      <w:r w:rsidR="00E57778" w:rsidRPr="00A33930">
        <w:rPr>
          <w:szCs w:val="18"/>
          <w:lang w:val="nl-NL"/>
        </w:rPr>
        <w:t xml:space="preserve">rechten en </w:t>
      </w:r>
      <w:r w:rsidR="006B6A22" w:rsidRPr="00A33930">
        <w:rPr>
          <w:szCs w:val="18"/>
          <w:lang w:val="nl-NL"/>
        </w:rPr>
        <w:t xml:space="preserve">plichten van ouders en overheid en worden de kinderrechten nog steeds uitgesloten. </w:t>
      </w:r>
      <w:r w:rsidR="00B037A0" w:rsidRPr="00A33930">
        <w:rPr>
          <w:szCs w:val="18"/>
          <w:lang w:val="nl-NL"/>
        </w:rPr>
        <w:t>E</w:t>
      </w:r>
      <w:r w:rsidR="005220E6" w:rsidRPr="00A33930">
        <w:rPr>
          <w:szCs w:val="18"/>
          <w:lang w:val="nl-NL"/>
        </w:rPr>
        <w:t xml:space="preserve">en invoering van het eigen recht op persoonlijk contact zou </w:t>
      </w:r>
      <w:r w:rsidR="006B6A22" w:rsidRPr="00A33930">
        <w:rPr>
          <w:szCs w:val="18"/>
          <w:lang w:val="nl-NL"/>
        </w:rPr>
        <w:t xml:space="preserve">voor de Belgische wetgever wel </w:t>
      </w:r>
      <w:r w:rsidR="005220E6" w:rsidRPr="00A33930">
        <w:rPr>
          <w:szCs w:val="18"/>
          <w:lang w:val="nl-NL"/>
        </w:rPr>
        <w:t xml:space="preserve">twee moeilijkheden met zich meebrengen. Enerzijds is dit subjectief recht niet door het kind afdwingbaar </w:t>
      </w:r>
      <w:r w:rsidR="008970EA" w:rsidRPr="00A33930">
        <w:rPr>
          <w:szCs w:val="18"/>
          <w:lang w:val="nl-NL"/>
        </w:rPr>
        <w:t>vanwege</w:t>
      </w:r>
      <w:r w:rsidR="005220E6" w:rsidRPr="00A33930">
        <w:rPr>
          <w:szCs w:val="18"/>
          <w:lang w:val="nl-NL"/>
        </w:rPr>
        <w:t xml:space="preserve"> zijn procesonbekwaamheid</w:t>
      </w:r>
      <w:r w:rsidR="009866F0" w:rsidRPr="00A33930">
        <w:rPr>
          <w:szCs w:val="18"/>
          <w:lang w:val="nl-NL"/>
        </w:rPr>
        <w:t xml:space="preserve"> (</w:t>
      </w:r>
      <w:r w:rsidR="009866F0" w:rsidRPr="00A33930">
        <w:rPr>
          <w:i/>
          <w:iCs/>
          <w:szCs w:val="18"/>
          <w:lang w:val="nl-NL"/>
        </w:rPr>
        <w:t>supra</w:t>
      </w:r>
      <w:r w:rsidR="009866F0" w:rsidRPr="00A33930">
        <w:rPr>
          <w:szCs w:val="18"/>
          <w:lang w:val="nl-NL"/>
        </w:rPr>
        <w:t xml:space="preserve">, nr. </w:t>
      </w:r>
      <w:r w:rsidR="00A6711A" w:rsidRPr="00A33930">
        <w:rPr>
          <w:szCs w:val="18"/>
          <w:lang w:val="nl-NL"/>
        </w:rPr>
        <w:t>73-74</w:t>
      </w:r>
      <w:r w:rsidR="009866F0" w:rsidRPr="00A33930">
        <w:rPr>
          <w:szCs w:val="18"/>
          <w:lang w:val="nl-NL"/>
        </w:rPr>
        <w:t>)</w:t>
      </w:r>
      <w:r w:rsidR="005220E6" w:rsidRPr="00A33930">
        <w:rPr>
          <w:szCs w:val="18"/>
          <w:lang w:val="nl-NL"/>
        </w:rPr>
        <w:t xml:space="preserve">, anderzijds impliceert dit </w:t>
      </w:r>
      <w:r w:rsidR="009866F0" w:rsidRPr="00A33930">
        <w:rPr>
          <w:szCs w:val="18"/>
          <w:lang w:val="nl-NL"/>
        </w:rPr>
        <w:t xml:space="preserve">volgens sommigen </w:t>
      </w:r>
      <w:r w:rsidR="005220E6" w:rsidRPr="00A33930">
        <w:rPr>
          <w:szCs w:val="18"/>
          <w:lang w:val="nl-NL"/>
        </w:rPr>
        <w:t>ook een contact</w:t>
      </w:r>
      <w:r w:rsidR="005220E6" w:rsidRPr="00A33930">
        <w:rPr>
          <w:i/>
          <w:iCs/>
          <w:szCs w:val="18"/>
          <w:lang w:val="nl-NL"/>
        </w:rPr>
        <w:t>plicht</w:t>
      </w:r>
      <w:r w:rsidR="005220E6" w:rsidRPr="00A33930">
        <w:rPr>
          <w:szCs w:val="18"/>
          <w:lang w:val="nl-NL"/>
        </w:rPr>
        <w:t xml:space="preserve"> voor meerderjarigen.</w:t>
      </w:r>
      <w:r w:rsidR="005220E6" w:rsidRPr="00A33930">
        <w:rPr>
          <w:rStyle w:val="Voetnootmarkering"/>
          <w:szCs w:val="18"/>
          <w:lang w:val="nl-NL"/>
        </w:rPr>
        <w:footnoteReference w:id="403"/>
      </w:r>
      <w:r w:rsidR="005220E6" w:rsidRPr="00A33930">
        <w:rPr>
          <w:szCs w:val="18"/>
          <w:lang w:val="nl-NL"/>
        </w:rPr>
        <w:t xml:space="preserve"> Dit zou op zijn beurt zorgen voor een strijdigheid met het recht op eerbiediging van het privéleven</w:t>
      </w:r>
      <w:r w:rsidR="00870068" w:rsidRPr="00A33930">
        <w:rPr>
          <w:szCs w:val="18"/>
          <w:lang w:val="nl-NL"/>
        </w:rPr>
        <w:t xml:space="preserve"> (</w:t>
      </w:r>
      <w:r w:rsidR="00870068" w:rsidRPr="00A33930">
        <w:rPr>
          <w:i/>
          <w:iCs/>
          <w:szCs w:val="18"/>
          <w:lang w:val="nl-NL"/>
        </w:rPr>
        <w:t>supra</w:t>
      </w:r>
      <w:r w:rsidR="00870068" w:rsidRPr="00A33930">
        <w:rPr>
          <w:szCs w:val="18"/>
          <w:lang w:val="nl-NL"/>
        </w:rPr>
        <w:t xml:space="preserve">, nr. </w:t>
      </w:r>
      <w:r w:rsidR="00482FA9" w:rsidRPr="00A33930">
        <w:rPr>
          <w:szCs w:val="18"/>
          <w:lang w:val="nl-NL"/>
        </w:rPr>
        <w:t xml:space="preserve">98 en nr. </w:t>
      </w:r>
      <w:r w:rsidR="00A6711A" w:rsidRPr="00A33930">
        <w:rPr>
          <w:szCs w:val="18"/>
          <w:lang w:val="nl-NL"/>
        </w:rPr>
        <w:t>100</w:t>
      </w:r>
      <w:r w:rsidR="00870068" w:rsidRPr="00A33930">
        <w:rPr>
          <w:szCs w:val="18"/>
          <w:lang w:val="nl-NL"/>
        </w:rPr>
        <w:t>)</w:t>
      </w:r>
      <w:r w:rsidR="005220E6" w:rsidRPr="00A33930">
        <w:rPr>
          <w:szCs w:val="18"/>
          <w:lang w:val="nl-NL"/>
        </w:rPr>
        <w:t>.</w:t>
      </w:r>
      <w:r w:rsidR="005220E6" w:rsidRPr="00A33930">
        <w:rPr>
          <w:rStyle w:val="Voetnootmarkering"/>
          <w:szCs w:val="18"/>
          <w:lang w:val="nl-NL"/>
        </w:rPr>
        <w:footnoteReference w:id="404"/>
      </w:r>
      <w:r w:rsidR="005220E6" w:rsidRPr="00A33930">
        <w:rPr>
          <w:szCs w:val="18"/>
          <w:lang w:val="nl-NL"/>
        </w:rPr>
        <w:t xml:space="preserve"> Een contact</w:t>
      </w:r>
      <w:r w:rsidR="005220E6" w:rsidRPr="00A33930">
        <w:rPr>
          <w:i/>
          <w:iCs/>
          <w:szCs w:val="18"/>
          <w:lang w:val="nl-NL"/>
        </w:rPr>
        <w:t>plicht</w:t>
      </w:r>
      <w:r w:rsidR="005220E6" w:rsidRPr="00A33930">
        <w:rPr>
          <w:szCs w:val="18"/>
          <w:lang w:val="nl-NL"/>
        </w:rPr>
        <w:t xml:space="preserve"> kan echter wel inhouden dat de overheid het contact tussen ouder en kind niet mag belemmeren.</w:t>
      </w:r>
      <w:r w:rsidR="005220E6" w:rsidRPr="00A33930">
        <w:rPr>
          <w:rStyle w:val="Voetnootmarkering"/>
          <w:szCs w:val="18"/>
          <w:lang w:val="nl-NL"/>
        </w:rPr>
        <w:footnoteReference w:id="405"/>
      </w:r>
      <w:r w:rsidR="005220E6" w:rsidRPr="00A33930">
        <w:rPr>
          <w:szCs w:val="18"/>
          <w:lang w:val="nl-NL"/>
        </w:rPr>
        <w:t xml:space="preserve"> M</w:t>
      </w:r>
      <w:r w:rsidR="006B6A22" w:rsidRPr="00A33930">
        <w:rPr>
          <w:szCs w:val="18"/>
          <w:lang w:val="nl-NL"/>
        </w:rPr>
        <w:t>ijn inziens</w:t>
      </w:r>
      <w:r w:rsidR="005220E6" w:rsidRPr="00A33930">
        <w:rPr>
          <w:szCs w:val="18"/>
          <w:lang w:val="nl-NL"/>
        </w:rPr>
        <w:t xml:space="preserve"> is de breuk te groot: het kind kan wel verplicht worden op contact met een meerderjarige, maar omgekeerd kan een meerderjarige niet verplicht worden tot contact met het kind. </w:t>
      </w:r>
      <w:r w:rsidR="00E57778" w:rsidRPr="00A33930">
        <w:rPr>
          <w:szCs w:val="18"/>
          <w:lang w:val="nl-NL"/>
        </w:rPr>
        <w:t>Nochtans kadert</w:t>
      </w:r>
      <w:r w:rsidR="005220E6" w:rsidRPr="00A33930">
        <w:rPr>
          <w:szCs w:val="18"/>
          <w:lang w:val="nl-NL"/>
        </w:rPr>
        <w:t xml:space="preserve"> dit m</w:t>
      </w:r>
      <w:r w:rsidR="00E57778" w:rsidRPr="00A33930">
        <w:rPr>
          <w:szCs w:val="18"/>
          <w:lang w:val="nl-NL"/>
        </w:rPr>
        <w:t>ijns inziens</w:t>
      </w:r>
      <w:r w:rsidR="005220E6" w:rsidRPr="00A33930">
        <w:rPr>
          <w:szCs w:val="18"/>
          <w:lang w:val="nl-NL"/>
        </w:rPr>
        <w:t xml:space="preserve"> wel binnen </w:t>
      </w:r>
      <w:r w:rsidR="00A40BA9" w:rsidRPr="00A33930">
        <w:rPr>
          <w:szCs w:val="18"/>
          <w:lang w:val="nl-NL"/>
        </w:rPr>
        <w:t>het</w:t>
      </w:r>
      <w:r w:rsidR="005220E6" w:rsidRPr="00A33930">
        <w:rPr>
          <w:szCs w:val="18"/>
          <w:lang w:val="nl-NL"/>
        </w:rPr>
        <w:t xml:space="preserve"> idee dat meerderjarigen het kind moeten begeleiden tot zij kunnen deelnemen aan het maatschappelijk en juridisch verkeer</w:t>
      </w:r>
      <w:r w:rsidR="00870068" w:rsidRPr="00A33930">
        <w:rPr>
          <w:szCs w:val="18"/>
          <w:lang w:val="nl-NL"/>
        </w:rPr>
        <w:t xml:space="preserve"> (</w:t>
      </w:r>
      <w:r w:rsidR="00870068" w:rsidRPr="00A33930">
        <w:rPr>
          <w:i/>
          <w:iCs/>
          <w:szCs w:val="18"/>
          <w:lang w:val="nl-NL"/>
        </w:rPr>
        <w:t>supra</w:t>
      </w:r>
      <w:r w:rsidR="00870068" w:rsidRPr="00A33930">
        <w:rPr>
          <w:szCs w:val="18"/>
          <w:lang w:val="nl-NL"/>
        </w:rPr>
        <w:t xml:space="preserve">, nr. </w:t>
      </w:r>
      <w:r w:rsidR="00A6711A" w:rsidRPr="00A33930">
        <w:rPr>
          <w:szCs w:val="18"/>
          <w:lang w:val="nl-NL"/>
        </w:rPr>
        <w:t>84</w:t>
      </w:r>
      <w:r w:rsidR="00870068" w:rsidRPr="00A33930">
        <w:rPr>
          <w:szCs w:val="18"/>
          <w:lang w:val="nl-NL"/>
        </w:rPr>
        <w:t>)</w:t>
      </w:r>
      <w:r w:rsidR="005220E6" w:rsidRPr="00A33930">
        <w:rPr>
          <w:szCs w:val="18"/>
          <w:lang w:val="nl-NL"/>
        </w:rPr>
        <w:t>.</w:t>
      </w:r>
    </w:p>
    <w:p w14:paraId="78EC8B82" w14:textId="77777777" w:rsidR="006D3605" w:rsidRPr="00A33930" w:rsidRDefault="006D3605" w:rsidP="006D3605">
      <w:pPr>
        <w:pStyle w:val="Lijstalinea"/>
        <w:rPr>
          <w:rFonts w:eastAsia="Verdana" w:cs="Verdana"/>
          <w:szCs w:val="18"/>
          <w:lang w:val="nl-NL"/>
        </w:rPr>
      </w:pPr>
    </w:p>
    <w:p w14:paraId="08509283" w14:textId="6EFEC5FD" w:rsidR="00707EE7" w:rsidRPr="00A33930" w:rsidRDefault="006D3605" w:rsidP="008970EA">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Concluderend wordt gesteld dat het Belgisch recht voorziet in een recht op persoonlijk contact </w:t>
      </w:r>
      <w:r w:rsidR="00B63163" w:rsidRPr="00A33930">
        <w:rPr>
          <w:rFonts w:eastAsia="Verdana" w:cs="Verdana"/>
          <w:szCs w:val="18"/>
          <w:lang w:val="nl-NL"/>
        </w:rPr>
        <w:t>voor</w:t>
      </w:r>
      <w:r w:rsidRPr="00A33930">
        <w:rPr>
          <w:rFonts w:eastAsia="Verdana" w:cs="Verdana"/>
          <w:szCs w:val="18"/>
          <w:lang w:val="nl-NL"/>
        </w:rPr>
        <w:t xml:space="preserve"> verschillende categorieën volwassenen en recent ook voor minderjarige broers en zussen onderling. </w:t>
      </w:r>
      <w:r w:rsidR="00B63163" w:rsidRPr="00A33930">
        <w:rPr>
          <w:rFonts w:eastAsia="Verdana" w:cs="Verdana"/>
          <w:szCs w:val="18"/>
          <w:lang w:val="nl-NL"/>
        </w:rPr>
        <w:t xml:space="preserve">Hetgeen </w:t>
      </w:r>
      <w:r w:rsidRPr="00A33930">
        <w:rPr>
          <w:rFonts w:eastAsia="Verdana" w:cs="Verdana"/>
          <w:szCs w:val="18"/>
          <w:lang w:val="nl-NL"/>
        </w:rPr>
        <w:t xml:space="preserve">echter ontbreekt is een recht op persoonlijk contact dat uitgaat van het kind. </w:t>
      </w:r>
      <w:r w:rsidR="00B63163" w:rsidRPr="00A33930">
        <w:rPr>
          <w:rFonts w:eastAsia="Verdana" w:cs="Verdana"/>
          <w:szCs w:val="18"/>
          <w:lang w:val="nl-NL"/>
        </w:rPr>
        <w:t xml:space="preserve">Uiteenlopende redenen, hierboven uiteengezet, zijn </w:t>
      </w:r>
      <w:r w:rsidR="0019023C" w:rsidRPr="00A33930">
        <w:rPr>
          <w:rFonts w:eastAsia="Verdana" w:cs="Verdana"/>
          <w:szCs w:val="18"/>
          <w:lang w:val="nl-NL"/>
        </w:rPr>
        <w:t>hiervoor</w:t>
      </w:r>
      <w:r w:rsidR="00B63163" w:rsidRPr="00A33930">
        <w:rPr>
          <w:rFonts w:eastAsia="Verdana" w:cs="Verdana"/>
          <w:szCs w:val="18"/>
          <w:lang w:val="nl-NL"/>
        </w:rPr>
        <w:t xml:space="preserve"> de oorzaak. </w:t>
      </w:r>
      <w:r w:rsidR="00E57778" w:rsidRPr="00A33930">
        <w:rPr>
          <w:rFonts w:eastAsia="Verdana" w:cs="Verdana"/>
          <w:szCs w:val="18"/>
          <w:lang w:val="nl-NL"/>
        </w:rPr>
        <w:t>Dit</w:t>
      </w:r>
      <w:r w:rsidRPr="00A33930">
        <w:rPr>
          <w:rFonts w:eastAsia="Verdana" w:cs="Verdana"/>
          <w:szCs w:val="18"/>
          <w:lang w:val="nl-NL"/>
        </w:rPr>
        <w:t xml:space="preserve"> lijkt een </w:t>
      </w:r>
      <w:r w:rsidR="0019023C" w:rsidRPr="00A33930">
        <w:rPr>
          <w:rFonts w:eastAsia="Verdana" w:cs="Verdana"/>
          <w:szCs w:val="18"/>
          <w:lang w:val="nl-NL"/>
        </w:rPr>
        <w:t>hele opdracht</w:t>
      </w:r>
      <w:r w:rsidRPr="00A33930">
        <w:rPr>
          <w:rFonts w:eastAsia="Verdana" w:cs="Verdana"/>
          <w:szCs w:val="18"/>
          <w:lang w:val="nl-NL"/>
        </w:rPr>
        <w:t xml:space="preserve"> te zijn doordat het recht op persoonlijk contact gevangen zit </w:t>
      </w:r>
      <w:r w:rsidR="0019023C" w:rsidRPr="00A33930">
        <w:rPr>
          <w:rFonts w:eastAsia="Verdana" w:cs="Verdana"/>
          <w:szCs w:val="18"/>
          <w:lang w:val="nl-NL"/>
        </w:rPr>
        <w:t>in</w:t>
      </w:r>
      <w:r w:rsidRPr="00A33930">
        <w:rPr>
          <w:rFonts w:eastAsia="Verdana" w:cs="Verdana"/>
          <w:szCs w:val="18"/>
          <w:lang w:val="nl-NL"/>
        </w:rPr>
        <w:t xml:space="preserve"> een waaier aan andere rechten en plichten. Naar Belgisch recht is het kind een rechtsobject, waardoor doorheen de jaren een </w:t>
      </w:r>
      <w:r w:rsidR="004829E0" w:rsidRPr="00A33930">
        <w:rPr>
          <w:rFonts w:eastAsia="Verdana" w:cs="Verdana"/>
          <w:szCs w:val="18"/>
          <w:lang w:val="nl-NL"/>
        </w:rPr>
        <w:t>heel aantal</w:t>
      </w:r>
      <w:r w:rsidRPr="00A33930">
        <w:rPr>
          <w:rFonts w:eastAsia="Verdana" w:cs="Verdana"/>
          <w:szCs w:val="18"/>
          <w:lang w:val="nl-NL"/>
        </w:rPr>
        <w:t xml:space="preserve"> beschermingsmaatregelen zijn ontworpen. Het recht op persoonlijk contact hangt hierdoor </w:t>
      </w:r>
      <w:r w:rsidRPr="00A33930">
        <w:rPr>
          <w:rFonts w:eastAsia="Verdana" w:cs="Verdana"/>
          <w:szCs w:val="18"/>
          <w:lang w:val="nl-NL"/>
        </w:rPr>
        <w:lastRenderedPageBreak/>
        <w:t xml:space="preserve">samen met de ouderlijke verantwoordelijkheden, </w:t>
      </w:r>
      <w:r w:rsidR="004829E0" w:rsidRPr="00A33930">
        <w:rPr>
          <w:rFonts w:eastAsia="Verdana" w:cs="Verdana"/>
          <w:szCs w:val="18"/>
          <w:lang w:val="nl-NL"/>
        </w:rPr>
        <w:t>het</w:t>
      </w:r>
      <w:r w:rsidRPr="00A33930">
        <w:rPr>
          <w:rFonts w:eastAsia="Verdana" w:cs="Verdana"/>
          <w:szCs w:val="18"/>
          <w:lang w:val="nl-NL"/>
        </w:rPr>
        <w:t xml:space="preserve"> </w:t>
      </w:r>
      <w:r w:rsidR="004829E0" w:rsidRPr="00A33930">
        <w:rPr>
          <w:rFonts w:eastAsia="Verdana" w:cs="Verdana"/>
          <w:szCs w:val="18"/>
          <w:lang w:val="nl-NL"/>
        </w:rPr>
        <w:t>(</w:t>
      </w:r>
      <w:r w:rsidR="0019023C" w:rsidRPr="00A33930">
        <w:rPr>
          <w:rFonts w:eastAsia="Verdana" w:cs="Verdana"/>
          <w:szCs w:val="18"/>
          <w:lang w:val="nl-NL"/>
        </w:rPr>
        <w:t xml:space="preserve">al dan niet) </w:t>
      </w:r>
      <w:r w:rsidRPr="00A33930">
        <w:rPr>
          <w:rFonts w:eastAsia="Verdana" w:cs="Verdana"/>
          <w:szCs w:val="18"/>
          <w:lang w:val="nl-NL"/>
        </w:rPr>
        <w:t>ongewenste</w:t>
      </w:r>
      <w:r w:rsidR="004829E0" w:rsidRPr="00A33930">
        <w:rPr>
          <w:rFonts w:eastAsia="Verdana" w:cs="Verdana"/>
          <w:szCs w:val="18"/>
          <w:lang w:val="nl-NL"/>
        </w:rPr>
        <w:t xml:space="preserve"> gevolg van een</w:t>
      </w:r>
      <w:r w:rsidRPr="00A33930">
        <w:rPr>
          <w:rFonts w:eastAsia="Verdana" w:cs="Verdana"/>
          <w:szCs w:val="18"/>
          <w:lang w:val="nl-NL"/>
        </w:rPr>
        <w:t xml:space="preserve"> contact</w:t>
      </w:r>
      <w:r w:rsidRPr="00A33930">
        <w:rPr>
          <w:rFonts w:eastAsia="Verdana" w:cs="Verdana"/>
          <w:i/>
          <w:iCs/>
          <w:szCs w:val="18"/>
          <w:lang w:val="nl-NL"/>
        </w:rPr>
        <w:t>plicht</w:t>
      </w:r>
      <w:r w:rsidRPr="00A33930">
        <w:rPr>
          <w:rFonts w:eastAsia="Verdana" w:cs="Verdana"/>
          <w:szCs w:val="18"/>
          <w:lang w:val="nl-NL"/>
        </w:rPr>
        <w:t xml:space="preserve"> en bovenal met zijn procesonbekwaamheid. </w:t>
      </w:r>
      <w:r w:rsidRPr="00A33930">
        <w:rPr>
          <w:lang w:val="nl-NL"/>
        </w:rPr>
        <w:t>Het is een goede zaak dat de rechten van het kind in België erkend worden in verschillende wetgevende bepalingen</w:t>
      </w:r>
      <w:r w:rsidR="00B63163" w:rsidRPr="00A33930">
        <w:rPr>
          <w:lang w:val="nl-NL"/>
        </w:rPr>
        <w:t>,</w:t>
      </w:r>
      <w:r w:rsidRPr="00A33930">
        <w:rPr>
          <w:lang w:val="nl-NL"/>
        </w:rPr>
        <w:t xml:space="preserve"> maar deze rechten missen hun doel wanneer het kind slechts als rechtsobject wordt beschouwd.</w:t>
      </w:r>
      <w:r w:rsidR="00707EE7" w:rsidRPr="00A33930">
        <w:rPr>
          <w:szCs w:val="18"/>
          <w:lang w:val="nl-NL"/>
        </w:rPr>
        <w:br w:type="page"/>
      </w:r>
    </w:p>
    <w:p w14:paraId="04EB88A8" w14:textId="40B32FB7" w:rsidR="00DF4D5B" w:rsidRPr="00A33930" w:rsidRDefault="00DF4D5B" w:rsidP="00061F40">
      <w:pPr>
        <w:pStyle w:val="Kop2"/>
        <w:numPr>
          <w:ilvl w:val="0"/>
          <w:numId w:val="0"/>
        </w:numPr>
        <w:ind w:left="360" w:hanging="360"/>
        <w:jc w:val="both"/>
        <w:rPr>
          <w:sz w:val="20"/>
          <w:szCs w:val="28"/>
          <w:lang w:val="nl-NL"/>
        </w:rPr>
      </w:pPr>
      <w:bookmarkStart w:id="31" w:name="_Toc134621190"/>
      <w:r w:rsidRPr="00A33930">
        <w:rPr>
          <w:sz w:val="20"/>
          <w:szCs w:val="28"/>
          <w:lang w:val="nl-NL"/>
        </w:rPr>
        <w:lastRenderedPageBreak/>
        <w:t>HOOFDSTUK III.</w:t>
      </w:r>
      <w:r w:rsidR="00061F40" w:rsidRPr="00A33930">
        <w:rPr>
          <w:sz w:val="20"/>
          <w:szCs w:val="28"/>
          <w:lang w:val="nl-NL"/>
        </w:rPr>
        <w:tab/>
      </w:r>
      <w:r w:rsidRPr="00A33930">
        <w:rPr>
          <w:sz w:val="20"/>
          <w:szCs w:val="28"/>
          <w:lang w:val="nl-NL"/>
        </w:rPr>
        <w:t>OVEREENSTEMMING</w:t>
      </w:r>
      <w:r w:rsidR="003C1585" w:rsidRPr="00A33930">
        <w:rPr>
          <w:sz w:val="20"/>
          <w:szCs w:val="28"/>
          <w:lang w:val="nl-NL"/>
        </w:rPr>
        <w:t xml:space="preserve"> </w:t>
      </w:r>
      <w:r w:rsidR="0097678D" w:rsidRPr="00A33930">
        <w:rPr>
          <w:sz w:val="20"/>
          <w:szCs w:val="28"/>
          <w:lang w:val="nl-NL"/>
        </w:rPr>
        <w:t>BELGISCH RECHT</w:t>
      </w:r>
      <w:r w:rsidR="00B65C2C" w:rsidRPr="00A33930">
        <w:rPr>
          <w:sz w:val="20"/>
          <w:szCs w:val="28"/>
          <w:lang w:val="nl-NL"/>
        </w:rPr>
        <w:t xml:space="preserve"> OP PERSOONLIJK CONTACT</w:t>
      </w:r>
      <w:r w:rsidR="0097678D" w:rsidRPr="00A33930">
        <w:rPr>
          <w:sz w:val="20"/>
          <w:szCs w:val="28"/>
          <w:lang w:val="nl-NL"/>
        </w:rPr>
        <w:t xml:space="preserve"> </w:t>
      </w:r>
      <w:r w:rsidR="00DB6174" w:rsidRPr="00A33930">
        <w:rPr>
          <w:sz w:val="20"/>
          <w:szCs w:val="28"/>
          <w:lang w:val="nl-NL"/>
        </w:rPr>
        <w:t xml:space="preserve">MET </w:t>
      </w:r>
      <w:r w:rsidR="006D3605" w:rsidRPr="00A33930">
        <w:rPr>
          <w:sz w:val="20"/>
          <w:szCs w:val="28"/>
          <w:lang w:val="nl-NL"/>
        </w:rPr>
        <w:t>MENSENRECHTELIJK</w:t>
      </w:r>
      <w:r w:rsidR="000E1B86" w:rsidRPr="00A33930">
        <w:rPr>
          <w:sz w:val="20"/>
          <w:szCs w:val="28"/>
          <w:lang w:val="nl-NL"/>
        </w:rPr>
        <w:t>E</w:t>
      </w:r>
      <w:r w:rsidR="006D3605" w:rsidRPr="00A33930">
        <w:rPr>
          <w:sz w:val="20"/>
          <w:szCs w:val="28"/>
          <w:lang w:val="nl-NL"/>
        </w:rPr>
        <w:t xml:space="preserve"> </w:t>
      </w:r>
      <w:r w:rsidR="00387459" w:rsidRPr="00A33930">
        <w:rPr>
          <w:sz w:val="20"/>
          <w:szCs w:val="28"/>
          <w:lang w:val="nl-NL"/>
        </w:rPr>
        <w:t>VERPLICHTINGEN</w:t>
      </w:r>
      <w:bookmarkEnd w:id="31"/>
    </w:p>
    <w:p w14:paraId="12095E86" w14:textId="6B25DD1A" w:rsidR="000B0714" w:rsidRPr="00A33930" w:rsidRDefault="008970EA" w:rsidP="000B0714">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De v</w:t>
      </w:r>
      <w:r w:rsidR="00840C3D" w:rsidRPr="00A33930">
        <w:rPr>
          <w:rFonts w:eastAsia="Verdana" w:cs="Verdana"/>
          <w:szCs w:val="18"/>
          <w:lang w:val="nl-NL"/>
        </w:rPr>
        <w:t>oorgaande</w:t>
      </w:r>
      <w:r w:rsidR="00B65C2C" w:rsidRPr="00A33930">
        <w:rPr>
          <w:rFonts w:eastAsia="Verdana" w:cs="Verdana"/>
          <w:szCs w:val="18"/>
          <w:lang w:val="nl-NL"/>
        </w:rPr>
        <w:t xml:space="preserve"> </w:t>
      </w:r>
      <w:r w:rsidR="00CB43C0" w:rsidRPr="00A33930">
        <w:rPr>
          <w:rFonts w:eastAsia="Verdana" w:cs="Verdana"/>
          <w:szCs w:val="18"/>
          <w:lang w:val="nl-NL"/>
        </w:rPr>
        <w:t>uiteenzetting</w:t>
      </w:r>
      <w:r w:rsidR="00B65C2C" w:rsidRPr="00A33930">
        <w:rPr>
          <w:rFonts w:eastAsia="Verdana" w:cs="Verdana"/>
          <w:szCs w:val="18"/>
          <w:lang w:val="nl-NL"/>
        </w:rPr>
        <w:t xml:space="preserve"> van het</w:t>
      </w:r>
      <w:r w:rsidR="000B0714" w:rsidRPr="00A33930">
        <w:rPr>
          <w:rFonts w:eastAsia="Verdana" w:cs="Verdana"/>
          <w:szCs w:val="18"/>
          <w:lang w:val="nl-NL"/>
        </w:rPr>
        <w:t xml:space="preserve"> Belgisch recht </w:t>
      </w:r>
      <w:r w:rsidR="00B65C2C" w:rsidRPr="00A33930">
        <w:rPr>
          <w:rFonts w:eastAsia="Verdana" w:cs="Verdana"/>
          <w:szCs w:val="18"/>
          <w:lang w:val="nl-NL"/>
        </w:rPr>
        <w:t xml:space="preserve">noopt tot een </w:t>
      </w:r>
      <w:r w:rsidR="00E57778" w:rsidRPr="00A33930">
        <w:rPr>
          <w:rFonts w:eastAsia="Verdana" w:cs="Verdana"/>
          <w:szCs w:val="18"/>
          <w:lang w:val="nl-NL"/>
        </w:rPr>
        <w:t>vergelijking</w:t>
      </w:r>
      <w:r w:rsidR="00840C3D" w:rsidRPr="00A33930">
        <w:rPr>
          <w:rFonts w:eastAsia="Verdana" w:cs="Verdana"/>
          <w:szCs w:val="18"/>
          <w:lang w:val="nl-NL"/>
        </w:rPr>
        <w:t xml:space="preserve"> met</w:t>
      </w:r>
      <w:r w:rsidR="000B0714" w:rsidRPr="00A33930">
        <w:rPr>
          <w:rFonts w:eastAsia="Verdana" w:cs="Verdana"/>
          <w:szCs w:val="18"/>
          <w:lang w:val="nl-NL"/>
        </w:rPr>
        <w:t xml:space="preserve"> de mensenrechtelijke verplichtingen</w:t>
      </w:r>
      <w:r w:rsidR="000F6EEE" w:rsidRPr="00A33930">
        <w:rPr>
          <w:rFonts w:eastAsia="Verdana" w:cs="Verdana"/>
          <w:szCs w:val="18"/>
          <w:lang w:val="nl-NL"/>
        </w:rPr>
        <w:t xml:space="preserve"> uit het eerste deel</w:t>
      </w:r>
      <w:r w:rsidR="000B0714" w:rsidRPr="00A33930">
        <w:rPr>
          <w:rFonts w:eastAsia="Verdana" w:cs="Verdana"/>
          <w:szCs w:val="18"/>
          <w:lang w:val="nl-NL"/>
        </w:rPr>
        <w:t>. Het kind beschikt in België (nog) niet over een eigen recht op persoonlijk contact.</w:t>
      </w:r>
      <w:r w:rsidR="000B0714" w:rsidRPr="00A33930">
        <w:rPr>
          <w:rStyle w:val="Voetnootmarkering"/>
          <w:rFonts w:eastAsia="Verdana" w:cs="Verdana"/>
          <w:szCs w:val="18"/>
          <w:lang w:val="nl-NL"/>
        </w:rPr>
        <w:footnoteReference w:id="406"/>
      </w:r>
      <w:r w:rsidR="000B0714" w:rsidRPr="00A33930">
        <w:rPr>
          <w:rFonts w:eastAsia="Verdana" w:cs="Verdana"/>
          <w:szCs w:val="18"/>
          <w:lang w:val="nl-NL"/>
        </w:rPr>
        <w:t xml:space="preserve"> Op mensenrechtelijk niveau wordt dit recht wel rechtstreeks aan het kind </w:t>
      </w:r>
      <w:r w:rsidR="00CB40D6" w:rsidRPr="00A33930">
        <w:rPr>
          <w:rFonts w:eastAsia="Verdana" w:cs="Verdana"/>
          <w:szCs w:val="18"/>
          <w:lang w:val="nl-NL"/>
        </w:rPr>
        <w:t>toegekend</w:t>
      </w:r>
      <w:r w:rsidR="000B0714" w:rsidRPr="00A33930">
        <w:rPr>
          <w:rFonts w:eastAsia="Verdana" w:cs="Verdana"/>
          <w:szCs w:val="18"/>
          <w:lang w:val="nl-NL"/>
        </w:rPr>
        <w:t xml:space="preserve"> (</w:t>
      </w:r>
      <w:r w:rsidR="000B0714" w:rsidRPr="00A33930">
        <w:rPr>
          <w:rFonts w:eastAsia="Verdana" w:cs="Verdana"/>
          <w:i/>
          <w:iCs/>
          <w:szCs w:val="18"/>
          <w:lang w:val="nl-NL"/>
        </w:rPr>
        <w:t>supra</w:t>
      </w:r>
      <w:r w:rsidR="000B0714" w:rsidRPr="00A33930">
        <w:rPr>
          <w:rFonts w:eastAsia="Verdana" w:cs="Verdana"/>
          <w:szCs w:val="18"/>
          <w:lang w:val="nl-NL"/>
        </w:rPr>
        <w:t xml:space="preserve">, nr. </w:t>
      </w:r>
      <w:r w:rsidR="00A6711A" w:rsidRPr="00A33930">
        <w:rPr>
          <w:rFonts w:eastAsia="Verdana" w:cs="Verdana"/>
          <w:szCs w:val="18"/>
          <w:lang w:val="nl-NL"/>
        </w:rPr>
        <w:t>41 en nr. 56</w:t>
      </w:r>
      <w:r w:rsidR="000B0714" w:rsidRPr="00A33930">
        <w:rPr>
          <w:rFonts w:eastAsia="Verdana" w:cs="Verdana"/>
          <w:szCs w:val="18"/>
          <w:lang w:val="nl-NL"/>
        </w:rPr>
        <w:t>).</w:t>
      </w:r>
      <w:r w:rsidR="000B0714" w:rsidRPr="00A33930">
        <w:rPr>
          <w:rStyle w:val="Voetnootmarkering"/>
          <w:rFonts w:eastAsia="Verdana" w:cs="Verdana"/>
          <w:szCs w:val="18"/>
          <w:lang w:val="nl-NL"/>
        </w:rPr>
        <w:footnoteReference w:id="407"/>
      </w:r>
      <w:r w:rsidR="00B65C2C" w:rsidRPr="00A33930">
        <w:rPr>
          <w:rFonts w:eastAsia="Verdana" w:cs="Verdana"/>
          <w:szCs w:val="18"/>
          <w:lang w:val="nl-NL"/>
        </w:rPr>
        <w:t xml:space="preserve"> Dit wordt verklaard door het verschillend </w:t>
      </w:r>
      <w:r w:rsidR="00E57778" w:rsidRPr="00A33930">
        <w:rPr>
          <w:rFonts w:eastAsia="Verdana" w:cs="Verdana"/>
          <w:szCs w:val="18"/>
          <w:lang w:val="nl-NL"/>
        </w:rPr>
        <w:t>kindperspectief</w:t>
      </w:r>
      <w:r w:rsidR="00B65C2C" w:rsidRPr="00A33930">
        <w:rPr>
          <w:rFonts w:eastAsia="Verdana" w:cs="Verdana"/>
          <w:szCs w:val="18"/>
          <w:lang w:val="nl-NL"/>
        </w:rPr>
        <w:t xml:space="preserve">: in België is het kind vooralsnog een rechtsobject terwijl het kind op mensenrechtelijk niveau als </w:t>
      </w:r>
      <w:r w:rsidR="00CB40D6" w:rsidRPr="00A33930">
        <w:rPr>
          <w:rFonts w:eastAsia="Verdana" w:cs="Verdana"/>
          <w:szCs w:val="18"/>
          <w:lang w:val="nl-NL"/>
        </w:rPr>
        <w:t xml:space="preserve">volwaardig </w:t>
      </w:r>
      <w:r w:rsidR="00B65C2C" w:rsidRPr="00A33930">
        <w:rPr>
          <w:rFonts w:eastAsia="Verdana" w:cs="Verdana"/>
          <w:szCs w:val="18"/>
          <w:lang w:val="nl-NL"/>
        </w:rPr>
        <w:t>rechtssubject wordt beschouwd.</w:t>
      </w:r>
      <w:r w:rsidR="00361FAC" w:rsidRPr="00A33930">
        <w:rPr>
          <w:rStyle w:val="Voetnootmarkering"/>
          <w:rFonts w:eastAsia="Verdana" w:cs="Verdana"/>
          <w:szCs w:val="18"/>
          <w:lang w:val="nl-NL"/>
        </w:rPr>
        <w:footnoteReference w:id="408"/>
      </w:r>
    </w:p>
    <w:p w14:paraId="221AF012" w14:textId="77777777" w:rsidR="00102A3A" w:rsidRPr="00A33930" w:rsidRDefault="00102A3A" w:rsidP="00102A3A">
      <w:pPr>
        <w:pStyle w:val="Lijstalinea"/>
        <w:spacing w:before="200" w:after="0"/>
        <w:ind w:left="0"/>
        <w:jc w:val="both"/>
        <w:rPr>
          <w:rFonts w:eastAsia="Verdana" w:cs="Verdana"/>
          <w:szCs w:val="18"/>
          <w:lang w:val="nl-NL"/>
        </w:rPr>
      </w:pPr>
    </w:p>
    <w:p w14:paraId="3D9B27C5" w14:textId="7529F5CB" w:rsidR="00E57778" w:rsidRPr="00A33930" w:rsidRDefault="00102A3A" w:rsidP="00780F85">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Doordat</w:t>
      </w:r>
      <w:r w:rsidR="000B0714" w:rsidRPr="00A33930">
        <w:rPr>
          <w:rFonts w:eastAsia="Verdana" w:cs="Verdana"/>
          <w:szCs w:val="18"/>
          <w:lang w:val="nl-NL"/>
        </w:rPr>
        <w:t xml:space="preserve"> de wetgever nagelaten heeft</w:t>
      </w:r>
      <w:r w:rsidRPr="00A33930">
        <w:rPr>
          <w:rFonts w:eastAsia="Verdana" w:cs="Verdana"/>
          <w:szCs w:val="18"/>
          <w:lang w:val="nl-NL"/>
        </w:rPr>
        <w:t xml:space="preserve"> te voorzien</w:t>
      </w:r>
      <w:r w:rsidR="000B0714" w:rsidRPr="00A33930">
        <w:rPr>
          <w:rFonts w:eastAsia="Verdana" w:cs="Verdana"/>
          <w:szCs w:val="18"/>
          <w:lang w:val="nl-NL"/>
        </w:rPr>
        <w:t xml:space="preserve"> in een subjectief recht op persoonlijk contact van het kind, stelt zich de vraag naar de directe werking van artikel 9.3 IVRK en artikel 8 EVRM. De</w:t>
      </w:r>
      <w:r w:rsidR="00B65C2C" w:rsidRPr="00A33930">
        <w:rPr>
          <w:rFonts w:eastAsia="Verdana" w:cs="Verdana"/>
          <w:szCs w:val="18"/>
          <w:lang w:val="nl-NL"/>
        </w:rPr>
        <w:t xml:space="preserve"> criteria voor deze</w:t>
      </w:r>
      <w:r w:rsidR="000B0714" w:rsidRPr="00A33930">
        <w:rPr>
          <w:rFonts w:eastAsia="Verdana" w:cs="Verdana"/>
          <w:szCs w:val="18"/>
          <w:lang w:val="nl-NL"/>
        </w:rPr>
        <w:t xml:space="preserve"> directe werking </w:t>
      </w:r>
      <w:r w:rsidR="00B65C2C" w:rsidRPr="00A33930">
        <w:rPr>
          <w:rFonts w:eastAsia="Verdana" w:cs="Verdana"/>
          <w:szCs w:val="18"/>
          <w:lang w:val="nl-NL"/>
        </w:rPr>
        <w:t>werden</w:t>
      </w:r>
      <w:r w:rsidR="000B0714" w:rsidRPr="00A33930">
        <w:rPr>
          <w:rFonts w:eastAsia="Verdana" w:cs="Verdana"/>
          <w:szCs w:val="18"/>
          <w:lang w:val="nl-NL"/>
        </w:rPr>
        <w:t xml:space="preserve"> reeds besproken. Inmiddels is duidelijk dat zowel artikel 9.3 IVRK als artikel 8 EVRM directe werking </w:t>
      </w:r>
      <w:r w:rsidR="00D23973" w:rsidRPr="00A33930">
        <w:rPr>
          <w:rFonts w:eastAsia="Verdana" w:cs="Verdana"/>
          <w:szCs w:val="18"/>
          <w:lang w:val="nl-NL"/>
        </w:rPr>
        <w:t>kennen</w:t>
      </w:r>
      <w:r w:rsidR="000B0714" w:rsidRPr="00A33930">
        <w:rPr>
          <w:rFonts w:eastAsia="Verdana" w:cs="Verdana"/>
          <w:szCs w:val="18"/>
          <w:lang w:val="nl-NL"/>
        </w:rPr>
        <w:t xml:space="preserve"> in de Belgische rechtsorde</w:t>
      </w:r>
      <w:r w:rsidRPr="00A33930">
        <w:rPr>
          <w:rFonts w:eastAsia="Verdana" w:cs="Verdana"/>
          <w:szCs w:val="18"/>
          <w:lang w:val="nl-NL"/>
        </w:rPr>
        <w:t>, al dan niet onrechtstreeks (</w:t>
      </w:r>
      <w:r w:rsidR="00A6711A" w:rsidRPr="00A33930">
        <w:rPr>
          <w:rFonts w:eastAsia="Verdana" w:cs="Verdana"/>
          <w:i/>
          <w:iCs/>
          <w:szCs w:val="18"/>
          <w:lang w:val="nl-NL"/>
        </w:rPr>
        <w:t>supra</w:t>
      </w:r>
      <w:r w:rsidR="00A6711A" w:rsidRPr="00A33930">
        <w:rPr>
          <w:rFonts w:eastAsia="Verdana" w:cs="Verdana"/>
          <w:szCs w:val="18"/>
          <w:lang w:val="nl-NL"/>
        </w:rPr>
        <w:t>, nr. 30 en nr. 49</w:t>
      </w:r>
      <w:r w:rsidRPr="00A33930">
        <w:rPr>
          <w:rFonts w:eastAsia="Verdana" w:cs="Verdana"/>
          <w:szCs w:val="18"/>
          <w:lang w:val="nl-NL"/>
        </w:rPr>
        <w:t>)</w:t>
      </w:r>
      <w:r w:rsidR="000B0714" w:rsidRPr="00A33930">
        <w:rPr>
          <w:rFonts w:eastAsia="Verdana" w:cs="Verdana"/>
          <w:szCs w:val="18"/>
          <w:lang w:val="nl-NL"/>
        </w:rPr>
        <w:t>.</w:t>
      </w:r>
      <w:r w:rsidR="000B0714" w:rsidRPr="00A33930">
        <w:rPr>
          <w:rStyle w:val="Voetnootmarkering"/>
          <w:rFonts w:eastAsia="Verdana" w:cs="Verdana"/>
          <w:szCs w:val="18"/>
          <w:lang w:val="nl-NL"/>
        </w:rPr>
        <w:footnoteReference w:id="409"/>
      </w:r>
      <w:r w:rsidR="000B0714" w:rsidRPr="00A33930">
        <w:rPr>
          <w:rFonts w:eastAsia="Verdana" w:cs="Verdana"/>
          <w:szCs w:val="18"/>
          <w:lang w:val="nl-NL"/>
        </w:rPr>
        <w:t xml:space="preserve"> Dat betekent dat het Belgisch recht </w:t>
      </w:r>
      <w:r w:rsidR="00B65C2C" w:rsidRPr="00A33930">
        <w:rPr>
          <w:rFonts w:eastAsia="Verdana" w:cs="Verdana"/>
          <w:szCs w:val="18"/>
          <w:lang w:val="nl-NL"/>
        </w:rPr>
        <w:t>zijn</w:t>
      </w:r>
      <w:r w:rsidR="000B0714" w:rsidRPr="00A33930">
        <w:rPr>
          <w:rFonts w:eastAsia="Verdana" w:cs="Verdana"/>
          <w:szCs w:val="18"/>
          <w:lang w:val="nl-NL"/>
        </w:rPr>
        <w:t xml:space="preserve"> mensenrechtelijke verplichtingen moet implementeren</w:t>
      </w:r>
      <w:r w:rsidR="00B65C2C" w:rsidRPr="00A33930">
        <w:rPr>
          <w:rFonts w:eastAsia="Verdana" w:cs="Verdana"/>
          <w:szCs w:val="18"/>
          <w:lang w:val="nl-NL"/>
        </w:rPr>
        <w:t xml:space="preserve"> en </w:t>
      </w:r>
      <w:r w:rsidR="0025650F" w:rsidRPr="00A33930">
        <w:rPr>
          <w:rFonts w:eastAsia="Verdana" w:cs="Verdana"/>
          <w:szCs w:val="18"/>
          <w:lang w:val="nl-NL"/>
        </w:rPr>
        <w:t xml:space="preserve">dus </w:t>
      </w:r>
      <w:r w:rsidR="00B65C2C" w:rsidRPr="00A33930">
        <w:rPr>
          <w:rFonts w:eastAsia="Verdana" w:cs="Verdana"/>
          <w:szCs w:val="18"/>
          <w:lang w:val="nl-NL"/>
        </w:rPr>
        <w:t>nakomen</w:t>
      </w:r>
      <w:r w:rsidR="000B0714" w:rsidRPr="00A33930">
        <w:rPr>
          <w:rFonts w:eastAsia="Verdana" w:cs="Verdana"/>
          <w:szCs w:val="18"/>
          <w:lang w:val="nl-NL"/>
        </w:rPr>
        <w:t>.</w:t>
      </w:r>
      <w:r w:rsidRPr="00A33930">
        <w:rPr>
          <w:rFonts w:eastAsia="Verdana" w:cs="Verdana"/>
          <w:szCs w:val="18"/>
          <w:lang w:val="nl-NL"/>
        </w:rPr>
        <w:t xml:space="preserve"> </w:t>
      </w:r>
      <w:r w:rsidR="00780F85" w:rsidRPr="00A33930">
        <w:rPr>
          <w:rFonts w:eastAsia="Verdana" w:cs="Verdana"/>
          <w:szCs w:val="18"/>
          <w:lang w:val="nl-NL"/>
        </w:rPr>
        <w:t xml:space="preserve">Echter </w:t>
      </w:r>
      <w:r w:rsidR="00CB40D6" w:rsidRPr="00A33930">
        <w:rPr>
          <w:rFonts w:eastAsia="Verdana" w:cs="Verdana"/>
          <w:szCs w:val="18"/>
          <w:lang w:val="nl-NL"/>
        </w:rPr>
        <w:t>verdient</w:t>
      </w:r>
      <w:r w:rsidR="00780F85" w:rsidRPr="00A33930">
        <w:rPr>
          <w:rFonts w:eastAsia="Verdana" w:cs="Verdana"/>
          <w:szCs w:val="18"/>
          <w:lang w:val="nl-NL"/>
        </w:rPr>
        <w:t xml:space="preserve"> ook </w:t>
      </w:r>
      <w:r w:rsidR="00CB40D6" w:rsidRPr="00A33930">
        <w:rPr>
          <w:rFonts w:eastAsia="Verdana" w:cs="Verdana"/>
          <w:szCs w:val="18"/>
          <w:lang w:val="nl-NL"/>
        </w:rPr>
        <w:t>dit</w:t>
      </w:r>
      <w:r w:rsidR="00780F85" w:rsidRPr="00A33930">
        <w:rPr>
          <w:rFonts w:eastAsia="Verdana" w:cs="Verdana"/>
          <w:szCs w:val="18"/>
          <w:lang w:val="nl-NL"/>
        </w:rPr>
        <w:t xml:space="preserve"> </w:t>
      </w:r>
      <w:r w:rsidR="00E57778" w:rsidRPr="00A33930">
        <w:rPr>
          <w:rFonts w:eastAsia="Verdana" w:cs="Verdana"/>
          <w:szCs w:val="18"/>
          <w:lang w:val="nl-NL"/>
        </w:rPr>
        <w:t xml:space="preserve">enige </w:t>
      </w:r>
      <w:r w:rsidR="00CB40D6" w:rsidRPr="00A33930">
        <w:rPr>
          <w:rFonts w:eastAsia="Verdana" w:cs="Verdana"/>
          <w:szCs w:val="18"/>
          <w:lang w:val="nl-NL"/>
        </w:rPr>
        <w:t>nuancering</w:t>
      </w:r>
      <w:r w:rsidR="000F6EEE" w:rsidRPr="00A33930">
        <w:rPr>
          <w:rFonts w:eastAsia="Verdana" w:cs="Verdana"/>
          <w:szCs w:val="18"/>
          <w:lang w:val="nl-NL"/>
        </w:rPr>
        <w:t xml:space="preserve"> omdat</w:t>
      </w:r>
      <w:r w:rsidR="00780F85" w:rsidRPr="00A33930">
        <w:rPr>
          <w:rFonts w:eastAsia="Verdana" w:cs="Verdana"/>
          <w:szCs w:val="18"/>
          <w:lang w:val="nl-NL"/>
        </w:rPr>
        <w:t xml:space="preserve"> </w:t>
      </w:r>
      <w:r w:rsidR="00CB40D6" w:rsidRPr="00A33930">
        <w:rPr>
          <w:rFonts w:eastAsia="Verdana" w:cs="Verdana"/>
          <w:szCs w:val="18"/>
          <w:lang w:val="nl-NL"/>
        </w:rPr>
        <w:t>er door het</w:t>
      </w:r>
      <w:r w:rsidR="00780F85" w:rsidRPr="00A33930">
        <w:rPr>
          <w:rFonts w:eastAsia="Verdana" w:cs="Verdana"/>
          <w:szCs w:val="18"/>
          <w:lang w:val="nl-NL"/>
        </w:rPr>
        <w:t xml:space="preserve"> IVRK niet wordt voorzien in sterke controlemechanismen (</w:t>
      </w:r>
      <w:r w:rsidR="00780F85" w:rsidRPr="00A33930">
        <w:rPr>
          <w:rFonts w:eastAsia="Verdana" w:cs="Verdana"/>
          <w:i/>
          <w:iCs/>
          <w:szCs w:val="18"/>
          <w:lang w:val="nl-NL"/>
        </w:rPr>
        <w:t>supra</w:t>
      </w:r>
      <w:r w:rsidR="00780F85" w:rsidRPr="00A33930">
        <w:rPr>
          <w:rFonts w:eastAsia="Verdana" w:cs="Verdana"/>
          <w:szCs w:val="18"/>
          <w:lang w:val="nl-NL"/>
        </w:rPr>
        <w:t xml:space="preserve">, nr. </w:t>
      </w:r>
      <w:r w:rsidR="00A6711A" w:rsidRPr="00A33930">
        <w:rPr>
          <w:rFonts w:eastAsia="Verdana" w:cs="Verdana"/>
          <w:szCs w:val="18"/>
          <w:lang w:val="nl-NL"/>
        </w:rPr>
        <w:t>29</w:t>
      </w:r>
      <w:r w:rsidR="00780F85" w:rsidRPr="00A33930">
        <w:rPr>
          <w:rFonts w:eastAsia="Verdana" w:cs="Verdana"/>
          <w:szCs w:val="18"/>
          <w:lang w:val="nl-NL"/>
        </w:rPr>
        <w:t>). Dat maakt dat de Belgische wetgever enkel op de vingers kan worden getikt door het EHRM en zijn indirecte interpretaties van het IVRK, middels toepassing van artikel 8 EVRM (</w:t>
      </w:r>
      <w:r w:rsidR="00780F85" w:rsidRPr="00A33930">
        <w:rPr>
          <w:rFonts w:eastAsia="Verdana" w:cs="Verdana"/>
          <w:i/>
          <w:iCs/>
          <w:szCs w:val="18"/>
          <w:lang w:val="nl-NL"/>
        </w:rPr>
        <w:t>supra</w:t>
      </w:r>
      <w:r w:rsidR="00780F85" w:rsidRPr="00A33930">
        <w:rPr>
          <w:rFonts w:eastAsia="Verdana" w:cs="Verdana"/>
          <w:szCs w:val="18"/>
          <w:lang w:val="nl-NL"/>
        </w:rPr>
        <w:t xml:space="preserve">, nr. </w:t>
      </w:r>
      <w:r w:rsidR="0025650F" w:rsidRPr="00A33930">
        <w:rPr>
          <w:rFonts w:eastAsia="Verdana" w:cs="Verdana"/>
          <w:szCs w:val="18"/>
          <w:lang w:val="nl-NL"/>
        </w:rPr>
        <w:t>48</w:t>
      </w:r>
      <w:r w:rsidR="00780F85" w:rsidRPr="00A33930">
        <w:rPr>
          <w:rFonts w:eastAsia="Verdana" w:cs="Verdana"/>
          <w:szCs w:val="18"/>
          <w:lang w:val="nl-NL"/>
        </w:rPr>
        <w:t xml:space="preserve">). </w:t>
      </w:r>
      <w:r w:rsidR="00557FCD" w:rsidRPr="00A33930">
        <w:rPr>
          <w:rFonts w:eastAsia="Verdana" w:cs="Verdana"/>
          <w:szCs w:val="18"/>
          <w:lang w:val="nl-NL"/>
        </w:rPr>
        <w:t xml:space="preserve">Een subjectief recht op persoonlijk contact van het kind zoals </w:t>
      </w:r>
      <w:r w:rsidRPr="00A33930">
        <w:rPr>
          <w:rFonts w:eastAsia="Verdana" w:cs="Verdana"/>
          <w:szCs w:val="18"/>
          <w:lang w:val="nl-NL"/>
        </w:rPr>
        <w:t>voorzien</w:t>
      </w:r>
      <w:r w:rsidR="00557FCD" w:rsidRPr="00A33930">
        <w:rPr>
          <w:rFonts w:eastAsia="Verdana" w:cs="Verdana"/>
          <w:szCs w:val="18"/>
          <w:lang w:val="nl-NL"/>
        </w:rPr>
        <w:t xml:space="preserve"> </w:t>
      </w:r>
      <w:r w:rsidRPr="00A33930">
        <w:rPr>
          <w:rFonts w:eastAsia="Verdana" w:cs="Verdana"/>
          <w:szCs w:val="18"/>
          <w:lang w:val="nl-NL"/>
        </w:rPr>
        <w:t>in</w:t>
      </w:r>
      <w:r w:rsidR="00557FCD" w:rsidRPr="00A33930">
        <w:rPr>
          <w:rFonts w:eastAsia="Verdana" w:cs="Verdana"/>
          <w:szCs w:val="18"/>
          <w:lang w:val="nl-NL"/>
        </w:rPr>
        <w:t xml:space="preserve"> </w:t>
      </w:r>
      <w:r w:rsidRPr="00A33930">
        <w:rPr>
          <w:rFonts w:eastAsia="Verdana" w:cs="Verdana"/>
          <w:szCs w:val="18"/>
          <w:lang w:val="nl-NL"/>
        </w:rPr>
        <w:t>artikel 9.3</w:t>
      </w:r>
      <w:r w:rsidR="00557FCD" w:rsidRPr="00A33930">
        <w:rPr>
          <w:rFonts w:eastAsia="Verdana" w:cs="Verdana"/>
          <w:szCs w:val="18"/>
          <w:lang w:val="nl-NL"/>
        </w:rPr>
        <w:t xml:space="preserve"> IVRK</w:t>
      </w:r>
      <w:r w:rsidR="00CB40D6" w:rsidRPr="00A33930">
        <w:rPr>
          <w:rFonts w:eastAsia="Verdana" w:cs="Verdana"/>
          <w:szCs w:val="18"/>
          <w:lang w:val="nl-NL"/>
        </w:rPr>
        <w:t xml:space="preserve"> </w:t>
      </w:r>
      <w:r w:rsidR="00557FCD" w:rsidRPr="00A33930">
        <w:rPr>
          <w:rFonts w:eastAsia="Verdana" w:cs="Verdana"/>
          <w:szCs w:val="18"/>
          <w:lang w:val="nl-NL"/>
        </w:rPr>
        <w:t>ontbreekt tot op heden in de Belgische regelgeving.</w:t>
      </w:r>
      <w:r w:rsidRPr="00A33930">
        <w:rPr>
          <w:rFonts w:eastAsia="Verdana" w:cs="Verdana"/>
          <w:szCs w:val="18"/>
          <w:lang w:val="nl-NL"/>
        </w:rPr>
        <w:t xml:space="preserve"> Bijkomend heeft het kind </w:t>
      </w:r>
      <w:r w:rsidR="0025650F" w:rsidRPr="00A33930">
        <w:rPr>
          <w:rFonts w:eastAsia="Verdana" w:cs="Verdana"/>
          <w:szCs w:val="18"/>
          <w:lang w:val="nl-NL"/>
        </w:rPr>
        <w:t>normaal gezien</w:t>
      </w:r>
      <w:r w:rsidR="00B65C2C" w:rsidRPr="00A33930">
        <w:rPr>
          <w:rFonts w:eastAsia="Verdana" w:cs="Verdana"/>
          <w:szCs w:val="18"/>
          <w:lang w:val="nl-NL"/>
        </w:rPr>
        <w:t xml:space="preserve"> dit </w:t>
      </w:r>
      <w:r w:rsidRPr="00A33930">
        <w:rPr>
          <w:rFonts w:eastAsia="Verdana" w:cs="Verdana"/>
          <w:szCs w:val="18"/>
          <w:lang w:val="nl-NL"/>
        </w:rPr>
        <w:t xml:space="preserve">eigen recht </w:t>
      </w:r>
      <w:r w:rsidR="0025650F" w:rsidRPr="00A33930">
        <w:rPr>
          <w:rFonts w:eastAsia="Verdana" w:cs="Verdana"/>
          <w:szCs w:val="18"/>
          <w:lang w:val="nl-NL"/>
        </w:rPr>
        <w:t xml:space="preserve">verworven </w:t>
      </w:r>
      <w:r w:rsidRPr="00A33930">
        <w:rPr>
          <w:rFonts w:eastAsia="Verdana" w:cs="Verdana"/>
          <w:szCs w:val="18"/>
          <w:lang w:val="nl-NL"/>
        </w:rPr>
        <w:t>via artikel 8 EVRM</w:t>
      </w:r>
      <w:r w:rsidR="00780F85" w:rsidRPr="00A33930">
        <w:rPr>
          <w:rFonts w:eastAsia="Verdana" w:cs="Verdana"/>
          <w:szCs w:val="18"/>
          <w:lang w:val="nl-NL"/>
        </w:rPr>
        <w:t xml:space="preserve"> en zijn toepassing door het EHRM aldaar</w:t>
      </w:r>
      <w:r w:rsidR="00B65C2C" w:rsidRPr="00A33930">
        <w:rPr>
          <w:rFonts w:eastAsia="Verdana" w:cs="Verdana"/>
          <w:szCs w:val="18"/>
          <w:lang w:val="nl-NL"/>
        </w:rPr>
        <w:t xml:space="preserve"> (</w:t>
      </w:r>
      <w:r w:rsidR="00B65C2C" w:rsidRPr="00A33930">
        <w:rPr>
          <w:rFonts w:eastAsia="Verdana" w:cs="Verdana"/>
          <w:i/>
          <w:iCs/>
          <w:szCs w:val="18"/>
          <w:lang w:val="nl-NL"/>
        </w:rPr>
        <w:t>supra</w:t>
      </w:r>
      <w:r w:rsidR="00B65C2C" w:rsidRPr="00A33930">
        <w:rPr>
          <w:rFonts w:eastAsia="Verdana" w:cs="Verdana"/>
          <w:szCs w:val="18"/>
          <w:lang w:val="nl-NL"/>
        </w:rPr>
        <w:t xml:space="preserve">, nr. </w:t>
      </w:r>
      <w:r w:rsidR="0025650F" w:rsidRPr="00A33930">
        <w:rPr>
          <w:rFonts w:eastAsia="Verdana" w:cs="Verdana"/>
          <w:szCs w:val="18"/>
          <w:lang w:val="nl-NL"/>
        </w:rPr>
        <w:t>56</w:t>
      </w:r>
      <w:r w:rsidR="00B65C2C" w:rsidRPr="00A33930">
        <w:rPr>
          <w:rFonts w:eastAsia="Verdana" w:cs="Verdana"/>
          <w:szCs w:val="18"/>
          <w:lang w:val="nl-NL"/>
        </w:rPr>
        <w:t>)</w:t>
      </w:r>
      <w:r w:rsidRPr="00A33930">
        <w:rPr>
          <w:rFonts w:eastAsia="Verdana" w:cs="Verdana"/>
          <w:szCs w:val="18"/>
          <w:lang w:val="nl-NL"/>
        </w:rPr>
        <w:t xml:space="preserve">. </w:t>
      </w:r>
    </w:p>
    <w:p w14:paraId="4551BF4F" w14:textId="77777777" w:rsidR="00E57778" w:rsidRPr="00A33930" w:rsidRDefault="00E57778" w:rsidP="00E57778">
      <w:pPr>
        <w:pStyle w:val="Lijstalinea"/>
        <w:spacing w:before="200" w:after="0"/>
        <w:ind w:left="0"/>
        <w:jc w:val="both"/>
        <w:rPr>
          <w:rFonts w:eastAsia="Verdana" w:cs="Verdana"/>
          <w:szCs w:val="18"/>
          <w:lang w:val="nl-NL"/>
        </w:rPr>
      </w:pPr>
    </w:p>
    <w:p w14:paraId="08932CF7" w14:textId="439EA20E" w:rsidR="00780F85" w:rsidRPr="00A33930" w:rsidRDefault="00FF6E85" w:rsidP="00E57778">
      <w:pPr>
        <w:pStyle w:val="Lijstalinea"/>
        <w:spacing w:before="200" w:after="0"/>
        <w:ind w:left="0"/>
        <w:jc w:val="both"/>
        <w:rPr>
          <w:rFonts w:eastAsia="Verdana" w:cs="Verdana"/>
          <w:szCs w:val="18"/>
          <w:lang w:val="nl-NL"/>
        </w:rPr>
      </w:pPr>
      <w:r w:rsidRPr="00A33930">
        <w:rPr>
          <w:rFonts w:eastAsia="Verdana" w:cs="Verdana"/>
          <w:szCs w:val="18"/>
          <w:lang w:val="nl-NL"/>
        </w:rPr>
        <w:t xml:space="preserve">Het VN-Kinderrechtencomité heeft België reeds in 2002 aangemaand om (snel!) werk te maken van </w:t>
      </w:r>
      <w:r w:rsidR="00102A3A" w:rsidRPr="00A33930">
        <w:rPr>
          <w:rFonts w:eastAsia="Verdana" w:cs="Verdana"/>
          <w:szCs w:val="18"/>
          <w:lang w:val="nl-NL"/>
        </w:rPr>
        <w:t>een invoering en toepassing van de</w:t>
      </w:r>
      <w:r w:rsidRPr="00A33930">
        <w:rPr>
          <w:rFonts w:eastAsia="Verdana" w:cs="Verdana"/>
          <w:szCs w:val="18"/>
          <w:lang w:val="nl-NL"/>
        </w:rPr>
        <w:t xml:space="preserve"> subjectgedachte in België.</w:t>
      </w:r>
      <w:r w:rsidRPr="00A33930">
        <w:rPr>
          <w:rStyle w:val="Voetnootmarkering"/>
          <w:rFonts w:eastAsia="Verdana" w:cs="Verdana"/>
          <w:szCs w:val="18"/>
          <w:lang w:val="nl-NL"/>
        </w:rPr>
        <w:footnoteReference w:id="410"/>
      </w:r>
      <w:r w:rsidRPr="00A33930">
        <w:rPr>
          <w:rFonts w:eastAsia="Verdana" w:cs="Verdana"/>
          <w:szCs w:val="18"/>
          <w:lang w:val="nl-NL"/>
        </w:rPr>
        <w:t xml:space="preserve"> </w:t>
      </w:r>
      <w:r w:rsidR="00102A3A" w:rsidRPr="00A33930">
        <w:rPr>
          <w:rFonts w:eastAsia="Verdana" w:cs="Verdana"/>
          <w:szCs w:val="18"/>
          <w:lang w:val="nl-NL"/>
        </w:rPr>
        <w:t>Meer dan 20 jaar later is dit nog steeds niet het geval. De i</w:t>
      </w:r>
      <w:r w:rsidR="00787476" w:rsidRPr="00A33930">
        <w:rPr>
          <w:rFonts w:eastAsia="Verdana" w:cs="Verdana"/>
          <w:szCs w:val="18"/>
          <w:lang w:val="nl-NL"/>
        </w:rPr>
        <w:t xml:space="preserve">dealistische benadering van het IVRK </w:t>
      </w:r>
      <w:r w:rsidR="000E1B86" w:rsidRPr="00A33930">
        <w:rPr>
          <w:rFonts w:eastAsia="Verdana" w:cs="Verdana"/>
          <w:szCs w:val="18"/>
          <w:lang w:val="nl-NL"/>
        </w:rPr>
        <w:t>vindt niet voldoende weerslag in de Belgische wetgeving</w:t>
      </w:r>
      <w:r w:rsidR="00CB40D6" w:rsidRPr="00A33930">
        <w:rPr>
          <w:rFonts w:eastAsia="Verdana" w:cs="Verdana"/>
          <w:szCs w:val="18"/>
          <w:lang w:val="nl-NL"/>
        </w:rPr>
        <w:t xml:space="preserve">. Dit heeft verschillende redenen, maar vindt voornamelijk zijn oorsprong in het feit dat het recht op persoonlijk contact wordt vormgegeven door </w:t>
      </w:r>
      <w:r w:rsidR="0025650F" w:rsidRPr="00A33930">
        <w:rPr>
          <w:rFonts w:eastAsia="Verdana" w:cs="Verdana"/>
          <w:szCs w:val="18"/>
          <w:lang w:val="nl-NL"/>
        </w:rPr>
        <w:t>diverse</w:t>
      </w:r>
      <w:r w:rsidR="00CB40D6" w:rsidRPr="00A33930">
        <w:rPr>
          <w:rFonts w:eastAsia="Verdana" w:cs="Verdana"/>
          <w:szCs w:val="18"/>
          <w:lang w:val="nl-NL"/>
        </w:rPr>
        <w:t xml:space="preserve"> maatregelen (</w:t>
      </w:r>
      <w:r w:rsidR="00CB40D6" w:rsidRPr="00A33930">
        <w:rPr>
          <w:rFonts w:eastAsia="Verdana" w:cs="Verdana"/>
          <w:i/>
          <w:iCs/>
          <w:szCs w:val="18"/>
          <w:lang w:val="nl-NL"/>
        </w:rPr>
        <w:t>supra</w:t>
      </w:r>
      <w:r w:rsidR="00CB40D6" w:rsidRPr="00A33930">
        <w:rPr>
          <w:rFonts w:eastAsia="Verdana" w:cs="Verdana"/>
          <w:szCs w:val="18"/>
          <w:lang w:val="nl-NL"/>
        </w:rPr>
        <w:t xml:space="preserve">, nr. </w:t>
      </w:r>
      <w:r w:rsidR="0025650F" w:rsidRPr="00A33930">
        <w:rPr>
          <w:rFonts w:eastAsia="Verdana" w:cs="Verdana"/>
          <w:szCs w:val="18"/>
          <w:lang w:val="nl-NL"/>
        </w:rPr>
        <w:t>82</w:t>
      </w:r>
      <w:r w:rsidR="00CB40D6" w:rsidRPr="00A33930">
        <w:rPr>
          <w:rFonts w:eastAsia="Verdana" w:cs="Verdana"/>
          <w:szCs w:val="18"/>
          <w:lang w:val="nl-NL"/>
        </w:rPr>
        <w:t>).</w:t>
      </w:r>
      <w:r w:rsidR="000E1B86" w:rsidRPr="00A33930">
        <w:rPr>
          <w:rFonts w:eastAsia="Verdana" w:cs="Verdana"/>
          <w:szCs w:val="18"/>
          <w:lang w:val="nl-NL"/>
        </w:rPr>
        <w:t xml:space="preserve"> </w:t>
      </w:r>
      <w:r w:rsidR="00E57778" w:rsidRPr="00A33930">
        <w:rPr>
          <w:rFonts w:eastAsia="Verdana" w:cs="Verdana"/>
          <w:szCs w:val="18"/>
          <w:lang w:val="nl-NL"/>
        </w:rPr>
        <w:t>Bovendien</w:t>
      </w:r>
      <w:r w:rsidR="00CB40D6" w:rsidRPr="00A33930">
        <w:rPr>
          <w:rFonts w:eastAsia="Verdana" w:cs="Verdana"/>
          <w:szCs w:val="18"/>
          <w:lang w:val="nl-NL"/>
        </w:rPr>
        <w:t xml:space="preserve"> heeft de</w:t>
      </w:r>
      <w:r w:rsidR="00787476" w:rsidRPr="00A33930">
        <w:rPr>
          <w:rFonts w:eastAsia="Verdana" w:cs="Verdana"/>
          <w:szCs w:val="18"/>
          <w:lang w:val="nl-NL"/>
        </w:rPr>
        <w:t xml:space="preserve"> pragmatische benadering van het EHRM</w:t>
      </w:r>
      <w:r w:rsidR="00CB40D6" w:rsidRPr="00A33930">
        <w:rPr>
          <w:rFonts w:eastAsia="Verdana" w:cs="Verdana"/>
          <w:szCs w:val="18"/>
          <w:lang w:val="nl-NL"/>
        </w:rPr>
        <w:t xml:space="preserve"> </w:t>
      </w:r>
      <w:r w:rsidR="00787476" w:rsidRPr="00A33930">
        <w:rPr>
          <w:rFonts w:eastAsia="Verdana" w:cs="Verdana"/>
          <w:szCs w:val="18"/>
          <w:lang w:val="nl-NL"/>
        </w:rPr>
        <w:t xml:space="preserve">en </w:t>
      </w:r>
      <w:r w:rsidR="00CB40D6" w:rsidRPr="00A33930">
        <w:rPr>
          <w:rFonts w:eastAsia="Verdana" w:cs="Verdana"/>
          <w:szCs w:val="18"/>
          <w:lang w:val="nl-NL"/>
        </w:rPr>
        <w:t>de</w:t>
      </w:r>
      <w:r w:rsidR="00B65C2C" w:rsidRPr="00A33930">
        <w:rPr>
          <w:rFonts w:eastAsia="Verdana" w:cs="Verdana"/>
          <w:szCs w:val="18"/>
          <w:lang w:val="nl-NL"/>
        </w:rPr>
        <w:t xml:space="preserve"> </w:t>
      </w:r>
      <w:r w:rsidR="00CB40D6" w:rsidRPr="00A33930">
        <w:rPr>
          <w:rFonts w:eastAsia="Verdana" w:cs="Verdana"/>
          <w:szCs w:val="18"/>
          <w:lang w:val="nl-NL"/>
        </w:rPr>
        <w:t>zoektocht</w:t>
      </w:r>
      <w:r w:rsidR="00B65C2C" w:rsidRPr="00A33930">
        <w:rPr>
          <w:rFonts w:eastAsia="Verdana" w:cs="Verdana"/>
          <w:szCs w:val="18"/>
          <w:lang w:val="nl-NL"/>
        </w:rPr>
        <w:t xml:space="preserve"> </w:t>
      </w:r>
      <w:r w:rsidR="000E1B86" w:rsidRPr="00A33930">
        <w:rPr>
          <w:rFonts w:eastAsia="Verdana" w:cs="Verdana"/>
          <w:szCs w:val="18"/>
          <w:lang w:val="nl-NL"/>
        </w:rPr>
        <w:t xml:space="preserve">naar </w:t>
      </w:r>
      <w:r w:rsidR="00102A3A" w:rsidRPr="00A33930">
        <w:rPr>
          <w:rFonts w:eastAsia="Verdana" w:cs="Verdana"/>
          <w:szCs w:val="18"/>
          <w:lang w:val="nl-NL"/>
        </w:rPr>
        <w:t xml:space="preserve">een evenwicht </w:t>
      </w:r>
      <w:r w:rsidR="00102A3A" w:rsidRPr="00A33930">
        <w:rPr>
          <w:rFonts w:eastAsia="Verdana" w:cs="Verdana"/>
          <w:szCs w:val="18"/>
          <w:lang w:val="nl-NL"/>
        </w:rPr>
        <w:lastRenderedPageBreak/>
        <w:t>tussen bescherming en autonomie</w:t>
      </w:r>
      <w:r w:rsidR="00CB40D6" w:rsidRPr="00A33930">
        <w:rPr>
          <w:rFonts w:eastAsia="Verdana" w:cs="Verdana"/>
          <w:szCs w:val="18"/>
          <w:lang w:val="nl-NL"/>
        </w:rPr>
        <w:t xml:space="preserve"> ook een belangrijke invloed</w:t>
      </w:r>
      <w:r w:rsidR="00102A3A" w:rsidRPr="00A33930">
        <w:rPr>
          <w:rFonts w:eastAsia="Verdana" w:cs="Verdana"/>
          <w:szCs w:val="18"/>
          <w:lang w:val="nl-NL"/>
        </w:rPr>
        <w:t xml:space="preserve"> (</w:t>
      </w:r>
      <w:r w:rsidR="00102A3A" w:rsidRPr="00A33930">
        <w:rPr>
          <w:rFonts w:eastAsia="Verdana" w:cs="Verdana"/>
          <w:i/>
          <w:iCs/>
          <w:szCs w:val="18"/>
          <w:lang w:val="nl-NL"/>
        </w:rPr>
        <w:t>supra</w:t>
      </w:r>
      <w:r w:rsidR="00102A3A" w:rsidRPr="00A33930">
        <w:rPr>
          <w:rFonts w:eastAsia="Verdana" w:cs="Verdana"/>
          <w:szCs w:val="18"/>
          <w:lang w:val="nl-NL"/>
        </w:rPr>
        <w:t xml:space="preserve">, nr. </w:t>
      </w:r>
      <w:r w:rsidR="0025650F" w:rsidRPr="00A33930">
        <w:rPr>
          <w:rFonts w:eastAsia="Verdana" w:cs="Verdana"/>
          <w:szCs w:val="18"/>
          <w:lang w:val="nl-NL"/>
        </w:rPr>
        <w:t>69</w:t>
      </w:r>
      <w:r w:rsidR="00102A3A" w:rsidRPr="00A33930">
        <w:rPr>
          <w:rFonts w:eastAsia="Verdana" w:cs="Verdana"/>
          <w:szCs w:val="18"/>
          <w:lang w:val="nl-NL"/>
        </w:rPr>
        <w:t>)</w:t>
      </w:r>
      <w:r w:rsidR="00787476" w:rsidRPr="00A33930">
        <w:rPr>
          <w:rFonts w:eastAsia="Verdana" w:cs="Verdana"/>
          <w:szCs w:val="18"/>
          <w:lang w:val="nl-NL"/>
        </w:rPr>
        <w:t>.</w:t>
      </w:r>
      <w:r w:rsidR="00102A3A" w:rsidRPr="00A33930">
        <w:rPr>
          <w:rFonts w:eastAsia="Verdana" w:cs="Verdana"/>
          <w:szCs w:val="18"/>
          <w:lang w:val="nl-NL"/>
        </w:rPr>
        <w:t xml:space="preserve"> </w:t>
      </w:r>
      <w:r w:rsidR="002F5083" w:rsidRPr="00A33930">
        <w:rPr>
          <w:rFonts w:eastAsia="Verdana" w:cs="Verdana"/>
          <w:szCs w:val="18"/>
          <w:lang w:val="nl-NL"/>
        </w:rPr>
        <w:t>De rol van het kind in België is te passief, terwijl dit niet zo hoort te zijn (</w:t>
      </w:r>
      <w:r w:rsidR="002F5083" w:rsidRPr="00A33930">
        <w:rPr>
          <w:rFonts w:eastAsia="Verdana" w:cs="Verdana"/>
          <w:i/>
          <w:iCs/>
          <w:szCs w:val="18"/>
          <w:lang w:val="nl-NL"/>
        </w:rPr>
        <w:t>supra</w:t>
      </w:r>
      <w:r w:rsidR="002F5083" w:rsidRPr="00A33930">
        <w:rPr>
          <w:rFonts w:eastAsia="Verdana" w:cs="Verdana"/>
          <w:szCs w:val="18"/>
          <w:lang w:val="nl-NL"/>
        </w:rPr>
        <w:t xml:space="preserve">, nr. </w:t>
      </w:r>
      <w:r w:rsidR="0025650F" w:rsidRPr="00A33930">
        <w:rPr>
          <w:rFonts w:eastAsia="Verdana" w:cs="Verdana"/>
          <w:szCs w:val="18"/>
          <w:lang w:val="nl-NL"/>
        </w:rPr>
        <w:t>32</w:t>
      </w:r>
      <w:r w:rsidR="002F5083" w:rsidRPr="00A33930">
        <w:rPr>
          <w:rFonts w:eastAsia="Verdana" w:cs="Verdana"/>
          <w:szCs w:val="18"/>
          <w:lang w:val="nl-NL"/>
        </w:rPr>
        <w:t>).</w:t>
      </w:r>
    </w:p>
    <w:p w14:paraId="1130B7B5" w14:textId="77777777" w:rsidR="00780F85" w:rsidRPr="00A33930" w:rsidRDefault="00780F85" w:rsidP="00780F85">
      <w:pPr>
        <w:pStyle w:val="Lijstalinea"/>
        <w:rPr>
          <w:rFonts w:eastAsia="Verdana" w:cs="Verdana"/>
          <w:szCs w:val="18"/>
          <w:lang w:val="nl-NL"/>
        </w:rPr>
      </w:pPr>
    </w:p>
    <w:p w14:paraId="3717AF3C" w14:textId="418F2517" w:rsidR="00102A3A" w:rsidRPr="00A33930" w:rsidRDefault="00AA311F" w:rsidP="00AA311F">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Bijkomend weerspiegelt het begrip “ouderlijke verantwoordelijkheden” in het IVRK het modern </w:t>
      </w:r>
      <w:r w:rsidR="00E57778" w:rsidRPr="00A33930">
        <w:rPr>
          <w:rFonts w:eastAsia="Verdana" w:cs="Verdana"/>
          <w:szCs w:val="18"/>
          <w:lang w:val="nl-NL"/>
        </w:rPr>
        <w:t>kindperspectief</w:t>
      </w:r>
      <w:r w:rsidRPr="00A33930">
        <w:rPr>
          <w:rFonts w:eastAsia="Verdana" w:cs="Verdana"/>
          <w:szCs w:val="18"/>
          <w:lang w:val="nl-NL"/>
        </w:rPr>
        <w:t xml:space="preserve">. </w:t>
      </w:r>
      <w:r w:rsidR="00B65C2C" w:rsidRPr="00A33930">
        <w:rPr>
          <w:rFonts w:eastAsia="Verdana" w:cs="Verdana"/>
          <w:szCs w:val="18"/>
          <w:lang w:val="nl-NL"/>
        </w:rPr>
        <w:t>Het benadrukt het overleg met het kind in functie van de ouderlijke verantwoordelijkheden en niet louter omdat het gezag zo aan volwassenen wordt toevertrouwd.</w:t>
      </w:r>
      <w:r w:rsidR="00B65C2C" w:rsidRPr="00A33930">
        <w:rPr>
          <w:rStyle w:val="Voetnootmarkering"/>
          <w:rFonts w:eastAsia="Verdana" w:cs="Verdana"/>
          <w:szCs w:val="18"/>
          <w:lang w:val="nl-NL"/>
        </w:rPr>
        <w:footnoteReference w:id="411"/>
      </w:r>
      <w:r w:rsidR="00B65C2C" w:rsidRPr="00A33930">
        <w:rPr>
          <w:rFonts w:eastAsia="Verdana" w:cs="Verdana"/>
          <w:szCs w:val="18"/>
          <w:lang w:val="nl-NL"/>
        </w:rPr>
        <w:t xml:space="preserve"> </w:t>
      </w:r>
      <w:r w:rsidR="00CB40D6" w:rsidRPr="00A33930">
        <w:rPr>
          <w:rFonts w:eastAsia="Verdana" w:cs="Verdana"/>
          <w:szCs w:val="18"/>
          <w:lang w:val="nl-NL"/>
        </w:rPr>
        <w:t>Het IVRK voorziet zo in een functioneel recht voor volwassenen (</w:t>
      </w:r>
      <w:r w:rsidR="00CB40D6" w:rsidRPr="00A33930">
        <w:rPr>
          <w:rFonts w:eastAsia="Verdana" w:cs="Verdana"/>
          <w:i/>
          <w:iCs/>
          <w:szCs w:val="18"/>
          <w:lang w:val="nl-NL"/>
        </w:rPr>
        <w:t>supra</w:t>
      </w:r>
      <w:r w:rsidR="00CB40D6" w:rsidRPr="00A33930">
        <w:rPr>
          <w:rFonts w:eastAsia="Verdana" w:cs="Verdana"/>
          <w:szCs w:val="18"/>
          <w:lang w:val="nl-NL"/>
        </w:rPr>
        <w:t xml:space="preserve">, nr. </w:t>
      </w:r>
      <w:r w:rsidR="0025650F" w:rsidRPr="00A33930">
        <w:rPr>
          <w:rFonts w:eastAsia="Verdana" w:cs="Verdana"/>
          <w:szCs w:val="18"/>
          <w:lang w:val="nl-NL"/>
        </w:rPr>
        <w:t>32</w:t>
      </w:r>
      <w:r w:rsidR="00CB40D6" w:rsidRPr="00A33930">
        <w:rPr>
          <w:rFonts w:eastAsia="Verdana" w:cs="Verdana"/>
          <w:szCs w:val="18"/>
          <w:lang w:val="nl-NL"/>
        </w:rPr>
        <w:t xml:space="preserve">). Zij krijgen dit recht niet alleen omdat zij ouders zijn, maar voornamelijk ter ondersteuning van het kind. </w:t>
      </w:r>
      <w:r w:rsidRPr="00A33930">
        <w:rPr>
          <w:rFonts w:eastAsia="Verdana" w:cs="Verdana"/>
          <w:szCs w:val="18"/>
          <w:lang w:val="nl-NL"/>
        </w:rPr>
        <w:t xml:space="preserve">Dit in tegenstelling tot het </w:t>
      </w:r>
      <w:r w:rsidR="00B65C2C" w:rsidRPr="00A33930">
        <w:rPr>
          <w:rFonts w:eastAsia="Verdana" w:cs="Verdana"/>
          <w:szCs w:val="18"/>
          <w:lang w:val="nl-NL"/>
        </w:rPr>
        <w:t xml:space="preserve">gebruik van het begrip </w:t>
      </w:r>
      <w:r w:rsidRPr="00A33930">
        <w:rPr>
          <w:rFonts w:eastAsia="Verdana" w:cs="Verdana"/>
          <w:szCs w:val="18"/>
          <w:lang w:val="nl-NL"/>
        </w:rPr>
        <w:t>“ouderlijk gezag” in het Belgisch recht</w:t>
      </w:r>
      <w:r w:rsidR="00CB40D6" w:rsidRPr="00A33930">
        <w:rPr>
          <w:rFonts w:eastAsia="Verdana" w:cs="Verdana"/>
          <w:szCs w:val="18"/>
          <w:lang w:val="nl-NL"/>
        </w:rPr>
        <w:t>, waardoor opnieuw sterk de objectgedachte wordt benadrukt</w:t>
      </w:r>
      <w:r w:rsidR="00B65C2C" w:rsidRPr="00A33930">
        <w:rPr>
          <w:rFonts w:eastAsia="Verdana" w:cs="Verdana"/>
          <w:szCs w:val="18"/>
          <w:lang w:val="nl-NL"/>
        </w:rPr>
        <w:t xml:space="preserve"> (</w:t>
      </w:r>
      <w:r w:rsidR="00B65C2C" w:rsidRPr="00A33930">
        <w:rPr>
          <w:rFonts w:eastAsia="Verdana" w:cs="Verdana"/>
          <w:i/>
          <w:iCs/>
          <w:szCs w:val="18"/>
          <w:lang w:val="nl-NL"/>
        </w:rPr>
        <w:t>supra</w:t>
      </w:r>
      <w:r w:rsidR="00B65C2C" w:rsidRPr="00A33930">
        <w:rPr>
          <w:rFonts w:eastAsia="Verdana" w:cs="Verdana"/>
          <w:szCs w:val="18"/>
          <w:lang w:val="nl-NL"/>
        </w:rPr>
        <w:t xml:space="preserve">, nr. </w:t>
      </w:r>
      <w:r w:rsidR="0025650F" w:rsidRPr="00A33930">
        <w:rPr>
          <w:rFonts w:eastAsia="Verdana" w:cs="Verdana"/>
          <w:szCs w:val="18"/>
          <w:lang w:val="nl-NL"/>
        </w:rPr>
        <w:t>73</w:t>
      </w:r>
      <w:r w:rsidR="00B65C2C" w:rsidRPr="00A33930">
        <w:rPr>
          <w:rFonts w:eastAsia="Verdana" w:cs="Verdana"/>
          <w:szCs w:val="18"/>
          <w:lang w:val="nl-NL"/>
        </w:rPr>
        <w:t>)</w:t>
      </w:r>
      <w:r w:rsidRPr="00A33930">
        <w:rPr>
          <w:rFonts w:eastAsia="Verdana" w:cs="Verdana"/>
          <w:szCs w:val="18"/>
          <w:lang w:val="nl-NL"/>
        </w:rPr>
        <w:t>.</w:t>
      </w:r>
      <w:r w:rsidRPr="00A33930">
        <w:rPr>
          <w:rStyle w:val="Voetnootmarkering"/>
          <w:rFonts w:eastAsia="Verdana" w:cs="Verdana"/>
          <w:szCs w:val="18"/>
          <w:lang w:val="nl-NL"/>
        </w:rPr>
        <w:footnoteReference w:id="412"/>
      </w:r>
    </w:p>
    <w:p w14:paraId="796C8A77" w14:textId="77777777" w:rsidR="00B12D2A" w:rsidRPr="00A33930" w:rsidRDefault="00B12D2A" w:rsidP="00B12D2A">
      <w:pPr>
        <w:pStyle w:val="Lijstalinea"/>
        <w:spacing w:before="200" w:after="0"/>
        <w:ind w:left="0"/>
        <w:jc w:val="both"/>
        <w:rPr>
          <w:rFonts w:eastAsia="Verdana" w:cs="Verdana"/>
          <w:szCs w:val="18"/>
          <w:lang w:val="nl-NL"/>
        </w:rPr>
      </w:pPr>
    </w:p>
    <w:p w14:paraId="4131D6AF" w14:textId="3BF29A57" w:rsidR="00916067" w:rsidRPr="00A33930" w:rsidRDefault="00102A3A" w:rsidP="00102A3A">
      <w:pPr>
        <w:pStyle w:val="Lijstalinea"/>
        <w:numPr>
          <w:ilvl w:val="0"/>
          <w:numId w:val="4"/>
        </w:numPr>
        <w:spacing w:before="200" w:after="0"/>
        <w:ind w:left="0" w:firstLine="0"/>
        <w:jc w:val="both"/>
        <w:rPr>
          <w:lang w:val="nl-NL"/>
        </w:rPr>
      </w:pPr>
      <w:r w:rsidRPr="00A33930">
        <w:rPr>
          <w:rFonts w:eastAsia="Verdana" w:cs="Verdana"/>
          <w:szCs w:val="18"/>
          <w:lang w:val="nl-NL"/>
        </w:rPr>
        <w:t xml:space="preserve">Het kind heeft in de Belgische rechtsorde geen mogelijkheid om een eigen contactrecht </w:t>
      </w:r>
      <w:r w:rsidR="00CE7122" w:rsidRPr="00A33930">
        <w:rPr>
          <w:rFonts w:eastAsia="Verdana" w:cs="Verdana"/>
          <w:szCs w:val="18"/>
          <w:lang w:val="nl-NL"/>
        </w:rPr>
        <w:t xml:space="preserve">voor de rechtbank </w:t>
      </w:r>
      <w:r w:rsidRPr="00A33930">
        <w:rPr>
          <w:rFonts w:eastAsia="Verdana" w:cs="Verdana"/>
          <w:szCs w:val="18"/>
          <w:lang w:val="nl-NL"/>
        </w:rPr>
        <w:t>af te dwingen</w:t>
      </w:r>
      <w:r w:rsidR="00CE7122" w:rsidRPr="00A33930">
        <w:rPr>
          <w:rFonts w:eastAsia="Verdana" w:cs="Verdana"/>
          <w:szCs w:val="18"/>
          <w:lang w:val="nl-NL"/>
        </w:rPr>
        <w:t xml:space="preserve"> </w:t>
      </w:r>
      <w:r w:rsidR="008970EA" w:rsidRPr="00A33930">
        <w:rPr>
          <w:lang w:val="nl-NL"/>
        </w:rPr>
        <w:t>vanwege</w:t>
      </w:r>
      <w:r w:rsidR="00B46735" w:rsidRPr="00A33930">
        <w:rPr>
          <w:lang w:val="nl-NL"/>
        </w:rPr>
        <w:t xml:space="preserve"> zijn procesonbekwaamheid </w:t>
      </w:r>
      <w:r w:rsidR="00780F85" w:rsidRPr="00A33930">
        <w:rPr>
          <w:lang w:val="nl-NL"/>
        </w:rPr>
        <w:t>(</w:t>
      </w:r>
      <w:r w:rsidR="00780F85" w:rsidRPr="00A33930">
        <w:rPr>
          <w:i/>
          <w:iCs/>
          <w:lang w:val="nl-NL"/>
        </w:rPr>
        <w:t>supra</w:t>
      </w:r>
      <w:r w:rsidR="00780F85" w:rsidRPr="00A33930">
        <w:rPr>
          <w:lang w:val="nl-NL"/>
        </w:rPr>
        <w:t>, nr</w:t>
      </w:r>
      <w:r w:rsidR="00CE7122" w:rsidRPr="00A33930">
        <w:rPr>
          <w:lang w:val="nl-NL"/>
        </w:rPr>
        <w:t>s</w:t>
      </w:r>
      <w:r w:rsidR="00780F85" w:rsidRPr="00A33930">
        <w:rPr>
          <w:lang w:val="nl-NL"/>
        </w:rPr>
        <w:t xml:space="preserve">. </w:t>
      </w:r>
      <w:r w:rsidR="0025650F" w:rsidRPr="00A33930">
        <w:rPr>
          <w:lang w:val="nl-NL"/>
        </w:rPr>
        <w:t>84-85</w:t>
      </w:r>
      <w:r w:rsidR="00780F85" w:rsidRPr="00A33930">
        <w:rPr>
          <w:lang w:val="nl-NL"/>
        </w:rPr>
        <w:t>)</w:t>
      </w:r>
      <w:r w:rsidR="00B46735" w:rsidRPr="00A33930">
        <w:rPr>
          <w:lang w:val="nl-NL"/>
        </w:rPr>
        <w:t xml:space="preserve">. </w:t>
      </w:r>
      <w:r w:rsidR="0025650F" w:rsidRPr="00A33930">
        <w:rPr>
          <w:lang w:val="nl-NL"/>
        </w:rPr>
        <w:t>Hierdoor</w:t>
      </w:r>
      <w:r w:rsidR="00B46735" w:rsidRPr="00A33930">
        <w:rPr>
          <w:lang w:val="nl-NL"/>
        </w:rPr>
        <w:t xml:space="preserve"> is</w:t>
      </w:r>
      <w:r w:rsidR="0025650F" w:rsidRPr="00A33930">
        <w:rPr>
          <w:lang w:val="nl-NL"/>
        </w:rPr>
        <w:t xml:space="preserve"> hij</w:t>
      </w:r>
      <w:r w:rsidR="00B46735" w:rsidRPr="00A33930">
        <w:rPr>
          <w:lang w:val="nl-NL"/>
        </w:rPr>
        <w:t xml:space="preserve"> steeds afhankelijk van de </w:t>
      </w:r>
      <w:r w:rsidR="00B46735" w:rsidRPr="00A33930">
        <w:rPr>
          <w:i/>
          <w:iCs/>
          <w:lang w:val="nl-NL"/>
        </w:rPr>
        <w:t>goodwill</w:t>
      </w:r>
      <w:r w:rsidR="00B46735" w:rsidRPr="00A33930">
        <w:rPr>
          <w:lang w:val="nl-NL"/>
        </w:rPr>
        <w:t xml:space="preserve"> van volwassenen en dat is voor het recht op persoonlijk contact problematisch.</w:t>
      </w:r>
      <w:r w:rsidR="001958EB" w:rsidRPr="00A33930">
        <w:rPr>
          <w:lang w:val="nl-NL"/>
        </w:rPr>
        <w:t xml:space="preserve"> Nochtans bestaan er reeds verschillende uitzonderingen op de handelings- en procesonbekwaamheid van minderjarigen</w:t>
      </w:r>
      <w:r w:rsidR="00780F85" w:rsidRPr="00A33930">
        <w:rPr>
          <w:lang w:val="nl-NL"/>
        </w:rPr>
        <w:t xml:space="preserve"> in </w:t>
      </w:r>
      <w:r w:rsidR="0025650F" w:rsidRPr="00A33930">
        <w:rPr>
          <w:lang w:val="nl-NL"/>
        </w:rPr>
        <w:t>andere aangelegenheden</w:t>
      </w:r>
      <w:r w:rsidR="00780F85" w:rsidRPr="00A33930">
        <w:rPr>
          <w:lang w:val="nl-NL"/>
        </w:rPr>
        <w:t xml:space="preserve"> (</w:t>
      </w:r>
      <w:r w:rsidR="00780F85" w:rsidRPr="00A33930">
        <w:rPr>
          <w:i/>
          <w:iCs/>
          <w:lang w:val="nl-NL"/>
        </w:rPr>
        <w:t>supra</w:t>
      </w:r>
      <w:r w:rsidR="00780F85" w:rsidRPr="00A33930">
        <w:rPr>
          <w:lang w:val="nl-NL"/>
        </w:rPr>
        <w:t xml:space="preserve">, nr. </w:t>
      </w:r>
      <w:r w:rsidR="0025650F" w:rsidRPr="00A33930">
        <w:rPr>
          <w:lang w:val="nl-NL"/>
        </w:rPr>
        <w:t>84</w:t>
      </w:r>
      <w:r w:rsidR="00780F85" w:rsidRPr="00A33930">
        <w:rPr>
          <w:lang w:val="nl-NL"/>
        </w:rPr>
        <w:t>)</w:t>
      </w:r>
      <w:r w:rsidR="001958EB" w:rsidRPr="00A33930">
        <w:rPr>
          <w:lang w:val="nl-NL"/>
        </w:rPr>
        <w:t xml:space="preserve">. Het lijkt dan niet ondenkbaar om </w:t>
      </w:r>
      <w:r w:rsidR="00CB40D6" w:rsidRPr="00A33930">
        <w:rPr>
          <w:lang w:val="nl-NL"/>
        </w:rPr>
        <w:t>hierin</w:t>
      </w:r>
      <w:r w:rsidR="001958EB" w:rsidRPr="00A33930">
        <w:rPr>
          <w:lang w:val="nl-NL"/>
        </w:rPr>
        <w:t xml:space="preserve"> te voorzien voor contactrechten, hetgeen ook </w:t>
      </w:r>
      <w:r w:rsidR="00572AE6" w:rsidRPr="00A33930">
        <w:rPr>
          <w:lang w:val="nl-NL"/>
        </w:rPr>
        <w:t>sterk</w:t>
      </w:r>
      <w:r w:rsidR="001958EB" w:rsidRPr="00A33930">
        <w:rPr>
          <w:lang w:val="nl-NL"/>
        </w:rPr>
        <w:t xml:space="preserve"> bepalend is voor </w:t>
      </w:r>
      <w:r w:rsidR="0025650F" w:rsidRPr="00A33930">
        <w:rPr>
          <w:lang w:val="nl-NL"/>
        </w:rPr>
        <w:t>de</w:t>
      </w:r>
      <w:r w:rsidR="00572AE6" w:rsidRPr="00A33930">
        <w:rPr>
          <w:lang w:val="nl-NL"/>
        </w:rPr>
        <w:t xml:space="preserve"> </w:t>
      </w:r>
      <w:r w:rsidR="001958EB" w:rsidRPr="00A33930">
        <w:rPr>
          <w:lang w:val="nl-NL"/>
        </w:rPr>
        <w:t>ontwikkeling</w:t>
      </w:r>
      <w:r w:rsidR="0025650F" w:rsidRPr="00A33930">
        <w:rPr>
          <w:lang w:val="nl-NL"/>
        </w:rPr>
        <w:t xml:space="preserve"> van het kind</w:t>
      </w:r>
      <w:r w:rsidR="001958EB" w:rsidRPr="00A33930">
        <w:rPr>
          <w:lang w:val="nl-NL"/>
        </w:rPr>
        <w:t>.</w:t>
      </w:r>
      <w:r w:rsidRPr="00A33930">
        <w:rPr>
          <w:lang w:val="nl-NL"/>
        </w:rPr>
        <w:t xml:space="preserve"> Op mensenrechtelijk niveau is er geen bepaling die aan minderjarigen expliciet het recht geeft om zelf als procespartij op te treden</w:t>
      </w:r>
      <w:r w:rsidR="00780F85" w:rsidRPr="00A33930">
        <w:rPr>
          <w:lang w:val="nl-NL"/>
        </w:rPr>
        <w:t xml:space="preserve">, al blijkt dit voor het EHRM </w:t>
      </w:r>
      <w:r w:rsidR="00572AE6" w:rsidRPr="00A33930">
        <w:rPr>
          <w:lang w:val="nl-NL"/>
        </w:rPr>
        <w:t xml:space="preserve">meestal </w:t>
      </w:r>
      <w:r w:rsidR="00780F85" w:rsidRPr="00A33930">
        <w:rPr>
          <w:lang w:val="nl-NL"/>
        </w:rPr>
        <w:t>geen probleem te zijn (</w:t>
      </w:r>
      <w:r w:rsidR="00780F85" w:rsidRPr="00A33930">
        <w:rPr>
          <w:i/>
          <w:iCs/>
          <w:lang w:val="nl-NL"/>
        </w:rPr>
        <w:t>supra</w:t>
      </w:r>
      <w:r w:rsidR="00780F85" w:rsidRPr="00A33930">
        <w:rPr>
          <w:lang w:val="nl-NL"/>
        </w:rPr>
        <w:t xml:space="preserve">, nr. </w:t>
      </w:r>
      <w:r w:rsidR="0025650F" w:rsidRPr="00A33930">
        <w:rPr>
          <w:lang w:val="nl-NL"/>
        </w:rPr>
        <w:t>51</w:t>
      </w:r>
      <w:r w:rsidR="00780F85" w:rsidRPr="00A33930">
        <w:rPr>
          <w:lang w:val="nl-NL"/>
        </w:rPr>
        <w:t>)</w:t>
      </w:r>
      <w:r w:rsidRPr="00A33930">
        <w:rPr>
          <w:lang w:val="nl-NL"/>
        </w:rPr>
        <w:t xml:space="preserve">. Het </w:t>
      </w:r>
      <w:r w:rsidR="00572AE6" w:rsidRPr="00A33930">
        <w:rPr>
          <w:lang w:val="nl-NL"/>
        </w:rPr>
        <w:t>voornaamste</w:t>
      </w:r>
      <w:r w:rsidRPr="00A33930">
        <w:rPr>
          <w:lang w:val="nl-NL"/>
        </w:rPr>
        <w:t xml:space="preserve"> doel</w:t>
      </w:r>
      <w:r w:rsidR="00572AE6" w:rsidRPr="00A33930">
        <w:rPr>
          <w:lang w:val="nl-NL"/>
        </w:rPr>
        <w:t xml:space="preserve"> van het IVRK</w:t>
      </w:r>
      <w:r w:rsidRPr="00A33930">
        <w:rPr>
          <w:lang w:val="nl-NL"/>
        </w:rPr>
        <w:t xml:space="preserve"> is </w:t>
      </w:r>
      <w:r w:rsidR="00C529AF" w:rsidRPr="00A33930">
        <w:rPr>
          <w:lang w:val="nl-NL"/>
        </w:rPr>
        <w:t>dat</w:t>
      </w:r>
      <w:r w:rsidRPr="00A33930">
        <w:rPr>
          <w:lang w:val="nl-NL"/>
        </w:rPr>
        <w:t xml:space="preserve"> de rechten van minderjarigen worden gerespecteerd en dat de toepassing daarvan via allerlei maatregelen wordt bevorderd.</w:t>
      </w:r>
      <w:r w:rsidRPr="00A33930">
        <w:rPr>
          <w:rStyle w:val="Voetnootmarkering"/>
          <w:lang w:val="nl-NL"/>
        </w:rPr>
        <w:footnoteReference w:id="413"/>
      </w:r>
      <w:r w:rsidR="00780F85" w:rsidRPr="00A33930">
        <w:rPr>
          <w:lang w:val="nl-NL"/>
        </w:rPr>
        <w:t xml:space="preserve"> Dit doel lijkt tot op heden onvoldoende uitwerking te vinden in de Belgische wetgeving</w:t>
      </w:r>
      <w:r w:rsidR="003912C7" w:rsidRPr="00A33930">
        <w:rPr>
          <w:lang w:val="nl-NL"/>
        </w:rPr>
        <w:t xml:space="preserve"> </w:t>
      </w:r>
      <w:r w:rsidR="00780F85" w:rsidRPr="00A33930">
        <w:rPr>
          <w:lang w:val="nl-NL"/>
        </w:rPr>
        <w:t>(</w:t>
      </w:r>
      <w:r w:rsidR="00780F85" w:rsidRPr="00A33930">
        <w:rPr>
          <w:i/>
          <w:iCs/>
          <w:lang w:val="nl-NL"/>
        </w:rPr>
        <w:t>supra</w:t>
      </w:r>
      <w:r w:rsidR="00780F85" w:rsidRPr="00A33930">
        <w:rPr>
          <w:lang w:val="nl-NL"/>
        </w:rPr>
        <w:t xml:space="preserve">, nr. </w:t>
      </w:r>
      <w:r w:rsidR="0025650F" w:rsidRPr="00A33930">
        <w:rPr>
          <w:lang w:val="nl-NL"/>
        </w:rPr>
        <w:t>106</w:t>
      </w:r>
      <w:r w:rsidR="00780F85" w:rsidRPr="00A33930">
        <w:rPr>
          <w:lang w:val="nl-NL"/>
        </w:rPr>
        <w:t xml:space="preserve">). </w:t>
      </w:r>
    </w:p>
    <w:p w14:paraId="417FCF5D" w14:textId="77777777" w:rsidR="00102A3A" w:rsidRPr="00A33930" w:rsidRDefault="00102A3A" w:rsidP="00102A3A">
      <w:pPr>
        <w:pStyle w:val="Lijstalinea"/>
        <w:spacing w:before="200" w:after="0"/>
        <w:ind w:left="0"/>
        <w:jc w:val="both"/>
        <w:rPr>
          <w:rFonts w:eastAsia="Verdana" w:cs="Verdana"/>
          <w:szCs w:val="18"/>
          <w:lang w:val="nl-NL"/>
        </w:rPr>
      </w:pPr>
    </w:p>
    <w:p w14:paraId="281E19A5" w14:textId="26739A49" w:rsidR="00AA311F" w:rsidRPr="00A33930" w:rsidRDefault="00916067" w:rsidP="00AA311F">
      <w:pPr>
        <w:pStyle w:val="Lijstalinea"/>
        <w:numPr>
          <w:ilvl w:val="0"/>
          <w:numId w:val="4"/>
        </w:numPr>
        <w:spacing w:before="200" w:after="0"/>
        <w:ind w:left="0" w:firstLine="0"/>
        <w:jc w:val="both"/>
        <w:rPr>
          <w:lang w:val="nl-NL"/>
        </w:rPr>
      </w:pPr>
      <w:r w:rsidRPr="00A33930">
        <w:rPr>
          <w:lang w:val="nl-NL"/>
        </w:rPr>
        <w:t xml:space="preserve">Het lijkt op het eerste gezicht tevens zo te zijn dat nationale rechtbanken de visie van het EHRM hebben overgenomen </w:t>
      </w:r>
      <w:r w:rsidR="0051205D" w:rsidRPr="00A33930">
        <w:rPr>
          <w:lang w:val="nl-NL"/>
        </w:rPr>
        <w:t>waardoor dit m</w:t>
      </w:r>
      <w:r w:rsidR="000F6EEE" w:rsidRPr="00A33930">
        <w:rPr>
          <w:lang w:val="nl-NL"/>
        </w:rPr>
        <w:t>ijns inziens</w:t>
      </w:r>
      <w:r w:rsidRPr="00A33930">
        <w:rPr>
          <w:lang w:val="nl-NL"/>
        </w:rPr>
        <w:t xml:space="preserve"> aan de basis ligt voor de objectgedachte in België</w:t>
      </w:r>
      <w:r w:rsidR="00780F85" w:rsidRPr="00A33930">
        <w:rPr>
          <w:lang w:val="nl-NL"/>
        </w:rPr>
        <w:t xml:space="preserve"> (</w:t>
      </w:r>
      <w:r w:rsidR="00780F85" w:rsidRPr="00A33930">
        <w:rPr>
          <w:i/>
          <w:iCs/>
          <w:lang w:val="nl-NL"/>
        </w:rPr>
        <w:t>supra</w:t>
      </w:r>
      <w:r w:rsidR="00780F85" w:rsidRPr="00A33930">
        <w:rPr>
          <w:lang w:val="nl-NL"/>
        </w:rPr>
        <w:t>, nr</w:t>
      </w:r>
      <w:r w:rsidR="00CE7122" w:rsidRPr="00A33930">
        <w:rPr>
          <w:lang w:val="nl-NL"/>
        </w:rPr>
        <w:t>s</w:t>
      </w:r>
      <w:r w:rsidR="00780F85" w:rsidRPr="00A33930">
        <w:rPr>
          <w:lang w:val="nl-NL"/>
        </w:rPr>
        <w:t xml:space="preserve">. </w:t>
      </w:r>
      <w:r w:rsidR="0025650F" w:rsidRPr="00A33930">
        <w:rPr>
          <w:lang w:val="nl-NL"/>
        </w:rPr>
        <w:t>101-102</w:t>
      </w:r>
      <w:r w:rsidR="00780F85" w:rsidRPr="00A33930">
        <w:rPr>
          <w:lang w:val="nl-NL"/>
        </w:rPr>
        <w:t>)</w:t>
      </w:r>
      <w:r w:rsidRPr="00A33930">
        <w:rPr>
          <w:lang w:val="nl-NL"/>
        </w:rPr>
        <w:t>. Er wordt m</w:t>
      </w:r>
      <w:r w:rsidR="000F6EEE" w:rsidRPr="00A33930">
        <w:rPr>
          <w:lang w:val="nl-NL"/>
        </w:rPr>
        <w:t>ijns inziens</w:t>
      </w:r>
      <w:r w:rsidRPr="00A33930">
        <w:rPr>
          <w:lang w:val="nl-NL"/>
        </w:rPr>
        <w:t xml:space="preserve"> </w:t>
      </w:r>
      <w:r w:rsidR="000F6EEE" w:rsidRPr="00A33930">
        <w:rPr>
          <w:lang w:val="nl-NL"/>
        </w:rPr>
        <w:t>door het EHRM on</w:t>
      </w:r>
      <w:r w:rsidRPr="00A33930">
        <w:rPr>
          <w:lang w:val="nl-NL"/>
        </w:rPr>
        <w:t>voldoende duidelijk weergeven dat kinderen</w:t>
      </w:r>
      <w:r w:rsidR="00780F85" w:rsidRPr="00A33930">
        <w:rPr>
          <w:lang w:val="nl-NL"/>
        </w:rPr>
        <w:t xml:space="preserve"> titularis</w:t>
      </w:r>
      <w:r w:rsidRPr="00A33930">
        <w:rPr>
          <w:lang w:val="nl-NL"/>
        </w:rPr>
        <w:t xml:space="preserve"> zijn van eigen rechten </w:t>
      </w:r>
      <w:r w:rsidR="00780F85" w:rsidRPr="00A33930">
        <w:rPr>
          <w:lang w:val="nl-NL"/>
        </w:rPr>
        <w:t>in</w:t>
      </w:r>
      <w:r w:rsidRPr="00A33930">
        <w:rPr>
          <w:lang w:val="nl-NL"/>
        </w:rPr>
        <w:t xml:space="preserve"> </w:t>
      </w:r>
      <w:r w:rsidR="0051205D" w:rsidRPr="00A33930">
        <w:rPr>
          <w:lang w:val="nl-NL"/>
        </w:rPr>
        <w:t>artikel 8.1</w:t>
      </w:r>
      <w:r w:rsidRPr="00A33930">
        <w:rPr>
          <w:lang w:val="nl-NL"/>
        </w:rPr>
        <w:t xml:space="preserve"> EVRM, zoals </w:t>
      </w:r>
      <w:r w:rsidR="0051205D" w:rsidRPr="00A33930">
        <w:rPr>
          <w:lang w:val="nl-NL"/>
        </w:rPr>
        <w:t>wordt</w:t>
      </w:r>
      <w:r w:rsidRPr="00A33930">
        <w:rPr>
          <w:lang w:val="nl-NL"/>
        </w:rPr>
        <w:t xml:space="preserve"> voorzien in het</w:t>
      </w:r>
      <w:r w:rsidR="0051205D" w:rsidRPr="00A33930">
        <w:rPr>
          <w:lang w:val="nl-NL"/>
        </w:rPr>
        <w:t xml:space="preserve"> gehele</w:t>
      </w:r>
      <w:r w:rsidRPr="00A33930">
        <w:rPr>
          <w:lang w:val="nl-NL"/>
        </w:rPr>
        <w:t xml:space="preserve"> IVRK.</w:t>
      </w:r>
      <w:r w:rsidR="0051205D" w:rsidRPr="00A33930">
        <w:rPr>
          <w:lang w:val="nl-NL"/>
        </w:rPr>
        <w:t xml:space="preserve"> De visie van het EHRM als controlemechanisme is zodus ook niet volledig dezelfde als de </w:t>
      </w:r>
      <w:r w:rsidR="0051205D" w:rsidRPr="00A33930">
        <w:rPr>
          <w:i/>
          <w:iCs/>
          <w:lang w:val="nl-NL"/>
        </w:rPr>
        <w:t>ratio legis</w:t>
      </w:r>
      <w:r w:rsidR="0051205D" w:rsidRPr="00A33930">
        <w:rPr>
          <w:lang w:val="nl-NL"/>
        </w:rPr>
        <w:t xml:space="preserve"> van het IVRK, waardoor er m</w:t>
      </w:r>
      <w:r w:rsidR="000F6EEE" w:rsidRPr="00A33930">
        <w:rPr>
          <w:lang w:val="nl-NL"/>
        </w:rPr>
        <w:t>ijns inziens</w:t>
      </w:r>
      <w:r w:rsidR="0051205D" w:rsidRPr="00A33930">
        <w:rPr>
          <w:lang w:val="nl-NL"/>
        </w:rPr>
        <w:t xml:space="preserve"> sprake is van een versnipperde toepassing.</w:t>
      </w:r>
    </w:p>
    <w:p w14:paraId="25CA929B" w14:textId="77777777" w:rsidR="00AA311F" w:rsidRPr="00A33930" w:rsidRDefault="00AA311F" w:rsidP="00AA311F">
      <w:pPr>
        <w:pStyle w:val="Lijstalinea"/>
        <w:rPr>
          <w:lang w:val="nl-NL"/>
        </w:rPr>
      </w:pPr>
    </w:p>
    <w:p w14:paraId="350D1D64" w14:textId="46C107E9" w:rsidR="00B815A5" w:rsidRPr="00A33930" w:rsidRDefault="00AA311F" w:rsidP="00DF408C">
      <w:pPr>
        <w:pStyle w:val="Lijstalinea"/>
        <w:numPr>
          <w:ilvl w:val="0"/>
          <w:numId w:val="4"/>
        </w:numPr>
        <w:spacing w:before="200" w:after="0"/>
        <w:ind w:left="0" w:firstLine="0"/>
        <w:jc w:val="both"/>
        <w:rPr>
          <w:lang w:val="nl-NL"/>
        </w:rPr>
      </w:pPr>
      <w:r w:rsidRPr="00A33930">
        <w:rPr>
          <w:lang w:val="nl-NL"/>
        </w:rPr>
        <w:t xml:space="preserve">Uiteindelijk verbiedt het oud BW het recht op persoonlijk contact van </w:t>
      </w:r>
      <w:r w:rsidR="00061F40" w:rsidRPr="00A33930">
        <w:rPr>
          <w:lang w:val="nl-NL"/>
        </w:rPr>
        <w:t>het</w:t>
      </w:r>
      <w:r w:rsidRPr="00A33930">
        <w:rPr>
          <w:lang w:val="nl-NL"/>
        </w:rPr>
        <w:t xml:space="preserve"> </w:t>
      </w:r>
      <w:r w:rsidR="00780F85" w:rsidRPr="00A33930">
        <w:rPr>
          <w:lang w:val="nl-NL"/>
        </w:rPr>
        <w:t>kind</w:t>
      </w:r>
      <w:r w:rsidRPr="00A33930">
        <w:rPr>
          <w:lang w:val="nl-NL"/>
        </w:rPr>
        <w:t xml:space="preserve"> niet. Het is omdat dit recht zich kadert binnen een heel web aan maatregelen </w:t>
      </w:r>
      <w:r w:rsidR="00780F85" w:rsidRPr="00A33930">
        <w:rPr>
          <w:lang w:val="nl-NL"/>
        </w:rPr>
        <w:t>ter bescherming van het kind</w:t>
      </w:r>
      <w:r w:rsidRPr="00A33930">
        <w:rPr>
          <w:lang w:val="nl-NL"/>
        </w:rPr>
        <w:t>, zoals de handelings- en procesonbekwaamheid en de ouderlijke verantwoordelijkheden, dat de Belgische wetgeving niet voldoet aan hetgeen op mensenrechtelijk niveau wordt nagestreefd</w:t>
      </w:r>
      <w:r w:rsidR="0051205D" w:rsidRPr="00A33930">
        <w:rPr>
          <w:lang w:val="nl-NL"/>
        </w:rPr>
        <w:t xml:space="preserve"> (</w:t>
      </w:r>
      <w:r w:rsidR="0051205D" w:rsidRPr="00A33930">
        <w:rPr>
          <w:i/>
          <w:iCs/>
          <w:lang w:val="nl-NL"/>
        </w:rPr>
        <w:t>supra</w:t>
      </w:r>
      <w:r w:rsidR="0051205D" w:rsidRPr="00A33930">
        <w:rPr>
          <w:lang w:val="nl-NL"/>
        </w:rPr>
        <w:t xml:space="preserve">, nr. </w:t>
      </w:r>
      <w:r w:rsidR="0025650F" w:rsidRPr="00A33930">
        <w:rPr>
          <w:lang w:val="nl-NL"/>
        </w:rPr>
        <w:t>10</w:t>
      </w:r>
      <w:r w:rsidR="0051205D" w:rsidRPr="00A33930">
        <w:rPr>
          <w:lang w:val="nl-NL"/>
        </w:rPr>
        <w:t>)</w:t>
      </w:r>
      <w:r w:rsidR="00780F85" w:rsidRPr="00A33930">
        <w:rPr>
          <w:lang w:val="nl-NL"/>
        </w:rPr>
        <w:t xml:space="preserve">. </w:t>
      </w:r>
      <w:r w:rsidR="00061F40" w:rsidRPr="00A33930">
        <w:rPr>
          <w:lang w:val="nl-NL"/>
        </w:rPr>
        <w:t>Dat</w:t>
      </w:r>
      <w:r w:rsidR="00780F85" w:rsidRPr="00A33930">
        <w:rPr>
          <w:lang w:val="nl-NL"/>
        </w:rPr>
        <w:t xml:space="preserve"> maakt dat de</w:t>
      </w:r>
      <w:r w:rsidR="004E6D09" w:rsidRPr="00A33930">
        <w:rPr>
          <w:lang w:val="nl-NL"/>
        </w:rPr>
        <w:t xml:space="preserve"> Belgische wet op gespannen voet </w:t>
      </w:r>
      <w:r w:rsidR="00780F85" w:rsidRPr="00A33930">
        <w:rPr>
          <w:lang w:val="nl-NL"/>
        </w:rPr>
        <w:t xml:space="preserve">staat </w:t>
      </w:r>
      <w:r w:rsidR="004E6D09" w:rsidRPr="00A33930">
        <w:rPr>
          <w:lang w:val="nl-NL"/>
        </w:rPr>
        <w:t>met de mensenrechtelijke verplichtingen.</w:t>
      </w:r>
      <w:r w:rsidR="001958EB" w:rsidRPr="00A33930">
        <w:rPr>
          <w:lang w:val="nl-NL"/>
        </w:rPr>
        <w:t xml:space="preserve"> De Belgische wetgever heeft nagelaten een eigen recht op persoonlijk contact </w:t>
      </w:r>
      <w:r w:rsidR="0051205D" w:rsidRPr="00A33930">
        <w:rPr>
          <w:lang w:val="nl-NL"/>
        </w:rPr>
        <w:t xml:space="preserve">van het kind </w:t>
      </w:r>
      <w:r w:rsidR="001958EB" w:rsidRPr="00A33930">
        <w:rPr>
          <w:lang w:val="nl-NL"/>
        </w:rPr>
        <w:t xml:space="preserve">in de wet te verankeren. </w:t>
      </w:r>
      <w:r w:rsidR="00780F85" w:rsidRPr="00A33930">
        <w:rPr>
          <w:lang w:val="nl-NL"/>
        </w:rPr>
        <w:t xml:space="preserve">Het debat </w:t>
      </w:r>
      <w:r w:rsidR="001958EB" w:rsidRPr="00A33930">
        <w:rPr>
          <w:lang w:val="nl-NL"/>
        </w:rPr>
        <w:t>over een toekenning van het eigen recht</w:t>
      </w:r>
      <w:r w:rsidR="00780F85" w:rsidRPr="00A33930">
        <w:rPr>
          <w:lang w:val="nl-NL"/>
        </w:rPr>
        <w:t xml:space="preserve"> op persoonlijk contact</w:t>
      </w:r>
      <w:r w:rsidR="001958EB" w:rsidRPr="00A33930">
        <w:rPr>
          <w:lang w:val="nl-NL"/>
        </w:rPr>
        <w:t xml:space="preserve"> blijft in België </w:t>
      </w:r>
      <w:r w:rsidRPr="00A33930">
        <w:rPr>
          <w:lang w:val="nl-NL"/>
        </w:rPr>
        <w:t xml:space="preserve">voornamelijk </w:t>
      </w:r>
      <w:r w:rsidR="00265391" w:rsidRPr="00A33930">
        <w:rPr>
          <w:lang w:val="nl-NL"/>
        </w:rPr>
        <w:t>draaien</w:t>
      </w:r>
      <w:r w:rsidR="001958EB" w:rsidRPr="00A33930">
        <w:rPr>
          <w:lang w:val="nl-NL"/>
        </w:rPr>
        <w:t xml:space="preserve"> </w:t>
      </w:r>
      <w:r w:rsidR="00265391" w:rsidRPr="00A33930">
        <w:rPr>
          <w:lang w:val="nl-NL"/>
        </w:rPr>
        <w:t>rond</w:t>
      </w:r>
      <w:r w:rsidR="001958EB" w:rsidRPr="00A33930">
        <w:rPr>
          <w:lang w:val="nl-NL"/>
        </w:rPr>
        <w:t xml:space="preserve"> de </w:t>
      </w:r>
      <w:r w:rsidRPr="00A33930">
        <w:rPr>
          <w:lang w:val="nl-NL"/>
        </w:rPr>
        <w:t xml:space="preserve">diepgewortelde </w:t>
      </w:r>
      <w:r w:rsidR="001958EB" w:rsidRPr="00A33930">
        <w:rPr>
          <w:lang w:val="nl-NL"/>
        </w:rPr>
        <w:t>objectgedachte</w:t>
      </w:r>
      <w:r w:rsidR="00780F85" w:rsidRPr="00A33930">
        <w:rPr>
          <w:lang w:val="nl-NL"/>
        </w:rPr>
        <w:t xml:space="preserve"> op Vlaams én </w:t>
      </w:r>
      <w:r w:rsidR="00780F85" w:rsidRPr="00A33930">
        <w:rPr>
          <w:lang w:val="nl-NL"/>
        </w:rPr>
        <w:lastRenderedPageBreak/>
        <w:t>federaal niveau</w:t>
      </w:r>
      <w:r w:rsidR="0051205D" w:rsidRPr="00A33930">
        <w:rPr>
          <w:lang w:val="nl-NL"/>
        </w:rPr>
        <w:t xml:space="preserve"> en de mogelijke gevolgen die aan </w:t>
      </w:r>
      <w:r w:rsidR="00265391" w:rsidRPr="00A33930">
        <w:rPr>
          <w:lang w:val="nl-NL"/>
        </w:rPr>
        <w:t>deze</w:t>
      </w:r>
      <w:r w:rsidR="0051205D" w:rsidRPr="00A33930">
        <w:rPr>
          <w:lang w:val="nl-NL"/>
        </w:rPr>
        <w:t xml:space="preserve"> vernieuwing worden gekoppeld (</w:t>
      </w:r>
      <w:r w:rsidR="0051205D" w:rsidRPr="00A33930">
        <w:rPr>
          <w:i/>
          <w:iCs/>
          <w:lang w:val="nl-NL"/>
        </w:rPr>
        <w:t>supra</w:t>
      </w:r>
      <w:r w:rsidR="0051205D" w:rsidRPr="00A33930">
        <w:rPr>
          <w:lang w:val="nl-NL"/>
        </w:rPr>
        <w:t>, nr</w:t>
      </w:r>
      <w:r w:rsidR="003912C7" w:rsidRPr="00A33930">
        <w:rPr>
          <w:lang w:val="nl-NL"/>
        </w:rPr>
        <w:t>s</w:t>
      </w:r>
      <w:r w:rsidR="0051205D" w:rsidRPr="00A33930">
        <w:rPr>
          <w:lang w:val="nl-NL"/>
        </w:rPr>
        <w:t xml:space="preserve">. </w:t>
      </w:r>
      <w:r w:rsidR="0025650F" w:rsidRPr="00A33930">
        <w:rPr>
          <w:lang w:val="nl-NL"/>
        </w:rPr>
        <w:t>70-75</w:t>
      </w:r>
      <w:r w:rsidR="0051205D" w:rsidRPr="00A33930">
        <w:rPr>
          <w:lang w:val="nl-NL"/>
        </w:rPr>
        <w:t>)</w:t>
      </w:r>
      <w:r w:rsidR="001958EB" w:rsidRPr="00A33930">
        <w:rPr>
          <w:lang w:val="nl-NL"/>
        </w:rPr>
        <w:t>.</w:t>
      </w:r>
      <w:r w:rsidR="00387459" w:rsidRPr="00A33930">
        <w:rPr>
          <w:lang w:val="nl-NL"/>
        </w:rPr>
        <w:t xml:space="preserve"> </w:t>
      </w:r>
      <w:r w:rsidR="0025650F" w:rsidRPr="00A33930">
        <w:rPr>
          <w:lang w:val="nl-NL"/>
        </w:rPr>
        <w:t>Het</w:t>
      </w:r>
      <w:r w:rsidR="00387459" w:rsidRPr="00A33930">
        <w:rPr>
          <w:lang w:val="nl-NL"/>
        </w:rPr>
        <w:t xml:space="preserve"> </w:t>
      </w:r>
      <w:r w:rsidR="0051205D" w:rsidRPr="00A33930">
        <w:rPr>
          <w:lang w:val="nl-NL"/>
        </w:rPr>
        <w:t>huidig</w:t>
      </w:r>
      <w:r w:rsidR="00780F85" w:rsidRPr="00A33930">
        <w:rPr>
          <w:lang w:val="nl-NL"/>
        </w:rPr>
        <w:t xml:space="preserve"> debat</w:t>
      </w:r>
      <w:r w:rsidR="00265391" w:rsidRPr="00A33930">
        <w:rPr>
          <w:lang w:val="nl-NL"/>
        </w:rPr>
        <w:t xml:space="preserve"> </w:t>
      </w:r>
      <w:r w:rsidR="0051205D" w:rsidRPr="00A33930">
        <w:rPr>
          <w:lang w:val="nl-NL"/>
        </w:rPr>
        <w:t xml:space="preserve">laat uitschijnen dat er een wil is </w:t>
      </w:r>
      <w:r w:rsidR="00265391" w:rsidRPr="00A33930">
        <w:rPr>
          <w:lang w:val="nl-NL"/>
        </w:rPr>
        <w:t>tot</w:t>
      </w:r>
      <w:r w:rsidR="0051205D" w:rsidRPr="00A33930">
        <w:rPr>
          <w:lang w:val="nl-NL"/>
        </w:rPr>
        <w:t xml:space="preserve"> </w:t>
      </w:r>
      <w:r w:rsidR="00265391" w:rsidRPr="00A33930">
        <w:rPr>
          <w:i/>
          <w:iCs/>
          <w:lang w:val="nl-NL"/>
        </w:rPr>
        <w:t>rethinking</w:t>
      </w:r>
      <w:r w:rsidR="0051205D" w:rsidRPr="00A33930">
        <w:rPr>
          <w:lang w:val="nl-NL"/>
        </w:rPr>
        <w:t>,</w:t>
      </w:r>
      <w:r w:rsidR="00780F85" w:rsidRPr="00A33930">
        <w:rPr>
          <w:lang w:val="nl-NL"/>
        </w:rPr>
        <w:t xml:space="preserve"> </w:t>
      </w:r>
      <w:r w:rsidR="0025650F" w:rsidRPr="00A33930">
        <w:rPr>
          <w:lang w:val="nl-NL"/>
        </w:rPr>
        <w:t xml:space="preserve">maar het </w:t>
      </w:r>
      <w:r w:rsidR="00387459" w:rsidRPr="00A33930">
        <w:rPr>
          <w:lang w:val="nl-NL"/>
        </w:rPr>
        <w:t xml:space="preserve">kan niet </w:t>
      </w:r>
      <w:r w:rsidR="00265391" w:rsidRPr="00A33930">
        <w:rPr>
          <w:lang w:val="nl-NL"/>
        </w:rPr>
        <w:t xml:space="preserve">worden </w:t>
      </w:r>
      <w:r w:rsidR="00387459" w:rsidRPr="00A33930">
        <w:rPr>
          <w:lang w:val="nl-NL"/>
        </w:rPr>
        <w:t>ontkend dat het Belgische recht artikel 9.3 IVRK en artikel 8</w:t>
      </w:r>
      <w:r w:rsidR="00662E41" w:rsidRPr="00A33930">
        <w:rPr>
          <w:lang w:val="nl-NL"/>
        </w:rPr>
        <w:t>.1</w:t>
      </w:r>
      <w:r w:rsidR="00387459" w:rsidRPr="00A33930">
        <w:rPr>
          <w:lang w:val="nl-NL"/>
        </w:rPr>
        <w:t xml:space="preserve"> EVRM schendt.</w:t>
      </w:r>
      <w:r w:rsidR="0051205D" w:rsidRPr="00A33930">
        <w:rPr>
          <w:lang w:val="nl-NL"/>
        </w:rPr>
        <w:t xml:space="preserve"> Het Belgisch recht is echter ook niet klaar voor een aanpassing van dit recht, door de </w:t>
      </w:r>
      <w:r w:rsidR="0025650F" w:rsidRPr="00A33930">
        <w:rPr>
          <w:lang w:val="nl-NL"/>
        </w:rPr>
        <w:t xml:space="preserve">beknopte </w:t>
      </w:r>
      <w:r w:rsidR="0051205D" w:rsidRPr="00A33930">
        <w:rPr>
          <w:lang w:val="nl-NL"/>
        </w:rPr>
        <w:t xml:space="preserve">omgeving waarin dit recht zich </w:t>
      </w:r>
      <w:r w:rsidR="0025650F" w:rsidRPr="00A33930">
        <w:rPr>
          <w:lang w:val="nl-NL"/>
        </w:rPr>
        <w:t xml:space="preserve">zou </w:t>
      </w:r>
      <w:r w:rsidR="0051205D" w:rsidRPr="00A33930">
        <w:rPr>
          <w:lang w:val="nl-NL"/>
        </w:rPr>
        <w:t>moet</w:t>
      </w:r>
      <w:r w:rsidR="0025650F" w:rsidRPr="00A33930">
        <w:rPr>
          <w:lang w:val="nl-NL"/>
        </w:rPr>
        <w:t>en</w:t>
      </w:r>
      <w:r w:rsidR="0051205D" w:rsidRPr="00A33930">
        <w:rPr>
          <w:lang w:val="nl-NL"/>
        </w:rPr>
        <w:t xml:space="preserve"> </w:t>
      </w:r>
      <w:r w:rsidR="0025650F" w:rsidRPr="00A33930">
        <w:rPr>
          <w:lang w:val="nl-NL"/>
        </w:rPr>
        <w:t>ontwikkelen</w:t>
      </w:r>
      <w:r w:rsidR="0051205D" w:rsidRPr="00A33930">
        <w:rPr>
          <w:lang w:val="nl-NL"/>
        </w:rPr>
        <w:t>.</w:t>
      </w:r>
      <w:r w:rsidR="00DF408C" w:rsidRPr="00A33930">
        <w:rPr>
          <w:lang w:val="nl-NL"/>
        </w:rPr>
        <w:br w:type="page"/>
      </w:r>
    </w:p>
    <w:p w14:paraId="010D5D90" w14:textId="77777777" w:rsidR="008329A0" w:rsidRPr="00A33930" w:rsidRDefault="008329A0">
      <w:pPr>
        <w:spacing w:after="160" w:line="259" w:lineRule="auto"/>
        <w:rPr>
          <w:rFonts w:eastAsiaTheme="majorEastAsia" w:cstheme="majorBidi"/>
          <w:b/>
          <w:sz w:val="22"/>
          <w:szCs w:val="22"/>
          <w:lang w:val="nl-NL" w:eastAsia="en-US"/>
        </w:rPr>
      </w:pPr>
      <w:r w:rsidRPr="00A33930">
        <w:rPr>
          <w:sz w:val="22"/>
          <w:szCs w:val="22"/>
          <w:lang w:val="nl-NL"/>
        </w:rPr>
        <w:lastRenderedPageBreak/>
        <w:br w:type="page"/>
      </w:r>
    </w:p>
    <w:p w14:paraId="1FA99DC8" w14:textId="177F131F" w:rsidR="00B815A5" w:rsidRPr="00A33930" w:rsidRDefault="00B815A5" w:rsidP="00B815A5">
      <w:pPr>
        <w:pStyle w:val="Kop1"/>
        <w:jc w:val="both"/>
        <w:rPr>
          <w:sz w:val="22"/>
          <w:szCs w:val="22"/>
          <w:lang w:val="nl-NL"/>
        </w:rPr>
      </w:pPr>
      <w:bookmarkStart w:id="32" w:name="_Toc134621191"/>
      <w:r w:rsidRPr="00A33930">
        <w:rPr>
          <w:sz w:val="22"/>
          <w:szCs w:val="22"/>
          <w:lang w:val="nl-NL"/>
        </w:rPr>
        <w:lastRenderedPageBreak/>
        <w:t>TUSSENBESLUIT</w:t>
      </w:r>
      <w:bookmarkEnd w:id="32"/>
    </w:p>
    <w:p w14:paraId="3DAD8D95" w14:textId="4B31DF13" w:rsidR="00B815A5" w:rsidRPr="00A33930" w:rsidRDefault="00B815A5" w:rsidP="00B815A5">
      <w:pPr>
        <w:pStyle w:val="Lijstalinea"/>
        <w:numPr>
          <w:ilvl w:val="0"/>
          <w:numId w:val="4"/>
        </w:numPr>
        <w:spacing w:before="200" w:after="0"/>
        <w:ind w:left="0" w:firstLine="0"/>
        <w:jc w:val="both"/>
        <w:rPr>
          <w:lang w:val="nl-NL"/>
        </w:rPr>
      </w:pPr>
      <w:r w:rsidRPr="00A33930">
        <w:rPr>
          <w:lang w:val="nl-NL"/>
        </w:rPr>
        <w:t xml:space="preserve">Uit dit eerste deel van het onderzoek </w:t>
      </w:r>
      <w:r w:rsidR="00C7405A" w:rsidRPr="00A33930">
        <w:rPr>
          <w:lang w:val="nl-NL"/>
        </w:rPr>
        <w:t xml:space="preserve">wordt duidelijk </w:t>
      </w:r>
      <w:r w:rsidRPr="00A33930">
        <w:rPr>
          <w:lang w:val="nl-NL"/>
        </w:rPr>
        <w:t xml:space="preserve">dat de minderjarige </w:t>
      </w:r>
      <w:r w:rsidR="00C529AF" w:rsidRPr="00A33930">
        <w:rPr>
          <w:lang w:val="nl-NL"/>
        </w:rPr>
        <w:t>geblokkeerd</w:t>
      </w:r>
      <w:r w:rsidR="00F03A89" w:rsidRPr="00A33930">
        <w:rPr>
          <w:lang w:val="nl-NL"/>
        </w:rPr>
        <w:t xml:space="preserve"> </w:t>
      </w:r>
      <w:r w:rsidRPr="00A33930">
        <w:rPr>
          <w:lang w:val="nl-NL"/>
        </w:rPr>
        <w:t xml:space="preserve">zit in de huidige </w:t>
      </w:r>
      <w:r w:rsidR="003F705D" w:rsidRPr="00A33930">
        <w:rPr>
          <w:lang w:val="nl-NL"/>
        </w:rPr>
        <w:t>wetgeving</w:t>
      </w:r>
      <w:r w:rsidRPr="00A33930">
        <w:rPr>
          <w:lang w:val="nl-NL"/>
        </w:rPr>
        <w:t xml:space="preserve">. De noden van het kind zijn door de </w:t>
      </w:r>
      <w:r w:rsidR="00C7405A" w:rsidRPr="00A33930">
        <w:rPr>
          <w:lang w:val="nl-NL"/>
        </w:rPr>
        <w:t>jaren</w:t>
      </w:r>
      <w:r w:rsidRPr="00A33930">
        <w:rPr>
          <w:lang w:val="nl-NL"/>
        </w:rPr>
        <w:t xml:space="preserve"> </w:t>
      </w:r>
      <w:r w:rsidR="00612454" w:rsidRPr="00A33930">
        <w:rPr>
          <w:lang w:val="nl-NL"/>
        </w:rPr>
        <w:t xml:space="preserve">heen </w:t>
      </w:r>
      <w:r w:rsidRPr="00A33930">
        <w:rPr>
          <w:lang w:val="nl-NL"/>
        </w:rPr>
        <w:t>verschoven van bescherming naar zelfbeschikking</w:t>
      </w:r>
      <w:r w:rsidR="00C433C8" w:rsidRPr="00A33930">
        <w:rPr>
          <w:lang w:val="nl-NL"/>
        </w:rPr>
        <w:t xml:space="preserve">. Dit probeert </w:t>
      </w:r>
      <w:r w:rsidR="00C7405A" w:rsidRPr="00A33930">
        <w:rPr>
          <w:lang w:val="nl-NL"/>
        </w:rPr>
        <w:t>de</w:t>
      </w:r>
      <w:r w:rsidRPr="00A33930">
        <w:rPr>
          <w:lang w:val="nl-NL"/>
        </w:rPr>
        <w:t xml:space="preserve"> mensenrechtelijk </w:t>
      </w:r>
      <w:r w:rsidR="003F705D" w:rsidRPr="00A33930">
        <w:rPr>
          <w:lang w:val="nl-NL"/>
        </w:rPr>
        <w:t>wetgever</w:t>
      </w:r>
      <w:r w:rsidRPr="00A33930">
        <w:rPr>
          <w:lang w:val="nl-NL"/>
        </w:rPr>
        <w:t xml:space="preserve"> te vrijwaren. De Belgische wetgeving is niet aangepast aan </w:t>
      </w:r>
      <w:r w:rsidR="0032728D" w:rsidRPr="00A33930">
        <w:rPr>
          <w:lang w:val="nl-NL"/>
        </w:rPr>
        <w:t>de</w:t>
      </w:r>
      <w:r w:rsidR="003F705D" w:rsidRPr="00A33930">
        <w:rPr>
          <w:lang w:val="nl-NL"/>
        </w:rPr>
        <w:t>ze</w:t>
      </w:r>
      <w:r w:rsidRPr="00A33930">
        <w:rPr>
          <w:lang w:val="nl-NL"/>
        </w:rPr>
        <w:t xml:space="preserve"> modern</w:t>
      </w:r>
      <w:r w:rsidR="0032728D" w:rsidRPr="00A33930">
        <w:rPr>
          <w:lang w:val="nl-NL"/>
        </w:rPr>
        <w:t>e</w:t>
      </w:r>
      <w:r w:rsidRPr="00A33930">
        <w:rPr>
          <w:lang w:val="nl-NL"/>
        </w:rPr>
        <w:t xml:space="preserve"> </w:t>
      </w:r>
      <w:r w:rsidR="003F705D" w:rsidRPr="00A33930">
        <w:rPr>
          <w:lang w:val="nl-NL"/>
        </w:rPr>
        <w:t>tijdgeest</w:t>
      </w:r>
      <w:r w:rsidRPr="00A33930">
        <w:rPr>
          <w:lang w:val="nl-NL"/>
        </w:rPr>
        <w:t>. Hierdoor is er een kloof ontstaan tussen het recht en de werkelijkheid: daar waar het kind op papier nog niet veel te zeggen heeft, zijn de kinderen van vandaag mondiger dan ooit.</w:t>
      </w:r>
    </w:p>
    <w:p w14:paraId="2D56C375" w14:textId="77777777" w:rsidR="00B815A5" w:rsidRPr="00A33930" w:rsidRDefault="00B815A5" w:rsidP="00B815A5">
      <w:pPr>
        <w:pStyle w:val="Lijstalinea"/>
        <w:spacing w:before="200" w:after="0"/>
        <w:ind w:left="0"/>
        <w:jc w:val="both"/>
        <w:rPr>
          <w:lang w:val="nl-NL"/>
        </w:rPr>
      </w:pPr>
    </w:p>
    <w:p w14:paraId="15DCAA36" w14:textId="60590C23" w:rsidR="00B815A5" w:rsidRPr="00A33930" w:rsidRDefault="00B815A5" w:rsidP="00B815A5">
      <w:pPr>
        <w:pStyle w:val="Lijstalinea"/>
        <w:numPr>
          <w:ilvl w:val="0"/>
          <w:numId w:val="4"/>
        </w:numPr>
        <w:spacing w:before="200" w:after="0"/>
        <w:ind w:left="0" w:firstLine="0"/>
        <w:jc w:val="both"/>
        <w:rPr>
          <w:lang w:val="nl-NL"/>
        </w:rPr>
      </w:pPr>
      <w:r w:rsidRPr="00A33930">
        <w:rPr>
          <w:lang w:val="nl-NL"/>
        </w:rPr>
        <w:t xml:space="preserve">Op internationaal niveau is </w:t>
      </w:r>
      <w:r w:rsidR="00C529AF" w:rsidRPr="00A33930">
        <w:rPr>
          <w:lang w:val="nl-NL"/>
        </w:rPr>
        <w:t>al sinds de jaren ‘90</w:t>
      </w:r>
      <w:r w:rsidRPr="00A33930">
        <w:rPr>
          <w:lang w:val="nl-NL"/>
        </w:rPr>
        <w:t xml:space="preserve"> meer bewustwording van dit gewijzigde </w:t>
      </w:r>
      <w:r w:rsidR="00E57778" w:rsidRPr="00A33930">
        <w:rPr>
          <w:rFonts w:eastAsia="Verdana" w:cs="Verdana"/>
          <w:szCs w:val="18"/>
          <w:lang w:val="nl-NL"/>
        </w:rPr>
        <w:t>kindperspectief</w:t>
      </w:r>
      <w:r w:rsidRPr="00A33930">
        <w:rPr>
          <w:lang w:val="nl-NL"/>
        </w:rPr>
        <w:t>. Het kind is volgens artikel 9.3 IVRK een titularis van eigen rechten, een rechtssubject</w:t>
      </w:r>
      <w:r w:rsidR="00CB31AF" w:rsidRPr="00A33930">
        <w:rPr>
          <w:lang w:val="nl-NL"/>
        </w:rPr>
        <w:t xml:space="preserve"> (</w:t>
      </w:r>
      <w:r w:rsidR="00CB31AF" w:rsidRPr="00A33930">
        <w:rPr>
          <w:i/>
          <w:iCs/>
          <w:lang w:val="nl-NL"/>
        </w:rPr>
        <w:t>supra</w:t>
      </w:r>
      <w:r w:rsidR="00CB31AF" w:rsidRPr="00A33930">
        <w:rPr>
          <w:lang w:val="nl-NL"/>
        </w:rPr>
        <w:t xml:space="preserve">, nr. </w:t>
      </w:r>
      <w:r w:rsidR="00C433C8" w:rsidRPr="00A33930">
        <w:rPr>
          <w:lang w:val="nl-NL"/>
        </w:rPr>
        <w:t>32</w:t>
      </w:r>
      <w:r w:rsidR="00CB31AF" w:rsidRPr="00A33930">
        <w:rPr>
          <w:lang w:val="nl-NL"/>
        </w:rPr>
        <w:t>)</w:t>
      </w:r>
      <w:r w:rsidRPr="00A33930">
        <w:rPr>
          <w:lang w:val="nl-NL"/>
        </w:rPr>
        <w:t xml:space="preserve">. Ook het EHRM houdt in zijn beoordeling van artikel 8 EVRM rekening met dit gewijzigde </w:t>
      </w:r>
      <w:r w:rsidR="00E57778" w:rsidRPr="00A33930">
        <w:rPr>
          <w:rFonts w:eastAsia="Verdana" w:cs="Verdana"/>
          <w:szCs w:val="18"/>
          <w:lang w:val="nl-NL"/>
        </w:rPr>
        <w:t>kindperspectief</w:t>
      </w:r>
      <w:r w:rsidRPr="00A33930">
        <w:rPr>
          <w:lang w:val="nl-NL"/>
        </w:rPr>
        <w:t>, al is dat vaak onrechtstreeks</w:t>
      </w:r>
      <w:r w:rsidR="003F705D" w:rsidRPr="00A33930">
        <w:rPr>
          <w:lang w:val="nl-NL"/>
        </w:rPr>
        <w:t xml:space="preserve"> en onvoldoende genuanceerd</w:t>
      </w:r>
      <w:r w:rsidR="00CB31AF" w:rsidRPr="00A33930">
        <w:rPr>
          <w:lang w:val="nl-NL"/>
        </w:rPr>
        <w:t xml:space="preserve"> (</w:t>
      </w:r>
      <w:r w:rsidR="00CB31AF" w:rsidRPr="00A33930">
        <w:rPr>
          <w:i/>
          <w:iCs/>
          <w:lang w:val="nl-NL"/>
        </w:rPr>
        <w:t>supra</w:t>
      </w:r>
      <w:r w:rsidR="00CB31AF" w:rsidRPr="00A33930">
        <w:rPr>
          <w:lang w:val="nl-NL"/>
        </w:rPr>
        <w:t xml:space="preserve">, nr. </w:t>
      </w:r>
      <w:r w:rsidR="00C433C8" w:rsidRPr="00A33930">
        <w:rPr>
          <w:lang w:val="nl-NL"/>
        </w:rPr>
        <w:t>56</w:t>
      </w:r>
      <w:r w:rsidR="00CB31AF" w:rsidRPr="00A33930">
        <w:rPr>
          <w:lang w:val="nl-NL"/>
        </w:rPr>
        <w:t>)</w:t>
      </w:r>
      <w:r w:rsidRPr="00A33930">
        <w:rPr>
          <w:lang w:val="nl-NL"/>
        </w:rPr>
        <w:t xml:space="preserve">. Dat maakt dat op mensenrechtelijk niveau wordt voorzien in een eigen recht op persoonlijk contact van het kind. De slagkracht is echter beperkt. Het IVRK heeft geen controlemechanisme en kan slechts onrechtstreeks betrokken worden </w:t>
      </w:r>
      <w:r w:rsidR="003F705D" w:rsidRPr="00A33930">
        <w:rPr>
          <w:lang w:val="nl-NL"/>
        </w:rPr>
        <w:t xml:space="preserve">op Europees niveau, </w:t>
      </w:r>
      <w:r w:rsidR="00C433C8" w:rsidRPr="00A33930">
        <w:rPr>
          <w:lang w:val="nl-NL"/>
        </w:rPr>
        <w:t>in</w:t>
      </w:r>
      <w:r w:rsidRPr="00A33930">
        <w:rPr>
          <w:lang w:val="nl-NL"/>
        </w:rPr>
        <w:t xml:space="preserve"> </w:t>
      </w:r>
      <w:r w:rsidR="00C433C8" w:rsidRPr="00A33930">
        <w:rPr>
          <w:lang w:val="nl-NL"/>
        </w:rPr>
        <w:t>de</w:t>
      </w:r>
      <w:r w:rsidRPr="00A33930">
        <w:rPr>
          <w:lang w:val="nl-NL"/>
        </w:rPr>
        <w:t xml:space="preserve"> beoordeling </w:t>
      </w:r>
      <w:r w:rsidR="003F705D" w:rsidRPr="00A33930">
        <w:rPr>
          <w:lang w:val="nl-NL"/>
        </w:rPr>
        <w:t>bij</w:t>
      </w:r>
      <w:r w:rsidRPr="00A33930">
        <w:rPr>
          <w:lang w:val="nl-NL"/>
        </w:rPr>
        <w:t xml:space="preserve"> het EHRM</w:t>
      </w:r>
      <w:r w:rsidR="00CB31AF" w:rsidRPr="00A33930">
        <w:rPr>
          <w:lang w:val="nl-NL"/>
        </w:rPr>
        <w:t xml:space="preserve"> (</w:t>
      </w:r>
      <w:r w:rsidR="00CB31AF" w:rsidRPr="00A33930">
        <w:rPr>
          <w:i/>
          <w:iCs/>
          <w:lang w:val="nl-NL"/>
        </w:rPr>
        <w:t>supra</w:t>
      </w:r>
      <w:r w:rsidR="00CB31AF" w:rsidRPr="00A33930">
        <w:rPr>
          <w:lang w:val="nl-NL"/>
        </w:rPr>
        <w:t xml:space="preserve">, nr. </w:t>
      </w:r>
      <w:r w:rsidR="00C433C8" w:rsidRPr="00A33930">
        <w:rPr>
          <w:lang w:val="nl-NL"/>
        </w:rPr>
        <w:t>48</w:t>
      </w:r>
      <w:r w:rsidR="00CB31AF" w:rsidRPr="00A33930">
        <w:rPr>
          <w:lang w:val="nl-NL"/>
        </w:rPr>
        <w:t>)</w:t>
      </w:r>
      <w:r w:rsidRPr="00A33930">
        <w:rPr>
          <w:lang w:val="nl-NL"/>
        </w:rPr>
        <w:t>.</w:t>
      </w:r>
    </w:p>
    <w:p w14:paraId="680C77D1" w14:textId="77777777" w:rsidR="0032728D" w:rsidRPr="00A33930" w:rsidRDefault="0032728D" w:rsidP="0032728D">
      <w:pPr>
        <w:pStyle w:val="Lijstalinea"/>
        <w:rPr>
          <w:lang w:val="nl-NL"/>
        </w:rPr>
      </w:pPr>
    </w:p>
    <w:p w14:paraId="4EB66A13" w14:textId="75ACE911" w:rsidR="0032728D" w:rsidRPr="00A33930" w:rsidRDefault="0032728D" w:rsidP="0032728D">
      <w:pPr>
        <w:pStyle w:val="Lijstalinea"/>
        <w:numPr>
          <w:ilvl w:val="0"/>
          <w:numId w:val="4"/>
        </w:numPr>
        <w:spacing w:before="200" w:after="0"/>
        <w:ind w:left="0" w:firstLine="0"/>
        <w:jc w:val="both"/>
        <w:rPr>
          <w:lang w:val="nl-NL"/>
        </w:rPr>
      </w:pPr>
      <w:r w:rsidRPr="00A33930">
        <w:rPr>
          <w:lang w:val="nl-NL"/>
        </w:rPr>
        <w:t>De Belgische wetgever heeft vooralsnog niet voorzien in een eigen recht op persoonlijk contact van het kind. Door</w:t>
      </w:r>
      <w:r w:rsidR="00612454" w:rsidRPr="00A33930">
        <w:rPr>
          <w:lang w:val="nl-NL"/>
        </w:rPr>
        <w:t xml:space="preserve"> </w:t>
      </w:r>
      <w:r w:rsidRPr="00A33930">
        <w:rPr>
          <w:lang w:val="nl-NL"/>
        </w:rPr>
        <w:t xml:space="preserve">de jaren </w:t>
      </w:r>
      <w:r w:rsidR="00612454" w:rsidRPr="00A33930">
        <w:rPr>
          <w:lang w:val="nl-NL"/>
        </w:rPr>
        <w:t xml:space="preserve">heen </w:t>
      </w:r>
      <w:r w:rsidRPr="00A33930">
        <w:rPr>
          <w:lang w:val="nl-NL"/>
        </w:rPr>
        <w:t>hebben verschillende categorieën contactgerechtigden een wettelijk recht op persoonlijk contact verkregen</w:t>
      </w:r>
      <w:r w:rsidR="00CB31AF" w:rsidRPr="00A33930">
        <w:rPr>
          <w:lang w:val="nl-NL"/>
        </w:rPr>
        <w:t xml:space="preserve"> (</w:t>
      </w:r>
      <w:r w:rsidR="00CB31AF" w:rsidRPr="00A33930">
        <w:rPr>
          <w:i/>
          <w:iCs/>
          <w:lang w:val="nl-NL"/>
        </w:rPr>
        <w:t>supra</w:t>
      </w:r>
      <w:r w:rsidR="00CB31AF" w:rsidRPr="00A33930">
        <w:rPr>
          <w:lang w:val="nl-NL"/>
        </w:rPr>
        <w:t xml:space="preserve">, nr. </w:t>
      </w:r>
      <w:r w:rsidR="00C433C8" w:rsidRPr="00A33930">
        <w:rPr>
          <w:lang w:val="nl-NL"/>
        </w:rPr>
        <w:t>92</w:t>
      </w:r>
      <w:r w:rsidR="00CB31AF" w:rsidRPr="00A33930">
        <w:rPr>
          <w:lang w:val="nl-NL"/>
        </w:rPr>
        <w:t>)</w:t>
      </w:r>
      <w:r w:rsidRPr="00A33930">
        <w:rPr>
          <w:lang w:val="nl-NL"/>
        </w:rPr>
        <w:t xml:space="preserve">. Het kind zelf </w:t>
      </w:r>
      <w:r w:rsidR="00855258" w:rsidRPr="00A33930">
        <w:rPr>
          <w:lang w:val="nl-NL"/>
        </w:rPr>
        <w:t>staat</w:t>
      </w:r>
      <w:r w:rsidRPr="00A33930">
        <w:rPr>
          <w:lang w:val="nl-NL"/>
        </w:rPr>
        <w:t xml:space="preserve"> echter </w:t>
      </w:r>
      <w:r w:rsidR="00855258" w:rsidRPr="00A33930">
        <w:rPr>
          <w:lang w:val="nl-NL"/>
        </w:rPr>
        <w:t xml:space="preserve">nog </w:t>
      </w:r>
      <w:r w:rsidRPr="00A33930">
        <w:rPr>
          <w:lang w:val="nl-NL"/>
        </w:rPr>
        <w:t xml:space="preserve">steeds in de kou. Dit wordt verklaard door het gehanteerde </w:t>
      </w:r>
      <w:r w:rsidR="00E57778" w:rsidRPr="00A33930">
        <w:rPr>
          <w:rFonts w:eastAsia="Verdana" w:cs="Verdana"/>
          <w:szCs w:val="18"/>
          <w:lang w:val="nl-NL"/>
        </w:rPr>
        <w:t>kindperspectief</w:t>
      </w:r>
      <w:r w:rsidRPr="00A33930">
        <w:rPr>
          <w:lang w:val="nl-NL"/>
        </w:rPr>
        <w:t xml:space="preserve">. De meerderheidsopvatting sluit </w:t>
      </w:r>
      <w:r w:rsidR="00953F6E" w:rsidRPr="00A33930">
        <w:rPr>
          <w:lang w:val="nl-NL"/>
        </w:rPr>
        <w:t xml:space="preserve">zich </w:t>
      </w:r>
      <w:r w:rsidRPr="00A33930">
        <w:rPr>
          <w:lang w:val="nl-NL"/>
        </w:rPr>
        <w:t xml:space="preserve">aan </w:t>
      </w:r>
      <w:r w:rsidR="003F705D" w:rsidRPr="00A33930">
        <w:rPr>
          <w:lang w:val="nl-NL"/>
        </w:rPr>
        <w:t>bij</w:t>
      </w:r>
      <w:r w:rsidRPr="00A33930">
        <w:rPr>
          <w:lang w:val="nl-NL"/>
        </w:rPr>
        <w:t xml:space="preserve"> </w:t>
      </w:r>
      <w:r w:rsidR="003F705D" w:rsidRPr="00A33930">
        <w:rPr>
          <w:lang w:val="nl-NL"/>
        </w:rPr>
        <w:t>de</w:t>
      </w:r>
      <w:r w:rsidRPr="00A33930">
        <w:rPr>
          <w:lang w:val="nl-NL"/>
        </w:rPr>
        <w:t xml:space="preserve"> pragmatische stroming, waar</w:t>
      </w:r>
      <w:r w:rsidR="003F705D" w:rsidRPr="00A33930">
        <w:rPr>
          <w:lang w:val="nl-NL"/>
        </w:rPr>
        <w:t>in</w:t>
      </w:r>
      <w:r w:rsidRPr="00A33930">
        <w:rPr>
          <w:lang w:val="nl-NL"/>
        </w:rPr>
        <w:t xml:space="preserve"> een evenwicht wordt gezocht tussen bescherming en autonomie</w:t>
      </w:r>
      <w:r w:rsidR="00CB31AF" w:rsidRPr="00A33930">
        <w:rPr>
          <w:lang w:val="nl-NL"/>
        </w:rPr>
        <w:t xml:space="preserve"> (</w:t>
      </w:r>
      <w:r w:rsidR="00CB31AF" w:rsidRPr="00A33930">
        <w:rPr>
          <w:i/>
          <w:iCs/>
          <w:lang w:val="nl-NL"/>
        </w:rPr>
        <w:t>supra</w:t>
      </w:r>
      <w:r w:rsidR="00CB31AF" w:rsidRPr="00A33930">
        <w:rPr>
          <w:lang w:val="nl-NL"/>
        </w:rPr>
        <w:t xml:space="preserve">, nr. </w:t>
      </w:r>
      <w:r w:rsidR="00C433C8" w:rsidRPr="00A33930">
        <w:rPr>
          <w:lang w:val="nl-NL"/>
        </w:rPr>
        <w:t>69</w:t>
      </w:r>
      <w:r w:rsidR="00CB31AF" w:rsidRPr="00A33930">
        <w:rPr>
          <w:lang w:val="nl-NL"/>
        </w:rPr>
        <w:t>)</w:t>
      </w:r>
      <w:r w:rsidRPr="00A33930">
        <w:rPr>
          <w:lang w:val="nl-NL"/>
        </w:rPr>
        <w:t>. Dat verschilt met de opvatting op mensenrechtelijk niveau</w:t>
      </w:r>
      <w:r w:rsidR="00C433C8" w:rsidRPr="00A33930">
        <w:rPr>
          <w:lang w:val="nl-NL"/>
        </w:rPr>
        <w:t>,</w:t>
      </w:r>
      <w:r w:rsidRPr="00A33930">
        <w:rPr>
          <w:lang w:val="nl-NL"/>
        </w:rPr>
        <w:t xml:space="preserve"> waar </w:t>
      </w:r>
      <w:r w:rsidR="003912C7" w:rsidRPr="00A33930">
        <w:rPr>
          <w:lang w:val="nl-NL"/>
        </w:rPr>
        <w:t>voornamelijk</w:t>
      </w:r>
      <w:r w:rsidR="00C433C8" w:rsidRPr="00A33930">
        <w:rPr>
          <w:lang w:val="nl-NL"/>
        </w:rPr>
        <w:t xml:space="preserve"> aandacht</w:t>
      </w:r>
      <w:r w:rsidRPr="00A33930">
        <w:rPr>
          <w:lang w:val="nl-NL"/>
        </w:rPr>
        <w:t xml:space="preserve"> </w:t>
      </w:r>
      <w:r w:rsidR="00C433C8" w:rsidRPr="00A33930">
        <w:rPr>
          <w:lang w:val="nl-NL"/>
        </w:rPr>
        <w:t>wordt gegeven aan</w:t>
      </w:r>
      <w:r w:rsidRPr="00A33930">
        <w:rPr>
          <w:lang w:val="nl-NL"/>
        </w:rPr>
        <w:t xml:space="preserve"> de zelfbeschikking</w:t>
      </w:r>
      <w:r w:rsidR="003F705D" w:rsidRPr="00A33930">
        <w:rPr>
          <w:lang w:val="nl-NL"/>
        </w:rPr>
        <w:t xml:space="preserve"> van het kind</w:t>
      </w:r>
      <w:r w:rsidR="00CB31AF" w:rsidRPr="00A33930">
        <w:rPr>
          <w:lang w:val="nl-NL"/>
        </w:rPr>
        <w:t xml:space="preserve"> (</w:t>
      </w:r>
      <w:r w:rsidR="00CB31AF" w:rsidRPr="00A33930">
        <w:rPr>
          <w:i/>
          <w:iCs/>
          <w:lang w:val="nl-NL"/>
        </w:rPr>
        <w:t>supra</w:t>
      </w:r>
      <w:r w:rsidR="00CB31AF" w:rsidRPr="00A33930">
        <w:rPr>
          <w:lang w:val="nl-NL"/>
        </w:rPr>
        <w:t>, nr</w:t>
      </w:r>
      <w:r w:rsidR="00556F42" w:rsidRPr="00A33930">
        <w:rPr>
          <w:lang w:val="nl-NL"/>
        </w:rPr>
        <w:t>s</w:t>
      </w:r>
      <w:r w:rsidR="00CB31AF" w:rsidRPr="00A33930">
        <w:rPr>
          <w:lang w:val="nl-NL"/>
        </w:rPr>
        <w:t xml:space="preserve">. </w:t>
      </w:r>
      <w:r w:rsidR="00C433C8" w:rsidRPr="00A33930">
        <w:rPr>
          <w:lang w:val="nl-NL"/>
        </w:rPr>
        <w:t>31-32</w:t>
      </w:r>
      <w:r w:rsidR="00CB31AF" w:rsidRPr="00A33930">
        <w:rPr>
          <w:lang w:val="nl-NL"/>
        </w:rPr>
        <w:t>)</w:t>
      </w:r>
      <w:r w:rsidRPr="00A33930">
        <w:rPr>
          <w:lang w:val="nl-NL"/>
        </w:rPr>
        <w:t xml:space="preserve">. </w:t>
      </w:r>
      <w:r w:rsidR="00855258" w:rsidRPr="00A33930">
        <w:rPr>
          <w:lang w:val="nl-NL"/>
        </w:rPr>
        <w:t xml:space="preserve">Ondanks dat het </w:t>
      </w:r>
      <w:r w:rsidR="003F705D" w:rsidRPr="00A33930">
        <w:rPr>
          <w:lang w:val="nl-NL"/>
        </w:rPr>
        <w:t xml:space="preserve">EHRM bij zijn beoordeling van artikel 9.3 IVRK en 8.1 EVRM </w:t>
      </w:r>
      <w:r w:rsidR="00855258" w:rsidRPr="00A33930">
        <w:rPr>
          <w:lang w:val="nl-NL"/>
        </w:rPr>
        <w:t xml:space="preserve">zelf ook </w:t>
      </w:r>
      <w:r w:rsidR="003F705D" w:rsidRPr="00A33930">
        <w:rPr>
          <w:lang w:val="nl-NL"/>
        </w:rPr>
        <w:t xml:space="preserve">enigszins </w:t>
      </w:r>
      <w:r w:rsidR="00855258" w:rsidRPr="00A33930">
        <w:rPr>
          <w:lang w:val="nl-NL"/>
        </w:rPr>
        <w:t xml:space="preserve">moeite heeft met het vinden van dit evenwicht, is het </w:t>
      </w:r>
      <w:r w:rsidR="00C433C8" w:rsidRPr="00A33930">
        <w:rPr>
          <w:lang w:val="nl-NL"/>
        </w:rPr>
        <w:t>m</w:t>
      </w:r>
      <w:r w:rsidR="00953F6E" w:rsidRPr="00A33930">
        <w:rPr>
          <w:lang w:val="nl-NL"/>
        </w:rPr>
        <w:t>ijns inziens</w:t>
      </w:r>
      <w:r w:rsidR="00C433C8" w:rsidRPr="00A33930">
        <w:rPr>
          <w:lang w:val="nl-NL"/>
        </w:rPr>
        <w:t xml:space="preserve"> </w:t>
      </w:r>
      <w:r w:rsidR="00855258" w:rsidRPr="00A33930">
        <w:rPr>
          <w:lang w:val="nl-NL"/>
        </w:rPr>
        <w:t xml:space="preserve">duidelijk dat </w:t>
      </w:r>
      <w:r w:rsidR="003F705D" w:rsidRPr="00A33930">
        <w:rPr>
          <w:lang w:val="nl-NL"/>
        </w:rPr>
        <w:t>het toekennen van dit recht aan het kind</w:t>
      </w:r>
      <w:r w:rsidR="00855258" w:rsidRPr="00A33930">
        <w:rPr>
          <w:lang w:val="nl-NL"/>
        </w:rPr>
        <w:t xml:space="preserve"> weldegelijk de enige juiste </w:t>
      </w:r>
      <w:r w:rsidR="003F705D" w:rsidRPr="00A33930">
        <w:rPr>
          <w:lang w:val="nl-NL"/>
        </w:rPr>
        <w:t>opvatting</w:t>
      </w:r>
      <w:r w:rsidR="00855258" w:rsidRPr="00A33930">
        <w:rPr>
          <w:lang w:val="nl-NL"/>
        </w:rPr>
        <w:t xml:space="preserve"> is</w:t>
      </w:r>
      <w:r w:rsidRPr="00A33930">
        <w:rPr>
          <w:lang w:val="nl-NL"/>
        </w:rPr>
        <w:t>.</w:t>
      </w:r>
      <w:r w:rsidR="00855258" w:rsidRPr="00A33930">
        <w:rPr>
          <w:lang w:val="nl-NL"/>
        </w:rPr>
        <w:t xml:space="preserve"> In een moderne wereld met moderne kinderen, is er nood aan moderne regelgeving.</w:t>
      </w:r>
    </w:p>
    <w:p w14:paraId="47104B4B" w14:textId="77777777" w:rsidR="0032728D" w:rsidRPr="00A33930" w:rsidRDefault="0032728D" w:rsidP="0032728D">
      <w:pPr>
        <w:pStyle w:val="Lijstalinea"/>
        <w:rPr>
          <w:lang w:val="nl-NL"/>
        </w:rPr>
      </w:pPr>
    </w:p>
    <w:p w14:paraId="7BD00BA8" w14:textId="182F0E55" w:rsidR="00B815A5" w:rsidRPr="00A33930" w:rsidRDefault="0032728D" w:rsidP="0032728D">
      <w:pPr>
        <w:pStyle w:val="Lijstalinea"/>
        <w:numPr>
          <w:ilvl w:val="0"/>
          <w:numId w:val="4"/>
        </w:numPr>
        <w:spacing w:before="200" w:after="0"/>
        <w:ind w:left="0" w:firstLine="0"/>
        <w:jc w:val="both"/>
        <w:rPr>
          <w:lang w:val="nl-NL"/>
        </w:rPr>
      </w:pPr>
      <w:r w:rsidRPr="00A33930">
        <w:rPr>
          <w:lang w:val="nl-NL"/>
        </w:rPr>
        <w:t xml:space="preserve">Het debat is bijgevolg nog lang niet gedebatteerd. De </w:t>
      </w:r>
      <w:r w:rsidR="00B815A5" w:rsidRPr="00A33930">
        <w:rPr>
          <w:lang w:val="nl-NL"/>
        </w:rPr>
        <w:t xml:space="preserve">wenselijkheid van het toekennen </w:t>
      </w:r>
      <w:r w:rsidRPr="00A33930">
        <w:rPr>
          <w:lang w:val="nl-NL"/>
        </w:rPr>
        <w:t>van een subjectief recht op persoonlijk contact lijkt</w:t>
      </w:r>
      <w:r w:rsidR="00CB31AF" w:rsidRPr="00A33930">
        <w:rPr>
          <w:lang w:val="nl-NL"/>
        </w:rPr>
        <w:t xml:space="preserve"> nog steeds</w:t>
      </w:r>
      <w:r w:rsidRPr="00A33930">
        <w:rPr>
          <w:lang w:val="nl-NL"/>
        </w:rPr>
        <w:t xml:space="preserve"> niet op te wegen tegen een invoering van procedurele rechten voor kinderen</w:t>
      </w:r>
      <w:r w:rsidR="00CB31AF" w:rsidRPr="00A33930">
        <w:rPr>
          <w:lang w:val="nl-NL"/>
        </w:rPr>
        <w:t xml:space="preserve"> (</w:t>
      </w:r>
      <w:r w:rsidR="00CB31AF" w:rsidRPr="00A33930">
        <w:rPr>
          <w:i/>
          <w:iCs/>
          <w:lang w:val="nl-NL"/>
        </w:rPr>
        <w:t>supra</w:t>
      </w:r>
      <w:r w:rsidR="00CB31AF" w:rsidRPr="00A33930">
        <w:rPr>
          <w:lang w:val="nl-NL"/>
        </w:rPr>
        <w:t>, nr</w:t>
      </w:r>
      <w:r w:rsidR="003912C7" w:rsidRPr="00A33930">
        <w:rPr>
          <w:lang w:val="nl-NL"/>
        </w:rPr>
        <w:t>s</w:t>
      </w:r>
      <w:r w:rsidR="00CB31AF" w:rsidRPr="00A33930">
        <w:rPr>
          <w:lang w:val="nl-NL"/>
        </w:rPr>
        <w:t xml:space="preserve">. </w:t>
      </w:r>
      <w:r w:rsidR="00C433C8" w:rsidRPr="00A33930">
        <w:rPr>
          <w:lang w:val="nl-NL"/>
        </w:rPr>
        <w:t>73-74, nr. 96, nr. 98 en nr. 106</w:t>
      </w:r>
      <w:r w:rsidR="00CB31AF" w:rsidRPr="00A33930">
        <w:rPr>
          <w:lang w:val="nl-NL"/>
        </w:rPr>
        <w:t>)</w:t>
      </w:r>
      <w:r w:rsidRPr="00A33930">
        <w:rPr>
          <w:lang w:val="nl-NL"/>
        </w:rPr>
        <w:t xml:space="preserve">. Ondanks dat dit voor velen </w:t>
      </w:r>
      <w:r w:rsidR="00CB31AF" w:rsidRPr="00A33930">
        <w:rPr>
          <w:lang w:val="nl-NL"/>
        </w:rPr>
        <w:t xml:space="preserve">enkel </w:t>
      </w:r>
      <w:r w:rsidRPr="00A33930">
        <w:rPr>
          <w:lang w:val="nl-NL"/>
        </w:rPr>
        <w:t xml:space="preserve">een blijk zou geven van symbolische wetgeving, lijkt dat </w:t>
      </w:r>
      <w:r w:rsidR="003F705D" w:rsidRPr="00A33930">
        <w:rPr>
          <w:lang w:val="nl-NL"/>
        </w:rPr>
        <w:t>m</w:t>
      </w:r>
      <w:r w:rsidR="00953F6E" w:rsidRPr="00A33930">
        <w:rPr>
          <w:lang w:val="nl-NL"/>
        </w:rPr>
        <w:t>ijns inziens</w:t>
      </w:r>
      <w:r w:rsidRPr="00A33930">
        <w:rPr>
          <w:lang w:val="nl-NL"/>
        </w:rPr>
        <w:t xml:space="preserve"> niet het geval. Alles begint bij de wet. De Belgische wetgever </w:t>
      </w:r>
      <w:r w:rsidR="00B815A5" w:rsidRPr="00A33930">
        <w:rPr>
          <w:lang w:val="nl-NL"/>
        </w:rPr>
        <w:t>probeert stapsgewijs</w:t>
      </w:r>
      <w:r w:rsidRPr="00A33930">
        <w:rPr>
          <w:lang w:val="nl-NL"/>
        </w:rPr>
        <w:t xml:space="preserve"> deze evolutie door te voeren</w:t>
      </w:r>
      <w:r w:rsidR="00B815A5" w:rsidRPr="00A33930">
        <w:rPr>
          <w:lang w:val="nl-NL"/>
        </w:rPr>
        <w:t xml:space="preserve">. De volledige procesonbekwaamheid wordt zo </w:t>
      </w:r>
      <w:r w:rsidR="003F705D" w:rsidRPr="00A33930">
        <w:rPr>
          <w:lang w:val="nl-NL"/>
        </w:rPr>
        <w:t>reeds</w:t>
      </w:r>
      <w:r w:rsidR="00B815A5" w:rsidRPr="00A33930">
        <w:rPr>
          <w:lang w:val="nl-NL"/>
        </w:rPr>
        <w:t xml:space="preserve"> </w:t>
      </w:r>
      <w:r w:rsidR="003F705D" w:rsidRPr="00A33930">
        <w:rPr>
          <w:lang w:val="nl-NL"/>
        </w:rPr>
        <w:t>gematigd</w:t>
      </w:r>
      <w:r w:rsidR="00B815A5" w:rsidRPr="00A33930">
        <w:rPr>
          <w:lang w:val="nl-NL"/>
        </w:rPr>
        <w:t xml:space="preserve"> door het </w:t>
      </w:r>
      <w:r w:rsidR="003F705D" w:rsidRPr="00A33930">
        <w:rPr>
          <w:lang w:val="nl-NL"/>
        </w:rPr>
        <w:t>voorzien</w:t>
      </w:r>
      <w:r w:rsidR="00B815A5" w:rsidRPr="00A33930">
        <w:rPr>
          <w:lang w:val="nl-NL"/>
        </w:rPr>
        <w:t xml:space="preserve"> </w:t>
      </w:r>
      <w:r w:rsidR="003F705D" w:rsidRPr="00A33930">
        <w:rPr>
          <w:lang w:val="nl-NL"/>
        </w:rPr>
        <w:t>in</w:t>
      </w:r>
      <w:r w:rsidR="00B815A5" w:rsidRPr="00A33930">
        <w:rPr>
          <w:lang w:val="nl-NL"/>
        </w:rPr>
        <w:t xml:space="preserve"> een hoorrecht</w:t>
      </w:r>
      <w:r w:rsidR="003F705D" w:rsidRPr="00A33930">
        <w:rPr>
          <w:lang w:val="nl-NL"/>
        </w:rPr>
        <w:t xml:space="preserve">, al is dit </w:t>
      </w:r>
      <w:r w:rsidR="00C433C8" w:rsidRPr="00A33930">
        <w:rPr>
          <w:lang w:val="nl-NL"/>
        </w:rPr>
        <w:t>nog on</w:t>
      </w:r>
      <w:r w:rsidR="003F705D" w:rsidRPr="00A33930">
        <w:rPr>
          <w:lang w:val="nl-NL"/>
        </w:rPr>
        <w:t>voldoende</w:t>
      </w:r>
      <w:r w:rsidR="00CB31AF" w:rsidRPr="00A33930">
        <w:rPr>
          <w:lang w:val="nl-NL"/>
        </w:rPr>
        <w:t xml:space="preserve"> (</w:t>
      </w:r>
      <w:r w:rsidR="00CB31AF" w:rsidRPr="00A33930">
        <w:rPr>
          <w:i/>
          <w:iCs/>
          <w:lang w:val="nl-NL"/>
        </w:rPr>
        <w:t>supra</w:t>
      </w:r>
      <w:r w:rsidR="00CB31AF" w:rsidRPr="00A33930">
        <w:rPr>
          <w:lang w:val="nl-NL"/>
        </w:rPr>
        <w:t xml:space="preserve">, nr. </w:t>
      </w:r>
      <w:r w:rsidR="00C433C8" w:rsidRPr="00A33930">
        <w:rPr>
          <w:lang w:val="nl-NL"/>
        </w:rPr>
        <w:t>106</w:t>
      </w:r>
      <w:r w:rsidR="00CB31AF" w:rsidRPr="00A33930">
        <w:rPr>
          <w:lang w:val="nl-NL"/>
        </w:rPr>
        <w:t>)</w:t>
      </w:r>
      <w:r w:rsidR="00B815A5" w:rsidRPr="00A33930">
        <w:rPr>
          <w:lang w:val="nl-NL"/>
        </w:rPr>
        <w:t>.</w:t>
      </w:r>
      <w:r w:rsidRPr="00A33930">
        <w:rPr>
          <w:lang w:val="nl-NL"/>
        </w:rPr>
        <w:t xml:space="preserve"> </w:t>
      </w:r>
      <w:r w:rsidR="003F705D" w:rsidRPr="00A33930">
        <w:rPr>
          <w:lang w:val="nl-NL"/>
        </w:rPr>
        <w:t>De mensenrechtelijke wetgever stelt</w:t>
      </w:r>
      <w:r w:rsidR="00C433C8" w:rsidRPr="00A33930">
        <w:rPr>
          <w:lang w:val="nl-NL"/>
        </w:rPr>
        <w:t xml:space="preserve"> voor het contactrecht namelijk</w:t>
      </w:r>
      <w:r w:rsidR="003F705D" w:rsidRPr="00A33930">
        <w:rPr>
          <w:lang w:val="nl-NL"/>
        </w:rPr>
        <w:t xml:space="preserve"> meer eisen dan louter het voorzien in bijkomende maatregelen</w:t>
      </w:r>
      <w:r w:rsidRPr="00A33930">
        <w:rPr>
          <w:lang w:val="nl-NL"/>
        </w:rPr>
        <w:t xml:space="preserve">. Opgemerkt dient te worden dat sommige rechters in sommige gevallen wel al enige vorm van procesbekwaamheid </w:t>
      </w:r>
      <w:r w:rsidR="00855258" w:rsidRPr="00A33930">
        <w:rPr>
          <w:lang w:val="nl-NL"/>
        </w:rPr>
        <w:t>aan het kind verlenen</w:t>
      </w:r>
      <w:r w:rsidR="00CB31AF" w:rsidRPr="00A33930">
        <w:rPr>
          <w:lang w:val="nl-NL"/>
        </w:rPr>
        <w:t xml:space="preserve"> (</w:t>
      </w:r>
      <w:r w:rsidR="00CB31AF" w:rsidRPr="00A33930">
        <w:rPr>
          <w:i/>
          <w:iCs/>
          <w:lang w:val="nl-NL"/>
        </w:rPr>
        <w:t>supra</w:t>
      </w:r>
      <w:r w:rsidR="00CB31AF" w:rsidRPr="00A33930">
        <w:rPr>
          <w:lang w:val="nl-NL"/>
        </w:rPr>
        <w:t xml:space="preserve">, nr. </w:t>
      </w:r>
      <w:r w:rsidR="00C433C8" w:rsidRPr="00A33930">
        <w:rPr>
          <w:lang w:val="nl-NL"/>
        </w:rPr>
        <w:t>100</w:t>
      </w:r>
      <w:r w:rsidR="00CB31AF" w:rsidRPr="00A33930">
        <w:rPr>
          <w:lang w:val="nl-NL"/>
        </w:rPr>
        <w:t>)</w:t>
      </w:r>
      <w:r w:rsidRPr="00A33930">
        <w:rPr>
          <w:lang w:val="nl-NL"/>
        </w:rPr>
        <w:t>.</w:t>
      </w:r>
      <w:r w:rsidR="00855258" w:rsidRPr="00A33930">
        <w:rPr>
          <w:lang w:val="nl-NL"/>
        </w:rPr>
        <w:t xml:space="preserve"> Er bestaan immers al uitzonderingen, waarom dan niet voor een recht op persoonlijk contact? </w:t>
      </w:r>
      <w:r w:rsidR="003F705D" w:rsidRPr="00A33930">
        <w:rPr>
          <w:lang w:val="nl-NL"/>
        </w:rPr>
        <w:t>Het onderhouden van contacten</w:t>
      </w:r>
      <w:r w:rsidR="00855258" w:rsidRPr="00A33930">
        <w:rPr>
          <w:lang w:val="nl-NL"/>
        </w:rPr>
        <w:t xml:space="preserve"> </w:t>
      </w:r>
      <w:r w:rsidR="003F705D" w:rsidRPr="00A33930">
        <w:rPr>
          <w:lang w:val="nl-NL"/>
        </w:rPr>
        <w:t>is</w:t>
      </w:r>
      <w:r w:rsidR="00855258" w:rsidRPr="00A33930">
        <w:rPr>
          <w:lang w:val="nl-NL"/>
        </w:rPr>
        <w:t xml:space="preserve"> </w:t>
      </w:r>
      <w:r w:rsidR="003F705D" w:rsidRPr="00A33930">
        <w:rPr>
          <w:lang w:val="nl-NL"/>
        </w:rPr>
        <w:t>m</w:t>
      </w:r>
      <w:r w:rsidR="00953F6E" w:rsidRPr="00A33930">
        <w:rPr>
          <w:lang w:val="nl-NL"/>
        </w:rPr>
        <w:t>ijns inziens</w:t>
      </w:r>
      <w:r w:rsidR="00855258" w:rsidRPr="00A33930">
        <w:rPr>
          <w:lang w:val="nl-NL"/>
        </w:rPr>
        <w:t xml:space="preserve"> ook een </w:t>
      </w:r>
      <w:r w:rsidR="003F705D" w:rsidRPr="00A33930">
        <w:rPr>
          <w:lang w:val="nl-NL"/>
        </w:rPr>
        <w:t xml:space="preserve">erg </w:t>
      </w:r>
      <w:r w:rsidR="00855258" w:rsidRPr="00A33930">
        <w:rPr>
          <w:lang w:val="nl-NL"/>
        </w:rPr>
        <w:t>ingrijpende gebeurtenis in het leven van het kind</w:t>
      </w:r>
      <w:r w:rsidR="003F705D" w:rsidRPr="00A33930">
        <w:rPr>
          <w:lang w:val="nl-NL"/>
        </w:rPr>
        <w:t>. Het</w:t>
      </w:r>
      <w:r w:rsidR="00855258" w:rsidRPr="00A33930">
        <w:rPr>
          <w:lang w:val="nl-NL"/>
        </w:rPr>
        <w:t xml:space="preserve"> </w:t>
      </w:r>
      <w:r w:rsidR="003F705D" w:rsidRPr="00A33930">
        <w:rPr>
          <w:lang w:val="nl-NL"/>
        </w:rPr>
        <w:t xml:space="preserve">kind moet hierbij niet </w:t>
      </w:r>
      <w:r w:rsidR="003F705D" w:rsidRPr="00A33930">
        <w:rPr>
          <w:lang w:val="nl-NL"/>
        </w:rPr>
        <w:lastRenderedPageBreak/>
        <w:t xml:space="preserve">alleen worden opgemerkt </w:t>
      </w:r>
      <w:r w:rsidR="00C433C8" w:rsidRPr="00A33930">
        <w:rPr>
          <w:lang w:val="nl-NL"/>
        </w:rPr>
        <w:t>middels</w:t>
      </w:r>
      <w:r w:rsidR="003F705D" w:rsidRPr="00A33930">
        <w:rPr>
          <w:lang w:val="nl-NL"/>
        </w:rPr>
        <w:t xml:space="preserve"> zijn hoorrecht, maar </w:t>
      </w:r>
      <w:r w:rsidR="00855258" w:rsidRPr="00A33930">
        <w:rPr>
          <w:lang w:val="nl-NL"/>
        </w:rPr>
        <w:t xml:space="preserve">het kind </w:t>
      </w:r>
      <w:r w:rsidR="003F705D" w:rsidRPr="00A33930">
        <w:rPr>
          <w:lang w:val="nl-NL"/>
        </w:rPr>
        <w:t>moet hier ook echt in worden</w:t>
      </w:r>
      <w:r w:rsidR="00855258" w:rsidRPr="00A33930">
        <w:rPr>
          <w:lang w:val="nl-NL"/>
        </w:rPr>
        <w:t xml:space="preserve"> betrokken.</w:t>
      </w:r>
    </w:p>
    <w:p w14:paraId="4DA840D7" w14:textId="77777777" w:rsidR="00B815A5" w:rsidRPr="00A33930" w:rsidRDefault="00B815A5" w:rsidP="00B815A5">
      <w:pPr>
        <w:pStyle w:val="Lijstalinea"/>
        <w:rPr>
          <w:lang w:val="nl-NL"/>
        </w:rPr>
      </w:pPr>
    </w:p>
    <w:p w14:paraId="0D072235" w14:textId="6F77506D" w:rsidR="00387459" w:rsidRPr="00A33930" w:rsidRDefault="00B815A5" w:rsidP="00387459">
      <w:pPr>
        <w:pStyle w:val="Lijstalinea"/>
        <w:numPr>
          <w:ilvl w:val="0"/>
          <w:numId w:val="4"/>
        </w:numPr>
        <w:spacing w:before="200" w:after="0"/>
        <w:ind w:left="0" w:firstLine="0"/>
        <w:jc w:val="both"/>
        <w:rPr>
          <w:lang w:val="nl-NL"/>
        </w:rPr>
      </w:pPr>
      <w:r w:rsidRPr="00A33930">
        <w:rPr>
          <w:lang w:val="nl-NL"/>
        </w:rPr>
        <w:t xml:space="preserve">Kortom, de Belgische wetgever hinkt (weer) achterop. Hij wordt als partij bij de mensenrechtelijke verdragen verplicht zijn wetgeving aan een kritisch onderzoek te onderwerpen en zo nodig aanpassingen door te voeren. Aangaande het recht op persoonlijk contact wordt dit niet consequent </w:t>
      </w:r>
      <w:r w:rsidR="00855258" w:rsidRPr="00A33930">
        <w:rPr>
          <w:lang w:val="nl-NL"/>
        </w:rPr>
        <w:t>gehanteerd</w:t>
      </w:r>
      <w:r w:rsidRPr="00A33930">
        <w:rPr>
          <w:lang w:val="nl-NL"/>
        </w:rPr>
        <w:t xml:space="preserve">. Iedere poging stuit op falen, </w:t>
      </w:r>
      <w:r w:rsidR="00C7405A" w:rsidRPr="00A33930">
        <w:rPr>
          <w:lang w:val="nl-NL"/>
        </w:rPr>
        <w:t xml:space="preserve">o.a. </w:t>
      </w:r>
      <w:r w:rsidR="0032728D" w:rsidRPr="00A33930">
        <w:rPr>
          <w:lang w:val="nl-NL"/>
        </w:rPr>
        <w:t xml:space="preserve">door de uitvlucht van procesonbekwaamheid. Er moet bijgevolg meer recht worden gedaan aan </w:t>
      </w:r>
      <w:r w:rsidR="00DF408C" w:rsidRPr="00A33930">
        <w:rPr>
          <w:lang w:val="nl-NL"/>
        </w:rPr>
        <w:t>het</w:t>
      </w:r>
      <w:r w:rsidR="0032728D" w:rsidRPr="00A33930">
        <w:rPr>
          <w:lang w:val="nl-NL"/>
        </w:rPr>
        <w:t xml:space="preserve"> recht op zelfbeschikking</w:t>
      </w:r>
      <w:r w:rsidR="003F705D" w:rsidRPr="00A33930">
        <w:rPr>
          <w:lang w:val="nl-NL"/>
        </w:rPr>
        <w:t xml:space="preserve"> van het kind</w:t>
      </w:r>
      <w:r w:rsidR="0032728D" w:rsidRPr="00A33930">
        <w:rPr>
          <w:lang w:val="nl-NL"/>
        </w:rPr>
        <w:t>.</w:t>
      </w:r>
    </w:p>
    <w:p w14:paraId="21C5C1C1" w14:textId="30402281" w:rsidR="008329A0" w:rsidRPr="00A33930" w:rsidRDefault="00707EE7" w:rsidP="00995E5D">
      <w:pPr>
        <w:pStyle w:val="Lijstalinea"/>
        <w:numPr>
          <w:ilvl w:val="0"/>
          <w:numId w:val="4"/>
        </w:numPr>
        <w:spacing w:before="200" w:after="0"/>
        <w:ind w:left="0" w:firstLine="0"/>
        <w:jc w:val="both"/>
        <w:rPr>
          <w:lang w:val="nl-NL"/>
        </w:rPr>
      </w:pPr>
      <w:r w:rsidRPr="00A33930">
        <w:rPr>
          <w:sz w:val="20"/>
          <w:szCs w:val="28"/>
          <w:lang w:val="nl-NL"/>
        </w:rPr>
        <w:br w:type="page"/>
      </w:r>
    </w:p>
    <w:p w14:paraId="24F5528F" w14:textId="78CB13DB" w:rsidR="00C661EE" w:rsidRPr="00A33930" w:rsidRDefault="004D631D" w:rsidP="00C661EE">
      <w:pPr>
        <w:pStyle w:val="Kop1"/>
        <w:jc w:val="both"/>
        <w:rPr>
          <w:sz w:val="22"/>
          <w:szCs w:val="22"/>
          <w:lang w:val="nl-NL"/>
        </w:rPr>
      </w:pPr>
      <w:bookmarkStart w:id="33" w:name="_Toc134621192"/>
      <w:r w:rsidRPr="00A33930">
        <w:rPr>
          <w:sz w:val="22"/>
          <w:szCs w:val="22"/>
          <w:lang w:val="nl-NL"/>
        </w:rPr>
        <w:lastRenderedPageBreak/>
        <w:t>DEEL</w:t>
      </w:r>
      <w:r w:rsidR="00262E40" w:rsidRPr="00A33930">
        <w:rPr>
          <w:sz w:val="22"/>
          <w:szCs w:val="22"/>
          <w:lang w:val="nl-NL"/>
        </w:rPr>
        <w:t xml:space="preserve"> III.</w:t>
      </w:r>
      <w:r w:rsidR="00061F40" w:rsidRPr="00A33930">
        <w:rPr>
          <w:sz w:val="22"/>
          <w:szCs w:val="22"/>
          <w:lang w:val="nl-NL"/>
        </w:rPr>
        <w:tab/>
      </w:r>
      <w:r w:rsidR="003B5486" w:rsidRPr="00A33930">
        <w:rPr>
          <w:sz w:val="22"/>
          <w:szCs w:val="22"/>
          <w:lang w:val="nl-NL"/>
        </w:rPr>
        <w:t>EEN BLIK OVER DE GRENZEN</w:t>
      </w:r>
      <w:bookmarkEnd w:id="33"/>
    </w:p>
    <w:p w14:paraId="3F94482E" w14:textId="036AA1B6" w:rsidR="0032687E" w:rsidRPr="00A33930" w:rsidRDefault="00FD583B" w:rsidP="0032687E">
      <w:pPr>
        <w:pStyle w:val="Lijstalinea"/>
        <w:numPr>
          <w:ilvl w:val="0"/>
          <w:numId w:val="4"/>
        </w:numPr>
        <w:spacing w:before="200" w:after="0"/>
        <w:ind w:left="0" w:firstLine="0"/>
        <w:jc w:val="both"/>
        <w:rPr>
          <w:lang w:val="nl-NL"/>
        </w:rPr>
      </w:pPr>
      <w:r w:rsidRPr="00A33930">
        <w:rPr>
          <w:lang w:val="nl-NL"/>
        </w:rPr>
        <w:t xml:space="preserve">Met </w:t>
      </w:r>
      <w:r w:rsidR="00B50C57" w:rsidRPr="00A33930">
        <w:rPr>
          <w:lang w:val="nl-NL"/>
        </w:rPr>
        <w:t>het tweede deel</w:t>
      </w:r>
      <w:r w:rsidRPr="00A33930">
        <w:rPr>
          <w:lang w:val="nl-NL"/>
        </w:rPr>
        <w:t xml:space="preserve"> in het achterhoofd en </w:t>
      </w:r>
      <w:r w:rsidR="00EF0180" w:rsidRPr="00A33930">
        <w:rPr>
          <w:lang w:val="nl-NL"/>
        </w:rPr>
        <w:t>als</w:t>
      </w:r>
      <w:r w:rsidR="0032687E" w:rsidRPr="00A33930">
        <w:rPr>
          <w:lang w:val="nl-NL"/>
        </w:rPr>
        <w:t xml:space="preserve"> </w:t>
      </w:r>
      <w:r w:rsidR="000253A4" w:rsidRPr="00A33930">
        <w:rPr>
          <w:lang w:val="nl-NL"/>
        </w:rPr>
        <w:t>gevolg</w:t>
      </w:r>
      <w:r w:rsidR="0032687E" w:rsidRPr="00A33930">
        <w:rPr>
          <w:lang w:val="nl-NL"/>
        </w:rPr>
        <w:t xml:space="preserve"> </w:t>
      </w:r>
      <w:r w:rsidR="000253A4" w:rsidRPr="00A33930">
        <w:rPr>
          <w:lang w:val="nl-NL"/>
        </w:rPr>
        <w:t>van</w:t>
      </w:r>
      <w:r w:rsidR="0032687E" w:rsidRPr="00A33930">
        <w:rPr>
          <w:lang w:val="nl-NL"/>
        </w:rPr>
        <w:t xml:space="preserve"> de huidige schending van de mensenrechtelijke verplichtingen door de Belgische wetgever, is het wenselijk om na te gaan of er een andere mogelijkheid bestaat om het recht op persoonlijk contact van het kind in te vullen. Dit derde deel gaat na of het Nederlands en Duits recht een </w:t>
      </w:r>
      <w:r w:rsidR="00093B9E" w:rsidRPr="00A33930">
        <w:rPr>
          <w:lang w:val="nl-NL"/>
        </w:rPr>
        <w:t xml:space="preserve">eigen </w:t>
      </w:r>
      <w:r w:rsidR="0032687E" w:rsidRPr="00A33930">
        <w:rPr>
          <w:lang w:val="nl-NL"/>
        </w:rPr>
        <w:t xml:space="preserve">recht op persoonlijk contact van het kind </w:t>
      </w:r>
      <w:r w:rsidR="00093B9E" w:rsidRPr="00A33930">
        <w:rPr>
          <w:lang w:val="nl-NL"/>
        </w:rPr>
        <w:t>kennen</w:t>
      </w:r>
      <w:r w:rsidR="0032687E" w:rsidRPr="00A33930">
        <w:rPr>
          <w:lang w:val="nl-NL"/>
        </w:rPr>
        <w:t xml:space="preserve">. Indien dit zo blijkt, wordt bijkomend nagegaan of uit deze rechtsstelsels inspiratie kan worden gehaald ter verbetering van het Belgische recht in het licht van </w:t>
      </w:r>
      <w:r w:rsidR="003F705D" w:rsidRPr="00A33930">
        <w:rPr>
          <w:lang w:val="nl-NL"/>
        </w:rPr>
        <w:t>zijn</w:t>
      </w:r>
      <w:r w:rsidR="0032687E" w:rsidRPr="00A33930">
        <w:rPr>
          <w:lang w:val="nl-NL"/>
        </w:rPr>
        <w:t xml:space="preserve"> mensenrechtelijke verplichtingen.</w:t>
      </w:r>
    </w:p>
    <w:p w14:paraId="30CE8F8B" w14:textId="77777777" w:rsidR="00707EE7" w:rsidRPr="00A33930" w:rsidRDefault="00707EE7" w:rsidP="00707EE7">
      <w:pPr>
        <w:rPr>
          <w:lang w:val="nl-NL" w:eastAsia="en-US"/>
        </w:rPr>
      </w:pPr>
    </w:p>
    <w:p w14:paraId="283CC62C" w14:textId="4D87A9D5" w:rsidR="009D63DD" w:rsidRPr="00A33930" w:rsidRDefault="004D631D" w:rsidP="00C661EE">
      <w:pPr>
        <w:pStyle w:val="Kop2"/>
        <w:numPr>
          <w:ilvl w:val="0"/>
          <w:numId w:val="0"/>
        </w:numPr>
        <w:ind w:left="360" w:hanging="360"/>
        <w:jc w:val="both"/>
        <w:rPr>
          <w:sz w:val="20"/>
          <w:szCs w:val="28"/>
          <w:lang w:val="nl-NL"/>
        </w:rPr>
      </w:pPr>
      <w:bookmarkStart w:id="34" w:name="_Toc134621193"/>
      <w:r w:rsidRPr="00A33930">
        <w:rPr>
          <w:sz w:val="20"/>
          <w:szCs w:val="28"/>
          <w:lang w:val="nl-NL"/>
        </w:rPr>
        <w:t>HOOFDSTUK I.</w:t>
      </w:r>
      <w:r w:rsidRPr="00A33930">
        <w:rPr>
          <w:sz w:val="20"/>
          <w:szCs w:val="28"/>
          <w:lang w:val="nl-NL"/>
        </w:rPr>
        <w:tab/>
        <w:t>NEDERLAND</w:t>
      </w:r>
      <w:bookmarkEnd w:id="34"/>
    </w:p>
    <w:p w14:paraId="7682C8AC" w14:textId="2557D1E5" w:rsidR="00FF30E0" w:rsidRPr="00A33930" w:rsidRDefault="008B0511" w:rsidP="003E757A">
      <w:pPr>
        <w:pStyle w:val="Lijstalinea"/>
        <w:numPr>
          <w:ilvl w:val="0"/>
          <w:numId w:val="4"/>
        </w:numPr>
        <w:spacing w:before="200" w:after="0"/>
        <w:ind w:left="0" w:firstLine="0"/>
        <w:jc w:val="both"/>
        <w:rPr>
          <w:lang w:val="nl-NL"/>
        </w:rPr>
      </w:pPr>
      <w:r w:rsidRPr="00A33930">
        <w:rPr>
          <w:rFonts w:eastAsia="Verdana" w:cs="Verdana"/>
          <w:szCs w:val="18"/>
          <w:lang w:val="nl-NL"/>
        </w:rPr>
        <w:t>In Nederland wordt zo goed als exclusief gebruikgemaakt van de term “omgangsrecht”</w:t>
      </w:r>
      <w:r w:rsidR="003F705D" w:rsidRPr="00A33930">
        <w:rPr>
          <w:rFonts w:eastAsia="Verdana" w:cs="Verdana"/>
          <w:szCs w:val="18"/>
          <w:lang w:val="nl-NL"/>
        </w:rPr>
        <w:t>, dit</w:t>
      </w:r>
      <w:r w:rsidRPr="00A33930">
        <w:rPr>
          <w:rFonts w:eastAsia="Verdana" w:cs="Verdana"/>
          <w:szCs w:val="18"/>
          <w:lang w:val="nl-NL"/>
        </w:rPr>
        <w:t xml:space="preserve"> in </w:t>
      </w:r>
      <w:r w:rsidR="000B5005" w:rsidRPr="00A33930">
        <w:rPr>
          <w:rFonts w:eastAsia="Verdana" w:cs="Verdana"/>
          <w:szCs w:val="18"/>
          <w:lang w:val="nl-NL"/>
        </w:rPr>
        <w:t>tegenstelling tot de Belgische variant</w:t>
      </w:r>
      <w:r w:rsidR="00260163" w:rsidRPr="00A33930">
        <w:rPr>
          <w:rFonts w:eastAsia="Verdana" w:cs="Verdana"/>
          <w:szCs w:val="18"/>
          <w:lang w:val="nl-NL"/>
        </w:rPr>
        <w:t xml:space="preserve"> </w:t>
      </w:r>
      <w:r w:rsidR="000B5005" w:rsidRPr="00A33930">
        <w:rPr>
          <w:rFonts w:eastAsia="Verdana" w:cs="Verdana"/>
          <w:szCs w:val="18"/>
          <w:lang w:val="nl-NL"/>
        </w:rPr>
        <w:t>“</w:t>
      </w:r>
      <w:r w:rsidRPr="00A33930">
        <w:rPr>
          <w:rFonts w:eastAsia="Verdana" w:cs="Verdana"/>
          <w:szCs w:val="18"/>
          <w:lang w:val="nl-NL"/>
        </w:rPr>
        <w:t>recht op persoonlijk contact</w:t>
      </w:r>
      <w:r w:rsidR="000B5005" w:rsidRPr="00A33930">
        <w:rPr>
          <w:rFonts w:eastAsia="Verdana" w:cs="Verdana"/>
          <w:szCs w:val="18"/>
          <w:lang w:val="nl-NL"/>
        </w:rPr>
        <w:t>”</w:t>
      </w:r>
      <w:r w:rsidR="00DF465E" w:rsidRPr="00A33930">
        <w:rPr>
          <w:rFonts w:eastAsia="Verdana" w:cs="Verdana"/>
          <w:szCs w:val="18"/>
          <w:lang w:val="nl-NL"/>
        </w:rPr>
        <w:t xml:space="preserve"> (</w:t>
      </w:r>
      <w:r w:rsidR="00164E79" w:rsidRPr="00A33930">
        <w:rPr>
          <w:rFonts w:eastAsia="Verdana" w:cs="Verdana"/>
          <w:szCs w:val="18"/>
          <w:lang w:val="nl-NL"/>
        </w:rPr>
        <w:t xml:space="preserve">cf. </w:t>
      </w:r>
      <w:r w:rsidR="00DF465E" w:rsidRPr="00A33930">
        <w:rPr>
          <w:rFonts w:eastAsia="Verdana" w:cs="Verdana"/>
          <w:i/>
          <w:iCs/>
          <w:szCs w:val="18"/>
          <w:lang w:val="nl-NL"/>
        </w:rPr>
        <w:t>supra</w:t>
      </w:r>
      <w:r w:rsidR="00DF465E" w:rsidRPr="00A33930">
        <w:rPr>
          <w:rFonts w:eastAsia="Verdana" w:cs="Verdana"/>
          <w:szCs w:val="18"/>
          <w:lang w:val="nl-NL"/>
        </w:rPr>
        <w:t>, nr. 90)</w:t>
      </w:r>
      <w:r w:rsidRPr="00A33930">
        <w:rPr>
          <w:rFonts w:eastAsia="Verdana" w:cs="Verdana"/>
          <w:szCs w:val="18"/>
          <w:lang w:val="nl-NL"/>
        </w:rPr>
        <w:t xml:space="preserve">. </w:t>
      </w:r>
      <w:r w:rsidR="000B5005" w:rsidRPr="00A33930">
        <w:rPr>
          <w:rFonts w:eastAsia="Verdana" w:cs="Verdana"/>
          <w:szCs w:val="18"/>
          <w:lang w:val="nl-NL"/>
        </w:rPr>
        <w:t>De</w:t>
      </w:r>
      <w:r w:rsidRPr="00A33930">
        <w:rPr>
          <w:rFonts w:eastAsia="Verdana" w:cs="Verdana"/>
          <w:szCs w:val="18"/>
          <w:lang w:val="nl-NL"/>
        </w:rPr>
        <w:t xml:space="preserve"> term </w:t>
      </w:r>
      <w:r w:rsidR="000B5005" w:rsidRPr="00A33930">
        <w:rPr>
          <w:rFonts w:eastAsia="Verdana" w:cs="Verdana"/>
          <w:szCs w:val="18"/>
          <w:lang w:val="nl-NL"/>
        </w:rPr>
        <w:t xml:space="preserve">“omgang” </w:t>
      </w:r>
      <w:r w:rsidRPr="00A33930">
        <w:rPr>
          <w:rFonts w:eastAsia="Verdana" w:cs="Verdana"/>
          <w:szCs w:val="18"/>
          <w:lang w:val="nl-NL"/>
        </w:rPr>
        <w:t>heeft een ruimere connotatie en een extra dimensie: het bezit een wederkerig karakter en impliceert interactie tussen beide partijen.</w:t>
      </w:r>
      <w:r w:rsidRPr="00A33930">
        <w:rPr>
          <w:rStyle w:val="Voetnootmarkering"/>
          <w:rFonts w:eastAsia="Verdana" w:cs="Verdana"/>
          <w:szCs w:val="18"/>
          <w:lang w:val="nl-NL"/>
        </w:rPr>
        <w:footnoteReference w:id="414"/>
      </w:r>
      <w:r w:rsidR="00F3413F" w:rsidRPr="00A33930">
        <w:rPr>
          <w:rFonts w:eastAsia="Verdana" w:cs="Verdana"/>
          <w:szCs w:val="18"/>
          <w:lang w:val="nl-NL"/>
        </w:rPr>
        <w:t xml:space="preserve"> </w:t>
      </w:r>
      <w:r w:rsidR="00392DA3" w:rsidRPr="00A33930">
        <w:rPr>
          <w:rFonts w:eastAsia="Verdana" w:cs="Verdana"/>
          <w:szCs w:val="18"/>
          <w:lang w:val="nl-NL"/>
        </w:rPr>
        <w:t>Te dien einde</w:t>
      </w:r>
      <w:r w:rsidR="00F3413F" w:rsidRPr="00A33930">
        <w:rPr>
          <w:rFonts w:eastAsia="Verdana" w:cs="Verdana"/>
          <w:szCs w:val="18"/>
          <w:lang w:val="nl-NL"/>
        </w:rPr>
        <w:t xml:space="preserve"> moet </w:t>
      </w:r>
      <w:r w:rsidR="00093B9E" w:rsidRPr="00A33930">
        <w:rPr>
          <w:rFonts w:eastAsia="Verdana" w:cs="Verdana"/>
          <w:szCs w:val="18"/>
          <w:lang w:val="nl-NL"/>
        </w:rPr>
        <w:t xml:space="preserve">worden </w:t>
      </w:r>
      <w:r w:rsidR="00F3413F" w:rsidRPr="00A33930">
        <w:rPr>
          <w:rFonts w:eastAsia="Verdana" w:cs="Verdana"/>
          <w:szCs w:val="18"/>
          <w:lang w:val="nl-NL"/>
        </w:rPr>
        <w:t xml:space="preserve">opgemerkt dat </w:t>
      </w:r>
      <w:r w:rsidR="000B5005" w:rsidRPr="00A33930">
        <w:rPr>
          <w:rFonts w:eastAsia="Verdana" w:cs="Verdana"/>
          <w:szCs w:val="18"/>
          <w:lang w:val="nl-NL"/>
        </w:rPr>
        <w:t xml:space="preserve">in Nederland wordt gesproken van </w:t>
      </w:r>
      <w:r w:rsidR="003A1C3D" w:rsidRPr="00A33930">
        <w:rPr>
          <w:rFonts w:eastAsia="Verdana" w:cs="Verdana"/>
          <w:szCs w:val="18"/>
          <w:lang w:val="nl-NL"/>
        </w:rPr>
        <w:t>“</w:t>
      </w:r>
      <w:r w:rsidR="000B5005" w:rsidRPr="00A33930">
        <w:rPr>
          <w:rFonts w:eastAsia="Verdana" w:cs="Verdana"/>
          <w:szCs w:val="18"/>
          <w:lang w:val="nl-NL"/>
        </w:rPr>
        <w:t>omgang</w:t>
      </w:r>
      <w:r w:rsidR="003A1C3D" w:rsidRPr="00A33930">
        <w:rPr>
          <w:rFonts w:eastAsia="Verdana" w:cs="Verdana"/>
          <w:szCs w:val="18"/>
          <w:lang w:val="nl-NL"/>
        </w:rPr>
        <w:t>”</w:t>
      </w:r>
      <w:r w:rsidR="000B5005" w:rsidRPr="00A33930">
        <w:rPr>
          <w:rFonts w:eastAsia="Verdana" w:cs="Verdana"/>
          <w:szCs w:val="18"/>
          <w:lang w:val="nl-NL"/>
        </w:rPr>
        <w:t xml:space="preserve"> wanneer het kind contact wenst met de meerderjarige die geen titularis is van het ouderlijk gezag. Wanneer er in Nederland over </w:t>
      </w:r>
      <w:r w:rsidR="003A1C3D" w:rsidRPr="00A33930">
        <w:rPr>
          <w:rFonts w:eastAsia="Verdana" w:cs="Verdana"/>
          <w:szCs w:val="18"/>
          <w:lang w:val="nl-NL"/>
        </w:rPr>
        <w:t>“</w:t>
      </w:r>
      <w:r w:rsidR="000B5005" w:rsidRPr="00A33930">
        <w:rPr>
          <w:rFonts w:eastAsia="Verdana" w:cs="Verdana"/>
          <w:szCs w:val="18"/>
          <w:lang w:val="nl-NL"/>
        </w:rPr>
        <w:t>contact</w:t>
      </w:r>
      <w:r w:rsidR="003A1C3D" w:rsidRPr="00A33930">
        <w:rPr>
          <w:rFonts w:eastAsia="Verdana" w:cs="Verdana"/>
          <w:szCs w:val="18"/>
          <w:lang w:val="nl-NL"/>
        </w:rPr>
        <w:t>”</w:t>
      </w:r>
      <w:r w:rsidR="000B5005" w:rsidRPr="00A33930">
        <w:rPr>
          <w:rFonts w:eastAsia="Verdana" w:cs="Verdana"/>
          <w:szCs w:val="18"/>
          <w:lang w:val="nl-NL"/>
        </w:rPr>
        <w:t xml:space="preserve"> wordt gesproken, gaat het voornamelijk over twee ouders met gezamenlijk ouderlijk gezag.</w:t>
      </w:r>
      <w:r w:rsidR="003A1C3D" w:rsidRPr="00A33930">
        <w:rPr>
          <w:rStyle w:val="Voetnootmarkering"/>
          <w:rFonts w:eastAsia="Verdana" w:cs="Verdana"/>
          <w:szCs w:val="18"/>
          <w:lang w:val="nl-NL"/>
        </w:rPr>
        <w:footnoteReference w:id="415"/>
      </w:r>
      <w:r w:rsidR="000B5005" w:rsidRPr="00A33930">
        <w:rPr>
          <w:rFonts w:eastAsia="Verdana" w:cs="Verdana"/>
          <w:szCs w:val="18"/>
          <w:lang w:val="nl-NL"/>
        </w:rPr>
        <w:t xml:space="preserve"> In de praktijk is er echter niet zoveel verschil tussen het gebruik van deze termen, waardoor vaak de algemene benaming “omgangsrecht” wordt gebruik.</w:t>
      </w:r>
      <w:r w:rsidR="000B5005" w:rsidRPr="00A33930">
        <w:rPr>
          <w:rStyle w:val="Voetnootmarkering"/>
          <w:rFonts w:eastAsia="Verdana" w:cs="Verdana"/>
          <w:szCs w:val="18"/>
          <w:lang w:val="nl-NL"/>
        </w:rPr>
        <w:footnoteReference w:id="416"/>
      </w:r>
    </w:p>
    <w:p w14:paraId="6D7F8987" w14:textId="3B4F585C" w:rsidR="00C83203" w:rsidRPr="00A33930" w:rsidRDefault="004D631D" w:rsidP="00C83203">
      <w:pPr>
        <w:pStyle w:val="Kop3"/>
        <w:numPr>
          <w:ilvl w:val="0"/>
          <w:numId w:val="0"/>
        </w:numPr>
        <w:spacing w:before="360"/>
        <w:ind w:left="357" w:hanging="357"/>
        <w:jc w:val="both"/>
        <w:rPr>
          <w:lang w:val="nl-NL"/>
        </w:rPr>
      </w:pPr>
      <w:bookmarkStart w:id="35" w:name="_Toc134621194"/>
      <w:r w:rsidRPr="00A33930">
        <w:rPr>
          <w:lang w:val="nl-NL"/>
        </w:rPr>
        <w:t>Afdeling I.</w:t>
      </w:r>
      <w:r w:rsidRPr="00A33930">
        <w:rPr>
          <w:lang w:val="nl-NL"/>
        </w:rPr>
        <w:tab/>
        <w:t>In de wet</w:t>
      </w:r>
      <w:bookmarkEnd w:id="35"/>
    </w:p>
    <w:p w14:paraId="615738D9" w14:textId="157E2913" w:rsidR="00C83203" w:rsidRPr="00A33930" w:rsidRDefault="00C83203" w:rsidP="00C83203">
      <w:pPr>
        <w:pStyle w:val="Kop4"/>
        <w:spacing w:before="240" w:after="120"/>
        <w:jc w:val="both"/>
        <w:rPr>
          <w:rFonts w:ascii="Verdana" w:hAnsi="Verdana"/>
          <w:b/>
          <w:bCs/>
          <w:color w:val="auto"/>
          <w:szCs w:val="18"/>
          <w:lang w:val="nl-NL"/>
        </w:rPr>
      </w:pPr>
      <w:r w:rsidRPr="00A33930">
        <w:rPr>
          <w:rFonts w:ascii="Verdana" w:hAnsi="Verdana"/>
          <w:b/>
          <w:bCs/>
          <w:color w:val="auto"/>
          <w:szCs w:val="18"/>
          <w:lang w:val="nl-NL"/>
        </w:rPr>
        <w:t>§1.</w:t>
      </w:r>
      <w:r w:rsidRPr="00A33930">
        <w:rPr>
          <w:rFonts w:ascii="Verdana" w:hAnsi="Verdana"/>
          <w:b/>
          <w:bCs/>
          <w:color w:val="auto"/>
          <w:szCs w:val="18"/>
          <w:lang w:val="nl-NL"/>
        </w:rPr>
        <w:tab/>
        <w:t>Kind</w:t>
      </w:r>
      <w:r w:rsidR="00E57778" w:rsidRPr="00A33930">
        <w:rPr>
          <w:rFonts w:ascii="Verdana" w:hAnsi="Verdana"/>
          <w:b/>
          <w:bCs/>
          <w:color w:val="auto"/>
          <w:szCs w:val="18"/>
          <w:lang w:val="nl-NL"/>
        </w:rPr>
        <w:t>perspectief</w:t>
      </w:r>
      <w:r w:rsidR="00D122D9" w:rsidRPr="00A33930">
        <w:rPr>
          <w:rFonts w:ascii="Verdana" w:hAnsi="Verdana"/>
          <w:b/>
          <w:bCs/>
          <w:color w:val="auto"/>
          <w:szCs w:val="18"/>
          <w:lang w:val="nl-NL"/>
        </w:rPr>
        <w:t>: kind als rechtssubject</w:t>
      </w:r>
    </w:p>
    <w:p w14:paraId="619D6D37" w14:textId="158E3628" w:rsidR="00FF7E92" w:rsidRPr="00A33930" w:rsidRDefault="008276BB" w:rsidP="008276BB">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Een eerste element van </w:t>
      </w:r>
      <w:r w:rsidR="00EF0180" w:rsidRPr="00A33930">
        <w:rPr>
          <w:rFonts w:eastAsia="Verdana" w:cs="Verdana"/>
          <w:szCs w:val="18"/>
          <w:lang w:val="nl-NL"/>
        </w:rPr>
        <w:t>de</w:t>
      </w:r>
      <w:r w:rsidR="005C59FE" w:rsidRPr="00A33930">
        <w:rPr>
          <w:rFonts w:eastAsia="Verdana" w:cs="Verdana"/>
          <w:szCs w:val="18"/>
          <w:lang w:val="nl-NL"/>
        </w:rPr>
        <w:t xml:space="preserve"> </w:t>
      </w:r>
      <w:r w:rsidR="00EF0180" w:rsidRPr="00A33930">
        <w:rPr>
          <w:rFonts w:eastAsia="Verdana" w:cs="Verdana"/>
          <w:szCs w:val="18"/>
          <w:lang w:val="nl-NL"/>
        </w:rPr>
        <w:t>minderjarigheid</w:t>
      </w:r>
      <w:r w:rsidRPr="00A33930">
        <w:rPr>
          <w:rFonts w:eastAsia="Verdana" w:cs="Verdana"/>
          <w:szCs w:val="18"/>
          <w:lang w:val="nl-NL"/>
        </w:rPr>
        <w:t xml:space="preserve"> naar Nederlands recht is dat </w:t>
      </w:r>
      <w:r w:rsidR="00EF0180" w:rsidRPr="00A33930">
        <w:rPr>
          <w:rFonts w:eastAsia="Verdana" w:cs="Verdana"/>
          <w:szCs w:val="18"/>
          <w:lang w:val="nl-NL"/>
        </w:rPr>
        <w:t>een minderjarige</w:t>
      </w:r>
      <w:r w:rsidRPr="00A33930">
        <w:rPr>
          <w:rFonts w:eastAsia="Verdana" w:cs="Verdana"/>
          <w:szCs w:val="18"/>
          <w:lang w:val="nl-NL"/>
        </w:rPr>
        <w:t xml:space="preserve"> als rechtssubject erkend </w:t>
      </w:r>
      <w:r w:rsidR="00EF0180" w:rsidRPr="00A33930">
        <w:rPr>
          <w:rFonts w:eastAsia="Verdana" w:cs="Verdana"/>
          <w:szCs w:val="18"/>
          <w:lang w:val="nl-NL"/>
        </w:rPr>
        <w:t>wordt</w:t>
      </w:r>
      <w:r w:rsidRPr="00A33930">
        <w:rPr>
          <w:rFonts w:eastAsia="Verdana" w:cs="Verdana"/>
          <w:szCs w:val="18"/>
          <w:lang w:val="nl-NL"/>
        </w:rPr>
        <w:t xml:space="preserve"> vanaf de geboorte.</w:t>
      </w:r>
      <w:r w:rsidRPr="00A33930">
        <w:rPr>
          <w:rStyle w:val="Voetnootmarkering"/>
          <w:rFonts w:eastAsia="Verdana" w:cs="Verdana"/>
          <w:szCs w:val="18"/>
          <w:lang w:val="nl-NL"/>
        </w:rPr>
        <w:footnoteReference w:id="417"/>
      </w:r>
      <w:r w:rsidRPr="00A33930">
        <w:rPr>
          <w:rFonts w:eastAsia="Verdana" w:cs="Verdana"/>
          <w:szCs w:val="18"/>
          <w:lang w:val="nl-NL"/>
        </w:rPr>
        <w:t xml:space="preserve"> In de juridische zin hebben zij </w:t>
      </w:r>
      <w:r w:rsidR="00EF0180" w:rsidRPr="00A33930">
        <w:rPr>
          <w:rFonts w:eastAsia="Verdana" w:cs="Verdana"/>
          <w:szCs w:val="18"/>
          <w:lang w:val="nl-NL"/>
        </w:rPr>
        <w:t xml:space="preserve">vanaf de geboorte het </w:t>
      </w:r>
      <w:r w:rsidRPr="00A33930">
        <w:rPr>
          <w:rFonts w:eastAsia="Verdana" w:cs="Verdana"/>
          <w:szCs w:val="18"/>
          <w:lang w:val="nl-NL"/>
        </w:rPr>
        <w:t xml:space="preserve">recht op genot van </w:t>
      </w:r>
      <w:r w:rsidR="00EF0180" w:rsidRPr="00A33930">
        <w:rPr>
          <w:rFonts w:eastAsia="Verdana" w:cs="Verdana"/>
          <w:szCs w:val="18"/>
          <w:lang w:val="nl-NL"/>
        </w:rPr>
        <w:t>de</w:t>
      </w:r>
      <w:r w:rsidRPr="00A33930">
        <w:rPr>
          <w:rFonts w:eastAsia="Verdana" w:cs="Verdana"/>
          <w:szCs w:val="18"/>
          <w:lang w:val="nl-NL"/>
        </w:rPr>
        <w:t xml:space="preserve"> burgerlijke rechten. </w:t>
      </w:r>
      <w:r w:rsidRPr="00A33930">
        <w:rPr>
          <w:lang w:val="nl-NL"/>
        </w:rPr>
        <w:t>Het</w:t>
      </w:r>
      <w:r w:rsidR="002B6711" w:rsidRPr="00A33930">
        <w:rPr>
          <w:lang w:val="nl-NL"/>
        </w:rPr>
        <w:t xml:space="preserve"> kind </w:t>
      </w:r>
      <w:r w:rsidRPr="00A33930">
        <w:rPr>
          <w:lang w:val="nl-NL"/>
        </w:rPr>
        <w:t xml:space="preserve">is zodus </w:t>
      </w:r>
      <w:r w:rsidR="002B6711" w:rsidRPr="00A33930">
        <w:rPr>
          <w:lang w:val="nl-NL"/>
        </w:rPr>
        <w:t>rechtsbekwaam en titularis van eigen subjectieve rechten.</w:t>
      </w:r>
      <w:r w:rsidR="002B6711" w:rsidRPr="00A33930">
        <w:rPr>
          <w:rStyle w:val="Voetnootmarkering"/>
          <w:lang w:val="nl-NL"/>
        </w:rPr>
        <w:footnoteReference w:id="418"/>
      </w:r>
      <w:r w:rsidR="002B6711" w:rsidRPr="00A33930">
        <w:rPr>
          <w:lang w:val="nl-NL"/>
        </w:rPr>
        <w:t xml:space="preserve"> </w:t>
      </w:r>
      <w:r w:rsidRPr="00A33930">
        <w:rPr>
          <w:lang w:val="nl-NL"/>
        </w:rPr>
        <w:t xml:space="preserve">Zij zijn echter </w:t>
      </w:r>
      <w:r w:rsidR="00B24EE0" w:rsidRPr="00A33930">
        <w:rPr>
          <w:lang w:val="nl-NL"/>
        </w:rPr>
        <w:t xml:space="preserve">in </w:t>
      </w:r>
      <w:r w:rsidR="00556F42" w:rsidRPr="00A33930">
        <w:rPr>
          <w:lang w:val="nl-NL"/>
        </w:rPr>
        <w:t>beginsel</w:t>
      </w:r>
      <w:r w:rsidRPr="00A33930">
        <w:rPr>
          <w:lang w:val="nl-NL"/>
        </w:rPr>
        <w:t xml:space="preserve"> handelings</w:t>
      </w:r>
      <w:r w:rsidR="00B24EE0" w:rsidRPr="00A33930">
        <w:rPr>
          <w:lang w:val="nl-NL"/>
        </w:rPr>
        <w:t>on</w:t>
      </w:r>
      <w:r w:rsidRPr="00A33930">
        <w:rPr>
          <w:lang w:val="nl-NL"/>
        </w:rPr>
        <w:t>bekwaam en kunnen deze rechten niet zelf uitoefenen.</w:t>
      </w:r>
      <w:r w:rsidR="007014FE" w:rsidRPr="00A33930">
        <w:rPr>
          <w:rStyle w:val="Voetnootmarkering"/>
          <w:lang w:val="nl-NL"/>
        </w:rPr>
        <w:footnoteReference w:id="419"/>
      </w:r>
      <w:r w:rsidRPr="00A33930">
        <w:rPr>
          <w:lang w:val="nl-NL"/>
        </w:rPr>
        <w:t xml:space="preserve"> Dat gebeurt door een wettelijke vertegenwoordiger, meest</w:t>
      </w:r>
      <w:r w:rsidR="00FF7E92" w:rsidRPr="00A33930">
        <w:rPr>
          <w:lang w:val="nl-NL"/>
        </w:rPr>
        <w:t>a</w:t>
      </w:r>
      <w:r w:rsidRPr="00A33930">
        <w:rPr>
          <w:lang w:val="nl-NL"/>
        </w:rPr>
        <w:t>l de ouder(s).</w:t>
      </w:r>
      <w:r w:rsidRPr="00A33930">
        <w:rPr>
          <w:rStyle w:val="Voetnootmarkering"/>
          <w:lang w:val="nl-NL"/>
        </w:rPr>
        <w:footnoteReference w:id="420"/>
      </w:r>
      <w:r w:rsidRPr="00A33930">
        <w:rPr>
          <w:lang w:val="nl-NL"/>
        </w:rPr>
        <w:t xml:space="preserve"> </w:t>
      </w:r>
      <w:r w:rsidR="00145343" w:rsidRPr="00A33930">
        <w:rPr>
          <w:lang w:val="nl-NL"/>
        </w:rPr>
        <w:t>Sinds 1995 is een minderjarige bekwaam</w:t>
      </w:r>
      <w:r w:rsidR="002B6711" w:rsidRPr="00A33930">
        <w:rPr>
          <w:lang w:val="nl-NL"/>
        </w:rPr>
        <w:t xml:space="preserve"> om rechtshandelingen te stellen met toestemming van de ouder</w:t>
      </w:r>
      <w:r w:rsidR="00FF7E92" w:rsidRPr="00A33930">
        <w:rPr>
          <w:lang w:val="nl-NL"/>
        </w:rPr>
        <w:t xml:space="preserve"> </w:t>
      </w:r>
      <w:r w:rsidR="002B6711" w:rsidRPr="00A33930">
        <w:rPr>
          <w:lang w:val="nl-NL"/>
        </w:rPr>
        <w:t>indien de wet niets anders bepaalt.</w:t>
      </w:r>
      <w:r w:rsidR="002B6711" w:rsidRPr="00A33930">
        <w:rPr>
          <w:rStyle w:val="Voetnootmarkering"/>
          <w:lang w:val="nl-NL"/>
        </w:rPr>
        <w:footnoteReference w:id="421"/>
      </w:r>
      <w:r w:rsidR="002B6711" w:rsidRPr="00A33930">
        <w:rPr>
          <w:lang w:val="nl-NL"/>
        </w:rPr>
        <w:t xml:space="preserve"> Dit betreft een </w:t>
      </w:r>
      <w:r w:rsidRPr="00A33930">
        <w:rPr>
          <w:lang w:val="nl-NL"/>
        </w:rPr>
        <w:t xml:space="preserve">afwijking van de </w:t>
      </w:r>
      <w:r w:rsidR="002B6711" w:rsidRPr="00A33930">
        <w:rPr>
          <w:lang w:val="nl-NL"/>
        </w:rPr>
        <w:lastRenderedPageBreak/>
        <w:t>principiële handelings</w:t>
      </w:r>
      <w:r w:rsidRPr="00A33930">
        <w:rPr>
          <w:lang w:val="nl-NL"/>
        </w:rPr>
        <w:t>on</w:t>
      </w:r>
      <w:r w:rsidR="002B6711" w:rsidRPr="00A33930">
        <w:rPr>
          <w:lang w:val="nl-NL"/>
        </w:rPr>
        <w:t>bekwaamheid</w:t>
      </w:r>
      <w:r w:rsidR="007014FE" w:rsidRPr="00A33930">
        <w:rPr>
          <w:lang w:val="nl-NL"/>
        </w:rPr>
        <w:t>,</w:t>
      </w:r>
      <w:r w:rsidR="00FF7E92" w:rsidRPr="00A33930">
        <w:rPr>
          <w:lang w:val="nl-NL"/>
        </w:rPr>
        <w:t xml:space="preserve"> zijnde</w:t>
      </w:r>
      <w:r w:rsidR="007014FE" w:rsidRPr="00A33930">
        <w:rPr>
          <w:lang w:val="nl-NL"/>
        </w:rPr>
        <w:t xml:space="preserve"> de partiële handelingsbekwaamheid</w:t>
      </w:r>
      <w:r w:rsidR="002B6711" w:rsidRPr="00A33930">
        <w:rPr>
          <w:lang w:val="nl-NL"/>
        </w:rPr>
        <w:t>.</w:t>
      </w:r>
      <w:r w:rsidR="002B6711" w:rsidRPr="00A33930">
        <w:rPr>
          <w:rStyle w:val="Voetnootmarkering"/>
          <w:lang w:val="nl-NL"/>
        </w:rPr>
        <w:footnoteReference w:id="422"/>
      </w:r>
      <w:r w:rsidR="00E74826" w:rsidRPr="00A33930">
        <w:rPr>
          <w:lang w:val="nl-NL"/>
        </w:rPr>
        <w:t xml:space="preserve"> Als criterium geldt hier de gebruikelijkheid van de rechtshandeling voor de leeftijd van de minderjarige.</w:t>
      </w:r>
      <w:r w:rsidR="00E74826" w:rsidRPr="00A33930">
        <w:rPr>
          <w:rStyle w:val="Voetnootmarkering"/>
          <w:lang w:val="nl-NL"/>
        </w:rPr>
        <w:footnoteReference w:id="423"/>
      </w:r>
      <w:r w:rsidR="00E74826" w:rsidRPr="00A33930">
        <w:rPr>
          <w:rFonts w:eastAsia="Verdana" w:cs="Verdana"/>
          <w:szCs w:val="18"/>
          <w:lang w:val="nl-NL"/>
        </w:rPr>
        <w:t xml:space="preserve"> </w:t>
      </w:r>
      <w:r w:rsidR="00E94F87" w:rsidRPr="00A33930">
        <w:rPr>
          <w:lang w:val="nl-NL"/>
        </w:rPr>
        <w:t>Hoe ouder het kind, hoe meer bekwaam hij of zij wordt geacht.</w:t>
      </w:r>
      <w:r w:rsidR="00E94F87" w:rsidRPr="00A33930">
        <w:rPr>
          <w:rStyle w:val="Voetnootmarkering"/>
          <w:lang w:val="nl-NL"/>
        </w:rPr>
        <w:footnoteReference w:id="424"/>
      </w:r>
    </w:p>
    <w:p w14:paraId="457B4CA4" w14:textId="77777777" w:rsidR="00FF7E92" w:rsidRPr="00A33930" w:rsidRDefault="00FF7E92" w:rsidP="00FF7E92">
      <w:pPr>
        <w:pStyle w:val="Lijstalinea"/>
        <w:spacing w:before="200" w:after="0"/>
        <w:ind w:left="0"/>
        <w:jc w:val="both"/>
        <w:rPr>
          <w:rFonts w:eastAsia="Verdana" w:cs="Verdana"/>
          <w:szCs w:val="18"/>
          <w:lang w:val="nl-NL"/>
        </w:rPr>
      </w:pPr>
    </w:p>
    <w:p w14:paraId="277C525D" w14:textId="12C825AF" w:rsidR="00E51C3F" w:rsidRPr="00A33930" w:rsidRDefault="00260163" w:rsidP="00FF7E92">
      <w:pPr>
        <w:pStyle w:val="Lijstalinea"/>
        <w:numPr>
          <w:ilvl w:val="0"/>
          <w:numId w:val="4"/>
        </w:numPr>
        <w:spacing w:before="200" w:after="0"/>
        <w:ind w:left="0" w:firstLine="0"/>
        <w:jc w:val="both"/>
        <w:rPr>
          <w:rFonts w:eastAsia="Verdana" w:cs="Verdana"/>
          <w:szCs w:val="18"/>
          <w:lang w:val="nl-NL"/>
        </w:rPr>
      </w:pPr>
      <w:r w:rsidRPr="00A33930">
        <w:rPr>
          <w:lang w:val="nl-NL"/>
        </w:rPr>
        <w:t xml:space="preserve">Ieder kind is dus rechtsbekwaam vanaf de geboorte en </w:t>
      </w:r>
      <w:r w:rsidR="00AE042F" w:rsidRPr="00A33930">
        <w:rPr>
          <w:lang w:val="nl-NL"/>
        </w:rPr>
        <w:t>partieel</w:t>
      </w:r>
      <w:r w:rsidRPr="00A33930">
        <w:rPr>
          <w:lang w:val="nl-NL"/>
        </w:rPr>
        <w:t xml:space="preserve"> handelingsbekwaam, maar daarom nog niet procesbekwaam. </w:t>
      </w:r>
      <w:r w:rsidR="00FC1448" w:rsidRPr="00A33930">
        <w:rPr>
          <w:lang w:val="nl-NL"/>
        </w:rPr>
        <w:t>Het kind is procesonbekwaam</w:t>
      </w:r>
      <w:r w:rsidRPr="00A33930">
        <w:rPr>
          <w:lang w:val="nl-NL"/>
        </w:rPr>
        <w:t xml:space="preserve"> waardoor </w:t>
      </w:r>
      <w:r w:rsidR="00556F42" w:rsidRPr="00A33930">
        <w:rPr>
          <w:lang w:val="nl-NL"/>
        </w:rPr>
        <w:t>hij</w:t>
      </w:r>
      <w:r w:rsidR="00FC1448" w:rsidRPr="00A33930">
        <w:rPr>
          <w:lang w:val="nl-NL"/>
        </w:rPr>
        <w:t xml:space="preserve"> </w:t>
      </w:r>
      <w:r w:rsidR="00FF7E92" w:rsidRPr="00A33930">
        <w:rPr>
          <w:lang w:val="nl-NL"/>
        </w:rPr>
        <w:t xml:space="preserve">voor de rechtbank </w:t>
      </w:r>
      <w:r w:rsidR="00FC1448" w:rsidRPr="00A33930">
        <w:rPr>
          <w:lang w:val="nl-NL"/>
        </w:rPr>
        <w:t>word</w:t>
      </w:r>
      <w:r w:rsidR="00556F42" w:rsidRPr="00A33930">
        <w:rPr>
          <w:lang w:val="nl-NL"/>
        </w:rPr>
        <w:t>t</w:t>
      </w:r>
      <w:r w:rsidR="00FC1448" w:rsidRPr="00A33930">
        <w:rPr>
          <w:lang w:val="nl-NL"/>
        </w:rPr>
        <w:t xml:space="preserve"> vertegenwoordigd door </w:t>
      </w:r>
      <w:r w:rsidR="00556F42" w:rsidRPr="00A33930">
        <w:rPr>
          <w:lang w:val="nl-NL"/>
        </w:rPr>
        <w:t>een</w:t>
      </w:r>
      <w:r w:rsidR="00FC1448" w:rsidRPr="00A33930">
        <w:rPr>
          <w:lang w:val="nl-NL"/>
        </w:rPr>
        <w:t xml:space="preserve"> wettelijk vertegenwoordiger, </w:t>
      </w:r>
      <w:r w:rsidR="00EF0180" w:rsidRPr="00A33930">
        <w:rPr>
          <w:lang w:val="nl-NL"/>
        </w:rPr>
        <w:t xml:space="preserve">meestal </w:t>
      </w:r>
      <w:r w:rsidR="00FC1448" w:rsidRPr="00A33930">
        <w:rPr>
          <w:lang w:val="nl-NL"/>
        </w:rPr>
        <w:t>de ouders.</w:t>
      </w:r>
      <w:r w:rsidR="00FC1448" w:rsidRPr="00A33930">
        <w:rPr>
          <w:rStyle w:val="Voetnootmarkering"/>
          <w:lang w:val="nl-NL"/>
        </w:rPr>
        <w:footnoteReference w:id="425"/>
      </w:r>
      <w:r w:rsidR="00FF7E92" w:rsidRPr="00A33930">
        <w:rPr>
          <w:rFonts w:eastAsia="Verdana" w:cs="Verdana"/>
          <w:szCs w:val="18"/>
          <w:lang w:val="nl-NL"/>
        </w:rPr>
        <w:t xml:space="preserve"> </w:t>
      </w:r>
      <w:r w:rsidR="00E74826" w:rsidRPr="00A33930">
        <w:rPr>
          <w:lang w:val="nl-NL"/>
        </w:rPr>
        <w:t xml:space="preserve">Nederland </w:t>
      </w:r>
      <w:r w:rsidRPr="00A33930">
        <w:rPr>
          <w:lang w:val="nl-NL"/>
        </w:rPr>
        <w:t xml:space="preserve">vertrekt voor bepaalde handelingen </w:t>
      </w:r>
      <w:r w:rsidR="00E94F87" w:rsidRPr="00A33930">
        <w:rPr>
          <w:lang w:val="nl-NL"/>
        </w:rPr>
        <w:t xml:space="preserve">echter </w:t>
      </w:r>
      <w:r w:rsidRPr="00A33930">
        <w:rPr>
          <w:lang w:val="nl-NL"/>
        </w:rPr>
        <w:t xml:space="preserve">vanuit een procesbekwaamheid en </w:t>
      </w:r>
      <w:r w:rsidR="00E74826" w:rsidRPr="00A33930">
        <w:rPr>
          <w:lang w:val="nl-NL"/>
        </w:rPr>
        <w:t>stelt</w:t>
      </w:r>
      <w:r w:rsidRPr="00A33930">
        <w:rPr>
          <w:lang w:val="nl-NL"/>
        </w:rPr>
        <w:t xml:space="preserve"> dus</w:t>
      </w:r>
      <w:r w:rsidR="00E74826" w:rsidRPr="00A33930">
        <w:rPr>
          <w:lang w:val="nl-NL"/>
        </w:rPr>
        <w:t xml:space="preserve"> </w:t>
      </w:r>
      <w:r w:rsidR="00F92CA0" w:rsidRPr="00A33930">
        <w:rPr>
          <w:lang w:val="nl-NL"/>
        </w:rPr>
        <w:t>geen principiële</w:t>
      </w:r>
      <w:r w:rsidR="00E74826" w:rsidRPr="00A33930">
        <w:rPr>
          <w:lang w:val="nl-NL"/>
        </w:rPr>
        <w:t xml:space="preserve"> procesonbekwaamheid voorop.</w:t>
      </w:r>
      <w:r w:rsidR="00F92CA0" w:rsidRPr="00A33930">
        <w:rPr>
          <w:rStyle w:val="Voetnootmarkering"/>
          <w:lang w:val="nl-NL"/>
        </w:rPr>
        <w:footnoteReference w:id="426"/>
      </w:r>
      <w:r w:rsidR="007014FE" w:rsidRPr="00A33930">
        <w:rPr>
          <w:lang w:val="nl-NL"/>
        </w:rPr>
        <w:t xml:space="preserve"> </w:t>
      </w:r>
      <w:r w:rsidR="00B24EE0" w:rsidRPr="00A33930">
        <w:rPr>
          <w:lang w:val="nl-NL"/>
        </w:rPr>
        <w:t xml:space="preserve">Het is volgens het Nederlands recht niet wenselijk dat elke rechtsvordering die uitgaat van een minderjarige wordt afgewezen enkel en alleen omwille van zijn leeftijd. </w:t>
      </w:r>
      <w:r w:rsidR="00E74826" w:rsidRPr="00A33930">
        <w:rPr>
          <w:lang w:val="nl-NL"/>
        </w:rPr>
        <w:t xml:space="preserve">Het NBW heeft </w:t>
      </w:r>
      <w:r w:rsidR="00B24EE0" w:rsidRPr="00A33930">
        <w:rPr>
          <w:lang w:val="nl-NL"/>
        </w:rPr>
        <w:t xml:space="preserve">daarom </w:t>
      </w:r>
      <w:r w:rsidR="00E74826" w:rsidRPr="00A33930">
        <w:rPr>
          <w:lang w:val="nl-NL"/>
        </w:rPr>
        <w:t xml:space="preserve">voorzien in een oneigenlijke uitzondering op de procesonbekwaamheid in zaken betreffende het omgangsrecht. </w:t>
      </w:r>
      <w:r w:rsidR="007014FE" w:rsidRPr="00A33930">
        <w:rPr>
          <w:lang w:val="nl-NL"/>
        </w:rPr>
        <w:t>Het kind kan zich schriftelijk of telefonisch tot de rechter richten en hem verzoeken uitspraak te doen over een omgangsregeling.</w:t>
      </w:r>
      <w:r w:rsidR="007014FE" w:rsidRPr="00A33930">
        <w:rPr>
          <w:rStyle w:val="Voetnootmarkering"/>
          <w:lang w:val="nl-NL"/>
        </w:rPr>
        <w:footnoteReference w:id="427"/>
      </w:r>
      <w:r w:rsidR="007014FE" w:rsidRPr="00A33930">
        <w:rPr>
          <w:lang w:val="nl-NL"/>
        </w:rPr>
        <w:t xml:space="preserve"> </w:t>
      </w:r>
      <w:r w:rsidR="00E74826" w:rsidRPr="00A33930">
        <w:rPr>
          <w:lang w:val="nl-NL"/>
        </w:rPr>
        <w:t xml:space="preserve">Indien een kind vanaf de leeftijd van twaalf jaar </w:t>
      </w:r>
      <w:r w:rsidR="00EF0180" w:rsidRPr="00A33930">
        <w:rPr>
          <w:lang w:val="nl-NL"/>
        </w:rPr>
        <w:t>zo verzoekt</w:t>
      </w:r>
      <w:r w:rsidR="00E74826" w:rsidRPr="00A33930">
        <w:rPr>
          <w:lang w:val="nl-NL"/>
        </w:rPr>
        <w:t>, kan een rechter een beslissing nemen.</w:t>
      </w:r>
      <w:r w:rsidR="00E74826" w:rsidRPr="00A33930">
        <w:rPr>
          <w:rStyle w:val="Voetnootmarkering"/>
          <w:lang w:val="nl-NL"/>
        </w:rPr>
        <w:footnoteReference w:id="428"/>
      </w:r>
      <w:r w:rsidR="00E74826" w:rsidRPr="00A33930">
        <w:rPr>
          <w:lang w:val="nl-NL"/>
        </w:rPr>
        <w:t xml:space="preserve"> Indien de leeftijd van twaalf jaar nog niet is bereikt, </w:t>
      </w:r>
      <w:r w:rsidR="00EF0180" w:rsidRPr="00A33930">
        <w:rPr>
          <w:lang w:val="nl-NL"/>
        </w:rPr>
        <w:t>neemt de rechter</w:t>
      </w:r>
      <w:r w:rsidR="00E74826" w:rsidRPr="00A33930">
        <w:rPr>
          <w:lang w:val="nl-NL"/>
        </w:rPr>
        <w:t xml:space="preserve"> een “redelijke waardering” van zijn belangen ter harte</w:t>
      </w:r>
      <w:r w:rsidR="00EF0180" w:rsidRPr="00A33930">
        <w:rPr>
          <w:lang w:val="nl-NL"/>
        </w:rPr>
        <w:t xml:space="preserve"> in zijn beoordeling</w:t>
      </w:r>
      <w:r w:rsidR="00E74826" w:rsidRPr="00A33930">
        <w:rPr>
          <w:lang w:val="nl-NL"/>
        </w:rPr>
        <w:t>. Dit betreft echter een zeer informele rechtsingang doordat de minderjarige in essentie nog steeds procesonbekwaam is</w:t>
      </w:r>
      <w:r w:rsidR="00E94F87" w:rsidRPr="00A33930">
        <w:rPr>
          <w:lang w:val="nl-NL"/>
        </w:rPr>
        <w:t>. Dat heeft tot gevolg dat d</w:t>
      </w:r>
      <w:r w:rsidR="007014FE" w:rsidRPr="00A33930">
        <w:rPr>
          <w:lang w:val="nl-NL"/>
        </w:rPr>
        <w:t xml:space="preserve">e rechter </w:t>
      </w:r>
      <w:r w:rsidR="00E94F87" w:rsidRPr="00A33930">
        <w:rPr>
          <w:lang w:val="nl-NL"/>
        </w:rPr>
        <w:t xml:space="preserve">ambtshalve </w:t>
      </w:r>
      <w:r w:rsidR="007014FE" w:rsidRPr="00A33930">
        <w:rPr>
          <w:lang w:val="nl-NL"/>
        </w:rPr>
        <w:t>een beslissing</w:t>
      </w:r>
      <w:r w:rsidR="00E94F87" w:rsidRPr="00A33930">
        <w:rPr>
          <w:lang w:val="nl-NL"/>
        </w:rPr>
        <w:t xml:space="preserve"> kan nemen,</w:t>
      </w:r>
      <w:r w:rsidR="007014FE" w:rsidRPr="00A33930">
        <w:rPr>
          <w:lang w:val="nl-NL"/>
        </w:rPr>
        <w:t xml:space="preserve"> maar de minderjarige </w:t>
      </w:r>
      <w:r w:rsidR="00093B9E" w:rsidRPr="00A33930">
        <w:rPr>
          <w:lang w:val="nl-NL"/>
        </w:rPr>
        <w:t xml:space="preserve">niet beschikt over een mogelijkheid om </w:t>
      </w:r>
      <w:r w:rsidR="007014FE" w:rsidRPr="00A33930">
        <w:rPr>
          <w:lang w:val="nl-NL"/>
        </w:rPr>
        <w:t xml:space="preserve">hiertegen </w:t>
      </w:r>
      <w:r w:rsidR="00093B9E" w:rsidRPr="00A33930">
        <w:rPr>
          <w:lang w:val="nl-NL"/>
        </w:rPr>
        <w:t>zelf</w:t>
      </w:r>
      <w:r w:rsidR="007014FE" w:rsidRPr="00A33930">
        <w:rPr>
          <w:lang w:val="nl-NL"/>
        </w:rPr>
        <w:t xml:space="preserve"> beroep </w:t>
      </w:r>
      <w:r w:rsidR="00093B9E" w:rsidRPr="00A33930">
        <w:rPr>
          <w:lang w:val="nl-NL"/>
        </w:rPr>
        <w:t>in te stellen</w:t>
      </w:r>
      <w:r w:rsidR="007014FE" w:rsidRPr="00A33930">
        <w:rPr>
          <w:lang w:val="nl-NL"/>
        </w:rPr>
        <w:t>.</w:t>
      </w:r>
      <w:r w:rsidR="007014FE" w:rsidRPr="00A33930">
        <w:rPr>
          <w:rStyle w:val="Voetnootmarkering"/>
          <w:lang w:val="nl-NL"/>
        </w:rPr>
        <w:footnoteReference w:id="429"/>
      </w:r>
    </w:p>
    <w:p w14:paraId="3B4FDA67" w14:textId="77777777" w:rsidR="008276BB" w:rsidRPr="00A33930" w:rsidRDefault="008276BB" w:rsidP="008276BB">
      <w:pPr>
        <w:pStyle w:val="Lijstalinea"/>
        <w:spacing w:before="200" w:after="0"/>
        <w:ind w:left="0"/>
        <w:jc w:val="both"/>
        <w:rPr>
          <w:rFonts w:eastAsia="Verdana" w:cs="Verdana"/>
          <w:szCs w:val="18"/>
          <w:lang w:val="nl-NL"/>
        </w:rPr>
      </w:pPr>
    </w:p>
    <w:p w14:paraId="41A2A07D" w14:textId="567C1867" w:rsidR="00A84AE7" w:rsidRPr="00A33930" w:rsidRDefault="008276BB" w:rsidP="004829E0">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Een tweede element van de minderjarigheid vormt het ouderlijk gezag</w:t>
      </w:r>
      <w:r w:rsidR="00093B9E" w:rsidRPr="00A33930">
        <w:rPr>
          <w:rFonts w:eastAsia="Verdana" w:cs="Verdana"/>
          <w:szCs w:val="18"/>
          <w:lang w:val="nl-NL"/>
        </w:rPr>
        <w:t>.</w:t>
      </w:r>
      <w:r w:rsidRPr="00A33930">
        <w:rPr>
          <w:rFonts w:eastAsia="Verdana" w:cs="Verdana"/>
          <w:szCs w:val="18"/>
          <w:lang w:val="nl-NL"/>
        </w:rPr>
        <w:t xml:space="preserve"> </w:t>
      </w:r>
      <w:r w:rsidR="007014FE" w:rsidRPr="00A33930">
        <w:rPr>
          <w:rFonts w:eastAsia="Verdana" w:cs="Verdana"/>
          <w:szCs w:val="18"/>
          <w:lang w:val="nl-NL"/>
        </w:rPr>
        <w:t>Het uitgangspunt hierbij is dat iedere minderjarige onder gezag staat van een meerderjarige</w:t>
      </w:r>
      <w:r w:rsidR="00540208" w:rsidRPr="00A33930">
        <w:rPr>
          <w:rFonts w:eastAsia="Verdana" w:cs="Verdana"/>
          <w:szCs w:val="18"/>
          <w:lang w:val="nl-NL"/>
        </w:rPr>
        <w:t xml:space="preserve">, dat aanvangt vanaf </w:t>
      </w:r>
      <w:r w:rsidR="002C4C71" w:rsidRPr="00A33930">
        <w:rPr>
          <w:rFonts w:eastAsia="Verdana" w:cs="Verdana"/>
          <w:szCs w:val="18"/>
          <w:lang w:val="nl-NL"/>
        </w:rPr>
        <w:t>zijn</w:t>
      </w:r>
      <w:r w:rsidR="00540208" w:rsidRPr="00A33930">
        <w:rPr>
          <w:rFonts w:eastAsia="Verdana" w:cs="Verdana"/>
          <w:szCs w:val="18"/>
          <w:lang w:val="nl-NL"/>
        </w:rPr>
        <w:t xml:space="preserve"> geboorte.</w:t>
      </w:r>
      <w:r w:rsidR="00540208" w:rsidRPr="00A33930">
        <w:rPr>
          <w:rStyle w:val="Voetnootmarkering"/>
          <w:rFonts w:eastAsia="Verdana" w:cs="Verdana"/>
          <w:szCs w:val="18"/>
          <w:lang w:val="nl-NL"/>
        </w:rPr>
        <w:footnoteReference w:id="430"/>
      </w:r>
      <w:r w:rsidR="007014FE" w:rsidRPr="00A33930">
        <w:rPr>
          <w:rFonts w:eastAsia="Verdana" w:cs="Verdana"/>
          <w:szCs w:val="18"/>
          <w:lang w:val="nl-NL"/>
        </w:rPr>
        <w:t xml:space="preserve"> </w:t>
      </w:r>
      <w:r w:rsidR="00E74826" w:rsidRPr="00A33930">
        <w:rPr>
          <w:rFonts w:eastAsia="Verdana" w:cs="Verdana"/>
          <w:szCs w:val="18"/>
          <w:lang w:val="nl-NL"/>
        </w:rPr>
        <w:t xml:space="preserve">De ouderlijke verantwoordelijkheden </w:t>
      </w:r>
      <w:r w:rsidR="00093B9E" w:rsidRPr="00A33930">
        <w:rPr>
          <w:rFonts w:eastAsia="Verdana" w:cs="Verdana"/>
          <w:szCs w:val="18"/>
          <w:lang w:val="nl-NL"/>
        </w:rPr>
        <w:t>vloeien</w:t>
      </w:r>
      <w:r w:rsidR="00E74826" w:rsidRPr="00A33930">
        <w:rPr>
          <w:rFonts w:eastAsia="Verdana" w:cs="Verdana"/>
          <w:szCs w:val="18"/>
          <w:lang w:val="nl-NL"/>
        </w:rPr>
        <w:t xml:space="preserve"> voort uit de natuurlijke verbinding tussen ouder en kind.</w:t>
      </w:r>
      <w:r w:rsidR="00A84AE7" w:rsidRPr="00A33930">
        <w:rPr>
          <w:rStyle w:val="Voetnootmarkering"/>
          <w:rFonts w:eastAsia="Verdana" w:cs="Verdana"/>
          <w:szCs w:val="18"/>
          <w:lang w:val="nl-NL"/>
        </w:rPr>
        <w:footnoteReference w:id="431"/>
      </w:r>
      <w:r w:rsidR="00E74826" w:rsidRPr="00A33930">
        <w:rPr>
          <w:rFonts w:eastAsia="Verdana" w:cs="Verdana"/>
          <w:szCs w:val="18"/>
          <w:lang w:val="nl-NL"/>
        </w:rPr>
        <w:t xml:space="preserve"> </w:t>
      </w:r>
      <w:r w:rsidR="00A84AE7" w:rsidRPr="00A33930">
        <w:rPr>
          <w:rFonts w:eastAsia="Verdana" w:cs="Verdana"/>
          <w:szCs w:val="18"/>
          <w:lang w:val="nl-NL"/>
        </w:rPr>
        <w:t>Dit ouderlijk gezag is niet alleen weggelegd voor de juridische ouders, maar ook voor sociale ouders</w:t>
      </w:r>
      <w:r w:rsidR="00FF7E92" w:rsidRPr="00A33930">
        <w:rPr>
          <w:rFonts w:eastAsia="Verdana" w:cs="Verdana"/>
          <w:szCs w:val="18"/>
          <w:lang w:val="nl-NL"/>
        </w:rPr>
        <w:t xml:space="preserve"> zoals grootouders, meters en peters</w:t>
      </w:r>
      <w:r w:rsidR="00725F3F" w:rsidRPr="00A33930">
        <w:rPr>
          <w:rFonts w:eastAsia="Verdana" w:cs="Verdana"/>
          <w:szCs w:val="18"/>
          <w:lang w:val="nl-NL"/>
        </w:rPr>
        <w:t>, ex-stiefouders, biologische ouder</w:t>
      </w:r>
      <w:r w:rsidR="00EF0180" w:rsidRPr="00A33930">
        <w:rPr>
          <w:rFonts w:eastAsia="Verdana" w:cs="Verdana"/>
          <w:szCs w:val="18"/>
          <w:lang w:val="nl-NL"/>
        </w:rPr>
        <w:t>s</w:t>
      </w:r>
      <w:r w:rsidR="00FF7E92" w:rsidRPr="00A33930">
        <w:rPr>
          <w:rFonts w:eastAsia="Verdana" w:cs="Verdana"/>
          <w:szCs w:val="18"/>
          <w:lang w:val="nl-NL"/>
        </w:rPr>
        <w:t xml:space="preserve"> etc</w:t>
      </w:r>
      <w:r w:rsidR="00A84AE7" w:rsidRPr="00A33930">
        <w:rPr>
          <w:rFonts w:eastAsia="Verdana" w:cs="Verdana"/>
          <w:szCs w:val="18"/>
          <w:lang w:val="nl-NL"/>
        </w:rPr>
        <w:t>.</w:t>
      </w:r>
      <w:r w:rsidR="00725F3F" w:rsidRPr="00A33930">
        <w:rPr>
          <w:rStyle w:val="Voetnootmarkering"/>
          <w:rFonts w:eastAsia="Verdana" w:cs="Verdana"/>
          <w:szCs w:val="18"/>
          <w:lang w:val="nl-NL"/>
        </w:rPr>
        <w:footnoteReference w:id="432"/>
      </w:r>
      <w:r w:rsidR="00A84AE7" w:rsidRPr="00A33930">
        <w:rPr>
          <w:rFonts w:eastAsia="Verdana" w:cs="Verdana"/>
          <w:szCs w:val="18"/>
          <w:lang w:val="nl-NL"/>
        </w:rPr>
        <w:t xml:space="preserve"> De </w:t>
      </w:r>
      <w:r w:rsidR="00FF7E92" w:rsidRPr="00A33930">
        <w:rPr>
          <w:rFonts w:eastAsia="Verdana" w:cs="Verdana"/>
          <w:szCs w:val="18"/>
          <w:lang w:val="nl-NL"/>
        </w:rPr>
        <w:t>meerderjarige</w:t>
      </w:r>
      <w:r w:rsidR="00A84AE7" w:rsidRPr="00A33930">
        <w:rPr>
          <w:rFonts w:eastAsia="Verdana" w:cs="Verdana"/>
          <w:szCs w:val="18"/>
          <w:lang w:val="nl-NL"/>
        </w:rPr>
        <w:t xml:space="preserve"> die ten aanzien van het kind taken </w:t>
      </w:r>
      <w:r w:rsidR="003B5B5D" w:rsidRPr="00A33930">
        <w:rPr>
          <w:rFonts w:eastAsia="Verdana" w:cs="Verdana"/>
          <w:szCs w:val="18"/>
          <w:lang w:val="nl-NL"/>
        </w:rPr>
        <w:t xml:space="preserve">en </w:t>
      </w:r>
      <w:r w:rsidR="00A84AE7" w:rsidRPr="00A33930">
        <w:rPr>
          <w:rFonts w:eastAsia="Verdana" w:cs="Verdana"/>
          <w:szCs w:val="18"/>
          <w:lang w:val="nl-NL"/>
        </w:rPr>
        <w:t xml:space="preserve">verantwoordelijkheden </w:t>
      </w:r>
      <w:r w:rsidR="00FF7E92" w:rsidRPr="00A33930">
        <w:rPr>
          <w:rFonts w:eastAsia="Verdana" w:cs="Verdana"/>
          <w:szCs w:val="18"/>
          <w:lang w:val="nl-NL"/>
        </w:rPr>
        <w:t>eigen aan</w:t>
      </w:r>
      <w:r w:rsidR="00A84AE7" w:rsidRPr="00A33930">
        <w:rPr>
          <w:rFonts w:eastAsia="Verdana" w:cs="Verdana"/>
          <w:szCs w:val="18"/>
          <w:lang w:val="nl-NL"/>
        </w:rPr>
        <w:t xml:space="preserve"> het </w:t>
      </w:r>
      <w:r w:rsidR="00FF7E92" w:rsidRPr="00A33930">
        <w:rPr>
          <w:rFonts w:eastAsia="Verdana" w:cs="Verdana"/>
          <w:szCs w:val="18"/>
          <w:lang w:val="nl-NL"/>
        </w:rPr>
        <w:lastRenderedPageBreak/>
        <w:t>ouderschap</w:t>
      </w:r>
      <w:r w:rsidR="00A84AE7" w:rsidRPr="00A33930">
        <w:rPr>
          <w:rFonts w:eastAsia="Verdana" w:cs="Verdana"/>
          <w:szCs w:val="18"/>
          <w:lang w:val="nl-NL"/>
        </w:rPr>
        <w:t xml:space="preserve"> opneemt</w:t>
      </w:r>
      <w:r w:rsidR="00FF7E92" w:rsidRPr="00A33930">
        <w:rPr>
          <w:rFonts w:eastAsia="Verdana" w:cs="Verdana"/>
          <w:szCs w:val="18"/>
          <w:lang w:val="nl-NL"/>
        </w:rPr>
        <w:t>,</w:t>
      </w:r>
      <w:r w:rsidR="00A84AE7" w:rsidRPr="00A33930">
        <w:rPr>
          <w:rFonts w:eastAsia="Verdana" w:cs="Verdana"/>
          <w:szCs w:val="18"/>
          <w:lang w:val="nl-NL"/>
        </w:rPr>
        <w:t xml:space="preserve"> is ook drager van het ouderlijk gezag.</w:t>
      </w:r>
      <w:r w:rsidR="00A84AE7" w:rsidRPr="00A33930">
        <w:rPr>
          <w:rStyle w:val="Voetnootmarkering"/>
          <w:rFonts w:eastAsia="Verdana" w:cs="Verdana"/>
          <w:szCs w:val="18"/>
          <w:lang w:val="nl-NL"/>
        </w:rPr>
        <w:footnoteReference w:id="433"/>
      </w:r>
      <w:r w:rsidR="00540208" w:rsidRPr="00A33930">
        <w:rPr>
          <w:rFonts w:eastAsia="Verdana" w:cs="Verdana"/>
          <w:szCs w:val="18"/>
          <w:lang w:val="nl-NL"/>
        </w:rPr>
        <w:t xml:space="preserve"> </w:t>
      </w:r>
      <w:r w:rsidR="002C4C71" w:rsidRPr="00A33930">
        <w:rPr>
          <w:rFonts w:eastAsia="Verdana" w:cs="Verdana"/>
          <w:szCs w:val="18"/>
          <w:lang w:val="nl-NL"/>
        </w:rPr>
        <w:t xml:space="preserve">Het ouderlijk gezag is, in tegenstelling tot wat het begrip doet vermoeden, in Nederland </w:t>
      </w:r>
      <w:r w:rsidR="003B5B5D" w:rsidRPr="00A33930">
        <w:rPr>
          <w:rFonts w:eastAsia="Verdana" w:cs="Verdana"/>
          <w:szCs w:val="18"/>
          <w:lang w:val="nl-NL"/>
        </w:rPr>
        <w:t xml:space="preserve">dus </w:t>
      </w:r>
      <w:r w:rsidR="002C4C71" w:rsidRPr="00A33930">
        <w:rPr>
          <w:rFonts w:eastAsia="Verdana" w:cs="Verdana"/>
          <w:szCs w:val="18"/>
          <w:lang w:val="nl-NL"/>
        </w:rPr>
        <w:t>ook mogelijk voor een persoon ander dan een ouder</w:t>
      </w:r>
      <w:r w:rsidR="002601A1" w:rsidRPr="00A33930">
        <w:rPr>
          <w:rFonts w:eastAsia="Verdana" w:cs="Verdana"/>
          <w:szCs w:val="18"/>
          <w:lang w:val="nl-NL"/>
        </w:rPr>
        <w:t xml:space="preserve"> (</w:t>
      </w:r>
      <w:r w:rsidR="00093B9E" w:rsidRPr="00A33930">
        <w:rPr>
          <w:rFonts w:eastAsia="Verdana" w:cs="Verdana"/>
          <w:szCs w:val="18"/>
          <w:lang w:val="nl-NL"/>
        </w:rPr>
        <w:t>“</w:t>
      </w:r>
      <w:r w:rsidR="002601A1" w:rsidRPr="00A33930">
        <w:rPr>
          <w:rFonts w:eastAsia="Verdana" w:cs="Verdana"/>
          <w:szCs w:val="18"/>
          <w:lang w:val="nl-NL"/>
        </w:rPr>
        <w:t>niet-ouder</w:t>
      </w:r>
      <w:r w:rsidR="00093B9E" w:rsidRPr="00A33930">
        <w:rPr>
          <w:rFonts w:eastAsia="Verdana" w:cs="Verdana"/>
          <w:szCs w:val="18"/>
          <w:lang w:val="nl-NL"/>
        </w:rPr>
        <w:t>”</w:t>
      </w:r>
      <w:r w:rsidR="002601A1" w:rsidRPr="00A33930">
        <w:rPr>
          <w:rFonts w:eastAsia="Verdana" w:cs="Verdana"/>
          <w:szCs w:val="18"/>
          <w:lang w:val="nl-NL"/>
        </w:rPr>
        <w:t>)</w:t>
      </w:r>
      <w:r w:rsidR="003B5B5D" w:rsidRPr="00A33930">
        <w:rPr>
          <w:rFonts w:eastAsia="Verdana" w:cs="Verdana"/>
          <w:szCs w:val="18"/>
          <w:lang w:val="nl-NL"/>
        </w:rPr>
        <w:t>.</w:t>
      </w:r>
      <w:r w:rsidR="002601A1" w:rsidRPr="00A33930">
        <w:rPr>
          <w:rFonts w:eastAsia="Verdana" w:cs="Verdana"/>
          <w:szCs w:val="18"/>
          <w:lang w:val="nl-NL"/>
        </w:rPr>
        <w:t xml:space="preserve"> </w:t>
      </w:r>
      <w:r w:rsidR="00540208" w:rsidRPr="00A33930">
        <w:rPr>
          <w:rFonts w:eastAsia="Verdana" w:cs="Verdana"/>
          <w:szCs w:val="18"/>
          <w:lang w:val="nl-NL"/>
        </w:rPr>
        <w:t xml:space="preserve">Volgens de wet omvat het ouderlijk gezag </w:t>
      </w:r>
      <w:r w:rsidR="003B5B5D" w:rsidRPr="00A33930">
        <w:rPr>
          <w:rFonts w:eastAsia="Verdana" w:cs="Verdana"/>
          <w:szCs w:val="18"/>
          <w:lang w:val="nl-NL"/>
        </w:rPr>
        <w:t>het</w:t>
      </w:r>
      <w:r w:rsidR="00540208" w:rsidRPr="00A33930">
        <w:rPr>
          <w:rFonts w:eastAsia="Verdana" w:cs="Verdana"/>
          <w:szCs w:val="18"/>
          <w:lang w:val="nl-NL"/>
        </w:rPr>
        <w:t xml:space="preserve"> recht én de plicht </w:t>
      </w:r>
      <w:r w:rsidR="002C4C71" w:rsidRPr="00A33930">
        <w:rPr>
          <w:rFonts w:eastAsia="Verdana" w:cs="Verdana"/>
          <w:szCs w:val="18"/>
          <w:lang w:val="nl-NL"/>
        </w:rPr>
        <w:t>tot opvoeding en</w:t>
      </w:r>
      <w:r w:rsidR="00540208" w:rsidRPr="00A33930">
        <w:rPr>
          <w:rFonts w:eastAsia="Verdana" w:cs="Verdana"/>
          <w:szCs w:val="18"/>
          <w:lang w:val="nl-NL"/>
        </w:rPr>
        <w:t xml:space="preserve"> </w:t>
      </w:r>
      <w:r w:rsidR="002C4C71" w:rsidRPr="00A33930">
        <w:rPr>
          <w:rFonts w:eastAsia="Verdana" w:cs="Verdana"/>
          <w:szCs w:val="18"/>
          <w:lang w:val="nl-NL"/>
        </w:rPr>
        <w:t>verzorging</w:t>
      </w:r>
      <w:r w:rsidR="00540208" w:rsidRPr="00A33930">
        <w:rPr>
          <w:rFonts w:eastAsia="Verdana" w:cs="Verdana"/>
          <w:szCs w:val="18"/>
          <w:lang w:val="nl-NL"/>
        </w:rPr>
        <w:t>.</w:t>
      </w:r>
      <w:r w:rsidR="00540208" w:rsidRPr="00A33930">
        <w:rPr>
          <w:rStyle w:val="Voetnootmarkering"/>
          <w:rFonts w:eastAsia="Verdana" w:cs="Verdana"/>
          <w:szCs w:val="18"/>
          <w:lang w:val="nl-NL"/>
        </w:rPr>
        <w:footnoteReference w:id="434"/>
      </w:r>
      <w:r w:rsidR="00540208" w:rsidRPr="00A33930">
        <w:rPr>
          <w:rFonts w:eastAsia="Verdana" w:cs="Verdana"/>
          <w:szCs w:val="18"/>
          <w:lang w:val="nl-NL"/>
        </w:rPr>
        <w:t xml:space="preserve"> </w:t>
      </w:r>
      <w:r w:rsidR="00FF7E92" w:rsidRPr="00A33930">
        <w:rPr>
          <w:rFonts w:eastAsia="Verdana" w:cs="Verdana"/>
          <w:szCs w:val="18"/>
          <w:lang w:val="nl-NL"/>
        </w:rPr>
        <w:t>Dit zowel</w:t>
      </w:r>
      <w:r w:rsidR="00540208" w:rsidRPr="00A33930">
        <w:rPr>
          <w:rFonts w:eastAsia="Verdana" w:cs="Verdana"/>
          <w:szCs w:val="18"/>
          <w:lang w:val="nl-NL"/>
        </w:rPr>
        <w:t xml:space="preserve"> op het vlak van zorg, welzijn, veiligheid als ontwikkeling van de persoonlijkheid</w:t>
      </w:r>
      <w:r w:rsidR="00FF7E92" w:rsidRPr="00A33930">
        <w:rPr>
          <w:rFonts w:eastAsia="Verdana" w:cs="Verdana"/>
          <w:szCs w:val="18"/>
          <w:lang w:val="nl-NL"/>
        </w:rPr>
        <w:t xml:space="preserve"> van het kind</w:t>
      </w:r>
      <w:r w:rsidR="00540208" w:rsidRPr="00A33930">
        <w:rPr>
          <w:rFonts w:eastAsia="Verdana" w:cs="Verdana"/>
          <w:szCs w:val="18"/>
          <w:lang w:val="nl-NL"/>
        </w:rPr>
        <w:t>.</w:t>
      </w:r>
      <w:r w:rsidR="00540208" w:rsidRPr="00A33930">
        <w:rPr>
          <w:rStyle w:val="Voetnootmarkering"/>
          <w:rFonts w:eastAsia="Verdana" w:cs="Verdana"/>
          <w:szCs w:val="18"/>
          <w:lang w:val="nl-NL"/>
        </w:rPr>
        <w:footnoteReference w:id="435"/>
      </w:r>
      <w:r w:rsidR="00EB33EE" w:rsidRPr="00A33930">
        <w:rPr>
          <w:rFonts w:eastAsia="Verdana" w:cs="Verdana"/>
          <w:szCs w:val="18"/>
          <w:lang w:val="nl-NL"/>
        </w:rPr>
        <w:t xml:space="preserve"> Bij de uitoefening van het ouderlijk gezag zijn de ouders verplicht rekening te houden met de toenemende zelfstandigheid en mondigheid van het kind, overeenkomstig artikel 5 IVRK.</w:t>
      </w:r>
      <w:r w:rsidR="00EB33EE" w:rsidRPr="00A33930">
        <w:rPr>
          <w:rStyle w:val="Voetnootmarkering"/>
          <w:rFonts w:eastAsia="Verdana" w:cs="Verdana"/>
          <w:szCs w:val="18"/>
          <w:lang w:val="nl-NL"/>
        </w:rPr>
        <w:footnoteReference w:id="436"/>
      </w:r>
    </w:p>
    <w:p w14:paraId="61F58AE2" w14:textId="77777777" w:rsidR="004829E0" w:rsidRPr="00A33930" w:rsidRDefault="004829E0" w:rsidP="00540208">
      <w:pPr>
        <w:rPr>
          <w:rFonts w:eastAsia="Verdana" w:cs="Verdana"/>
          <w:szCs w:val="18"/>
          <w:lang w:val="nl-NL"/>
        </w:rPr>
      </w:pPr>
    </w:p>
    <w:p w14:paraId="3AFC2F7F" w14:textId="793EE388" w:rsidR="00B00FC0" w:rsidRPr="00A33930" w:rsidRDefault="004829E0" w:rsidP="00B452BD">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In Nederland wordt het belang van het kind verduidelijkt </w:t>
      </w:r>
      <w:r w:rsidR="003B5B5D" w:rsidRPr="00A33930">
        <w:rPr>
          <w:rFonts w:eastAsia="Verdana" w:cs="Verdana"/>
          <w:szCs w:val="18"/>
          <w:lang w:val="nl-NL"/>
        </w:rPr>
        <w:t>met</w:t>
      </w:r>
      <w:r w:rsidRPr="00A33930">
        <w:rPr>
          <w:rFonts w:eastAsia="Verdana" w:cs="Verdana"/>
          <w:szCs w:val="18"/>
          <w:lang w:val="nl-NL"/>
        </w:rPr>
        <w:t xml:space="preserve"> enkele objectieve criteria waaraan de rechter de zaak </w:t>
      </w:r>
      <w:r w:rsidRPr="00A33930">
        <w:rPr>
          <w:rFonts w:eastAsia="Verdana" w:cs="Verdana"/>
          <w:i/>
          <w:iCs/>
          <w:szCs w:val="18"/>
          <w:lang w:val="nl-NL"/>
        </w:rPr>
        <w:t>in concreto</w:t>
      </w:r>
      <w:r w:rsidRPr="00A33930">
        <w:rPr>
          <w:rFonts w:eastAsia="Verdana" w:cs="Verdana"/>
          <w:szCs w:val="18"/>
          <w:lang w:val="nl-NL"/>
        </w:rPr>
        <w:t xml:space="preserve"> kan aftoetsen bij zijn beoordeling.</w:t>
      </w:r>
      <w:r w:rsidR="00B00FC0" w:rsidRPr="00A33930">
        <w:rPr>
          <w:rStyle w:val="Voetnootmarkering"/>
          <w:rFonts w:eastAsia="Verdana" w:cs="Verdana"/>
          <w:szCs w:val="18"/>
          <w:lang w:val="nl-NL"/>
        </w:rPr>
        <w:footnoteReference w:id="437"/>
      </w:r>
      <w:r w:rsidR="00B00FC0" w:rsidRPr="00A33930">
        <w:rPr>
          <w:rFonts w:eastAsia="Verdana" w:cs="Verdana"/>
          <w:szCs w:val="18"/>
          <w:lang w:val="nl-NL"/>
        </w:rPr>
        <w:t xml:space="preserve"> </w:t>
      </w:r>
      <w:r w:rsidR="00EF0180" w:rsidRPr="00A33930">
        <w:rPr>
          <w:rFonts w:eastAsia="Verdana" w:cs="Verdana"/>
          <w:szCs w:val="18"/>
          <w:lang w:val="nl-NL"/>
        </w:rPr>
        <w:t xml:space="preserve">Dit maakt dat het belang van het kind concreter wordt getoetst en niet meer </w:t>
      </w:r>
      <w:r w:rsidR="00164E79" w:rsidRPr="00A33930">
        <w:rPr>
          <w:rFonts w:eastAsia="Verdana" w:cs="Verdana"/>
          <w:szCs w:val="18"/>
          <w:lang w:val="nl-NL"/>
        </w:rPr>
        <w:t xml:space="preserve">als </w:t>
      </w:r>
      <w:r w:rsidR="00093B9E" w:rsidRPr="00A33930">
        <w:rPr>
          <w:rFonts w:eastAsia="Verdana" w:cs="Verdana"/>
          <w:szCs w:val="18"/>
          <w:lang w:val="nl-NL"/>
        </w:rPr>
        <w:t xml:space="preserve">dusdanig </w:t>
      </w:r>
      <w:r w:rsidR="00EF0180" w:rsidRPr="00A33930">
        <w:rPr>
          <w:rFonts w:eastAsia="Verdana" w:cs="Verdana"/>
          <w:szCs w:val="18"/>
          <w:lang w:val="nl-NL"/>
        </w:rPr>
        <w:t>onderhevig is aan subjectieve indrukken (</w:t>
      </w:r>
      <w:r w:rsidR="00EF0180" w:rsidRPr="00A33930">
        <w:rPr>
          <w:rFonts w:eastAsia="Verdana" w:cs="Verdana"/>
          <w:i/>
          <w:iCs/>
          <w:szCs w:val="18"/>
          <w:lang w:val="nl-NL"/>
        </w:rPr>
        <w:t>supra</w:t>
      </w:r>
      <w:r w:rsidR="00EF0180" w:rsidRPr="00A33930">
        <w:rPr>
          <w:rFonts w:eastAsia="Verdana" w:cs="Verdana"/>
          <w:szCs w:val="18"/>
          <w:lang w:val="nl-NL"/>
        </w:rPr>
        <w:t xml:space="preserve">, nr. </w:t>
      </w:r>
      <w:r w:rsidR="00DF465E" w:rsidRPr="00A33930">
        <w:rPr>
          <w:rFonts w:eastAsia="Verdana" w:cs="Verdana"/>
          <w:szCs w:val="18"/>
          <w:lang w:val="nl-NL"/>
        </w:rPr>
        <w:t>35</w:t>
      </w:r>
      <w:r w:rsidR="00EF0180" w:rsidRPr="00A33930">
        <w:rPr>
          <w:rFonts w:eastAsia="Verdana" w:cs="Verdana"/>
          <w:szCs w:val="18"/>
          <w:lang w:val="nl-NL"/>
        </w:rPr>
        <w:t xml:space="preserve">). </w:t>
      </w:r>
      <w:r w:rsidR="00B00FC0" w:rsidRPr="00A33930">
        <w:rPr>
          <w:rFonts w:eastAsia="Verdana" w:cs="Verdana"/>
          <w:szCs w:val="18"/>
          <w:lang w:val="nl-NL"/>
        </w:rPr>
        <w:t>Voor een afwijzing van het omgangsrecht</w:t>
      </w:r>
      <w:r w:rsidR="00B31E90" w:rsidRPr="00A33930">
        <w:rPr>
          <w:rFonts w:eastAsia="Verdana" w:cs="Verdana"/>
          <w:szCs w:val="18"/>
          <w:lang w:val="nl-NL"/>
        </w:rPr>
        <w:t xml:space="preserve"> en het benadrukken van de omgangs</w:t>
      </w:r>
      <w:r w:rsidR="00B31E90" w:rsidRPr="00A33930">
        <w:rPr>
          <w:rFonts w:eastAsia="Verdana" w:cs="Verdana"/>
          <w:i/>
          <w:iCs/>
          <w:szCs w:val="18"/>
          <w:lang w:val="nl-NL"/>
        </w:rPr>
        <w:t>plicht</w:t>
      </w:r>
      <w:r w:rsidR="00B00FC0" w:rsidRPr="00A33930">
        <w:rPr>
          <w:rFonts w:eastAsia="Verdana" w:cs="Verdana"/>
          <w:szCs w:val="18"/>
          <w:lang w:val="nl-NL"/>
        </w:rPr>
        <w:t xml:space="preserve"> met het kind is aldus vereist dat de bezwaren van het kind zwaarder wegen dan het verplichten van de omgang met de meerderjarige.</w:t>
      </w:r>
      <w:r w:rsidR="00B00FC0" w:rsidRPr="00A33930">
        <w:rPr>
          <w:rStyle w:val="Voetnootmarkering"/>
          <w:rFonts w:eastAsia="Verdana" w:cs="Verdana"/>
          <w:szCs w:val="18"/>
          <w:lang w:val="nl-NL"/>
        </w:rPr>
        <w:footnoteReference w:id="438"/>
      </w:r>
      <w:r w:rsidR="000B5005" w:rsidRPr="00A33930">
        <w:rPr>
          <w:rFonts w:eastAsia="Verdana" w:cs="Verdana"/>
          <w:szCs w:val="18"/>
          <w:lang w:val="nl-NL"/>
        </w:rPr>
        <w:t xml:space="preserve"> </w:t>
      </w:r>
      <w:r w:rsidR="0082172C" w:rsidRPr="00A33930">
        <w:rPr>
          <w:rFonts w:eastAsia="Verdana" w:cs="Verdana"/>
          <w:szCs w:val="18"/>
          <w:lang w:val="nl-NL"/>
        </w:rPr>
        <w:t>Het hebben</w:t>
      </w:r>
      <w:r w:rsidR="000B5005" w:rsidRPr="00A33930">
        <w:rPr>
          <w:rFonts w:eastAsia="Verdana" w:cs="Verdana"/>
          <w:szCs w:val="18"/>
          <w:lang w:val="nl-NL"/>
        </w:rPr>
        <w:t xml:space="preserve"> van omgang met volwassenen</w:t>
      </w:r>
      <w:r w:rsidR="0082172C" w:rsidRPr="00A33930">
        <w:rPr>
          <w:rFonts w:eastAsia="Verdana" w:cs="Verdana"/>
          <w:szCs w:val="18"/>
          <w:lang w:val="nl-NL"/>
        </w:rPr>
        <w:t xml:space="preserve"> wordt</w:t>
      </w:r>
      <w:r w:rsidR="000B5005" w:rsidRPr="00A33930">
        <w:rPr>
          <w:rFonts w:eastAsia="Verdana" w:cs="Verdana"/>
          <w:szCs w:val="18"/>
          <w:lang w:val="nl-NL"/>
        </w:rPr>
        <w:t xml:space="preserve"> geacht in het belang van het kind </w:t>
      </w:r>
      <w:r w:rsidR="0082172C" w:rsidRPr="00A33930">
        <w:rPr>
          <w:rFonts w:eastAsia="Verdana" w:cs="Verdana"/>
          <w:szCs w:val="18"/>
          <w:lang w:val="nl-NL"/>
        </w:rPr>
        <w:t xml:space="preserve">te zijn </w:t>
      </w:r>
      <w:r w:rsidR="000B5005" w:rsidRPr="00A33930">
        <w:rPr>
          <w:rFonts w:eastAsia="Verdana" w:cs="Verdana"/>
          <w:szCs w:val="18"/>
          <w:lang w:val="nl-NL"/>
        </w:rPr>
        <w:t xml:space="preserve">wegens het belang voor </w:t>
      </w:r>
      <w:r w:rsidR="003B5B5D" w:rsidRPr="00A33930">
        <w:rPr>
          <w:rFonts w:eastAsia="Verdana" w:cs="Verdana"/>
          <w:szCs w:val="18"/>
          <w:lang w:val="nl-NL"/>
        </w:rPr>
        <w:t>zijn</w:t>
      </w:r>
      <w:r w:rsidR="000B5005" w:rsidRPr="00A33930">
        <w:rPr>
          <w:rFonts w:eastAsia="Verdana" w:cs="Verdana"/>
          <w:szCs w:val="18"/>
          <w:lang w:val="nl-NL"/>
        </w:rPr>
        <w:t xml:space="preserve"> ontwikkeling</w:t>
      </w:r>
      <w:r w:rsidR="0082172C" w:rsidRPr="00A33930">
        <w:rPr>
          <w:rFonts w:eastAsia="Verdana" w:cs="Verdana"/>
          <w:szCs w:val="18"/>
          <w:lang w:val="nl-NL"/>
        </w:rPr>
        <w:t xml:space="preserve">, tenzij het onrust en stress </w:t>
      </w:r>
      <w:r w:rsidR="00093B9E" w:rsidRPr="00A33930">
        <w:rPr>
          <w:rFonts w:eastAsia="Verdana" w:cs="Verdana"/>
          <w:szCs w:val="18"/>
          <w:lang w:val="nl-NL"/>
        </w:rPr>
        <w:t xml:space="preserve">voor het kind </w:t>
      </w:r>
      <w:r w:rsidR="0082172C" w:rsidRPr="00A33930">
        <w:rPr>
          <w:rFonts w:eastAsia="Verdana" w:cs="Verdana"/>
          <w:szCs w:val="18"/>
          <w:lang w:val="nl-NL"/>
        </w:rPr>
        <w:t>met zich meebrengt</w:t>
      </w:r>
      <w:r w:rsidR="000B5005" w:rsidRPr="00A33930">
        <w:rPr>
          <w:rFonts w:eastAsia="Verdana" w:cs="Verdana"/>
          <w:szCs w:val="18"/>
          <w:lang w:val="nl-NL"/>
        </w:rPr>
        <w:t>.</w:t>
      </w:r>
      <w:r w:rsidR="000B5005" w:rsidRPr="00A33930">
        <w:rPr>
          <w:rStyle w:val="Voetnootmarkering"/>
          <w:rFonts w:eastAsia="Verdana" w:cs="Verdana"/>
          <w:szCs w:val="18"/>
          <w:lang w:val="nl-NL"/>
        </w:rPr>
        <w:footnoteReference w:id="439"/>
      </w:r>
    </w:p>
    <w:p w14:paraId="0C91684B" w14:textId="11A70CEF" w:rsidR="00B00FC0" w:rsidRPr="00A33930" w:rsidRDefault="00E51C3F" w:rsidP="00B00FC0">
      <w:pPr>
        <w:pStyle w:val="Kop4"/>
        <w:spacing w:before="240" w:after="120"/>
        <w:jc w:val="both"/>
        <w:rPr>
          <w:rFonts w:ascii="Verdana" w:hAnsi="Verdana"/>
          <w:b/>
          <w:bCs/>
          <w:color w:val="auto"/>
          <w:szCs w:val="18"/>
          <w:lang w:val="nl-NL"/>
        </w:rPr>
      </w:pPr>
      <w:r w:rsidRPr="00A33930">
        <w:rPr>
          <w:rFonts w:ascii="Verdana" w:hAnsi="Verdana"/>
          <w:b/>
          <w:bCs/>
          <w:color w:val="auto"/>
          <w:szCs w:val="18"/>
          <w:lang w:val="nl-NL"/>
        </w:rPr>
        <w:t>§</w:t>
      </w:r>
      <w:r w:rsidR="00FD583B" w:rsidRPr="00A33930">
        <w:rPr>
          <w:rFonts w:ascii="Verdana" w:hAnsi="Verdana"/>
          <w:b/>
          <w:bCs/>
          <w:color w:val="auto"/>
          <w:szCs w:val="18"/>
          <w:lang w:val="nl-NL"/>
        </w:rPr>
        <w:t>2</w:t>
      </w:r>
      <w:r w:rsidRPr="00A33930">
        <w:rPr>
          <w:rFonts w:ascii="Verdana" w:hAnsi="Verdana"/>
          <w:b/>
          <w:bCs/>
          <w:color w:val="auto"/>
          <w:szCs w:val="18"/>
          <w:lang w:val="nl-NL"/>
        </w:rPr>
        <w:t>.</w:t>
      </w:r>
      <w:r w:rsidRPr="00A33930">
        <w:rPr>
          <w:rFonts w:ascii="Verdana" w:hAnsi="Verdana"/>
          <w:b/>
          <w:bCs/>
          <w:color w:val="auto"/>
          <w:szCs w:val="18"/>
          <w:lang w:val="nl-NL"/>
        </w:rPr>
        <w:tab/>
      </w:r>
      <w:r w:rsidR="00FD583B" w:rsidRPr="00A33930">
        <w:rPr>
          <w:rFonts w:ascii="Verdana" w:hAnsi="Verdana"/>
          <w:b/>
          <w:bCs/>
          <w:color w:val="auto"/>
          <w:szCs w:val="18"/>
          <w:lang w:val="nl-NL"/>
        </w:rPr>
        <w:t>E</w:t>
      </w:r>
      <w:r w:rsidRPr="00A33930">
        <w:rPr>
          <w:rFonts w:ascii="Verdana" w:hAnsi="Verdana"/>
          <w:b/>
          <w:bCs/>
          <w:color w:val="auto"/>
          <w:szCs w:val="18"/>
          <w:lang w:val="nl-NL"/>
        </w:rPr>
        <w:t>en eigen recht van het kind?</w:t>
      </w:r>
    </w:p>
    <w:p w14:paraId="06B0F7A2" w14:textId="34420106" w:rsidR="007A5356" w:rsidRPr="00A33930" w:rsidRDefault="00CA3125" w:rsidP="00B00FC0">
      <w:pPr>
        <w:pStyle w:val="Lijstalinea"/>
        <w:numPr>
          <w:ilvl w:val="0"/>
          <w:numId w:val="4"/>
        </w:numPr>
        <w:spacing w:before="200" w:after="0"/>
        <w:ind w:left="0" w:firstLine="0"/>
        <w:jc w:val="both"/>
        <w:rPr>
          <w:lang w:val="nl-NL"/>
        </w:rPr>
      </w:pPr>
      <w:r w:rsidRPr="00A33930">
        <w:rPr>
          <w:lang w:val="nl-NL"/>
        </w:rPr>
        <w:t xml:space="preserve">Aan het begin van de twintigste eeuw ontstond het omgangsrecht in Nederland middels de naam “bezoekrecht”, </w:t>
      </w:r>
      <w:r w:rsidR="003B5B5D" w:rsidRPr="00A33930">
        <w:rPr>
          <w:lang w:val="nl-NL"/>
        </w:rPr>
        <w:t>waardoor</w:t>
      </w:r>
      <w:r w:rsidRPr="00A33930">
        <w:rPr>
          <w:lang w:val="nl-NL"/>
        </w:rPr>
        <w:t xml:space="preserve"> contact van de ouder met zijn biologisch kind na echtscheiding</w:t>
      </w:r>
      <w:r w:rsidR="003B5B5D" w:rsidRPr="00A33930">
        <w:rPr>
          <w:lang w:val="nl-NL"/>
        </w:rPr>
        <w:t xml:space="preserve"> werd gegarandeerd</w:t>
      </w:r>
      <w:r w:rsidRPr="00A33930">
        <w:rPr>
          <w:lang w:val="nl-NL"/>
        </w:rPr>
        <w:t xml:space="preserve">. </w:t>
      </w:r>
      <w:r w:rsidR="00B00FC0" w:rsidRPr="00A33930">
        <w:rPr>
          <w:lang w:val="nl-NL"/>
        </w:rPr>
        <w:t xml:space="preserve">De Nederlandse </w:t>
      </w:r>
      <w:r w:rsidR="00EF0180" w:rsidRPr="00A33930">
        <w:rPr>
          <w:lang w:val="nl-NL"/>
        </w:rPr>
        <w:t>Hoge Raad</w:t>
      </w:r>
      <w:r w:rsidR="00B00FC0" w:rsidRPr="00A33930">
        <w:rPr>
          <w:lang w:val="nl-NL"/>
        </w:rPr>
        <w:t xml:space="preserve"> erkende het omgangsrecht reeds in 1939</w:t>
      </w:r>
      <w:r w:rsidR="00B00FC0" w:rsidRPr="00A33930">
        <w:rPr>
          <w:vertAlign w:val="superscript"/>
          <w:lang w:val="nl-NL"/>
        </w:rPr>
        <w:footnoteReference w:id="440"/>
      </w:r>
      <w:r w:rsidR="00B00FC0" w:rsidRPr="00A33930">
        <w:rPr>
          <w:lang w:val="nl-NL"/>
        </w:rPr>
        <w:t xml:space="preserve">, waarna het </w:t>
      </w:r>
      <w:r w:rsidR="007A5356" w:rsidRPr="00A33930">
        <w:rPr>
          <w:lang w:val="nl-NL"/>
        </w:rPr>
        <w:t>in 1971 in de wet</w:t>
      </w:r>
      <w:r w:rsidR="00B00FC0" w:rsidRPr="00A33930">
        <w:rPr>
          <w:lang w:val="nl-NL"/>
        </w:rPr>
        <w:t xml:space="preserve"> werd verankerd.</w:t>
      </w:r>
      <w:r w:rsidR="00B8302A" w:rsidRPr="00A33930">
        <w:rPr>
          <w:rStyle w:val="Voetnootmarkering"/>
          <w:lang w:val="nl-NL"/>
        </w:rPr>
        <w:footnoteReference w:id="441"/>
      </w:r>
      <w:r w:rsidR="000B5005" w:rsidRPr="00A33930">
        <w:rPr>
          <w:lang w:val="nl-NL"/>
        </w:rPr>
        <w:t xml:space="preserve"> Tot deze herziening van het NBW in 1971 was het recht op </w:t>
      </w:r>
      <w:r w:rsidR="000B5005" w:rsidRPr="00A33930">
        <w:rPr>
          <w:lang w:val="nl-NL"/>
        </w:rPr>
        <w:lastRenderedPageBreak/>
        <w:t>omgang tussen het kind en de ouder zonder ouderlijk gezag nergens</w:t>
      </w:r>
      <w:r w:rsidR="002601A1" w:rsidRPr="00A33930">
        <w:rPr>
          <w:lang w:val="nl-NL"/>
        </w:rPr>
        <w:t xml:space="preserve"> wettelijk</w:t>
      </w:r>
      <w:r w:rsidR="000B5005" w:rsidRPr="00A33930">
        <w:rPr>
          <w:lang w:val="nl-NL"/>
        </w:rPr>
        <w:t xml:space="preserve"> opgenomen.</w:t>
      </w:r>
      <w:r w:rsidR="00B00FC0" w:rsidRPr="00A33930">
        <w:rPr>
          <w:lang w:val="nl-NL"/>
        </w:rPr>
        <w:t xml:space="preserve"> </w:t>
      </w:r>
      <w:r w:rsidR="000B5005" w:rsidRPr="00A33930">
        <w:rPr>
          <w:lang w:val="nl-NL"/>
        </w:rPr>
        <w:t>De</w:t>
      </w:r>
      <w:r w:rsidRPr="00A33930">
        <w:rPr>
          <w:lang w:val="nl-NL"/>
        </w:rPr>
        <w:t xml:space="preserve"> term </w:t>
      </w:r>
      <w:r w:rsidR="000B5005" w:rsidRPr="00A33930">
        <w:rPr>
          <w:lang w:val="nl-NL"/>
        </w:rPr>
        <w:t xml:space="preserve">“omgang” </w:t>
      </w:r>
      <w:r w:rsidRPr="00A33930">
        <w:rPr>
          <w:lang w:val="nl-NL"/>
        </w:rPr>
        <w:t xml:space="preserve">moest weergeven dat het ging om een wederkerig contact tussen ouder en kind. </w:t>
      </w:r>
      <w:r w:rsidR="00782256" w:rsidRPr="00A33930">
        <w:rPr>
          <w:lang w:val="nl-NL"/>
        </w:rPr>
        <w:t>Destijds werd het omgangsrecht gezien als een gunst tussen ouder en kind.</w:t>
      </w:r>
      <w:r w:rsidR="00782256" w:rsidRPr="00A33930">
        <w:rPr>
          <w:rStyle w:val="Voetnootmarkering"/>
          <w:lang w:val="nl-NL"/>
        </w:rPr>
        <w:footnoteReference w:id="442"/>
      </w:r>
      <w:r w:rsidR="00782256" w:rsidRPr="00A33930">
        <w:rPr>
          <w:lang w:val="nl-NL"/>
        </w:rPr>
        <w:t xml:space="preserve"> In 1990 schreef een herziening van het NBW deze gunst in als een recht.</w:t>
      </w:r>
      <w:r w:rsidR="00782256" w:rsidRPr="00A33930">
        <w:rPr>
          <w:rStyle w:val="Voetnootmarkering"/>
          <w:lang w:val="nl-NL"/>
        </w:rPr>
        <w:footnoteReference w:id="443"/>
      </w:r>
      <w:r w:rsidR="00782256" w:rsidRPr="00A33930">
        <w:rPr>
          <w:lang w:val="nl-NL"/>
        </w:rPr>
        <w:t xml:space="preserve"> </w:t>
      </w:r>
      <w:r w:rsidR="003A1C3D" w:rsidRPr="00A33930">
        <w:rPr>
          <w:lang w:val="nl-NL"/>
        </w:rPr>
        <w:t>Nadien werd o</w:t>
      </w:r>
      <w:r w:rsidR="00B00FC0" w:rsidRPr="00A33930">
        <w:rPr>
          <w:lang w:val="nl-NL"/>
        </w:rPr>
        <w:t xml:space="preserve">p </w:t>
      </w:r>
      <w:r w:rsidR="007A5356" w:rsidRPr="00A33930">
        <w:rPr>
          <w:lang w:val="nl-NL"/>
        </w:rPr>
        <w:t>6 april 1995</w:t>
      </w:r>
      <w:r w:rsidR="007A5356" w:rsidRPr="00A33930">
        <w:rPr>
          <w:vertAlign w:val="superscript"/>
          <w:lang w:val="nl-NL"/>
        </w:rPr>
        <w:footnoteReference w:id="444"/>
      </w:r>
      <w:r w:rsidR="007A5356" w:rsidRPr="00A33930">
        <w:rPr>
          <w:vertAlign w:val="superscript"/>
          <w:lang w:val="nl-NL"/>
        </w:rPr>
        <w:t xml:space="preserve"> </w:t>
      </w:r>
      <w:r w:rsidR="007A5356" w:rsidRPr="00A33930">
        <w:rPr>
          <w:lang w:val="nl-NL"/>
        </w:rPr>
        <w:t xml:space="preserve">het begrip </w:t>
      </w:r>
      <w:r w:rsidR="00725F3F" w:rsidRPr="00A33930">
        <w:rPr>
          <w:lang w:val="nl-NL"/>
        </w:rPr>
        <w:t>“</w:t>
      </w:r>
      <w:r w:rsidR="007A5356" w:rsidRPr="00A33930">
        <w:rPr>
          <w:lang w:val="nl-NL"/>
        </w:rPr>
        <w:t>ouderlijke macht</w:t>
      </w:r>
      <w:r w:rsidR="00725F3F" w:rsidRPr="00A33930">
        <w:rPr>
          <w:lang w:val="nl-NL"/>
        </w:rPr>
        <w:t xml:space="preserve">” </w:t>
      </w:r>
      <w:r w:rsidR="007A5356" w:rsidRPr="00A33930">
        <w:rPr>
          <w:lang w:val="nl-NL"/>
        </w:rPr>
        <w:t xml:space="preserve">vervangen door </w:t>
      </w:r>
      <w:r w:rsidR="00725F3F" w:rsidRPr="00A33930">
        <w:rPr>
          <w:lang w:val="nl-NL"/>
        </w:rPr>
        <w:t>“</w:t>
      </w:r>
      <w:r w:rsidR="007A5356" w:rsidRPr="00A33930">
        <w:rPr>
          <w:lang w:val="nl-NL"/>
        </w:rPr>
        <w:t>ouderlijk gezag</w:t>
      </w:r>
      <w:r w:rsidR="00725F3F" w:rsidRPr="00A33930">
        <w:rPr>
          <w:lang w:val="nl-NL"/>
        </w:rPr>
        <w:t>”</w:t>
      </w:r>
      <w:r w:rsidR="007A5356" w:rsidRPr="00A33930">
        <w:rPr>
          <w:lang w:val="nl-NL"/>
        </w:rPr>
        <w:t xml:space="preserve">. </w:t>
      </w:r>
      <w:r w:rsidR="003A1C3D" w:rsidRPr="00A33930">
        <w:rPr>
          <w:lang w:val="nl-NL"/>
        </w:rPr>
        <w:t>Tot slot werd het artikel in</w:t>
      </w:r>
      <w:r w:rsidR="007A5356" w:rsidRPr="00A33930">
        <w:rPr>
          <w:lang w:val="nl-NL"/>
        </w:rPr>
        <w:t xml:space="preserve"> 2008 aangevuld met de omgang van anderen dan ouders van het kind</w:t>
      </w:r>
      <w:r w:rsidR="003A1C3D" w:rsidRPr="00A33930">
        <w:rPr>
          <w:lang w:val="nl-NL"/>
        </w:rPr>
        <w:t xml:space="preserve"> en werd de contact</w:t>
      </w:r>
      <w:r w:rsidR="003A1C3D" w:rsidRPr="00A33930">
        <w:rPr>
          <w:i/>
          <w:iCs/>
          <w:lang w:val="nl-NL"/>
        </w:rPr>
        <w:t>plicht</w:t>
      </w:r>
      <w:r w:rsidR="003A1C3D" w:rsidRPr="00A33930">
        <w:rPr>
          <w:lang w:val="nl-NL"/>
        </w:rPr>
        <w:t xml:space="preserve"> benadrukt (</w:t>
      </w:r>
      <w:r w:rsidR="003A1C3D" w:rsidRPr="00A33930">
        <w:rPr>
          <w:i/>
          <w:iCs/>
          <w:lang w:val="nl-NL"/>
        </w:rPr>
        <w:t>infra</w:t>
      </w:r>
      <w:r w:rsidR="003A1C3D" w:rsidRPr="00A33930">
        <w:rPr>
          <w:lang w:val="nl-NL"/>
        </w:rPr>
        <w:t xml:space="preserve">, nr. </w:t>
      </w:r>
      <w:r w:rsidR="00DF465E" w:rsidRPr="00A33930">
        <w:rPr>
          <w:lang w:val="nl-NL"/>
        </w:rPr>
        <w:t>130</w:t>
      </w:r>
      <w:r w:rsidR="003A1C3D" w:rsidRPr="00A33930">
        <w:rPr>
          <w:lang w:val="nl-NL"/>
        </w:rPr>
        <w:t>)</w:t>
      </w:r>
      <w:r w:rsidR="007A5356" w:rsidRPr="00A33930">
        <w:rPr>
          <w:lang w:val="nl-NL"/>
        </w:rPr>
        <w:t>.</w:t>
      </w:r>
      <w:r w:rsidR="00392DA3" w:rsidRPr="00A33930">
        <w:rPr>
          <w:vertAlign w:val="superscript"/>
          <w:lang w:val="nl-NL"/>
        </w:rPr>
        <w:footnoteReference w:id="445"/>
      </w:r>
      <w:r w:rsidR="003A1C3D" w:rsidRPr="00A33930">
        <w:rPr>
          <w:lang w:val="nl-NL"/>
        </w:rPr>
        <w:t xml:space="preserve"> Middels deze wetswijzigingen werd het omgangsrecht sterk in de Nederlandse wetgeving verankerd, zoals beschermd door artikel 9.3 IVRK en artikel 8.1 EVRM.</w:t>
      </w:r>
      <w:r w:rsidR="003A1C3D" w:rsidRPr="00A33930">
        <w:rPr>
          <w:rStyle w:val="Voetnootmarkering"/>
          <w:lang w:val="nl-NL"/>
        </w:rPr>
        <w:footnoteReference w:id="446"/>
      </w:r>
    </w:p>
    <w:p w14:paraId="1E96F803" w14:textId="77777777" w:rsidR="007A5356" w:rsidRPr="00A33930" w:rsidRDefault="007A5356" w:rsidP="007A5356">
      <w:pPr>
        <w:pStyle w:val="Lijstalinea"/>
        <w:spacing w:before="200" w:after="0"/>
        <w:ind w:left="0"/>
        <w:jc w:val="both"/>
        <w:rPr>
          <w:rFonts w:eastAsia="Verdana" w:cs="Verdana"/>
          <w:szCs w:val="18"/>
          <w:lang w:val="nl-NL"/>
        </w:rPr>
      </w:pPr>
    </w:p>
    <w:p w14:paraId="4F394BF0" w14:textId="77777777" w:rsidR="00093B9E" w:rsidRPr="00A33930" w:rsidRDefault="007344E6" w:rsidP="000B5005">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Artikel 1:377a</w:t>
      </w:r>
      <w:r w:rsidR="00CA3125" w:rsidRPr="00A33930">
        <w:rPr>
          <w:rFonts w:eastAsia="Verdana" w:cs="Verdana"/>
          <w:szCs w:val="18"/>
          <w:lang w:val="nl-NL"/>
        </w:rPr>
        <w:t>, eerste lid</w:t>
      </w:r>
      <w:r w:rsidRPr="00A33930">
        <w:rPr>
          <w:rFonts w:eastAsia="Verdana" w:cs="Verdana"/>
          <w:szCs w:val="18"/>
          <w:lang w:val="nl-NL"/>
        </w:rPr>
        <w:t xml:space="preserve"> NBW voorziet een wederkerig contactrecht tussen ouder en kind.</w:t>
      </w:r>
      <w:r w:rsidR="00392DA3" w:rsidRPr="00A33930">
        <w:rPr>
          <w:rStyle w:val="Voetnootmarkering"/>
          <w:rFonts w:eastAsia="Verdana" w:cs="Verdana"/>
          <w:szCs w:val="18"/>
          <w:lang w:val="nl-NL"/>
        </w:rPr>
        <w:footnoteReference w:id="447"/>
      </w:r>
      <w:r w:rsidRPr="00A33930">
        <w:rPr>
          <w:rFonts w:eastAsia="Verdana" w:cs="Verdana"/>
          <w:szCs w:val="18"/>
          <w:lang w:val="nl-NL"/>
        </w:rPr>
        <w:t xml:space="preserve"> Het legt het recht van het kind vast op omgang met zijn ouders en met </w:t>
      </w:r>
      <w:r w:rsidR="00725F3F" w:rsidRPr="00A33930">
        <w:rPr>
          <w:rFonts w:eastAsia="Verdana" w:cs="Verdana"/>
          <w:szCs w:val="18"/>
          <w:lang w:val="nl-NL"/>
        </w:rPr>
        <w:t xml:space="preserve">andere </w:t>
      </w:r>
      <w:r w:rsidRPr="00A33930">
        <w:rPr>
          <w:rFonts w:eastAsia="Verdana" w:cs="Verdana"/>
          <w:szCs w:val="18"/>
          <w:lang w:val="nl-NL"/>
        </w:rPr>
        <w:t>personen die tot hem in een “nauwe persoonlijke betrekking” staan.</w:t>
      </w:r>
      <w:r w:rsidR="008D1B31" w:rsidRPr="00A33930">
        <w:rPr>
          <w:rStyle w:val="Voetnootmarkering"/>
          <w:rFonts w:eastAsia="Verdana" w:cs="Verdana"/>
          <w:szCs w:val="18"/>
          <w:lang w:val="nl-NL"/>
        </w:rPr>
        <w:footnoteReference w:id="448"/>
      </w:r>
      <w:r w:rsidRPr="00A33930">
        <w:rPr>
          <w:rFonts w:eastAsia="Verdana" w:cs="Verdana"/>
          <w:szCs w:val="18"/>
          <w:lang w:val="nl-NL"/>
        </w:rPr>
        <w:t xml:space="preserve"> </w:t>
      </w:r>
      <w:r w:rsidR="000B5005" w:rsidRPr="00A33930">
        <w:rPr>
          <w:rFonts w:eastAsia="Verdana" w:cs="Verdana"/>
          <w:szCs w:val="18"/>
          <w:lang w:val="nl-NL"/>
        </w:rPr>
        <w:t>Deze groep omvat</w:t>
      </w:r>
      <w:r w:rsidR="007A5356" w:rsidRPr="00A33930">
        <w:rPr>
          <w:rFonts w:eastAsia="Verdana" w:cs="Verdana"/>
          <w:szCs w:val="18"/>
          <w:lang w:val="nl-NL"/>
        </w:rPr>
        <w:t xml:space="preserve"> de biologische ouder, grootouders</w:t>
      </w:r>
      <w:r w:rsidR="000B5005" w:rsidRPr="00A33930">
        <w:rPr>
          <w:rFonts w:eastAsia="Verdana" w:cs="Verdana"/>
          <w:szCs w:val="18"/>
          <w:lang w:val="nl-NL"/>
        </w:rPr>
        <w:t xml:space="preserve">, </w:t>
      </w:r>
      <w:r w:rsidR="007A5356" w:rsidRPr="00A33930">
        <w:rPr>
          <w:rFonts w:eastAsia="Verdana" w:cs="Verdana"/>
          <w:szCs w:val="18"/>
          <w:lang w:val="nl-NL"/>
        </w:rPr>
        <w:t>pleegouders</w:t>
      </w:r>
      <w:r w:rsidR="000B5005" w:rsidRPr="00A33930">
        <w:rPr>
          <w:rFonts w:eastAsia="Verdana" w:cs="Verdana"/>
          <w:szCs w:val="18"/>
          <w:lang w:val="nl-NL"/>
        </w:rPr>
        <w:t xml:space="preserve"> en andere personen indien er sprake is van nauwe persoonlijke betrekkingen zoals </w:t>
      </w:r>
      <w:r w:rsidR="003B5B5D" w:rsidRPr="00A33930">
        <w:rPr>
          <w:rFonts w:eastAsia="Verdana" w:cs="Verdana"/>
          <w:szCs w:val="18"/>
          <w:lang w:val="nl-NL"/>
        </w:rPr>
        <w:t xml:space="preserve">het geval bij </w:t>
      </w:r>
      <w:r w:rsidR="000B5005" w:rsidRPr="00A33930">
        <w:rPr>
          <w:rFonts w:eastAsia="Verdana" w:cs="Verdana"/>
          <w:szCs w:val="18"/>
          <w:lang w:val="nl-NL"/>
        </w:rPr>
        <w:t>broers en zussen</w:t>
      </w:r>
      <w:r w:rsidR="007A5356" w:rsidRPr="00A33930">
        <w:rPr>
          <w:rFonts w:eastAsia="Verdana" w:cs="Verdana"/>
          <w:szCs w:val="18"/>
          <w:lang w:val="nl-NL"/>
        </w:rPr>
        <w:t>.</w:t>
      </w:r>
      <w:r w:rsidR="007A5356" w:rsidRPr="00A33930">
        <w:rPr>
          <w:rStyle w:val="Voetnootmarkering"/>
          <w:rFonts w:eastAsia="Verdana" w:cs="Verdana"/>
          <w:szCs w:val="18"/>
          <w:lang w:val="nl-NL"/>
        </w:rPr>
        <w:footnoteReference w:id="449"/>
      </w:r>
      <w:r w:rsidR="007A5356" w:rsidRPr="00A33930">
        <w:rPr>
          <w:rFonts w:eastAsia="Verdana" w:cs="Verdana"/>
          <w:szCs w:val="18"/>
          <w:lang w:val="nl-NL"/>
        </w:rPr>
        <w:t xml:space="preserve"> </w:t>
      </w:r>
      <w:r w:rsidRPr="00A33930">
        <w:rPr>
          <w:rFonts w:eastAsia="Verdana" w:cs="Verdana"/>
          <w:szCs w:val="18"/>
          <w:lang w:val="nl-NL"/>
        </w:rPr>
        <w:t xml:space="preserve">De </w:t>
      </w:r>
      <w:r w:rsidR="00BD2733" w:rsidRPr="00A33930">
        <w:rPr>
          <w:rFonts w:eastAsia="Verdana" w:cs="Verdana"/>
          <w:szCs w:val="18"/>
          <w:lang w:val="nl-NL"/>
        </w:rPr>
        <w:t>“</w:t>
      </w:r>
      <w:r w:rsidRPr="00A33930">
        <w:rPr>
          <w:rFonts w:eastAsia="Verdana" w:cs="Verdana"/>
          <w:szCs w:val="18"/>
          <w:lang w:val="nl-NL"/>
        </w:rPr>
        <w:t>nauwe persoonlijke betrekkingen</w:t>
      </w:r>
      <w:r w:rsidR="00BD2733" w:rsidRPr="00A33930">
        <w:rPr>
          <w:rFonts w:eastAsia="Verdana" w:cs="Verdana"/>
          <w:szCs w:val="18"/>
          <w:lang w:val="nl-NL"/>
        </w:rPr>
        <w:t>”</w:t>
      </w:r>
      <w:r w:rsidRPr="00A33930">
        <w:rPr>
          <w:rFonts w:eastAsia="Verdana" w:cs="Verdana"/>
          <w:szCs w:val="18"/>
          <w:lang w:val="nl-NL"/>
        </w:rPr>
        <w:t xml:space="preserve"> is het Nederlands equivalent voor het </w:t>
      </w:r>
      <w:r w:rsidR="007A5356" w:rsidRPr="00A33930">
        <w:rPr>
          <w:rFonts w:eastAsia="Verdana" w:cs="Verdana"/>
          <w:szCs w:val="18"/>
          <w:lang w:val="nl-NL"/>
        </w:rPr>
        <w:t>“</w:t>
      </w:r>
      <w:r w:rsidRPr="00A33930">
        <w:rPr>
          <w:rFonts w:eastAsia="Verdana" w:cs="Verdana"/>
          <w:szCs w:val="18"/>
          <w:lang w:val="nl-NL"/>
        </w:rPr>
        <w:t>familie- en gezinsleven</w:t>
      </w:r>
      <w:r w:rsidR="007A5356" w:rsidRPr="00A33930">
        <w:rPr>
          <w:rFonts w:eastAsia="Verdana" w:cs="Verdana"/>
          <w:szCs w:val="18"/>
          <w:lang w:val="nl-NL"/>
        </w:rPr>
        <w:t xml:space="preserve">” </w:t>
      </w:r>
      <w:r w:rsidRPr="00A33930">
        <w:rPr>
          <w:rFonts w:eastAsia="Verdana" w:cs="Verdana"/>
          <w:szCs w:val="18"/>
          <w:lang w:val="nl-NL"/>
        </w:rPr>
        <w:t>uit artikel 8</w:t>
      </w:r>
      <w:r w:rsidR="003B5B5D" w:rsidRPr="00A33930">
        <w:rPr>
          <w:rFonts w:eastAsia="Verdana" w:cs="Verdana"/>
          <w:szCs w:val="18"/>
          <w:lang w:val="nl-NL"/>
        </w:rPr>
        <w:t>.1</w:t>
      </w:r>
      <w:r w:rsidRPr="00A33930">
        <w:rPr>
          <w:rFonts w:eastAsia="Verdana" w:cs="Verdana"/>
          <w:szCs w:val="18"/>
          <w:lang w:val="nl-NL"/>
        </w:rPr>
        <w:t xml:space="preserve"> EVRM</w:t>
      </w:r>
      <w:r w:rsidR="00EF0180" w:rsidRPr="00A33930">
        <w:rPr>
          <w:rFonts w:eastAsia="Verdana" w:cs="Verdana"/>
          <w:szCs w:val="18"/>
          <w:lang w:val="nl-NL"/>
        </w:rPr>
        <w:t xml:space="preserve"> (</w:t>
      </w:r>
      <w:r w:rsidR="00EF0180" w:rsidRPr="00A33930">
        <w:rPr>
          <w:rFonts w:eastAsia="Verdana" w:cs="Verdana"/>
          <w:i/>
          <w:iCs/>
          <w:szCs w:val="18"/>
          <w:lang w:val="nl-NL"/>
        </w:rPr>
        <w:t>supra</w:t>
      </w:r>
      <w:r w:rsidR="00EF0180" w:rsidRPr="00A33930">
        <w:rPr>
          <w:rFonts w:eastAsia="Verdana" w:cs="Verdana"/>
          <w:szCs w:val="18"/>
          <w:lang w:val="nl-NL"/>
        </w:rPr>
        <w:t xml:space="preserve">, nr. </w:t>
      </w:r>
      <w:r w:rsidR="00DF465E" w:rsidRPr="00A33930">
        <w:rPr>
          <w:rFonts w:eastAsia="Verdana" w:cs="Verdana"/>
          <w:szCs w:val="18"/>
          <w:lang w:val="nl-NL"/>
        </w:rPr>
        <w:t>56</w:t>
      </w:r>
      <w:r w:rsidR="00EF0180" w:rsidRPr="00A33930">
        <w:rPr>
          <w:rFonts w:eastAsia="Verdana" w:cs="Verdana"/>
          <w:szCs w:val="18"/>
          <w:lang w:val="nl-NL"/>
        </w:rPr>
        <w:t>)</w:t>
      </w:r>
      <w:r w:rsidRPr="00A33930">
        <w:rPr>
          <w:rFonts w:eastAsia="Verdana" w:cs="Verdana"/>
          <w:szCs w:val="18"/>
          <w:lang w:val="nl-NL"/>
        </w:rPr>
        <w:t>.</w:t>
      </w:r>
      <w:r w:rsidR="00B61BA1" w:rsidRPr="00A33930">
        <w:rPr>
          <w:rStyle w:val="Voetnootmarkering"/>
          <w:rFonts w:eastAsia="Verdana" w:cs="Verdana"/>
          <w:szCs w:val="18"/>
          <w:lang w:val="nl-NL"/>
        </w:rPr>
        <w:footnoteReference w:id="450"/>
      </w:r>
      <w:r w:rsidRPr="00A33930">
        <w:rPr>
          <w:rFonts w:eastAsia="Verdana" w:cs="Verdana"/>
          <w:szCs w:val="18"/>
          <w:lang w:val="nl-NL"/>
        </w:rPr>
        <w:t xml:space="preserve"> Dit wordt steeds </w:t>
      </w:r>
      <w:r w:rsidRPr="00A33930">
        <w:rPr>
          <w:rFonts w:eastAsia="Verdana" w:cs="Verdana"/>
          <w:i/>
          <w:iCs/>
          <w:szCs w:val="18"/>
          <w:lang w:val="nl-NL"/>
        </w:rPr>
        <w:t>in concreto</w:t>
      </w:r>
      <w:r w:rsidRPr="00A33930">
        <w:rPr>
          <w:rFonts w:eastAsia="Verdana" w:cs="Verdana"/>
          <w:szCs w:val="18"/>
          <w:lang w:val="nl-NL"/>
        </w:rPr>
        <w:t xml:space="preserve"> bepaald. </w:t>
      </w:r>
      <w:r w:rsidR="002601A1" w:rsidRPr="00A33930">
        <w:rPr>
          <w:rFonts w:eastAsia="Verdana" w:cs="Verdana"/>
          <w:szCs w:val="18"/>
          <w:lang w:val="nl-NL"/>
        </w:rPr>
        <w:t>Het uitgangspunt van deze bepaling vormt dus het recht van het kind zelf, m</w:t>
      </w:r>
      <w:r w:rsidR="00A84AE7" w:rsidRPr="00A33930">
        <w:rPr>
          <w:rFonts w:eastAsia="Verdana" w:cs="Verdana"/>
          <w:szCs w:val="18"/>
          <w:lang w:val="nl-NL"/>
        </w:rPr>
        <w:t xml:space="preserve">et de nadruk op </w:t>
      </w:r>
      <w:r w:rsidR="002601A1" w:rsidRPr="00A33930">
        <w:rPr>
          <w:rFonts w:eastAsia="Verdana" w:cs="Verdana"/>
          <w:szCs w:val="18"/>
          <w:lang w:val="nl-NL"/>
        </w:rPr>
        <w:t>zijn</w:t>
      </w:r>
      <w:r w:rsidR="00A84AE7" w:rsidRPr="00A33930">
        <w:rPr>
          <w:rFonts w:eastAsia="Verdana" w:cs="Verdana"/>
          <w:szCs w:val="18"/>
          <w:lang w:val="nl-NL"/>
        </w:rPr>
        <w:t xml:space="preserve"> belang</w:t>
      </w:r>
      <w:r w:rsidR="002601A1" w:rsidRPr="00A33930">
        <w:rPr>
          <w:rFonts w:eastAsia="Verdana" w:cs="Verdana"/>
          <w:szCs w:val="18"/>
          <w:lang w:val="nl-NL"/>
        </w:rPr>
        <w:t>en</w:t>
      </w:r>
      <w:r w:rsidR="00A84AE7" w:rsidRPr="00A33930">
        <w:rPr>
          <w:rFonts w:eastAsia="Verdana" w:cs="Verdana"/>
          <w:szCs w:val="18"/>
          <w:lang w:val="nl-NL"/>
        </w:rPr>
        <w:t>.</w:t>
      </w:r>
      <w:r w:rsidR="007A5356" w:rsidRPr="00A33930">
        <w:rPr>
          <w:rStyle w:val="Voetnootmarkering"/>
          <w:rFonts w:eastAsia="Verdana" w:cs="Verdana"/>
          <w:szCs w:val="18"/>
          <w:lang w:val="nl-NL"/>
        </w:rPr>
        <w:footnoteReference w:id="451"/>
      </w:r>
      <w:r w:rsidR="000B5005" w:rsidRPr="00A33930">
        <w:rPr>
          <w:rFonts w:eastAsia="Verdana" w:cs="Verdana"/>
          <w:szCs w:val="18"/>
          <w:lang w:val="nl-NL"/>
        </w:rPr>
        <w:t xml:space="preserve"> </w:t>
      </w:r>
    </w:p>
    <w:p w14:paraId="642306CF" w14:textId="77777777" w:rsidR="00093B9E" w:rsidRPr="00A33930" w:rsidRDefault="00093B9E" w:rsidP="00093B9E">
      <w:pPr>
        <w:pStyle w:val="Lijstalinea"/>
        <w:rPr>
          <w:lang w:val="nl-NL"/>
        </w:rPr>
      </w:pPr>
    </w:p>
    <w:p w14:paraId="59E02105" w14:textId="43B699DB" w:rsidR="00A6428B" w:rsidRPr="00A33930" w:rsidRDefault="00EB4CC2" w:rsidP="00093B9E">
      <w:pPr>
        <w:pStyle w:val="Lijstalinea"/>
        <w:spacing w:before="200" w:after="0"/>
        <w:ind w:left="0"/>
        <w:jc w:val="both"/>
        <w:rPr>
          <w:rFonts w:eastAsia="Verdana" w:cs="Verdana"/>
          <w:szCs w:val="18"/>
          <w:lang w:val="nl-NL"/>
        </w:rPr>
      </w:pPr>
      <w:r w:rsidRPr="00A33930">
        <w:rPr>
          <w:lang w:val="nl-NL"/>
        </w:rPr>
        <w:t xml:space="preserve">Het NBW benadrukt </w:t>
      </w:r>
      <w:r w:rsidR="000B5005" w:rsidRPr="00A33930">
        <w:rPr>
          <w:lang w:val="nl-NL"/>
        </w:rPr>
        <w:t xml:space="preserve">hierbij </w:t>
      </w:r>
      <w:r w:rsidRPr="00A33930">
        <w:rPr>
          <w:lang w:val="nl-NL"/>
        </w:rPr>
        <w:t>de wederkerigheid van het recht op persoonlijk contact tussen ouders en kind.</w:t>
      </w:r>
      <w:r w:rsidRPr="00A33930">
        <w:rPr>
          <w:rStyle w:val="Voetnootmarkering"/>
          <w:lang w:val="nl-NL"/>
        </w:rPr>
        <w:footnoteReference w:id="452"/>
      </w:r>
      <w:r w:rsidRPr="00A33930">
        <w:rPr>
          <w:lang w:val="nl-NL"/>
        </w:rPr>
        <w:t xml:space="preserve"> Niet enkel krijgt de volwassene een recht, maar ook een plicht tot contact opgelegd.</w:t>
      </w:r>
      <w:r w:rsidRPr="00A33930">
        <w:rPr>
          <w:rStyle w:val="Voetnootmarkering"/>
          <w:lang w:val="nl-NL"/>
        </w:rPr>
        <w:footnoteReference w:id="453"/>
      </w:r>
      <w:r w:rsidR="00A84AE7" w:rsidRPr="00A33930">
        <w:rPr>
          <w:rFonts w:eastAsia="Verdana" w:cs="Verdana"/>
          <w:szCs w:val="18"/>
          <w:lang w:val="nl-NL"/>
        </w:rPr>
        <w:t xml:space="preserve"> Voorheen lag de nadruk nog sterk op de bescherming, terwijl dit nu verschoven is naar de autonomie en zelfbeschikking van het kind.</w:t>
      </w:r>
      <w:r w:rsidR="00AB76DB" w:rsidRPr="00A33930">
        <w:rPr>
          <w:rFonts w:eastAsia="Verdana" w:cs="Verdana"/>
          <w:szCs w:val="18"/>
          <w:lang w:val="nl-NL"/>
        </w:rPr>
        <w:t xml:space="preserve"> Dit maakt het recht op persoonlijk contact een wederkerig recht: de drager van het ouderlijk gezag heeft het recht én de plicht om het minderjarig kind te verzorgen en </w:t>
      </w:r>
      <w:r w:rsidR="00AB76DB" w:rsidRPr="00A33930">
        <w:rPr>
          <w:rFonts w:eastAsia="Verdana" w:cs="Verdana"/>
          <w:szCs w:val="18"/>
          <w:lang w:val="nl-NL"/>
        </w:rPr>
        <w:lastRenderedPageBreak/>
        <w:t>op te voeden.</w:t>
      </w:r>
      <w:r w:rsidR="00AB76DB" w:rsidRPr="00A33930">
        <w:rPr>
          <w:rStyle w:val="Voetnootmarkering"/>
          <w:rFonts w:eastAsia="Verdana" w:cs="Verdana"/>
          <w:szCs w:val="18"/>
          <w:lang w:val="nl-NL"/>
        </w:rPr>
        <w:footnoteReference w:id="454"/>
      </w:r>
      <w:r w:rsidR="00AB76DB" w:rsidRPr="00A33930">
        <w:rPr>
          <w:rFonts w:eastAsia="Verdana" w:cs="Verdana"/>
          <w:szCs w:val="18"/>
          <w:lang w:val="nl-NL"/>
        </w:rPr>
        <w:t xml:space="preserve"> Ook de ouder die geen ouderlijk gezag uitoefent, heeft deze verplichting tot contact.</w:t>
      </w:r>
      <w:r w:rsidR="00AB76DB" w:rsidRPr="00A33930">
        <w:rPr>
          <w:rStyle w:val="Voetnootmarkering"/>
          <w:rFonts w:eastAsia="Verdana" w:cs="Verdana"/>
          <w:szCs w:val="18"/>
          <w:lang w:val="nl-NL"/>
        </w:rPr>
        <w:footnoteReference w:id="455"/>
      </w:r>
      <w:r w:rsidR="003D5129" w:rsidRPr="00A33930">
        <w:rPr>
          <w:rFonts w:eastAsia="Verdana" w:cs="Verdana"/>
          <w:szCs w:val="18"/>
          <w:lang w:val="nl-NL"/>
        </w:rPr>
        <w:t xml:space="preserve"> </w:t>
      </w:r>
      <w:r w:rsidR="00EB57B4" w:rsidRPr="00A33930">
        <w:rPr>
          <w:rFonts w:eastAsia="Verdana" w:cs="Verdana"/>
          <w:szCs w:val="18"/>
          <w:lang w:val="nl-NL"/>
        </w:rPr>
        <w:t xml:space="preserve">Het </w:t>
      </w:r>
      <w:r w:rsidR="00EF0180" w:rsidRPr="00A33930">
        <w:rPr>
          <w:rFonts w:eastAsia="Verdana" w:cs="Verdana"/>
          <w:szCs w:val="18"/>
          <w:lang w:val="nl-NL"/>
        </w:rPr>
        <w:t>recht op contact is dus</w:t>
      </w:r>
      <w:r w:rsidR="00EB57B4" w:rsidRPr="00A33930">
        <w:rPr>
          <w:rFonts w:eastAsia="Verdana" w:cs="Verdana"/>
          <w:szCs w:val="18"/>
          <w:lang w:val="nl-NL"/>
        </w:rPr>
        <w:t xml:space="preserve"> een fundamenteel recht van </w:t>
      </w:r>
      <w:r w:rsidR="00EF0180" w:rsidRPr="00A33930">
        <w:rPr>
          <w:rFonts w:eastAsia="Verdana" w:cs="Verdana"/>
          <w:szCs w:val="18"/>
          <w:lang w:val="nl-NL"/>
        </w:rPr>
        <w:t xml:space="preserve">zowel </w:t>
      </w:r>
      <w:r w:rsidR="00EB57B4" w:rsidRPr="00A33930">
        <w:rPr>
          <w:rFonts w:eastAsia="Verdana" w:cs="Verdana"/>
          <w:szCs w:val="18"/>
          <w:lang w:val="nl-NL"/>
        </w:rPr>
        <w:t xml:space="preserve">ouder </w:t>
      </w:r>
      <w:r w:rsidR="00EF0180" w:rsidRPr="00A33930">
        <w:rPr>
          <w:rFonts w:eastAsia="Verdana" w:cs="Verdana"/>
          <w:szCs w:val="18"/>
          <w:lang w:val="nl-NL"/>
        </w:rPr>
        <w:t>als</w:t>
      </w:r>
      <w:r w:rsidR="00EB57B4" w:rsidRPr="00A33930">
        <w:rPr>
          <w:rFonts w:eastAsia="Verdana" w:cs="Verdana"/>
          <w:szCs w:val="18"/>
          <w:lang w:val="nl-NL"/>
        </w:rPr>
        <w:t xml:space="preserve"> kind.</w:t>
      </w:r>
      <w:r w:rsidR="00EB57B4" w:rsidRPr="00A33930">
        <w:rPr>
          <w:rStyle w:val="Voetnootmarkering"/>
          <w:rFonts w:eastAsia="Verdana" w:cs="Verdana"/>
          <w:szCs w:val="18"/>
          <w:lang w:val="nl-NL"/>
        </w:rPr>
        <w:footnoteReference w:id="456"/>
      </w:r>
      <w:r w:rsidR="00EB57B4" w:rsidRPr="00A33930">
        <w:rPr>
          <w:rFonts w:eastAsia="Verdana" w:cs="Verdana"/>
          <w:szCs w:val="18"/>
          <w:lang w:val="nl-NL"/>
        </w:rPr>
        <w:t xml:space="preserve"> </w:t>
      </w:r>
      <w:r w:rsidR="003D5129" w:rsidRPr="00A33930">
        <w:rPr>
          <w:rFonts w:eastAsia="Verdana" w:cs="Verdana"/>
          <w:szCs w:val="18"/>
          <w:lang w:val="nl-NL"/>
        </w:rPr>
        <w:t xml:space="preserve">De ouder draagt </w:t>
      </w:r>
      <w:r w:rsidR="00EF0180" w:rsidRPr="00A33930">
        <w:rPr>
          <w:rFonts w:eastAsia="Verdana" w:cs="Verdana"/>
          <w:szCs w:val="18"/>
          <w:lang w:val="nl-NL"/>
        </w:rPr>
        <w:t xml:space="preserve">hierbij </w:t>
      </w:r>
      <w:r w:rsidR="003D5129" w:rsidRPr="00A33930">
        <w:rPr>
          <w:rFonts w:eastAsia="Verdana" w:cs="Verdana"/>
          <w:szCs w:val="18"/>
          <w:lang w:val="nl-NL"/>
        </w:rPr>
        <w:t xml:space="preserve">de verantwoordelijkheid </w:t>
      </w:r>
      <w:r w:rsidR="00EF0180" w:rsidRPr="00A33930">
        <w:rPr>
          <w:rFonts w:eastAsia="Verdana" w:cs="Verdana"/>
          <w:szCs w:val="18"/>
          <w:lang w:val="nl-NL"/>
        </w:rPr>
        <w:t>tot</w:t>
      </w:r>
      <w:r w:rsidR="003D5129" w:rsidRPr="00A33930">
        <w:rPr>
          <w:rFonts w:eastAsia="Verdana" w:cs="Verdana"/>
          <w:szCs w:val="18"/>
          <w:lang w:val="nl-NL"/>
        </w:rPr>
        <w:t xml:space="preserve"> </w:t>
      </w:r>
      <w:r w:rsidR="000B5005" w:rsidRPr="00A33930">
        <w:rPr>
          <w:rFonts w:eastAsia="Verdana" w:cs="Verdana"/>
          <w:szCs w:val="18"/>
          <w:lang w:val="nl-NL"/>
        </w:rPr>
        <w:t xml:space="preserve">het onderhouden van het </w:t>
      </w:r>
      <w:r w:rsidR="003D5129" w:rsidRPr="00A33930">
        <w:rPr>
          <w:rFonts w:eastAsia="Verdana" w:cs="Verdana"/>
          <w:szCs w:val="18"/>
          <w:lang w:val="nl-NL"/>
        </w:rPr>
        <w:t>contact.</w:t>
      </w:r>
      <w:r w:rsidR="003D5129" w:rsidRPr="00A33930">
        <w:rPr>
          <w:rStyle w:val="Voetnootmarkering"/>
          <w:rFonts w:eastAsia="Verdana" w:cs="Verdana"/>
          <w:szCs w:val="18"/>
          <w:lang w:val="nl-NL"/>
        </w:rPr>
        <w:footnoteReference w:id="457"/>
      </w:r>
      <w:r w:rsidR="007A5356" w:rsidRPr="00A33930">
        <w:rPr>
          <w:rFonts w:eastAsia="Verdana" w:cs="Verdana"/>
          <w:szCs w:val="18"/>
          <w:lang w:val="nl-NL"/>
        </w:rPr>
        <w:t xml:space="preserve"> Deze plicht is volgens de MvT juridisch afdwingbaar.</w:t>
      </w:r>
      <w:r w:rsidR="007A5356" w:rsidRPr="00A33930">
        <w:rPr>
          <w:rStyle w:val="Voetnootmarkering"/>
          <w:rFonts w:eastAsia="Verdana" w:cs="Verdana"/>
          <w:szCs w:val="18"/>
          <w:lang w:val="nl-NL"/>
        </w:rPr>
        <w:footnoteReference w:id="458"/>
      </w:r>
      <w:r w:rsidR="000A517A" w:rsidRPr="00A33930">
        <w:rPr>
          <w:rFonts w:eastAsia="Verdana" w:cs="Verdana"/>
          <w:szCs w:val="18"/>
          <w:lang w:val="nl-NL"/>
        </w:rPr>
        <w:t xml:space="preserve"> </w:t>
      </w:r>
      <w:r w:rsidR="00BD2733" w:rsidRPr="00A33930">
        <w:rPr>
          <w:rFonts w:eastAsia="Verdana" w:cs="Verdana"/>
          <w:szCs w:val="18"/>
          <w:lang w:val="nl-NL"/>
        </w:rPr>
        <w:t>Opgemerkt moet worden</w:t>
      </w:r>
      <w:r w:rsidR="000F23D8" w:rsidRPr="00A33930">
        <w:rPr>
          <w:rFonts w:eastAsia="Verdana" w:cs="Verdana"/>
          <w:szCs w:val="18"/>
          <w:lang w:val="nl-NL"/>
        </w:rPr>
        <w:t xml:space="preserve"> </w:t>
      </w:r>
      <w:r w:rsidR="00BD2733" w:rsidRPr="00A33930">
        <w:rPr>
          <w:rFonts w:eastAsia="Verdana" w:cs="Verdana"/>
          <w:szCs w:val="18"/>
          <w:lang w:val="nl-NL"/>
        </w:rPr>
        <w:t>dat</w:t>
      </w:r>
      <w:r w:rsidR="000F23D8" w:rsidRPr="00A33930">
        <w:rPr>
          <w:rFonts w:eastAsia="Verdana" w:cs="Verdana"/>
          <w:szCs w:val="18"/>
          <w:lang w:val="nl-NL"/>
        </w:rPr>
        <w:t xml:space="preserve"> </w:t>
      </w:r>
      <w:r w:rsidR="00725F3F" w:rsidRPr="00A33930">
        <w:rPr>
          <w:rFonts w:eastAsia="Verdana" w:cs="Verdana"/>
          <w:szCs w:val="18"/>
          <w:lang w:val="nl-NL"/>
        </w:rPr>
        <w:t xml:space="preserve">het wetsartikel </w:t>
      </w:r>
      <w:r w:rsidR="000F23D8" w:rsidRPr="00A33930">
        <w:rPr>
          <w:rFonts w:eastAsia="Verdana" w:cs="Verdana"/>
          <w:szCs w:val="18"/>
          <w:lang w:val="nl-NL"/>
        </w:rPr>
        <w:t xml:space="preserve">geen melding </w:t>
      </w:r>
      <w:r w:rsidR="00BD2733" w:rsidRPr="00A33930">
        <w:rPr>
          <w:rFonts w:eastAsia="Verdana" w:cs="Verdana"/>
          <w:szCs w:val="18"/>
          <w:lang w:val="nl-NL"/>
        </w:rPr>
        <w:t>maakt</w:t>
      </w:r>
      <w:r w:rsidR="000F23D8" w:rsidRPr="00A33930">
        <w:rPr>
          <w:rFonts w:eastAsia="Verdana" w:cs="Verdana"/>
          <w:szCs w:val="18"/>
          <w:lang w:val="nl-NL"/>
        </w:rPr>
        <w:t xml:space="preserve"> van de uitoefening van dit recht door het kind</w:t>
      </w:r>
      <w:r w:rsidR="00BD2733" w:rsidRPr="00A33930">
        <w:rPr>
          <w:rFonts w:eastAsia="Verdana" w:cs="Verdana"/>
          <w:szCs w:val="18"/>
          <w:lang w:val="nl-NL"/>
        </w:rPr>
        <w:t>, waardoor de vraag kan</w:t>
      </w:r>
      <w:r w:rsidR="000F23D8" w:rsidRPr="00A33930">
        <w:rPr>
          <w:rFonts w:eastAsia="Verdana" w:cs="Verdana"/>
          <w:szCs w:val="18"/>
          <w:lang w:val="nl-NL"/>
        </w:rPr>
        <w:t xml:space="preserve"> worden gesteld </w:t>
      </w:r>
      <w:r w:rsidR="00BD2733" w:rsidRPr="00A33930">
        <w:rPr>
          <w:rFonts w:eastAsia="Verdana" w:cs="Verdana"/>
          <w:szCs w:val="18"/>
          <w:lang w:val="nl-NL"/>
        </w:rPr>
        <w:t>in welke mate het</w:t>
      </w:r>
      <w:r w:rsidR="000F23D8" w:rsidRPr="00A33930">
        <w:rPr>
          <w:rFonts w:eastAsia="Verdana" w:cs="Verdana"/>
          <w:szCs w:val="18"/>
          <w:lang w:val="nl-NL"/>
        </w:rPr>
        <w:t xml:space="preserve"> de bedoeling was van de Nederlandse wetgever om een eigen recht op persoonlijk contact van het kind</w:t>
      </w:r>
      <w:r w:rsidR="00BD2733" w:rsidRPr="00A33930">
        <w:rPr>
          <w:rFonts w:eastAsia="Verdana" w:cs="Verdana"/>
          <w:szCs w:val="18"/>
          <w:lang w:val="nl-NL"/>
        </w:rPr>
        <w:t xml:space="preserve"> in de wetgeving</w:t>
      </w:r>
      <w:r w:rsidR="000F23D8" w:rsidRPr="00A33930">
        <w:rPr>
          <w:rFonts w:eastAsia="Verdana" w:cs="Verdana"/>
          <w:szCs w:val="18"/>
          <w:lang w:val="nl-NL"/>
        </w:rPr>
        <w:t xml:space="preserve"> te verankeren.</w:t>
      </w:r>
      <w:r w:rsidR="000F23D8" w:rsidRPr="00A33930">
        <w:rPr>
          <w:rStyle w:val="Voetnootmarkering"/>
          <w:rFonts w:eastAsia="Verdana" w:cs="Verdana"/>
          <w:szCs w:val="18"/>
          <w:lang w:val="nl-NL"/>
        </w:rPr>
        <w:footnoteReference w:id="459"/>
      </w:r>
    </w:p>
    <w:p w14:paraId="68DA5EA6" w14:textId="4AC444CF" w:rsidR="004D631D" w:rsidRPr="00A33930" w:rsidRDefault="004D631D" w:rsidP="00140133">
      <w:pPr>
        <w:pStyle w:val="Kop3"/>
        <w:numPr>
          <w:ilvl w:val="0"/>
          <w:numId w:val="0"/>
        </w:numPr>
        <w:spacing w:before="360"/>
        <w:ind w:left="357" w:hanging="357"/>
        <w:jc w:val="both"/>
        <w:rPr>
          <w:lang w:val="nl-NL"/>
        </w:rPr>
      </w:pPr>
      <w:bookmarkStart w:id="36" w:name="_Toc134621195"/>
      <w:r w:rsidRPr="00A33930">
        <w:rPr>
          <w:lang w:val="nl-NL"/>
        </w:rPr>
        <w:t>Afdeling II.</w:t>
      </w:r>
      <w:r w:rsidRPr="00A33930">
        <w:rPr>
          <w:lang w:val="nl-NL"/>
        </w:rPr>
        <w:tab/>
        <w:t>In de praktijk</w:t>
      </w:r>
      <w:bookmarkEnd w:id="36"/>
    </w:p>
    <w:p w14:paraId="267D6E8E" w14:textId="17D087D9" w:rsidR="00B31E90" w:rsidRPr="00A33930" w:rsidRDefault="00B31E90" w:rsidP="00B31E90">
      <w:pPr>
        <w:pStyle w:val="Lijstalinea"/>
        <w:numPr>
          <w:ilvl w:val="0"/>
          <w:numId w:val="4"/>
        </w:numPr>
        <w:spacing w:before="200" w:after="0"/>
        <w:ind w:left="0" w:firstLine="0"/>
        <w:jc w:val="both"/>
        <w:rPr>
          <w:rFonts w:eastAsia="Verdana" w:cs="Verdana"/>
          <w:szCs w:val="18"/>
          <w:lang w:val="nl-NL"/>
        </w:rPr>
      </w:pPr>
      <w:r w:rsidRPr="00A33930">
        <w:rPr>
          <w:lang w:val="nl-NL"/>
        </w:rPr>
        <w:t>Het kind mag naar Nederlands recht wel beschikken over een recht op persoonlijk contact, toch blijft ook hier het kind procesonbekwaam.</w:t>
      </w:r>
      <w:r w:rsidRPr="00A33930">
        <w:rPr>
          <w:rStyle w:val="Voetnootmarkering"/>
          <w:lang w:val="nl-NL"/>
        </w:rPr>
        <w:footnoteReference w:id="460"/>
      </w:r>
      <w:r w:rsidRPr="00A33930">
        <w:rPr>
          <w:lang w:val="nl-NL"/>
        </w:rPr>
        <w:t xml:space="preserve"> </w:t>
      </w:r>
      <w:r w:rsidRPr="00A33930">
        <w:rPr>
          <w:rFonts w:eastAsia="Verdana" w:cs="Verdana"/>
          <w:szCs w:val="18"/>
          <w:lang w:val="nl-NL"/>
        </w:rPr>
        <w:t xml:space="preserve">Nederland kent </w:t>
      </w:r>
      <w:r w:rsidR="00BD59C3" w:rsidRPr="00A33930">
        <w:rPr>
          <w:rFonts w:eastAsia="Verdana" w:cs="Verdana"/>
          <w:szCs w:val="18"/>
          <w:lang w:val="nl-NL"/>
        </w:rPr>
        <w:t xml:space="preserve">echter </w:t>
      </w:r>
      <w:r w:rsidRPr="00A33930">
        <w:rPr>
          <w:rFonts w:eastAsia="Verdana" w:cs="Verdana"/>
          <w:szCs w:val="18"/>
          <w:lang w:val="nl-NL"/>
        </w:rPr>
        <w:t>een meer open systeem en staat een verzoek van de minderjarige toe</w:t>
      </w:r>
      <w:r w:rsidR="00671DFD" w:rsidRPr="00A33930">
        <w:rPr>
          <w:rFonts w:eastAsia="Verdana" w:cs="Verdana"/>
          <w:szCs w:val="18"/>
          <w:lang w:val="nl-NL"/>
        </w:rPr>
        <w:t>: de minderjarige is in alle familierechtelijke zaken die hem aanbelangen een belanghebbende</w:t>
      </w:r>
      <w:r w:rsidRPr="00A33930">
        <w:rPr>
          <w:rFonts w:eastAsia="Verdana" w:cs="Verdana"/>
          <w:szCs w:val="18"/>
          <w:lang w:val="nl-NL"/>
        </w:rPr>
        <w:t>.</w:t>
      </w:r>
      <w:r w:rsidR="00671DFD" w:rsidRPr="00A33930">
        <w:rPr>
          <w:rStyle w:val="Voetnootmarkering"/>
          <w:rFonts w:eastAsia="Verdana" w:cs="Verdana"/>
          <w:szCs w:val="18"/>
          <w:lang w:val="nl-NL"/>
        </w:rPr>
        <w:footnoteReference w:id="461"/>
      </w:r>
      <w:r w:rsidRPr="00A33930">
        <w:rPr>
          <w:rFonts w:eastAsia="Verdana" w:cs="Verdana"/>
          <w:szCs w:val="18"/>
          <w:lang w:val="nl-NL"/>
        </w:rPr>
        <w:t xml:space="preserve"> Aangaande het contactrecht beschikt het kind over een informele rechtsingang </w:t>
      </w:r>
      <w:r w:rsidR="00EF0180" w:rsidRPr="00A33930">
        <w:rPr>
          <w:rFonts w:eastAsia="Verdana" w:cs="Verdana"/>
          <w:szCs w:val="18"/>
          <w:lang w:val="nl-NL"/>
        </w:rPr>
        <w:t>overeenkomstig</w:t>
      </w:r>
      <w:r w:rsidRPr="00A33930">
        <w:rPr>
          <w:rFonts w:eastAsia="Verdana" w:cs="Verdana"/>
          <w:szCs w:val="18"/>
          <w:lang w:val="nl-NL"/>
        </w:rPr>
        <w:t xml:space="preserve"> artikel 1:377g NBW.</w:t>
      </w:r>
      <w:r w:rsidRPr="00A33930">
        <w:rPr>
          <w:vertAlign w:val="superscript"/>
          <w:lang w:val="nl-NL"/>
        </w:rPr>
        <w:footnoteReference w:id="462"/>
      </w:r>
      <w:r w:rsidRPr="00A33930">
        <w:rPr>
          <w:rFonts w:eastAsia="Verdana" w:cs="Verdana"/>
          <w:szCs w:val="18"/>
          <w:lang w:val="nl-NL"/>
        </w:rPr>
        <w:t xml:space="preserve"> </w:t>
      </w:r>
      <w:r w:rsidRPr="00A33930">
        <w:rPr>
          <w:lang w:val="nl-NL"/>
        </w:rPr>
        <w:t>Een kind van twaalf jaar of ouder en jongere kinderen</w:t>
      </w:r>
      <w:r w:rsidR="00EF0180" w:rsidRPr="00A33930">
        <w:rPr>
          <w:lang w:val="nl-NL"/>
        </w:rPr>
        <w:t xml:space="preserve"> </w:t>
      </w:r>
      <w:r w:rsidRPr="00A33930">
        <w:rPr>
          <w:lang w:val="nl-NL"/>
        </w:rPr>
        <w:t>indien zij beschikken over voldoende onderscheidingsvermogen, verkrijgen deze rechtsingang</w:t>
      </w:r>
      <w:r w:rsidR="008054D3" w:rsidRPr="00A33930">
        <w:rPr>
          <w:lang w:val="nl-NL"/>
        </w:rPr>
        <w:t xml:space="preserve"> o.a.</w:t>
      </w:r>
      <w:r w:rsidRPr="00A33930">
        <w:rPr>
          <w:lang w:val="nl-NL"/>
        </w:rPr>
        <w:t xml:space="preserve"> voor omgangsregelingen.</w:t>
      </w:r>
      <w:r w:rsidRPr="00A33930">
        <w:rPr>
          <w:rStyle w:val="Voetnootmarkering"/>
          <w:lang w:val="nl-NL"/>
        </w:rPr>
        <w:footnoteReference w:id="463"/>
      </w:r>
      <w:r w:rsidRPr="00A33930">
        <w:rPr>
          <w:lang w:val="nl-NL"/>
        </w:rPr>
        <w:t xml:space="preserve"> </w:t>
      </w:r>
      <w:r w:rsidR="00F92CA0" w:rsidRPr="00A33930">
        <w:rPr>
          <w:lang w:val="nl-NL"/>
        </w:rPr>
        <w:t xml:space="preserve">Dit betreft een informele rechtsingang omdat het kind geen verzoekschrift moet indienen: </w:t>
      </w:r>
      <w:r w:rsidR="00F92CA0" w:rsidRPr="00A33930">
        <w:rPr>
          <w:rFonts w:eastAsia="Verdana" w:cs="Verdana"/>
          <w:szCs w:val="18"/>
          <w:lang w:val="nl-NL"/>
        </w:rPr>
        <w:t>d</w:t>
      </w:r>
      <w:r w:rsidRPr="00A33930">
        <w:rPr>
          <w:rFonts w:eastAsia="Verdana" w:cs="Verdana"/>
          <w:szCs w:val="18"/>
          <w:lang w:val="nl-NL"/>
        </w:rPr>
        <w:t xml:space="preserve">e minderjarige kan de rechter opbellen, een brief schrijven of een e-mail </w:t>
      </w:r>
      <w:r w:rsidR="008054D3" w:rsidRPr="00A33930">
        <w:rPr>
          <w:rFonts w:eastAsia="Verdana" w:cs="Verdana"/>
          <w:szCs w:val="18"/>
          <w:lang w:val="nl-NL"/>
        </w:rPr>
        <w:t>zenden</w:t>
      </w:r>
      <w:r w:rsidRPr="00A33930">
        <w:rPr>
          <w:rFonts w:eastAsia="Verdana" w:cs="Verdana"/>
          <w:szCs w:val="18"/>
          <w:lang w:val="nl-NL"/>
        </w:rPr>
        <w:t>, zonder dat hij vertegenwoordig</w:t>
      </w:r>
      <w:r w:rsidR="00FB68EC" w:rsidRPr="00A33930">
        <w:rPr>
          <w:rFonts w:eastAsia="Verdana" w:cs="Verdana"/>
          <w:szCs w:val="18"/>
          <w:lang w:val="nl-NL"/>
        </w:rPr>
        <w:t>d</w:t>
      </w:r>
      <w:r w:rsidRPr="00A33930">
        <w:rPr>
          <w:rFonts w:eastAsia="Verdana" w:cs="Verdana"/>
          <w:szCs w:val="18"/>
          <w:lang w:val="nl-NL"/>
        </w:rPr>
        <w:t xml:space="preserve"> wordt.</w:t>
      </w:r>
      <w:r w:rsidRPr="00A33930">
        <w:rPr>
          <w:rStyle w:val="Voetnootmarkering"/>
          <w:rFonts w:eastAsia="Verdana" w:cs="Verdana"/>
          <w:szCs w:val="18"/>
          <w:lang w:val="nl-NL"/>
        </w:rPr>
        <w:footnoteReference w:id="464"/>
      </w:r>
      <w:r w:rsidRPr="00A33930">
        <w:rPr>
          <w:rFonts w:eastAsia="Verdana" w:cs="Verdana"/>
          <w:szCs w:val="18"/>
          <w:lang w:val="nl-NL"/>
        </w:rPr>
        <w:t xml:space="preserve"> Verder gelden de normale procedurevoorschriften waardoor er een redelijk volwaardige rechtsingang bestaat in Nederland.</w:t>
      </w:r>
      <w:r w:rsidRPr="00A33930">
        <w:rPr>
          <w:vertAlign w:val="superscript"/>
          <w:lang w:val="nl-NL"/>
        </w:rPr>
        <w:footnoteReference w:id="465"/>
      </w:r>
      <w:r w:rsidRPr="00A33930">
        <w:rPr>
          <w:rFonts w:eastAsia="Verdana" w:cs="Verdana"/>
          <w:szCs w:val="18"/>
          <w:lang w:val="nl-NL"/>
        </w:rPr>
        <w:t xml:space="preserve"> </w:t>
      </w:r>
      <w:r w:rsidRPr="00A33930">
        <w:rPr>
          <w:lang w:val="nl-NL"/>
        </w:rPr>
        <w:lastRenderedPageBreak/>
        <w:t>Een vorm van directe participatie van het kind ligt verankerd in het hoorrecht van de kinderen, al lijkt de term spreekrecht meer recht te doen aan het kind als rechtssubject.</w:t>
      </w:r>
      <w:r w:rsidRPr="00A33930">
        <w:rPr>
          <w:rStyle w:val="Voetnootmarkering"/>
          <w:lang w:val="nl-NL"/>
        </w:rPr>
        <w:footnoteReference w:id="466"/>
      </w:r>
      <w:r w:rsidRPr="00A33930">
        <w:rPr>
          <w:lang w:val="nl-NL"/>
        </w:rPr>
        <w:t xml:space="preserve"> Dit lijkt op het eerste gezicht een goede remediëring voor </w:t>
      </w:r>
      <w:r w:rsidR="00BD59C3" w:rsidRPr="00A33930">
        <w:rPr>
          <w:lang w:val="nl-NL"/>
        </w:rPr>
        <w:t>zijn</w:t>
      </w:r>
      <w:r w:rsidRPr="00A33930">
        <w:rPr>
          <w:lang w:val="nl-NL"/>
        </w:rPr>
        <w:t xml:space="preserve"> procesonbekwaamheid</w:t>
      </w:r>
      <w:r w:rsidR="00BD59C3" w:rsidRPr="00A33930">
        <w:rPr>
          <w:lang w:val="nl-NL"/>
        </w:rPr>
        <w:t>, al</w:t>
      </w:r>
      <w:r w:rsidRPr="00A33930">
        <w:rPr>
          <w:lang w:val="nl-NL"/>
        </w:rPr>
        <w:t xml:space="preserve"> </w:t>
      </w:r>
      <w:r w:rsidR="00BD59C3" w:rsidRPr="00A33930">
        <w:rPr>
          <w:lang w:val="nl-NL"/>
        </w:rPr>
        <w:t xml:space="preserve">heeft </w:t>
      </w:r>
      <w:r w:rsidRPr="00A33930">
        <w:rPr>
          <w:lang w:val="nl-NL"/>
        </w:rPr>
        <w:t xml:space="preserve">de minderjarige </w:t>
      </w:r>
      <w:r w:rsidR="00BD59C3" w:rsidRPr="00A33930">
        <w:rPr>
          <w:lang w:val="nl-NL"/>
        </w:rPr>
        <w:t>vaak onvoldoende</w:t>
      </w:r>
      <w:r w:rsidRPr="00A33930">
        <w:rPr>
          <w:lang w:val="nl-NL"/>
        </w:rPr>
        <w:t xml:space="preserve"> kennis om deze rechtsingang te gebruiken.</w:t>
      </w:r>
      <w:r w:rsidRPr="00A33930">
        <w:rPr>
          <w:rStyle w:val="Voetnootmarkering"/>
          <w:lang w:val="nl-NL"/>
        </w:rPr>
        <w:footnoteReference w:id="467"/>
      </w:r>
      <w:r w:rsidRPr="00A33930">
        <w:rPr>
          <w:lang w:val="nl-NL"/>
        </w:rPr>
        <w:t xml:space="preserve"> Bovendien is dit geen waarborg voor een eigen recht op persoonlijk contact en staat er via deze weg geen beroep open tegen de beslissing van de rechter</w:t>
      </w:r>
      <w:r w:rsidR="00BD59C3" w:rsidRPr="00A33930">
        <w:rPr>
          <w:lang w:val="nl-NL"/>
        </w:rPr>
        <w:t xml:space="preserve"> (</w:t>
      </w:r>
      <w:r w:rsidR="00DF465E" w:rsidRPr="00A33930">
        <w:rPr>
          <w:lang w:val="nl-NL"/>
        </w:rPr>
        <w:t>cf.</w:t>
      </w:r>
      <w:r w:rsidR="00DF465E" w:rsidRPr="00A33930">
        <w:rPr>
          <w:i/>
          <w:iCs/>
          <w:lang w:val="nl-NL"/>
        </w:rPr>
        <w:t xml:space="preserve"> </w:t>
      </w:r>
      <w:r w:rsidR="00BD59C3" w:rsidRPr="00A33930">
        <w:rPr>
          <w:i/>
          <w:iCs/>
          <w:lang w:val="nl-NL"/>
        </w:rPr>
        <w:t>supra</w:t>
      </w:r>
      <w:r w:rsidR="00BD59C3" w:rsidRPr="00A33930">
        <w:rPr>
          <w:lang w:val="nl-NL"/>
        </w:rPr>
        <w:t xml:space="preserve">, nr. </w:t>
      </w:r>
      <w:r w:rsidR="00DF465E" w:rsidRPr="00A33930">
        <w:rPr>
          <w:lang w:val="nl-NL"/>
        </w:rPr>
        <w:t>51</w:t>
      </w:r>
      <w:r w:rsidR="00BD59C3" w:rsidRPr="00A33930">
        <w:rPr>
          <w:lang w:val="nl-NL"/>
        </w:rPr>
        <w:t>)</w:t>
      </w:r>
      <w:r w:rsidRPr="00A33930">
        <w:rPr>
          <w:lang w:val="nl-NL"/>
        </w:rPr>
        <w:t>.</w:t>
      </w:r>
      <w:r w:rsidRPr="00A33930">
        <w:rPr>
          <w:rStyle w:val="Voetnootmarkering"/>
          <w:lang w:val="nl-NL"/>
        </w:rPr>
        <w:footnoteReference w:id="468"/>
      </w:r>
      <w:r w:rsidRPr="00A33930">
        <w:rPr>
          <w:lang w:val="nl-NL"/>
        </w:rPr>
        <w:t xml:space="preserve"> De rechter zal zodus </w:t>
      </w:r>
      <w:r w:rsidR="00DF465E" w:rsidRPr="00A33930">
        <w:rPr>
          <w:lang w:val="nl-NL"/>
        </w:rPr>
        <w:t xml:space="preserve">instaan voor de bescherming van </w:t>
      </w:r>
      <w:r w:rsidRPr="00A33930">
        <w:rPr>
          <w:lang w:val="nl-NL"/>
        </w:rPr>
        <w:t xml:space="preserve">het belang van het kind, doordat het kind niet </w:t>
      </w:r>
      <w:r w:rsidR="00AD6464" w:rsidRPr="00A33930">
        <w:rPr>
          <w:lang w:val="nl-NL"/>
        </w:rPr>
        <w:t xml:space="preserve">over </w:t>
      </w:r>
      <w:r w:rsidRPr="00A33930">
        <w:rPr>
          <w:lang w:val="nl-NL"/>
        </w:rPr>
        <w:t xml:space="preserve">dezelfde processuele bevoegdheden </w:t>
      </w:r>
      <w:r w:rsidR="00AD6464" w:rsidRPr="00A33930">
        <w:rPr>
          <w:lang w:val="nl-NL"/>
        </w:rPr>
        <w:t>beschikt</w:t>
      </w:r>
      <w:r w:rsidRPr="00A33930">
        <w:rPr>
          <w:lang w:val="nl-NL"/>
        </w:rPr>
        <w:t xml:space="preserve"> als de meerderjarigen.</w:t>
      </w:r>
      <w:r w:rsidRPr="00A33930">
        <w:rPr>
          <w:rStyle w:val="Voetnootmarkering"/>
          <w:lang w:val="nl-NL"/>
        </w:rPr>
        <w:footnoteReference w:id="469"/>
      </w:r>
      <w:r w:rsidR="00CB3CA3" w:rsidRPr="00A33930">
        <w:rPr>
          <w:lang w:val="nl-NL"/>
        </w:rPr>
        <w:t xml:space="preserve"> Indien het een informeel verzoek van het kind betreft buiten een reeds lopende procedure, zal de rechter eerst een gesprek voeren met de minderjarige waarna er een oproeping volgt van de ouders ter zitting.</w:t>
      </w:r>
      <w:r w:rsidR="00CB3CA3" w:rsidRPr="00A33930">
        <w:rPr>
          <w:rStyle w:val="Voetnootmarkering"/>
          <w:lang w:val="nl-NL"/>
        </w:rPr>
        <w:footnoteReference w:id="470"/>
      </w:r>
    </w:p>
    <w:p w14:paraId="35070658" w14:textId="77777777" w:rsidR="00B31E90" w:rsidRPr="00A33930" w:rsidRDefault="00B31E90" w:rsidP="00B31E90">
      <w:pPr>
        <w:pStyle w:val="Lijstalinea"/>
        <w:spacing w:before="200" w:after="0"/>
        <w:ind w:left="0"/>
        <w:jc w:val="both"/>
        <w:rPr>
          <w:lang w:val="nl-NL"/>
        </w:rPr>
      </w:pPr>
    </w:p>
    <w:p w14:paraId="0DF32B6C" w14:textId="1C7A234F" w:rsidR="00C83203" w:rsidRPr="00A33930" w:rsidRDefault="008054D3" w:rsidP="0082172C">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Uit de praktijk blijkt dat omgangsregelingen ondanks de</w:t>
      </w:r>
      <w:r w:rsidR="00F26FD4" w:rsidRPr="00A33930">
        <w:rPr>
          <w:rFonts w:eastAsia="Verdana" w:cs="Verdana"/>
          <w:szCs w:val="18"/>
          <w:lang w:val="nl-NL"/>
        </w:rPr>
        <w:t xml:space="preserve"> bestaande</w:t>
      </w:r>
      <w:r w:rsidRPr="00A33930">
        <w:rPr>
          <w:rFonts w:eastAsia="Verdana" w:cs="Verdana"/>
          <w:szCs w:val="18"/>
          <w:lang w:val="nl-NL"/>
        </w:rPr>
        <w:t xml:space="preserve"> contact</w:t>
      </w:r>
      <w:r w:rsidRPr="00A33930">
        <w:rPr>
          <w:rFonts w:eastAsia="Verdana" w:cs="Verdana"/>
          <w:i/>
          <w:iCs/>
          <w:szCs w:val="18"/>
          <w:lang w:val="nl-NL"/>
        </w:rPr>
        <w:t>plicht</w:t>
      </w:r>
      <w:r w:rsidR="00F26FD4" w:rsidRPr="00A33930">
        <w:rPr>
          <w:rFonts w:eastAsia="Verdana" w:cs="Verdana"/>
          <w:szCs w:val="18"/>
          <w:lang w:val="nl-NL"/>
        </w:rPr>
        <w:t xml:space="preserve"> </w:t>
      </w:r>
      <w:r w:rsidRPr="00A33930">
        <w:rPr>
          <w:rFonts w:eastAsia="Verdana" w:cs="Verdana"/>
          <w:szCs w:val="18"/>
          <w:lang w:val="nl-NL"/>
        </w:rPr>
        <w:t xml:space="preserve">niet altijd </w:t>
      </w:r>
      <w:r w:rsidR="00F26FD4" w:rsidRPr="00A33930">
        <w:rPr>
          <w:rFonts w:eastAsia="Verdana" w:cs="Verdana"/>
          <w:szCs w:val="18"/>
          <w:lang w:val="nl-NL"/>
        </w:rPr>
        <w:t xml:space="preserve">worden </w:t>
      </w:r>
      <w:r w:rsidRPr="00A33930">
        <w:rPr>
          <w:rFonts w:eastAsia="Verdana" w:cs="Verdana"/>
          <w:szCs w:val="18"/>
          <w:lang w:val="nl-NL"/>
        </w:rPr>
        <w:t xml:space="preserve">uitgevoerd. </w:t>
      </w:r>
      <w:r w:rsidR="00B31E90" w:rsidRPr="00A33930">
        <w:rPr>
          <w:rFonts w:eastAsia="Verdana" w:cs="Verdana"/>
          <w:szCs w:val="18"/>
          <w:lang w:val="nl-NL"/>
        </w:rPr>
        <w:t xml:space="preserve">Het in rechte afdwingen van omgang door het kind, met een meerderjarige, moet volgens verschillende auteurs </w:t>
      </w:r>
      <w:r w:rsidR="00F56DE0" w:rsidRPr="00A33930">
        <w:rPr>
          <w:rFonts w:eastAsia="Verdana" w:cs="Verdana"/>
          <w:szCs w:val="18"/>
          <w:lang w:val="nl-NL"/>
        </w:rPr>
        <w:t>uitwerking vinden</w:t>
      </w:r>
      <w:r w:rsidR="00B31E90" w:rsidRPr="00A33930">
        <w:rPr>
          <w:rFonts w:eastAsia="Verdana" w:cs="Verdana"/>
          <w:szCs w:val="18"/>
          <w:lang w:val="nl-NL"/>
        </w:rPr>
        <w:t xml:space="preserve"> op grond van de onrechtmatige daad wegens een schending van artikel 8.1 EVRM indien er sprake is van “family life” (</w:t>
      </w:r>
      <w:r w:rsidR="00B31E90" w:rsidRPr="00A33930">
        <w:rPr>
          <w:rFonts w:eastAsia="Verdana" w:cs="Verdana"/>
          <w:i/>
          <w:iCs/>
          <w:szCs w:val="18"/>
          <w:lang w:val="nl-NL"/>
        </w:rPr>
        <w:t>supra</w:t>
      </w:r>
      <w:r w:rsidR="00B31E90" w:rsidRPr="00A33930">
        <w:rPr>
          <w:rFonts w:eastAsia="Verdana" w:cs="Verdana"/>
          <w:szCs w:val="18"/>
          <w:lang w:val="nl-NL"/>
        </w:rPr>
        <w:t xml:space="preserve">, nr. </w:t>
      </w:r>
      <w:r w:rsidR="00DF465E" w:rsidRPr="00A33930">
        <w:rPr>
          <w:rFonts w:eastAsia="Verdana" w:cs="Verdana"/>
          <w:szCs w:val="18"/>
          <w:lang w:val="nl-NL"/>
        </w:rPr>
        <w:t>56</w:t>
      </w:r>
      <w:r w:rsidR="00B31E90" w:rsidRPr="00A33930">
        <w:rPr>
          <w:rFonts w:eastAsia="Verdana" w:cs="Verdana"/>
          <w:szCs w:val="18"/>
          <w:lang w:val="nl-NL"/>
        </w:rPr>
        <w:t>).</w:t>
      </w:r>
      <w:r w:rsidR="00B31E90" w:rsidRPr="00A33930">
        <w:rPr>
          <w:rStyle w:val="Voetnootmarkering"/>
          <w:rFonts w:eastAsia="Verdana" w:cs="Verdana"/>
          <w:szCs w:val="18"/>
          <w:lang w:val="nl-NL"/>
        </w:rPr>
        <w:footnoteReference w:id="471"/>
      </w:r>
      <w:r w:rsidR="00B31E90" w:rsidRPr="00A33930">
        <w:rPr>
          <w:rFonts w:eastAsia="Verdana" w:cs="Verdana"/>
          <w:szCs w:val="18"/>
          <w:lang w:val="nl-NL"/>
        </w:rPr>
        <w:t xml:space="preserve"> </w:t>
      </w:r>
      <w:r w:rsidRPr="00A33930">
        <w:rPr>
          <w:rFonts w:eastAsia="Verdana" w:cs="Verdana"/>
          <w:szCs w:val="18"/>
          <w:lang w:val="nl-NL"/>
        </w:rPr>
        <w:t>Verschillende organisaties hebben ook reeds gepleit voor effectievere sancties op de niet-naleving van de omgangs</w:t>
      </w:r>
      <w:r w:rsidRPr="00A33930">
        <w:rPr>
          <w:rFonts w:eastAsia="Verdana" w:cs="Verdana"/>
          <w:i/>
          <w:iCs/>
          <w:szCs w:val="18"/>
          <w:lang w:val="nl-NL"/>
        </w:rPr>
        <w:t>plicht</w:t>
      </w:r>
      <w:r w:rsidRPr="00A33930">
        <w:rPr>
          <w:rFonts w:eastAsia="Verdana" w:cs="Verdana"/>
          <w:szCs w:val="18"/>
          <w:lang w:val="nl-NL"/>
        </w:rPr>
        <w:t>, bijvoorbeeld via het strafrecht.</w:t>
      </w:r>
      <w:r w:rsidRPr="00A33930">
        <w:rPr>
          <w:rStyle w:val="Voetnootmarkering"/>
          <w:rFonts w:eastAsia="Verdana" w:cs="Verdana"/>
          <w:szCs w:val="18"/>
          <w:lang w:val="nl-NL"/>
        </w:rPr>
        <w:footnoteReference w:id="472"/>
      </w:r>
      <w:r w:rsidRPr="00A33930">
        <w:rPr>
          <w:rFonts w:eastAsia="Verdana" w:cs="Verdana"/>
          <w:szCs w:val="18"/>
          <w:lang w:val="nl-NL"/>
        </w:rPr>
        <w:t xml:space="preserve"> Het opnemen van strafsancties wordt echter vanuit het belang van het kind onwenselijk geacht.</w:t>
      </w:r>
      <w:r w:rsidRPr="00A33930">
        <w:rPr>
          <w:rStyle w:val="Voetnootmarkering"/>
          <w:rFonts w:eastAsia="Verdana" w:cs="Verdana"/>
          <w:szCs w:val="18"/>
          <w:lang w:val="nl-NL"/>
        </w:rPr>
        <w:footnoteReference w:id="473"/>
      </w:r>
      <w:r w:rsidR="0082172C" w:rsidRPr="00A33930">
        <w:rPr>
          <w:rFonts w:eastAsia="Verdana" w:cs="Verdana"/>
          <w:szCs w:val="18"/>
          <w:lang w:val="nl-NL"/>
        </w:rPr>
        <w:t xml:space="preserve"> </w:t>
      </w:r>
      <w:r w:rsidR="008D1B31" w:rsidRPr="00A33930">
        <w:rPr>
          <w:lang w:val="nl-NL"/>
        </w:rPr>
        <w:t xml:space="preserve">Wanneer een ouder geen goede redenen heeft om de medewerking aan of de totstandkoming van een omgangsregeling te weigeren, moet de rechter op korte termijn passende maatregelen nemen. </w:t>
      </w:r>
      <w:r w:rsidR="00A6428B" w:rsidRPr="00A33930">
        <w:rPr>
          <w:lang w:val="nl-NL"/>
        </w:rPr>
        <w:t>De Hoge Raad is van oordeel dat de rechter moet zorgen dat deze contact</w:t>
      </w:r>
      <w:r w:rsidR="00A6428B" w:rsidRPr="00A33930">
        <w:rPr>
          <w:i/>
          <w:iCs/>
          <w:lang w:val="nl-NL"/>
        </w:rPr>
        <w:t>plicht</w:t>
      </w:r>
      <w:r w:rsidR="00A6428B" w:rsidRPr="00A33930">
        <w:rPr>
          <w:lang w:val="nl-NL"/>
        </w:rPr>
        <w:t xml:space="preserve"> vervuld wordt door hierin zelf een actieve houding aan te nemen.</w:t>
      </w:r>
      <w:r w:rsidR="00A6428B" w:rsidRPr="00A33930">
        <w:rPr>
          <w:rStyle w:val="Voetnootmarkering"/>
          <w:lang w:val="nl-NL"/>
        </w:rPr>
        <w:footnoteReference w:id="474"/>
      </w:r>
      <w:r w:rsidR="00572534" w:rsidRPr="00A33930">
        <w:rPr>
          <w:lang w:val="nl-NL"/>
        </w:rPr>
        <w:t xml:space="preserve"> De rechter moet op korte termijn alle nodige maatregelen nemen om contact </w:t>
      </w:r>
      <w:r w:rsidRPr="00A33930">
        <w:rPr>
          <w:lang w:val="nl-NL"/>
        </w:rPr>
        <w:t>tussen minderjarige en meerderjarige</w:t>
      </w:r>
      <w:r w:rsidR="00572534" w:rsidRPr="00A33930">
        <w:rPr>
          <w:lang w:val="nl-NL"/>
        </w:rPr>
        <w:t xml:space="preserve"> te garanderen.</w:t>
      </w:r>
      <w:r w:rsidR="00572534" w:rsidRPr="00A33930">
        <w:rPr>
          <w:rStyle w:val="Voetnootmarkering"/>
          <w:lang w:val="nl-NL"/>
        </w:rPr>
        <w:footnoteReference w:id="475"/>
      </w:r>
      <w:r w:rsidR="00725F3F" w:rsidRPr="00A33930">
        <w:rPr>
          <w:lang w:val="nl-NL"/>
        </w:rPr>
        <w:t xml:space="preserve"> Bovendien kan de rechter zijn beslissing niet baseren op een </w:t>
      </w:r>
      <w:r w:rsidR="00725F3F" w:rsidRPr="00A33930">
        <w:rPr>
          <w:lang w:val="nl-NL"/>
        </w:rPr>
        <w:lastRenderedPageBreak/>
        <w:t>standaardmotivering</w:t>
      </w:r>
      <w:r w:rsidR="00480EA6" w:rsidRPr="00A33930">
        <w:rPr>
          <w:lang w:val="nl-NL"/>
        </w:rPr>
        <w:t>. Dit</w:t>
      </w:r>
      <w:r w:rsidR="00725F3F" w:rsidRPr="00A33930">
        <w:rPr>
          <w:lang w:val="nl-NL"/>
        </w:rPr>
        <w:t xml:space="preserve"> vanwege het fundamentele karakter van het recht op omgang</w:t>
      </w:r>
      <w:r w:rsidRPr="00A33930">
        <w:rPr>
          <w:lang w:val="nl-NL"/>
        </w:rPr>
        <w:t xml:space="preserve">, waardoor een beoordeling </w:t>
      </w:r>
      <w:r w:rsidRPr="00A33930">
        <w:rPr>
          <w:i/>
          <w:iCs/>
          <w:lang w:val="nl-NL"/>
        </w:rPr>
        <w:t>in concreto</w:t>
      </w:r>
      <w:r w:rsidRPr="00A33930">
        <w:rPr>
          <w:lang w:val="nl-NL"/>
        </w:rPr>
        <w:t xml:space="preserve"> </w:t>
      </w:r>
      <w:r w:rsidR="00480EA6" w:rsidRPr="00A33930">
        <w:rPr>
          <w:lang w:val="nl-NL"/>
        </w:rPr>
        <w:t>de voorkeur</w:t>
      </w:r>
      <w:r w:rsidRPr="00A33930">
        <w:rPr>
          <w:lang w:val="nl-NL"/>
        </w:rPr>
        <w:t xml:space="preserve"> </w:t>
      </w:r>
      <w:r w:rsidR="00480EA6" w:rsidRPr="00A33930">
        <w:rPr>
          <w:lang w:val="nl-NL"/>
        </w:rPr>
        <w:t>heeft</w:t>
      </w:r>
      <w:r w:rsidR="00725F3F" w:rsidRPr="00A33930">
        <w:rPr>
          <w:lang w:val="nl-NL"/>
        </w:rPr>
        <w:t>.</w:t>
      </w:r>
      <w:r w:rsidR="00725F3F" w:rsidRPr="00A33930">
        <w:rPr>
          <w:rStyle w:val="Voetnootmarkering"/>
          <w:lang w:val="nl-NL"/>
        </w:rPr>
        <w:footnoteReference w:id="476"/>
      </w:r>
    </w:p>
    <w:p w14:paraId="7B72EA3F" w14:textId="2022BC22" w:rsidR="00AB76DB" w:rsidRPr="00A33930" w:rsidRDefault="004D631D" w:rsidP="00E1072D">
      <w:pPr>
        <w:pStyle w:val="Kop3"/>
        <w:numPr>
          <w:ilvl w:val="0"/>
          <w:numId w:val="0"/>
        </w:numPr>
        <w:spacing w:before="360"/>
        <w:ind w:left="357" w:hanging="357"/>
        <w:jc w:val="both"/>
        <w:rPr>
          <w:lang w:val="nl-NL"/>
        </w:rPr>
      </w:pPr>
      <w:bookmarkStart w:id="37" w:name="_Toc134621196"/>
      <w:r w:rsidRPr="00A33930">
        <w:rPr>
          <w:lang w:val="nl-NL"/>
        </w:rPr>
        <w:t>Afdeling III.</w:t>
      </w:r>
      <w:r w:rsidRPr="00A33930">
        <w:rPr>
          <w:lang w:val="nl-NL"/>
        </w:rPr>
        <w:tab/>
        <w:t>Afdwingbaarheid</w:t>
      </w:r>
      <w:bookmarkEnd w:id="37"/>
    </w:p>
    <w:p w14:paraId="3A08A5A4" w14:textId="53816390" w:rsidR="0082172C" w:rsidRPr="00A33930" w:rsidRDefault="00EB4CC2" w:rsidP="0082172C">
      <w:pPr>
        <w:pStyle w:val="Lijstalinea"/>
        <w:numPr>
          <w:ilvl w:val="0"/>
          <w:numId w:val="4"/>
        </w:numPr>
        <w:spacing w:before="200" w:after="0"/>
        <w:ind w:left="0" w:firstLine="0"/>
        <w:jc w:val="both"/>
        <w:rPr>
          <w:lang w:val="nl-NL"/>
        </w:rPr>
      </w:pPr>
      <w:r w:rsidRPr="00A33930">
        <w:rPr>
          <w:lang w:val="nl-NL"/>
        </w:rPr>
        <w:t xml:space="preserve">Beide ouders kunnen de rechter verzoeken om een omgangsregeling vast te </w:t>
      </w:r>
      <w:r w:rsidR="00480EA6" w:rsidRPr="00A33930">
        <w:rPr>
          <w:lang w:val="nl-NL"/>
        </w:rPr>
        <w:t>leggen</w:t>
      </w:r>
      <w:r w:rsidRPr="00A33930">
        <w:rPr>
          <w:lang w:val="nl-NL"/>
        </w:rPr>
        <w:t xml:space="preserve"> tussen het kind en de ouder zonder ouderlijk gezag.</w:t>
      </w:r>
      <w:r w:rsidRPr="00A33930">
        <w:rPr>
          <w:rStyle w:val="Voetnootmarkering"/>
          <w:lang w:val="nl-NL"/>
        </w:rPr>
        <w:footnoteReference w:id="477"/>
      </w:r>
      <w:r w:rsidR="00B00FC0" w:rsidRPr="00A33930">
        <w:rPr>
          <w:lang w:val="nl-NL"/>
        </w:rPr>
        <w:t xml:space="preserve"> Dit is ook het geval voor derden met </w:t>
      </w:r>
      <w:r w:rsidR="00AD6464" w:rsidRPr="00A33930">
        <w:rPr>
          <w:lang w:val="nl-NL"/>
        </w:rPr>
        <w:t>“</w:t>
      </w:r>
      <w:r w:rsidR="00B00FC0" w:rsidRPr="00A33930">
        <w:rPr>
          <w:lang w:val="nl-NL"/>
        </w:rPr>
        <w:t>family life</w:t>
      </w:r>
      <w:r w:rsidR="00AD6464" w:rsidRPr="00A33930">
        <w:rPr>
          <w:lang w:val="nl-NL"/>
        </w:rPr>
        <w:t>”</w:t>
      </w:r>
      <w:r w:rsidR="00B00FC0" w:rsidRPr="00A33930">
        <w:rPr>
          <w:lang w:val="nl-NL"/>
        </w:rPr>
        <w:t xml:space="preserve"> (</w:t>
      </w:r>
      <w:r w:rsidR="00B00FC0" w:rsidRPr="00A33930">
        <w:rPr>
          <w:i/>
          <w:iCs/>
          <w:lang w:val="nl-NL"/>
        </w:rPr>
        <w:t>supra</w:t>
      </w:r>
      <w:r w:rsidR="00B00FC0" w:rsidRPr="00A33930">
        <w:rPr>
          <w:lang w:val="nl-NL"/>
        </w:rPr>
        <w:t xml:space="preserve">, nr. </w:t>
      </w:r>
      <w:r w:rsidR="00DF465E" w:rsidRPr="00A33930">
        <w:rPr>
          <w:lang w:val="nl-NL"/>
        </w:rPr>
        <w:t>128</w:t>
      </w:r>
      <w:r w:rsidR="00B00FC0" w:rsidRPr="00A33930">
        <w:rPr>
          <w:lang w:val="nl-NL"/>
        </w:rPr>
        <w:t>).</w:t>
      </w:r>
      <w:r w:rsidRPr="00A33930">
        <w:rPr>
          <w:lang w:val="nl-NL"/>
        </w:rPr>
        <w:t xml:space="preserve"> </w:t>
      </w:r>
      <w:r w:rsidR="00572534" w:rsidRPr="00A33930">
        <w:rPr>
          <w:lang w:val="nl-NL"/>
        </w:rPr>
        <w:t xml:space="preserve">Er wordt door de wet niet voorzien in speciale sancties </w:t>
      </w:r>
      <w:r w:rsidRPr="00A33930">
        <w:rPr>
          <w:lang w:val="nl-NL"/>
        </w:rPr>
        <w:t>bij niet-nakoming van een door de rechter vastgestelde omgangsregeling</w:t>
      </w:r>
      <w:r w:rsidR="00DD293F" w:rsidRPr="00A33930">
        <w:rPr>
          <w:lang w:val="nl-NL"/>
        </w:rPr>
        <w:t>.</w:t>
      </w:r>
      <w:r w:rsidR="00DD293F" w:rsidRPr="00A33930">
        <w:rPr>
          <w:rStyle w:val="Voetnootmarkering"/>
          <w:lang w:val="nl-NL"/>
        </w:rPr>
        <w:footnoteReference w:id="478"/>
      </w:r>
      <w:r w:rsidR="00E1072D" w:rsidRPr="00A33930">
        <w:rPr>
          <w:lang w:val="nl-NL"/>
        </w:rPr>
        <w:t xml:space="preserve"> Ingeval van niet-nakoming van de omgangsregeling, overeenkomstig artikel 1:377a NBW, </w:t>
      </w:r>
      <w:r w:rsidR="00B00FC0" w:rsidRPr="00A33930">
        <w:rPr>
          <w:lang w:val="nl-NL"/>
        </w:rPr>
        <w:t>verleent</w:t>
      </w:r>
      <w:r w:rsidR="00E1072D" w:rsidRPr="00A33930">
        <w:rPr>
          <w:lang w:val="nl-NL"/>
        </w:rPr>
        <w:t xml:space="preserve"> de wet</w:t>
      </w:r>
      <w:r w:rsidR="00B00FC0" w:rsidRPr="00A33930">
        <w:rPr>
          <w:lang w:val="nl-NL"/>
        </w:rPr>
        <w:t xml:space="preserve"> bovendien</w:t>
      </w:r>
      <w:r w:rsidR="00E1072D" w:rsidRPr="00A33930">
        <w:rPr>
          <w:lang w:val="nl-NL"/>
        </w:rPr>
        <w:t xml:space="preserve"> geen ambtshalve bevoegdheden aan de rechter.</w:t>
      </w:r>
      <w:r w:rsidR="008054D3" w:rsidRPr="00A33930">
        <w:rPr>
          <w:lang w:val="nl-NL"/>
        </w:rPr>
        <w:t xml:space="preserve"> Het opleggen van een dwangsom is volgens </w:t>
      </w:r>
      <w:r w:rsidR="008054D3" w:rsidRPr="00A33930">
        <w:rPr>
          <w:i/>
          <w:iCs/>
          <w:lang w:val="nl-NL"/>
        </w:rPr>
        <w:t>sommige</w:t>
      </w:r>
      <w:r w:rsidR="008054D3" w:rsidRPr="00A33930">
        <w:rPr>
          <w:lang w:val="nl-NL"/>
        </w:rPr>
        <w:t xml:space="preserve"> rechtspraak dan weer wel een mogelijkheid, voor zover dit niet tegen het belang van het kind</w:t>
      </w:r>
      <w:r w:rsidR="00AD6464" w:rsidRPr="00A33930">
        <w:rPr>
          <w:lang w:val="nl-NL"/>
        </w:rPr>
        <w:t xml:space="preserve"> </w:t>
      </w:r>
      <w:r w:rsidR="008054D3" w:rsidRPr="00A33930">
        <w:rPr>
          <w:lang w:val="nl-NL"/>
        </w:rPr>
        <w:t>gaat</w:t>
      </w:r>
      <w:r w:rsidR="00174497" w:rsidRPr="00A33930">
        <w:rPr>
          <w:lang w:val="nl-NL"/>
        </w:rPr>
        <w:t xml:space="preserve"> (</w:t>
      </w:r>
      <w:r w:rsidR="00174497" w:rsidRPr="00A33930">
        <w:rPr>
          <w:i/>
          <w:iCs/>
          <w:lang w:val="nl-NL"/>
        </w:rPr>
        <w:t>supra</w:t>
      </w:r>
      <w:r w:rsidR="00174497" w:rsidRPr="00A33930">
        <w:rPr>
          <w:lang w:val="nl-NL"/>
        </w:rPr>
        <w:t xml:space="preserve">, nr. </w:t>
      </w:r>
      <w:r w:rsidR="00DF465E" w:rsidRPr="00A33930">
        <w:rPr>
          <w:lang w:val="nl-NL"/>
        </w:rPr>
        <w:t>130</w:t>
      </w:r>
      <w:r w:rsidR="00174497" w:rsidRPr="00A33930">
        <w:rPr>
          <w:lang w:val="nl-NL"/>
        </w:rPr>
        <w:t>)</w:t>
      </w:r>
      <w:r w:rsidR="008054D3" w:rsidRPr="00A33930">
        <w:rPr>
          <w:lang w:val="nl-NL"/>
        </w:rPr>
        <w:t>.</w:t>
      </w:r>
      <w:r w:rsidR="008054D3" w:rsidRPr="00A33930">
        <w:rPr>
          <w:rStyle w:val="Voetnootmarkering"/>
          <w:lang w:val="nl-NL"/>
        </w:rPr>
        <w:footnoteReference w:id="479"/>
      </w:r>
    </w:p>
    <w:p w14:paraId="05996639" w14:textId="77777777" w:rsidR="00AD6464" w:rsidRPr="00A33930" w:rsidRDefault="00AD6464" w:rsidP="00AD6464">
      <w:pPr>
        <w:pStyle w:val="Lijstalinea"/>
        <w:spacing w:before="200" w:after="0"/>
        <w:ind w:left="0"/>
        <w:jc w:val="both"/>
        <w:rPr>
          <w:lang w:val="nl-NL"/>
        </w:rPr>
      </w:pPr>
    </w:p>
    <w:p w14:paraId="2EB6C3D1" w14:textId="6ADC15C6" w:rsidR="008329A0" w:rsidRPr="00A33930" w:rsidRDefault="00E51A37" w:rsidP="00995E5D">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Tevens heeft het kind in Nederland </w:t>
      </w:r>
      <w:r w:rsidR="003A1C3D" w:rsidRPr="00A33930">
        <w:rPr>
          <w:rFonts w:eastAsia="Verdana" w:cs="Verdana"/>
          <w:szCs w:val="18"/>
          <w:lang w:val="nl-NL"/>
        </w:rPr>
        <w:t xml:space="preserve">sinds 2008 </w:t>
      </w:r>
      <w:r w:rsidRPr="00A33930">
        <w:rPr>
          <w:rFonts w:eastAsia="Verdana" w:cs="Verdana"/>
          <w:szCs w:val="18"/>
          <w:lang w:val="nl-NL"/>
        </w:rPr>
        <w:t>de mogelijkheid om te worden bijgestaan door een “bijzondere curator” of “omgangscurator” die het kind bij belangenconflict met de ouder(s) zal vertegenwoordigen.</w:t>
      </w:r>
      <w:r w:rsidRPr="00A33930">
        <w:rPr>
          <w:rStyle w:val="Voetnootmarkering"/>
          <w:rFonts w:eastAsia="Verdana" w:cs="Verdana"/>
          <w:szCs w:val="18"/>
          <w:lang w:val="nl-NL"/>
        </w:rPr>
        <w:footnoteReference w:id="480"/>
      </w:r>
      <w:r w:rsidRPr="00A33930">
        <w:rPr>
          <w:rFonts w:eastAsia="Verdana" w:cs="Verdana"/>
          <w:szCs w:val="18"/>
          <w:lang w:val="nl-NL"/>
        </w:rPr>
        <w:t xml:space="preserve"> </w:t>
      </w:r>
      <w:r w:rsidR="00540208" w:rsidRPr="00A33930">
        <w:rPr>
          <w:rFonts w:eastAsia="Verdana" w:cs="Verdana"/>
          <w:szCs w:val="18"/>
          <w:lang w:val="nl-NL"/>
        </w:rPr>
        <w:t>Zowel voor immateriële aangelegenheden, zoals de verzorging en opvoeding van het kind, als materiële aangelegenheden</w:t>
      </w:r>
      <w:r w:rsidR="00174497" w:rsidRPr="00A33930">
        <w:rPr>
          <w:rFonts w:eastAsia="Verdana" w:cs="Verdana"/>
          <w:szCs w:val="18"/>
          <w:lang w:val="nl-NL"/>
        </w:rPr>
        <w:t>,</w:t>
      </w:r>
      <w:r w:rsidR="00540208" w:rsidRPr="00A33930">
        <w:rPr>
          <w:rFonts w:eastAsia="Verdana" w:cs="Verdana"/>
          <w:szCs w:val="18"/>
          <w:lang w:val="nl-NL"/>
        </w:rPr>
        <w:t xml:space="preserve"> zoals het </w:t>
      </w:r>
      <w:r w:rsidR="00174497" w:rsidRPr="00A33930">
        <w:rPr>
          <w:rFonts w:eastAsia="Verdana" w:cs="Verdana"/>
          <w:szCs w:val="18"/>
          <w:lang w:val="nl-NL"/>
        </w:rPr>
        <w:t xml:space="preserve">beheer van het </w:t>
      </w:r>
      <w:r w:rsidR="00540208" w:rsidRPr="00A33930">
        <w:rPr>
          <w:rFonts w:eastAsia="Verdana" w:cs="Verdana"/>
          <w:szCs w:val="18"/>
          <w:lang w:val="nl-NL"/>
        </w:rPr>
        <w:t>vermogen</w:t>
      </w:r>
      <w:r w:rsidR="00174497" w:rsidRPr="00A33930">
        <w:rPr>
          <w:rFonts w:eastAsia="Verdana" w:cs="Verdana"/>
          <w:szCs w:val="18"/>
          <w:lang w:val="nl-NL"/>
        </w:rPr>
        <w:t>,</w:t>
      </w:r>
      <w:r w:rsidR="00540208" w:rsidRPr="00A33930">
        <w:rPr>
          <w:rFonts w:eastAsia="Verdana" w:cs="Verdana"/>
          <w:szCs w:val="18"/>
          <w:lang w:val="nl-NL"/>
        </w:rPr>
        <w:t xml:space="preserve"> is </w:t>
      </w:r>
      <w:r w:rsidR="00174497" w:rsidRPr="00A33930">
        <w:rPr>
          <w:rFonts w:eastAsia="Verdana" w:cs="Verdana"/>
          <w:szCs w:val="18"/>
          <w:lang w:val="nl-NL"/>
        </w:rPr>
        <w:t>het aanstellen van een</w:t>
      </w:r>
      <w:r w:rsidR="00540208" w:rsidRPr="00A33930">
        <w:rPr>
          <w:rFonts w:eastAsia="Verdana" w:cs="Verdana"/>
          <w:szCs w:val="18"/>
          <w:lang w:val="nl-NL"/>
        </w:rPr>
        <w:t xml:space="preserve"> omgangscurator mogelijk.</w:t>
      </w:r>
      <w:r w:rsidR="00540208" w:rsidRPr="00A33930">
        <w:rPr>
          <w:rStyle w:val="Voetnootmarkering"/>
          <w:rFonts w:eastAsia="Verdana" w:cs="Verdana"/>
          <w:szCs w:val="18"/>
          <w:lang w:val="nl-NL"/>
        </w:rPr>
        <w:footnoteReference w:id="481"/>
      </w:r>
      <w:r w:rsidR="00540208" w:rsidRPr="00A33930">
        <w:rPr>
          <w:rFonts w:eastAsia="Verdana" w:cs="Verdana"/>
          <w:szCs w:val="18"/>
          <w:lang w:val="nl-NL"/>
        </w:rPr>
        <w:t xml:space="preserve"> </w:t>
      </w:r>
      <w:r w:rsidR="00A56947" w:rsidRPr="00A33930">
        <w:rPr>
          <w:rFonts w:eastAsia="Verdana" w:cs="Verdana"/>
          <w:szCs w:val="18"/>
          <w:lang w:val="nl-NL"/>
        </w:rPr>
        <w:t>Deze figuur</w:t>
      </w:r>
      <w:r w:rsidRPr="00A33930">
        <w:rPr>
          <w:rFonts w:eastAsia="Verdana" w:cs="Verdana"/>
          <w:szCs w:val="18"/>
          <w:lang w:val="nl-NL"/>
        </w:rPr>
        <w:t xml:space="preserve"> komt enigszins tegemoet aan de procesonbekwaamheid van het kind</w:t>
      </w:r>
      <w:r w:rsidR="00572534" w:rsidRPr="00A33930">
        <w:rPr>
          <w:rFonts w:eastAsia="Verdana" w:cs="Verdana"/>
          <w:szCs w:val="18"/>
          <w:lang w:val="nl-NL"/>
        </w:rPr>
        <w:t>, maar het kind wordt hierdoor geen procespartij</w:t>
      </w:r>
      <w:r w:rsidRPr="00A33930">
        <w:rPr>
          <w:rFonts w:eastAsia="Verdana" w:cs="Verdana"/>
          <w:szCs w:val="18"/>
          <w:lang w:val="nl-NL"/>
        </w:rPr>
        <w:t>.</w:t>
      </w:r>
      <w:r w:rsidR="00572534" w:rsidRPr="00A33930">
        <w:rPr>
          <w:rStyle w:val="Voetnootmarkering"/>
          <w:rFonts w:eastAsia="Verdana" w:cs="Verdana"/>
          <w:szCs w:val="18"/>
          <w:lang w:val="nl-NL"/>
        </w:rPr>
        <w:footnoteReference w:id="482"/>
      </w:r>
      <w:r w:rsidR="00A56947" w:rsidRPr="00A33930">
        <w:rPr>
          <w:rFonts w:eastAsia="Verdana" w:cs="Verdana"/>
          <w:szCs w:val="18"/>
          <w:lang w:val="nl-NL"/>
        </w:rPr>
        <w:t xml:space="preserve"> De curator zal in naam van het kind optreden indien er een procedure wordt gestart voor de rechtbank.</w:t>
      </w:r>
      <w:r w:rsidR="00A56947" w:rsidRPr="00A33930">
        <w:rPr>
          <w:rStyle w:val="Voetnootmarkering"/>
          <w:rFonts w:eastAsia="Verdana" w:cs="Verdana"/>
          <w:szCs w:val="18"/>
          <w:lang w:val="nl-NL"/>
        </w:rPr>
        <w:footnoteReference w:id="483"/>
      </w:r>
      <w:r w:rsidRPr="00A33930">
        <w:rPr>
          <w:rFonts w:eastAsia="Verdana" w:cs="Verdana"/>
          <w:szCs w:val="18"/>
          <w:lang w:val="nl-NL"/>
        </w:rPr>
        <w:t xml:space="preserve"> </w:t>
      </w:r>
      <w:r w:rsidR="003A1C3D" w:rsidRPr="00A33930">
        <w:rPr>
          <w:rFonts w:eastAsia="Verdana" w:cs="Verdana"/>
          <w:szCs w:val="18"/>
          <w:lang w:val="nl-NL"/>
        </w:rPr>
        <w:t>De rechter zal de curator benoemen op verzoek van de belanghebbende, al dan niet via het informeel verzoek van het kind</w:t>
      </w:r>
      <w:r w:rsidRPr="00A33930">
        <w:rPr>
          <w:rFonts w:eastAsia="Verdana" w:cs="Verdana"/>
          <w:szCs w:val="18"/>
          <w:lang w:val="nl-NL"/>
        </w:rPr>
        <w:t>.</w:t>
      </w:r>
      <w:r w:rsidRPr="00A33930">
        <w:rPr>
          <w:rStyle w:val="Voetnootmarkering"/>
          <w:rFonts w:eastAsia="Verdana" w:cs="Verdana"/>
          <w:szCs w:val="18"/>
          <w:lang w:val="nl-NL"/>
        </w:rPr>
        <w:footnoteReference w:id="484"/>
      </w:r>
      <w:r w:rsidRPr="00A33930">
        <w:rPr>
          <w:rFonts w:eastAsia="Verdana" w:cs="Verdana"/>
          <w:szCs w:val="18"/>
          <w:lang w:val="nl-NL"/>
        </w:rPr>
        <w:t xml:space="preserve"> </w:t>
      </w:r>
      <w:r w:rsidR="00A56947" w:rsidRPr="00A33930">
        <w:rPr>
          <w:rFonts w:eastAsia="Verdana" w:cs="Verdana"/>
          <w:szCs w:val="18"/>
          <w:lang w:val="nl-NL"/>
        </w:rPr>
        <w:t xml:space="preserve">De wetgever heeft geen leeftijdsgrens ingeschreven zodat in principe elke </w:t>
      </w:r>
      <w:r w:rsidR="00A56947" w:rsidRPr="00A33930">
        <w:rPr>
          <w:rFonts w:eastAsia="Verdana" w:cs="Verdana"/>
          <w:szCs w:val="18"/>
          <w:lang w:val="nl-NL"/>
        </w:rPr>
        <w:lastRenderedPageBreak/>
        <w:t>minderjarige zich tot de rechter kan wenden en om een omgangscurator kan verzoeken.</w:t>
      </w:r>
      <w:r w:rsidR="00A56947" w:rsidRPr="00A33930">
        <w:rPr>
          <w:rStyle w:val="Voetnootmarkering"/>
          <w:rFonts w:eastAsia="Verdana" w:cs="Verdana"/>
          <w:szCs w:val="18"/>
          <w:lang w:val="nl-NL"/>
        </w:rPr>
        <w:footnoteReference w:id="485"/>
      </w:r>
      <w:r w:rsidR="00A56947" w:rsidRPr="00A33930">
        <w:rPr>
          <w:rFonts w:eastAsia="Verdana" w:cs="Verdana"/>
          <w:szCs w:val="18"/>
          <w:lang w:val="nl-NL"/>
        </w:rPr>
        <w:t xml:space="preserve"> </w:t>
      </w:r>
      <w:r w:rsidRPr="00A33930">
        <w:rPr>
          <w:rFonts w:eastAsia="Verdana" w:cs="Verdana"/>
          <w:szCs w:val="18"/>
          <w:lang w:val="nl-NL"/>
        </w:rPr>
        <w:t>In de praktijk wordt helaas weinig gebruik gemaakt van deze figuur.</w:t>
      </w:r>
      <w:r w:rsidRPr="00A33930">
        <w:rPr>
          <w:rStyle w:val="Voetnootmarkering"/>
          <w:rFonts w:eastAsia="Verdana" w:cs="Verdana"/>
          <w:szCs w:val="18"/>
          <w:lang w:val="nl-NL"/>
        </w:rPr>
        <w:footnoteReference w:id="486"/>
      </w:r>
      <w:r w:rsidRPr="00A33930">
        <w:rPr>
          <w:rFonts w:eastAsia="Verdana" w:cs="Verdana"/>
          <w:szCs w:val="18"/>
          <w:lang w:val="nl-NL"/>
        </w:rPr>
        <w:t xml:space="preserve"> Dit enerzijds door de onbekendheid, maar anderzijds </w:t>
      </w:r>
      <w:r w:rsidR="00174497" w:rsidRPr="00A33930">
        <w:rPr>
          <w:rFonts w:eastAsia="Verdana" w:cs="Verdana"/>
          <w:szCs w:val="18"/>
          <w:lang w:val="nl-NL"/>
        </w:rPr>
        <w:t xml:space="preserve">ook </w:t>
      </w:r>
      <w:r w:rsidRPr="00A33930">
        <w:rPr>
          <w:rFonts w:eastAsia="Verdana" w:cs="Verdana"/>
          <w:szCs w:val="18"/>
          <w:lang w:val="nl-NL"/>
        </w:rPr>
        <w:t xml:space="preserve">doordat vaak de advocaat </w:t>
      </w:r>
      <w:r w:rsidR="00AD6464" w:rsidRPr="00A33930">
        <w:rPr>
          <w:rFonts w:eastAsia="Verdana" w:cs="Verdana"/>
          <w:szCs w:val="18"/>
          <w:lang w:val="nl-NL"/>
        </w:rPr>
        <w:t>voor</w:t>
      </w:r>
      <w:r w:rsidRPr="00A33930">
        <w:rPr>
          <w:rFonts w:eastAsia="Verdana" w:cs="Verdana"/>
          <w:szCs w:val="18"/>
          <w:lang w:val="nl-NL"/>
        </w:rPr>
        <w:t xml:space="preserve"> de minderjarige zal optreden als bijzondere curator.</w:t>
      </w:r>
      <w:r w:rsidR="00A56947" w:rsidRPr="00A33930">
        <w:rPr>
          <w:rStyle w:val="Voetnootmarkering"/>
          <w:rFonts w:eastAsia="Verdana" w:cs="Verdana"/>
          <w:szCs w:val="18"/>
          <w:lang w:val="nl-NL"/>
        </w:rPr>
        <w:footnoteReference w:id="487"/>
      </w:r>
      <w:r w:rsidR="00A56947" w:rsidRPr="00A33930">
        <w:rPr>
          <w:rFonts w:eastAsia="Verdana" w:cs="Verdana"/>
          <w:szCs w:val="18"/>
          <w:lang w:val="nl-NL"/>
        </w:rPr>
        <w:t xml:space="preserve"> Bovendien richt de omgangscurator zich eerst op een bemiddelende aanpak</w:t>
      </w:r>
      <w:r w:rsidR="00A67C8C" w:rsidRPr="00A33930">
        <w:rPr>
          <w:rFonts w:eastAsia="Verdana" w:cs="Verdana"/>
          <w:szCs w:val="18"/>
          <w:lang w:val="nl-NL"/>
        </w:rPr>
        <w:t xml:space="preserve"> bij moeizame omgangsregelingen</w:t>
      </w:r>
      <w:r w:rsidR="00A56947" w:rsidRPr="00A33930">
        <w:rPr>
          <w:rFonts w:eastAsia="Verdana" w:cs="Verdana"/>
          <w:szCs w:val="18"/>
          <w:lang w:val="nl-NL"/>
        </w:rPr>
        <w:t xml:space="preserve">: hij zal gesprekken voeren tussen kind en ouders om </w:t>
      </w:r>
      <w:r w:rsidR="00AD6464" w:rsidRPr="00A33930">
        <w:rPr>
          <w:rFonts w:eastAsia="Verdana" w:cs="Verdana"/>
          <w:szCs w:val="18"/>
          <w:lang w:val="nl-NL"/>
        </w:rPr>
        <w:t>hen zo</w:t>
      </w:r>
      <w:r w:rsidR="00A56947" w:rsidRPr="00A33930">
        <w:rPr>
          <w:rFonts w:eastAsia="Verdana" w:cs="Verdana"/>
          <w:szCs w:val="18"/>
          <w:lang w:val="nl-NL"/>
        </w:rPr>
        <w:t xml:space="preserve"> inzicht te geven in het belang van </w:t>
      </w:r>
      <w:r w:rsidR="00AD6464" w:rsidRPr="00A33930">
        <w:rPr>
          <w:rFonts w:eastAsia="Verdana" w:cs="Verdana"/>
          <w:szCs w:val="18"/>
          <w:lang w:val="nl-NL"/>
        </w:rPr>
        <w:t>hun</w:t>
      </w:r>
      <w:r w:rsidR="00A56947" w:rsidRPr="00A33930">
        <w:rPr>
          <w:rFonts w:eastAsia="Verdana" w:cs="Verdana"/>
          <w:szCs w:val="18"/>
          <w:lang w:val="nl-NL"/>
        </w:rPr>
        <w:t xml:space="preserve"> kind.</w:t>
      </w:r>
      <w:r w:rsidR="00A56947" w:rsidRPr="00A33930">
        <w:rPr>
          <w:rStyle w:val="Voetnootmarkering"/>
          <w:rFonts w:eastAsia="Verdana" w:cs="Verdana"/>
          <w:szCs w:val="18"/>
          <w:lang w:val="nl-NL"/>
        </w:rPr>
        <w:footnoteReference w:id="488"/>
      </w:r>
      <w:r w:rsidR="00AE65F8" w:rsidRPr="00A33930">
        <w:rPr>
          <w:sz w:val="20"/>
          <w:szCs w:val="28"/>
          <w:lang w:val="nl-NL"/>
        </w:rPr>
        <w:br w:type="page"/>
      </w:r>
    </w:p>
    <w:p w14:paraId="7445FE04" w14:textId="3AA6DE9B" w:rsidR="004D631D" w:rsidRPr="00A33930" w:rsidRDefault="004D631D" w:rsidP="004D631D">
      <w:pPr>
        <w:pStyle w:val="Kop2"/>
        <w:numPr>
          <w:ilvl w:val="0"/>
          <w:numId w:val="0"/>
        </w:numPr>
        <w:ind w:left="360" w:hanging="360"/>
        <w:jc w:val="both"/>
        <w:rPr>
          <w:sz w:val="20"/>
          <w:szCs w:val="28"/>
          <w:lang w:val="nl-NL"/>
        </w:rPr>
      </w:pPr>
      <w:bookmarkStart w:id="38" w:name="_Toc134621197"/>
      <w:r w:rsidRPr="00A33930">
        <w:rPr>
          <w:sz w:val="20"/>
          <w:szCs w:val="28"/>
          <w:lang w:val="nl-NL"/>
        </w:rPr>
        <w:lastRenderedPageBreak/>
        <w:t>HOOFDSTUK II.</w:t>
      </w:r>
      <w:r w:rsidRPr="00A33930">
        <w:rPr>
          <w:sz w:val="20"/>
          <w:szCs w:val="28"/>
          <w:lang w:val="nl-NL"/>
        </w:rPr>
        <w:tab/>
        <w:t>DUITSLAND</w:t>
      </w:r>
      <w:bookmarkEnd w:id="38"/>
    </w:p>
    <w:p w14:paraId="073582EE" w14:textId="5B76EFB2" w:rsidR="00C661EE" w:rsidRPr="00A33930" w:rsidRDefault="004D631D" w:rsidP="00C661EE">
      <w:pPr>
        <w:pStyle w:val="Kop3"/>
        <w:numPr>
          <w:ilvl w:val="0"/>
          <w:numId w:val="0"/>
        </w:numPr>
        <w:spacing w:before="360"/>
        <w:ind w:left="357" w:hanging="357"/>
        <w:jc w:val="both"/>
        <w:rPr>
          <w:lang w:val="nl-NL"/>
        </w:rPr>
      </w:pPr>
      <w:bookmarkStart w:id="39" w:name="_Toc134621198"/>
      <w:r w:rsidRPr="00A33930">
        <w:rPr>
          <w:lang w:val="nl-NL"/>
        </w:rPr>
        <w:t>Afdeling I.</w:t>
      </w:r>
      <w:r w:rsidRPr="00A33930">
        <w:rPr>
          <w:lang w:val="nl-NL"/>
        </w:rPr>
        <w:tab/>
        <w:t>In de wet</w:t>
      </w:r>
      <w:bookmarkEnd w:id="39"/>
    </w:p>
    <w:p w14:paraId="164877CF" w14:textId="69032E1E" w:rsidR="00A84AE7" w:rsidRPr="00A33930" w:rsidRDefault="00E51C3F" w:rsidP="00E51C3F">
      <w:pPr>
        <w:pStyle w:val="Kop4"/>
        <w:spacing w:before="240" w:after="120"/>
        <w:jc w:val="both"/>
        <w:rPr>
          <w:rFonts w:ascii="Verdana" w:hAnsi="Verdana"/>
          <w:b/>
          <w:bCs/>
          <w:color w:val="auto"/>
          <w:szCs w:val="18"/>
          <w:lang w:val="nl-NL"/>
        </w:rPr>
      </w:pPr>
      <w:r w:rsidRPr="00A33930">
        <w:rPr>
          <w:rFonts w:ascii="Verdana" w:hAnsi="Verdana"/>
          <w:b/>
          <w:bCs/>
          <w:color w:val="auto"/>
          <w:szCs w:val="18"/>
          <w:lang w:val="nl-NL"/>
        </w:rPr>
        <w:t>§1.</w:t>
      </w:r>
      <w:r w:rsidRPr="00A33930">
        <w:rPr>
          <w:rFonts w:ascii="Verdana" w:hAnsi="Verdana"/>
          <w:b/>
          <w:bCs/>
          <w:color w:val="auto"/>
          <w:szCs w:val="18"/>
          <w:lang w:val="nl-NL"/>
        </w:rPr>
        <w:tab/>
      </w:r>
      <w:r w:rsidR="00A84AE7" w:rsidRPr="00A33930">
        <w:rPr>
          <w:rFonts w:ascii="Verdana" w:hAnsi="Verdana"/>
          <w:b/>
          <w:bCs/>
          <w:color w:val="auto"/>
          <w:szCs w:val="18"/>
          <w:lang w:val="nl-NL"/>
        </w:rPr>
        <w:t>Kind</w:t>
      </w:r>
      <w:r w:rsidR="00E57778" w:rsidRPr="00A33930">
        <w:rPr>
          <w:rFonts w:ascii="Verdana" w:hAnsi="Verdana"/>
          <w:b/>
          <w:bCs/>
          <w:color w:val="auto"/>
          <w:szCs w:val="18"/>
          <w:lang w:val="nl-NL"/>
        </w:rPr>
        <w:t>perspectief</w:t>
      </w:r>
      <w:r w:rsidR="00D122D9" w:rsidRPr="00A33930">
        <w:rPr>
          <w:rFonts w:ascii="Verdana" w:hAnsi="Verdana"/>
          <w:b/>
          <w:bCs/>
          <w:color w:val="auto"/>
          <w:szCs w:val="18"/>
          <w:lang w:val="nl-NL"/>
        </w:rPr>
        <w:t>: kind als rechtssubject</w:t>
      </w:r>
    </w:p>
    <w:p w14:paraId="064B0F9A" w14:textId="015FEF8B" w:rsidR="00A84AE7" w:rsidRPr="00A33930" w:rsidRDefault="00A84AE7" w:rsidP="00A84AE7">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Het kind in Duitsland is drager van eigen rechten en dus een volwaardig rechtssubject. </w:t>
      </w:r>
      <w:r w:rsidR="006A750A" w:rsidRPr="00A33930">
        <w:rPr>
          <w:rFonts w:eastAsia="Verdana" w:cs="Verdana"/>
          <w:szCs w:val="18"/>
          <w:lang w:val="nl-NL"/>
        </w:rPr>
        <w:t>Dit</w:t>
      </w:r>
      <w:r w:rsidR="006845A4" w:rsidRPr="00A33930">
        <w:rPr>
          <w:rFonts w:eastAsia="Verdana" w:cs="Verdana"/>
          <w:szCs w:val="18"/>
          <w:lang w:val="nl-NL"/>
        </w:rPr>
        <w:t xml:space="preserve"> vloeit voort uit </w:t>
      </w:r>
      <w:r w:rsidR="00C3302C" w:rsidRPr="00A33930">
        <w:rPr>
          <w:rFonts w:eastAsia="Verdana" w:cs="Verdana"/>
          <w:szCs w:val="18"/>
          <w:lang w:val="nl-NL"/>
        </w:rPr>
        <w:t>zijn</w:t>
      </w:r>
      <w:r w:rsidR="006845A4" w:rsidRPr="00A33930">
        <w:rPr>
          <w:rFonts w:eastAsia="Verdana" w:cs="Verdana"/>
          <w:szCs w:val="18"/>
          <w:lang w:val="nl-NL"/>
        </w:rPr>
        <w:t xml:space="preserve"> algemene persoonlijkheidsrechten </w:t>
      </w:r>
      <w:r w:rsidR="00353BAC" w:rsidRPr="00A33930">
        <w:rPr>
          <w:rFonts w:eastAsia="Verdana" w:cs="Verdana"/>
          <w:szCs w:val="18"/>
          <w:lang w:val="nl-NL"/>
        </w:rPr>
        <w:t>omschreven in</w:t>
      </w:r>
      <w:r w:rsidR="006845A4" w:rsidRPr="00A33930">
        <w:rPr>
          <w:rFonts w:eastAsia="Verdana" w:cs="Verdana"/>
          <w:szCs w:val="18"/>
          <w:lang w:val="nl-NL"/>
        </w:rPr>
        <w:t xml:space="preserve"> artikel 2 GG</w:t>
      </w:r>
      <w:r w:rsidR="00C77224" w:rsidRPr="00A33930">
        <w:rPr>
          <w:rFonts w:eastAsia="Verdana" w:cs="Verdana"/>
          <w:szCs w:val="18"/>
          <w:lang w:val="nl-NL"/>
        </w:rPr>
        <w:t xml:space="preserve">, waardoor rekening wordt gehouden met zijn </w:t>
      </w:r>
      <w:r w:rsidR="00FB3F40" w:rsidRPr="00A33930">
        <w:rPr>
          <w:rFonts w:eastAsia="Verdana" w:cs="Verdana"/>
          <w:szCs w:val="18"/>
          <w:lang w:val="nl-NL"/>
        </w:rPr>
        <w:t xml:space="preserve">eigen </w:t>
      </w:r>
      <w:r w:rsidR="00C77224" w:rsidRPr="00A33930">
        <w:rPr>
          <w:rFonts w:eastAsia="Verdana" w:cs="Verdana"/>
          <w:szCs w:val="18"/>
          <w:lang w:val="nl-NL"/>
        </w:rPr>
        <w:t xml:space="preserve">recht op </w:t>
      </w:r>
      <w:r w:rsidR="00FB3F40" w:rsidRPr="00A33930">
        <w:rPr>
          <w:rFonts w:eastAsia="Verdana" w:cs="Verdana"/>
          <w:szCs w:val="18"/>
          <w:lang w:val="nl-NL"/>
        </w:rPr>
        <w:t xml:space="preserve">persoonlijk </w:t>
      </w:r>
      <w:r w:rsidR="00C77224" w:rsidRPr="00A33930">
        <w:rPr>
          <w:rFonts w:eastAsia="Verdana" w:cs="Verdana"/>
          <w:szCs w:val="18"/>
          <w:lang w:val="nl-NL"/>
        </w:rPr>
        <w:t>contact.</w:t>
      </w:r>
      <w:r w:rsidR="00C77224" w:rsidRPr="00A33930">
        <w:rPr>
          <w:rStyle w:val="Voetnootmarkering"/>
          <w:rFonts w:eastAsia="Verdana" w:cs="Verdana"/>
          <w:szCs w:val="18"/>
          <w:lang w:val="nl-NL"/>
        </w:rPr>
        <w:footnoteReference w:id="489"/>
      </w:r>
      <w:r w:rsidR="00C77224" w:rsidRPr="00A33930">
        <w:rPr>
          <w:rFonts w:eastAsia="Verdana" w:cs="Verdana"/>
          <w:szCs w:val="18"/>
          <w:lang w:val="nl-NL"/>
        </w:rPr>
        <w:t xml:space="preserve"> Dit grondwetsartikel stemt overeen met het recht uit artikel 9.3 IVRK evenals met artikel 8 EVRM (</w:t>
      </w:r>
      <w:r w:rsidR="00C77224" w:rsidRPr="00A33930">
        <w:rPr>
          <w:rFonts w:eastAsia="Verdana" w:cs="Verdana"/>
          <w:i/>
          <w:iCs/>
          <w:szCs w:val="18"/>
          <w:lang w:val="nl-NL"/>
        </w:rPr>
        <w:t>supra</w:t>
      </w:r>
      <w:r w:rsidR="00C77224" w:rsidRPr="00A33930">
        <w:rPr>
          <w:rFonts w:eastAsia="Verdana" w:cs="Verdana"/>
          <w:szCs w:val="18"/>
          <w:lang w:val="nl-NL"/>
        </w:rPr>
        <w:t xml:space="preserve">, nr. </w:t>
      </w:r>
      <w:r w:rsidR="004208A9" w:rsidRPr="00A33930">
        <w:rPr>
          <w:rFonts w:eastAsia="Verdana" w:cs="Verdana"/>
          <w:szCs w:val="18"/>
          <w:lang w:val="nl-NL"/>
        </w:rPr>
        <w:t>41 en nr. 56</w:t>
      </w:r>
      <w:r w:rsidR="00C77224" w:rsidRPr="00A33930">
        <w:rPr>
          <w:rFonts w:eastAsia="Verdana" w:cs="Verdana"/>
          <w:szCs w:val="18"/>
          <w:lang w:val="nl-NL"/>
        </w:rPr>
        <w:t>).</w:t>
      </w:r>
    </w:p>
    <w:p w14:paraId="29273485" w14:textId="77777777" w:rsidR="00C3302C" w:rsidRPr="00A33930" w:rsidRDefault="00C3302C" w:rsidP="00C3302C">
      <w:pPr>
        <w:pStyle w:val="Lijstalinea"/>
        <w:spacing w:before="200" w:after="0"/>
        <w:ind w:left="0"/>
        <w:jc w:val="both"/>
        <w:rPr>
          <w:rFonts w:eastAsia="Verdana" w:cs="Verdana"/>
          <w:szCs w:val="18"/>
          <w:lang w:val="nl-NL"/>
        </w:rPr>
      </w:pPr>
    </w:p>
    <w:p w14:paraId="0AC68E67" w14:textId="133C4C79" w:rsidR="0020572A" w:rsidRPr="00A33930" w:rsidRDefault="00FB3F40" w:rsidP="007731CF">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Een eerste element van de minderjarigheid in het Duitse recht is de handelings- en procesonbekwaamheid. </w:t>
      </w:r>
      <w:r w:rsidR="002B6711" w:rsidRPr="00A33930">
        <w:rPr>
          <w:rFonts w:eastAsia="Verdana" w:cs="Verdana"/>
          <w:szCs w:val="18"/>
          <w:lang w:val="nl-NL"/>
        </w:rPr>
        <w:t>Het kind is</w:t>
      </w:r>
      <w:r w:rsidR="00145343" w:rsidRPr="00A33930">
        <w:rPr>
          <w:rFonts w:eastAsia="Verdana" w:cs="Verdana"/>
          <w:szCs w:val="18"/>
          <w:lang w:val="nl-NL"/>
        </w:rPr>
        <w:t xml:space="preserve"> </w:t>
      </w:r>
      <w:r w:rsidR="002B6711" w:rsidRPr="00A33930">
        <w:rPr>
          <w:rFonts w:eastAsia="Verdana" w:cs="Verdana"/>
          <w:szCs w:val="18"/>
          <w:lang w:val="nl-NL"/>
        </w:rPr>
        <w:t>handelingsonbekwaam tot een leeftijd van zeven jaar.</w:t>
      </w:r>
      <w:r w:rsidR="002B6711" w:rsidRPr="00A33930">
        <w:rPr>
          <w:rStyle w:val="Voetnootmarkering"/>
          <w:rFonts w:eastAsia="Verdana" w:cs="Verdana"/>
          <w:szCs w:val="18"/>
          <w:lang w:val="nl-NL"/>
        </w:rPr>
        <w:footnoteReference w:id="490"/>
      </w:r>
      <w:r w:rsidR="002B6711" w:rsidRPr="00A33930">
        <w:rPr>
          <w:rFonts w:eastAsia="Verdana" w:cs="Verdana"/>
          <w:szCs w:val="18"/>
          <w:lang w:val="nl-NL"/>
        </w:rPr>
        <w:t xml:space="preserve"> </w:t>
      </w:r>
      <w:r w:rsidR="00145343" w:rsidRPr="00A33930">
        <w:rPr>
          <w:rFonts w:eastAsia="Verdana" w:cs="Verdana"/>
          <w:szCs w:val="18"/>
          <w:lang w:val="nl-NL"/>
        </w:rPr>
        <w:t xml:space="preserve">Indien </w:t>
      </w:r>
      <w:r w:rsidR="00353BAC" w:rsidRPr="00A33930">
        <w:rPr>
          <w:rFonts w:eastAsia="Verdana" w:cs="Verdana"/>
          <w:szCs w:val="18"/>
          <w:lang w:val="nl-NL"/>
        </w:rPr>
        <w:t>het kind</w:t>
      </w:r>
      <w:r w:rsidR="002B6711" w:rsidRPr="00A33930">
        <w:rPr>
          <w:rFonts w:eastAsia="Verdana" w:cs="Verdana"/>
          <w:szCs w:val="18"/>
          <w:lang w:val="nl-NL"/>
        </w:rPr>
        <w:t xml:space="preserve"> rechtshandelingen </w:t>
      </w:r>
      <w:r w:rsidR="00353BAC" w:rsidRPr="00A33930">
        <w:rPr>
          <w:rFonts w:eastAsia="Verdana" w:cs="Verdana"/>
          <w:szCs w:val="18"/>
          <w:lang w:val="nl-NL"/>
        </w:rPr>
        <w:t>stelt</w:t>
      </w:r>
      <w:r w:rsidR="002B6711" w:rsidRPr="00A33930">
        <w:rPr>
          <w:rFonts w:eastAsia="Verdana" w:cs="Verdana"/>
          <w:szCs w:val="18"/>
          <w:lang w:val="nl-NL"/>
        </w:rPr>
        <w:t xml:space="preserve"> </w:t>
      </w:r>
      <w:r w:rsidR="00145343" w:rsidRPr="00A33930">
        <w:rPr>
          <w:rFonts w:eastAsia="Verdana" w:cs="Verdana"/>
          <w:szCs w:val="18"/>
          <w:lang w:val="nl-NL"/>
        </w:rPr>
        <w:t>voor</w:t>
      </w:r>
      <w:r w:rsidR="002B6711" w:rsidRPr="00A33930">
        <w:rPr>
          <w:rFonts w:eastAsia="Verdana" w:cs="Verdana"/>
          <w:szCs w:val="18"/>
          <w:lang w:val="nl-NL"/>
        </w:rPr>
        <w:t xml:space="preserve"> deze leeftijdsgrens</w:t>
      </w:r>
      <w:r w:rsidR="00145343" w:rsidRPr="00A33930">
        <w:rPr>
          <w:rFonts w:eastAsia="Verdana" w:cs="Verdana"/>
          <w:szCs w:val="18"/>
          <w:lang w:val="nl-NL"/>
        </w:rPr>
        <w:t>, zijn</w:t>
      </w:r>
      <w:r w:rsidR="002B6711" w:rsidRPr="00A33930">
        <w:rPr>
          <w:rFonts w:eastAsia="Verdana" w:cs="Verdana"/>
          <w:szCs w:val="18"/>
          <w:lang w:val="nl-NL"/>
        </w:rPr>
        <w:t xml:space="preserve"> </w:t>
      </w:r>
      <w:r w:rsidR="00145343" w:rsidRPr="00A33930">
        <w:rPr>
          <w:rFonts w:eastAsia="Verdana" w:cs="Verdana"/>
          <w:szCs w:val="18"/>
          <w:lang w:val="nl-NL"/>
        </w:rPr>
        <w:t>deze</w:t>
      </w:r>
      <w:r w:rsidR="002B6711" w:rsidRPr="00A33930">
        <w:rPr>
          <w:rFonts w:eastAsia="Verdana" w:cs="Verdana"/>
          <w:szCs w:val="18"/>
          <w:lang w:val="nl-NL"/>
        </w:rPr>
        <w:t xml:space="preserve"> absoluut nietig.</w:t>
      </w:r>
      <w:r w:rsidR="002B6711" w:rsidRPr="00A33930">
        <w:rPr>
          <w:rStyle w:val="Voetnootmarkering"/>
          <w:rFonts w:eastAsia="Verdana" w:cs="Verdana"/>
          <w:szCs w:val="18"/>
          <w:lang w:val="nl-NL"/>
        </w:rPr>
        <w:footnoteReference w:id="491"/>
      </w:r>
      <w:r w:rsidR="00582117" w:rsidRPr="00A33930">
        <w:rPr>
          <w:rFonts w:eastAsia="Verdana" w:cs="Verdana"/>
          <w:szCs w:val="18"/>
          <w:lang w:val="nl-NL"/>
        </w:rPr>
        <w:t xml:space="preserve"> Het kind boven de leeftijd van zeven jaar is voor bepaalde rechtshandelingen handelingsbekwaam, indien dit gepaard gaat met toestemming van een wettelijke vertegenwoordiger.</w:t>
      </w:r>
      <w:r w:rsidR="00582117" w:rsidRPr="00A33930">
        <w:rPr>
          <w:rStyle w:val="Voetnootmarkering"/>
          <w:rFonts w:eastAsia="Verdana" w:cs="Verdana"/>
          <w:szCs w:val="18"/>
          <w:lang w:val="nl-NL"/>
        </w:rPr>
        <w:footnoteReference w:id="492"/>
      </w:r>
      <w:r w:rsidR="00E74826" w:rsidRPr="00A33930">
        <w:rPr>
          <w:rFonts w:eastAsia="Verdana" w:cs="Verdana"/>
          <w:szCs w:val="18"/>
          <w:lang w:val="nl-NL"/>
        </w:rPr>
        <w:t xml:space="preserve"> Het kind is procesbekwaam indien hij zich door middel van een overeenkomst rechtsgeldig kan verbinden.</w:t>
      </w:r>
      <w:r w:rsidR="00E74826" w:rsidRPr="00A33930">
        <w:rPr>
          <w:rStyle w:val="Voetnootmarkering"/>
          <w:rFonts w:eastAsia="Verdana" w:cs="Verdana"/>
          <w:szCs w:val="18"/>
          <w:lang w:val="nl-NL"/>
        </w:rPr>
        <w:footnoteReference w:id="493"/>
      </w:r>
      <w:r w:rsidR="00353BAC" w:rsidRPr="00A33930">
        <w:rPr>
          <w:rFonts w:eastAsia="Verdana" w:cs="Verdana"/>
          <w:szCs w:val="18"/>
          <w:lang w:val="nl-NL"/>
        </w:rPr>
        <w:t xml:space="preserve"> Dat geldt niet voor omgangsregelingen.</w:t>
      </w:r>
      <w:r w:rsidR="00826D39" w:rsidRPr="00A33930">
        <w:rPr>
          <w:rFonts w:eastAsia="Verdana" w:cs="Verdana"/>
          <w:szCs w:val="18"/>
          <w:lang w:val="nl-NL"/>
        </w:rPr>
        <w:t xml:space="preserve"> In principe wordt de minderjarige</w:t>
      </w:r>
      <w:r w:rsidR="00E91F09" w:rsidRPr="00A33930">
        <w:rPr>
          <w:rFonts w:eastAsia="Verdana" w:cs="Verdana"/>
          <w:szCs w:val="18"/>
          <w:lang w:val="nl-NL"/>
        </w:rPr>
        <w:t xml:space="preserve"> in rechte</w:t>
      </w:r>
      <w:r w:rsidR="00826D39" w:rsidRPr="00A33930">
        <w:rPr>
          <w:rFonts w:eastAsia="Verdana" w:cs="Verdana"/>
          <w:szCs w:val="18"/>
          <w:lang w:val="nl-NL"/>
        </w:rPr>
        <w:t xml:space="preserve"> vertegenwoordigd, voornamelijk door zijn ouders.</w:t>
      </w:r>
      <w:r w:rsidR="00826D39" w:rsidRPr="00A33930">
        <w:rPr>
          <w:rStyle w:val="Voetnootmarkering"/>
          <w:rFonts w:eastAsia="Verdana" w:cs="Verdana"/>
          <w:szCs w:val="18"/>
          <w:lang w:val="nl-NL"/>
        </w:rPr>
        <w:footnoteReference w:id="494"/>
      </w:r>
      <w:r w:rsidR="00AC6E03" w:rsidRPr="00A33930">
        <w:rPr>
          <w:rFonts w:eastAsia="Verdana" w:cs="Verdana"/>
          <w:szCs w:val="18"/>
          <w:lang w:val="nl-NL"/>
        </w:rPr>
        <w:t xml:space="preserve"> </w:t>
      </w:r>
      <w:r w:rsidR="00E91F09" w:rsidRPr="00A33930">
        <w:rPr>
          <w:rFonts w:eastAsia="Verdana" w:cs="Verdana"/>
          <w:szCs w:val="18"/>
          <w:lang w:val="nl-NL"/>
        </w:rPr>
        <w:t xml:space="preserve">Het kind wordt echter geen procespartij. </w:t>
      </w:r>
      <w:r w:rsidR="00E7198F" w:rsidRPr="00A33930">
        <w:rPr>
          <w:rFonts w:eastAsia="Verdana" w:cs="Verdana"/>
          <w:szCs w:val="18"/>
          <w:lang w:val="nl-NL"/>
        </w:rPr>
        <w:t xml:space="preserve">Als gevolg van zijn minderjarigheid en handelingsonbekwaamheid staat het kind </w:t>
      </w:r>
      <w:r w:rsidRPr="00A33930">
        <w:rPr>
          <w:rFonts w:eastAsia="Verdana" w:cs="Verdana"/>
          <w:szCs w:val="18"/>
          <w:lang w:val="nl-NL"/>
        </w:rPr>
        <w:t xml:space="preserve">ook naar Duits recht </w:t>
      </w:r>
      <w:r w:rsidR="00E7198F" w:rsidRPr="00A33930">
        <w:rPr>
          <w:rFonts w:eastAsia="Verdana" w:cs="Verdana"/>
          <w:szCs w:val="18"/>
          <w:lang w:val="nl-NL"/>
        </w:rPr>
        <w:t>onder ouderlijk gezag.</w:t>
      </w:r>
      <w:r w:rsidR="00DA1678" w:rsidRPr="00A33930">
        <w:rPr>
          <w:rStyle w:val="Voetnootmarkering"/>
          <w:rFonts w:eastAsia="Verdana" w:cs="Verdana"/>
          <w:szCs w:val="18"/>
          <w:lang w:val="nl-NL"/>
        </w:rPr>
        <w:footnoteReference w:id="495"/>
      </w:r>
      <w:r w:rsidR="00E7198F" w:rsidRPr="00A33930">
        <w:rPr>
          <w:rFonts w:eastAsia="Verdana" w:cs="Verdana"/>
          <w:szCs w:val="18"/>
          <w:lang w:val="nl-NL"/>
        </w:rPr>
        <w:t xml:space="preserve"> </w:t>
      </w:r>
      <w:r w:rsidR="00677D8A" w:rsidRPr="00A33930">
        <w:rPr>
          <w:rFonts w:eastAsia="Verdana" w:cs="Verdana"/>
          <w:szCs w:val="18"/>
          <w:lang w:val="nl-NL"/>
        </w:rPr>
        <w:t xml:space="preserve">Dit ouderlijk gezag komt aan beide ouders toe, vanaf de geboorte. </w:t>
      </w:r>
      <w:r w:rsidR="00E7198F" w:rsidRPr="00A33930">
        <w:rPr>
          <w:rFonts w:eastAsia="Verdana" w:cs="Verdana"/>
          <w:szCs w:val="18"/>
          <w:lang w:val="nl-NL"/>
        </w:rPr>
        <w:t>Overeenkomstig artikel 1626 BGB hebben de ouders van het kind het recht en de plicht om voor het kind te zorgen.</w:t>
      </w:r>
      <w:r w:rsidR="00497426" w:rsidRPr="00A33930">
        <w:rPr>
          <w:rStyle w:val="Voetnootmarkering"/>
          <w:rFonts w:eastAsia="Verdana" w:cs="Verdana"/>
          <w:szCs w:val="18"/>
          <w:lang w:val="nl-NL"/>
        </w:rPr>
        <w:footnoteReference w:id="496"/>
      </w:r>
      <w:r w:rsidR="00677D8A" w:rsidRPr="00A33930">
        <w:rPr>
          <w:rFonts w:eastAsia="Verdana" w:cs="Verdana"/>
          <w:szCs w:val="18"/>
          <w:lang w:val="nl-NL"/>
        </w:rPr>
        <w:t xml:space="preserve"> </w:t>
      </w:r>
    </w:p>
    <w:p w14:paraId="5BE0FB4E" w14:textId="77777777" w:rsidR="00C3302C" w:rsidRPr="00A33930" w:rsidRDefault="00C3302C" w:rsidP="00C3302C">
      <w:pPr>
        <w:pStyle w:val="Lijstalinea"/>
        <w:spacing w:before="200" w:after="0"/>
        <w:ind w:left="0"/>
        <w:jc w:val="both"/>
        <w:rPr>
          <w:rFonts w:eastAsia="Verdana" w:cs="Verdana"/>
          <w:szCs w:val="18"/>
          <w:lang w:val="nl-NL"/>
        </w:rPr>
      </w:pPr>
    </w:p>
    <w:p w14:paraId="046AA848" w14:textId="091CE925" w:rsidR="0020572A" w:rsidRPr="00A33930" w:rsidRDefault="0020572A" w:rsidP="00A84AE7">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De Duitse wetgeving gaat ervan uit dat het in het belang van het kind</w:t>
      </w:r>
      <w:r w:rsidR="00762487" w:rsidRPr="00A33930">
        <w:rPr>
          <w:rFonts w:eastAsia="Verdana" w:cs="Verdana"/>
          <w:szCs w:val="18"/>
          <w:lang w:val="nl-NL"/>
        </w:rPr>
        <w:t xml:space="preserve"> (“Wohl des Kindes”)</w:t>
      </w:r>
      <w:r w:rsidRPr="00A33930">
        <w:rPr>
          <w:rFonts w:eastAsia="Verdana" w:cs="Verdana"/>
          <w:szCs w:val="18"/>
          <w:lang w:val="nl-NL"/>
        </w:rPr>
        <w:t xml:space="preserve"> is om contact te onderhouden met beide ouders.</w:t>
      </w:r>
      <w:r w:rsidR="006845A4" w:rsidRPr="00A33930">
        <w:rPr>
          <w:rStyle w:val="Voetnootmarkering"/>
          <w:rFonts w:eastAsia="Verdana" w:cs="Verdana"/>
          <w:szCs w:val="18"/>
          <w:lang w:val="nl-NL"/>
        </w:rPr>
        <w:footnoteReference w:id="497"/>
      </w:r>
      <w:r w:rsidRPr="00A33930">
        <w:rPr>
          <w:rFonts w:eastAsia="Verdana" w:cs="Verdana"/>
          <w:szCs w:val="18"/>
          <w:lang w:val="nl-NL"/>
        </w:rPr>
        <w:t xml:space="preserve"> In die zin bestaat er ook een contact</w:t>
      </w:r>
      <w:r w:rsidRPr="00A33930">
        <w:rPr>
          <w:rFonts w:eastAsia="Verdana" w:cs="Verdana"/>
          <w:i/>
          <w:iCs/>
          <w:szCs w:val="18"/>
          <w:lang w:val="nl-NL"/>
        </w:rPr>
        <w:t>plicht</w:t>
      </w:r>
      <w:r w:rsidRPr="00A33930">
        <w:rPr>
          <w:rFonts w:eastAsia="Verdana" w:cs="Verdana"/>
          <w:szCs w:val="18"/>
          <w:lang w:val="nl-NL"/>
        </w:rPr>
        <w:t xml:space="preserve"> ten aanzien van het kind.</w:t>
      </w:r>
      <w:r w:rsidR="00584C78" w:rsidRPr="00A33930">
        <w:rPr>
          <w:rStyle w:val="Voetnootmarkering"/>
          <w:rFonts w:eastAsia="Verdana" w:cs="Verdana"/>
          <w:szCs w:val="18"/>
          <w:lang w:val="nl-NL"/>
        </w:rPr>
        <w:footnoteReference w:id="498"/>
      </w:r>
      <w:r w:rsidRPr="00A33930">
        <w:rPr>
          <w:rFonts w:eastAsia="Verdana" w:cs="Verdana"/>
          <w:szCs w:val="18"/>
          <w:lang w:val="nl-NL"/>
        </w:rPr>
        <w:t xml:space="preserve"> </w:t>
      </w:r>
      <w:r w:rsidR="00067366" w:rsidRPr="00A33930">
        <w:rPr>
          <w:rFonts w:eastAsia="Verdana" w:cs="Verdana"/>
          <w:szCs w:val="18"/>
          <w:lang w:val="nl-NL"/>
        </w:rPr>
        <w:t>Het omgangsrecht wordt echter beperkt of uitgesloten indien het belang van het kind zulks vereist.</w:t>
      </w:r>
      <w:r w:rsidR="00067366" w:rsidRPr="00A33930">
        <w:rPr>
          <w:rStyle w:val="Voetnootmarkering"/>
          <w:rFonts w:eastAsia="Verdana" w:cs="Verdana"/>
          <w:szCs w:val="18"/>
          <w:lang w:val="nl-NL"/>
        </w:rPr>
        <w:footnoteReference w:id="499"/>
      </w:r>
      <w:r w:rsidR="00067366" w:rsidRPr="00A33930">
        <w:rPr>
          <w:rFonts w:eastAsia="Verdana" w:cs="Verdana"/>
          <w:szCs w:val="18"/>
          <w:lang w:val="nl-NL"/>
        </w:rPr>
        <w:t xml:space="preserve"> Indien het kind liever geen contact wil met de meerderjarige, is het niet voldoende dat het kind er bezwaren tegen heeft. Het belang van het kind en het belang van de ouder </w:t>
      </w:r>
      <w:r w:rsidR="00067366" w:rsidRPr="00A33930">
        <w:rPr>
          <w:rFonts w:eastAsia="Verdana" w:cs="Verdana"/>
          <w:szCs w:val="18"/>
          <w:lang w:val="nl-NL"/>
        </w:rPr>
        <w:lastRenderedPageBreak/>
        <w:t>worden tegen elkaar afgewogen.</w:t>
      </w:r>
      <w:r w:rsidR="00067366" w:rsidRPr="00A33930">
        <w:rPr>
          <w:rStyle w:val="Voetnootmarkering"/>
          <w:rFonts w:eastAsia="Verdana" w:cs="Verdana"/>
          <w:szCs w:val="18"/>
          <w:lang w:val="nl-NL"/>
        </w:rPr>
        <w:footnoteReference w:id="500"/>
      </w:r>
      <w:r w:rsidR="0015222D" w:rsidRPr="00A33930">
        <w:rPr>
          <w:rFonts w:eastAsia="Verdana" w:cs="Verdana"/>
          <w:szCs w:val="18"/>
          <w:lang w:val="nl-NL"/>
        </w:rPr>
        <w:t xml:space="preserve"> Indien het contact met de meerderjarige positief is voor de ontwikkeling en het welzijn van het kind, wordt het over het algemeen geacht in het belang van het kind te zijn.</w:t>
      </w:r>
      <w:r w:rsidR="0015222D" w:rsidRPr="00A33930">
        <w:rPr>
          <w:rStyle w:val="Voetnootmarkering"/>
          <w:rFonts w:eastAsia="Verdana" w:cs="Verdana"/>
          <w:szCs w:val="18"/>
          <w:lang w:val="nl-NL"/>
        </w:rPr>
        <w:footnoteReference w:id="501"/>
      </w:r>
    </w:p>
    <w:p w14:paraId="0558DF29" w14:textId="6789CFFF" w:rsidR="00A84AE7" w:rsidRPr="00A33930" w:rsidRDefault="00A84AE7" w:rsidP="00FD583B">
      <w:pPr>
        <w:pStyle w:val="Kop4"/>
        <w:spacing w:before="240" w:after="120"/>
        <w:jc w:val="both"/>
        <w:rPr>
          <w:rFonts w:ascii="Verdana" w:hAnsi="Verdana"/>
          <w:b/>
          <w:bCs/>
          <w:color w:val="auto"/>
          <w:szCs w:val="18"/>
          <w:lang w:val="nl-NL"/>
        </w:rPr>
      </w:pPr>
      <w:r w:rsidRPr="00A33930">
        <w:rPr>
          <w:rFonts w:ascii="Verdana" w:hAnsi="Verdana"/>
          <w:b/>
          <w:bCs/>
          <w:color w:val="auto"/>
          <w:szCs w:val="18"/>
          <w:lang w:val="nl-NL"/>
        </w:rPr>
        <w:t>§</w:t>
      </w:r>
      <w:r w:rsidR="00FD583B" w:rsidRPr="00A33930">
        <w:rPr>
          <w:rFonts w:ascii="Verdana" w:hAnsi="Verdana"/>
          <w:b/>
          <w:bCs/>
          <w:color w:val="auto"/>
          <w:szCs w:val="18"/>
          <w:lang w:val="nl-NL"/>
        </w:rPr>
        <w:t>2</w:t>
      </w:r>
      <w:r w:rsidRPr="00A33930">
        <w:rPr>
          <w:rFonts w:ascii="Verdana" w:hAnsi="Verdana"/>
          <w:b/>
          <w:bCs/>
          <w:color w:val="auto"/>
          <w:szCs w:val="18"/>
          <w:lang w:val="nl-NL"/>
        </w:rPr>
        <w:t xml:space="preserve">. </w:t>
      </w:r>
      <w:r w:rsidRPr="00A33930">
        <w:rPr>
          <w:rFonts w:ascii="Verdana" w:hAnsi="Verdana"/>
          <w:b/>
          <w:bCs/>
          <w:color w:val="auto"/>
          <w:szCs w:val="18"/>
          <w:lang w:val="nl-NL"/>
        </w:rPr>
        <w:tab/>
      </w:r>
      <w:r w:rsidR="00FD583B" w:rsidRPr="00A33930">
        <w:rPr>
          <w:rFonts w:ascii="Verdana" w:hAnsi="Verdana"/>
          <w:b/>
          <w:bCs/>
          <w:color w:val="auto"/>
          <w:szCs w:val="18"/>
          <w:lang w:val="nl-NL"/>
        </w:rPr>
        <w:t>Een eigen recht van het kind?</w:t>
      </w:r>
    </w:p>
    <w:p w14:paraId="1D15ABDA" w14:textId="63E0D57F" w:rsidR="006A750A" w:rsidRPr="00A33930" w:rsidRDefault="006A750A" w:rsidP="006A750A">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Aan de basis van het recht op persoonlijk contact ligt het ouderlijk gezag.</w:t>
      </w:r>
      <w:r w:rsidRPr="00A33930">
        <w:rPr>
          <w:rStyle w:val="Voetnootmarkering"/>
          <w:rFonts w:eastAsia="Verdana" w:cs="Verdana"/>
          <w:szCs w:val="18"/>
          <w:lang w:val="nl-NL"/>
        </w:rPr>
        <w:footnoteReference w:id="502"/>
      </w:r>
      <w:r w:rsidRPr="00A33930">
        <w:rPr>
          <w:rFonts w:eastAsia="Verdana" w:cs="Verdana"/>
          <w:szCs w:val="18"/>
          <w:lang w:val="nl-NL"/>
        </w:rPr>
        <w:t xml:space="preserve"> Bijzonder is dat het ouderlijk gezag in de Duitse </w:t>
      </w:r>
      <w:r w:rsidR="00E91F09" w:rsidRPr="00A33930">
        <w:rPr>
          <w:rFonts w:eastAsia="Verdana" w:cs="Verdana"/>
          <w:szCs w:val="18"/>
          <w:lang w:val="nl-NL"/>
        </w:rPr>
        <w:t>G</w:t>
      </w:r>
      <w:r w:rsidRPr="00A33930">
        <w:rPr>
          <w:rFonts w:eastAsia="Verdana" w:cs="Verdana"/>
          <w:szCs w:val="18"/>
          <w:lang w:val="nl-NL"/>
        </w:rPr>
        <w:t xml:space="preserve">rondwet is </w:t>
      </w:r>
      <w:r w:rsidR="00E91F09" w:rsidRPr="00A33930">
        <w:rPr>
          <w:rFonts w:eastAsia="Verdana" w:cs="Verdana"/>
          <w:szCs w:val="18"/>
          <w:lang w:val="nl-NL"/>
        </w:rPr>
        <w:t>ingeschreven</w:t>
      </w:r>
      <w:r w:rsidRPr="00A33930">
        <w:rPr>
          <w:rFonts w:eastAsia="Verdana" w:cs="Verdana"/>
          <w:szCs w:val="18"/>
          <w:lang w:val="nl-NL"/>
        </w:rPr>
        <w:t>.</w:t>
      </w:r>
      <w:r w:rsidRPr="00A33930">
        <w:rPr>
          <w:rStyle w:val="Voetnootmarkering"/>
          <w:rFonts w:eastAsia="Verdana" w:cs="Verdana"/>
          <w:szCs w:val="18"/>
          <w:lang w:val="nl-NL"/>
        </w:rPr>
        <w:footnoteReference w:id="503"/>
      </w:r>
      <w:r w:rsidRPr="00A33930">
        <w:rPr>
          <w:rFonts w:eastAsia="Verdana" w:cs="Verdana"/>
          <w:szCs w:val="18"/>
          <w:lang w:val="nl-NL"/>
        </w:rPr>
        <w:t xml:space="preserve"> De Grondwet bepaalt dat de zorg en de opvoeding van de kinderen een “natuurlijk recht” is ten aanzien van de ouders, waardoor er een plicht ontstaat.</w:t>
      </w:r>
      <w:r w:rsidRPr="00A33930">
        <w:rPr>
          <w:rStyle w:val="Voetnootmarkering"/>
          <w:rFonts w:eastAsia="Verdana" w:cs="Verdana"/>
          <w:szCs w:val="18"/>
          <w:lang w:val="nl-NL"/>
        </w:rPr>
        <w:footnoteReference w:id="504"/>
      </w:r>
      <w:r w:rsidRPr="00A33930">
        <w:rPr>
          <w:rFonts w:eastAsia="Verdana" w:cs="Verdana"/>
          <w:szCs w:val="18"/>
          <w:lang w:val="nl-NL"/>
        </w:rPr>
        <w:t xml:space="preserve"> De verankering in de Grondwet rechtvaardigt deze plicht.</w:t>
      </w:r>
      <w:r w:rsidRPr="00A33930">
        <w:rPr>
          <w:rStyle w:val="Voetnootmarkering"/>
          <w:rFonts w:eastAsia="Verdana" w:cs="Verdana"/>
          <w:szCs w:val="18"/>
          <w:lang w:val="nl-NL"/>
        </w:rPr>
        <w:footnoteReference w:id="505"/>
      </w:r>
      <w:r w:rsidRPr="00A33930">
        <w:rPr>
          <w:rFonts w:eastAsia="Verdana" w:cs="Verdana"/>
          <w:szCs w:val="18"/>
          <w:lang w:val="nl-NL"/>
        </w:rPr>
        <w:t xml:space="preserve"> Artikel 6, tweede lid GG benadrukt zodus dat de ouders zowel het recht als de plicht hebben contact te houden met hun kind.</w:t>
      </w:r>
      <w:r w:rsidRPr="00A33930">
        <w:rPr>
          <w:rStyle w:val="Voetnootmarkering"/>
          <w:rFonts w:eastAsia="Verdana" w:cs="Verdana"/>
          <w:szCs w:val="18"/>
          <w:lang w:val="nl-NL"/>
        </w:rPr>
        <w:footnoteReference w:id="506"/>
      </w:r>
      <w:r w:rsidRPr="00A33930">
        <w:rPr>
          <w:rFonts w:eastAsia="Verdana" w:cs="Verdana"/>
          <w:szCs w:val="18"/>
          <w:lang w:val="nl-NL"/>
        </w:rPr>
        <w:t xml:space="preserve"> Artikel 6 GG spreekt niet rechtstreeks over het kind, waardoor</w:t>
      </w:r>
      <w:r w:rsidR="009A1941" w:rsidRPr="00A33930">
        <w:rPr>
          <w:rFonts w:eastAsia="Verdana" w:cs="Verdana"/>
          <w:szCs w:val="18"/>
          <w:lang w:val="nl-NL"/>
        </w:rPr>
        <w:t xml:space="preserve"> dit</w:t>
      </w:r>
      <w:r w:rsidRPr="00A33930">
        <w:rPr>
          <w:rFonts w:eastAsia="Verdana" w:cs="Verdana"/>
          <w:szCs w:val="18"/>
          <w:lang w:val="nl-NL"/>
        </w:rPr>
        <w:t xml:space="preserve"> </w:t>
      </w:r>
      <w:r w:rsidR="00E91F09" w:rsidRPr="00A33930">
        <w:rPr>
          <w:rFonts w:eastAsia="Verdana" w:cs="Verdana"/>
          <w:szCs w:val="18"/>
          <w:lang w:val="nl-NL"/>
        </w:rPr>
        <w:t>m</w:t>
      </w:r>
      <w:r w:rsidR="00C3302C" w:rsidRPr="00A33930">
        <w:rPr>
          <w:rFonts w:eastAsia="Verdana" w:cs="Verdana"/>
          <w:szCs w:val="18"/>
          <w:lang w:val="nl-NL"/>
        </w:rPr>
        <w:t>ijns inziens</w:t>
      </w:r>
      <w:r w:rsidR="009A1941" w:rsidRPr="00A33930">
        <w:rPr>
          <w:rFonts w:eastAsia="Verdana" w:cs="Verdana"/>
          <w:szCs w:val="18"/>
          <w:lang w:val="nl-NL"/>
        </w:rPr>
        <w:t xml:space="preserve"> </w:t>
      </w:r>
      <w:r w:rsidRPr="00A33930">
        <w:rPr>
          <w:rFonts w:eastAsia="Verdana" w:cs="Verdana"/>
          <w:szCs w:val="18"/>
          <w:lang w:val="nl-NL"/>
        </w:rPr>
        <w:t>op het eerste gezicht toch enigszins een objectgedachte inhoudt. Anderzijds wordt er door verschillende auteurs bevestigd dat het effectief gaat over het recht van het kind op o.a. beide ouders</w:t>
      </w:r>
      <w:r w:rsidR="00E91F09" w:rsidRPr="00A33930">
        <w:rPr>
          <w:rFonts w:eastAsia="Verdana" w:cs="Verdana"/>
          <w:szCs w:val="18"/>
          <w:lang w:val="nl-NL"/>
        </w:rPr>
        <w:t>, wat de subjectgedachte benadrukt</w:t>
      </w:r>
      <w:r w:rsidRPr="00A33930">
        <w:rPr>
          <w:rFonts w:eastAsia="Verdana" w:cs="Verdana"/>
          <w:szCs w:val="18"/>
          <w:lang w:val="nl-NL"/>
        </w:rPr>
        <w:t>.</w:t>
      </w:r>
      <w:r w:rsidRPr="00A33930">
        <w:rPr>
          <w:rStyle w:val="Voetnootmarkering"/>
          <w:rFonts w:eastAsia="Verdana" w:cs="Verdana"/>
          <w:szCs w:val="18"/>
          <w:lang w:val="nl-NL"/>
        </w:rPr>
        <w:footnoteReference w:id="507"/>
      </w:r>
    </w:p>
    <w:p w14:paraId="0625F4CA" w14:textId="77777777" w:rsidR="00C3302C" w:rsidRPr="00A33930" w:rsidRDefault="00C3302C" w:rsidP="00C3302C">
      <w:pPr>
        <w:pStyle w:val="Lijstalinea"/>
        <w:spacing w:before="200" w:after="0"/>
        <w:ind w:left="0"/>
        <w:jc w:val="both"/>
        <w:rPr>
          <w:rFonts w:eastAsia="Verdana" w:cs="Verdana"/>
          <w:szCs w:val="18"/>
          <w:lang w:val="nl-NL"/>
        </w:rPr>
      </w:pPr>
    </w:p>
    <w:p w14:paraId="1A3E6109" w14:textId="0F1AA3D0" w:rsidR="00E91F09" w:rsidRPr="00A33930" w:rsidRDefault="00CA3125" w:rsidP="00FB0D69">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Het</w:t>
      </w:r>
      <w:r w:rsidR="00C661EE" w:rsidRPr="00A33930">
        <w:rPr>
          <w:rFonts w:eastAsia="Verdana" w:cs="Verdana"/>
          <w:szCs w:val="18"/>
          <w:lang w:val="nl-NL"/>
        </w:rPr>
        <w:t xml:space="preserve"> omgangsrecht </w:t>
      </w:r>
      <w:r w:rsidR="00DA1B95" w:rsidRPr="00A33930">
        <w:rPr>
          <w:rFonts w:eastAsia="Verdana" w:cs="Verdana"/>
          <w:szCs w:val="18"/>
          <w:lang w:val="nl-NL"/>
        </w:rPr>
        <w:t xml:space="preserve">(“Umgangsrecht”) </w:t>
      </w:r>
      <w:r w:rsidRPr="00A33930">
        <w:rPr>
          <w:rFonts w:eastAsia="Verdana" w:cs="Verdana"/>
          <w:szCs w:val="18"/>
          <w:lang w:val="nl-NL"/>
        </w:rPr>
        <w:t>is</w:t>
      </w:r>
      <w:r w:rsidR="00E7198F" w:rsidRPr="00A33930">
        <w:rPr>
          <w:rFonts w:eastAsia="Verdana" w:cs="Verdana"/>
          <w:szCs w:val="18"/>
          <w:lang w:val="nl-NL"/>
        </w:rPr>
        <w:t xml:space="preserve"> daarnaast ook</w:t>
      </w:r>
      <w:r w:rsidRPr="00A33930">
        <w:rPr>
          <w:rFonts w:eastAsia="Verdana" w:cs="Verdana"/>
          <w:szCs w:val="18"/>
          <w:lang w:val="nl-NL"/>
        </w:rPr>
        <w:t xml:space="preserve"> </w:t>
      </w:r>
      <w:r w:rsidR="00C661EE" w:rsidRPr="00A33930">
        <w:rPr>
          <w:rFonts w:eastAsia="Verdana" w:cs="Verdana"/>
          <w:szCs w:val="18"/>
          <w:lang w:val="nl-NL"/>
        </w:rPr>
        <w:t>ingeschreven als een wederkerig</w:t>
      </w:r>
      <w:r w:rsidR="00DA1678" w:rsidRPr="00A33930">
        <w:rPr>
          <w:rFonts w:eastAsia="Verdana" w:cs="Verdana"/>
          <w:szCs w:val="18"/>
          <w:lang w:val="nl-NL"/>
        </w:rPr>
        <w:t xml:space="preserve"> en formeel</w:t>
      </w:r>
      <w:r w:rsidR="00C661EE" w:rsidRPr="00A33930">
        <w:rPr>
          <w:rFonts w:eastAsia="Verdana" w:cs="Verdana"/>
          <w:szCs w:val="18"/>
          <w:lang w:val="nl-NL"/>
        </w:rPr>
        <w:t xml:space="preserve"> </w:t>
      </w:r>
      <w:r w:rsidR="00DA1678" w:rsidRPr="00A33930">
        <w:rPr>
          <w:rFonts w:eastAsia="Verdana" w:cs="Verdana"/>
          <w:szCs w:val="18"/>
          <w:lang w:val="nl-NL"/>
        </w:rPr>
        <w:t>contact</w:t>
      </w:r>
      <w:r w:rsidR="00C661EE" w:rsidRPr="00A33930">
        <w:rPr>
          <w:rFonts w:eastAsia="Verdana" w:cs="Verdana"/>
          <w:szCs w:val="18"/>
          <w:lang w:val="nl-NL"/>
        </w:rPr>
        <w:t>recht</w:t>
      </w:r>
      <w:r w:rsidR="00E32B11" w:rsidRPr="00A33930">
        <w:rPr>
          <w:rFonts w:eastAsia="Verdana" w:cs="Verdana"/>
          <w:szCs w:val="18"/>
          <w:lang w:val="nl-NL"/>
        </w:rPr>
        <w:t xml:space="preserve"> </w:t>
      </w:r>
      <w:r w:rsidR="00C661EE" w:rsidRPr="00A33930">
        <w:rPr>
          <w:rFonts w:eastAsia="Verdana" w:cs="Verdana"/>
          <w:szCs w:val="18"/>
          <w:lang w:val="nl-NL"/>
        </w:rPr>
        <w:t xml:space="preserve">in artikel 1684, eerste lid </w:t>
      </w:r>
      <w:r w:rsidRPr="00A33930">
        <w:rPr>
          <w:rFonts w:eastAsia="Verdana" w:cs="Verdana"/>
          <w:szCs w:val="18"/>
          <w:lang w:val="nl-NL"/>
        </w:rPr>
        <w:t>BGB</w:t>
      </w:r>
      <w:r w:rsidR="00C661EE" w:rsidRPr="00A33930">
        <w:rPr>
          <w:rFonts w:eastAsia="Verdana" w:cs="Verdana"/>
          <w:szCs w:val="18"/>
          <w:lang w:val="nl-NL"/>
        </w:rPr>
        <w:t>.</w:t>
      </w:r>
      <w:r w:rsidR="00C661EE" w:rsidRPr="00A33930">
        <w:rPr>
          <w:rStyle w:val="Voetnootmarkering"/>
          <w:rFonts w:eastAsia="Verdana" w:cs="Verdana"/>
          <w:szCs w:val="18"/>
          <w:lang w:val="nl-NL"/>
        </w:rPr>
        <w:footnoteReference w:id="508"/>
      </w:r>
      <w:r w:rsidR="00C661EE" w:rsidRPr="00A33930">
        <w:rPr>
          <w:rFonts w:eastAsia="Verdana" w:cs="Verdana"/>
          <w:szCs w:val="18"/>
          <w:lang w:val="nl-NL"/>
        </w:rPr>
        <w:t xml:space="preserve"> </w:t>
      </w:r>
      <w:r w:rsidR="00E7198F" w:rsidRPr="00A33930">
        <w:rPr>
          <w:rFonts w:eastAsia="Verdana" w:cs="Verdana"/>
          <w:szCs w:val="18"/>
          <w:lang w:val="nl-NL"/>
        </w:rPr>
        <w:t xml:space="preserve">Mijns inziens bijzonder is dat het artikel de benaming “Umgang des Kindes mit den Eltern” heeft, waardoor duidelijk wordt dat dit artikel in het BGB is ingeschreven met de nadruk op het </w:t>
      </w:r>
      <w:r w:rsidR="00CD3983" w:rsidRPr="00A33930">
        <w:rPr>
          <w:rFonts w:eastAsia="Verdana" w:cs="Verdana"/>
          <w:szCs w:val="18"/>
          <w:lang w:val="nl-NL"/>
        </w:rPr>
        <w:t>eigen</w:t>
      </w:r>
      <w:r w:rsidR="00E7198F" w:rsidRPr="00A33930">
        <w:rPr>
          <w:rFonts w:eastAsia="Verdana" w:cs="Verdana"/>
          <w:szCs w:val="18"/>
          <w:lang w:val="nl-NL"/>
        </w:rPr>
        <w:t xml:space="preserve"> recht van het kind.</w:t>
      </w:r>
      <w:r w:rsidR="00E7198F" w:rsidRPr="00A33930">
        <w:rPr>
          <w:rStyle w:val="Voetnootmarkering"/>
          <w:rFonts w:eastAsia="Verdana" w:cs="Verdana"/>
          <w:szCs w:val="18"/>
          <w:lang w:val="nl-NL"/>
        </w:rPr>
        <w:footnoteReference w:id="509"/>
      </w:r>
      <w:r w:rsidR="00E7198F" w:rsidRPr="00A33930">
        <w:rPr>
          <w:rFonts w:eastAsia="Verdana" w:cs="Verdana"/>
          <w:szCs w:val="18"/>
          <w:lang w:val="nl-NL"/>
        </w:rPr>
        <w:t xml:space="preserve"> </w:t>
      </w:r>
      <w:r w:rsidR="00D15ED8" w:rsidRPr="00A33930">
        <w:rPr>
          <w:rFonts w:eastAsia="Verdana" w:cs="Verdana"/>
          <w:szCs w:val="18"/>
          <w:lang w:val="nl-NL"/>
        </w:rPr>
        <w:t>Het is met andere woorden een persoonlijk recht op contact van het kind.</w:t>
      </w:r>
      <w:r w:rsidR="00584C78" w:rsidRPr="00A33930">
        <w:rPr>
          <w:rStyle w:val="Voetnootmarkering"/>
          <w:rFonts w:eastAsia="Verdana" w:cs="Verdana"/>
          <w:szCs w:val="18"/>
          <w:lang w:val="nl-NL"/>
        </w:rPr>
        <w:footnoteReference w:id="510"/>
      </w:r>
      <w:r w:rsidR="00D15ED8" w:rsidRPr="00A33930">
        <w:rPr>
          <w:rFonts w:eastAsia="Verdana" w:cs="Verdana"/>
          <w:szCs w:val="18"/>
          <w:lang w:val="nl-NL"/>
        </w:rPr>
        <w:t xml:space="preserve"> </w:t>
      </w:r>
      <w:r w:rsidR="00E91F09" w:rsidRPr="00A33930">
        <w:rPr>
          <w:rFonts w:eastAsia="Verdana" w:cs="Verdana"/>
          <w:szCs w:val="18"/>
          <w:lang w:val="nl-NL"/>
        </w:rPr>
        <w:t>Zodus heeft h</w:t>
      </w:r>
      <w:r w:rsidR="00C661EE" w:rsidRPr="00A33930">
        <w:rPr>
          <w:rFonts w:eastAsia="Verdana" w:cs="Verdana"/>
          <w:szCs w:val="18"/>
          <w:lang w:val="nl-NL"/>
        </w:rPr>
        <w:t>et kind in Duitsland</w:t>
      </w:r>
      <w:r w:rsidR="00E7198F" w:rsidRPr="00A33930">
        <w:rPr>
          <w:rFonts w:eastAsia="Verdana" w:cs="Verdana"/>
          <w:szCs w:val="18"/>
          <w:lang w:val="nl-NL"/>
        </w:rPr>
        <w:t xml:space="preserve"> </w:t>
      </w:r>
      <w:r w:rsidR="00C661EE" w:rsidRPr="00A33930">
        <w:rPr>
          <w:rFonts w:eastAsia="Verdana" w:cs="Verdana"/>
          <w:szCs w:val="18"/>
          <w:lang w:val="nl-NL"/>
        </w:rPr>
        <w:t>een eigen subjectief recht op contact</w:t>
      </w:r>
      <w:r w:rsidR="00C77224" w:rsidRPr="00A33930">
        <w:rPr>
          <w:rFonts w:eastAsia="Verdana" w:cs="Verdana"/>
          <w:szCs w:val="18"/>
          <w:lang w:val="nl-NL"/>
        </w:rPr>
        <w:t>, wat een concretisering inhoudt van zijn fundamenteel grondrecht (</w:t>
      </w:r>
      <w:r w:rsidR="00C77224" w:rsidRPr="00A33930">
        <w:rPr>
          <w:rFonts w:eastAsia="Verdana" w:cs="Verdana"/>
          <w:i/>
          <w:iCs/>
          <w:szCs w:val="18"/>
          <w:lang w:val="nl-NL"/>
        </w:rPr>
        <w:t>supra</w:t>
      </w:r>
      <w:r w:rsidR="00C77224" w:rsidRPr="00A33930">
        <w:rPr>
          <w:rFonts w:eastAsia="Verdana" w:cs="Verdana"/>
          <w:szCs w:val="18"/>
          <w:lang w:val="nl-NL"/>
        </w:rPr>
        <w:t xml:space="preserve">, </w:t>
      </w:r>
      <w:r w:rsidR="00C77224" w:rsidRPr="00A33930">
        <w:rPr>
          <w:rFonts w:eastAsia="Verdana" w:cs="Verdana"/>
          <w:szCs w:val="18"/>
          <w:lang w:val="nl-NL"/>
        </w:rPr>
        <w:lastRenderedPageBreak/>
        <w:t xml:space="preserve">nr. </w:t>
      </w:r>
      <w:r w:rsidR="004208A9" w:rsidRPr="00A33930">
        <w:rPr>
          <w:rFonts w:eastAsia="Verdana" w:cs="Verdana"/>
          <w:szCs w:val="18"/>
          <w:lang w:val="nl-NL"/>
        </w:rPr>
        <w:t>136</w:t>
      </w:r>
      <w:r w:rsidR="00C77224" w:rsidRPr="00A33930">
        <w:rPr>
          <w:rFonts w:eastAsia="Verdana" w:cs="Verdana"/>
          <w:szCs w:val="18"/>
          <w:lang w:val="nl-NL"/>
        </w:rPr>
        <w:t>)</w:t>
      </w:r>
      <w:r w:rsidR="00C661EE" w:rsidRPr="00A33930">
        <w:rPr>
          <w:rFonts w:eastAsia="Verdana" w:cs="Verdana"/>
          <w:szCs w:val="18"/>
          <w:lang w:val="nl-NL"/>
        </w:rPr>
        <w:t>.</w:t>
      </w:r>
      <w:r w:rsidR="00C77224" w:rsidRPr="00A33930">
        <w:rPr>
          <w:rStyle w:val="Voetnootmarkering"/>
          <w:rFonts w:eastAsia="Verdana" w:cs="Verdana"/>
          <w:szCs w:val="18"/>
          <w:lang w:val="nl-NL"/>
        </w:rPr>
        <w:footnoteReference w:id="511"/>
      </w:r>
      <w:r w:rsidR="00C661EE" w:rsidRPr="00A33930">
        <w:rPr>
          <w:rFonts w:eastAsia="Verdana" w:cs="Verdana"/>
          <w:szCs w:val="18"/>
          <w:lang w:val="nl-NL"/>
        </w:rPr>
        <w:t xml:space="preserve"> </w:t>
      </w:r>
      <w:r w:rsidR="00D03F0C" w:rsidRPr="00A33930">
        <w:rPr>
          <w:rFonts w:eastAsia="Verdana" w:cs="Verdana"/>
          <w:szCs w:val="18"/>
          <w:lang w:val="nl-NL"/>
        </w:rPr>
        <w:t xml:space="preserve">Het recht van het kind in het BGB </w:t>
      </w:r>
      <w:r w:rsidR="00164E79" w:rsidRPr="00A33930">
        <w:rPr>
          <w:rFonts w:eastAsia="Verdana" w:cs="Verdana"/>
          <w:szCs w:val="18"/>
          <w:lang w:val="nl-NL"/>
        </w:rPr>
        <w:t>komt zo tegemoet</w:t>
      </w:r>
      <w:r w:rsidR="00D03F0C" w:rsidRPr="00A33930">
        <w:rPr>
          <w:rFonts w:eastAsia="Verdana" w:cs="Verdana"/>
          <w:szCs w:val="18"/>
          <w:lang w:val="nl-NL"/>
        </w:rPr>
        <w:t xml:space="preserve"> aan artikel 9.3 IVRK. </w:t>
      </w:r>
      <w:r w:rsidR="000A430C" w:rsidRPr="00A33930">
        <w:rPr>
          <w:lang w:val="nl-NL"/>
        </w:rPr>
        <w:t>Het kind heeft een recht op persoonlijk contact met de ouders, maar de ouders hebben zowel een recht als een plicht op contact met het kind.</w:t>
      </w:r>
      <w:r w:rsidR="000A430C" w:rsidRPr="00A33930">
        <w:rPr>
          <w:rStyle w:val="Voetnootmarkering"/>
          <w:lang w:val="nl-NL"/>
        </w:rPr>
        <w:footnoteReference w:id="512"/>
      </w:r>
      <w:r w:rsidRPr="00A33930">
        <w:rPr>
          <w:rFonts w:eastAsia="Verdana" w:cs="Verdana"/>
          <w:szCs w:val="18"/>
          <w:lang w:val="nl-NL"/>
        </w:rPr>
        <w:t xml:space="preserve"> </w:t>
      </w:r>
      <w:r w:rsidR="00677D8A" w:rsidRPr="00A33930">
        <w:rPr>
          <w:rFonts w:eastAsia="Verdana" w:cs="Verdana"/>
          <w:szCs w:val="18"/>
          <w:lang w:val="nl-NL"/>
        </w:rPr>
        <w:t>Deze plicht maakt afdwinging tegen de wil van een onwillige ouder in principe mogelijk (</w:t>
      </w:r>
      <w:r w:rsidR="00677D8A" w:rsidRPr="00A33930">
        <w:rPr>
          <w:rFonts w:eastAsia="Verdana" w:cs="Verdana"/>
          <w:i/>
          <w:iCs/>
          <w:szCs w:val="18"/>
          <w:lang w:val="nl-NL"/>
        </w:rPr>
        <w:t>infra</w:t>
      </w:r>
      <w:r w:rsidR="00677D8A" w:rsidRPr="00A33930">
        <w:rPr>
          <w:rFonts w:eastAsia="Verdana" w:cs="Verdana"/>
          <w:szCs w:val="18"/>
          <w:lang w:val="nl-NL"/>
        </w:rPr>
        <w:t>, nr</w:t>
      </w:r>
      <w:r w:rsidR="00164E79" w:rsidRPr="00A33930">
        <w:rPr>
          <w:rFonts w:eastAsia="Verdana" w:cs="Verdana"/>
          <w:szCs w:val="18"/>
          <w:lang w:val="nl-NL"/>
        </w:rPr>
        <w:t>s</w:t>
      </w:r>
      <w:r w:rsidR="00677D8A" w:rsidRPr="00A33930">
        <w:rPr>
          <w:rFonts w:eastAsia="Verdana" w:cs="Verdana"/>
          <w:szCs w:val="18"/>
          <w:lang w:val="nl-NL"/>
        </w:rPr>
        <w:t xml:space="preserve">. </w:t>
      </w:r>
      <w:r w:rsidR="004208A9" w:rsidRPr="00A33930">
        <w:rPr>
          <w:rFonts w:eastAsia="Verdana" w:cs="Verdana"/>
          <w:szCs w:val="18"/>
          <w:lang w:val="nl-NL"/>
        </w:rPr>
        <w:t>145</w:t>
      </w:r>
      <w:r w:rsidR="00EF0924" w:rsidRPr="00A33930">
        <w:rPr>
          <w:rFonts w:eastAsia="Verdana" w:cs="Verdana"/>
          <w:szCs w:val="18"/>
          <w:lang w:val="nl-NL"/>
        </w:rPr>
        <w:t>-14</w:t>
      </w:r>
      <w:r w:rsidR="00164E79" w:rsidRPr="00A33930">
        <w:rPr>
          <w:rFonts w:eastAsia="Verdana" w:cs="Verdana"/>
          <w:szCs w:val="18"/>
          <w:lang w:val="nl-NL"/>
        </w:rPr>
        <w:t>7</w:t>
      </w:r>
      <w:r w:rsidR="00677D8A" w:rsidRPr="00A33930">
        <w:rPr>
          <w:rFonts w:eastAsia="Verdana" w:cs="Verdana"/>
          <w:szCs w:val="18"/>
          <w:lang w:val="nl-NL"/>
        </w:rPr>
        <w:t xml:space="preserve">). </w:t>
      </w:r>
      <w:r w:rsidR="00330CAD" w:rsidRPr="00A33930">
        <w:rPr>
          <w:rFonts w:eastAsia="Verdana" w:cs="Verdana"/>
          <w:szCs w:val="18"/>
          <w:lang w:val="nl-NL"/>
        </w:rPr>
        <w:t xml:space="preserve">Het weigeren van contact </w:t>
      </w:r>
      <w:r w:rsidR="00C3302C" w:rsidRPr="00A33930">
        <w:rPr>
          <w:rFonts w:eastAsia="Verdana" w:cs="Verdana"/>
          <w:szCs w:val="18"/>
          <w:lang w:val="nl-NL"/>
        </w:rPr>
        <w:t>vormt in het Duits recht</w:t>
      </w:r>
      <w:r w:rsidR="008674A9" w:rsidRPr="00A33930">
        <w:rPr>
          <w:rFonts w:eastAsia="Verdana" w:cs="Verdana"/>
          <w:szCs w:val="18"/>
          <w:lang w:val="nl-NL"/>
        </w:rPr>
        <w:t xml:space="preserve"> in essentie een</w:t>
      </w:r>
      <w:r w:rsidR="00330CAD" w:rsidRPr="00A33930">
        <w:rPr>
          <w:rFonts w:eastAsia="Verdana" w:cs="Verdana"/>
          <w:szCs w:val="18"/>
          <w:lang w:val="nl-NL"/>
        </w:rPr>
        <w:t xml:space="preserve"> </w:t>
      </w:r>
      <w:r w:rsidR="008674A9" w:rsidRPr="00A33930">
        <w:rPr>
          <w:rFonts w:eastAsia="Verdana" w:cs="Verdana"/>
          <w:szCs w:val="18"/>
          <w:lang w:val="nl-NL"/>
        </w:rPr>
        <w:t>plichtsverzuim van de onwillige ouder.</w:t>
      </w:r>
      <w:r w:rsidR="008674A9" w:rsidRPr="00A33930">
        <w:rPr>
          <w:rStyle w:val="Voetnootmarkering"/>
          <w:rFonts w:eastAsia="Verdana" w:cs="Verdana"/>
          <w:szCs w:val="18"/>
          <w:lang w:val="nl-NL"/>
        </w:rPr>
        <w:footnoteReference w:id="513"/>
      </w:r>
      <w:r w:rsidR="00330CAD" w:rsidRPr="00A33930">
        <w:rPr>
          <w:rFonts w:eastAsia="Verdana" w:cs="Verdana"/>
          <w:szCs w:val="18"/>
          <w:lang w:val="nl-NL"/>
        </w:rPr>
        <w:t xml:space="preserve"> </w:t>
      </w:r>
    </w:p>
    <w:p w14:paraId="661D4A58" w14:textId="77777777" w:rsidR="00E91F09" w:rsidRPr="00A33930" w:rsidRDefault="00E91F09" w:rsidP="00E91F09">
      <w:pPr>
        <w:pStyle w:val="Lijstalinea"/>
        <w:rPr>
          <w:rFonts w:eastAsia="Verdana" w:cs="Verdana"/>
          <w:szCs w:val="18"/>
          <w:lang w:val="nl-NL"/>
        </w:rPr>
      </w:pPr>
    </w:p>
    <w:p w14:paraId="1A471E5C" w14:textId="4357CC1E" w:rsidR="00FB0D69" w:rsidRPr="00A33930" w:rsidRDefault="002031AB" w:rsidP="00FB0D69">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Het omgangsrecht wordt voorzien voor het kind, zijn juridische en biologische ouders, grootouders, broers en zussen en naaste verzorgers van het kind indien er een sociale gezinsband bestaat (“sozial-familiäre Beziehung”).</w:t>
      </w:r>
      <w:r w:rsidRPr="00A33930">
        <w:rPr>
          <w:rStyle w:val="Voetnootmarkering"/>
          <w:rFonts w:eastAsia="Verdana" w:cs="Verdana"/>
          <w:szCs w:val="18"/>
          <w:lang w:val="nl-NL"/>
        </w:rPr>
        <w:footnoteReference w:id="514"/>
      </w:r>
      <w:r w:rsidRPr="00A33930">
        <w:rPr>
          <w:rFonts w:eastAsia="Verdana" w:cs="Verdana"/>
          <w:szCs w:val="18"/>
          <w:lang w:val="nl-NL"/>
        </w:rPr>
        <w:t xml:space="preserve"> </w:t>
      </w:r>
      <w:r w:rsidR="00677D8A" w:rsidRPr="00A33930">
        <w:rPr>
          <w:rFonts w:eastAsia="Verdana" w:cs="Verdana"/>
          <w:szCs w:val="18"/>
          <w:lang w:val="nl-NL"/>
        </w:rPr>
        <w:t xml:space="preserve">Deze band wordt vermoed indien er samenwoning met het kind heeft plaatsgevonden. </w:t>
      </w:r>
      <w:r w:rsidRPr="00A33930">
        <w:rPr>
          <w:rFonts w:eastAsia="Verdana" w:cs="Verdana"/>
          <w:szCs w:val="18"/>
          <w:lang w:val="nl-NL"/>
        </w:rPr>
        <w:t>Personen die buiten deze categorie vallen hebben in beginsel geen recht op contact met het kind. Indien het kind een band heeft met personen buiten deze categorie en deze band in het belang is van zijn ontwikkeling, zijn de ouders verantwoordelijk om contact te garanderen tussen het kind en de derde.</w:t>
      </w:r>
      <w:r w:rsidRPr="00A33930">
        <w:rPr>
          <w:rStyle w:val="Voetnootmarkering"/>
          <w:rFonts w:eastAsia="Verdana" w:cs="Verdana"/>
          <w:szCs w:val="18"/>
          <w:lang w:val="nl-NL"/>
        </w:rPr>
        <w:footnoteReference w:id="515"/>
      </w:r>
    </w:p>
    <w:p w14:paraId="4BB6AF14" w14:textId="77777777" w:rsidR="000A430C" w:rsidRPr="00A33930" w:rsidRDefault="000A430C" w:rsidP="000A430C">
      <w:pPr>
        <w:pStyle w:val="Lijstalinea"/>
        <w:rPr>
          <w:rFonts w:eastAsia="Verdana" w:cs="Verdana"/>
          <w:szCs w:val="18"/>
          <w:lang w:val="nl-NL"/>
        </w:rPr>
      </w:pPr>
    </w:p>
    <w:p w14:paraId="6CF49C4F" w14:textId="2FD0761F" w:rsidR="000A430C" w:rsidRPr="00A33930" w:rsidRDefault="000A430C" w:rsidP="00012976">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Merk op dat door </w:t>
      </w:r>
      <w:r w:rsidR="00CA3125" w:rsidRPr="00A33930">
        <w:rPr>
          <w:rFonts w:eastAsia="Verdana" w:cs="Verdana"/>
          <w:szCs w:val="18"/>
          <w:lang w:val="nl-NL"/>
        </w:rPr>
        <w:t xml:space="preserve">artikel 1626, derde lid BGB </w:t>
      </w:r>
      <w:r w:rsidRPr="00A33930">
        <w:rPr>
          <w:rFonts w:eastAsia="Verdana" w:cs="Verdana"/>
          <w:szCs w:val="18"/>
          <w:lang w:val="nl-NL"/>
        </w:rPr>
        <w:t xml:space="preserve">wordt vastgelegd dat contact met beide ouders </w:t>
      </w:r>
      <w:r w:rsidR="00CA3125" w:rsidRPr="00A33930">
        <w:rPr>
          <w:rFonts w:eastAsia="Verdana" w:cs="Verdana"/>
          <w:szCs w:val="18"/>
          <w:lang w:val="nl-NL"/>
        </w:rPr>
        <w:t xml:space="preserve">in beginsel </w:t>
      </w:r>
      <w:r w:rsidRPr="00A33930">
        <w:rPr>
          <w:rFonts w:eastAsia="Verdana" w:cs="Verdana"/>
          <w:szCs w:val="18"/>
          <w:lang w:val="nl-NL"/>
        </w:rPr>
        <w:t>in belang van het kind is.</w:t>
      </w:r>
      <w:r w:rsidR="003F5539" w:rsidRPr="00A33930">
        <w:rPr>
          <w:rStyle w:val="Voetnootmarkering"/>
          <w:rFonts w:eastAsia="Verdana" w:cs="Verdana"/>
          <w:szCs w:val="18"/>
          <w:lang w:val="nl-NL"/>
        </w:rPr>
        <w:footnoteReference w:id="516"/>
      </w:r>
      <w:r w:rsidRPr="00A33930">
        <w:rPr>
          <w:rFonts w:eastAsia="Verdana" w:cs="Verdana"/>
          <w:szCs w:val="18"/>
          <w:lang w:val="nl-NL"/>
        </w:rPr>
        <w:t xml:space="preserve"> Er komt dus </w:t>
      </w:r>
      <w:r w:rsidR="003F5539" w:rsidRPr="00A33930">
        <w:rPr>
          <w:rFonts w:eastAsia="Verdana" w:cs="Verdana"/>
          <w:szCs w:val="18"/>
          <w:lang w:val="nl-NL"/>
        </w:rPr>
        <w:t xml:space="preserve">in hoofdorde </w:t>
      </w:r>
      <w:r w:rsidRPr="00A33930">
        <w:rPr>
          <w:rFonts w:eastAsia="Verdana" w:cs="Verdana"/>
          <w:szCs w:val="18"/>
          <w:lang w:val="nl-NL"/>
        </w:rPr>
        <w:t>geen subjectieve interpretatie door de rechtspraak aan te pas.</w:t>
      </w:r>
      <w:r w:rsidRPr="00A33930">
        <w:rPr>
          <w:rStyle w:val="Voetnootmarkering"/>
          <w:rFonts w:eastAsia="Verdana" w:cs="Verdana"/>
          <w:szCs w:val="18"/>
          <w:lang w:val="nl-NL"/>
        </w:rPr>
        <w:footnoteReference w:id="517"/>
      </w:r>
      <w:r w:rsidR="0045328D" w:rsidRPr="00A33930">
        <w:rPr>
          <w:rFonts w:eastAsia="Verdana" w:cs="Verdana"/>
          <w:szCs w:val="18"/>
          <w:lang w:val="nl-NL"/>
        </w:rPr>
        <w:t xml:space="preserve"> Bijkomend is de wettelijke contactplicht bedoeld om volwassenen</w:t>
      </w:r>
      <w:r w:rsidR="00CD3983" w:rsidRPr="00A33930">
        <w:rPr>
          <w:rFonts w:eastAsia="Verdana" w:cs="Verdana"/>
          <w:szCs w:val="18"/>
          <w:lang w:val="nl-NL"/>
        </w:rPr>
        <w:t>,</w:t>
      </w:r>
      <w:r w:rsidR="0045328D" w:rsidRPr="00A33930">
        <w:rPr>
          <w:rFonts w:eastAsia="Verdana" w:cs="Verdana"/>
          <w:szCs w:val="18"/>
          <w:lang w:val="nl-NL"/>
        </w:rPr>
        <w:t xml:space="preserve"> voornamelijk ouders, erop te wijzen dat het houden van contact voor het kind in </w:t>
      </w:r>
      <w:r w:rsidR="00C3302C" w:rsidRPr="00A33930">
        <w:rPr>
          <w:rFonts w:eastAsia="Verdana" w:cs="Verdana"/>
          <w:szCs w:val="18"/>
          <w:lang w:val="nl-NL"/>
        </w:rPr>
        <w:t xml:space="preserve">het </w:t>
      </w:r>
      <w:r w:rsidR="0045328D" w:rsidRPr="00A33930">
        <w:rPr>
          <w:rFonts w:eastAsia="Verdana" w:cs="Verdana"/>
          <w:szCs w:val="18"/>
          <w:lang w:val="nl-NL"/>
        </w:rPr>
        <w:t xml:space="preserve">belang van zijn welzijn en ontwikkeling is. Het doel van deze plicht is om het belang van contact </w:t>
      </w:r>
      <w:r w:rsidR="00CD3983" w:rsidRPr="00A33930">
        <w:rPr>
          <w:rFonts w:eastAsia="Verdana" w:cs="Verdana"/>
          <w:szCs w:val="18"/>
          <w:lang w:val="nl-NL"/>
        </w:rPr>
        <w:t>voor en met</w:t>
      </w:r>
      <w:r w:rsidR="0045328D" w:rsidRPr="00A33930">
        <w:rPr>
          <w:rFonts w:eastAsia="Verdana" w:cs="Verdana"/>
          <w:szCs w:val="18"/>
          <w:lang w:val="nl-NL"/>
        </w:rPr>
        <w:t xml:space="preserve"> het kind niet te negeren.</w:t>
      </w:r>
      <w:r w:rsidR="0045328D" w:rsidRPr="00A33930">
        <w:rPr>
          <w:rStyle w:val="Voetnootmarkering"/>
          <w:rFonts w:eastAsia="Verdana" w:cs="Verdana"/>
          <w:szCs w:val="18"/>
          <w:lang w:val="nl-NL"/>
        </w:rPr>
        <w:footnoteReference w:id="518"/>
      </w:r>
      <w:r w:rsidR="00012976" w:rsidRPr="00A33930">
        <w:rPr>
          <w:rFonts w:eastAsia="Verdana" w:cs="Verdana"/>
          <w:szCs w:val="18"/>
          <w:lang w:val="nl-NL"/>
        </w:rPr>
        <w:t xml:space="preserve"> Het is </w:t>
      </w:r>
      <w:r w:rsidR="00CD3983" w:rsidRPr="00A33930">
        <w:rPr>
          <w:rFonts w:eastAsia="Verdana" w:cs="Verdana"/>
          <w:szCs w:val="18"/>
          <w:lang w:val="nl-NL"/>
        </w:rPr>
        <w:t xml:space="preserve">hierbij </w:t>
      </w:r>
      <w:r w:rsidR="00012976" w:rsidRPr="00A33930">
        <w:rPr>
          <w:rFonts w:eastAsia="Verdana" w:cs="Verdana"/>
          <w:szCs w:val="18"/>
          <w:lang w:val="nl-NL"/>
        </w:rPr>
        <w:t>geenszins de bedoeling om een plicht tot contact op te leggen aan het kind.</w:t>
      </w:r>
      <w:r w:rsidR="00012976" w:rsidRPr="00A33930">
        <w:rPr>
          <w:rStyle w:val="Voetnootmarkering"/>
          <w:rFonts w:eastAsia="Verdana" w:cs="Verdana"/>
          <w:szCs w:val="18"/>
          <w:lang w:val="nl-NL"/>
        </w:rPr>
        <w:footnoteReference w:id="519"/>
      </w:r>
      <w:r w:rsidR="003C4FCE" w:rsidRPr="00A33930">
        <w:rPr>
          <w:rFonts w:eastAsia="Verdana" w:cs="Verdana"/>
          <w:szCs w:val="18"/>
          <w:lang w:val="nl-NL"/>
        </w:rPr>
        <w:t xml:space="preserve"> Het kind heeft </w:t>
      </w:r>
      <w:r w:rsidR="00C3302C" w:rsidRPr="00A33930">
        <w:rPr>
          <w:rFonts w:eastAsia="Verdana" w:cs="Verdana"/>
          <w:szCs w:val="18"/>
          <w:lang w:val="nl-NL"/>
        </w:rPr>
        <w:t>hierbij</w:t>
      </w:r>
      <w:r w:rsidR="003C4FCE" w:rsidRPr="00A33930">
        <w:rPr>
          <w:rFonts w:eastAsia="Verdana" w:cs="Verdana"/>
          <w:szCs w:val="18"/>
          <w:lang w:val="nl-NL"/>
        </w:rPr>
        <w:t xml:space="preserve"> een mogelijkheid zijn stem te doen gelden </w:t>
      </w:r>
      <w:r w:rsidR="00E91F09" w:rsidRPr="00A33930">
        <w:rPr>
          <w:rFonts w:eastAsia="Verdana" w:cs="Verdana"/>
          <w:szCs w:val="18"/>
          <w:lang w:val="nl-NL"/>
        </w:rPr>
        <w:t>via</w:t>
      </w:r>
      <w:r w:rsidR="003C4FCE" w:rsidRPr="00A33930">
        <w:rPr>
          <w:rFonts w:eastAsia="Verdana" w:cs="Verdana"/>
          <w:szCs w:val="18"/>
          <w:lang w:val="nl-NL"/>
        </w:rPr>
        <w:t xml:space="preserve"> het hoorrecht.</w:t>
      </w:r>
      <w:r w:rsidR="003C4FCE" w:rsidRPr="00A33930">
        <w:rPr>
          <w:rStyle w:val="Voetnootmarkering"/>
          <w:rFonts w:eastAsia="Verdana" w:cs="Verdana"/>
          <w:szCs w:val="18"/>
          <w:lang w:val="nl-NL"/>
        </w:rPr>
        <w:footnoteReference w:id="520"/>
      </w:r>
    </w:p>
    <w:p w14:paraId="0DF3F7D1" w14:textId="77777777" w:rsidR="00C3302C" w:rsidRPr="00A33930" w:rsidRDefault="00C3302C" w:rsidP="00C3302C">
      <w:pPr>
        <w:pStyle w:val="Lijstalinea"/>
        <w:rPr>
          <w:rFonts w:eastAsia="Verdana" w:cs="Verdana"/>
          <w:szCs w:val="18"/>
          <w:lang w:val="nl-NL"/>
        </w:rPr>
      </w:pPr>
    </w:p>
    <w:p w14:paraId="1E466741" w14:textId="77777777" w:rsidR="00C3302C" w:rsidRPr="00A33930" w:rsidRDefault="00C3302C" w:rsidP="00C3302C">
      <w:pPr>
        <w:pStyle w:val="Lijstalinea"/>
        <w:spacing w:before="200" w:after="0"/>
        <w:ind w:left="0"/>
        <w:jc w:val="both"/>
        <w:rPr>
          <w:rFonts w:eastAsia="Verdana" w:cs="Verdana"/>
          <w:szCs w:val="18"/>
          <w:lang w:val="nl-NL"/>
        </w:rPr>
      </w:pPr>
    </w:p>
    <w:p w14:paraId="431F93BE" w14:textId="6BC9915D" w:rsidR="00083B07" w:rsidRPr="00A33930" w:rsidRDefault="004D631D" w:rsidP="0058078E">
      <w:pPr>
        <w:pStyle w:val="Kop3"/>
        <w:numPr>
          <w:ilvl w:val="0"/>
          <w:numId w:val="0"/>
        </w:numPr>
        <w:spacing w:before="360"/>
        <w:ind w:left="357" w:hanging="357"/>
        <w:jc w:val="both"/>
        <w:rPr>
          <w:lang w:val="nl-NL"/>
        </w:rPr>
      </w:pPr>
      <w:bookmarkStart w:id="40" w:name="_Toc134621199"/>
      <w:r w:rsidRPr="00A33930">
        <w:rPr>
          <w:lang w:val="nl-NL"/>
        </w:rPr>
        <w:lastRenderedPageBreak/>
        <w:t>Afdeling II.</w:t>
      </w:r>
      <w:r w:rsidRPr="00A33930">
        <w:rPr>
          <w:lang w:val="nl-NL"/>
        </w:rPr>
        <w:tab/>
        <w:t>In de praktijk</w:t>
      </w:r>
      <w:bookmarkEnd w:id="40"/>
    </w:p>
    <w:p w14:paraId="36B4659E" w14:textId="68C93161" w:rsidR="00B34780" w:rsidRPr="00A33930" w:rsidRDefault="00B34780" w:rsidP="004D631D">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De erkenning </w:t>
      </w:r>
      <w:r w:rsidR="00B23191" w:rsidRPr="00A33930">
        <w:rPr>
          <w:rFonts w:eastAsia="Verdana" w:cs="Verdana"/>
          <w:szCs w:val="18"/>
          <w:lang w:val="nl-NL"/>
        </w:rPr>
        <w:t>omschreven in</w:t>
      </w:r>
      <w:r w:rsidRPr="00A33930">
        <w:rPr>
          <w:rFonts w:eastAsia="Verdana" w:cs="Verdana"/>
          <w:szCs w:val="18"/>
          <w:lang w:val="nl-NL"/>
        </w:rPr>
        <w:t xml:space="preserve"> artikel 6 GG is van groot belang </w:t>
      </w:r>
      <w:r w:rsidR="00B23191" w:rsidRPr="00A33930">
        <w:rPr>
          <w:rFonts w:eastAsia="Verdana" w:cs="Verdana"/>
          <w:szCs w:val="18"/>
          <w:lang w:val="nl-NL"/>
        </w:rPr>
        <w:t>ter</w:t>
      </w:r>
      <w:r w:rsidRPr="00A33930">
        <w:rPr>
          <w:rFonts w:eastAsia="Verdana" w:cs="Verdana"/>
          <w:szCs w:val="18"/>
          <w:lang w:val="nl-NL"/>
        </w:rPr>
        <w:t xml:space="preserve"> </w:t>
      </w:r>
      <w:r w:rsidR="00E7198F" w:rsidRPr="00A33930">
        <w:rPr>
          <w:rFonts w:eastAsia="Verdana" w:cs="Verdana"/>
          <w:szCs w:val="18"/>
          <w:lang w:val="nl-NL"/>
        </w:rPr>
        <w:t>bescherming van de</w:t>
      </w:r>
      <w:r w:rsidRPr="00A33930">
        <w:rPr>
          <w:rFonts w:eastAsia="Verdana" w:cs="Verdana"/>
          <w:szCs w:val="18"/>
          <w:lang w:val="nl-NL"/>
        </w:rPr>
        <w:t xml:space="preserve"> ontwikkeling van het kind, waardoor dit ook in artikel 1626, §3 BGB is ingeschreven. Het uitgangspunt hierbij is dat het recht op contact al sinds 1964 door het </w:t>
      </w:r>
      <w:r w:rsidR="00ED75D5" w:rsidRPr="00A33930">
        <w:rPr>
          <w:rFonts w:eastAsia="Verdana" w:cs="Verdana"/>
          <w:szCs w:val="18"/>
          <w:lang w:val="nl-NL"/>
        </w:rPr>
        <w:t>BGH</w:t>
      </w:r>
      <w:r w:rsidRPr="00A33930">
        <w:rPr>
          <w:rFonts w:eastAsia="Verdana" w:cs="Verdana"/>
          <w:szCs w:val="18"/>
          <w:lang w:val="nl-NL"/>
        </w:rPr>
        <w:t xml:space="preserve"> wordt erkend als zijnde essentieel voor het belang van het kind.</w:t>
      </w:r>
      <w:r w:rsidRPr="00A33930">
        <w:rPr>
          <w:rStyle w:val="Voetnootmarkering"/>
          <w:rFonts w:eastAsia="Verdana" w:cs="Verdana"/>
          <w:szCs w:val="18"/>
          <w:lang w:val="nl-NL"/>
        </w:rPr>
        <w:footnoteReference w:id="521"/>
      </w:r>
      <w:r w:rsidRPr="00A33930">
        <w:rPr>
          <w:rFonts w:eastAsia="Verdana" w:cs="Verdana"/>
          <w:szCs w:val="18"/>
          <w:lang w:val="nl-NL"/>
        </w:rPr>
        <w:t xml:space="preserve"> </w:t>
      </w:r>
      <w:r w:rsidR="00E7198F" w:rsidRPr="00A33930">
        <w:rPr>
          <w:rFonts w:eastAsia="Verdana" w:cs="Verdana"/>
          <w:szCs w:val="18"/>
          <w:lang w:val="nl-NL"/>
        </w:rPr>
        <w:t xml:space="preserve">Dit belang van het kind en zijn recht op persoonlijk contact is ingeschreven </w:t>
      </w:r>
      <w:r w:rsidR="00EA200B" w:rsidRPr="00A33930">
        <w:rPr>
          <w:rFonts w:eastAsia="Verdana" w:cs="Verdana"/>
          <w:szCs w:val="18"/>
          <w:lang w:val="nl-NL"/>
        </w:rPr>
        <w:t>voor</w:t>
      </w:r>
      <w:r w:rsidR="00E7198F" w:rsidRPr="00A33930">
        <w:rPr>
          <w:rFonts w:eastAsia="Verdana" w:cs="Verdana"/>
          <w:szCs w:val="18"/>
          <w:lang w:val="nl-NL"/>
        </w:rPr>
        <w:t xml:space="preserve"> het onderhouden van familiale relaties, het voorkomen van vervreemding en </w:t>
      </w:r>
      <w:r w:rsidR="00B23191" w:rsidRPr="00A33930">
        <w:rPr>
          <w:rFonts w:eastAsia="Verdana" w:cs="Verdana"/>
          <w:szCs w:val="18"/>
          <w:lang w:val="nl-NL"/>
        </w:rPr>
        <w:t>het voldoen aan</w:t>
      </w:r>
      <w:r w:rsidR="00E7198F" w:rsidRPr="00A33930">
        <w:rPr>
          <w:rFonts w:eastAsia="Verdana" w:cs="Verdana"/>
          <w:szCs w:val="18"/>
          <w:lang w:val="nl-NL"/>
        </w:rPr>
        <w:t xml:space="preserve"> de wederzijdse behoefte </w:t>
      </w:r>
      <w:r w:rsidR="00B23191" w:rsidRPr="00A33930">
        <w:rPr>
          <w:rFonts w:eastAsia="Verdana" w:cs="Verdana"/>
          <w:szCs w:val="18"/>
          <w:lang w:val="nl-NL"/>
        </w:rPr>
        <w:t>van</w:t>
      </w:r>
      <w:r w:rsidR="00E7198F" w:rsidRPr="00A33930">
        <w:rPr>
          <w:rFonts w:eastAsia="Verdana" w:cs="Verdana"/>
          <w:szCs w:val="18"/>
          <w:lang w:val="nl-NL"/>
        </w:rPr>
        <w:t xml:space="preserve"> </w:t>
      </w:r>
      <w:r w:rsidR="00CD3983" w:rsidRPr="00A33930">
        <w:rPr>
          <w:rFonts w:eastAsia="Verdana" w:cs="Verdana"/>
          <w:szCs w:val="18"/>
          <w:lang w:val="nl-NL"/>
        </w:rPr>
        <w:t>genegenheid</w:t>
      </w:r>
      <w:r w:rsidR="00E7198F" w:rsidRPr="00A33930">
        <w:rPr>
          <w:rFonts w:eastAsia="Verdana" w:cs="Verdana"/>
          <w:szCs w:val="18"/>
          <w:lang w:val="nl-NL"/>
        </w:rPr>
        <w:t>.</w:t>
      </w:r>
      <w:r w:rsidR="00E7198F" w:rsidRPr="00A33930">
        <w:rPr>
          <w:rStyle w:val="Voetnootmarkering"/>
          <w:rFonts w:eastAsia="Verdana" w:cs="Verdana"/>
          <w:szCs w:val="18"/>
          <w:lang w:val="nl-NL"/>
        </w:rPr>
        <w:footnoteReference w:id="522"/>
      </w:r>
      <w:r w:rsidR="00E7198F" w:rsidRPr="00A33930">
        <w:rPr>
          <w:rFonts w:eastAsia="Verdana" w:cs="Verdana"/>
          <w:szCs w:val="18"/>
          <w:lang w:val="nl-NL"/>
        </w:rPr>
        <w:t xml:space="preserve"> </w:t>
      </w:r>
      <w:r w:rsidR="00E32B11" w:rsidRPr="00A33930">
        <w:rPr>
          <w:rFonts w:eastAsia="Verdana" w:cs="Verdana"/>
          <w:szCs w:val="18"/>
          <w:lang w:val="nl-NL"/>
        </w:rPr>
        <w:t xml:space="preserve">De Duitse rechtspraak was het er al vroeg </w:t>
      </w:r>
      <w:r w:rsidR="00CD3983" w:rsidRPr="00A33930">
        <w:rPr>
          <w:rFonts w:eastAsia="Verdana" w:cs="Verdana"/>
          <w:szCs w:val="18"/>
          <w:lang w:val="nl-NL"/>
        </w:rPr>
        <w:t>over</w:t>
      </w:r>
      <w:r w:rsidR="00E32B11" w:rsidRPr="00A33930">
        <w:rPr>
          <w:rFonts w:eastAsia="Verdana" w:cs="Verdana"/>
          <w:szCs w:val="18"/>
          <w:lang w:val="nl-NL"/>
        </w:rPr>
        <w:t xml:space="preserve"> eens dat het kind in principe niet het voorwerp is van het ouderlijk gezag, maar dat zijn welzijn en ontwikkeling de voornaamste redenen zijn voor het toekennen van een recht op persoonlijk contact.</w:t>
      </w:r>
      <w:r w:rsidR="00E32B11" w:rsidRPr="00A33930">
        <w:rPr>
          <w:rStyle w:val="Voetnootmarkering"/>
          <w:rFonts w:eastAsia="Verdana" w:cs="Verdana"/>
          <w:szCs w:val="18"/>
          <w:lang w:val="nl-NL"/>
        </w:rPr>
        <w:footnoteReference w:id="523"/>
      </w:r>
      <w:r w:rsidR="00B23191" w:rsidRPr="00A33930">
        <w:rPr>
          <w:rFonts w:eastAsia="Verdana" w:cs="Verdana"/>
          <w:szCs w:val="18"/>
          <w:lang w:val="nl-NL"/>
        </w:rPr>
        <w:t xml:space="preserve"> Dat </w:t>
      </w:r>
      <w:r w:rsidR="00164E79" w:rsidRPr="00A33930">
        <w:rPr>
          <w:rFonts w:eastAsia="Verdana" w:cs="Verdana"/>
          <w:szCs w:val="18"/>
          <w:lang w:val="nl-NL"/>
        </w:rPr>
        <w:t>zoekt</w:t>
      </w:r>
      <w:r w:rsidR="00B23191" w:rsidRPr="00A33930">
        <w:rPr>
          <w:rFonts w:eastAsia="Verdana" w:cs="Verdana"/>
          <w:szCs w:val="18"/>
          <w:lang w:val="nl-NL"/>
        </w:rPr>
        <w:t xml:space="preserve"> m</w:t>
      </w:r>
      <w:r w:rsidR="00C3302C" w:rsidRPr="00A33930">
        <w:rPr>
          <w:rFonts w:eastAsia="Verdana" w:cs="Verdana"/>
          <w:szCs w:val="18"/>
          <w:lang w:val="nl-NL"/>
        </w:rPr>
        <w:t>ijns inziens</w:t>
      </w:r>
      <w:r w:rsidR="00B23191" w:rsidRPr="00A33930">
        <w:rPr>
          <w:rFonts w:eastAsia="Verdana" w:cs="Verdana"/>
          <w:szCs w:val="18"/>
          <w:lang w:val="nl-NL"/>
        </w:rPr>
        <w:t xml:space="preserve"> </w:t>
      </w:r>
      <w:r w:rsidR="00164E79" w:rsidRPr="00A33930">
        <w:rPr>
          <w:rFonts w:eastAsia="Verdana" w:cs="Verdana"/>
          <w:szCs w:val="18"/>
          <w:lang w:val="nl-NL"/>
        </w:rPr>
        <w:t>aansluiting bij</w:t>
      </w:r>
      <w:r w:rsidR="00B23191" w:rsidRPr="00A33930">
        <w:rPr>
          <w:rFonts w:eastAsia="Verdana" w:cs="Verdana"/>
          <w:szCs w:val="18"/>
          <w:lang w:val="nl-NL"/>
        </w:rPr>
        <w:t xml:space="preserve"> het functionele aspect van </w:t>
      </w:r>
      <w:r w:rsidR="00164E79" w:rsidRPr="00A33930">
        <w:rPr>
          <w:rFonts w:eastAsia="Verdana" w:cs="Verdana"/>
          <w:szCs w:val="18"/>
          <w:lang w:val="nl-NL"/>
        </w:rPr>
        <w:t>het</w:t>
      </w:r>
      <w:r w:rsidR="00B23191" w:rsidRPr="00A33930">
        <w:rPr>
          <w:rFonts w:eastAsia="Verdana" w:cs="Verdana"/>
          <w:szCs w:val="18"/>
          <w:lang w:val="nl-NL"/>
        </w:rPr>
        <w:t xml:space="preserve"> </w:t>
      </w:r>
      <w:r w:rsidR="00164E79" w:rsidRPr="00A33930">
        <w:rPr>
          <w:rFonts w:eastAsia="Verdana" w:cs="Verdana"/>
          <w:szCs w:val="18"/>
          <w:lang w:val="nl-NL"/>
        </w:rPr>
        <w:t>contact</w:t>
      </w:r>
      <w:r w:rsidR="00B23191" w:rsidRPr="00A33930">
        <w:rPr>
          <w:rFonts w:eastAsia="Verdana" w:cs="Verdana"/>
          <w:szCs w:val="18"/>
          <w:lang w:val="nl-NL"/>
        </w:rPr>
        <w:t>recht (</w:t>
      </w:r>
      <w:r w:rsidR="00B23191" w:rsidRPr="00A33930">
        <w:rPr>
          <w:rFonts w:eastAsia="Verdana" w:cs="Verdana"/>
          <w:i/>
          <w:iCs/>
          <w:szCs w:val="18"/>
          <w:lang w:val="nl-NL"/>
        </w:rPr>
        <w:t>supra</w:t>
      </w:r>
      <w:r w:rsidR="00B23191" w:rsidRPr="00A33930">
        <w:rPr>
          <w:rFonts w:eastAsia="Verdana" w:cs="Verdana"/>
          <w:szCs w:val="18"/>
          <w:lang w:val="nl-NL"/>
        </w:rPr>
        <w:t xml:space="preserve">, nr. </w:t>
      </w:r>
      <w:r w:rsidR="004208A9" w:rsidRPr="00A33930">
        <w:rPr>
          <w:rFonts w:eastAsia="Verdana" w:cs="Verdana"/>
          <w:szCs w:val="18"/>
          <w:lang w:val="nl-NL"/>
        </w:rPr>
        <w:t>32</w:t>
      </w:r>
      <w:r w:rsidR="00B23191" w:rsidRPr="00A33930">
        <w:rPr>
          <w:rFonts w:eastAsia="Verdana" w:cs="Verdana"/>
          <w:szCs w:val="18"/>
          <w:lang w:val="nl-NL"/>
        </w:rPr>
        <w:t>).</w:t>
      </w:r>
    </w:p>
    <w:p w14:paraId="6B3F8FB0" w14:textId="77777777" w:rsidR="00B34780" w:rsidRPr="00A33930" w:rsidRDefault="00B34780" w:rsidP="00B34780">
      <w:pPr>
        <w:pStyle w:val="Lijstalinea"/>
        <w:spacing w:before="200" w:after="0"/>
        <w:ind w:left="0"/>
        <w:jc w:val="both"/>
        <w:rPr>
          <w:rFonts w:eastAsia="Verdana" w:cs="Verdana"/>
          <w:szCs w:val="18"/>
          <w:lang w:val="nl-NL"/>
        </w:rPr>
      </w:pPr>
    </w:p>
    <w:p w14:paraId="3946B018" w14:textId="77777777" w:rsidR="00C3302C" w:rsidRPr="00A33930" w:rsidRDefault="00C661EE" w:rsidP="004D631D">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Het Duitse </w:t>
      </w:r>
      <w:r w:rsidR="0086280A" w:rsidRPr="00A33930">
        <w:rPr>
          <w:rFonts w:eastAsia="Verdana" w:cs="Verdana"/>
          <w:iCs/>
          <w:szCs w:val="18"/>
          <w:lang w:val="nl-NL"/>
        </w:rPr>
        <w:t>BVerfG</w:t>
      </w:r>
      <w:r w:rsidRPr="00A33930">
        <w:rPr>
          <w:rFonts w:eastAsia="Verdana" w:cs="Verdana"/>
          <w:szCs w:val="18"/>
          <w:lang w:val="nl-NL"/>
        </w:rPr>
        <w:t xml:space="preserve"> deed </w:t>
      </w:r>
      <w:r w:rsidR="00CD54F6" w:rsidRPr="00A33930">
        <w:rPr>
          <w:rFonts w:eastAsia="Verdana" w:cs="Verdana"/>
          <w:szCs w:val="18"/>
          <w:lang w:val="nl-NL"/>
        </w:rPr>
        <w:t>op 1 april</w:t>
      </w:r>
      <w:r w:rsidRPr="00A33930">
        <w:rPr>
          <w:rFonts w:eastAsia="Verdana" w:cs="Verdana"/>
          <w:szCs w:val="18"/>
          <w:lang w:val="nl-NL"/>
        </w:rPr>
        <w:t xml:space="preserve"> 2008</w:t>
      </w:r>
      <w:r w:rsidRPr="00A33930">
        <w:rPr>
          <w:rStyle w:val="Voetnootmarkering"/>
          <w:rFonts w:eastAsia="Verdana" w:cs="Verdana"/>
          <w:szCs w:val="18"/>
          <w:lang w:val="nl-NL"/>
        </w:rPr>
        <w:footnoteReference w:id="524"/>
      </w:r>
      <w:r w:rsidRPr="00A33930">
        <w:rPr>
          <w:rFonts w:eastAsia="Verdana" w:cs="Verdana"/>
          <w:szCs w:val="18"/>
          <w:lang w:val="nl-NL"/>
        </w:rPr>
        <w:t xml:space="preserve"> een uitspraak over de contactplicht van de ouder ten aanzien van zijn kind</w:t>
      </w:r>
      <w:r w:rsidR="00AB0851" w:rsidRPr="00A33930">
        <w:rPr>
          <w:rFonts w:eastAsia="Verdana" w:cs="Verdana"/>
          <w:szCs w:val="18"/>
          <w:lang w:val="nl-NL"/>
        </w:rPr>
        <w:t>, waarbij de vader zich verzette tegen de gedwongen handhaving van zijn contactplicht</w:t>
      </w:r>
      <w:r w:rsidRPr="00A33930">
        <w:rPr>
          <w:rFonts w:eastAsia="Verdana" w:cs="Verdana"/>
          <w:szCs w:val="18"/>
          <w:lang w:val="nl-NL"/>
        </w:rPr>
        <w:t>. In dit arrest erkende het Hof het recht op persoonlijk contact van het kind</w:t>
      </w:r>
      <w:r w:rsidR="00012976" w:rsidRPr="00A33930">
        <w:rPr>
          <w:rFonts w:eastAsia="Verdana" w:cs="Verdana"/>
          <w:szCs w:val="18"/>
          <w:lang w:val="nl-NL"/>
        </w:rPr>
        <w:t xml:space="preserve"> als zijn eigen grondrecht</w:t>
      </w:r>
      <w:r w:rsidRPr="00A33930">
        <w:rPr>
          <w:rFonts w:eastAsia="Verdana" w:cs="Verdana"/>
          <w:szCs w:val="18"/>
          <w:lang w:val="nl-NL"/>
        </w:rPr>
        <w:t>.</w:t>
      </w:r>
      <w:r w:rsidR="00012976" w:rsidRPr="00A33930">
        <w:rPr>
          <w:rStyle w:val="Voetnootmarkering"/>
          <w:rFonts w:eastAsia="Verdana" w:cs="Verdana"/>
          <w:szCs w:val="18"/>
          <w:lang w:val="nl-NL"/>
        </w:rPr>
        <w:footnoteReference w:id="525"/>
      </w:r>
      <w:r w:rsidR="0045328D" w:rsidRPr="00A33930">
        <w:rPr>
          <w:rFonts w:eastAsia="Verdana" w:cs="Verdana"/>
          <w:szCs w:val="18"/>
          <w:lang w:val="nl-NL"/>
        </w:rPr>
        <w:t xml:space="preserve"> Het BVerfG kwam tot de conclusie dat het “redelijk” is dat de ouder wordt verplicht tot contact met zijn of haar kind, indien dit het belang van het kind </w:t>
      </w:r>
      <w:r w:rsidR="00AB0851" w:rsidRPr="00A33930">
        <w:rPr>
          <w:rFonts w:eastAsia="Verdana" w:cs="Verdana"/>
          <w:szCs w:val="18"/>
          <w:lang w:val="nl-NL"/>
        </w:rPr>
        <w:t>dient</w:t>
      </w:r>
      <w:r w:rsidR="0045328D" w:rsidRPr="00A33930">
        <w:rPr>
          <w:rFonts w:eastAsia="Verdana" w:cs="Verdana"/>
          <w:szCs w:val="18"/>
          <w:lang w:val="nl-NL"/>
        </w:rPr>
        <w:t>.</w:t>
      </w:r>
      <w:r w:rsidR="008674A9" w:rsidRPr="00A33930">
        <w:rPr>
          <w:rStyle w:val="Voetnootmarkering"/>
          <w:rFonts w:eastAsia="Verdana" w:cs="Verdana"/>
          <w:szCs w:val="18"/>
          <w:lang w:val="nl-NL"/>
        </w:rPr>
        <w:footnoteReference w:id="526"/>
      </w:r>
      <w:r w:rsidR="0045328D" w:rsidRPr="00A33930">
        <w:rPr>
          <w:rFonts w:eastAsia="Verdana" w:cs="Verdana"/>
          <w:szCs w:val="18"/>
          <w:lang w:val="nl-NL"/>
        </w:rPr>
        <w:t xml:space="preserve"> </w:t>
      </w:r>
    </w:p>
    <w:p w14:paraId="67DE5C43" w14:textId="77777777" w:rsidR="00C3302C" w:rsidRPr="00A33930" w:rsidRDefault="00C3302C" w:rsidP="00C3302C">
      <w:pPr>
        <w:pStyle w:val="Lijstalinea"/>
        <w:rPr>
          <w:rFonts w:eastAsia="Verdana" w:cs="Verdana"/>
          <w:szCs w:val="18"/>
          <w:lang w:val="nl-NL"/>
        </w:rPr>
      </w:pPr>
    </w:p>
    <w:p w14:paraId="0ECFC5CA" w14:textId="3D975F1C" w:rsidR="004D631D" w:rsidRPr="00A33930" w:rsidRDefault="00C661EE" w:rsidP="00C3302C">
      <w:pPr>
        <w:pStyle w:val="Lijstalinea"/>
        <w:spacing w:before="200" w:after="0"/>
        <w:ind w:left="0"/>
        <w:jc w:val="both"/>
        <w:rPr>
          <w:rFonts w:eastAsia="Verdana" w:cs="Verdana"/>
          <w:szCs w:val="18"/>
          <w:lang w:val="nl-NL"/>
        </w:rPr>
      </w:pPr>
      <w:r w:rsidRPr="00A33930">
        <w:rPr>
          <w:rFonts w:eastAsia="Verdana" w:cs="Verdana"/>
          <w:szCs w:val="18"/>
          <w:lang w:val="nl-NL"/>
        </w:rPr>
        <w:t xml:space="preserve">Ondanks dat het recht op persoonlijk contact van het kind uitdrukkelijk in de wet wordt </w:t>
      </w:r>
      <w:r w:rsidR="00B23191" w:rsidRPr="00A33930">
        <w:rPr>
          <w:rFonts w:eastAsia="Verdana" w:cs="Verdana"/>
          <w:szCs w:val="18"/>
          <w:lang w:val="nl-NL"/>
        </w:rPr>
        <w:t>opgenomen</w:t>
      </w:r>
      <w:r w:rsidRPr="00A33930">
        <w:rPr>
          <w:rFonts w:eastAsia="Verdana" w:cs="Verdana"/>
          <w:szCs w:val="18"/>
          <w:lang w:val="nl-NL"/>
        </w:rPr>
        <w:t>, verloopt de uitvoering ervan in Duitsland niet zonder problemen.</w:t>
      </w:r>
      <w:r w:rsidRPr="00A33930">
        <w:rPr>
          <w:rStyle w:val="Voetnootmarkering"/>
          <w:rFonts w:eastAsia="Verdana" w:cs="Verdana"/>
          <w:szCs w:val="18"/>
          <w:lang w:val="nl-NL"/>
        </w:rPr>
        <w:footnoteReference w:id="527"/>
      </w:r>
      <w:r w:rsidR="005D5F4F" w:rsidRPr="00A33930">
        <w:rPr>
          <w:rFonts w:eastAsia="Verdana" w:cs="Verdana"/>
          <w:szCs w:val="18"/>
          <w:lang w:val="nl-NL"/>
        </w:rPr>
        <w:t xml:space="preserve"> Het opleggen van een contactplicht met dwangmiddelen acht het </w:t>
      </w:r>
      <w:r w:rsidR="00B23191" w:rsidRPr="00A33930">
        <w:rPr>
          <w:rFonts w:eastAsia="Verdana" w:cs="Verdana"/>
          <w:szCs w:val="18"/>
          <w:lang w:val="nl-NL"/>
        </w:rPr>
        <w:t>H</w:t>
      </w:r>
      <w:r w:rsidR="005D5F4F" w:rsidRPr="00A33930">
        <w:rPr>
          <w:rFonts w:eastAsia="Verdana" w:cs="Verdana"/>
          <w:szCs w:val="18"/>
          <w:lang w:val="nl-NL"/>
        </w:rPr>
        <w:t>of in strijd met het belang van het kind.</w:t>
      </w:r>
      <w:r w:rsidR="005D5F4F" w:rsidRPr="00A33930">
        <w:rPr>
          <w:rStyle w:val="Voetnootmarkering"/>
          <w:rFonts w:eastAsia="Verdana" w:cs="Verdana"/>
          <w:szCs w:val="18"/>
          <w:lang w:val="nl-NL"/>
        </w:rPr>
        <w:footnoteReference w:id="528"/>
      </w:r>
      <w:r w:rsidR="00AB0851" w:rsidRPr="00A33930">
        <w:rPr>
          <w:rFonts w:eastAsia="Verdana" w:cs="Verdana"/>
          <w:szCs w:val="18"/>
          <w:lang w:val="nl-NL"/>
        </w:rPr>
        <w:t xml:space="preserve"> Dit omdat het doel van de contactplicht, zijnde het ontstaan van een kindvriendelijke omgangsregeling, niet kan worden bereikt indien dit mogelijk</w:t>
      </w:r>
      <w:r w:rsidR="009D206F" w:rsidRPr="00A33930">
        <w:rPr>
          <w:rFonts w:eastAsia="Verdana" w:cs="Verdana"/>
          <w:szCs w:val="18"/>
          <w:lang w:val="nl-NL"/>
        </w:rPr>
        <w:t>s</w:t>
      </w:r>
      <w:r w:rsidR="00AB0851" w:rsidRPr="00A33930">
        <w:rPr>
          <w:rFonts w:eastAsia="Verdana" w:cs="Verdana"/>
          <w:szCs w:val="18"/>
          <w:lang w:val="nl-NL"/>
        </w:rPr>
        <w:t xml:space="preserve"> stress en psychologische gevolgen voor het kind </w:t>
      </w:r>
      <w:r w:rsidR="00B23191" w:rsidRPr="00A33930">
        <w:rPr>
          <w:rFonts w:eastAsia="Verdana" w:cs="Verdana"/>
          <w:szCs w:val="18"/>
          <w:lang w:val="nl-NL"/>
        </w:rPr>
        <w:t xml:space="preserve">teweeg </w:t>
      </w:r>
      <w:r w:rsidR="009D206F" w:rsidRPr="00A33930">
        <w:rPr>
          <w:rFonts w:eastAsia="Verdana" w:cs="Verdana"/>
          <w:szCs w:val="18"/>
          <w:lang w:val="nl-NL"/>
        </w:rPr>
        <w:t>zou brengen</w:t>
      </w:r>
      <w:r w:rsidR="00AB0851" w:rsidRPr="00A33930">
        <w:rPr>
          <w:rFonts w:eastAsia="Verdana" w:cs="Verdana"/>
          <w:szCs w:val="18"/>
          <w:lang w:val="nl-NL"/>
        </w:rPr>
        <w:t>.</w:t>
      </w:r>
      <w:r w:rsidR="00AB0851" w:rsidRPr="00A33930">
        <w:rPr>
          <w:rStyle w:val="Voetnootmarkering"/>
          <w:rFonts w:eastAsia="Verdana" w:cs="Verdana"/>
          <w:szCs w:val="18"/>
          <w:lang w:val="nl-NL"/>
        </w:rPr>
        <w:footnoteReference w:id="529"/>
      </w:r>
      <w:r w:rsidR="00AB0851" w:rsidRPr="00A33930">
        <w:rPr>
          <w:rFonts w:eastAsia="Verdana" w:cs="Verdana"/>
          <w:szCs w:val="18"/>
          <w:lang w:val="nl-NL"/>
        </w:rPr>
        <w:t xml:space="preserve"> </w:t>
      </w:r>
      <w:r w:rsidR="00662879" w:rsidRPr="00A33930">
        <w:rPr>
          <w:rFonts w:eastAsia="Verdana" w:cs="Verdana"/>
          <w:szCs w:val="18"/>
          <w:lang w:val="nl-NL"/>
        </w:rPr>
        <w:t xml:space="preserve">Deze </w:t>
      </w:r>
      <w:r w:rsidR="00B23191" w:rsidRPr="00A33930">
        <w:rPr>
          <w:rFonts w:eastAsia="Verdana" w:cs="Verdana"/>
          <w:szCs w:val="18"/>
          <w:lang w:val="nl-NL"/>
        </w:rPr>
        <w:t>nuancering</w:t>
      </w:r>
      <w:r w:rsidR="00662879" w:rsidRPr="00A33930">
        <w:rPr>
          <w:rFonts w:eastAsia="Verdana" w:cs="Verdana"/>
          <w:szCs w:val="18"/>
          <w:lang w:val="nl-NL"/>
        </w:rPr>
        <w:t xml:space="preserve"> zorgt ervoor dat een gedwongen contact meestal wordt vermeden, omdat dit hoogstwaarschijnlijk niet het belang van het kind dient.</w:t>
      </w:r>
      <w:r w:rsidR="0015222D" w:rsidRPr="00A33930">
        <w:rPr>
          <w:rStyle w:val="Voetnootmarkering"/>
          <w:rFonts w:eastAsia="Verdana" w:cs="Verdana"/>
          <w:szCs w:val="18"/>
          <w:lang w:val="nl-NL"/>
        </w:rPr>
        <w:footnoteReference w:id="530"/>
      </w:r>
      <w:r w:rsidR="00677D8A" w:rsidRPr="00A33930">
        <w:rPr>
          <w:rFonts w:eastAsia="Verdana" w:cs="Verdana"/>
          <w:szCs w:val="18"/>
          <w:lang w:val="nl-NL"/>
        </w:rPr>
        <w:t xml:space="preserve"> Er is echter nog steeds een beoordeling </w:t>
      </w:r>
      <w:r w:rsidR="00677D8A" w:rsidRPr="00A33930">
        <w:rPr>
          <w:rFonts w:eastAsia="Verdana" w:cs="Verdana"/>
          <w:i/>
          <w:iCs/>
          <w:szCs w:val="18"/>
          <w:lang w:val="nl-NL"/>
        </w:rPr>
        <w:t>in concreto</w:t>
      </w:r>
      <w:r w:rsidR="00677D8A" w:rsidRPr="00A33930">
        <w:rPr>
          <w:rFonts w:eastAsia="Verdana" w:cs="Verdana"/>
          <w:szCs w:val="18"/>
          <w:lang w:val="nl-NL"/>
        </w:rPr>
        <w:t xml:space="preserve"> vereist, </w:t>
      </w:r>
      <w:r w:rsidR="00014ED3" w:rsidRPr="00A33930">
        <w:rPr>
          <w:rFonts w:eastAsia="Verdana" w:cs="Verdana"/>
          <w:szCs w:val="18"/>
          <w:lang w:val="nl-NL"/>
        </w:rPr>
        <w:t>rekening houdend</w:t>
      </w:r>
      <w:r w:rsidR="00677D8A" w:rsidRPr="00A33930">
        <w:rPr>
          <w:rFonts w:eastAsia="Verdana" w:cs="Verdana"/>
          <w:szCs w:val="18"/>
          <w:lang w:val="nl-NL"/>
        </w:rPr>
        <w:t xml:space="preserve"> met de leeftijd en maturiteit van het kind.</w:t>
      </w:r>
      <w:r w:rsidR="00677D8A" w:rsidRPr="00A33930">
        <w:rPr>
          <w:rStyle w:val="Voetnootmarkering"/>
          <w:rFonts w:eastAsia="Verdana" w:cs="Verdana"/>
          <w:szCs w:val="18"/>
          <w:lang w:val="nl-NL"/>
        </w:rPr>
        <w:footnoteReference w:id="531"/>
      </w:r>
    </w:p>
    <w:p w14:paraId="4D4C2C2F" w14:textId="77777777" w:rsidR="00AB0851" w:rsidRPr="00A33930" w:rsidRDefault="00AB0851" w:rsidP="00AB0851">
      <w:pPr>
        <w:pStyle w:val="Lijstalinea"/>
        <w:rPr>
          <w:rFonts w:eastAsia="Verdana" w:cs="Verdana"/>
          <w:szCs w:val="18"/>
          <w:lang w:val="nl-NL"/>
        </w:rPr>
      </w:pPr>
    </w:p>
    <w:p w14:paraId="5EB47DD5" w14:textId="47E07D62" w:rsidR="00AB0851" w:rsidRPr="00A33930" w:rsidRDefault="00AB0851" w:rsidP="004D631D">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lastRenderedPageBreak/>
        <w:t>Kort daarna</w:t>
      </w:r>
      <w:r w:rsidR="00662879" w:rsidRPr="00A33930">
        <w:rPr>
          <w:rFonts w:eastAsia="Verdana" w:cs="Verdana"/>
          <w:szCs w:val="18"/>
          <w:lang w:val="nl-NL"/>
        </w:rPr>
        <w:t>, op 14</w:t>
      </w:r>
      <w:r w:rsidRPr="00A33930">
        <w:rPr>
          <w:rFonts w:eastAsia="Verdana" w:cs="Verdana"/>
          <w:szCs w:val="18"/>
          <w:lang w:val="nl-NL"/>
        </w:rPr>
        <w:t xml:space="preserve"> mei 2008</w:t>
      </w:r>
      <w:r w:rsidR="00662879" w:rsidRPr="00A33930">
        <w:rPr>
          <w:rFonts w:eastAsia="Verdana" w:cs="Verdana"/>
          <w:szCs w:val="18"/>
          <w:lang w:val="nl-NL"/>
        </w:rPr>
        <w:t xml:space="preserve">, </w:t>
      </w:r>
      <w:r w:rsidR="00DC6BA9" w:rsidRPr="00A33930">
        <w:rPr>
          <w:rFonts w:eastAsia="Verdana" w:cs="Verdana"/>
          <w:szCs w:val="18"/>
          <w:lang w:val="nl-NL"/>
        </w:rPr>
        <w:t>sloot</w:t>
      </w:r>
      <w:r w:rsidRPr="00A33930">
        <w:rPr>
          <w:rFonts w:eastAsia="Verdana" w:cs="Verdana"/>
          <w:szCs w:val="18"/>
          <w:lang w:val="nl-NL"/>
        </w:rPr>
        <w:t xml:space="preserve"> het </w:t>
      </w:r>
      <w:r w:rsidR="00ED75D5" w:rsidRPr="00A33930">
        <w:rPr>
          <w:rFonts w:eastAsia="Verdana" w:cs="Verdana"/>
          <w:szCs w:val="18"/>
          <w:lang w:val="nl-NL"/>
        </w:rPr>
        <w:t>BGH</w:t>
      </w:r>
      <w:r w:rsidRPr="00A33930">
        <w:rPr>
          <w:rFonts w:eastAsia="Verdana" w:cs="Verdana"/>
          <w:szCs w:val="18"/>
          <w:lang w:val="nl-NL"/>
        </w:rPr>
        <w:t xml:space="preserve"> </w:t>
      </w:r>
      <w:r w:rsidR="00662879" w:rsidRPr="00A33930">
        <w:rPr>
          <w:rFonts w:eastAsia="Verdana" w:cs="Verdana"/>
          <w:szCs w:val="18"/>
          <w:lang w:val="nl-NL"/>
        </w:rPr>
        <w:t>zich aan bij deze</w:t>
      </w:r>
      <w:r w:rsidRPr="00A33930">
        <w:rPr>
          <w:rFonts w:eastAsia="Verdana" w:cs="Verdana"/>
          <w:szCs w:val="18"/>
          <w:lang w:val="nl-NL"/>
        </w:rPr>
        <w:t xml:space="preserve"> beoordeling van het BVerfG in een zaak waarin de vader niet met het kind wilde omgaan</w:t>
      </w:r>
      <w:r w:rsidR="00662879" w:rsidRPr="00A33930">
        <w:rPr>
          <w:rFonts w:eastAsia="Verdana" w:cs="Verdana"/>
          <w:szCs w:val="18"/>
          <w:lang w:val="nl-NL"/>
        </w:rPr>
        <w:t xml:space="preserve"> </w:t>
      </w:r>
      <w:r w:rsidRPr="00A33930">
        <w:rPr>
          <w:rFonts w:eastAsia="Verdana" w:cs="Verdana"/>
          <w:szCs w:val="18"/>
          <w:lang w:val="nl-NL"/>
        </w:rPr>
        <w:t>en hiertoe werd verplicht.</w:t>
      </w:r>
      <w:r w:rsidRPr="00A33930">
        <w:rPr>
          <w:rStyle w:val="Voetnootmarkering"/>
          <w:rFonts w:eastAsia="Verdana" w:cs="Verdana"/>
          <w:szCs w:val="18"/>
          <w:lang w:val="nl-NL"/>
        </w:rPr>
        <w:footnoteReference w:id="532"/>
      </w:r>
      <w:r w:rsidR="00662879" w:rsidRPr="00A33930">
        <w:rPr>
          <w:rFonts w:eastAsia="Verdana" w:cs="Verdana"/>
          <w:szCs w:val="18"/>
          <w:lang w:val="nl-NL"/>
        </w:rPr>
        <w:t xml:space="preserve"> Het bijzondere aan deze zaak is dat de moeder in eigen naam een procedure heeft opgestart tegen de vader. Volgens het BGH is dit echter niet mogelijk doordat het recht op contact een persoonlijk en fundamenteel grondrecht is</w:t>
      </w:r>
      <w:r w:rsidR="00DB532E" w:rsidRPr="00A33930">
        <w:rPr>
          <w:rFonts w:eastAsia="Verdana" w:cs="Verdana"/>
          <w:szCs w:val="18"/>
          <w:lang w:val="nl-NL"/>
        </w:rPr>
        <w:t xml:space="preserve"> van het kind</w:t>
      </w:r>
      <w:r w:rsidR="008A6669" w:rsidRPr="00A33930">
        <w:rPr>
          <w:rFonts w:eastAsia="Verdana" w:cs="Verdana"/>
          <w:szCs w:val="18"/>
          <w:lang w:val="nl-NL"/>
        </w:rPr>
        <w:t>,</w:t>
      </w:r>
      <w:r w:rsidR="00DB532E" w:rsidRPr="00A33930">
        <w:rPr>
          <w:rFonts w:eastAsia="Verdana" w:cs="Verdana"/>
          <w:szCs w:val="18"/>
          <w:lang w:val="nl-NL"/>
        </w:rPr>
        <w:t xml:space="preserve"> niet van de moeder,</w:t>
      </w:r>
      <w:r w:rsidR="008A6669" w:rsidRPr="00A33930">
        <w:rPr>
          <w:rFonts w:eastAsia="Verdana" w:cs="Verdana"/>
          <w:szCs w:val="18"/>
          <w:lang w:val="nl-NL"/>
        </w:rPr>
        <w:t xml:space="preserve"> waardoor het recht van het kind </w:t>
      </w:r>
      <w:r w:rsidR="002B7323" w:rsidRPr="00A33930">
        <w:rPr>
          <w:rFonts w:eastAsia="Verdana" w:cs="Verdana"/>
          <w:szCs w:val="18"/>
          <w:lang w:val="nl-NL"/>
        </w:rPr>
        <w:t>niet door de ouders kan worden afgedwongen</w:t>
      </w:r>
      <w:r w:rsidR="00DB532E" w:rsidRPr="00A33930">
        <w:rPr>
          <w:rFonts w:eastAsia="Verdana" w:cs="Verdana"/>
          <w:szCs w:val="18"/>
          <w:lang w:val="nl-NL"/>
        </w:rPr>
        <w:t>.</w:t>
      </w:r>
      <w:r w:rsidR="002B7323" w:rsidRPr="00A33930">
        <w:rPr>
          <w:rStyle w:val="Voetnootmarkering"/>
          <w:rFonts w:eastAsia="Verdana" w:cs="Verdana"/>
          <w:szCs w:val="18"/>
          <w:lang w:val="nl-NL"/>
        </w:rPr>
        <w:footnoteReference w:id="533"/>
      </w:r>
      <w:r w:rsidR="00CD3983" w:rsidRPr="00A33930">
        <w:rPr>
          <w:rFonts w:eastAsia="Verdana" w:cs="Verdana"/>
          <w:szCs w:val="18"/>
          <w:lang w:val="nl-NL"/>
        </w:rPr>
        <w:t xml:space="preserve"> </w:t>
      </w:r>
      <w:r w:rsidR="009D206F" w:rsidRPr="00A33930">
        <w:rPr>
          <w:rFonts w:eastAsia="Verdana" w:cs="Verdana"/>
          <w:szCs w:val="18"/>
          <w:lang w:val="nl-NL"/>
        </w:rPr>
        <w:t>Hier</w:t>
      </w:r>
      <w:r w:rsidR="00CD3983" w:rsidRPr="00A33930">
        <w:rPr>
          <w:rFonts w:eastAsia="Verdana" w:cs="Verdana"/>
          <w:szCs w:val="18"/>
          <w:lang w:val="nl-NL"/>
        </w:rPr>
        <w:t xml:space="preserve"> neemt mijns inziens, al dan niet rechtstreeks, de subjectgedachte de bovenhand.</w:t>
      </w:r>
    </w:p>
    <w:p w14:paraId="443E6468" w14:textId="77777777" w:rsidR="00FD2D75" w:rsidRPr="00A33930" w:rsidRDefault="00FD2D75" w:rsidP="00FD2D75">
      <w:pPr>
        <w:pStyle w:val="Lijstalinea"/>
        <w:spacing w:before="200" w:after="0"/>
        <w:ind w:left="0"/>
        <w:jc w:val="both"/>
        <w:rPr>
          <w:rFonts w:eastAsia="Verdana" w:cs="Verdana"/>
          <w:szCs w:val="18"/>
          <w:lang w:val="nl-NL"/>
        </w:rPr>
      </w:pPr>
    </w:p>
    <w:p w14:paraId="33BC32DC" w14:textId="42E825F3" w:rsidR="00FD2D75" w:rsidRPr="00A33930" w:rsidRDefault="0045328D" w:rsidP="0058078E">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Het BVerfG bevestigde </w:t>
      </w:r>
      <w:r w:rsidR="00CD3983" w:rsidRPr="00A33930">
        <w:rPr>
          <w:rFonts w:eastAsia="Verdana" w:cs="Verdana"/>
          <w:szCs w:val="18"/>
          <w:lang w:val="nl-NL"/>
        </w:rPr>
        <w:t>deze uitspraken</w:t>
      </w:r>
      <w:r w:rsidRPr="00A33930">
        <w:rPr>
          <w:rFonts w:eastAsia="Verdana" w:cs="Verdana"/>
          <w:szCs w:val="18"/>
          <w:lang w:val="nl-NL"/>
        </w:rPr>
        <w:t xml:space="preserve"> opnieuw in februari 2022. De</w:t>
      </w:r>
      <w:r w:rsidR="00FD2D75" w:rsidRPr="00A33930">
        <w:rPr>
          <w:rFonts w:eastAsia="Verdana" w:cs="Verdana"/>
          <w:szCs w:val="18"/>
          <w:lang w:val="nl-NL"/>
        </w:rPr>
        <w:t xml:space="preserve"> beperking van het recht van de ouder op zijn persoonlijke vrijheid</w:t>
      </w:r>
      <w:r w:rsidRPr="00A33930">
        <w:rPr>
          <w:rFonts w:eastAsia="Verdana" w:cs="Verdana"/>
          <w:szCs w:val="18"/>
          <w:lang w:val="nl-NL"/>
        </w:rPr>
        <w:t xml:space="preserve"> is</w:t>
      </w:r>
      <w:r w:rsidR="00FD2D75" w:rsidRPr="00A33930">
        <w:rPr>
          <w:rFonts w:eastAsia="Verdana" w:cs="Verdana"/>
          <w:szCs w:val="18"/>
          <w:lang w:val="nl-NL"/>
        </w:rPr>
        <w:t xml:space="preserve"> in principe gerechtvaardigd door het bestaan van een contactplicht ten aanzien van het kind.</w:t>
      </w:r>
      <w:r w:rsidR="00FD2D75" w:rsidRPr="00A33930">
        <w:rPr>
          <w:rStyle w:val="Voetnootmarkering"/>
          <w:rFonts w:eastAsia="Verdana" w:cs="Verdana"/>
          <w:szCs w:val="18"/>
          <w:lang w:val="nl-NL"/>
        </w:rPr>
        <w:footnoteReference w:id="534"/>
      </w:r>
      <w:r w:rsidR="00FD2D75" w:rsidRPr="00A33930">
        <w:rPr>
          <w:rFonts w:eastAsia="Verdana" w:cs="Verdana"/>
          <w:szCs w:val="18"/>
          <w:lang w:val="nl-NL"/>
        </w:rPr>
        <w:t xml:space="preserve"> Het is “</w:t>
      </w:r>
      <w:r w:rsidRPr="00A33930">
        <w:rPr>
          <w:rFonts w:eastAsia="Verdana" w:cs="Verdana"/>
          <w:szCs w:val="18"/>
          <w:lang w:val="nl-NL"/>
        </w:rPr>
        <w:t xml:space="preserve">principieel </w:t>
      </w:r>
      <w:r w:rsidR="00FD2D75" w:rsidRPr="00A33930">
        <w:rPr>
          <w:rFonts w:eastAsia="Verdana" w:cs="Verdana"/>
          <w:szCs w:val="18"/>
          <w:lang w:val="nl-NL"/>
        </w:rPr>
        <w:t>redelijk” dat de ouder met het kind moet omgaan, zelfs wanneer</w:t>
      </w:r>
      <w:r w:rsidR="005D5F4F" w:rsidRPr="00A33930">
        <w:rPr>
          <w:rFonts w:eastAsia="Verdana" w:cs="Verdana"/>
          <w:szCs w:val="18"/>
          <w:lang w:val="nl-NL"/>
        </w:rPr>
        <w:t xml:space="preserve"> dit een inbreuk op</w:t>
      </w:r>
      <w:r w:rsidR="00FD2D75" w:rsidRPr="00A33930">
        <w:rPr>
          <w:rFonts w:eastAsia="Verdana" w:cs="Verdana"/>
          <w:szCs w:val="18"/>
          <w:lang w:val="nl-NL"/>
        </w:rPr>
        <w:t xml:space="preserve"> zijn eigen persoonlijke levenssfeer </w:t>
      </w:r>
      <w:r w:rsidR="005D5F4F" w:rsidRPr="00A33930">
        <w:rPr>
          <w:rFonts w:eastAsia="Verdana" w:cs="Verdana"/>
          <w:szCs w:val="18"/>
          <w:lang w:val="nl-NL"/>
        </w:rPr>
        <w:t>met zich</w:t>
      </w:r>
      <w:r w:rsidR="00FD2D75" w:rsidRPr="00A33930">
        <w:rPr>
          <w:rFonts w:eastAsia="Verdana" w:cs="Verdana"/>
          <w:szCs w:val="18"/>
          <w:lang w:val="nl-NL"/>
        </w:rPr>
        <w:t xml:space="preserve"> </w:t>
      </w:r>
      <w:r w:rsidR="005D5F4F" w:rsidRPr="00A33930">
        <w:rPr>
          <w:rFonts w:eastAsia="Verdana" w:cs="Verdana"/>
          <w:szCs w:val="18"/>
          <w:lang w:val="nl-NL"/>
        </w:rPr>
        <w:t>meebrengt. Dit is slechts toegestaan zolang</w:t>
      </w:r>
      <w:r w:rsidR="00FD2D75" w:rsidRPr="00A33930">
        <w:rPr>
          <w:rFonts w:eastAsia="Verdana" w:cs="Verdana"/>
          <w:szCs w:val="18"/>
          <w:lang w:val="nl-NL"/>
        </w:rPr>
        <w:t xml:space="preserve"> </w:t>
      </w:r>
      <w:r w:rsidR="00353BAC" w:rsidRPr="00A33930">
        <w:rPr>
          <w:rFonts w:eastAsia="Verdana" w:cs="Verdana"/>
          <w:szCs w:val="18"/>
          <w:lang w:val="nl-NL"/>
        </w:rPr>
        <w:t xml:space="preserve">het </w:t>
      </w:r>
      <w:r w:rsidR="00FD2D75" w:rsidRPr="00A33930">
        <w:rPr>
          <w:rFonts w:eastAsia="Verdana" w:cs="Verdana"/>
          <w:szCs w:val="18"/>
          <w:lang w:val="nl-NL"/>
        </w:rPr>
        <w:t>belang van het kind zulks vraagt.</w:t>
      </w:r>
      <w:r w:rsidRPr="00A33930">
        <w:rPr>
          <w:rStyle w:val="Voetnootmarkering"/>
          <w:rFonts w:eastAsia="Verdana" w:cs="Verdana"/>
          <w:szCs w:val="18"/>
          <w:lang w:val="nl-NL"/>
        </w:rPr>
        <w:footnoteReference w:id="535"/>
      </w:r>
      <w:r w:rsidRPr="00A33930">
        <w:rPr>
          <w:rFonts w:eastAsia="Verdana" w:cs="Verdana"/>
          <w:szCs w:val="18"/>
          <w:lang w:val="nl-NL"/>
        </w:rPr>
        <w:t xml:space="preserve"> </w:t>
      </w:r>
      <w:r w:rsidR="005D5F4F" w:rsidRPr="00A33930">
        <w:rPr>
          <w:rFonts w:eastAsia="Verdana" w:cs="Verdana"/>
          <w:szCs w:val="18"/>
          <w:lang w:val="nl-NL"/>
        </w:rPr>
        <w:t xml:space="preserve">Is dit niet het geval, dan </w:t>
      </w:r>
      <w:r w:rsidR="00353BAC" w:rsidRPr="00A33930">
        <w:rPr>
          <w:rFonts w:eastAsia="Verdana" w:cs="Verdana"/>
          <w:szCs w:val="18"/>
          <w:lang w:val="nl-NL"/>
        </w:rPr>
        <w:t>is</w:t>
      </w:r>
      <w:r w:rsidR="005D5F4F" w:rsidRPr="00A33930">
        <w:rPr>
          <w:rFonts w:eastAsia="Verdana" w:cs="Verdana"/>
          <w:szCs w:val="18"/>
          <w:lang w:val="nl-NL"/>
        </w:rPr>
        <w:t xml:space="preserve"> de inmenging met het persoonlijkheidsrecht niet toegestaan. </w:t>
      </w:r>
      <w:r w:rsidRPr="00A33930">
        <w:rPr>
          <w:rFonts w:eastAsia="Verdana" w:cs="Verdana"/>
          <w:szCs w:val="18"/>
          <w:lang w:val="nl-NL"/>
        </w:rPr>
        <w:t>De rechtbank houdt in zijn beoordeling rekening met de rechten van de ouders en de kinderen, waarbij indien mogelijk naar een overeenstemming wordt gezocht tussen de verschillende grondrechten.</w:t>
      </w:r>
      <w:r w:rsidRPr="00A33930">
        <w:rPr>
          <w:rStyle w:val="Voetnootmarkering"/>
          <w:rFonts w:eastAsia="Verdana" w:cs="Verdana"/>
          <w:szCs w:val="18"/>
          <w:lang w:val="nl-NL"/>
        </w:rPr>
        <w:footnoteReference w:id="536"/>
      </w:r>
    </w:p>
    <w:p w14:paraId="40B167C8" w14:textId="20593CFA" w:rsidR="004D631D" w:rsidRPr="00A33930" w:rsidRDefault="004D631D" w:rsidP="00140133">
      <w:pPr>
        <w:pStyle w:val="Kop3"/>
        <w:numPr>
          <w:ilvl w:val="0"/>
          <w:numId w:val="0"/>
        </w:numPr>
        <w:spacing w:before="360"/>
        <w:ind w:left="357" w:hanging="357"/>
        <w:jc w:val="both"/>
        <w:rPr>
          <w:lang w:val="nl-NL"/>
        </w:rPr>
      </w:pPr>
      <w:bookmarkStart w:id="41" w:name="_Toc134621200"/>
      <w:r w:rsidRPr="00A33930">
        <w:rPr>
          <w:lang w:val="nl-NL"/>
        </w:rPr>
        <w:t>Afdeling III.</w:t>
      </w:r>
      <w:r w:rsidRPr="00A33930">
        <w:rPr>
          <w:lang w:val="nl-NL"/>
        </w:rPr>
        <w:tab/>
        <w:t>Afdwingbaarheid</w:t>
      </w:r>
      <w:bookmarkEnd w:id="41"/>
    </w:p>
    <w:p w14:paraId="4BDB250D" w14:textId="1D3DAF18" w:rsidR="00AB76DB" w:rsidRPr="00A33930" w:rsidRDefault="00677D8A" w:rsidP="000F23D8">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Omgangsbeslissingen kunnen worden afgedwongen op basis van artikel 33 FGG. </w:t>
      </w:r>
      <w:r w:rsidR="000A430C" w:rsidRPr="00A33930">
        <w:rPr>
          <w:rFonts w:eastAsia="Verdana" w:cs="Verdana"/>
          <w:szCs w:val="18"/>
          <w:lang w:val="nl-NL"/>
        </w:rPr>
        <w:t>Ondanks het eigen recht op persoonlijk contact van het kind, is het kind procesonbekwaam en dus niet in de mogelijkheid zelf zijn recht</w:t>
      </w:r>
      <w:r w:rsidR="00AB76DB" w:rsidRPr="00A33930">
        <w:rPr>
          <w:rFonts w:eastAsia="Verdana" w:cs="Verdana"/>
          <w:szCs w:val="18"/>
          <w:lang w:val="nl-NL"/>
        </w:rPr>
        <w:t>en</w:t>
      </w:r>
      <w:r w:rsidR="000A430C" w:rsidRPr="00A33930">
        <w:rPr>
          <w:rFonts w:eastAsia="Verdana" w:cs="Verdana"/>
          <w:szCs w:val="18"/>
          <w:lang w:val="nl-NL"/>
        </w:rPr>
        <w:t xml:space="preserve"> af te dwingen</w:t>
      </w:r>
      <w:r w:rsidR="00CD3983" w:rsidRPr="00A33930">
        <w:rPr>
          <w:rFonts w:eastAsia="Verdana" w:cs="Verdana"/>
          <w:szCs w:val="18"/>
          <w:lang w:val="nl-NL"/>
        </w:rPr>
        <w:t xml:space="preserve"> (</w:t>
      </w:r>
      <w:r w:rsidR="00CD3983" w:rsidRPr="00A33930">
        <w:rPr>
          <w:rFonts w:eastAsia="Verdana" w:cs="Verdana"/>
          <w:i/>
          <w:iCs/>
          <w:szCs w:val="18"/>
          <w:lang w:val="nl-NL"/>
        </w:rPr>
        <w:t>supra</w:t>
      </w:r>
      <w:r w:rsidR="00CD3983" w:rsidRPr="00A33930">
        <w:rPr>
          <w:rFonts w:eastAsia="Verdana" w:cs="Verdana"/>
          <w:szCs w:val="18"/>
          <w:lang w:val="nl-NL"/>
        </w:rPr>
        <w:t xml:space="preserve">, nr. </w:t>
      </w:r>
      <w:r w:rsidR="004208A9" w:rsidRPr="00A33930">
        <w:rPr>
          <w:rFonts w:eastAsia="Verdana" w:cs="Verdana"/>
          <w:szCs w:val="18"/>
          <w:lang w:val="nl-NL"/>
        </w:rPr>
        <w:t>134</w:t>
      </w:r>
      <w:r w:rsidR="00CD3983" w:rsidRPr="00A33930">
        <w:rPr>
          <w:rFonts w:eastAsia="Verdana" w:cs="Verdana"/>
          <w:szCs w:val="18"/>
          <w:lang w:val="nl-NL"/>
        </w:rPr>
        <w:t>)</w:t>
      </w:r>
      <w:r w:rsidR="000A430C" w:rsidRPr="00A33930">
        <w:rPr>
          <w:rFonts w:eastAsia="Verdana" w:cs="Verdana"/>
          <w:szCs w:val="18"/>
          <w:lang w:val="nl-NL"/>
        </w:rPr>
        <w:t xml:space="preserve">. Doordat de </w:t>
      </w:r>
      <w:r w:rsidR="0019362F" w:rsidRPr="00A33930">
        <w:rPr>
          <w:rFonts w:eastAsia="Verdana" w:cs="Verdana"/>
          <w:szCs w:val="18"/>
          <w:lang w:val="nl-NL"/>
        </w:rPr>
        <w:t>meerderjarigen</w:t>
      </w:r>
      <w:r w:rsidR="000A430C" w:rsidRPr="00A33930">
        <w:rPr>
          <w:rFonts w:eastAsia="Verdana" w:cs="Verdana"/>
          <w:szCs w:val="18"/>
          <w:lang w:val="nl-NL"/>
        </w:rPr>
        <w:t xml:space="preserve"> wel volledig handeling</w:t>
      </w:r>
      <w:r w:rsidR="00CE7C27" w:rsidRPr="00A33930">
        <w:rPr>
          <w:rFonts w:eastAsia="Verdana" w:cs="Verdana"/>
          <w:szCs w:val="18"/>
          <w:lang w:val="nl-NL"/>
        </w:rPr>
        <w:t>s- en procesbekwaam</w:t>
      </w:r>
      <w:r w:rsidR="000A430C" w:rsidRPr="00A33930">
        <w:rPr>
          <w:rFonts w:eastAsia="Verdana" w:cs="Verdana"/>
          <w:szCs w:val="18"/>
          <w:lang w:val="nl-NL"/>
        </w:rPr>
        <w:t xml:space="preserve"> </w:t>
      </w:r>
      <w:r w:rsidR="0019362F" w:rsidRPr="00A33930">
        <w:rPr>
          <w:rFonts w:eastAsia="Verdana" w:cs="Verdana"/>
          <w:szCs w:val="18"/>
          <w:lang w:val="nl-NL"/>
        </w:rPr>
        <w:t>zijn</w:t>
      </w:r>
      <w:r w:rsidR="000A430C" w:rsidRPr="00A33930">
        <w:rPr>
          <w:rFonts w:eastAsia="Verdana" w:cs="Verdana"/>
          <w:szCs w:val="18"/>
          <w:lang w:val="nl-NL"/>
        </w:rPr>
        <w:t>, beschikken zij over een sterke rechtsingang.</w:t>
      </w:r>
      <w:r w:rsidR="000F23D8" w:rsidRPr="00A33930">
        <w:rPr>
          <w:rFonts w:eastAsia="Verdana" w:cs="Verdana"/>
          <w:szCs w:val="18"/>
          <w:lang w:val="nl-NL"/>
        </w:rPr>
        <w:t xml:space="preserve"> </w:t>
      </w:r>
      <w:r w:rsidR="00D03F0C" w:rsidRPr="00A33930">
        <w:rPr>
          <w:rFonts w:eastAsia="Verdana" w:cs="Verdana"/>
          <w:szCs w:val="18"/>
          <w:lang w:val="nl-NL"/>
        </w:rPr>
        <w:t xml:space="preserve">In het bijzonder </w:t>
      </w:r>
      <w:r w:rsidR="00FB3F40" w:rsidRPr="00A33930">
        <w:rPr>
          <w:rFonts w:eastAsia="Verdana" w:cs="Verdana"/>
          <w:szCs w:val="18"/>
          <w:lang w:val="nl-NL"/>
        </w:rPr>
        <w:t>had</w:t>
      </w:r>
      <w:r w:rsidR="00D03F0C" w:rsidRPr="00A33930">
        <w:rPr>
          <w:rFonts w:eastAsia="Verdana" w:cs="Verdana"/>
          <w:szCs w:val="18"/>
          <w:lang w:val="nl-NL"/>
        </w:rPr>
        <w:t xml:space="preserve"> de wetgever</w:t>
      </w:r>
      <w:r w:rsidR="00FB3F40" w:rsidRPr="00A33930">
        <w:rPr>
          <w:rFonts w:eastAsia="Verdana" w:cs="Verdana"/>
          <w:szCs w:val="18"/>
          <w:lang w:val="nl-NL"/>
        </w:rPr>
        <w:t xml:space="preserve"> in eerste instantie</w:t>
      </w:r>
      <w:r w:rsidR="00D03F0C" w:rsidRPr="00A33930">
        <w:rPr>
          <w:rFonts w:eastAsia="Verdana" w:cs="Verdana"/>
          <w:szCs w:val="18"/>
          <w:lang w:val="nl-NL"/>
        </w:rPr>
        <w:t xml:space="preserve"> voorzien in een andere vorm van afdwingbaarheid in artikel 1684, §1 en 1626, §3 BGB. </w:t>
      </w:r>
      <w:r w:rsidR="000A430C" w:rsidRPr="00A33930">
        <w:rPr>
          <w:rFonts w:eastAsia="Verdana" w:cs="Verdana"/>
          <w:szCs w:val="18"/>
          <w:lang w:val="nl-NL"/>
        </w:rPr>
        <w:t xml:space="preserve">Teneinde </w:t>
      </w:r>
      <w:r w:rsidR="00012976" w:rsidRPr="00A33930">
        <w:rPr>
          <w:rFonts w:eastAsia="Verdana" w:cs="Verdana"/>
          <w:szCs w:val="18"/>
          <w:lang w:val="nl-NL"/>
        </w:rPr>
        <w:t>het</w:t>
      </w:r>
      <w:r w:rsidR="000A430C" w:rsidRPr="00A33930">
        <w:rPr>
          <w:rFonts w:eastAsia="Verdana" w:cs="Verdana"/>
          <w:szCs w:val="18"/>
          <w:lang w:val="nl-NL"/>
        </w:rPr>
        <w:t xml:space="preserve"> probleem </w:t>
      </w:r>
      <w:r w:rsidR="00012976" w:rsidRPr="00A33930">
        <w:rPr>
          <w:rFonts w:eastAsia="Verdana" w:cs="Verdana"/>
          <w:szCs w:val="18"/>
          <w:lang w:val="nl-NL"/>
        </w:rPr>
        <w:t xml:space="preserve">van procesonbekwaamheid </w:t>
      </w:r>
      <w:r w:rsidR="000A430C" w:rsidRPr="00A33930">
        <w:rPr>
          <w:rFonts w:eastAsia="Verdana" w:cs="Verdana"/>
          <w:szCs w:val="18"/>
          <w:lang w:val="nl-NL"/>
        </w:rPr>
        <w:t xml:space="preserve">op te lossen poogde de Duitse wetgever </w:t>
      </w:r>
      <w:r w:rsidR="00FB3F40" w:rsidRPr="00A33930">
        <w:rPr>
          <w:rFonts w:eastAsia="Verdana" w:cs="Verdana"/>
          <w:szCs w:val="18"/>
          <w:lang w:val="nl-NL"/>
        </w:rPr>
        <w:t>hiermee in een</w:t>
      </w:r>
      <w:r w:rsidR="000A430C" w:rsidRPr="00A33930">
        <w:rPr>
          <w:rFonts w:eastAsia="Verdana" w:cs="Verdana"/>
          <w:szCs w:val="18"/>
          <w:lang w:val="nl-NL"/>
        </w:rPr>
        <w:t xml:space="preserve"> eigen recht van het kind </w:t>
      </w:r>
      <w:r w:rsidR="00AB76DB" w:rsidRPr="00A33930">
        <w:rPr>
          <w:rFonts w:eastAsia="Verdana" w:cs="Verdana"/>
          <w:szCs w:val="18"/>
          <w:lang w:val="nl-NL"/>
        </w:rPr>
        <w:t xml:space="preserve">te </w:t>
      </w:r>
      <w:r w:rsidR="000A430C" w:rsidRPr="00A33930">
        <w:rPr>
          <w:rFonts w:eastAsia="Verdana" w:cs="Verdana"/>
          <w:szCs w:val="18"/>
          <w:lang w:val="nl-NL"/>
        </w:rPr>
        <w:t>voorzien</w:t>
      </w:r>
      <w:r w:rsidR="00FB3F40" w:rsidRPr="00A33930">
        <w:rPr>
          <w:rFonts w:eastAsia="Verdana" w:cs="Verdana"/>
          <w:szCs w:val="18"/>
          <w:lang w:val="nl-NL"/>
        </w:rPr>
        <w:t xml:space="preserve"> via</w:t>
      </w:r>
      <w:r w:rsidR="000A430C" w:rsidRPr="00A33930">
        <w:rPr>
          <w:rFonts w:eastAsia="Verdana" w:cs="Verdana"/>
          <w:szCs w:val="18"/>
          <w:lang w:val="nl-NL"/>
        </w:rPr>
        <w:t xml:space="preserve"> een mogelijkheid tot gedwongen tenuitvoerlegging</w:t>
      </w:r>
      <w:r w:rsidR="00CD3983" w:rsidRPr="00A33930">
        <w:rPr>
          <w:rFonts w:eastAsia="Verdana" w:cs="Verdana"/>
          <w:szCs w:val="18"/>
          <w:lang w:val="nl-NL"/>
        </w:rPr>
        <w:t xml:space="preserve">, </w:t>
      </w:r>
      <w:r w:rsidR="000A430C" w:rsidRPr="00A33930">
        <w:rPr>
          <w:rFonts w:eastAsia="Verdana" w:cs="Verdana"/>
          <w:szCs w:val="18"/>
          <w:lang w:val="nl-NL"/>
        </w:rPr>
        <w:t>om</w:t>
      </w:r>
      <w:r w:rsidR="00CD3983" w:rsidRPr="00A33930">
        <w:rPr>
          <w:rFonts w:eastAsia="Verdana" w:cs="Verdana"/>
          <w:szCs w:val="18"/>
          <w:lang w:val="nl-NL"/>
        </w:rPr>
        <w:t xml:space="preserve"> zo</w:t>
      </w:r>
      <w:r w:rsidR="000A430C" w:rsidRPr="00A33930">
        <w:rPr>
          <w:rFonts w:eastAsia="Verdana" w:cs="Verdana"/>
          <w:szCs w:val="18"/>
          <w:lang w:val="nl-NL"/>
        </w:rPr>
        <w:t xml:space="preserve"> de plicht van de ouder te benadrukken.</w:t>
      </w:r>
      <w:r w:rsidR="000A430C" w:rsidRPr="00A33930">
        <w:rPr>
          <w:rStyle w:val="Voetnootmarkering"/>
          <w:rFonts w:eastAsia="Verdana" w:cs="Verdana"/>
          <w:szCs w:val="18"/>
          <w:lang w:val="nl-NL"/>
        </w:rPr>
        <w:footnoteReference w:id="537"/>
      </w:r>
      <w:r w:rsidR="000A430C" w:rsidRPr="00A33930">
        <w:rPr>
          <w:rFonts w:eastAsia="Verdana" w:cs="Verdana"/>
          <w:szCs w:val="18"/>
          <w:lang w:val="nl-NL"/>
        </w:rPr>
        <w:t xml:space="preserve"> Een weigering tot contact met het kind zou bijgevolg niet toegelaten zijn.</w:t>
      </w:r>
      <w:r w:rsidRPr="00A33930">
        <w:rPr>
          <w:rStyle w:val="Voetnootmarkering"/>
          <w:rFonts w:eastAsia="Verdana" w:cs="Verdana"/>
          <w:szCs w:val="18"/>
          <w:lang w:val="nl-NL"/>
        </w:rPr>
        <w:footnoteReference w:id="538"/>
      </w:r>
      <w:r w:rsidR="000A430C" w:rsidRPr="00A33930">
        <w:rPr>
          <w:rFonts w:eastAsia="Verdana" w:cs="Verdana"/>
          <w:szCs w:val="18"/>
          <w:lang w:val="nl-NL"/>
        </w:rPr>
        <w:t xml:space="preserve"> Dit idee vindt echter geen uitwerking, doordat het strijdig werd bevonden met het belang van het kind.</w:t>
      </w:r>
      <w:r w:rsidR="000A430C" w:rsidRPr="00A33930">
        <w:rPr>
          <w:rStyle w:val="Voetnootmarkering"/>
          <w:rFonts w:eastAsia="Verdana" w:cs="Verdana"/>
          <w:szCs w:val="18"/>
          <w:lang w:val="nl-NL"/>
        </w:rPr>
        <w:footnoteReference w:id="539"/>
      </w:r>
      <w:r w:rsidR="00D03F0C" w:rsidRPr="00A33930">
        <w:rPr>
          <w:rFonts w:eastAsia="Verdana" w:cs="Verdana"/>
          <w:szCs w:val="18"/>
          <w:lang w:val="nl-NL"/>
        </w:rPr>
        <w:t xml:space="preserve"> Het probleem blijft hier dus ook dat het kind geen eigen initiatief kan doen gelden om zijn recht op persoonlijk contact af te dwingen, zonder inmenging van een wettelijk vertegenwoordiger.</w:t>
      </w:r>
      <w:r w:rsidR="00D03F0C" w:rsidRPr="00A33930">
        <w:rPr>
          <w:rStyle w:val="Voetnootmarkering"/>
          <w:rFonts w:eastAsia="Verdana" w:cs="Verdana"/>
          <w:szCs w:val="18"/>
          <w:lang w:val="nl-NL"/>
        </w:rPr>
        <w:footnoteReference w:id="540"/>
      </w:r>
    </w:p>
    <w:p w14:paraId="0C1AC26F" w14:textId="77777777" w:rsidR="00221276" w:rsidRPr="00A33930" w:rsidRDefault="00221276" w:rsidP="00221276">
      <w:pPr>
        <w:pStyle w:val="Lijstalinea"/>
        <w:spacing w:before="200" w:after="0"/>
        <w:ind w:left="0"/>
        <w:jc w:val="both"/>
        <w:rPr>
          <w:rFonts w:eastAsia="Verdana" w:cs="Verdana"/>
          <w:szCs w:val="18"/>
          <w:lang w:val="nl-NL"/>
        </w:rPr>
      </w:pPr>
    </w:p>
    <w:p w14:paraId="31293865" w14:textId="47BD46F3" w:rsidR="00AB76DB" w:rsidRPr="00A33930" w:rsidRDefault="00221276" w:rsidP="0019362F">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Opgemerkt dient te worden dat het recht van het kind door de inschrijving in </w:t>
      </w:r>
      <w:r w:rsidR="00ED75D5" w:rsidRPr="00A33930">
        <w:rPr>
          <w:rFonts w:eastAsia="Verdana" w:cs="Verdana"/>
          <w:szCs w:val="18"/>
          <w:lang w:val="nl-NL"/>
        </w:rPr>
        <w:t>het</w:t>
      </w:r>
      <w:r w:rsidRPr="00A33930">
        <w:rPr>
          <w:rFonts w:eastAsia="Verdana" w:cs="Verdana"/>
          <w:szCs w:val="18"/>
          <w:lang w:val="nl-NL"/>
        </w:rPr>
        <w:t xml:space="preserve"> </w:t>
      </w:r>
      <w:r w:rsidR="00ED75D5" w:rsidRPr="00A33930">
        <w:rPr>
          <w:rFonts w:eastAsia="Verdana" w:cs="Verdana"/>
          <w:szCs w:val="18"/>
          <w:lang w:val="nl-NL"/>
        </w:rPr>
        <w:t>GG</w:t>
      </w:r>
      <w:r w:rsidRPr="00A33930">
        <w:rPr>
          <w:rFonts w:eastAsia="Verdana" w:cs="Verdana"/>
          <w:szCs w:val="18"/>
          <w:lang w:val="nl-NL"/>
        </w:rPr>
        <w:t xml:space="preserve"> wordt beschouwd als een persoonlijk recht, dat alleen kan worden uitgeoefend door het kind </w:t>
      </w:r>
      <w:r w:rsidR="009D57A6" w:rsidRPr="00A33930">
        <w:rPr>
          <w:rFonts w:eastAsia="Verdana" w:cs="Verdana"/>
          <w:szCs w:val="18"/>
          <w:lang w:val="nl-NL"/>
        </w:rPr>
        <w:t>dat</w:t>
      </w:r>
      <w:r w:rsidRPr="00A33930">
        <w:rPr>
          <w:rFonts w:eastAsia="Verdana" w:cs="Verdana"/>
          <w:szCs w:val="18"/>
          <w:lang w:val="nl-NL"/>
        </w:rPr>
        <w:t xml:space="preserve"> wordt </w:t>
      </w:r>
      <w:r w:rsidRPr="00A33930">
        <w:rPr>
          <w:rFonts w:eastAsia="Verdana" w:cs="Verdana"/>
          <w:szCs w:val="18"/>
          <w:lang w:val="nl-NL"/>
        </w:rPr>
        <w:lastRenderedPageBreak/>
        <w:t>vertegenwoordigd door de ouder met gezag.</w:t>
      </w:r>
      <w:r w:rsidR="00DA1678" w:rsidRPr="00A33930">
        <w:rPr>
          <w:rStyle w:val="Voetnootmarkering"/>
          <w:rFonts w:eastAsia="Verdana" w:cs="Verdana"/>
          <w:szCs w:val="18"/>
          <w:lang w:val="nl-NL"/>
        </w:rPr>
        <w:footnoteReference w:id="541"/>
      </w:r>
      <w:r w:rsidRPr="00A33930">
        <w:rPr>
          <w:rFonts w:eastAsia="Verdana" w:cs="Verdana"/>
          <w:szCs w:val="18"/>
          <w:lang w:val="nl-NL"/>
        </w:rPr>
        <w:t xml:space="preserve"> Het kind heeft </w:t>
      </w:r>
      <w:r w:rsidR="00582117" w:rsidRPr="00A33930">
        <w:rPr>
          <w:rFonts w:eastAsia="Verdana" w:cs="Verdana"/>
          <w:szCs w:val="18"/>
          <w:lang w:val="nl-NL"/>
        </w:rPr>
        <w:t xml:space="preserve">dan wel </w:t>
      </w:r>
      <w:r w:rsidRPr="00A33930">
        <w:rPr>
          <w:rFonts w:eastAsia="Verdana" w:cs="Verdana"/>
          <w:szCs w:val="18"/>
          <w:lang w:val="nl-NL"/>
        </w:rPr>
        <w:t xml:space="preserve">geen mogelijkheid om in eigen naam op te treden door zijn procesonbekwaamheid, maar de volwassenen mogen dit ook niet naar eigen goeddunken </w:t>
      </w:r>
      <w:r w:rsidR="00582117" w:rsidRPr="00A33930">
        <w:rPr>
          <w:rFonts w:eastAsia="Verdana" w:cs="Verdana"/>
          <w:szCs w:val="18"/>
          <w:lang w:val="nl-NL"/>
        </w:rPr>
        <w:t>uitvoeren en verdedigen</w:t>
      </w:r>
      <w:r w:rsidRPr="00A33930">
        <w:rPr>
          <w:rFonts w:eastAsia="Verdana" w:cs="Verdana"/>
          <w:szCs w:val="18"/>
          <w:lang w:val="nl-NL"/>
        </w:rPr>
        <w:t>.</w:t>
      </w:r>
      <w:r w:rsidRPr="00A33930">
        <w:rPr>
          <w:rStyle w:val="Voetnootmarkering"/>
          <w:rFonts w:eastAsia="Verdana" w:cs="Verdana"/>
          <w:szCs w:val="18"/>
          <w:lang w:val="nl-NL"/>
        </w:rPr>
        <w:footnoteReference w:id="542"/>
      </w:r>
      <w:r w:rsidRPr="00A33930">
        <w:rPr>
          <w:rFonts w:eastAsia="Verdana" w:cs="Verdana"/>
          <w:szCs w:val="18"/>
          <w:lang w:val="nl-NL"/>
        </w:rPr>
        <w:t xml:space="preserve"> Indien er blijk is van belangentegenstellingen is er een bijzondere curator (“Verfahrenspfleger”) die het kind zal vertegenwoordigen.</w:t>
      </w:r>
      <w:r w:rsidR="00EC2E54" w:rsidRPr="00A33930">
        <w:rPr>
          <w:rStyle w:val="Voetnootmarkering"/>
          <w:rFonts w:eastAsia="Verdana" w:cs="Verdana"/>
          <w:szCs w:val="18"/>
          <w:lang w:val="nl-NL"/>
        </w:rPr>
        <w:footnoteReference w:id="543"/>
      </w:r>
      <w:r w:rsidR="00DA1678" w:rsidRPr="00A33930">
        <w:rPr>
          <w:rFonts w:eastAsia="Verdana" w:cs="Verdana"/>
          <w:szCs w:val="18"/>
          <w:lang w:val="nl-NL"/>
        </w:rPr>
        <w:t xml:space="preserve"> Het is bijgevolg mogelijk dat de grondrechten van ouders en kind tegen elkaar moeten worden afgewogen.</w:t>
      </w:r>
      <w:r w:rsidR="00DA1678" w:rsidRPr="00A33930">
        <w:rPr>
          <w:rStyle w:val="Voetnootmarkering"/>
          <w:rFonts w:eastAsia="Verdana" w:cs="Verdana"/>
          <w:szCs w:val="18"/>
          <w:lang w:val="nl-NL"/>
        </w:rPr>
        <w:footnoteReference w:id="544"/>
      </w:r>
    </w:p>
    <w:p w14:paraId="0F909EB0" w14:textId="77777777" w:rsidR="0019362F" w:rsidRPr="00A33930" w:rsidRDefault="0019362F" w:rsidP="0019362F">
      <w:pPr>
        <w:pStyle w:val="Lijstalinea"/>
        <w:spacing w:before="200" w:after="0"/>
        <w:ind w:left="0"/>
        <w:jc w:val="both"/>
        <w:rPr>
          <w:rFonts w:eastAsia="Verdana" w:cs="Verdana"/>
          <w:szCs w:val="18"/>
          <w:lang w:val="nl-NL"/>
        </w:rPr>
      </w:pPr>
    </w:p>
    <w:p w14:paraId="49A70E6D" w14:textId="4040B1FA" w:rsidR="000A430C" w:rsidRPr="00A33930" w:rsidRDefault="00CD3983" w:rsidP="00FD583B">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Ondanks de procesonbekwaamheid van het kind, blijft het</w:t>
      </w:r>
      <w:r w:rsidR="00AB76DB" w:rsidRPr="00A33930">
        <w:rPr>
          <w:rFonts w:eastAsia="Verdana" w:cs="Verdana"/>
          <w:szCs w:val="18"/>
          <w:lang w:val="nl-NL"/>
        </w:rPr>
        <w:t xml:space="preserve"> echter wel grondwettelijk </w:t>
      </w:r>
      <w:r w:rsidR="00ED75D5" w:rsidRPr="00A33930">
        <w:rPr>
          <w:rFonts w:eastAsia="Verdana" w:cs="Verdana"/>
          <w:szCs w:val="18"/>
          <w:lang w:val="nl-NL"/>
        </w:rPr>
        <w:t>ingeschreven</w:t>
      </w:r>
      <w:r w:rsidR="00AB76DB" w:rsidRPr="00A33930">
        <w:rPr>
          <w:rFonts w:eastAsia="Verdana" w:cs="Verdana"/>
          <w:szCs w:val="18"/>
          <w:lang w:val="nl-NL"/>
        </w:rPr>
        <w:t xml:space="preserve"> dat ouders verplicht zijn tot contact met hun kinderen</w:t>
      </w:r>
      <w:r w:rsidRPr="00A33930">
        <w:rPr>
          <w:rFonts w:eastAsia="Verdana" w:cs="Verdana"/>
          <w:szCs w:val="18"/>
          <w:lang w:val="nl-NL"/>
        </w:rPr>
        <w:t xml:space="preserve"> (</w:t>
      </w:r>
      <w:r w:rsidRPr="00A33930">
        <w:rPr>
          <w:rFonts w:eastAsia="Verdana" w:cs="Verdana"/>
          <w:i/>
          <w:iCs/>
          <w:szCs w:val="18"/>
          <w:lang w:val="nl-NL"/>
        </w:rPr>
        <w:t>supra</w:t>
      </w:r>
      <w:r w:rsidRPr="00A33930">
        <w:rPr>
          <w:rFonts w:eastAsia="Verdana" w:cs="Verdana"/>
          <w:szCs w:val="18"/>
          <w:lang w:val="nl-NL"/>
        </w:rPr>
        <w:t xml:space="preserve">, nr. </w:t>
      </w:r>
      <w:r w:rsidR="004208A9" w:rsidRPr="00A33930">
        <w:rPr>
          <w:rFonts w:eastAsia="Verdana" w:cs="Verdana"/>
          <w:szCs w:val="18"/>
          <w:lang w:val="nl-NL"/>
        </w:rPr>
        <w:t>136</w:t>
      </w:r>
      <w:r w:rsidRPr="00A33930">
        <w:rPr>
          <w:rFonts w:eastAsia="Verdana" w:cs="Verdana"/>
          <w:szCs w:val="18"/>
          <w:lang w:val="nl-NL"/>
        </w:rPr>
        <w:t>)</w:t>
      </w:r>
      <w:r w:rsidR="00AB76DB" w:rsidRPr="00A33930">
        <w:rPr>
          <w:rFonts w:eastAsia="Verdana" w:cs="Verdana"/>
          <w:szCs w:val="18"/>
          <w:lang w:val="nl-NL"/>
        </w:rPr>
        <w:t xml:space="preserve">. Dat maakt dat </w:t>
      </w:r>
      <w:r w:rsidR="0019362F" w:rsidRPr="00A33930">
        <w:rPr>
          <w:rFonts w:eastAsia="Verdana" w:cs="Verdana"/>
          <w:szCs w:val="18"/>
          <w:lang w:val="nl-NL"/>
        </w:rPr>
        <w:t xml:space="preserve">het opleggen van </w:t>
      </w:r>
      <w:r w:rsidR="00AB76DB" w:rsidRPr="00A33930">
        <w:rPr>
          <w:rFonts w:eastAsia="Verdana" w:cs="Verdana"/>
          <w:szCs w:val="18"/>
          <w:lang w:val="nl-NL"/>
        </w:rPr>
        <w:t xml:space="preserve">bepaalde dwangmaatregelen, zoals </w:t>
      </w:r>
      <w:r w:rsidRPr="00A33930">
        <w:rPr>
          <w:rFonts w:eastAsia="Verdana" w:cs="Verdana"/>
          <w:szCs w:val="18"/>
          <w:lang w:val="nl-NL"/>
        </w:rPr>
        <w:t xml:space="preserve">bv. </w:t>
      </w:r>
      <w:r w:rsidR="00AB76DB" w:rsidRPr="00A33930">
        <w:rPr>
          <w:rFonts w:eastAsia="Verdana" w:cs="Verdana"/>
          <w:szCs w:val="18"/>
          <w:lang w:val="nl-NL"/>
        </w:rPr>
        <w:t xml:space="preserve">een dwangsom, volgens </w:t>
      </w:r>
      <w:r w:rsidR="00AB76DB" w:rsidRPr="00A33930">
        <w:rPr>
          <w:rFonts w:eastAsia="Verdana" w:cs="Verdana"/>
          <w:i/>
          <w:iCs/>
          <w:szCs w:val="18"/>
          <w:lang w:val="nl-NL"/>
        </w:rPr>
        <w:t>sommige</w:t>
      </w:r>
      <w:r w:rsidR="00AB76DB" w:rsidRPr="00A33930">
        <w:rPr>
          <w:rFonts w:eastAsia="Verdana" w:cs="Verdana"/>
          <w:szCs w:val="18"/>
          <w:lang w:val="nl-NL"/>
        </w:rPr>
        <w:t xml:space="preserve"> rechtspraak tot de mogelijkheden behoort.</w:t>
      </w:r>
      <w:r w:rsidR="00AB76DB" w:rsidRPr="00A33930">
        <w:rPr>
          <w:rStyle w:val="Voetnootmarkering"/>
          <w:rFonts w:eastAsia="Verdana" w:cs="Verdana"/>
          <w:szCs w:val="18"/>
          <w:lang w:val="nl-NL"/>
        </w:rPr>
        <w:footnoteReference w:id="545"/>
      </w:r>
      <w:r w:rsidR="00AB76DB" w:rsidRPr="00A33930">
        <w:rPr>
          <w:rFonts w:eastAsia="Verdana" w:cs="Verdana"/>
          <w:szCs w:val="18"/>
          <w:lang w:val="nl-NL"/>
        </w:rPr>
        <w:t xml:space="preserve"> Dit wordt echter door het B</w:t>
      </w:r>
      <w:r w:rsidR="00177A78" w:rsidRPr="00A33930">
        <w:rPr>
          <w:rFonts w:eastAsia="Verdana" w:cs="Verdana"/>
          <w:szCs w:val="18"/>
          <w:lang w:val="nl-NL"/>
        </w:rPr>
        <w:t>V</w:t>
      </w:r>
      <w:r w:rsidR="00AB76DB" w:rsidRPr="00A33930">
        <w:rPr>
          <w:rFonts w:eastAsia="Verdana" w:cs="Verdana"/>
          <w:szCs w:val="18"/>
          <w:lang w:val="nl-NL"/>
        </w:rPr>
        <w:t>erfG strijdig geacht met het belang van het kind.</w:t>
      </w:r>
      <w:r w:rsidR="00AB76DB" w:rsidRPr="00A33930">
        <w:rPr>
          <w:rStyle w:val="Voetnootmarkering"/>
          <w:rFonts w:eastAsia="Verdana" w:cs="Verdana"/>
          <w:szCs w:val="18"/>
          <w:lang w:val="nl-NL"/>
        </w:rPr>
        <w:footnoteReference w:id="546"/>
      </w:r>
      <w:r w:rsidR="00AB76DB" w:rsidRPr="00A33930">
        <w:rPr>
          <w:rFonts w:eastAsia="Verdana" w:cs="Verdana"/>
          <w:szCs w:val="18"/>
          <w:lang w:val="nl-NL"/>
        </w:rPr>
        <w:t xml:space="preserve"> </w:t>
      </w:r>
      <w:r w:rsidR="00FD2D75" w:rsidRPr="00A33930">
        <w:rPr>
          <w:rFonts w:eastAsia="Verdana" w:cs="Verdana"/>
          <w:szCs w:val="18"/>
          <w:lang w:val="nl-NL"/>
        </w:rPr>
        <w:t>Een kind heeft namelijk niet enkel nood aan fysieke, maar ook aan emotionele aanwezigheid</w:t>
      </w:r>
      <w:r w:rsidRPr="00A33930">
        <w:rPr>
          <w:rFonts w:eastAsia="Verdana" w:cs="Verdana"/>
          <w:szCs w:val="18"/>
          <w:lang w:val="nl-NL"/>
        </w:rPr>
        <w:t xml:space="preserve"> van de ouder</w:t>
      </w:r>
      <w:r w:rsidR="00FD2D75" w:rsidRPr="00A33930">
        <w:rPr>
          <w:rFonts w:eastAsia="Verdana" w:cs="Verdana"/>
          <w:szCs w:val="18"/>
          <w:lang w:val="nl-NL"/>
        </w:rPr>
        <w:t xml:space="preserve">. </w:t>
      </w:r>
      <w:r w:rsidR="00ED75D5" w:rsidRPr="00A33930">
        <w:rPr>
          <w:rFonts w:eastAsia="Verdana" w:cs="Verdana"/>
          <w:szCs w:val="18"/>
          <w:lang w:val="nl-NL"/>
        </w:rPr>
        <w:t>Wanneer</w:t>
      </w:r>
      <w:r w:rsidR="00FD2D75" w:rsidRPr="00A33930">
        <w:rPr>
          <w:rFonts w:eastAsia="Verdana" w:cs="Verdana"/>
          <w:szCs w:val="18"/>
          <w:lang w:val="nl-NL"/>
        </w:rPr>
        <w:t xml:space="preserve"> </w:t>
      </w:r>
      <w:r w:rsidR="00615C86" w:rsidRPr="00A33930">
        <w:rPr>
          <w:rFonts w:eastAsia="Verdana" w:cs="Verdana"/>
          <w:szCs w:val="18"/>
          <w:lang w:val="nl-NL"/>
        </w:rPr>
        <w:t>er desinteresse is in het kind</w:t>
      </w:r>
      <w:r w:rsidR="00ED75D5" w:rsidRPr="00A33930">
        <w:rPr>
          <w:rFonts w:eastAsia="Verdana" w:cs="Verdana"/>
          <w:szCs w:val="18"/>
          <w:lang w:val="nl-NL"/>
        </w:rPr>
        <w:t>,</w:t>
      </w:r>
      <w:r w:rsidR="00FD2D75" w:rsidRPr="00A33930">
        <w:rPr>
          <w:rFonts w:eastAsia="Verdana" w:cs="Verdana"/>
          <w:szCs w:val="18"/>
          <w:lang w:val="nl-NL"/>
        </w:rPr>
        <w:t xml:space="preserve"> kan dit het belang van het kind schaden.</w:t>
      </w:r>
      <w:r w:rsidR="00FD2D75" w:rsidRPr="00A33930">
        <w:rPr>
          <w:rStyle w:val="Voetnootmarkering"/>
          <w:rFonts w:eastAsia="Verdana" w:cs="Verdana"/>
          <w:szCs w:val="18"/>
          <w:lang w:val="nl-NL"/>
        </w:rPr>
        <w:footnoteReference w:id="547"/>
      </w:r>
      <w:r w:rsidR="00615C86" w:rsidRPr="00A33930">
        <w:rPr>
          <w:rFonts w:eastAsia="Verdana" w:cs="Verdana"/>
          <w:szCs w:val="18"/>
          <w:lang w:val="nl-NL"/>
        </w:rPr>
        <w:t xml:space="preserve"> In </w:t>
      </w:r>
      <w:r w:rsidR="0019362F" w:rsidRPr="00A33930">
        <w:rPr>
          <w:rFonts w:eastAsia="Verdana" w:cs="Verdana"/>
          <w:szCs w:val="18"/>
          <w:lang w:val="nl-NL"/>
        </w:rPr>
        <w:t>deze</w:t>
      </w:r>
      <w:r w:rsidR="00615C86" w:rsidRPr="00A33930">
        <w:rPr>
          <w:rFonts w:eastAsia="Verdana" w:cs="Verdana"/>
          <w:szCs w:val="18"/>
          <w:lang w:val="nl-NL"/>
        </w:rPr>
        <w:t xml:space="preserve"> zin blijft de omgangs</w:t>
      </w:r>
      <w:r w:rsidR="00615C86" w:rsidRPr="00A33930">
        <w:rPr>
          <w:rFonts w:eastAsia="Verdana" w:cs="Verdana"/>
          <w:i/>
          <w:iCs/>
          <w:szCs w:val="18"/>
          <w:lang w:val="nl-NL"/>
        </w:rPr>
        <w:t>plicht</w:t>
      </w:r>
      <w:r w:rsidR="00615C86" w:rsidRPr="00A33930">
        <w:rPr>
          <w:rFonts w:eastAsia="Verdana" w:cs="Verdana"/>
          <w:szCs w:val="18"/>
          <w:lang w:val="nl-NL"/>
        </w:rPr>
        <w:t xml:space="preserve"> in het Duits recht een lege doos</w:t>
      </w:r>
      <w:r w:rsidR="003D5129" w:rsidRPr="00A33930">
        <w:rPr>
          <w:rFonts w:eastAsia="Verdana" w:cs="Verdana"/>
          <w:szCs w:val="18"/>
          <w:lang w:val="nl-NL"/>
        </w:rPr>
        <w:t xml:space="preserve">, ondanks dat de wetgever ervan uit ging dat de omgang met het kind zijn ontwikkeling en belangen </w:t>
      </w:r>
      <w:r w:rsidR="00ED75D5" w:rsidRPr="00A33930">
        <w:rPr>
          <w:rFonts w:eastAsia="Verdana" w:cs="Verdana"/>
          <w:szCs w:val="18"/>
          <w:lang w:val="nl-NL"/>
        </w:rPr>
        <w:t>ten goede komt</w:t>
      </w:r>
      <w:r w:rsidR="003D5129" w:rsidRPr="00A33930">
        <w:rPr>
          <w:rFonts w:eastAsia="Verdana" w:cs="Verdana"/>
          <w:szCs w:val="18"/>
          <w:lang w:val="nl-NL"/>
        </w:rPr>
        <w:t>.</w:t>
      </w:r>
      <w:r w:rsidR="003D5129" w:rsidRPr="00A33930">
        <w:rPr>
          <w:rStyle w:val="Voetnootmarkering"/>
          <w:rFonts w:eastAsia="Verdana" w:cs="Verdana"/>
          <w:szCs w:val="18"/>
          <w:lang w:val="nl-NL"/>
        </w:rPr>
        <w:footnoteReference w:id="548"/>
      </w:r>
      <w:r w:rsidR="002D0E6E" w:rsidRPr="00A33930">
        <w:rPr>
          <w:rFonts w:eastAsia="Verdana" w:cs="Verdana"/>
          <w:szCs w:val="18"/>
          <w:lang w:val="nl-NL"/>
        </w:rPr>
        <w:t xml:space="preserve"> Indien het kind contact weigert, wordt contact met een omgangsgerechtigde enkel uitgesloten indien de belangen van het kind zwaarder </w:t>
      </w:r>
      <w:r w:rsidRPr="00A33930">
        <w:rPr>
          <w:rFonts w:eastAsia="Verdana" w:cs="Verdana"/>
          <w:szCs w:val="18"/>
          <w:lang w:val="nl-NL"/>
        </w:rPr>
        <w:t>door</w:t>
      </w:r>
      <w:r w:rsidR="002D0E6E" w:rsidRPr="00A33930">
        <w:rPr>
          <w:rFonts w:eastAsia="Verdana" w:cs="Verdana"/>
          <w:szCs w:val="18"/>
          <w:lang w:val="nl-NL"/>
        </w:rPr>
        <w:t>wegen dan de belangen van de omgangsgerechtigde.</w:t>
      </w:r>
      <w:r w:rsidR="002D0E6E" w:rsidRPr="00A33930">
        <w:rPr>
          <w:rStyle w:val="Voetnootmarkering"/>
          <w:rFonts w:eastAsia="Verdana" w:cs="Verdana"/>
          <w:szCs w:val="18"/>
          <w:lang w:val="nl-NL"/>
        </w:rPr>
        <w:footnoteReference w:id="549"/>
      </w:r>
    </w:p>
    <w:p w14:paraId="05E92131" w14:textId="77777777" w:rsidR="00E51A37" w:rsidRPr="00A33930" w:rsidRDefault="00E51A37" w:rsidP="00E51A37">
      <w:pPr>
        <w:pStyle w:val="Lijstalinea"/>
        <w:rPr>
          <w:rFonts w:eastAsia="Verdana" w:cs="Verdana"/>
          <w:szCs w:val="18"/>
          <w:lang w:val="nl-NL"/>
        </w:rPr>
      </w:pPr>
    </w:p>
    <w:p w14:paraId="0A0ABA3A" w14:textId="64A79CF1" w:rsidR="000F23D8" w:rsidRPr="00A33930" w:rsidRDefault="00E51A37" w:rsidP="003D5129">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Wanneer de ouder niet bereid is zijn plicht te vervullen, moet de rechter een afweging maken tussen een gedwongen omgang en een eventuele </w:t>
      </w:r>
      <w:r w:rsidR="00CD3983" w:rsidRPr="00A33930">
        <w:rPr>
          <w:rFonts w:eastAsia="Verdana" w:cs="Verdana"/>
          <w:szCs w:val="18"/>
          <w:lang w:val="nl-NL"/>
        </w:rPr>
        <w:t>(</w:t>
      </w:r>
      <w:r w:rsidRPr="00A33930">
        <w:rPr>
          <w:rFonts w:eastAsia="Verdana" w:cs="Verdana"/>
          <w:szCs w:val="18"/>
          <w:lang w:val="nl-NL"/>
        </w:rPr>
        <w:t>ouder</w:t>
      </w:r>
      <w:r w:rsidR="00CD3983" w:rsidRPr="00A33930">
        <w:rPr>
          <w:rFonts w:eastAsia="Verdana" w:cs="Verdana"/>
          <w:szCs w:val="18"/>
          <w:lang w:val="nl-NL"/>
        </w:rPr>
        <w:t>)</w:t>
      </w:r>
      <w:r w:rsidRPr="00A33930">
        <w:rPr>
          <w:rFonts w:eastAsia="Verdana" w:cs="Verdana"/>
          <w:szCs w:val="18"/>
          <w:lang w:val="nl-NL"/>
        </w:rPr>
        <w:t>vervreemding.</w:t>
      </w:r>
      <w:r w:rsidR="00F84E30" w:rsidRPr="00A33930">
        <w:rPr>
          <w:rStyle w:val="Voetnootmarkering"/>
          <w:rFonts w:eastAsia="Verdana" w:cs="Verdana"/>
          <w:szCs w:val="18"/>
          <w:lang w:val="nl-NL"/>
        </w:rPr>
        <w:footnoteReference w:id="550"/>
      </w:r>
      <w:r w:rsidRPr="00A33930">
        <w:rPr>
          <w:rFonts w:eastAsia="Verdana" w:cs="Verdana"/>
          <w:szCs w:val="18"/>
          <w:lang w:val="nl-NL"/>
        </w:rPr>
        <w:t xml:space="preserve"> Een contact</w:t>
      </w:r>
      <w:r w:rsidRPr="00A33930">
        <w:rPr>
          <w:rFonts w:eastAsia="Verdana" w:cs="Verdana"/>
          <w:i/>
          <w:iCs/>
          <w:szCs w:val="18"/>
          <w:lang w:val="nl-NL"/>
        </w:rPr>
        <w:t>plicht</w:t>
      </w:r>
      <w:r w:rsidRPr="00A33930">
        <w:rPr>
          <w:rFonts w:eastAsia="Verdana" w:cs="Verdana"/>
          <w:szCs w:val="18"/>
          <w:lang w:val="nl-NL"/>
        </w:rPr>
        <w:t xml:space="preserve"> moet zodus </w:t>
      </w:r>
      <w:r w:rsidRPr="00A33930">
        <w:rPr>
          <w:rFonts w:eastAsia="Verdana" w:cs="Verdana"/>
          <w:i/>
          <w:iCs/>
          <w:szCs w:val="18"/>
          <w:lang w:val="nl-NL"/>
        </w:rPr>
        <w:t>in concreto</w:t>
      </w:r>
      <w:r w:rsidRPr="00A33930">
        <w:rPr>
          <w:rFonts w:eastAsia="Verdana" w:cs="Verdana"/>
          <w:szCs w:val="18"/>
          <w:lang w:val="nl-NL"/>
        </w:rPr>
        <w:t xml:space="preserve"> worden beoordeeld.</w:t>
      </w:r>
      <w:r w:rsidRPr="00A33930">
        <w:rPr>
          <w:rStyle w:val="Voetnootmarkering"/>
          <w:rFonts w:eastAsia="Verdana" w:cs="Verdana"/>
          <w:szCs w:val="18"/>
          <w:lang w:val="nl-NL"/>
        </w:rPr>
        <w:footnoteReference w:id="551"/>
      </w:r>
      <w:r w:rsidR="003D5129" w:rsidRPr="00A33930">
        <w:rPr>
          <w:rFonts w:eastAsia="Verdana" w:cs="Verdana"/>
          <w:szCs w:val="18"/>
          <w:lang w:val="nl-NL"/>
        </w:rPr>
        <w:t xml:space="preserve"> Dergelijke omgangsplicht kan echter niet onder dwang </w:t>
      </w:r>
      <w:r w:rsidR="003D5129" w:rsidRPr="00A33930">
        <w:rPr>
          <w:rFonts w:eastAsia="Verdana" w:cs="Verdana"/>
          <w:szCs w:val="18"/>
          <w:lang w:val="nl-NL"/>
        </w:rPr>
        <w:lastRenderedPageBreak/>
        <w:t>worden doorgevoerd indien de omgang met een “omgangsonwillige” ouder niet het belang van het kind dient.</w:t>
      </w:r>
      <w:r w:rsidR="003D5129" w:rsidRPr="00A33930">
        <w:rPr>
          <w:rStyle w:val="Voetnootmarkering"/>
          <w:rFonts w:eastAsia="Verdana" w:cs="Verdana"/>
          <w:szCs w:val="18"/>
          <w:lang w:val="nl-NL"/>
        </w:rPr>
        <w:footnoteReference w:id="552"/>
      </w:r>
      <w:r w:rsidR="003D5129" w:rsidRPr="00A33930">
        <w:rPr>
          <w:rFonts w:eastAsia="Verdana" w:cs="Verdana"/>
          <w:szCs w:val="18"/>
          <w:lang w:val="nl-NL"/>
        </w:rPr>
        <w:t xml:space="preserve"> </w:t>
      </w:r>
      <w:r w:rsidR="000F23D8" w:rsidRPr="00A33930">
        <w:rPr>
          <w:rFonts w:eastAsia="Verdana" w:cs="Verdana"/>
          <w:szCs w:val="18"/>
          <w:lang w:val="nl-NL"/>
        </w:rPr>
        <w:t>Het B</w:t>
      </w:r>
      <w:r w:rsidR="00177A78" w:rsidRPr="00A33930">
        <w:rPr>
          <w:rFonts w:eastAsia="Verdana" w:cs="Verdana"/>
          <w:szCs w:val="18"/>
          <w:lang w:val="nl-NL"/>
        </w:rPr>
        <w:t>V</w:t>
      </w:r>
      <w:r w:rsidR="000F23D8" w:rsidRPr="00A33930">
        <w:rPr>
          <w:rFonts w:eastAsia="Verdana" w:cs="Verdana"/>
          <w:szCs w:val="18"/>
          <w:lang w:val="nl-NL"/>
        </w:rPr>
        <w:t>erfG heeft zich al meerdere malen moeten uitspreken over de contact</w:t>
      </w:r>
      <w:r w:rsidR="000F23D8" w:rsidRPr="00A33930">
        <w:rPr>
          <w:rFonts w:eastAsia="Verdana" w:cs="Verdana"/>
          <w:i/>
          <w:iCs/>
          <w:szCs w:val="18"/>
          <w:lang w:val="nl-NL"/>
        </w:rPr>
        <w:t>plicht</w:t>
      </w:r>
      <w:r w:rsidR="000F23D8" w:rsidRPr="00A33930">
        <w:rPr>
          <w:rFonts w:eastAsia="Verdana" w:cs="Verdana"/>
          <w:szCs w:val="18"/>
          <w:lang w:val="nl-NL"/>
        </w:rPr>
        <w:t xml:space="preserve"> van de ouder en de gedwongen handhaving hiervan. </w:t>
      </w:r>
      <w:r w:rsidR="003D5129" w:rsidRPr="00A33930">
        <w:rPr>
          <w:rFonts w:eastAsia="Verdana" w:cs="Verdana"/>
          <w:szCs w:val="18"/>
          <w:lang w:val="nl-NL"/>
        </w:rPr>
        <w:t xml:space="preserve">Slechts indien de omgang ook daadwerkelijk in het belang van het kind is, is inmenging met het recht van persoonlijke vrijheid van de </w:t>
      </w:r>
      <w:r w:rsidR="00EA200B" w:rsidRPr="00A33930">
        <w:rPr>
          <w:rFonts w:eastAsia="Verdana" w:cs="Verdana"/>
          <w:szCs w:val="18"/>
          <w:lang w:val="nl-NL"/>
        </w:rPr>
        <w:t>meerderjarige</w:t>
      </w:r>
      <w:r w:rsidR="003D5129" w:rsidRPr="00A33930">
        <w:rPr>
          <w:rFonts w:eastAsia="Verdana" w:cs="Verdana"/>
          <w:szCs w:val="18"/>
          <w:lang w:val="nl-NL"/>
        </w:rPr>
        <w:t xml:space="preserve"> gerechtvaardigd.</w:t>
      </w:r>
      <w:r w:rsidR="00200A0F" w:rsidRPr="00A33930">
        <w:rPr>
          <w:rStyle w:val="Voetnootmarkering"/>
          <w:rFonts w:eastAsia="Verdana" w:cs="Verdana"/>
          <w:szCs w:val="18"/>
          <w:lang w:val="nl-NL"/>
        </w:rPr>
        <w:footnoteReference w:id="553"/>
      </w:r>
    </w:p>
    <w:p w14:paraId="31A63BC6" w14:textId="76E673A9" w:rsidR="000A430C" w:rsidRPr="00A33930" w:rsidRDefault="000A430C" w:rsidP="000A430C">
      <w:pPr>
        <w:pStyle w:val="Lijstalinea"/>
        <w:spacing w:before="200" w:after="0"/>
        <w:ind w:left="0"/>
        <w:jc w:val="both"/>
        <w:rPr>
          <w:rFonts w:eastAsia="Verdana" w:cs="Verdana"/>
          <w:szCs w:val="18"/>
          <w:lang w:val="nl-NL"/>
        </w:rPr>
      </w:pPr>
    </w:p>
    <w:p w14:paraId="370E3FC0" w14:textId="45368DCE" w:rsidR="00BE2CE1" w:rsidRPr="00A33930" w:rsidRDefault="00FD583B" w:rsidP="00180E30">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In Duitsland bestaat </w:t>
      </w:r>
      <w:r w:rsidR="00DC738F" w:rsidRPr="00A33930">
        <w:rPr>
          <w:rFonts w:eastAsia="Verdana" w:cs="Verdana"/>
          <w:szCs w:val="18"/>
          <w:lang w:val="nl-NL"/>
        </w:rPr>
        <w:t xml:space="preserve">er </w:t>
      </w:r>
      <w:r w:rsidRPr="00A33930">
        <w:rPr>
          <w:rFonts w:eastAsia="Verdana" w:cs="Verdana"/>
          <w:szCs w:val="18"/>
          <w:lang w:val="nl-NL"/>
        </w:rPr>
        <w:t xml:space="preserve">een </w:t>
      </w:r>
      <w:r w:rsidR="00180E30" w:rsidRPr="00A33930">
        <w:rPr>
          <w:rFonts w:eastAsia="Verdana" w:cs="Verdana"/>
          <w:szCs w:val="18"/>
          <w:lang w:val="nl-NL"/>
        </w:rPr>
        <w:t>begeleidende</w:t>
      </w:r>
      <w:r w:rsidRPr="00A33930">
        <w:rPr>
          <w:rFonts w:eastAsia="Verdana" w:cs="Verdana"/>
          <w:szCs w:val="18"/>
          <w:lang w:val="nl-NL"/>
        </w:rPr>
        <w:t xml:space="preserve"> maatregel</w:t>
      </w:r>
      <w:r w:rsidR="00180E30" w:rsidRPr="00A33930">
        <w:rPr>
          <w:rFonts w:eastAsia="Verdana" w:cs="Verdana"/>
          <w:szCs w:val="18"/>
          <w:lang w:val="nl-NL"/>
        </w:rPr>
        <w:t xml:space="preserve"> voor het kind</w:t>
      </w:r>
      <w:r w:rsidRPr="00A33930">
        <w:rPr>
          <w:rFonts w:eastAsia="Verdana" w:cs="Verdana"/>
          <w:szCs w:val="18"/>
          <w:lang w:val="nl-NL"/>
        </w:rPr>
        <w:t xml:space="preserve">, zijnde de </w:t>
      </w:r>
      <w:r w:rsidRPr="00A33930">
        <w:rPr>
          <w:rFonts w:eastAsia="Verdana" w:cs="Verdana"/>
          <w:i/>
          <w:szCs w:val="18"/>
          <w:lang w:val="nl-NL"/>
        </w:rPr>
        <w:t>Umgangspfleger</w:t>
      </w:r>
      <w:r w:rsidRPr="00A33930">
        <w:rPr>
          <w:rFonts w:eastAsia="Verdana" w:cs="Verdana"/>
          <w:szCs w:val="18"/>
          <w:lang w:val="nl-NL"/>
        </w:rPr>
        <w:t xml:space="preserve">, met als taak om contact tussen ouder en kind </w:t>
      </w:r>
      <w:r w:rsidR="0007791D" w:rsidRPr="00A33930">
        <w:rPr>
          <w:rFonts w:eastAsia="Verdana" w:cs="Verdana"/>
          <w:szCs w:val="18"/>
          <w:lang w:val="nl-NL"/>
        </w:rPr>
        <w:t xml:space="preserve">(fysiek) </w:t>
      </w:r>
      <w:r w:rsidRPr="00A33930">
        <w:rPr>
          <w:rFonts w:eastAsia="Verdana" w:cs="Verdana"/>
          <w:szCs w:val="18"/>
          <w:lang w:val="nl-NL"/>
        </w:rPr>
        <w:t>mogelijk te maken.</w:t>
      </w:r>
      <w:r w:rsidRPr="00A33930">
        <w:rPr>
          <w:rStyle w:val="Voetnootmarkering"/>
          <w:rFonts w:eastAsia="Verdana" w:cs="Verdana"/>
          <w:szCs w:val="18"/>
          <w:lang w:val="nl-NL"/>
        </w:rPr>
        <w:footnoteReference w:id="554"/>
      </w:r>
      <w:r w:rsidR="00A6428B" w:rsidRPr="00A33930">
        <w:rPr>
          <w:rFonts w:eastAsia="Verdana" w:cs="Verdana"/>
          <w:szCs w:val="18"/>
          <w:lang w:val="nl-NL"/>
        </w:rPr>
        <w:t xml:space="preserve"> De taak van deze </w:t>
      </w:r>
      <w:r w:rsidR="00A6428B" w:rsidRPr="00A33930">
        <w:rPr>
          <w:rFonts w:eastAsia="Verdana" w:cs="Verdana"/>
          <w:i/>
          <w:iCs/>
          <w:szCs w:val="18"/>
          <w:lang w:val="nl-NL"/>
        </w:rPr>
        <w:t>Umgangspfleger</w:t>
      </w:r>
      <w:r w:rsidR="00A6428B" w:rsidRPr="00A33930">
        <w:rPr>
          <w:rFonts w:eastAsia="Verdana" w:cs="Verdana"/>
          <w:szCs w:val="18"/>
          <w:lang w:val="nl-NL"/>
        </w:rPr>
        <w:t xml:space="preserve"> bestaat erin om praktisch te zorgen voor maximaal contact, bijvoorbeeld door het ophalen van het kind bij de ene ouder en het afzetten bij de andere ouder wanneer het conflict vooral op wisselmomenten ontstaat.</w:t>
      </w:r>
      <w:r w:rsidR="00A6428B" w:rsidRPr="00A33930">
        <w:rPr>
          <w:rStyle w:val="Voetnootmarkering"/>
          <w:rFonts w:eastAsia="Verdana" w:cs="Verdana"/>
          <w:szCs w:val="18"/>
          <w:lang w:val="nl-NL"/>
        </w:rPr>
        <w:footnoteReference w:id="555"/>
      </w:r>
      <w:r w:rsidR="0007791D" w:rsidRPr="00A33930">
        <w:rPr>
          <w:rFonts w:eastAsia="Verdana" w:cs="Verdana"/>
          <w:szCs w:val="18"/>
          <w:lang w:val="nl-NL"/>
        </w:rPr>
        <w:t xml:space="preserve"> </w:t>
      </w:r>
      <w:r w:rsidR="003C4FCE" w:rsidRPr="00A33930">
        <w:rPr>
          <w:rFonts w:eastAsia="Verdana" w:cs="Verdana"/>
          <w:szCs w:val="18"/>
          <w:lang w:val="nl-NL"/>
        </w:rPr>
        <w:t xml:space="preserve">Het ouderlijk gezag wordt zodus in zekere mate beperkt, en de </w:t>
      </w:r>
      <w:r w:rsidR="003C4FCE" w:rsidRPr="00A33930">
        <w:rPr>
          <w:rFonts w:eastAsia="Verdana" w:cs="Verdana"/>
          <w:i/>
          <w:iCs/>
          <w:szCs w:val="18"/>
          <w:lang w:val="nl-NL"/>
        </w:rPr>
        <w:t>Umgangspfleger</w:t>
      </w:r>
      <w:r w:rsidR="003C4FCE" w:rsidRPr="00A33930">
        <w:rPr>
          <w:rFonts w:eastAsia="Verdana" w:cs="Verdana"/>
          <w:szCs w:val="18"/>
          <w:lang w:val="nl-NL"/>
        </w:rPr>
        <w:t xml:space="preserve"> wordt de wettelijke vertegenwoordiger van het kind.</w:t>
      </w:r>
      <w:r w:rsidR="003C4FCE" w:rsidRPr="00A33930">
        <w:rPr>
          <w:rStyle w:val="Voetnootmarkering"/>
          <w:rFonts w:eastAsia="Verdana" w:cs="Verdana"/>
          <w:szCs w:val="18"/>
          <w:lang w:val="nl-NL"/>
        </w:rPr>
        <w:footnoteReference w:id="556"/>
      </w:r>
      <w:r w:rsidR="003C4FCE" w:rsidRPr="00A33930">
        <w:rPr>
          <w:rFonts w:eastAsia="Verdana" w:cs="Verdana"/>
          <w:szCs w:val="18"/>
          <w:lang w:val="nl-NL"/>
        </w:rPr>
        <w:t xml:space="preserve"> Enerzijds is deze figuur van groot belang voor het kind doordat het poogt te voorkomen dat het kind onnodig wordt belast met praktische maatregelen </w:t>
      </w:r>
      <w:r w:rsidR="00DC738F" w:rsidRPr="00A33930">
        <w:rPr>
          <w:rFonts w:eastAsia="Verdana" w:cs="Verdana"/>
          <w:szCs w:val="18"/>
          <w:lang w:val="nl-NL"/>
        </w:rPr>
        <w:t>met als</w:t>
      </w:r>
      <w:r w:rsidR="003C4FCE" w:rsidRPr="00A33930">
        <w:rPr>
          <w:rFonts w:eastAsia="Verdana" w:cs="Verdana"/>
          <w:szCs w:val="18"/>
          <w:lang w:val="nl-NL"/>
        </w:rPr>
        <w:t xml:space="preserve"> </w:t>
      </w:r>
      <w:r w:rsidR="00DC738F" w:rsidRPr="00A33930">
        <w:rPr>
          <w:rFonts w:eastAsia="Verdana" w:cs="Verdana"/>
          <w:szCs w:val="18"/>
          <w:lang w:val="nl-NL"/>
        </w:rPr>
        <w:t>gevolg</w:t>
      </w:r>
      <w:r w:rsidR="003C4FCE" w:rsidRPr="00A33930">
        <w:rPr>
          <w:rFonts w:eastAsia="Verdana" w:cs="Verdana"/>
          <w:szCs w:val="18"/>
          <w:lang w:val="nl-NL"/>
        </w:rPr>
        <w:t xml:space="preserve"> eventueel in een loya</w:t>
      </w:r>
      <w:r w:rsidR="00612454" w:rsidRPr="00A33930">
        <w:rPr>
          <w:rFonts w:eastAsia="Verdana" w:cs="Verdana"/>
          <w:szCs w:val="18"/>
          <w:lang w:val="nl-NL"/>
        </w:rPr>
        <w:t>li</w:t>
      </w:r>
      <w:r w:rsidR="003C4FCE" w:rsidRPr="00A33930">
        <w:rPr>
          <w:rFonts w:eastAsia="Verdana" w:cs="Verdana"/>
          <w:szCs w:val="18"/>
          <w:lang w:val="nl-NL"/>
        </w:rPr>
        <w:t xml:space="preserve">teitsconflict </w:t>
      </w:r>
      <w:r w:rsidR="00DC738F" w:rsidRPr="00A33930">
        <w:rPr>
          <w:rFonts w:eastAsia="Verdana" w:cs="Verdana"/>
          <w:szCs w:val="18"/>
          <w:lang w:val="nl-NL"/>
        </w:rPr>
        <w:t>te belanden</w:t>
      </w:r>
      <w:r w:rsidR="003C4FCE" w:rsidRPr="00A33930">
        <w:rPr>
          <w:rFonts w:eastAsia="Verdana" w:cs="Verdana"/>
          <w:szCs w:val="18"/>
          <w:lang w:val="nl-NL"/>
        </w:rPr>
        <w:t>. Anderzijds is het een figuur die vatbaar is voor kritiek: baadt het kind wel met het toelaten van een vreemde tussen de ontmoeting met zijn ouders?</w:t>
      </w:r>
      <w:r w:rsidR="003C4FCE" w:rsidRPr="00A33930">
        <w:rPr>
          <w:rStyle w:val="Voetnootmarkering"/>
          <w:rFonts w:eastAsia="Verdana" w:cs="Verdana"/>
          <w:szCs w:val="18"/>
          <w:lang w:val="nl-NL"/>
        </w:rPr>
        <w:footnoteReference w:id="557"/>
      </w:r>
      <w:r w:rsidR="00BE2CE1" w:rsidRPr="00A33930">
        <w:rPr>
          <w:sz w:val="20"/>
          <w:szCs w:val="28"/>
          <w:lang w:val="nl-NL"/>
        </w:rPr>
        <w:br w:type="page"/>
      </w:r>
    </w:p>
    <w:p w14:paraId="1C901E9C" w14:textId="77777777" w:rsidR="008329A0" w:rsidRPr="00A33930" w:rsidRDefault="008329A0">
      <w:pPr>
        <w:spacing w:after="160" w:line="259" w:lineRule="auto"/>
        <w:rPr>
          <w:rFonts w:eastAsiaTheme="majorEastAsia" w:cstheme="majorBidi"/>
          <w:b/>
          <w:sz w:val="20"/>
          <w:szCs w:val="28"/>
          <w:lang w:val="nl-NL" w:eastAsia="en-US"/>
        </w:rPr>
      </w:pPr>
      <w:r w:rsidRPr="00A33930">
        <w:rPr>
          <w:sz w:val="20"/>
          <w:szCs w:val="28"/>
          <w:lang w:val="nl-NL"/>
        </w:rPr>
        <w:lastRenderedPageBreak/>
        <w:br w:type="page"/>
      </w:r>
    </w:p>
    <w:p w14:paraId="5E848678" w14:textId="3482E4CB" w:rsidR="00376286" w:rsidRPr="00A33930" w:rsidRDefault="00376286" w:rsidP="00376286">
      <w:pPr>
        <w:pStyle w:val="Kop2"/>
        <w:numPr>
          <w:ilvl w:val="0"/>
          <w:numId w:val="0"/>
        </w:numPr>
        <w:ind w:left="360" w:hanging="360"/>
        <w:jc w:val="both"/>
        <w:rPr>
          <w:sz w:val="20"/>
          <w:szCs w:val="28"/>
          <w:lang w:val="nl-NL"/>
        </w:rPr>
      </w:pPr>
      <w:bookmarkStart w:id="42" w:name="_Toc134621201"/>
      <w:r w:rsidRPr="00A33930">
        <w:rPr>
          <w:sz w:val="20"/>
          <w:szCs w:val="28"/>
          <w:lang w:val="nl-NL"/>
        </w:rPr>
        <w:lastRenderedPageBreak/>
        <w:t>HOOFDSTUK III.</w:t>
      </w:r>
      <w:r w:rsidRPr="00A33930">
        <w:rPr>
          <w:sz w:val="20"/>
          <w:szCs w:val="28"/>
          <w:lang w:val="nl-NL"/>
        </w:rPr>
        <w:tab/>
      </w:r>
      <w:r w:rsidR="000606B1" w:rsidRPr="00A33930">
        <w:rPr>
          <w:sz w:val="20"/>
          <w:szCs w:val="28"/>
          <w:lang w:val="nl-NL"/>
        </w:rPr>
        <w:t>VERGELIJKING VAN</w:t>
      </w:r>
      <w:r w:rsidRPr="00A33930">
        <w:rPr>
          <w:sz w:val="20"/>
          <w:szCs w:val="28"/>
          <w:lang w:val="nl-NL"/>
        </w:rPr>
        <w:t xml:space="preserve"> </w:t>
      </w:r>
      <w:r w:rsidR="000606B1" w:rsidRPr="00A33930">
        <w:rPr>
          <w:sz w:val="20"/>
          <w:szCs w:val="28"/>
          <w:lang w:val="nl-NL"/>
        </w:rPr>
        <w:t>DE NATIONALE</w:t>
      </w:r>
      <w:r w:rsidR="00925D07" w:rsidRPr="00A33930">
        <w:rPr>
          <w:sz w:val="20"/>
          <w:szCs w:val="28"/>
          <w:lang w:val="nl-NL"/>
        </w:rPr>
        <w:t xml:space="preserve"> </w:t>
      </w:r>
      <w:r w:rsidRPr="00A33930">
        <w:rPr>
          <w:sz w:val="20"/>
          <w:szCs w:val="28"/>
          <w:lang w:val="nl-NL"/>
        </w:rPr>
        <w:t>RECHTSSTELSELS</w:t>
      </w:r>
      <w:bookmarkEnd w:id="42"/>
    </w:p>
    <w:p w14:paraId="2E71174A" w14:textId="05BCBB86" w:rsidR="00283244" w:rsidRPr="00A33930" w:rsidRDefault="00600979" w:rsidP="0053603C">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Uit </w:t>
      </w:r>
      <w:r w:rsidR="00282ED3" w:rsidRPr="00A33930">
        <w:rPr>
          <w:rFonts w:eastAsia="Verdana" w:cs="Verdana"/>
          <w:szCs w:val="18"/>
          <w:lang w:val="nl-NL"/>
        </w:rPr>
        <w:t>voorgaande</w:t>
      </w:r>
      <w:r w:rsidRPr="00A33930">
        <w:rPr>
          <w:rFonts w:eastAsia="Verdana" w:cs="Verdana"/>
          <w:szCs w:val="18"/>
          <w:lang w:val="nl-NL"/>
        </w:rPr>
        <w:t xml:space="preserve"> blijkt dat het omgangsrecht van het kind en zijn kinderrechten gaandeweg meer aandacht hebben </w:t>
      </w:r>
      <w:r w:rsidR="005C79DF" w:rsidRPr="00A33930">
        <w:rPr>
          <w:rFonts w:eastAsia="Verdana" w:cs="Verdana"/>
          <w:szCs w:val="18"/>
          <w:lang w:val="nl-NL"/>
        </w:rPr>
        <w:t>verkregen</w:t>
      </w:r>
      <w:r w:rsidRPr="00A33930">
        <w:rPr>
          <w:rFonts w:eastAsia="Verdana" w:cs="Verdana"/>
          <w:szCs w:val="18"/>
          <w:lang w:val="nl-NL"/>
        </w:rPr>
        <w:t xml:space="preserve"> sinds de inwerkingtreding van het IVRK in 1989. </w:t>
      </w:r>
      <w:r w:rsidR="00E879C8" w:rsidRPr="00A33930">
        <w:rPr>
          <w:rFonts w:eastAsia="Verdana" w:cs="Verdana"/>
          <w:szCs w:val="18"/>
          <w:lang w:val="nl-NL"/>
        </w:rPr>
        <w:t>Het</w:t>
      </w:r>
      <w:r w:rsidR="008F3AFC" w:rsidRPr="00A33930">
        <w:rPr>
          <w:rFonts w:eastAsia="Verdana" w:cs="Verdana"/>
          <w:szCs w:val="18"/>
          <w:lang w:val="nl-NL"/>
        </w:rPr>
        <w:t xml:space="preserve"> </w:t>
      </w:r>
      <w:r w:rsidR="00E879C8" w:rsidRPr="00A33930">
        <w:rPr>
          <w:rFonts w:eastAsia="Verdana" w:cs="Verdana"/>
          <w:szCs w:val="18"/>
          <w:lang w:val="nl-NL"/>
        </w:rPr>
        <w:t>modern</w:t>
      </w:r>
      <w:r w:rsidR="00612454" w:rsidRPr="00A33930">
        <w:rPr>
          <w:rFonts w:eastAsia="Verdana" w:cs="Verdana"/>
          <w:szCs w:val="18"/>
          <w:lang w:val="nl-NL"/>
        </w:rPr>
        <w:t>e</w:t>
      </w:r>
      <w:r w:rsidR="008F3AFC" w:rsidRPr="00A33930">
        <w:rPr>
          <w:rFonts w:eastAsia="Verdana" w:cs="Verdana"/>
          <w:szCs w:val="18"/>
          <w:lang w:val="nl-NL"/>
        </w:rPr>
        <w:t xml:space="preserve"> </w:t>
      </w:r>
      <w:r w:rsidR="00E57778" w:rsidRPr="00A33930">
        <w:rPr>
          <w:rFonts w:eastAsia="Verdana" w:cs="Verdana"/>
          <w:szCs w:val="18"/>
          <w:lang w:val="nl-NL"/>
        </w:rPr>
        <w:t xml:space="preserve">kindperspectief </w:t>
      </w:r>
      <w:r w:rsidRPr="00A33930">
        <w:rPr>
          <w:rFonts w:eastAsia="Verdana" w:cs="Verdana"/>
          <w:szCs w:val="18"/>
          <w:lang w:val="nl-NL"/>
        </w:rPr>
        <w:t>leid</w:t>
      </w:r>
      <w:r w:rsidR="00AD1244" w:rsidRPr="00A33930">
        <w:rPr>
          <w:rFonts w:eastAsia="Verdana" w:cs="Verdana"/>
          <w:szCs w:val="18"/>
          <w:lang w:val="nl-NL"/>
        </w:rPr>
        <w:t>t</w:t>
      </w:r>
      <w:r w:rsidRPr="00A33930">
        <w:rPr>
          <w:rFonts w:eastAsia="Verdana" w:cs="Verdana"/>
          <w:szCs w:val="18"/>
          <w:lang w:val="nl-NL"/>
        </w:rPr>
        <w:t xml:space="preserve"> </w:t>
      </w:r>
      <w:r w:rsidR="00164E79" w:rsidRPr="00A33930">
        <w:rPr>
          <w:rFonts w:eastAsia="Verdana" w:cs="Verdana"/>
          <w:szCs w:val="18"/>
          <w:lang w:val="nl-NL"/>
        </w:rPr>
        <w:t xml:space="preserve">in België </w:t>
      </w:r>
      <w:r w:rsidRPr="00A33930">
        <w:rPr>
          <w:rFonts w:eastAsia="Verdana" w:cs="Verdana"/>
          <w:szCs w:val="18"/>
          <w:lang w:val="nl-NL"/>
        </w:rPr>
        <w:t>tot veel debat</w:t>
      </w:r>
      <w:r w:rsidR="00E879C8" w:rsidRPr="00A33930">
        <w:rPr>
          <w:rFonts w:eastAsia="Verdana" w:cs="Verdana"/>
          <w:szCs w:val="18"/>
          <w:lang w:val="nl-NL"/>
        </w:rPr>
        <w:t xml:space="preserve"> (</w:t>
      </w:r>
      <w:r w:rsidR="00E879C8" w:rsidRPr="00A33930">
        <w:rPr>
          <w:rFonts w:eastAsia="Verdana" w:cs="Verdana"/>
          <w:i/>
          <w:iCs/>
          <w:szCs w:val="18"/>
          <w:lang w:val="nl-NL"/>
        </w:rPr>
        <w:t>supra</w:t>
      </w:r>
      <w:r w:rsidR="00E879C8" w:rsidRPr="00A33930">
        <w:rPr>
          <w:rFonts w:eastAsia="Verdana" w:cs="Verdana"/>
          <w:szCs w:val="18"/>
          <w:lang w:val="nl-NL"/>
        </w:rPr>
        <w:t xml:space="preserve">, nr. </w:t>
      </w:r>
      <w:r w:rsidR="005B6C19" w:rsidRPr="00A33930">
        <w:rPr>
          <w:rFonts w:eastAsia="Verdana" w:cs="Verdana"/>
          <w:szCs w:val="18"/>
          <w:lang w:val="nl-NL"/>
        </w:rPr>
        <w:t>69</w:t>
      </w:r>
      <w:r w:rsidR="00E879C8" w:rsidRPr="00A33930">
        <w:rPr>
          <w:rFonts w:eastAsia="Verdana" w:cs="Verdana"/>
          <w:szCs w:val="18"/>
          <w:lang w:val="nl-NL"/>
        </w:rPr>
        <w:t>)</w:t>
      </w:r>
      <w:r w:rsidRPr="00A33930">
        <w:rPr>
          <w:rFonts w:eastAsia="Verdana" w:cs="Verdana"/>
          <w:szCs w:val="18"/>
          <w:lang w:val="nl-NL"/>
        </w:rPr>
        <w:t xml:space="preserve">. De onderzochte rechtsstelsels zijn alle drie gebonden aan </w:t>
      </w:r>
      <w:r w:rsidR="00283244" w:rsidRPr="00A33930">
        <w:rPr>
          <w:rFonts w:eastAsia="Verdana" w:cs="Verdana"/>
          <w:szCs w:val="18"/>
          <w:lang w:val="nl-NL"/>
        </w:rPr>
        <w:t xml:space="preserve">de verplichtingen uit </w:t>
      </w:r>
      <w:r w:rsidRPr="00A33930">
        <w:rPr>
          <w:rFonts w:eastAsia="Verdana" w:cs="Verdana"/>
          <w:szCs w:val="18"/>
          <w:lang w:val="nl-NL"/>
        </w:rPr>
        <w:t>het IVRK en het EVRM</w:t>
      </w:r>
      <w:r w:rsidR="00283244" w:rsidRPr="00A33930">
        <w:rPr>
          <w:rFonts w:eastAsia="Verdana" w:cs="Verdana"/>
          <w:szCs w:val="18"/>
          <w:lang w:val="nl-NL"/>
        </w:rPr>
        <w:t>, al dan niet via directe werking</w:t>
      </w:r>
      <w:r w:rsidR="004E250A" w:rsidRPr="00A33930">
        <w:rPr>
          <w:rFonts w:eastAsia="Verdana" w:cs="Verdana"/>
          <w:szCs w:val="18"/>
          <w:lang w:val="nl-NL"/>
        </w:rPr>
        <w:t xml:space="preserve"> (</w:t>
      </w:r>
      <w:r w:rsidR="004E250A" w:rsidRPr="00A33930">
        <w:rPr>
          <w:rFonts w:eastAsia="Verdana" w:cs="Verdana"/>
          <w:i/>
          <w:iCs/>
          <w:szCs w:val="18"/>
          <w:lang w:val="nl-NL"/>
        </w:rPr>
        <w:t>supra</w:t>
      </w:r>
      <w:r w:rsidR="004E250A" w:rsidRPr="00A33930">
        <w:rPr>
          <w:rFonts w:eastAsia="Verdana" w:cs="Verdana"/>
          <w:szCs w:val="18"/>
          <w:lang w:val="nl-NL"/>
        </w:rPr>
        <w:t xml:space="preserve">, nr. </w:t>
      </w:r>
      <w:r w:rsidR="009B10DA" w:rsidRPr="00A33930">
        <w:rPr>
          <w:rFonts w:eastAsia="Verdana" w:cs="Verdana"/>
          <w:szCs w:val="18"/>
          <w:lang w:val="nl-NL"/>
        </w:rPr>
        <w:t>30 en nr. 49</w:t>
      </w:r>
      <w:r w:rsidR="004E250A" w:rsidRPr="00A33930">
        <w:rPr>
          <w:rFonts w:eastAsia="Verdana" w:cs="Verdana"/>
          <w:szCs w:val="18"/>
          <w:lang w:val="nl-NL"/>
        </w:rPr>
        <w:t>)</w:t>
      </w:r>
      <w:r w:rsidR="00283244" w:rsidRPr="00A33930">
        <w:rPr>
          <w:rFonts w:eastAsia="Verdana" w:cs="Verdana"/>
          <w:szCs w:val="18"/>
          <w:lang w:val="nl-NL"/>
        </w:rPr>
        <w:t>.</w:t>
      </w:r>
      <w:r w:rsidRPr="00A33930">
        <w:rPr>
          <w:rFonts w:eastAsia="Verdana" w:cs="Verdana"/>
          <w:szCs w:val="18"/>
          <w:lang w:val="nl-NL"/>
        </w:rPr>
        <w:t xml:space="preserve"> </w:t>
      </w:r>
      <w:r w:rsidR="00283244" w:rsidRPr="00A33930">
        <w:rPr>
          <w:rFonts w:eastAsia="Verdana" w:cs="Verdana"/>
          <w:szCs w:val="18"/>
          <w:lang w:val="nl-NL"/>
        </w:rPr>
        <w:t>Toch</w:t>
      </w:r>
      <w:r w:rsidRPr="00A33930">
        <w:rPr>
          <w:rFonts w:eastAsia="Verdana" w:cs="Verdana"/>
          <w:szCs w:val="18"/>
          <w:lang w:val="nl-NL"/>
        </w:rPr>
        <w:t xml:space="preserve"> </w:t>
      </w:r>
      <w:r w:rsidR="00283244" w:rsidRPr="00A33930">
        <w:rPr>
          <w:rFonts w:eastAsia="Verdana" w:cs="Verdana"/>
          <w:szCs w:val="18"/>
          <w:lang w:val="nl-NL"/>
        </w:rPr>
        <w:t>verkrijgt het recht op persoonlijk contact van het kind</w:t>
      </w:r>
      <w:r w:rsidRPr="00A33930">
        <w:rPr>
          <w:rFonts w:eastAsia="Verdana" w:cs="Verdana"/>
          <w:szCs w:val="18"/>
          <w:lang w:val="nl-NL"/>
        </w:rPr>
        <w:t xml:space="preserve"> steeds een verschillende invulling</w:t>
      </w:r>
      <w:r w:rsidR="00BB5EC1" w:rsidRPr="00A33930">
        <w:rPr>
          <w:rFonts w:eastAsia="Verdana" w:cs="Verdana"/>
          <w:szCs w:val="18"/>
          <w:lang w:val="nl-NL"/>
        </w:rPr>
        <w:t xml:space="preserve"> (</w:t>
      </w:r>
      <w:r w:rsidR="00BB5EC1" w:rsidRPr="00A33930">
        <w:rPr>
          <w:rFonts w:eastAsia="Verdana" w:cs="Verdana"/>
          <w:i/>
          <w:iCs/>
          <w:szCs w:val="18"/>
          <w:lang w:val="nl-NL"/>
        </w:rPr>
        <w:t xml:space="preserve">infra, </w:t>
      </w:r>
      <w:r w:rsidR="00BB5EC1" w:rsidRPr="00A33930">
        <w:rPr>
          <w:rFonts w:eastAsia="Verdana" w:cs="Verdana"/>
          <w:szCs w:val="18"/>
          <w:lang w:val="nl-NL"/>
        </w:rPr>
        <w:t>bijlage 2)</w:t>
      </w:r>
      <w:r w:rsidRPr="00A33930">
        <w:rPr>
          <w:rFonts w:eastAsia="Verdana" w:cs="Verdana"/>
          <w:szCs w:val="18"/>
          <w:lang w:val="nl-NL"/>
        </w:rPr>
        <w:t xml:space="preserve">. </w:t>
      </w:r>
      <w:r w:rsidR="00D56AC3" w:rsidRPr="00A33930">
        <w:rPr>
          <w:rFonts w:eastAsia="Verdana" w:cs="Verdana"/>
          <w:szCs w:val="18"/>
          <w:lang w:val="nl-NL"/>
        </w:rPr>
        <w:t>Het Nederlands en Duits recht</w:t>
      </w:r>
      <w:r w:rsidR="004E250A" w:rsidRPr="00A33930">
        <w:rPr>
          <w:rFonts w:eastAsia="Verdana" w:cs="Verdana"/>
          <w:szCs w:val="18"/>
          <w:lang w:val="nl-NL"/>
        </w:rPr>
        <w:t xml:space="preserve"> </w:t>
      </w:r>
      <w:r w:rsidR="006C494F" w:rsidRPr="00A33930">
        <w:rPr>
          <w:rFonts w:eastAsia="Verdana" w:cs="Verdana"/>
          <w:szCs w:val="18"/>
          <w:lang w:val="nl-NL"/>
        </w:rPr>
        <w:t xml:space="preserve">bieden </w:t>
      </w:r>
      <w:r w:rsidR="00E879C8" w:rsidRPr="00A33930">
        <w:rPr>
          <w:rFonts w:eastAsia="Verdana" w:cs="Verdana"/>
          <w:szCs w:val="18"/>
          <w:lang w:val="nl-NL"/>
        </w:rPr>
        <w:t>m</w:t>
      </w:r>
      <w:r w:rsidR="00282ED3" w:rsidRPr="00A33930">
        <w:rPr>
          <w:rFonts w:eastAsia="Verdana" w:cs="Verdana"/>
          <w:szCs w:val="18"/>
          <w:lang w:val="nl-NL"/>
        </w:rPr>
        <w:t>ijns inziens</w:t>
      </w:r>
      <w:r w:rsidR="006C494F" w:rsidRPr="00A33930">
        <w:rPr>
          <w:rFonts w:eastAsia="Verdana" w:cs="Verdana"/>
          <w:szCs w:val="18"/>
          <w:lang w:val="nl-NL"/>
        </w:rPr>
        <w:t xml:space="preserve"> heel wat inspiratie voor de Belgische wetgever, doordat zij duidelijk pogen zorg te dragen voor de</w:t>
      </w:r>
      <w:r w:rsidR="00E879C8" w:rsidRPr="00A33930">
        <w:rPr>
          <w:rFonts w:eastAsia="Verdana" w:cs="Verdana"/>
          <w:szCs w:val="18"/>
          <w:lang w:val="nl-NL"/>
        </w:rPr>
        <w:t xml:space="preserve"> </w:t>
      </w:r>
      <w:r w:rsidR="00E879C8" w:rsidRPr="00A33930">
        <w:rPr>
          <w:rFonts w:eastAsia="Verdana" w:cs="Verdana"/>
          <w:i/>
          <w:iCs/>
          <w:szCs w:val="18"/>
          <w:lang w:val="nl-NL"/>
        </w:rPr>
        <w:t>ratio legis</w:t>
      </w:r>
      <w:r w:rsidR="00E879C8" w:rsidRPr="00A33930">
        <w:rPr>
          <w:rFonts w:eastAsia="Verdana" w:cs="Verdana"/>
          <w:szCs w:val="18"/>
          <w:lang w:val="nl-NL"/>
        </w:rPr>
        <w:t xml:space="preserve"> van</w:t>
      </w:r>
      <w:r w:rsidR="00D56AC3" w:rsidRPr="00A33930">
        <w:rPr>
          <w:rFonts w:eastAsia="Verdana" w:cs="Verdana"/>
          <w:szCs w:val="18"/>
          <w:lang w:val="nl-NL"/>
        </w:rPr>
        <w:t xml:space="preserve"> het IVRK</w:t>
      </w:r>
      <w:r w:rsidR="00E879C8" w:rsidRPr="00A33930">
        <w:rPr>
          <w:rFonts w:eastAsia="Verdana" w:cs="Verdana"/>
          <w:szCs w:val="18"/>
          <w:lang w:val="nl-NL"/>
        </w:rPr>
        <w:t xml:space="preserve"> (</w:t>
      </w:r>
      <w:r w:rsidR="00E879C8" w:rsidRPr="00A33930">
        <w:rPr>
          <w:rFonts w:eastAsia="Verdana" w:cs="Verdana"/>
          <w:i/>
          <w:iCs/>
          <w:szCs w:val="18"/>
          <w:lang w:val="nl-NL"/>
        </w:rPr>
        <w:t>supra</w:t>
      </w:r>
      <w:r w:rsidR="00E879C8" w:rsidRPr="00A33930">
        <w:rPr>
          <w:rFonts w:eastAsia="Verdana" w:cs="Verdana"/>
          <w:szCs w:val="18"/>
          <w:lang w:val="nl-NL"/>
        </w:rPr>
        <w:t xml:space="preserve">, nr. </w:t>
      </w:r>
      <w:r w:rsidR="009B10DA" w:rsidRPr="00A33930">
        <w:rPr>
          <w:rFonts w:eastAsia="Verdana" w:cs="Verdana"/>
          <w:szCs w:val="18"/>
          <w:lang w:val="nl-NL"/>
        </w:rPr>
        <w:t>25</w:t>
      </w:r>
      <w:r w:rsidR="00E879C8" w:rsidRPr="00A33930">
        <w:rPr>
          <w:rFonts w:eastAsia="Verdana" w:cs="Verdana"/>
          <w:szCs w:val="18"/>
          <w:lang w:val="nl-NL"/>
        </w:rPr>
        <w:t>)</w:t>
      </w:r>
      <w:r w:rsidR="006C494F" w:rsidRPr="00A33930">
        <w:rPr>
          <w:rFonts w:eastAsia="Verdana" w:cs="Verdana"/>
          <w:szCs w:val="18"/>
          <w:lang w:val="nl-NL"/>
        </w:rPr>
        <w:t>.</w:t>
      </w:r>
    </w:p>
    <w:p w14:paraId="5912BA1A" w14:textId="77777777" w:rsidR="00F56DE0" w:rsidRPr="00A33930" w:rsidRDefault="00F56DE0" w:rsidP="00F56DE0">
      <w:pPr>
        <w:pStyle w:val="Lijstalinea"/>
        <w:spacing w:before="200" w:after="0"/>
        <w:ind w:left="0"/>
        <w:jc w:val="both"/>
        <w:rPr>
          <w:rFonts w:eastAsia="Verdana" w:cs="Verdana"/>
          <w:szCs w:val="18"/>
          <w:lang w:val="nl-NL"/>
        </w:rPr>
      </w:pPr>
    </w:p>
    <w:p w14:paraId="6010C30B" w14:textId="72D1E416" w:rsidR="00F56DE0" w:rsidRPr="00A33930" w:rsidRDefault="00497113" w:rsidP="003E70CF">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Vooreerst </w:t>
      </w:r>
      <w:r w:rsidR="007026BD" w:rsidRPr="00A33930">
        <w:rPr>
          <w:rFonts w:eastAsia="Verdana" w:cs="Verdana"/>
          <w:szCs w:val="18"/>
          <w:lang w:val="nl-NL"/>
        </w:rPr>
        <w:t>streven zowel</w:t>
      </w:r>
      <w:r w:rsidRPr="00A33930">
        <w:rPr>
          <w:rFonts w:eastAsia="Verdana" w:cs="Verdana"/>
          <w:szCs w:val="18"/>
          <w:lang w:val="nl-NL"/>
        </w:rPr>
        <w:t xml:space="preserve"> het Nederlands als het Duits recht naar overeenstemming met de subjectgedachte die op mensenrechtelijk vlak wordt voorgeschreven (</w:t>
      </w:r>
      <w:r w:rsidRPr="00A33930">
        <w:rPr>
          <w:rFonts w:eastAsia="Verdana" w:cs="Verdana"/>
          <w:i/>
          <w:iCs/>
          <w:szCs w:val="18"/>
          <w:lang w:val="nl-NL"/>
        </w:rPr>
        <w:t>supra</w:t>
      </w:r>
      <w:r w:rsidRPr="00A33930">
        <w:rPr>
          <w:rFonts w:eastAsia="Verdana" w:cs="Verdana"/>
          <w:szCs w:val="18"/>
          <w:lang w:val="nl-NL"/>
        </w:rPr>
        <w:t xml:space="preserve">, nr. </w:t>
      </w:r>
      <w:r w:rsidR="009B10DA" w:rsidRPr="00A33930">
        <w:rPr>
          <w:rFonts w:eastAsia="Verdana" w:cs="Verdana"/>
          <w:szCs w:val="18"/>
          <w:lang w:val="nl-NL"/>
        </w:rPr>
        <w:t>123</w:t>
      </w:r>
      <w:r w:rsidR="00663925" w:rsidRPr="00A33930">
        <w:rPr>
          <w:rFonts w:eastAsia="Verdana" w:cs="Verdana"/>
          <w:szCs w:val="18"/>
          <w:lang w:val="nl-NL"/>
        </w:rPr>
        <w:t xml:space="preserve"> en nr. </w:t>
      </w:r>
      <w:r w:rsidR="009B10DA" w:rsidRPr="00A33930">
        <w:rPr>
          <w:rFonts w:eastAsia="Verdana" w:cs="Verdana"/>
          <w:szCs w:val="18"/>
          <w:lang w:val="nl-NL"/>
        </w:rPr>
        <w:t>133</w:t>
      </w:r>
      <w:r w:rsidRPr="00A33930">
        <w:rPr>
          <w:rFonts w:eastAsia="Verdana" w:cs="Verdana"/>
          <w:szCs w:val="18"/>
          <w:lang w:val="nl-NL"/>
        </w:rPr>
        <w:t>). In beide stelsels is het kind een rechtssubject, waardoor de regelgeving ook in deze zin is aangepast. Het kind is zodus titularis van zijn eigen recht op persoonlijk contact.</w:t>
      </w:r>
      <w:r w:rsidR="00663925" w:rsidRPr="00A33930">
        <w:rPr>
          <w:rFonts w:eastAsia="Verdana" w:cs="Verdana"/>
          <w:szCs w:val="18"/>
          <w:lang w:val="nl-NL"/>
        </w:rPr>
        <w:t xml:space="preserve"> Dit is niet </w:t>
      </w:r>
      <w:r w:rsidR="00D825D4" w:rsidRPr="00A33930">
        <w:rPr>
          <w:rFonts w:eastAsia="Verdana" w:cs="Verdana"/>
          <w:szCs w:val="18"/>
          <w:lang w:val="nl-NL"/>
        </w:rPr>
        <w:t>het geval voor</w:t>
      </w:r>
      <w:r w:rsidR="00663925" w:rsidRPr="00A33930">
        <w:rPr>
          <w:rFonts w:eastAsia="Verdana" w:cs="Verdana"/>
          <w:szCs w:val="18"/>
          <w:lang w:val="nl-NL"/>
        </w:rPr>
        <w:t xml:space="preserve"> het Belgisch recht, waar het kind momenteel nog wordt beschouwd als rechtsobject (</w:t>
      </w:r>
      <w:r w:rsidR="00663925" w:rsidRPr="00A33930">
        <w:rPr>
          <w:rFonts w:eastAsia="Verdana" w:cs="Verdana"/>
          <w:i/>
          <w:iCs/>
          <w:szCs w:val="18"/>
          <w:lang w:val="nl-NL"/>
        </w:rPr>
        <w:t>supra</w:t>
      </w:r>
      <w:r w:rsidR="00663925" w:rsidRPr="00A33930">
        <w:rPr>
          <w:rFonts w:eastAsia="Verdana" w:cs="Verdana"/>
          <w:szCs w:val="18"/>
          <w:lang w:val="nl-NL"/>
        </w:rPr>
        <w:t xml:space="preserve">, nr. </w:t>
      </w:r>
      <w:r w:rsidR="009B10DA" w:rsidRPr="00A33930">
        <w:rPr>
          <w:rFonts w:eastAsia="Verdana" w:cs="Verdana"/>
          <w:szCs w:val="18"/>
          <w:lang w:val="nl-NL"/>
        </w:rPr>
        <w:t>75</w:t>
      </w:r>
      <w:r w:rsidR="00663925" w:rsidRPr="00A33930">
        <w:rPr>
          <w:rFonts w:eastAsia="Verdana" w:cs="Verdana"/>
          <w:szCs w:val="18"/>
          <w:lang w:val="nl-NL"/>
        </w:rPr>
        <w:t xml:space="preserve">). </w:t>
      </w:r>
    </w:p>
    <w:p w14:paraId="4EF42EB2" w14:textId="77777777" w:rsidR="00497113" w:rsidRPr="00A33930" w:rsidRDefault="00497113" w:rsidP="00497113">
      <w:pPr>
        <w:pStyle w:val="Lijstalinea"/>
        <w:rPr>
          <w:rFonts w:eastAsia="Verdana" w:cs="Verdana"/>
          <w:szCs w:val="18"/>
          <w:lang w:val="nl-NL"/>
        </w:rPr>
      </w:pPr>
    </w:p>
    <w:p w14:paraId="16219756" w14:textId="6B2224E9" w:rsidR="00D825D4" w:rsidRPr="00A33930" w:rsidRDefault="006D7F57" w:rsidP="003E70CF">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Ten tweede wordt het recht op persoonlijk contact van het kind in</w:t>
      </w:r>
      <w:r w:rsidR="00D825D4" w:rsidRPr="00A33930">
        <w:rPr>
          <w:rFonts w:eastAsia="Verdana" w:cs="Verdana"/>
          <w:szCs w:val="18"/>
          <w:lang w:val="nl-NL"/>
        </w:rPr>
        <w:t xml:space="preserve"> alle nationale rechtsstelsels </w:t>
      </w:r>
      <w:r w:rsidR="00164E79" w:rsidRPr="00A33930">
        <w:rPr>
          <w:rFonts w:eastAsia="Verdana" w:cs="Verdana"/>
          <w:szCs w:val="18"/>
          <w:lang w:val="nl-NL"/>
        </w:rPr>
        <w:t>bij</w:t>
      </w:r>
      <w:r w:rsidRPr="00A33930">
        <w:rPr>
          <w:rFonts w:eastAsia="Verdana" w:cs="Verdana"/>
          <w:szCs w:val="18"/>
          <w:lang w:val="nl-NL"/>
        </w:rPr>
        <w:t xml:space="preserve"> wet voorzien. </w:t>
      </w:r>
      <w:r w:rsidR="00D825D4" w:rsidRPr="00A33930">
        <w:rPr>
          <w:rFonts w:eastAsia="Verdana" w:cs="Verdana"/>
          <w:szCs w:val="18"/>
          <w:lang w:val="nl-NL"/>
        </w:rPr>
        <w:t>Het Nederlands recht formuleert het omgangsrecht als een wederkerig recht (</w:t>
      </w:r>
      <w:r w:rsidR="00D825D4" w:rsidRPr="00A33930">
        <w:rPr>
          <w:rFonts w:eastAsia="Verdana" w:cs="Verdana"/>
          <w:i/>
          <w:iCs/>
          <w:szCs w:val="18"/>
          <w:lang w:val="nl-NL"/>
        </w:rPr>
        <w:t>supra</w:t>
      </w:r>
      <w:r w:rsidR="00D825D4" w:rsidRPr="00A33930">
        <w:rPr>
          <w:rFonts w:eastAsia="Verdana" w:cs="Verdana"/>
          <w:szCs w:val="18"/>
          <w:lang w:val="nl-NL"/>
        </w:rPr>
        <w:t xml:space="preserve">, nr. </w:t>
      </w:r>
      <w:r w:rsidR="009B10DA" w:rsidRPr="00A33930">
        <w:rPr>
          <w:rFonts w:eastAsia="Verdana" w:cs="Verdana"/>
          <w:szCs w:val="18"/>
          <w:lang w:val="nl-NL"/>
        </w:rPr>
        <w:t>128</w:t>
      </w:r>
      <w:r w:rsidR="00D825D4" w:rsidRPr="00A33930">
        <w:rPr>
          <w:rFonts w:eastAsia="Verdana" w:cs="Verdana"/>
          <w:szCs w:val="18"/>
          <w:lang w:val="nl-NL"/>
        </w:rPr>
        <w:t>), net zoals het Duits recht (</w:t>
      </w:r>
      <w:r w:rsidR="00D825D4" w:rsidRPr="00A33930">
        <w:rPr>
          <w:rFonts w:eastAsia="Verdana" w:cs="Verdana"/>
          <w:i/>
          <w:iCs/>
          <w:szCs w:val="18"/>
          <w:lang w:val="nl-NL"/>
        </w:rPr>
        <w:t>supra</w:t>
      </w:r>
      <w:r w:rsidR="00D825D4" w:rsidRPr="00A33930">
        <w:rPr>
          <w:rFonts w:eastAsia="Verdana" w:cs="Verdana"/>
          <w:szCs w:val="18"/>
          <w:lang w:val="nl-NL"/>
        </w:rPr>
        <w:t xml:space="preserve">, nr. </w:t>
      </w:r>
      <w:r w:rsidR="009B10DA" w:rsidRPr="00A33930">
        <w:rPr>
          <w:rFonts w:eastAsia="Verdana" w:cs="Verdana"/>
          <w:szCs w:val="18"/>
          <w:lang w:val="nl-NL"/>
        </w:rPr>
        <w:t>137</w:t>
      </w:r>
      <w:r w:rsidR="00D825D4" w:rsidRPr="00A33930">
        <w:rPr>
          <w:rFonts w:eastAsia="Verdana" w:cs="Verdana"/>
          <w:szCs w:val="18"/>
          <w:lang w:val="nl-NL"/>
        </w:rPr>
        <w:t xml:space="preserve">). </w:t>
      </w:r>
      <w:r w:rsidR="006F0244" w:rsidRPr="00A33930">
        <w:rPr>
          <w:rFonts w:eastAsia="Verdana" w:cs="Verdana"/>
          <w:szCs w:val="18"/>
          <w:lang w:val="nl-NL"/>
        </w:rPr>
        <w:t xml:space="preserve">Het recht op persoonlijk contact is in deze stelsels met andere woorden een écht recht van het kind. </w:t>
      </w:r>
      <w:r w:rsidR="00D825D4" w:rsidRPr="00A33930">
        <w:rPr>
          <w:rFonts w:eastAsia="Verdana" w:cs="Verdana"/>
          <w:szCs w:val="18"/>
          <w:lang w:val="nl-NL"/>
        </w:rPr>
        <w:t>In het Belgisch recht is het omgangsrecht niet ingeschreven als een wederkerig recht, waardoor het in principe een recht van de volwassenen is (</w:t>
      </w:r>
      <w:r w:rsidR="00D825D4" w:rsidRPr="00A33930">
        <w:rPr>
          <w:rFonts w:eastAsia="Verdana" w:cs="Verdana"/>
          <w:i/>
          <w:iCs/>
          <w:szCs w:val="18"/>
          <w:lang w:val="nl-NL"/>
        </w:rPr>
        <w:t>supra</w:t>
      </w:r>
      <w:r w:rsidR="00D825D4" w:rsidRPr="00A33930">
        <w:rPr>
          <w:rFonts w:eastAsia="Verdana" w:cs="Verdana"/>
          <w:szCs w:val="18"/>
          <w:lang w:val="nl-NL"/>
        </w:rPr>
        <w:t xml:space="preserve">, nr. </w:t>
      </w:r>
      <w:r w:rsidR="009B10DA" w:rsidRPr="00A33930">
        <w:rPr>
          <w:rFonts w:eastAsia="Verdana" w:cs="Verdana"/>
          <w:szCs w:val="18"/>
          <w:lang w:val="nl-NL"/>
        </w:rPr>
        <w:t>96</w:t>
      </w:r>
      <w:r w:rsidR="00D825D4" w:rsidRPr="00A33930">
        <w:rPr>
          <w:rFonts w:eastAsia="Verdana" w:cs="Verdana"/>
          <w:szCs w:val="18"/>
          <w:lang w:val="nl-NL"/>
        </w:rPr>
        <w:t>). Duitsland voorziet bijkomend in het recht op persoonlijk contact van het kind als een fundamenteel, persoonlijk grondrecht (</w:t>
      </w:r>
      <w:r w:rsidR="00D825D4" w:rsidRPr="00A33930">
        <w:rPr>
          <w:rFonts w:eastAsia="Verdana" w:cs="Verdana"/>
          <w:i/>
          <w:iCs/>
          <w:szCs w:val="18"/>
          <w:lang w:val="nl-NL"/>
        </w:rPr>
        <w:t>supra</w:t>
      </w:r>
      <w:r w:rsidR="00D825D4" w:rsidRPr="00A33930">
        <w:rPr>
          <w:rFonts w:eastAsia="Verdana" w:cs="Verdana"/>
          <w:szCs w:val="18"/>
          <w:lang w:val="nl-NL"/>
        </w:rPr>
        <w:t xml:space="preserve">, nr. </w:t>
      </w:r>
      <w:r w:rsidR="009B10DA" w:rsidRPr="00A33930">
        <w:rPr>
          <w:rFonts w:eastAsia="Verdana" w:cs="Verdana"/>
          <w:szCs w:val="18"/>
          <w:lang w:val="nl-NL"/>
        </w:rPr>
        <w:t>136</w:t>
      </w:r>
      <w:r w:rsidR="00D825D4" w:rsidRPr="00A33930">
        <w:rPr>
          <w:rFonts w:eastAsia="Verdana" w:cs="Verdana"/>
          <w:szCs w:val="18"/>
          <w:lang w:val="nl-NL"/>
        </w:rPr>
        <w:t xml:space="preserve">). Artikel 6 GG </w:t>
      </w:r>
      <w:r w:rsidR="006F0244" w:rsidRPr="00A33930">
        <w:rPr>
          <w:rFonts w:eastAsia="Verdana" w:cs="Verdana"/>
          <w:szCs w:val="18"/>
          <w:lang w:val="nl-NL"/>
        </w:rPr>
        <w:t>vormt</w:t>
      </w:r>
      <w:r w:rsidR="00D825D4" w:rsidRPr="00A33930">
        <w:rPr>
          <w:rFonts w:eastAsia="Verdana" w:cs="Verdana"/>
          <w:szCs w:val="18"/>
          <w:lang w:val="nl-NL"/>
        </w:rPr>
        <w:t xml:space="preserve"> een sterke basis ter afdwinging van dit recht. </w:t>
      </w:r>
      <w:r w:rsidR="006F0244" w:rsidRPr="00A33930">
        <w:rPr>
          <w:rFonts w:eastAsia="Verdana" w:cs="Verdana"/>
          <w:szCs w:val="18"/>
          <w:lang w:val="nl-NL"/>
        </w:rPr>
        <w:t>Het</w:t>
      </w:r>
      <w:r w:rsidR="00D825D4" w:rsidRPr="00A33930">
        <w:rPr>
          <w:rFonts w:eastAsia="Verdana" w:cs="Verdana"/>
          <w:szCs w:val="18"/>
          <w:lang w:val="nl-NL"/>
        </w:rPr>
        <w:t xml:space="preserve"> </w:t>
      </w:r>
      <w:r w:rsidR="006F0244" w:rsidRPr="00A33930">
        <w:rPr>
          <w:rFonts w:eastAsia="Verdana" w:cs="Verdana"/>
          <w:szCs w:val="18"/>
          <w:lang w:val="nl-NL"/>
        </w:rPr>
        <w:t>contact</w:t>
      </w:r>
      <w:r w:rsidR="00D825D4" w:rsidRPr="00A33930">
        <w:rPr>
          <w:rFonts w:eastAsia="Verdana" w:cs="Verdana"/>
          <w:szCs w:val="18"/>
          <w:lang w:val="nl-NL"/>
        </w:rPr>
        <w:t>recht</w:t>
      </w:r>
      <w:r w:rsidR="006F0244" w:rsidRPr="00A33930">
        <w:rPr>
          <w:rFonts w:eastAsia="Verdana" w:cs="Verdana"/>
          <w:szCs w:val="18"/>
          <w:lang w:val="nl-NL"/>
        </w:rPr>
        <w:t xml:space="preserve"> dat</w:t>
      </w:r>
      <w:r w:rsidR="00D825D4" w:rsidRPr="00A33930">
        <w:rPr>
          <w:rFonts w:eastAsia="Verdana" w:cs="Verdana"/>
          <w:szCs w:val="18"/>
          <w:lang w:val="nl-NL"/>
        </w:rPr>
        <w:t xml:space="preserve"> in </w:t>
      </w:r>
      <w:r w:rsidR="006F0244" w:rsidRPr="00A33930">
        <w:rPr>
          <w:rFonts w:eastAsia="Verdana" w:cs="Verdana"/>
          <w:szCs w:val="18"/>
          <w:lang w:val="nl-NL"/>
        </w:rPr>
        <w:t xml:space="preserve">Nederland en Duitsland in </w:t>
      </w:r>
      <w:r w:rsidR="00D825D4" w:rsidRPr="00A33930">
        <w:rPr>
          <w:rFonts w:eastAsia="Verdana" w:cs="Verdana"/>
          <w:szCs w:val="18"/>
          <w:lang w:val="nl-NL"/>
        </w:rPr>
        <w:t>essentie wederkerig is, mag een contact</w:t>
      </w:r>
      <w:r w:rsidR="00D825D4" w:rsidRPr="00A33930">
        <w:rPr>
          <w:rFonts w:eastAsia="Verdana" w:cs="Verdana"/>
          <w:i/>
          <w:iCs/>
          <w:szCs w:val="18"/>
          <w:lang w:val="nl-NL"/>
        </w:rPr>
        <w:t>plicht</w:t>
      </w:r>
      <w:r w:rsidR="00D825D4" w:rsidRPr="00A33930">
        <w:rPr>
          <w:rFonts w:eastAsia="Verdana" w:cs="Verdana"/>
          <w:szCs w:val="18"/>
          <w:lang w:val="nl-NL"/>
        </w:rPr>
        <w:t xml:space="preserve"> uitmaken voor de volwassenen</w:t>
      </w:r>
      <w:r w:rsidR="006F0244" w:rsidRPr="00A33930">
        <w:rPr>
          <w:rFonts w:eastAsia="Verdana" w:cs="Verdana"/>
          <w:szCs w:val="18"/>
          <w:lang w:val="nl-NL"/>
        </w:rPr>
        <w:t xml:space="preserve"> tenzij dit ingaat tegen het belang van het kind</w:t>
      </w:r>
      <w:r w:rsidR="00D825D4" w:rsidRPr="00A33930">
        <w:rPr>
          <w:rFonts w:eastAsia="Verdana" w:cs="Verdana"/>
          <w:szCs w:val="18"/>
          <w:lang w:val="nl-NL"/>
        </w:rPr>
        <w:t xml:space="preserve"> (</w:t>
      </w:r>
      <w:r w:rsidR="00D825D4" w:rsidRPr="00A33930">
        <w:rPr>
          <w:rFonts w:eastAsia="Verdana" w:cs="Verdana"/>
          <w:i/>
          <w:iCs/>
          <w:szCs w:val="18"/>
          <w:lang w:val="nl-NL"/>
        </w:rPr>
        <w:t>supra</w:t>
      </w:r>
      <w:r w:rsidR="00D825D4" w:rsidRPr="00A33930">
        <w:rPr>
          <w:rFonts w:eastAsia="Verdana" w:cs="Verdana"/>
          <w:szCs w:val="18"/>
          <w:lang w:val="nl-NL"/>
        </w:rPr>
        <w:t xml:space="preserve">, nr. </w:t>
      </w:r>
      <w:r w:rsidR="009B10DA" w:rsidRPr="00A33930">
        <w:rPr>
          <w:rFonts w:eastAsia="Verdana" w:cs="Verdana"/>
          <w:szCs w:val="18"/>
          <w:lang w:val="nl-NL"/>
        </w:rPr>
        <w:t>128 en nr</w:t>
      </w:r>
      <w:r w:rsidR="00164E79" w:rsidRPr="00A33930">
        <w:rPr>
          <w:rFonts w:eastAsia="Verdana" w:cs="Verdana"/>
          <w:szCs w:val="18"/>
          <w:lang w:val="nl-NL"/>
        </w:rPr>
        <w:t>s</w:t>
      </w:r>
      <w:r w:rsidR="009B10DA" w:rsidRPr="00A33930">
        <w:rPr>
          <w:rFonts w:eastAsia="Verdana" w:cs="Verdana"/>
          <w:szCs w:val="18"/>
          <w:lang w:val="nl-NL"/>
        </w:rPr>
        <w:t>. 135-136</w:t>
      </w:r>
      <w:r w:rsidR="00D825D4" w:rsidRPr="00A33930">
        <w:rPr>
          <w:rFonts w:eastAsia="Verdana" w:cs="Verdana"/>
          <w:szCs w:val="18"/>
          <w:lang w:val="nl-NL"/>
        </w:rPr>
        <w:t>).</w:t>
      </w:r>
    </w:p>
    <w:p w14:paraId="3FC7C138" w14:textId="15BC1299" w:rsidR="00D825D4" w:rsidRPr="00A33930" w:rsidRDefault="00D825D4" w:rsidP="00D825D4">
      <w:pPr>
        <w:pStyle w:val="Lijstalinea"/>
        <w:rPr>
          <w:rFonts w:eastAsia="Verdana" w:cs="Verdana"/>
          <w:szCs w:val="18"/>
          <w:lang w:val="nl-NL"/>
        </w:rPr>
      </w:pPr>
    </w:p>
    <w:p w14:paraId="377126C4" w14:textId="2E417449" w:rsidR="006F0244" w:rsidRPr="00A33930" w:rsidRDefault="00D825D4" w:rsidP="004D5B6F">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Daar waar het kind in het Belgisch recht principieel procesonbekwaam</w:t>
      </w:r>
      <w:r w:rsidR="006F0244" w:rsidRPr="00A33930">
        <w:rPr>
          <w:rFonts w:eastAsia="Verdana" w:cs="Verdana"/>
          <w:szCs w:val="18"/>
          <w:lang w:val="nl-NL"/>
        </w:rPr>
        <w:t xml:space="preserve"> is en</w:t>
      </w:r>
      <w:r w:rsidRPr="00A33930">
        <w:rPr>
          <w:rFonts w:eastAsia="Verdana" w:cs="Verdana"/>
          <w:szCs w:val="18"/>
          <w:lang w:val="nl-NL"/>
        </w:rPr>
        <w:t xml:space="preserve"> voor de rechtbank moet worden vertegenwoordigd (</w:t>
      </w:r>
      <w:r w:rsidRPr="00A33930">
        <w:rPr>
          <w:rFonts w:eastAsia="Verdana" w:cs="Verdana"/>
          <w:i/>
          <w:iCs/>
          <w:szCs w:val="18"/>
          <w:lang w:val="nl-NL"/>
        </w:rPr>
        <w:t>supra</w:t>
      </w:r>
      <w:r w:rsidRPr="00A33930">
        <w:rPr>
          <w:rFonts w:eastAsia="Verdana" w:cs="Verdana"/>
          <w:szCs w:val="18"/>
          <w:lang w:val="nl-NL"/>
        </w:rPr>
        <w:t xml:space="preserve">, nr. </w:t>
      </w:r>
      <w:r w:rsidR="009B10DA" w:rsidRPr="00A33930">
        <w:rPr>
          <w:rFonts w:eastAsia="Verdana" w:cs="Verdana"/>
          <w:szCs w:val="18"/>
          <w:lang w:val="nl-NL"/>
        </w:rPr>
        <w:t>99</w:t>
      </w:r>
      <w:r w:rsidRPr="00A33930">
        <w:rPr>
          <w:rFonts w:eastAsia="Verdana" w:cs="Verdana"/>
          <w:szCs w:val="18"/>
          <w:lang w:val="nl-NL"/>
        </w:rPr>
        <w:t xml:space="preserve">), heeft het kind onder het Nederlands recht de mogelijkheid om een informele rechtsingang voor omgangsregelingen </w:t>
      </w:r>
      <w:r w:rsidR="00CE7E2E" w:rsidRPr="00A33930">
        <w:rPr>
          <w:rFonts w:eastAsia="Verdana" w:cs="Verdana"/>
          <w:szCs w:val="18"/>
          <w:lang w:val="nl-NL"/>
        </w:rPr>
        <w:t>aan te wenden</w:t>
      </w:r>
      <w:r w:rsidRPr="00A33930">
        <w:rPr>
          <w:rFonts w:eastAsia="Verdana" w:cs="Verdana"/>
          <w:szCs w:val="18"/>
          <w:lang w:val="nl-NL"/>
        </w:rPr>
        <w:t xml:space="preserve">. Het kind wordt hierdoor echter geen procespartij en kan tegen de uiteindelijke beslissing geen beroep instellen. </w:t>
      </w:r>
      <w:r w:rsidR="00613F09" w:rsidRPr="00A33930">
        <w:rPr>
          <w:rFonts w:eastAsia="Verdana" w:cs="Verdana"/>
          <w:szCs w:val="18"/>
          <w:lang w:val="nl-NL"/>
        </w:rPr>
        <w:t xml:space="preserve">Via deze informele rechtsingang heeft het kind de mogelijkheid om de rechter aan te spreken door bv. een brief te sturen. </w:t>
      </w:r>
      <w:r w:rsidR="000D4B4A" w:rsidRPr="00A33930">
        <w:rPr>
          <w:rFonts w:eastAsia="Verdana" w:cs="Verdana"/>
          <w:szCs w:val="18"/>
          <w:lang w:val="nl-NL"/>
        </w:rPr>
        <w:t>In theorie</w:t>
      </w:r>
      <w:r w:rsidR="00613F09" w:rsidRPr="00A33930">
        <w:rPr>
          <w:rFonts w:eastAsia="Verdana" w:cs="Verdana"/>
          <w:szCs w:val="18"/>
          <w:lang w:val="nl-NL"/>
        </w:rPr>
        <w:t xml:space="preserve"> lijkt dit een goede oplossing voor de procesonbekwaamheid, maar in de praktijk blijkt deze rechtsingang nog te onbekend te zijn </w:t>
      </w:r>
      <w:r w:rsidRPr="00A33930">
        <w:rPr>
          <w:rFonts w:eastAsia="Verdana" w:cs="Verdana"/>
          <w:szCs w:val="18"/>
          <w:lang w:val="nl-NL"/>
        </w:rPr>
        <w:t>(</w:t>
      </w:r>
      <w:r w:rsidRPr="00A33930">
        <w:rPr>
          <w:rFonts w:eastAsia="Verdana" w:cs="Verdana"/>
          <w:i/>
          <w:iCs/>
          <w:szCs w:val="18"/>
          <w:lang w:val="nl-NL"/>
        </w:rPr>
        <w:t>supra</w:t>
      </w:r>
      <w:r w:rsidRPr="00A33930">
        <w:rPr>
          <w:rFonts w:eastAsia="Verdana" w:cs="Verdana"/>
          <w:szCs w:val="18"/>
          <w:lang w:val="nl-NL"/>
        </w:rPr>
        <w:t xml:space="preserve">, nr. </w:t>
      </w:r>
      <w:r w:rsidR="00D96B78" w:rsidRPr="00A33930">
        <w:rPr>
          <w:rFonts w:eastAsia="Verdana" w:cs="Verdana"/>
          <w:szCs w:val="18"/>
          <w:lang w:val="nl-NL"/>
        </w:rPr>
        <w:t>129-130</w:t>
      </w:r>
      <w:r w:rsidRPr="00A33930">
        <w:rPr>
          <w:rFonts w:eastAsia="Verdana" w:cs="Verdana"/>
          <w:szCs w:val="18"/>
          <w:lang w:val="nl-NL"/>
        </w:rPr>
        <w:t xml:space="preserve">). In het Duits recht is het kind procesonbekwaam waardoor </w:t>
      </w:r>
      <w:r w:rsidR="006F0244" w:rsidRPr="00A33930">
        <w:rPr>
          <w:rFonts w:eastAsia="Verdana" w:cs="Verdana"/>
          <w:szCs w:val="18"/>
          <w:lang w:val="nl-NL"/>
        </w:rPr>
        <w:t xml:space="preserve">ook daar </w:t>
      </w:r>
      <w:r w:rsidRPr="00A33930">
        <w:rPr>
          <w:rFonts w:eastAsia="Verdana" w:cs="Verdana"/>
          <w:szCs w:val="18"/>
          <w:lang w:val="nl-NL"/>
        </w:rPr>
        <w:t xml:space="preserve">vertegenwoordiging </w:t>
      </w:r>
      <w:r w:rsidR="006F0244" w:rsidRPr="00A33930">
        <w:rPr>
          <w:rFonts w:eastAsia="Verdana" w:cs="Verdana"/>
          <w:szCs w:val="18"/>
          <w:lang w:val="nl-NL"/>
        </w:rPr>
        <w:t>noodzakelijk</w:t>
      </w:r>
      <w:r w:rsidRPr="00A33930">
        <w:rPr>
          <w:rFonts w:eastAsia="Verdana" w:cs="Verdana"/>
          <w:szCs w:val="18"/>
          <w:lang w:val="nl-NL"/>
        </w:rPr>
        <w:t xml:space="preserve"> </w:t>
      </w:r>
      <w:r w:rsidR="006F0244" w:rsidRPr="00A33930">
        <w:rPr>
          <w:rFonts w:eastAsia="Verdana" w:cs="Verdana"/>
          <w:szCs w:val="18"/>
          <w:lang w:val="nl-NL"/>
        </w:rPr>
        <w:t>blijft</w:t>
      </w:r>
      <w:r w:rsidRPr="00A33930">
        <w:rPr>
          <w:rFonts w:eastAsia="Verdana" w:cs="Verdana"/>
          <w:szCs w:val="18"/>
          <w:lang w:val="nl-NL"/>
        </w:rPr>
        <w:t xml:space="preserve"> (</w:t>
      </w:r>
      <w:r w:rsidRPr="00A33930">
        <w:rPr>
          <w:rFonts w:eastAsia="Verdana" w:cs="Verdana"/>
          <w:i/>
          <w:iCs/>
          <w:szCs w:val="18"/>
          <w:lang w:val="nl-NL"/>
        </w:rPr>
        <w:t>supra</w:t>
      </w:r>
      <w:r w:rsidRPr="00A33930">
        <w:rPr>
          <w:rFonts w:eastAsia="Verdana" w:cs="Verdana"/>
          <w:szCs w:val="18"/>
          <w:lang w:val="nl-NL"/>
        </w:rPr>
        <w:t xml:space="preserve">, nr. </w:t>
      </w:r>
      <w:r w:rsidR="00D96B78" w:rsidRPr="00A33930">
        <w:rPr>
          <w:rFonts w:eastAsia="Verdana" w:cs="Verdana"/>
          <w:szCs w:val="18"/>
          <w:lang w:val="nl-NL"/>
        </w:rPr>
        <w:t>144</w:t>
      </w:r>
      <w:r w:rsidRPr="00A33930">
        <w:rPr>
          <w:rFonts w:eastAsia="Verdana" w:cs="Verdana"/>
          <w:szCs w:val="18"/>
          <w:lang w:val="nl-NL"/>
        </w:rPr>
        <w:t>).</w:t>
      </w:r>
      <w:r w:rsidR="00613F09" w:rsidRPr="00A33930">
        <w:rPr>
          <w:rFonts w:eastAsia="Verdana" w:cs="Verdana"/>
          <w:szCs w:val="18"/>
          <w:lang w:val="nl-NL"/>
        </w:rPr>
        <w:t xml:space="preserve"> Dat </w:t>
      </w:r>
      <w:r w:rsidR="0062345F" w:rsidRPr="00A33930">
        <w:rPr>
          <w:rFonts w:eastAsia="Verdana" w:cs="Verdana"/>
          <w:szCs w:val="18"/>
          <w:lang w:val="nl-NL"/>
        </w:rPr>
        <w:t>vormt</w:t>
      </w:r>
      <w:r w:rsidR="00613F09" w:rsidRPr="00A33930">
        <w:rPr>
          <w:rFonts w:eastAsia="Verdana" w:cs="Verdana"/>
          <w:szCs w:val="18"/>
          <w:lang w:val="nl-NL"/>
        </w:rPr>
        <w:t xml:space="preserve"> naar Duits recht echter </w:t>
      </w:r>
      <w:r w:rsidR="00D96B78" w:rsidRPr="00A33930">
        <w:rPr>
          <w:rFonts w:eastAsia="Verdana" w:cs="Verdana"/>
          <w:szCs w:val="18"/>
          <w:lang w:val="nl-NL"/>
        </w:rPr>
        <w:t>niet noodzakelijk</w:t>
      </w:r>
      <w:r w:rsidR="00613F09" w:rsidRPr="00A33930">
        <w:rPr>
          <w:rFonts w:eastAsia="Verdana" w:cs="Verdana"/>
          <w:szCs w:val="18"/>
          <w:lang w:val="nl-NL"/>
        </w:rPr>
        <w:t xml:space="preserve"> </w:t>
      </w:r>
      <w:r w:rsidR="00D96B78" w:rsidRPr="00A33930">
        <w:rPr>
          <w:rFonts w:eastAsia="Verdana" w:cs="Verdana"/>
          <w:szCs w:val="18"/>
          <w:lang w:val="nl-NL"/>
        </w:rPr>
        <w:t>een probleem</w:t>
      </w:r>
      <w:r w:rsidR="00613F09" w:rsidRPr="00A33930">
        <w:rPr>
          <w:rFonts w:eastAsia="Verdana" w:cs="Verdana"/>
          <w:szCs w:val="18"/>
          <w:lang w:val="nl-NL"/>
        </w:rPr>
        <w:t>: doordat het recht op persoonlijk contact grondwettelijk is ingeschreven kan het kind in eigen naam een verzoek instellen</w:t>
      </w:r>
      <w:r w:rsidR="0019362F" w:rsidRPr="00A33930">
        <w:rPr>
          <w:rFonts w:eastAsia="Verdana" w:cs="Verdana"/>
          <w:szCs w:val="18"/>
          <w:lang w:val="nl-NL"/>
        </w:rPr>
        <w:t>, mits hij hierbij wordt vertegenwoordigd</w:t>
      </w:r>
      <w:r w:rsidR="00613F09" w:rsidRPr="00A33930">
        <w:rPr>
          <w:rFonts w:eastAsia="Verdana" w:cs="Verdana"/>
          <w:szCs w:val="18"/>
          <w:lang w:val="nl-NL"/>
        </w:rPr>
        <w:t xml:space="preserve"> (</w:t>
      </w:r>
      <w:r w:rsidR="00613F09" w:rsidRPr="00A33930">
        <w:rPr>
          <w:rFonts w:eastAsia="Verdana" w:cs="Verdana"/>
          <w:i/>
          <w:iCs/>
          <w:szCs w:val="18"/>
          <w:lang w:val="nl-NL"/>
        </w:rPr>
        <w:t>supra</w:t>
      </w:r>
      <w:r w:rsidR="00613F09" w:rsidRPr="00A33930">
        <w:rPr>
          <w:rFonts w:eastAsia="Verdana" w:cs="Verdana"/>
          <w:szCs w:val="18"/>
          <w:lang w:val="nl-NL"/>
        </w:rPr>
        <w:t xml:space="preserve">, nr. </w:t>
      </w:r>
      <w:r w:rsidR="00D96B78" w:rsidRPr="00A33930">
        <w:rPr>
          <w:rFonts w:eastAsia="Verdana" w:cs="Verdana"/>
          <w:szCs w:val="18"/>
          <w:lang w:val="nl-NL"/>
        </w:rPr>
        <w:t>145</w:t>
      </w:r>
      <w:r w:rsidR="00613F09" w:rsidRPr="00A33930">
        <w:rPr>
          <w:rFonts w:eastAsia="Verdana" w:cs="Verdana"/>
          <w:szCs w:val="18"/>
          <w:lang w:val="nl-NL"/>
        </w:rPr>
        <w:t>).</w:t>
      </w:r>
    </w:p>
    <w:p w14:paraId="5EBAE77B" w14:textId="77777777" w:rsidR="00613F09" w:rsidRPr="00A33930" w:rsidRDefault="00613F09" w:rsidP="00613F09">
      <w:pPr>
        <w:pStyle w:val="Lijstalinea"/>
        <w:spacing w:before="200" w:after="0"/>
        <w:ind w:left="0"/>
        <w:jc w:val="both"/>
        <w:rPr>
          <w:rFonts w:eastAsia="Verdana" w:cs="Verdana"/>
          <w:szCs w:val="18"/>
          <w:lang w:val="nl-NL"/>
        </w:rPr>
      </w:pPr>
    </w:p>
    <w:p w14:paraId="66C69E97" w14:textId="3CCF9CB3" w:rsidR="00D56AC3" w:rsidRPr="00A33930" w:rsidRDefault="006F0244" w:rsidP="00613F09">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Ten derde volgt uit de onderzochte rechtsstelsels dat in de beoordeling van zijn belangen rekening wordt gehouden met de mening van het kind. Deze beoordeling is in het Belgisch recht afhankelijk van de invulling door de rechter en dus van subjectieve interpretaties door volwassenen </w:t>
      </w:r>
      <w:r w:rsidRPr="00A33930">
        <w:rPr>
          <w:rFonts w:eastAsia="Verdana" w:cs="Verdana"/>
          <w:szCs w:val="18"/>
          <w:lang w:val="nl-NL"/>
        </w:rPr>
        <w:lastRenderedPageBreak/>
        <w:t>(</w:t>
      </w:r>
      <w:r w:rsidRPr="00A33930">
        <w:rPr>
          <w:rFonts w:eastAsia="Verdana" w:cs="Verdana"/>
          <w:i/>
          <w:iCs/>
          <w:szCs w:val="18"/>
          <w:lang w:val="nl-NL"/>
        </w:rPr>
        <w:t>supra</w:t>
      </w:r>
      <w:r w:rsidRPr="00A33930">
        <w:rPr>
          <w:rFonts w:eastAsia="Verdana" w:cs="Verdana"/>
          <w:szCs w:val="18"/>
          <w:lang w:val="nl-NL"/>
        </w:rPr>
        <w:t xml:space="preserve">, nr. </w:t>
      </w:r>
      <w:r w:rsidR="007E61DE" w:rsidRPr="00A33930">
        <w:rPr>
          <w:rFonts w:eastAsia="Verdana" w:cs="Verdana"/>
          <w:szCs w:val="18"/>
          <w:lang w:val="nl-NL"/>
        </w:rPr>
        <w:t>77</w:t>
      </w:r>
      <w:r w:rsidRPr="00A33930">
        <w:rPr>
          <w:rFonts w:eastAsia="Verdana" w:cs="Verdana"/>
          <w:szCs w:val="18"/>
          <w:lang w:val="nl-NL"/>
        </w:rPr>
        <w:t xml:space="preserve">). Er wordt wel naar het kind geluisterd en zijn belangen worden hierbij afgewogen, maar de uiteindelijke beslissing </w:t>
      </w:r>
      <w:r w:rsidR="00282ED3" w:rsidRPr="00A33930">
        <w:rPr>
          <w:rFonts w:eastAsia="Verdana" w:cs="Verdana"/>
          <w:szCs w:val="18"/>
          <w:lang w:val="nl-NL"/>
        </w:rPr>
        <w:t>wordt</w:t>
      </w:r>
      <w:r w:rsidRPr="00A33930">
        <w:rPr>
          <w:rFonts w:eastAsia="Verdana" w:cs="Verdana"/>
          <w:szCs w:val="18"/>
          <w:lang w:val="nl-NL"/>
        </w:rPr>
        <w:t xml:space="preserve"> </w:t>
      </w:r>
      <w:r w:rsidR="00282ED3" w:rsidRPr="00A33930">
        <w:rPr>
          <w:rFonts w:eastAsia="Verdana" w:cs="Verdana"/>
          <w:szCs w:val="18"/>
          <w:lang w:val="nl-NL"/>
        </w:rPr>
        <w:t>genomen</w:t>
      </w:r>
      <w:r w:rsidRPr="00A33930">
        <w:rPr>
          <w:rFonts w:eastAsia="Verdana" w:cs="Verdana"/>
          <w:szCs w:val="18"/>
          <w:lang w:val="nl-NL"/>
        </w:rPr>
        <w:t xml:space="preserve"> </w:t>
      </w:r>
      <w:r w:rsidR="00282ED3" w:rsidRPr="00A33930">
        <w:rPr>
          <w:rFonts w:eastAsia="Verdana" w:cs="Verdana"/>
          <w:szCs w:val="18"/>
          <w:lang w:val="nl-NL"/>
        </w:rPr>
        <w:t>door</w:t>
      </w:r>
      <w:r w:rsidRPr="00A33930">
        <w:rPr>
          <w:rFonts w:eastAsia="Verdana" w:cs="Verdana"/>
          <w:szCs w:val="18"/>
          <w:lang w:val="nl-NL"/>
        </w:rPr>
        <w:t xml:space="preserve"> volwassenen (</w:t>
      </w:r>
      <w:r w:rsidRPr="00A33930">
        <w:rPr>
          <w:rFonts w:eastAsia="Verdana" w:cs="Verdana"/>
          <w:i/>
          <w:iCs/>
          <w:szCs w:val="18"/>
          <w:lang w:val="nl-NL"/>
        </w:rPr>
        <w:t>supra</w:t>
      </w:r>
      <w:r w:rsidRPr="00A33930">
        <w:rPr>
          <w:rFonts w:eastAsia="Verdana" w:cs="Verdana"/>
          <w:szCs w:val="18"/>
          <w:lang w:val="nl-NL"/>
        </w:rPr>
        <w:t xml:space="preserve">, nr. </w:t>
      </w:r>
      <w:r w:rsidR="007E61DE" w:rsidRPr="00A33930">
        <w:rPr>
          <w:rFonts w:eastAsia="Verdana" w:cs="Verdana"/>
          <w:szCs w:val="18"/>
          <w:lang w:val="nl-NL"/>
        </w:rPr>
        <w:t>79</w:t>
      </w:r>
      <w:r w:rsidRPr="00A33930">
        <w:rPr>
          <w:rFonts w:eastAsia="Verdana" w:cs="Verdana"/>
          <w:szCs w:val="18"/>
          <w:lang w:val="nl-NL"/>
        </w:rPr>
        <w:t xml:space="preserve">). In het Nederlands recht wordt het belang van het kind verduidelijkt met enkele objectieve criteria waaraan de rechter de zaak </w:t>
      </w:r>
      <w:r w:rsidRPr="00A33930">
        <w:rPr>
          <w:rFonts w:eastAsia="Verdana" w:cs="Verdana"/>
          <w:i/>
          <w:iCs/>
          <w:szCs w:val="18"/>
          <w:lang w:val="nl-NL"/>
        </w:rPr>
        <w:t>in concreto</w:t>
      </w:r>
      <w:r w:rsidRPr="00A33930">
        <w:rPr>
          <w:rFonts w:eastAsia="Verdana" w:cs="Verdana"/>
          <w:szCs w:val="18"/>
          <w:lang w:val="nl-NL"/>
        </w:rPr>
        <w:t xml:space="preserve"> kan toetsen (</w:t>
      </w:r>
      <w:r w:rsidRPr="00A33930">
        <w:rPr>
          <w:rFonts w:eastAsia="Verdana" w:cs="Verdana"/>
          <w:i/>
          <w:iCs/>
          <w:szCs w:val="18"/>
          <w:lang w:val="nl-NL"/>
        </w:rPr>
        <w:t>supra</w:t>
      </w:r>
      <w:r w:rsidRPr="00A33930">
        <w:rPr>
          <w:rFonts w:eastAsia="Verdana" w:cs="Verdana"/>
          <w:szCs w:val="18"/>
          <w:lang w:val="nl-NL"/>
        </w:rPr>
        <w:t xml:space="preserve">, nr. </w:t>
      </w:r>
      <w:r w:rsidR="00AB660B" w:rsidRPr="00A33930">
        <w:rPr>
          <w:rFonts w:eastAsia="Verdana" w:cs="Verdana"/>
          <w:szCs w:val="18"/>
          <w:lang w:val="nl-NL"/>
        </w:rPr>
        <w:t>126</w:t>
      </w:r>
      <w:r w:rsidRPr="00A33930">
        <w:rPr>
          <w:rFonts w:eastAsia="Verdana" w:cs="Verdana"/>
          <w:szCs w:val="18"/>
          <w:lang w:val="nl-NL"/>
        </w:rPr>
        <w:t xml:space="preserve">). Dit maakt dat het belang van het kind in Nederland concreter wordt getoetst </w:t>
      </w:r>
      <w:r w:rsidR="0062345F" w:rsidRPr="00A33930">
        <w:rPr>
          <w:rFonts w:eastAsia="Verdana" w:cs="Verdana"/>
          <w:szCs w:val="18"/>
          <w:lang w:val="nl-NL"/>
        </w:rPr>
        <w:t xml:space="preserve">en </w:t>
      </w:r>
      <w:r w:rsidRPr="00A33930">
        <w:rPr>
          <w:rFonts w:eastAsia="Verdana" w:cs="Verdana"/>
          <w:szCs w:val="18"/>
          <w:lang w:val="nl-NL"/>
        </w:rPr>
        <w:t xml:space="preserve">niet in dergelijke mate </w:t>
      </w:r>
      <w:r w:rsidR="0086280A" w:rsidRPr="00A33930">
        <w:rPr>
          <w:rFonts w:eastAsia="Verdana" w:cs="Verdana"/>
          <w:szCs w:val="18"/>
          <w:lang w:val="nl-NL"/>
        </w:rPr>
        <w:t>onderhevig</w:t>
      </w:r>
      <w:r w:rsidRPr="00A33930">
        <w:rPr>
          <w:rFonts w:eastAsia="Verdana" w:cs="Verdana"/>
          <w:szCs w:val="18"/>
          <w:lang w:val="nl-NL"/>
        </w:rPr>
        <w:t xml:space="preserve"> is aan subjectieve interpretaties</w:t>
      </w:r>
      <w:r w:rsidR="00AB660B" w:rsidRPr="00A33930">
        <w:rPr>
          <w:rFonts w:eastAsia="Verdana" w:cs="Verdana"/>
          <w:szCs w:val="18"/>
          <w:lang w:val="nl-NL"/>
        </w:rPr>
        <w:t xml:space="preserve">. </w:t>
      </w:r>
      <w:r w:rsidRPr="00A33930">
        <w:rPr>
          <w:rFonts w:eastAsia="Verdana" w:cs="Verdana"/>
          <w:szCs w:val="18"/>
          <w:lang w:val="nl-NL"/>
        </w:rPr>
        <w:t xml:space="preserve">Het Nederlands recht voorziet </w:t>
      </w:r>
      <w:r w:rsidR="00AB660B" w:rsidRPr="00A33930">
        <w:rPr>
          <w:rFonts w:eastAsia="Verdana" w:cs="Verdana"/>
          <w:szCs w:val="18"/>
          <w:lang w:val="nl-NL"/>
        </w:rPr>
        <w:t>hierbij tevens</w:t>
      </w:r>
      <w:r w:rsidRPr="00A33930">
        <w:rPr>
          <w:rFonts w:eastAsia="Verdana" w:cs="Verdana"/>
          <w:szCs w:val="18"/>
          <w:lang w:val="nl-NL"/>
        </w:rPr>
        <w:t xml:space="preserve"> in een hoorrecht</w:t>
      </w:r>
      <w:r w:rsidR="00AB660B" w:rsidRPr="00A33930">
        <w:rPr>
          <w:rFonts w:eastAsia="Verdana" w:cs="Verdana"/>
          <w:szCs w:val="18"/>
          <w:lang w:val="nl-NL"/>
        </w:rPr>
        <w:t xml:space="preserve"> (</w:t>
      </w:r>
      <w:r w:rsidR="00AB660B" w:rsidRPr="00A33930">
        <w:rPr>
          <w:rFonts w:eastAsia="Verdana" w:cs="Verdana"/>
          <w:i/>
          <w:iCs/>
          <w:szCs w:val="18"/>
          <w:lang w:val="nl-NL"/>
        </w:rPr>
        <w:t>supra</w:t>
      </w:r>
      <w:r w:rsidR="00AB660B" w:rsidRPr="00A33930">
        <w:rPr>
          <w:rFonts w:eastAsia="Verdana" w:cs="Verdana"/>
          <w:szCs w:val="18"/>
          <w:lang w:val="nl-NL"/>
        </w:rPr>
        <w:t>, nr. 129)</w:t>
      </w:r>
      <w:r w:rsidRPr="00A33930">
        <w:rPr>
          <w:rFonts w:eastAsia="Verdana" w:cs="Verdana"/>
          <w:szCs w:val="18"/>
          <w:lang w:val="nl-NL"/>
        </w:rPr>
        <w:t xml:space="preserve">. </w:t>
      </w:r>
      <w:r w:rsidR="00BD0D23" w:rsidRPr="00A33930">
        <w:rPr>
          <w:rFonts w:eastAsia="Verdana" w:cs="Verdana"/>
          <w:szCs w:val="18"/>
          <w:lang w:val="nl-NL"/>
        </w:rPr>
        <w:t>De Duitse wetgeving weegt het belang van het kind en het belang van de ouder tegen elkaar af (</w:t>
      </w:r>
      <w:r w:rsidR="00BD0D23" w:rsidRPr="00A33930">
        <w:rPr>
          <w:rFonts w:eastAsia="Verdana" w:cs="Verdana"/>
          <w:i/>
          <w:iCs/>
          <w:szCs w:val="18"/>
          <w:lang w:val="nl-NL"/>
        </w:rPr>
        <w:t>supra</w:t>
      </w:r>
      <w:r w:rsidR="00BD0D23" w:rsidRPr="00A33930">
        <w:rPr>
          <w:rFonts w:eastAsia="Verdana" w:cs="Verdana"/>
          <w:szCs w:val="18"/>
          <w:lang w:val="nl-NL"/>
        </w:rPr>
        <w:t xml:space="preserve">, nr. </w:t>
      </w:r>
      <w:r w:rsidR="00AB660B" w:rsidRPr="00A33930">
        <w:rPr>
          <w:rFonts w:eastAsia="Verdana" w:cs="Verdana"/>
          <w:szCs w:val="18"/>
          <w:lang w:val="nl-NL"/>
        </w:rPr>
        <w:t>135</w:t>
      </w:r>
      <w:r w:rsidR="00BD0D23" w:rsidRPr="00A33930">
        <w:rPr>
          <w:rFonts w:eastAsia="Verdana" w:cs="Verdana"/>
          <w:szCs w:val="18"/>
          <w:lang w:val="nl-NL"/>
        </w:rPr>
        <w:t>). Indien het contact met de meerderjarige positief is voor de ontwikkeling en het welzijn van het kind, wordt het over het algemeen geacht in het belang van het kind te zijn. Zodus voorziet ook het Duits recht in een subjectieve interpretatie van het belang en de mening van het kind.</w:t>
      </w:r>
      <w:r w:rsidR="00BB5EC1" w:rsidRPr="00A33930">
        <w:rPr>
          <w:rFonts w:eastAsia="Verdana" w:cs="Verdana"/>
          <w:szCs w:val="18"/>
          <w:lang w:val="nl-NL"/>
        </w:rPr>
        <w:t xml:space="preserve"> In de onderzochte rechtsstelsels hebben de hoven en rechtbanken echter met regelmaat besloten dat een gedwongen contact in de meeste gevallen niet het belang van het kind dient (</w:t>
      </w:r>
      <w:r w:rsidR="00BB5EC1" w:rsidRPr="00A33930">
        <w:rPr>
          <w:rFonts w:eastAsia="Verdana" w:cs="Verdana"/>
          <w:i/>
          <w:iCs/>
          <w:szCs w:val="18"/>
          <w:lang w:val="nl-NL"/>
        </w:rPr>
        <w:t>supra</w:t>
      </w:r>
      <w:r w:rsidR="00BB5EC1" w:rsidRPr="00A33930">
        <w:rPr>
          <w:rFonts w:eastAsia="Verdana" w:cs="Verdana"/>
          <w:szCs w:val="18"/>
          <w:lang w:val="nl-NL"/>
        </w:rPr>
        <w:t xml:space="preserve">, nr. </w:t>
      </w:r>
      <w:r w:rsidR="00AB660B" w:rsidRPr="00A33930">
        <w:rPr>
          <w:rFonts w:eastAsia="Verdana" w:cs="Verdana"/>
          <w:szCs w:val="18"/>
          <w:lang w:val="nl-NL"/>
        </w:rPr>
        <w:t>130 en nr. 141</w:t>
      </w:r>
      <w:r w:rsidR="00BB5EC1" w:rsidRPr="00A33930">
        <w:rPr>
          <w:rFonts w:eastAsia="Verdana" w:cs="Verdana"/>
          <w:szCs w:val="18"/>
          <w:lang w:val="nl-NL"/>
        </w:rPr>
        <w:t>).</w:t>
      </w:r>
    </w:p>
    <w:p w14:paraId="3BDDDDF4" w14:textId="77777777" w:rsidR="006D7F57" w:rsidRPr="00A33930" w:rsidRDefault="006D7F57" w:rsidP="006D7F57">
      <w:pPr>
        <w:pStyle w:val="Lijstalinea"/>
        <w:spacing w:before="200" w:after="0"/>
        <w:ind w:left="0"/>
        <w:jc w:val="both"/>
        <w:rPr>
          <w:rFonts w:eastAsia="Verdana" w:cs="Verdana"/>
          <w:szCs w:val="18"/>
          <w:lang w:val="nl-NL"/>
        </w:rPr>
      </w:pPr>
    </w:p>
    <w:p w14:paraId="4734DDFD" w14:textId="07A2CDB8" w:rsidR="00613F09" w:rsidRPr="00A33930" w:rsidRDefault="002D0DF6" w:rsidP="00282ED3">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Vervolgens</w:t>
      </w:r>
      <w:r w:rsidR="00613F09" w:rsidRPr="00A33930">
        <w:rPr>
          <w:rFonts w:eastAsia="Verdana" w:cs="Verdana"/>
          <w:szCs w:val="18"/>
          <w:lang w:val="nl-NL"/>
        </w:rPr>
        <w:t xml:space="preserve"> verschillen deze rechtsstelsels ook in de afdwingbaarheid van het recht. In het Belgisch recht is er enkel een afdwinging van dit recht voor de rechtbank mogelijk door volwassenen en mag het recht geen contact</w:t>
      </w:r>
      <w:r w:rsidR="00613F09" w:rsidRPr="00A33930">
        <w:rPr>
          <w:rFonts w:eastAsia="Verdana" w:cs="Verdana"/>
          <w:i/>
          <w:iCs/>
          <w:szCs w:val="18"/>
          <w:lang w:val="nl-NL"/>
        </w:rPr>
        <w:t>plicht</w:t>
      </w:r>
      <w:r w:rsidR="00613F09" w:rsidRPr="00A33930">
        <w:rPr>
          <w:rFonts w:eastAsia="Verdana" w:cs="Verdana"/>
          <w:szCs w:val="18"/>
          <w:lang w:val="nl-NL"/>
        </w:rPr>
        <w:t xml:space="preserve"> uitmaken (</w:t>
      </w:r>
      <w:r w:rsidR="00613F09" w:rsidRPr="00A33930">
        <w:rPr>
          <w:rFonts w:eastAsia="Verdana" w:cs="Verdana"/>
          <w:i/>
          <w:iCs/>
          <w:szCs w:val="18"/>
          <w:lang w:val="nl-NL"/>
        </w:rPr>
        <w:t>supra</w:t>
      </w:r>
      <w:r w:rsidR="00613F09" w:rsidRPr="00A33930">
        <w:rPr>
          <w:rFonts w:eastAsia="Verdana" w:cs="Verdana"/>
          <w:szCs w:val="18"/>
          <w:lang w:val="nl-NL"/>
        </w:rPr>
        <w:t xml:space="preserve">, nr. </w:t>
      </w:r>
      <w:r w:rsidR="00AB660B" w:rsidRPr="00A33930">
        <w:rPr>
          <w:rFonts w:eastAsia="Verdana" w:cs="Verdana"/>
          <w:szCs w:val="18"/>
          <w:lang w:val="nl-NL"/>
        </w:rPr>
        <w:t>103</w:t>
      </w:r>
      <w:r w:rsidR="00613F09" w:rsidRPr="00A33930">
        <w:rPr>
          <w:rFonts w:eastAsia="Verdana" w:cs="Verdana"/>
          <w:szCs w:val="18"/>
          <w:lang w:val="nl-NL"/>
        </w:rPr>
        <w:t>).</w:t>
      </w:r>
      <w:r w:rsidRPr="00A33930">
        <w:rPr>
          <w:rFonts w:eastAsia="Verdana" w:cs="Verdana"/>
          <w:szCs w:val="18"/>
          <w:lang w:val="nl-NL"/>
        </w:rPr>
        <w:t xml:space="preserve"> </w:t>
      </w:r>
      <w:r w:rsidR="00613F09" w:rsidRPr="00A33930">
        <w:rPr>
          <w:rFonts w:eastAsia="Verdana" w:cs="Verdana"/>
          <w:szCs w:val="18"/>
          <w:lang w:val="nl-NL"/>
        </w:rPr>
        <w:t xml:space="preserve">Het gebruik van dwangmaatregelen is naar Belgisch recht </w:t>
      </w:r>
      <w:r w:rsidRPr="00A33930">
        <w:rPr>
          <w:rFonts w:eastAsia="Verdana" w:cs="Verdana"/>
          <w:szCs w:val="18"/>
          <w:lang w:val="nl-NL"/>
        </w:rPr>
        <w:t xml:space="preserve">bovendien </w:t>
      </w:r>
      <w:r w:rsidR="00613F09" w:rsidRPr="00A33930">
        <w:rPr>
          <w:rFonts w:eastAsia="Verdana" w:cs="Verdana"/>
          <w:szCs w:val="18"/>
          <w:lang w:val="nl-NL"/>
        </w:rPr>
        <w:t>onwenselijk (</w:t>
      </w:r>
      <w:r w:rsidR="00613F09" w:rsidRPr="00A33930">
        <w:rPr>
          <w:rFonts w:eastAsia="Verdana" w:cs="Verdana"/>
          <w:i/>
          <w:iCs/>
          <w:szCs w:val="18"/>
          <w:lang w:val="nl-NL"/>
        </w:rPr>
        <w:t>supra</w:t>
      </w:r>
      <w:r w:rsidR="00613F09" w:rsidRPr="00A33930">
        <w:rPr>
          <w:rFonts w:eastAsia="Verdana" w:cs="Verdana"/>
          <w:szCs w:val="18"/>
          <w:lang w:val="nl-NL"/>
        </w:rPr>
        <w:t xml:space="preserve">, nr. </w:t>
      </w:r>
      <w:r w:rsidR="00AB660B" w:rsidRPr="00A33930">
        <w:rPr>
          <w:rFonts w:eastAsia="Verdana" w:cs="Verdana"/>
          <w:szCs w:val="18"/>
          <w:lang w:val="nl-NL"/>
        </w:rPr>
        <w:t>105</w:t>
      </w:r>
      <w:r w:rsidR="00613F09" w:rsidRPr="00A33930">
        <w:rPr>
          <w:rFonts w:eastAsia="Verdana" w:cs="Verdana"/>
          <w:szCs w:val="18"/>
          <w:lang w:val="nl-NL"/>
        </w:rPr>
        <w:t xml:space="preserve">). Dat geldt niet voor het Nederlands en Duits recht, waar het opleggen van dwangmaatregelen </w:t>
      </w:r>
      <w:r w:rsidR="0062345F" w:rsidRPr="00A33930">
        <w:rPr>
          <w:rFonts w:eastAsia="Verdana" w:cs="Verdana"/>
          <w:szCs w:val="18"/>
          <w:lang w:val="nl-NL"/>
        </w:rPr>
        <w:t>volgens sommigen</w:t>
      </w:r>
      <w:r w:rsidR="00613F09" w:rsidRPr="00A33930">
        <w:rPr>
          <w:rFonts w:eastAsia="Verdana" w:cs="Verdana"/>
          <w:szCs w:val="18"/>
          <w:lang w:val="nl-NL"/>
        </w:rPr>
        <w:t xml:space="preserve"> tot de mogelijkheden behoort (</w:t>
      </w:r>
      <w:r w:rsidR="00613F09" w:rsidRPr="00A33930">
        <w:rPr>
          <w:rFonts w:eastAsia="Verdana" w:cs="Verdana"/>
          <w:i/>
          <w:iCs/>
          <w:szCs w:val="18"/>
          <w:lang w:val="nl-NL"/>
        </w:rPr>
        <w:t>supra</w:t>
      </w:r>
      <w:r w:rsidR="00613F09" w:rsidRPr="00A33930">
        <w:rPr>
          <w:rFonts w:eastAsia="Verdana" w:cs="Verdana"/>
          <w:szCs w:val="18"/>
          <w:lang w:val="nl-NL"/>
        </w:rPr>
        <w:t xml:space="preserve">, nr. </w:t>
      </w:r>
      <w:r w:rsidR="00AB660B" w:rsidRPr="00A33930">
        <w:rPr>
          <w:rFonts w:eastAsia="Verdana" w:cs="Verdana"/>
          <w:szCs w:val="18"/>
          <w:lang w:val="nl-NL"/>
        </w:rPr>
        <w:t>131 en nr. 147</w:t>
      </w:r>
      <w:r w:rsidR="00613F09" w:rsidRPr="00A33930">
        <w:rPr>
          <w:rFonts w:eastAsia="Verdana" w:cs="Verdana"/>
          <w:szCs w:val="18"/>
          <w:lang w:val="nl-NL"/>
        </w:rPr>
        <w:t xml:space="preserve">). Bovendien </w:t>
      </w:r>
      <w:r w:rsidR="0062345F" w:rsidRPr="00A33930">
        <w:rPr>
          <w:rFonts w:eastAsia="Verdana" w:cs="Verdana"/>
          <w:szCs w:val="18"/>
          <w:lang w:val="nl-NL"/>
        </w:rPr>
        <w:t>vormt</w:t>
      </w:r>
      <w:r w:rsidR="00613F09" w:rsidRPr="00A33930">
        <w:rPr>
          <w:rFonts w:eastAsia="Verdana" w:cs="Verdana"/>
          <w:szCs w:val="18"/>
          <w:lang w:val="nl-NL"/>
        </w:rPr>
        <w:t xml:space="preserve"> het weigeren van contact door een volwassene een plichtsverzuim in het Duits recht (</w:t>
      </w:r>
      <w:r w:rsidR="00613F09" w:rsidRPr="00A33930">
        <w:rPr>
          <w:rFonts w:eastAsia="Verdana" w:cs="Verdana"/>
          <w:i/>
          <w:iCs/>
          <w:szCs w:val="18"/>
          <w:lang w:val="nl-NL"/>
        </w:rPr>
        <w:t>supra</w:t>
      </w:r>
      <w:r w:rsidR="00613F09" w:rsidRPr="00A33930">
        <w:rPr>
          <w:rFonts w:eastAsia="Verdana" w:cs="Verdana"/>
          <w:szCs w:val="18"/>
          <w:lang w:val="nl-NL"/>
        </w:rPr>
        <w:t xml:space="preserve">, nr. </w:t>
      </w:r>
      <w:r w:rsidR="00AB660B" w:rsidRPr="00A33930">
        <w:rPr>
          <w:rFonts w:eastAsia="Verdana" w:cs="Verdana"/>
          <w:szCs w:val="18"/>
          <w:lang w:val="nl-NL"/>
        </w:rPr>
        <w:t>137</w:t>
      </w:r>
      <w:r w:rsidR="00613F09" w:rsidRPr="00A33930">
        <w:rPr>
          <w:rFonts w:eastAsia="Verdana" w:cs="Verdana"/>
          <w:szCs w:val="18"/>
          <w:lang w:val="nl-NL"/>
        </w:rPr>
        <w:t xml:space="preserve">). Zowel in het Nederlands als Duits recht mag het </w:t>
      </w:r>
      <w:r w:rsidR="00AB660B" w:rsidRPr="00A33930">
        <w:rPr>
          <w:rFonts w:eastAsia="Verdana" w:cs="Verdana"/>
          <w:szCs w:val="18"/>
          <w:lang w:val="nl-NL"/>
        </w:rPr>
        <w:t>contact</w:t>
      </w:r>
      <w:r w:rsidR="00613F09" w:rsidRPr="00A33930">
        <w:rPr>
          <w:rFonts w:eastAsia="Verdana" w:cs="Verdana"/>
          <w:szCs w:val="18"/>
          <w:lang w:val="nl-NL"/>
        </w:rPr>
        <w:t xml:space="preserve">recht </w:t>
      </w:r>
      <w:r w:rsidR="00AB660B" w:rsidRPr="00A33930">
        <w:rPr>
          <w:rFonts w:eastAsia="Verdana" w:cs="Verdana"/>
          <w:szCs w:val="18"/>
          <w:lang w:val="nl-NL"/>
        </w:rPr>
        <w:t xml:space="preserve">dus </w:t>
      </w:r>
      <w:r w:rsidR="00613F09" w:rsidRPr="00A33930">
        <w:rPr>
          <w:rFonts w:eastAsia="Verdana" w:cs="Verdana"/>
          <w:szCs w:val="18"/>
          <w:lang w:val="nl-NL"/>
        </w:rPr>
        <w:t>een contact</w:t>
      </w:r>
      <w:r w:rsidR="00613F09" w:rsidRPr="00A33930">
        <w:rPr>
          <w:rFonts w:eastAsia="Verdana" w:cs="Verdana"/>
          <w:i/>
          <w:iCs/>
          <w:szCs w:val="18"/>
          <w:lang w:val="nl-NL"/>
        </w:rPr>
        <w:t>plicht</w:t>
      </w:r>
      <w:r w:rsidR="00613F09" w:rsidRPr="00A33930">
        <w:rPr>
          <w:rFonts w:eastAsia="Verdana" w:cs="Verdana"/>
          <w:szCs w:val="18"/>
          <w:lang w:val="nl-NL"/>
        </w:rPr>
        <w:t xml:space="preserve"> uitmaken, tenzij het belang van het kind anders vereist.</w:t>
      </w:r>
    </w:p>
    <w:p w14:paraId="18F97F8E" w14:textId="77777777" w:rsidR="00282ED3" w:rsidRPr="00A33930" w:rsidRDefault="00282ED3" w:rsidP="00282ED3">
      <w:pPr>
        <w:pStyle w:val="Lijstalinea"/>
        <w:spacing w:before="200" w:after="0"/>
        <w:ind w:left="0"/>
        <w:jc w:val="both"/>
        <w:rPr>
          <w:rFonts w:eastAsia="Verdana" w:cs="Verdana"/>
          <w:szCs w:val="18"/>
          <w:lang w:val="nl-NL"/>
        </w:rPr>
      </w:pPr>
    </w:p>
    <w:p w14:paraId="5FB7EF6D" w14:textId="768FD37B" w:rsidR="00600979" w:rsidRPr="00A33930" w:rsidRDefault="0062345F" w:rsidP="00BB5EC1">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Ten slotte</w:t>
      </w:r>
      <w:r w:rsidR="00613F09" w:rsidRPr="00A33930">
        <w:rPr>
          <w:rFonts w:eastAsia="Verdana" w:cs="Verdana"/>
          <w:szCs w:val="18"/>
          <w:lang w:val="nl-NL"/>
        </w:rPr>
        <w:t xml:space="preserve"> voorzien zowel het Nederlands als Duits recht</w:t>
      </w:r>
      <w:r w:rsidR="006D7F57" w:rsidRPr="00A33930">
        <w:rPr>
          <w:rFonts w:eastAsia="Verdana" w:cs="Verdana"/>
          <w:szCs w:val="18"/>
          <w:lang w:val="nl-NL"/>
        </w:rPr>
        <w:t xml:space="preserve"> in begeleidende maatregelen </w:t>
      </w:r>
      <w:r w:rsidR="00613F09" w:rsidRPr="00A33930">
        <w:rPr>
          <w:rFonts w:eastAsia="Verdana" w:cs="Verdana"/>
          <w:szCs w:val="18"/>
          <w:lang w:val="nl-NL"/>
        </w:rPr>
        <w:t xml:space="preserve">voor </w:t>
      </w:r>
      <w:r w:rsidR="00BB5EC1" w:rsidRPr="00A33930">
        <w:rPr>
          <w:rFonts w:eastAsia="Verdana" w:cs="Verdana"/>
          <w:szCs w:val="18"/>
          <w:lang w:val="nl-NL"/>
        </w:rPr>
        <w:t>het kind</w:t>
      </w:r>
      <w:r w:rsidR="006D7F57" w:rsidRPr="00A33930">
        <w:rPr>
          <w:rFonts w:eastAsia="Verdana" w:cs="Verdana"/>
          <w:szCs w:val="18"/>
          <w:lang w:val="nl-NL"/>
        </w:rPr>
        <w:t xml:space="preserve">. Zo wordt in </w:t>
      </w:r>
      <w:r w:rsidR="00BB5EC1" w:rsidRPr="00A33930">
        <w:rPr>
          <w:rFonts w:eastAsia="Verdana" w:cs="Verdana"/>
          <w:szCs w:val="18"/>
          <w:lang w:val="nl-NL"/>
        </w:rPr>
        <w:t>het Nederlands recht</w:t>
      </w:r>
      <w:r w:rsidR="006D7F57" w:rsidRPr="00A33930">
        <w:rPr>
          <w:rFonts w:eastAsia="Verdana" w:cs="Verdana"/>
          <w:szCs w:val="18"/>
          <w:lang w:val="nl-NL"/>
        </w:rPr>
        <w:t xml:space="preserve"> voorzien in een “omgangscurator”, </w:t>
      </w:r>
      <w:r w:rsidR="00BB5EC1" w:rsidRPr="00A33930">
        <w:rPr>
          <w:rFonts w:eastAsia="Verdana" w:cs="Verdana"/>
          <w:szCs w:val="18"/>
          <w:lang w:val="nl-NL"/>
        </w:rPr>
        <w:t>die</w:t>
      </w:r>
      <w:r w:rsidR="006D7F57" w:rsidRPr="00A33930">
        <w:rPr>
          <w:rFonts w:eastAsia="Verdana" w:cs="Verdana"/>
          <w:szCs w:val="18"/>
          <w:lang w:val="nl-NL"/>
        </w:rPr>
        <w:t xml:space="preserve"> in het kader van belangentegenstellingen op een laagdrempelige manier </w:t>
      </w:r>
      <w:r w:rsidR="00BB5EC1" w:rsidRPr="00A33930">
        <w:rPr>
          <w:rFonts w:eastAsia="Verdana" w:cs="Verdana"/>
          <w:szCs w:val="18"/>
          <w:lang w:val="nl-NL"/>
        </w:rPr>
        <w:t xml:space="preserve">het kind </w:t>
      </w:r>
      <w:r w:rsidR="006D7F57" w:rsidRPr="00A33930">
        <w:rPr>
          <w:rFonts w:eastAsia="Verdana" w:cs="Verdana"/>
          <w:szCs w:val="18"/>
          <w:lang w:val="nl-NL"/>
        </w:rPr>
        <w:t>vertegenwoordig</w:t>
      </w:r>
      <w:r w:rsidR="00612454" w:rsidRPr="00A33930">
        <w:rPr>
          <w:rFonts w:eastAsia="Verdana" w:cs="Verdana"/>
          <w:szCs w:val="18"/>
          <w:lang w:val="nl-NL"/>
        </w:rPr>
        <w:t>t</w:t>
      </w:r>
      <w:r w:rsidR="006D7F57" w:rsidRPr="00A33930">
        <w:rPr>
          <w:rFonts w:eastAsia="Verdana" w:cs="Verdana"/>
          <w:szCs w:val="18"/>
          <w:lang w:val="nl-NL"/>
        </w:rPr>
        <w:t xml:space="preserve"> </w:t>
      </w:r>
      <w:r w:rsidR="00613F09" w:rsidRPr="00A33930">
        <w:rPr>
          <w:rFonts w:eastAsia="Verdana" w:cs="Verdana"/>
          <w:szCs w:val="18"/>
          <w:lang w:val="nl-NL"/>
        </w:rPr>
        <w:t>(</w:t>
      </w:r>
      <w:r w:rsidR="00613F09" w:rsidRPr="00A33930">
        <w:rPr>
          <w:rFonts w:eastAsia="Verdana" w:cs="Verdana"/>
          <w:i/>
          <w:iCs/>
          <w:szCs w:val="18"/>
          <w:lang w:val="nl-NL"/>
        </w:rPr>
        <w:t>supra</w:t>
      </w:r>
      <w:r w:rsidR="00613F09" w:rsidRPr="00A33930">
        <w:rPr>
          <w:rFonts w:eastAsia="Verdana" w:cs="Verdana"/>
          <w:szCs w:val="18"/>
          <w:lang w:val="nl-NL"/>
        </w:rPr>
        <w:t xml:space="preserve">, nr. </w:t>
      </w:r>
      <w:r w:rsidR="00AB660B" w:rsidRPr="00A33930">
        <w:rPr>
          <w:rFonts w:eastAsia="Verdana" w:cs="Verdana"/>
          <w:szCs w:val="18"/>
          <w:lang w:val="nl-NL"/>
        </w:rPr>
        <w:t>132</w:t>
      </w:r>
      <w:r w:rsidR="00613F09" w:rsidRPr="00A33930">
        <w:rPr>
          <w:rFonts w:eastAsia="Verdana" w:cs="Verdana"/>
          <w:szCs w:val="18"/>
          <w:lang w:val="nl-NL"/>
        </w:rPr>
        <w:t>)</w:t>
      </w:r>
      <w:r w:rsidR="006D7F57" w:rsidRPr="00A33930">
        <w:rPr>
          <w:rFonts w:eastAsia="Verdana" w:cs="Verdana"/>
          <w:szCs w:val="18"/>
          <w:lang w:val="nl-NL"/>
        </w:rPr>
        <w:t>.</w:t>
      </w:r>
      <w:r w:rsidR="00613F09" w:rsidRPr="00A33930">
        <w:rPr>
          <w:rFonts w:eastAsia="Verdana" w:cs="Verdana"/>
          <w:szCs w:val="18"/>
          <w:lang w:val="nl-NL"/>
        </w:rPr>
        <w:t xml:space="preserve"> </w:t>
      </w:r>
      <w:r w:rsidR="002D0DF6" w:rsidRPr="00A33930">
        <w:rPr>
          <w:rFonts w:eastAsia="Verdana" w:cs="Verdana"/>
          <w:szCs w:val="18"/>
          <w:lang w:val="nl-NL"/>
        </w:rPr>
        <w:t>In het</w:t>
      </w:r>
      <w:r w:rsidR="00613F09" w:rsidRPr="00A33930">
        <w:rPr>
          <w:rFonts w:eastAsia="Verdana" w:cs="Verdana"/>
          <w:szCs w:val="18"/>
          <w:lang w:val="nl-NL"/>
        </w:rPr>
        <w:t xml:space="preserve"> Duits recht </w:t>
      </w:r>
      <w:r w:rsidR="002D0DF6" w:rsidRPr="00A33930">
        <w:rPr>
          <w:rFonts w:eastAsia="Verdana" w:cs="Verdana"/>
          <w:szCs w:val="18"/>
          <w:lang w:val="nl-NL"/>
        </w:rPr>
        <w:t>is</w:t>
      </w:r>
      <w:r w:rsidR="00BB5EC1" w:rsidRPr="00A33930">
        <w:rPr>
          <w:rFonts w:eastAsia="Verdana" w:cs="Verdana"/>
          <w:szCs w:val="18"/>
          <w:lang w:val="nl-NL"/>
        </w:rPr>
        <w:t xml:space="preserve"> dit</w:t>
      </w:r>
      <w:r w:rsidR="00613F09" w:rsidRPr="00A33930">
        <w:rPr>
          <w:rFonts w:eastAsia="Verdana" w:cs="Verdana"/>
          <w:szCs w:val="18"/>
          <w:lang w:val="nl-NL"/>
        </w:rPr>
        <w:t xml:space="preserve"> een “Umgangspfleger”</w:t>
      </w:r>
      <w:r w:rsidR="00BB5EC1" w:rsidRPr="00A33930">
        <w:rPr>
          <w:rFonts w:eastAsia="Verdana" w:cs="Verdana"/>
          <w:szCs w:val="18"/>
          <w:lang w:val="nl-NL"/>
        </w:rPr>
        <w:t xml:space="preserve"> (</w:t>
      </w:r>
      <w:r w:rsidR="00BB5EC1" w:rsidRPr="00A33930">
        <w:rPr>
          <w:rFonts w:eastAsia="Verdana" w:cs="Verdana"/>
          <w:i/>
          <w:iCs/>
          <w:szCs w:val="18"/>
          <w:lang w:val="nl-NL"/>
        </w:rPr>
        <w:t>supra</w:t>
      </w:r>
      <w:r w:rsidR="00BB5EC1" w:rsidRPr="00A33930">
        <w:rPr>
          <w:rFonts w:eastAsia="Verdana" w:cs="Verdana"/>
          <w:szCs w:val="18"/>
          <w:lang w:val="nl-NL"/>
        </w:rPr>
        <w:t xml:space="preserve">, nr. </w:t>
      </w:r>
      <w:r w:rsidR="00AB660B" w:rsidRPr="00A33930">
        <w:rPr>
          <w:rFonts w:eastAsia="Verdana" w:cs="Verdana"/>
          <w:szCs w:val="18"/>
          <w:lang w:val="nl-NL"/>
        </w:rPr>
        <w:t>145 en nr. 148</w:t>
      </w:r>
      <w:r w:rsidR="00BB5EC1" w:rsidRPr="00A33930">
        <w:rPr>
          <w:rFonts w:eastAsia="Verdana" w:cs="Verdana"/>
          <w:szCs w:val="18"/>
          <w:lang w:val="nl-NL"/>
        </w:rPr>
        <w:t>)</w:t>
      </w:r>
      <w:r w:rsidR="009A1941" w:rsidRPr="00A33930">
        <w:rPr>
          <w:rFonts w:eastAsia="Verdana" w:cs="Verdana"/>
          <w:szCs w:val="18"/>
          <w:lang w:val="nl-NL"/>
        </w:rPr>
        <w:t>.</w:t>
      </w:r>
      <w:r w:rsidRPr="00A33930">
        <w:rPr>
          <w:rFonts w:eastAsia="Verdana" w:cs="Verdana"/>
          <w:szCs w:val="18"/>
          <w:lang w:val="nl-NL"/>
        </w:rPr>
        <w:t xml:space="preserve"> </w:t>
      </w:r>
      <w:r w:rsidR="002D0DF6" w:rsidRPr="00A33930">
        <w:rPr>
          <w:rFonts w:eastAsia="Verdana" w:cs="Verdana"/>
          <w:szCs w:val="18"/>
          <w:lang w:val="nl-NL"/>
        </w:rPr>
        <w:t>Het Belgisch</w:t>
      </w:r>
      <w:r w:rsidRPr="00A33930">
        <w:rPr>
          <w:rFonts w:eastAsia="Verdana" w:cs="Verdana"/>
          <w:szCs w:val="18"/>
          <w:lang w:val="nl-NL"/>
        </w:rPr>
        <w:t xml:space="preserve"> recht </w:t>
      </w:r>
      <w:r w:rsidR="002D0DF6" w:rsidRPr="00A33930">
        <w:rPr>
          <w:rFonts w:eastAsia="Verdana" w:cs="Verdana"/>
          <w:szCs w:val="18"/>
          <w:lang w:val="nl-NL"/>
        </w:rPr>
        <w:t xml:space="preserve">voorziet </w:t>
      </w:r>
      <w:r w:rsidRPr="00A33930">
        <w:rPr>
          <w:rFonts w:eastAsia="Verdana" w:cs="Verdana"/>
          <w:szCs w:val="18"/>
          <w:lang w:val="nl-NL"/>
        </w:rPr>
        <w:t xml:space="preserve">voor omgangsregelingen </w:t>
      </w:r>
      <w:r w:rsidR="002D0DF6" w:rsidRPr="00A33930">
        <w:rPr>
          <w:rFonts w:eastAsia="Verdana" w:cs="Verdana"/>
          <w:szCs w:val="18"/>
          <w:lang w:val="nl-NL"/>
        </w:rPr>
        <w:t>niet</w:t>
      </w:r>
      <w:r w:rsidRPr="00A33930">
        <w:rPr>
          <w:rFonts w:eastAsia="Verdana" w:cs="Verdana"/>
          <w:szCs w:val="18"/>
          <w:lang w:val="nl-NL"/>
        </w:rPr>
        <w:t xml:space="preserve"> in dergelijke </w:t>
      </w:r>
      <w:r w:rsidR="00282ED3" w:rsidRPr="00A33930">
        <w:rPr>
          <w:rFonts w:eastAsia="Verdana" w:cs="Verdana"/>
          <w:szCs w:val="18"/>
          <w:lang w:val="nl-NL"/>
        </w:rPr>
        <w:t xml:space="preserve">begeleidende </w:t>
      </w:r>
      <w:r w:rsidRPr="00A33930">
        <w:rPr>
          <w:rFonts w:eastAsia="Verdana" w:cs="Verdana"/>
          <w:szCs w:val="18"/>
          <w:lang w:val="nl-NL"/>
        </w:rPr>
        <w:t>maatregelen (</w:t>
      </w:r>
      <w:r w:rsidRPr="00A33930">
        <w:rPr>
          <w:rFonts w:eastAsia="Verdana" w:cs="Verdana"/>
          <w:i/>
          <w:iCs/>
          <w:szCs w:val="18"/>
          <w:lang w:val="nl-NL"/>
        </w:rPr>
        <w:t>supra</w:t>
      </w:r>
      <w:r w:rsidRPr="00A33930">
        <w:rPr>
          <w:rFonts w:eastAsia="Verdana" w:cs="Verdana"/>
          <w:szCs w:val="18"/>
          <w:lang w:val="nl-NL"/>
        </w:rPr>
        <w:t xml:space="preserve">, nr. </w:t>
      </w:r>
      <w:r w:rsidR="00AB660B" w:rsidRPr="00A33930">
        <w:rPr>
          <w:rFonts w:eastAsia="Verdana" w:cs="Verdana"/>
          <w:szCs w:val="18"/>
          <w:lang w:val="nl-NL"/>
        </w:rPr>
        <w:t>108</w:t>
      </w:r>
      <w:r w:rsidRPr="00A33930">
        <w:rPr>
          <w:rFonts w:eastAsia="Verdana" w:cs="Verdana"/>
          <w:szCs w:val="18"/>
          <w:lang w:val="nl-NL"/>
        </w:rPr>
        <w:t>).</w:t>
      </w:r>
    </w:p>
    <w:p w14:paraId="56C3C3C0" w14:textId="77777777" w:rsidR="009A1941" w:rsidRPr="00A33930" w:rsidRDefault="009A1941" w:rsidP="009A1941">
      <w:pPr>
        <w:pStyle w:val="Lijstalinea"/>
        <w:spacing w:before="200" w:after="0"/>
        <w:ind w:left="0"/>
        <w:jc w:val="both"/>
        <w:rPr>
          <w:rFonts w:eastAsia="Verdana" w:cs="Verdana"/>
          <w:szCs w:val="18"/>
          <w:lang w:val="nl-NL"/>
        </w:rPr>
      </w:pPr>
    </w:p>
    <w:p w14:paraId="71F347E3" w14:textId="3E0480E7" w:rsidR="00BE2CE1" w:rsidRPr="00A33930" w:rsidRDefault="0062345F" w:rsidP="00AD1244">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Uit dit alles blijkt</w:t>
      </w:r>
      <w:r w:rsidR="00BB5EC1" w:rsidRPr="00A33930">
        <w:rPr>
          <w:rFonts w:eastAsia="Verdana" w:cs="Verdana"/>
          <w:szCs w:val="18"/>
          <w:lang w:val="nl-NL"/>
        </w:rPr>
        <w:t xml:space="preserve"> dat z</w:t>
      </w:r>
      <w:r w:rsidR="006C494F" w:rsidRPr="00A33930">
        <w:rPr>
          <w:rFonts w:eastAsia="Verdana" w:cs="Verdana"/>
          <w:szCs w:val="18"/>
          <w:lang w:val="nl-NL"/>
        </w:rPr>
        <w:t>owel Nederland als Duitsland</w:t>
      </w:r>
      <w:r w:rsidR="00BB5EC1" w:rsidRPr="00A33930">
        <w:rPr>
          <w:rFonts w:eastAsia="Verdana" w:cs="Verdana"/>
          <w:szCs w:val="18"/>
          <w:lang w:val="nl-NL"/>
        </w:rPr>
        <w:t xml:space="preserve"> voorzien in een eigen</w:t>
      </w:r>
      <w:r w:rsidR="006C494F" w:rsidRPr="00A33930">
        <w:rPr>
          <w:rFonts w:eastAsia="Verdana" w:cs="Verdana"/>
          <w:szCs w:val="18"/>
          <w:lang w:val="nl-NL"/>
        </w:rPr>
        <w:t xml:space="preserve"> recht op persoonlijk contact van het kind. Bovenstaande </w:t>
      </w:r>
      <w:r w:rsidR="00BB5EC1" w:rsidRPr="00A33930">
        <w:rPr>
          <w:rFonts w:eastAsia="Verdana" w:cs="Verdana"/>
          <w:szCs w:val="18"/>
          <w:lang w:val="nl-NL"/>
        </w:rPr>
        <w:t>onderzoeksresultaten</w:t>
      </w:r>
      <w:r w:rsidR="000959D3" w:rsidRPr="00A33930">
        <w:rPr>
          <w:rFonts w:eastAsia="Verdana" w:cs="Verdana"/>
          <w:szCs w:val="18"/>
          <w:lang w:val="nl-NL"/>
        </w:rPr>
        <w:t xml:space="preserve"> </w:t>
      </w:r>
      <w:r w:rsidR="00BB5EC1" w:rsidRPr="00A33930">
        <w:rPr>
          <w:rFonts w:eastAsia="Verdana" w:cs="Verdana"/>
          <w:szCs w:val="18"/>
          <w:lang w:val="nl-NL"/>
        </w:rPr>
        <w:t>tonen</w:t>
      </w:r>
      <w:r w:rsidR="000959D3" w:rsidRPr="00A33930">
        <w:rPr>
          <w:rFonts w:eastAsia="Verdana" w:cs="Verdana"/>
          <w:szCs w:val="18"/>
          <w:lang w:val="nl-NL"/>
        </w:rPr>
        <w:t xml:space="preserve"> aan dat het </w:t>
      </w:r>
      <w:r w:rsidR="004E250A" w:rsidRPr="00A33930">
        <w:rPr>
          <w:rFonts w:eastAsia="Verdana" w:cs="Verdana"/>
          <w:szCs w:val="18"/>
          <w:lang w:val="nl-NL"/>
        </w:rPr>
        <w:t>Duitse</w:t>
      </w:r>
      <w:r w:rsidR="000959D3" w:rsidRPr="00A33930">
        <w:rPr>
          <w:rFonts w:eastAsia="Verdana" w:cs="Verdana"/>
          <w:szCs w:val="18"/>
          <w:lang w:val="nl-NL"/>
        </w:rPr>
        <w:t xml:space="preserve"> recht de meeste mogelijkheden toekent aan het kind</w:t>
      </w:r>
      <w:r w:rsidR="009A1941" w:rsidRPr="00A33930">
        <w:rPr>
          <w:rFonts w:eastAsia="Verdana" w:cs="Verdana"/>
          <w:szCs w:val="18"/>
          <w:lang w:val="nl-NL"/>
        </w:rPr>
        <w:t xml:space="preserve"> om dit recht ook effectief te garanderen</w:t>
      </w:r>
      <w:r w:rsidRPr="00A33930">
        <w:rPr>
          <w:rFonts w:eastAsia="Verdana" w:cs="Verdana"/>
          <w:szCs w:val="18"/>
          <w:lang w:val="nl-NL"/>
        </w:rPr>
        <w:t>.</w:t>
      </w:r>
      <w:r w:rsidR="006C494F" w:rsidRPr="00A33930">
        <w:rPr>
          <w:rFonts w:eastAsia="Verdana" w:cs="Verdana"/>
          <w:szCs w:val="18"/>
          <w:lang w:val="nl-NL"/>
        </w:rPr>
        <w:t xml:space="preserve"> </w:t>
      </w:r>
      <w:r w:rsidR="00282ED3" w:rsidRPr="00A33930">
        <w:rPr>
          <w:rFonts w:eastAsia="Verdana" w:cs="Verdana"/>
          <w:szCs w:val="18"/>
          <w:lang w:val="nl-NL"/>
        </w:rPr>
        <w:t xml:space="preserve">De Duitse wetgever draagt hierdoor ook het meest zorg voor de mensenrechtelijke verplichtingen. </w:t>
      </w:r>
      <w:r w:rsidR="006C494F" w:rsidRPr="00A33930">
        <w:rPr>
          <w:rFonts w:eastAsia="Verdana" w:cs="Verdana"/>
          <w:szCs w:val="18"/>
          <w:lang w:val="nl-NL"/>
        </w:rPr>
        <w:t xml:space="preserve">De Belgische wetgever kan hoe dan ook inspiratie halen uit beide rechtsstelsels omdat zij verschillende maatregelen hebben ontworpen om het eigen recht van het kind op persoonlijk contact, ondanks zijn procesonbekwaamheid, toch te </w:t>
      </w:r>
      <w:r w:rsidRPr="00A33930">
        <w:rPr>
          <w:rFonts w:eastAsia="Verdana" w:cs="Verdana"/>
          <w:szCs w:val="18"/>
          <w:lang w:val="nl-NL"/>
        </w:rPr>
        <w:t>garanderen</w:t>
      </w:r>
      <w:r w:rsidR="006C494F" w:rsidRPr="00A33930">
        <w:rPr>
          <w:rFonts w:eastAsia="Verdana" w:cs="Verdana"/>
          <w:szCs w:val="18"/>
          <w:lang w:val="nl-NL"/>
        </w:rPr>
        <w:t xml:space="preserve">. De Belgische wetgever hinkt met zijn objectgedachte duidelijk achterop. Beide buurlanden hebben deze visie reeds lange tijd verlaten. Bovendien gaan zij verder dan het louter inschrijven van een symbolisch recht door </w:t>
      </w:r>
      <w:r w:rsidR="00282ED3" w:rsidRPr="00A33930">
        <w:rPr>
          <w:rFonts w:eastAsia="Verdana" w:cs="Verdana"/>
          <w:szCs w:val="18"/>
          <w:lang w:val="nl-NL"/>
        </w:rPr>
        <w:t xml:space="preserve">hiervoor </w:t>
      </w:r>
      <w:r w:rsidR="00BB5EC1" w:rsidRPr="00A33930">
        <w:rPr>
          <w:rFonts w:eastAsia="Verdana" w:cs="Verdana"/>
          <w:szCs w:val="18"/>
          <w:lang w:val="nl-NL"/>
        </w:rPr>
        <w:t xml:space="preserve">ook </w:t>
      </w:r>
      <w:r w:rsidR="006C494F" w:rsidRPr="00A33930">
        <w:rPr>
          <w:rFonts w:eastAsia="Verdana" w:cs="Verdana"/>
          <w:szCs w:val="18"/>
          <w:lang w:val="nl-NL"/>
        </w:rPr>
        <w:t xml:space="preserve">praktische maatregelen uit te werken. Waar in België voor meerderjarigen slechts een </w:t>
      </w:r>
      <w:r w:rsidR="006C494F" w:rsidRPr="00A33930">
        <w:rPr>
          <w:rFonts w:eastAsia="Verdana" w:cs="Verdana"/>
          <w:i/>
          <w:iCs/>
          <w:szCs w:val="18"/>
          <w:lang w:val="nl-NL"/>
        </w:rPr>
        <w:t>recht</w:t>
      </w:r>
      <w:r w:rsidR="006C494F" w:rsidRPr="00A33930">
        <w:rPr>
          <w:rFonts w:eastAsia="Verdana" w:cs="Verdana"/>
          <w:szCs w:val="18"/>
          <w:lang w:val="nl-NL"/>
        </w:rPr>
        <w:t xml:space="preserve"> en geen </w:t>
      </w:r>
      <w:r w:rsidR="006C494F" w:rsidRPr="00A33930">
        <w:rPr>
          <w:rFonts w:eastAsia="Verdana" w:cs="Verdana"/>
          <w:i/>
          <w:iCs/>
          <w:szCs w:val="18"/>
          <w:lang w:val="nl-NL"/>
        </w:rPr>
        <w:t>plicht</w:t>
      </w:r>
      <w:r w:rsidR="006C494F" w:rsidRPr="00A33930">
        <w:rPr>
          <w:rFonts w:eastAsia="Verdana" w:cs="Verdana"/>
          <w:szCs w:val="18"/>
          <w:lang w:val="nl-NL"/>
        </w:rPr>
        <w:t xml:space="preserve"> op persoonlijk contact bestaat, is dat in Nederland en Duitsland wel het geval. Een inschrijving van deze plicht </w:t>
      </w:r>
      <w:r w:rsidR="00282ED3" w:rsidRPr="00A33930">
        <w:rPr>
          <w:rFonts w:eastAsia="Verdana" w:cs="Verdana"/>
          <w:szCs w:val="18"/>
          <w:lang w:val="nl-NL"/>
        </w:rPr>
        <w:t>vormt</w:t>
      </w:r>
      <w:r w:rsidR="006C494F" w:rsidRPr="00A33930">
        <w:rPr>
          <w:rFonts w:eastAsia="Verdana" w:cs="Verdana"/>
          <w:szCs w:val="18"/>
          <w:lang w:val="nl-NL"/>
        </w:rPr>
        <w:t xml:space="preserve"> </w:t>
      </w:r>
      <w:r w:rsidRPr="00A33930">
        <w:rPr>
          <w:rFonts w:eastAsia="Verdana" w:cs="Verdana"/>
          <w:szCs w:val="18"/>
          <w:lang w:val="nl-NL"/>
        </w:rPr>
        <w:t>m</w:t>
      </w:r>
      <w:r w:rsidR="00282ED3" w:rsidRPr="00A33930">
        <w:rPr>
          <w:rFonts w:eastAsia="Verdana" w:cs="Verdana"/>
          <w:szCs w:val="18"/>
          <w:lang w:val="nl-NL"/>
        </w:rPr>
        <w:t>ijns inziens</w:t>
      </w:r>
      <w:r w:rsidR="006C494F" w:rsidRPr="00A33930">
        <w:rPr>
          <w:rFonts w:eastAsia="Verdana" w:cs="Verdana"/>
          <w:szCs w:val="18"/>
          <w:lang w:val="nl-NL"/>
        </w:rPr>
        <w:t xml:space="preserve"> al een </w:t>
      </w:r>
      <w:r w:rsidR="00F03A89" w:rsidRPr="00A33930">
        <w:rPr>
          <w:rFonts w:eastAsia="Verdana" w:cs="Verdana"/>
          <w:szCs w:val="18"/>
          <w:lang w:val="nl-NL"/>
        </w:rPr>
        <w:t xml:space="preserve">eerste en </w:t>
      </w:r>
      <w:r w:rsidR="009A1941" w:rsidRPr="00A33930">
        <w:rPr>
          <w:rFonts w:eastAsia="Verdana" w:cs="Verdana"/>
          <w:szCs w:val="18"/>
          <w:lang w:val="nl-NL"/>
        </w:rPr>
        <w:t>belangrijke</w:t>
      </w:r>
      <w:r w:rsidR="006C494F" w:rsidRPr="00A33930">
        <w:rPr>
          <w:rFonts w:eastAsia="Verdana" w:cs="Verdana"/>
          <w:szCs w:val="18"/>
          <w:lang w:val="nl-NL"/>
        </w:rPr>
        <w:t xml:space="preserve"> </w:t>
      </w:r>
      <w:r w:rsidR="009A1941" w:rsidRPr="00A33930">
        <w:rPr>
          <w:rFonts w:eastAsia="Verdana" w:cs="Verdana"/>
          <w:szCs w:val="18"/>
          <w:lang w:val="nl-NL"/>
        </w:rPr>
        <w:t>aanpassing</w:t>
      </w:r>
      <w:r w:rsidR="006C494F" w:rsidRPr="00A33930">
        <w:rPr>
          <w:rFonts w:eastAsia="Verdana" w:cs="Verdana"/>
          <w:szCs w:val="18"/>
          <w:lang w:val="nl-NL"/>
        </w:rPr>
        <w:t xml:space="preserve"> </w:t>
      </w:r>
      <w:r w:rsidR="00A158E3" w:rsidRPr="00A33930">
        <w:rPr>
          <w:rFonts w:eastAsia="Verdana" w:cs="Verdana"/>
          <w:szCs w:val="18"/>
          <w:lang w:val="nl-NL"/>
        </w:rPr>
        <w:t xml:space="preserve">om overeenstemming met de mensenrechtelijke verplichtingen te </w:t>
      </w:r>
      <w:r w:rsidR="009A1941" w:rsidRPr="00A33930">
        <w:rPr>
          <w:rFonts w:eastAsia="Verdana" w:cs="Verdana"/>
          <w:szCs w:val="18"/>
          <w:lang w:val="nl-NL"/>
        </w:rPr>
        <w:t>bereiken (</w:t>
      </w:r>
      <w:r w:rsidR="009A1941" w:rsidRPr="00A33930">
        <w:rPr>
          <w:rFonts w:eastAsia="Verdana" w:cs="Verdana"/>
          <w:i/>
          <w:iCs/>
          <w:szCs w:val="18"/>
          <w:lang w:val="nl-NL"/>
        </w:rPr>
        <w:t>infra</w:t>
      </w:r>
      <w:r w:rsidR="009A1941" w:rsidRPr="00A33930">
        <w:rPr>
          <w:rFonts w:eastAsia="Verdana" w:cs="Verdana"/>
          <w:szCs w:val="18"/>
          <w:lang w:val="nl-NL"/>
        </w:rPr>
        <w:t xml:space="preserve">, </w:t>
      </w:r>
      <w:r w:rsidR="00AB660B" w:rsidRPr="00A33930">
        <w:rPr>
          <w:rFonts w:eastAsia="Verdana" w:cs="Verdana"/>
          <w:szCs w:val="18"/>
          <w:lang w:val="nl-NL"/>
        </w:rPr>
        <w:t>deel IV</w:t>
      </w:r>
      <w:r w:rsidR="009A1941" w:rsidRPr="00A33930">
        <w:rPr>
          <w:rFonts w:eastAsia="Verdana" w:cs="Verdana"/>
          <w:szCs w:val="18"/>
          <w:lang w:val="nl-NL"/>
        </w:rPr>
        <w:t>)</w:t>
      </w:r>
      <w:r w:rsidR="00A158E3" w:rsidRPr="00A33930">
        <w:rPr>
          <w:rFonts w:eastAsia="Verdana" w:cs="Verdana"/>
          <w:szCs w:val="18"/>
          <w:lang w:val="nl-NL"/>
        </w:rPr>
        <w:t>.</w:t>
      </w:r>
      <w:r w:rsidR="00BE2CE1" w:rsidRPr="00A33930">
        <w:rPr>
          <w:sz w:val="22"/>
          <w:lang w:val="nl-NL"/>
        </w:rPr>
        <w:br w:type="page"/>
      </w:r>
    </w:p>
    <w:p w14:paraId="67481013" w14:textId="020536A9" w:rsidR="004D631D" w:rsidRPr="00A33930" w:rsidRDefault="004D631D" w:rsidP="004D631D">
      <w:pPr>
        <w:pStyle w:val="Kop1"/>
        <w:jc w:val="both"/>
        <w:rPr>
          <w:sz w:val="22"/>
          <w:szCs w:val="22"/>
          <w:lang w:val="nl-NL"/>
        </w:rPr>
      </w:pPr>
      <w:bookmarkStart w:id="43" w:name="_Toc134621202"/>
      <w:r w:rsidRPr="00A33930">
        <w:rPr>
          <w:sz w:val="22"/>
          <w:szCs w:val="22"/>
          <w:lang w:val="nl-NL"/>
        </w:rPr>
        <w:lastRenderedPageBreak/>
        <w:t>DEEL IV.</w:t>
      </w:r>
      <w:r w:rsidRPr="00A33930">
        <w:rPr>
          <w:sz w:val="22"/>
          <w:szCs w:val="22"/>
          <w:lang w:val="nl-NL"/>
        </w:rPr>
        <w:tab/>
      </w:r>
      <w:r w:rsidR="00C24E39" w:rsidRPr="00A33930">
        <w:rPr>
          <w:sz w:val="22"/>
          <w:szCs w:val="22"/>
          <w:lang w:val="nl-NL"/>
        </w:rPr>
        <w:t xml:space="preserve">BESLUIT: </w:t>
      </w:r>
      <w:r w:rsidR="003B5486" w:rsidRPr="00A33930">
        <w:rPr>
          <w:sz w:val="22"/>
          <w:szCs w:val="22"/>
          <w:lang w:val="nl-NL"/>
        </w:rPr>
        <w:t>HET RECHT OP PERSOONLIJK CONTACT VAN HET KIND</w:t>
      </w:r>
      <w:r w:rsidR="00C24E39" w:rsidRPr="00A33930">
        <w:rPr>
          <w:sz w:val="22"/>
          <w:szCs w:val="22"/>
          <w:lang w:val="nl-NL"/>
        </w:rPr>
        <w:t xml:space="preserve"> – </w:t>
      </w:r>
      <w:r w:rsidR="009E49CE" w:rsidRPr="00A33930">
        <w:rPr>
          <w:sz w:val="22"/>
          <w:szCs w:val="22"/>
          <w:lang w:val="nl-NL"/>
        </w:rPr>
        <w:t>DE LEGE FERENDA</w:t>
      </w:r>
      <w:bookmarkEnd w:id="43"/>
    </w:p>
    <w:p w14:paraId="0B590177" w14:textId="3456749E" w:rsidR="00C66EAF" w:rsidRPr="00A33930" w:rsidRDefault="004C55E2" w:rsidP="00C66EAF">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In het licht van de voorgaande onderzoeksresultaten wordt in dit laatste deel </w:t>
      </w:r>
      <w:r w:rsidR="008F3AFC" w:rsidRPr="00A33930">
        <w:rPr>
          <w:rFonts w:eastAsia="Verdana" w:cs="Verdana"/>
          <w:szCs w:val="18"/>
          <w:lang w:val="nl-NL"/>
        </w:rPr>
        <w:t xml:space="preserve">nagegaan of er </w:t>
      </w:r>
      <w:r w:rsidR="006D3BD0" w:rsidRPr="00A33930">
        <w:rPr>
          <w:rFonts w:eastAsia="Verdana" w:cs="Verdana"/>
          <w:szCs w:val="18"/>
          <w:lang w:val="nl-NL"/>
        </w:rPr>
        <w:t xml:space="preserve">een </w:t>
      </w:r>
      <w:r w:rsidR="008F3AFC" w:rsidRPr="00A33930">
        <w:rPr>
          <w:rFonts w:eastAsia="Verdana" w:cs="Verdana"/>
          <w:szCs w:val="18"/>
          <w:lang w:val="nl-NL"/>
        </w:rPr>
        <w:t xml:space="preserve">noodzaak </w:t>
      </w:r>
      <w:r w:rsidR="006D3BD0" w:rsidRPr="00A33930">
        <w:rPr>
          <w:rFonts w:eastAsia="Verdana" w:cs="Verdana"/>
          <w:szCs w:val="18"/>
          <w:lang w:val="nl-NL"/>
        </w:rPr>
        <w:t>bestaat</w:t>
      </w:r>
      <w:r w:rsidR="0008273F" w:rsidRPr="00A33930">
        <w:rPr>
          <w:rFonts w:eastAsia="Verdana" w:cs="Verdana"/>
          <w:szCs w:val="18"/>
          <w:lang w:val="nl-NL"/>
        </w:rPr>
        <w:t xml:space="preserve"> tot</w:t>
      </w:r>
      <w:r w:rsidR="008F3AFC" w:rsidRPr="00A33930">
        <w:rPr>
          <w:rFonts w:eastAsia="Verdana" w:cs="Verdana"/>
          <w:szCs w:val="18"/>
          <w:lang w:val="nl-NL"/>
        </w:rPr>
        <w:t xml:space="preserve"> </w:t>
      </w:r>
      <w:r w:rsidR="0008273F" w:rsidRPr="00A33930">
        <w:rPr>
          <w:rFonts w:eastAsia="Verdana" w:cs="Verdana"/>
          <w:szCs w:val="18"/>
          <w:lang w:val="nl-NL"/>
        </w:rPr>
        <w:t>aanpassing</w:t>
      </w:r>
      <w:r w:rsidR="008F3AFC" w:rsidRPr="00A33930">
        <w:rPr>
          <w:rFonts w:eastAsia="Verdana" w:cs="Verdana"/>
          <w:szCs w:val="18"/>
          <w:lang w:val="nl-NL"/>
        </w:rPr>
        <w:t xml:space="preserve"> van het recht op persoonlijk contact in de Belgische wetgeving. </w:t>
      </w:r>
      <w:r w:rsidR="0008273F" w:rsidRPr="00A33930">
        <w:rPr>
          <w:rFonts w:eastAsia="Verdana" w:cs="Verdana"/>
          <w:szCs w:val="18"/>
          <w:lang w:val="nl-NL"/>
        </w:rPr>
        <w:t>De centrale onderzoeksvraag die aan het einde van dit onderzoek moet worden beantwoord is hoe de Belgische regelgeving betreffende het recht op persoonlijk contact van het kind in overeenstemming gebracht kan worden met de mensenrechtelijke verplichtingen uit artikel 9.3 IVRK en artikel 8.1 EVRM (</w:t>
      </w:r>
      <w:r w:rsidR="0008273F" w:rsidRPr="00A33930">
        <w:rPr>
          <w:rFonts w:eastAsia="Verdana" w:cs="Verdana"/>
          <w:i/>
          <w:iCs/>
          <w:szCs w:val="18"/>
          <w:lang w:val="nl-NL"/>
        </w:rPr>
        <w:t>supra</w:t>
      </w:r>
      <w:r w:rsidR="0008273F" w:rsidRPr="00A33930">
        <w:rPr>
          <w:rFonts w:eastAsia="Verdana" w:cs="Verdana"/>
          <w:szCs w:val="18"/>
          <w:lang w:val="nl-NL"/>
        </w:rPr>
        <w:t xml:space="preserve">, nr. </w:t>
      </w:r>
      <w:r w:rsidR="000C7187" w:rsidRPr="00A33930">
        <w:rPr>
          <w:rFonts w:eastAsia="Verdana" w:cs="Verdana"/>
          <w:szCs w:val="18"/>
          <w:lang w:val="nl-NL"/>
        </w:rPr>
        <w:t>9</w:t>
      </w:r>
      <w:r w:rsidR="0008273F" w:rsidRPr="00A33930">
        <w:rPr>
          <w:rFonts w:eastAsia="Verdana" w:cs="Verdana"/>
          <w:szCs w:val="18"/>
          <w:lang w:val="nl-NL"/>
        </w:rPr>
        <w:t xml:space="preserve">). </w:t>
      </w:r>
      <w:r w:rsidRPr="00A33930">
        <w:rPr>
          <w:rFonts w:eastAsia="Verdana" w:cs="Verdana"/>
          <w:szCs w:val="18"/>
          <w:lang w:val="nl-NL"/>
        </w:rPr>
        <w:t>Er wordt onderzocht</w:t>
      </w:r>
      <w:r w:rsidR="008F3AFC" w:rsidRPr="00A33930">
        <w:rPr>
          <w:rFonts w:eastAsia="Verdana" w:cs="Verdana"/>
          <w:szCs w:val="18"/>
          <w:lang w:val="nl-NL"/>
        </w:rPr>
        <w:t xml:space="preserve"> welke aanpassingen mogelijk zijn en hoe deze leiden tot overeenstemming met de mensenrechtelijke verplichtingen</w:t>
      </w:r>
      <w:r w:rsidR="006D3BD0" w:rsidRPr="00A33930">
        <w:rPr>
          <w:rFonts w:eastAsia="Verdana" w:cs="Verdana"/>
          <w:szCs w:val="18"/>
          <w:lang w:val="nl-NL"/>
        </w:rPr>
        <w:t xml:space="preserve"> (</w:t>
      </w:r>
      <w:r w:rsidR="006D3BD0" w:rsidRPr="00A33930">
        <w:rPr>
          <w:rFonts w:eastAsia="Verdana" w:cs="Verdana"/>
          <w:i/>
          <w:iCs/>
          <w:szCs w:val="18"/>
          <w:lang w:val="nl-NL"/>
        </w:rPr>
        <w:t>supra</w:t>
      </w:r>
      <w:r w:rsidR="006D3BD0" w:rsidRPr="00A33930">
        <w:rPr>
          <w:rFonts w:eastAsia="Verdana" w:cs="Verdana"/>
          <w:szCs w:val="18"/>
          <w:lang w:val="nl-NL"/>
        </w:rPr>
        <w:t>, deel I)</w:t>
      </w:r>
      <w:r w:rsidR="008F3AFC" w:rsidRPr="00A33930">
        <w:rPr>
          <w:rFonts w:eastAsia="Verdana" w:cs="Verdana"/>
          <w:szCs w:val="18"/>
          <w:lang w:val="nl-NL"/>
        </w:rPr>
        <w:t>.</w:t>
      </w:r>
    </w:p>
    <w:p w14:paraId="731F005E" w14:textId="04C9ABA2" w:rsidR="00F4363A" w:rsidRPr="00A33930" w:rsidRDefault="00C66EAF" w:rsidP="00C66EAF">
      <w:pPr>
        <w:pStyle w:val="Kop2"/>
        <w:numPr>
          <w:ilvl w:val="0"/>
          <w:numId w:val="0"/>
        </w:numPr>
        <w:spacing w:before="240"/>
        <w:ind w:left="357" w:hanging="357"/>
        <w:jc w:val="both"/>
        <w:rPr>
          <w:sz w:val="20"/>
          <w:szCs w:val="28"/>
          <w:lang w:val="nl-NL"/>
        </w:rPr>
      </w:pPr>
      <w:bookmarkStart w:id="44" w:name="_Toc134621203"/>
      <w:r w:rsidRPr="00A33930">
        <w:rPr>
          <w:sz w:val="20"/>
          <w:szCs w:val="28"/>
          <w:lang w:val="nl-NL"/>
        </w:rPr>
        <w:t>HOOFDSTUK I.</w:t>
      </w:r>
      <w:r w:rsidRPr="00A33930">
        <w:rPr>
          <w:sz w:val="20"/>
          <w:szCs w:val="28"/>
          <w:lang w:val="nl-NL"/>
        </w:rPr>
        <w:tab/>
        <w:t>NOODZAAK AAN EIGEN RECHT OP PERSOONLIJK CONTACT?</w:t>
      </w:r>
      <w:bookmarkEnd w:id="44"/>
    </w:p>
    <w:p w14:paraId="23194D0A" w14:textId="2D18A641" w:rsidR="008E0EC7" w:rsidRPr="00A33930" w:rsidRDefault="00417022" w:rsidP="008E0EC7">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Een moderne samenleving vraagt om een modern </w:t>
      </w:r>
      <w:r w:rsidR="00E57778" w:rsidRPr="00A33930">
        <w:rPr>
          <w:rFonts w:eastAsia="Verdana" w:cs="Verdana"/>
          <w:szCs w:val="18"/>
          <w:lang w:val="nl-NL"/>
        </w:rPr>
        <w:t>kindperspectief</w:t>
      </w:r>
      <w:r w:rsidRPr="00A33930">
        <w:rPr>
          <w:rFonts w:eastAsia="Verdana" w:cs="Verdana"/>
          <w:szCs w:val="18"/>
          <w:lang w:val="nl-NL"/>
        </w:rPr>
        <w:t xml:space="preserve">. </w:t>
      </w:r>
      <w:r w:rsidR="00837A4C" w:rsidRPr="00A33930">
        <w:rPr>
          <w:rFonts w:eastAsia="Verdana" w:cs="Verdana"/>
          <w:szCs w:val="18"/>
          <w:lang w:val="nl-NL"/>
        </w:rPr>
        <w:t xml:space="preserve">Zowel het IVRK als het EVRM beschouwen het kind </w:t>
      </w:r>
      <w:r w:rsidRPr="00A33930">
        <w:rPr>
          <w:rFonts w:eastAsia="Verdana" w:cs="Verdana"/>
          <w:szCs w:val="18"/>
          <w:lang w:val="nl-NL"/>
        </w:rPr>
        <w:t xml:space="preserve">dan ook </w:t>
      </w:r>
      <w:r w:rsidR="00837A4C" w:rsidRPr="00A33930">
        <w:rPr>
          <w:rFonts w:eastAsia="Verdana" w:cs="Verdana"/>
          <w:szCs w:val="18"/>
          <w:lang w:val="nl-NL"/>
        </w:rPr>
        <w:t>als rechtssubject</w:t>
      </w:r>
      <w:r w:rsidRPr="00A33930">
        <w:rPr>
          <w:rFonts w:eastAsia="Verdana" w:cs="Verdana"/>
          <w:szCs w:val="18"/>
          <w:lang w:val="nl-NL"/>
        </w:rPr>
        <w:t>. Het kind is</w:t>
      </w:r>
      <w:r w:rsidR="00837A4C" w:rsidRPr="00A33930">
        <w:rPr>
          <w:rFonts w:eastAsia="Verdana" w:cs="Verdana"/>
          <w:szCs w:val="18"/>
          <w:lang w:val="nl-NL"/>
        </w:rPr>
        <w:t xml:space="preserve"> </w:t>
      </w:r>
      <w:r w:rsidRPr="00A33930">
        <w:rPr>
          <w:rFonts w:eastAsia="Verdana" w:cs="Verdana"/>
          <w:szCs w:val="18"/>
          <w:lang w:val="nl-NL"/>
        </w:rPr>
        <w:t>hierdoor titularis</w:t>
      </w:r>
      <w:r w:rsidR="00837A4C" w:rsidRPr="00A33930">
        <w:rPr>
          <w:rFonts w:eastAsia="Verdana" w:cs="Verdana"/>
          <w:szCs w:val="18"/>
          <w:lang w:val="nl-NL"/>
        </w:rPr>
        <w:t xml:space="preserve"> van een eigen recht op persoonlijk contact</w:t>
      </w:r>
      <w:r w:rsidRPr="00A33930">
        <w:rPr>
          <w:rFonts w:eastAsia="Verdana" w:cs="Verdana"/>
          <w:szCs w:val="18"/>
          <w:lang w:val="nl-NL"/>
        </w:rPr>
        <w:t xml:space="preserve"> (</w:t>
      </w:r>
      <w:r w:rsidRPr="00A33930">
        <w:rPr>
          <w:rFonts w:eastAsia="Verdana" w:cs="Verdana"/>
          <w:i/>
          <w:iCs/>
          <w:szCs w:val="18"/>
          <w:lang w:val="nl-NL"/>
        </w:rPr>
        <w:t>supra</w:t>
      </w:r>
      <w:r w:rsidRPr="00A33930">
        <w:rPr>
          <w:rFonts w:eastAsia="Verdana" w:cs="Verdana"/>
          <w:szCs w:val="18"/>
          <w:lang w:val="nl-NL"/>
        </w:rPr>
        <w:t>, nr. 32)</w:t>
      </w:r>
      <w:r w:rsidR="00837A4C" w:rsidRPr="00A33930">
        <w:rPr>
          <w:rFonts w:eastAsia="Verdana" w:cs="Verdana"/>
          <w:szCs w:val="18"/>
          <w:lang w:val="nl-NL"/>
        </w:rPr>
        <w:t xml:space="preserve">. </w:t>
      </w:r>
      <w:r w:rsidRPr="00A33930">
        <w:rPr>
          <w:rFonts w:eastAsia="Verdana" w:cs="Verdana"/>
          <w:szCs w:val="18"/>
          <w:lang w:val="nl-NL"/>
        </w:rPr>
        <w:t>Dat wil zeggen dat het kind in theorie in de mogelijkheid moet zijn om zijn rechten te kunnen invullen, uitoefenen en afdwingen. In artikel 9.3 IVRK wordt een eigen contactrecht toegekend aan het kind, met centraal de beoordeling van zijn belangen (</w:t>
      </w:r>
      <w:r w:rsidRPr="00A33930">
        <w:rPr>
          <w:rFonts w:eastAsia="Verdana" w:cs="Verdana"/>
          <w:i/>
          <w:iCs/>
          <w:szCs w:val="18"/>
          <w:lang w:val="nl-NL"/>
        </w:rPr>
        <w:t>supra</w:t>
      </w:r>
      <w:r w:rsidRPr="00A33930">
        <w:rPr>
          <w:rFonts w:eastAsia="Verdana" w:cs="Verdana"/>
          <w:szCs w:val="18"/>
          <w:lang w:val="nl-NL"/>
        </w:rPr>
        <w:t>, nr. 41). Het IVRK verleent het kind wel een sterke rechtspositie, maar heeft onvoldoende slagkracht (</w:t>
      </w:r>
      <w:r w:rsidRPr="00A33930">
        <w:rPr>
          <w:rFonts w:eastAsia="Verdana" w:cs="Verdana"/>
          <w:i/>
          <w:iCs/>
          <w:szCs w:val="18"/>
          <w:lang w:val="nl-NL"/>
        </w:rPr>
        <w:t>supra</w:t>
      </w:r>
      <w:r w:rsidRPr="00A33930">
        <w:rPr>
          <w:rFonts w:eastAsia="Verdana" w:cs="Verdana"/>
          <w:szCs w:val="18"/>
          <w:lang w:val="nl-NL"/>
        </w:rPr>
        <w:t xml:space="preserve">, nr. 29). </w:t>
      </w:r>
      <w:r w:rsidR="000D4B4A" w:rsidRPr="00A33930">
        <w:rPr>
          <w:rFonts w:eastAsia="Verdana" w:cs="Verdana"/>
          <w:szCs w:val="18"/>
          <w:lang w:val="nl-NL"/>
        </w:rPr>
        <w:t>Deze slagkracht</w:t>
      </w:r>
      <w:r w:rsidR="002601A1" w:rsidRPr="00A33930">
        <w:rPr>
          <w:rFonts w:eastAsia="Verdana" w:cs="Verdana"/>
          <w:szCs w:val="18"/>
          <w:lang w:val="nl-NL"/>
        </w:rPr>
        <w:t xml:space="preserve"> wordt </w:t>
      </w:r>
      <w:r w:rsidR="000D4B4A" w:rsidRPr="00A33930">
        <w:rPr>
          <w:rFonts w:eastAsia="Verdana" w:cs="Verdana"/>
          <w:szCs w:val="18"/>
          <w:lang w:val="nl-NL"/>
        </w:rPr>
        <w:t xml:space="preserve">wel </w:t>
      </w:r>
      <w:r w:rsidR="002601A1" w:rsidRPr="00A33930">
        <w:rPr>
          <w:rFonts w:eastAsia="Verdana" w:cs="Verdana"/>
          <w:szCs w:val="18"/>
          <w:lang w:val="nl-NL"/>
        </w:rPr>
        <w:t>versterkt door het</w:t>
      </w:r>
      <w:r w:rsidRPr="00A33930">
        <w:rPr>
          <w:rFonts w:eastAsia="Verdana" w:cs="Verdana"/>
          <w:szCs w:val="18"/>
          <w:lang w:val="nl-NL"/>
        </w:rPr>
        <w:t xml:space="preserve"> EHRM, dat in zijn beoordeling van artikel 8.1 EVRM rekening houdt met artikel 9.3 IVRK</w:t>
      </w:r>
      <w:r w:rsidR="00D327E0" w:rsidRPr="00A33930">
        <w:rPr>
          <w:rFonts w:eastAsia="Verdana" w:cs="Verdana"/>
          <w:szCs w:val="18"/>
          <w:lang w:val="nl-NL"/>
        </w:rPr>
        <w:t xml:space="preserve"> </w:t>
      </w:r>
      <w:r w:rsidRPr="00A33930">
        <w:rPr>
          <w:rFonts w:eastAsia="Verdana" w:cs="Verdana"/>
          <w:szCs w:val="18"/>
          <w:lang w:val="nl-NL"/>
        </w:rPr>
        <w:t>(</w:t>
      </w:r>
      <w:r w:rsidRPr="00A33930">
        <w:rPr>
          <w:rFonts w:eastAsia="Verdana" w:cs="Verdana"/>
          <w:i/>
          <w:iCs/>
          <w:szCs w:val="18"/>
          <w:lang w:val="nl-NL"/>
        </w:rPr>
        <w:t>supra</w:t>
      </w:r>
      <w:r w:rsidRPr="00A33930">
        <w:rPr>
          <w:rFonts w:eastAsia="Verdana" w:cs="Verdana"/>
          <w:szCs w:val="18"/>
          <w:lang w:val="nl-NL"/>
        </w:rPr>
        <w:t xml:space="preserve">, nr. 56). </w:t>
      </w:r>
      <w:r w:rsidR="002601A1" w:rsidRPr="00A33930">
        <w:rPr>
          <w:rFonts w:eastAsia="Verdana" w:cs="Verdana"/>
          <w:szCs w:val="18"/>
          <w:lang w:val="nl-NL"/>
        </w:rPr>
        <w:t>Zowel volwassene</w:t>
      </w:r>
      <w:r w:rsidR="000D4B4A" w:rsidRPr="00A33930">
        <w:rPr>
          <w:rFonts w:eastAsia="Verdana" w:cs="Verdana"/>
          <w:szCs w:val="18"/>
          <w:lang w:val="nl-NL"/>
        </w:rPr>
        <w:t>n</w:t>
      </w:r>
      <w:r w:rsidR="002601A1" w:rsidRPr="00A33930">
        <w:rPr>
          <w:rFonts w:eastAsia="Verdana" w:cs="Verdana"/>
          <w:szCs w:val="18"/>
          <w:lang w:val="nl-NL"/>
        </w:rPr>
        <w:t xml:space="preserve"> als kind</w:t>
      </w:r>
      <w:r w:rsidR="000D4B4A" w:rsidRPr="00A33930">
        <w:rPr>
          <w:rFonts w:eastAsia="Verdana" w:cs="Verdana"/>
          <w:szCs w:val="18"/>
          <w:lang w:val="nl-NL"/>
        </w:rPr>
        <w:t>eren</w:t>
      </w:r>
      <w:r w:rsidR="002601A1" w:rsidRPr="00A33930">
        <w:rPr>
          <w:rFonts w:eastAsia="Verdana" w:cs="Verdana"/>
          <w:szCs w:val="18"/>
          <w:lang w:val="nl-NL"/>
        </w:rPr>
        <w:t xml:space="preserve"> hebben een recht op persoonlijk contact dat wordt beschermd door artikel 8.1 EVRM. </w:t>
      </w:r>
      <w:r w:rsidR="00837A4C" w:rsidRPr="00A33930">
        <w:rPr>
          <w:rFonts w:eastAsia="Verdana" w:cs="Verdana"/>
          <w:szCs w:val="18"/>
          <w:lang w:val="nl-NL"/>
        </w:rPr>
        <w:t xml:space="preserve">Dit recht zou omwille van de juridische doorwerking </w:t>
      </w:r>
      <w:r w:rsidR="006D3BD0" w:rsidRPr="00A33930">
        <w:rPr>
          <w:rFonts w:eastAsia="Verdana" w:cs="Verdana"/>
          <w:szCs w:val="18"/>
          <w:lang w:val="nl-NL"/>
        </w:rPr>
        <w:t xml:space="preserve">zowel door het Belgisch, Nederlands als Duits recht </w:t>
      </w:r>
      <w:r w:rsidR="00837A4C" w:rsidRPr="00A33930">
        <w:rPr>
          <w:rFonts w:eastAsia="Verdana" w:cs="Verdana"/>
          <w:szCs w:val="18"/>
          <w:lang w:val="nl-NL"/>
        </w:rPr>
        <w:t>gegarandeerd en ingeschreven moeten worden</w:t>
      </w:r>
      <w:r w:rsidR="006D3BD0" w:rsidRPr="00A33930">
        <w:rPr>
          <w:rFonts w:eastAsia="Verdana" w:cs="Verdana"/>
          <w:szCs w:val="18"/>
          <w:lang w:val="nl-NL"/>
        </w:rPr>
        <w:t xml:space="preserve"> </w:t>
      </w:r>
      <w:r w:rsidR="00F4363A" w:rsidRPr="00A33930">
        <w:rPr>
          <w:rFonts w:eastAsia="Verdana" w:cs="Verdana"/>
          <w:szCs w:val="18"/>
          <w:lang w:val="nl-NL"/>
        </w:rPr>
        <w:t>(</w:t>
      </w:r>
      <w:r w:rsidR="00F4363A" w:rsidRPr="00A33930">
        <w:rPr>
          <w:rFonts w:eastAsia="Verdana" w:cs="Verdana"/>
          <w:i/>
          <w:iCs/>
          <w:szCs w:val="18"/>
          <w:lang w:val="nl-NL"/>
        </w:rPr>
        <w:t>supra</w:t>
      </w:r>
      <w:r w:rsidR="00F4363A" w:rsidRPr="00A33930">
        <w:rPr>
          <w:rFonts w:eastAsia="Verdana" w:cs="Verdana"/>
          <w:szCs w:val="18"/>
          <w:lang w:val="nl-NL"/>
        </w:rPr>
        <w:t xml:space="preserve">, nr. </w:t>
      </w:r>
      <w:r w:rsidR="000C7187" w:rsidRPr="00A33930">
        <w:rPr>
          <w:rFonts w:eastAsia="Verdana" w:cs="Verdana"/>
          <w:szCs w:val="18"/>
          <w:lang w:val="nl-NL"/>
        </w:rPr>
        <w:t>10</w:t>
      </w:r>
      <w:r w:rsidR="00F4363A" w:rsidRPr="00A33930">
        <w:rPr>
          <w:rFonts w:eastAsia="Verdana" w:cs="Verdana"/>
          <w:szCs w:val="18"/>
          <w:lang w:val="nl-NL"/>
        </w:rPr>
        <w:t>).</w:t>
      </w:r>
      <w:r w:rsidR="00D327E0" w:rsidRPr="00A33930">
        <w:rPr>
          <w:rFonts w:eastAsia="Verdana" w:cs="Verdana"/>
          <w:szCs w:val="18"/>
          <w:lang w:val="nl-NL"/>
        </w:rPr>
        <w:t xml:space="preserve"> Vanuit mensenrechtelijk perspectief </w:t>
      </w:r>
      <w:r w:rsidR="001C278E" w:rsidRPr="00A33930">
        <w:rPr>
          <w:rFonts w:eastAsia="Verdana" w:cs="Verdana"/>
          <w:szCs w:val="18"/>
          <w:lang w:val="nl-NL"/>
        </w:rPr>
        <w:t>moet er</w:t>
      </w:r>
      <w:r w:rsidR="00D327E0" w:rsidRPr="00A33930">
        <w:rPr>
          <w:rFonts w:eastAsia="Verdana" w:cs="Verdana"/>
          <w:szCs w:val="18"/>
          <w:lang w:val="nl-NL"/>
        </w:rPr>
        <w:t xml:space="preserve"> dus gepleit </w:t>
      </w:r>
      <w:r w:rsidR="001C278E" w:rsidRPr="00A33930">
        <w:rPr>
          <w:rFonts w:eastAsia="Verdana" w:cs="Verdana"/>
          <w:szCs w:val="18"/>
          <w:lang w:val="nl-NL"/>
        </w:rPr>
        <w:t>worden voor een wettelijke inschrijving van ee</w:t>
      </w:r>
      <w:r w:rsidR="007053D2" w:rsidRPr="00A33930">
        <w:rPr>
          <w:rFonts w:eastAsia="Verdana" w:cs="Verdana"/>
          <w:szCs w:val="18"/>
          <w:lang w:val="nl-NL"/>
        </w:rPr>
        <w:t>n</w:t>
      </w:r>
      <w:r w:rsidR="00D327E0" w:rsidRPr="00A33930">
        <w:rPr>
          <w:rFonts w:eastAsia="Verdana" w:cs="Verdana"/>
          <w:szCs w:val="18"/>
          <w:lang w:val="nl-NL"/>
        </w:rPr>
        <w:t xml:space="preserve"> </w:t>
      </w:r>
      <w:r w:rsidR="001C278E" w:rsidRPr="00A33930">
        <w:rPr>
          <w:rFonts w:eastAsia="Verdana" w:cs="Verdana"/>
          <w:szCs w:val="18"/>
          <w:lang w:val="nl-NL"/>
        </w:rPr>
        <w:t>eigen contact</w:t>
      </w:r>
      <w:r w:rsidR="00D327E0" w:rsidRPr="00A33930">
        <w:rPr>
          <w:rFonts w:eastAsia="Verdana" w:cs="Verdana"/>
          <w:szCs w:val="18"/>
          <w:lang w:val="nl-NL"/>
        </w:rPr>
        <w:t xml:space="preserve">recht van het kind </w:t>
      </w:r>
      <w:r w:rsidR="001C278E" w:rsidRPr="00A33930">
        <w:rPr>
          <w:rFonts w:eastAsia="Verdana" w:cs="Verdana"/>
          <w:szCs w:val="18"/>
          <w:lang w:val="nl-NL"/>
        </w:rPr>
        <w:t>door de Belgische wetgever</w:t>
      </w:r>
      <w:r w:rsidR="00D327E0" w:rsidRPr="00A33930">
        <w:rPr>
          <w:rFonts w:eastAsia="Verdana" w:cs="Verdana"/>
          <w:szCs w:val="18"/>
          <w:lang w:val="nl-NL"/>
        </w:rPr>
        <w:t>.</w:t>
      </w:r>
    </w:p>
    <w:p w14:paraId="3C92E80C" w14:textId="77777777" w:rsidR="008E0EC7" w:rsidRPr="00A33930" w:rsidRDefault="008E0EC7" w:rsidP="008E0EC7">
      <w:pPr>
        <w:pStyle w:val="Lijstalinea"/>
        <w:spacing w:before="200" w:after="0"/>
        <w:ind w:left="0"/>
        <w:jc w:val="both"/>
        <w:rPr>
          <w:rFonts w:eastAsia="Verdana" w:cs="Verdana"/>
          <w:szCs w:val="18"/>
          <w:lang w:val="nl-NL"/>
        </w:rPr>
      </w:pPr>
    </w:p>
    <w:p w14:paraId="2D7F7BD6" w14:textId="60C5B71A" w:rsidR="008E0EC7" w:rsidRPr="00A33930" w:rsidRDefault="001D4C66" w:rsidP="007053D2">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In het</w:t>
      </w:r>
      <w:r w:rsidR="008E0EC7" w:rsidRPr="00A33930">
        <w:rPr>
          <w:rFonts w:eastAsia="Verdana" w:cs="Verdana"/>
          <w:szCs w:val="18"/>
          <w:lang w:val="nl-NL"/>
        </w:rPr>
        <w:t xml:space="preserve"> Belgische recht </w:t>
      </w:r>
      <w:r w:rsidRPr="00A33930">
        <w:rPr>
          <w:rFonts w:eastAsia="Verdana" w:cs="Verdana"/>
          <w:szCs w:val="18"/>
          <w:lang w:val="nl-NL"/>
        </w:rPr>
        <w:t>wordt</w:t>
      </w:r>
      <w:r w:rsidR="008E0EC7" w:rsidRPr="00A33930">
        <w:rPr>
          <w:rFonts w:eastAsia="Verdana" w:cs="Verdana"/>
          <w:szCs w:val="18"/>
          <w:lang w:val="nl-NL"/>
        </w:rPr>
        <w:t xml:space="preserve"> in </w:t>
      </w:r>
      <w:r w:rsidRPr="00A33930">
        <w:rPr>
          <w:rFonts w:eastAsia="Verdana" w:cs="Verdana"/>
          <w:szCs w:val="18"/>
          <w:lang w:val="nl-NL"/>
        </w:rPr>
        <w:t>de</w:t>
      </w:r>
      <w:r w:rsidR="006D3BD0" w:rsidRPr="00A33930">
        <w:rPr>
          <w:rFonts w:eastAsia="Verdana" w:cs="Verdana"/>
          <w:szCs w:val="18"/>
          <w:lang w:val="nl-NL"/>
        </w:rPr>
        <w:t xml:space="preserve"> wetgeving</w:t>
      </w:r>
      <w:r w:rsidRPr="00A33930">
        <w:rPr>
          <w:rFonts w:eastAsia="Verdana" w:cs="Verdana"/>
          <w:szCs w:val="18"/>
          <w:lang w:val="nl-NL"/>
        </w:rPr>
        <w:t xml:space="preserve"> voorzien</w:t>
      </w:r>
      <w:r w:rsidR="006D3BD0" w:rsidRPr="00A33930">
        <w:rPr>
          <w:rFonts w:eastAsia="Verdana" w:cs="Verdana"/>
          <w:szCs w:val="18"/>
          <w:lang w:val="nl-NL"/>
        </w:rPr>
        <w:t xml:space="preserve"> </w:t>
      </w:r>
      <w:r w:rsidR="008E0EC7" w:rsidRPr="00A33930">
        <w:rPr>
          <w:rFonts w:eastAsia="Verdana" w:cs="Verdana"/>
          <w:szCs w:val="18"/>
          <w:lang w:val="nl-NL"/>
        </w:rPr>
        <w:t xml:space="preserve">in </w:t>
      </w:r>
      <w:r w:rsidRPr="00A33930">
        <w:rPr>
          <w:rFonts w:eastAsia="Verdana" w:cs="Verdana"/>
          <w:szCs w:val="18"/>
          <w:lang w:val="nl-NL"/>
        </w:rPr>
        <w:t>vier categorieën contactgerechtigden die een recht op persoonlijk contact kunnen aanvragen, uitoefenen en afdwingen tenzij het belang van het kind anders vereist (</w:t>
      </w:r>
      <w:r w:rsidRPr="00A33930">
        <w:rPr>
          <w:rFonts w:eastAsia="Verdana" w:cs="Verdana"/>
          <w:i/>
          <w:iCs/>
          <w:szCs w:val="18"/>
          <w:lang w:val="nl-NL"/>
        </w:rPr>
        <w:t>supra</w:t>
      </w:r>
      <w:r w:rsidRPr="00A33930">
        <w:rPr>
          <w:rFonts w:eastAsia="Verdana" w:cs="Verdana"/>
          <w:szCs w:val="18"/>
          <w:lang w:val="nl-NL"/>
        </w:rPr>
        <w:t>, nr</w:t>
      </w:r>
      <w:r w:rsidR="000D4B4A" w:rsidRPr="00A33930">
        <w:rPr>
          <w:rFonts w:eastAsia="Verdana" w:cs="Verdana"/>
          <w:szCs w:val="18"/>
          <w:lang w:val="nl-NL"/>
        </w:rPr>
        <w:t>s</w:t>
      </w:r>
      <w:r w:rsidRPr="00A33930">
        <w:rPr>
          <w:rFonts w:eastAsia="Verdana" w:cs="Verdana"/>
          <w:szCs w:val="18"/>
          <w:lang w:val="nl-NL"/>
        </w:rPr>
        <w:t>. 90-95)</w:t>
      </w:r>
      <w:r w:rsidR="00F4363A" w:rsidRPr="00A33930">
        <w:rPr>
          <w:rFonts w:eastAsia="Verdana" w:cs="Verdana"/>
          <w:szCs w:val="18"/>
          <w:lang w:val="nl-NL"/>
        </w:rPr>
        <w:t>.</w:t>
      </w:r>
      <w:r w:rsidRPr="00A33930">
        <w:rPr>
          <w:rFonts w:eastAsia="Verdana" w:cs="Verdana"/>
          <w:szCs w:val="18"/>
          <w:lang w:val="nl-NL"/>
        </w:rPr>
        <w:t xml:space="preserve"> Deze mogelijkheden bestaan niet voor het kind zelf, waardoor het</w:t>
      </w:r>
      <w:r w:rsidR="008E0EC7" w:rsidRPr="00A33930">
        <w:rPr>
          <w:rFonts w:eastAsia="Verdana" w:cs="Verdana"/>
          <w:szCs w:val="18"/>
          <w:lang w:val="nl-NL"/>
        </w:rPr>
        <w:t xml:space="preserve"> </w:t>
      </w:r>
      <w:r w:rsidR="006D3BD0" w:rsidRPr="00A33930">
        <w:rPr>
          <w:rFonts w:eastAsia="Verdana" w:cs="Verdana"/>
          <w:szCs w:val="18"/>
          <w:lang w:val="nl-NL"/>
        </w:rPr>
        <w:t xml:space="preserve">lijkt te gaan om eenrichtingsverkeer: </w:t>
      </w:r>
      <w:r w:rsidRPr="00A33930">
        <w:rPr>
          <w:rFonts w:eastAsia="Verdana" w:cs="Verdana"/>
          <w:szCs w:val="18"/>
          <w:lang w:val="nl-NL"/>
        </w:rPr>
        <w:t>het recht op persoonlijk contact is een</w:t>
      </w:r>
      <w:r w:rsidR="006D3BD0" w:rsidRPr="00A33930">
        <w:rPr>
          <w:rFonts w:eastAsia="Verdana" w:cs="Verdana"/>
          <w:szCs w:val="18"/>
          <w:lang w:val="nl-NL"/>
        </w:rPr>
        <w:t xml:space="preserve"> recht van de meerderjarige ten aanzien van het kin</w:t>
      </w:r>
      <w:r w:rsidRPr="00A33930">
        <w:rPr>
          <w:rFonts w:eastAsia="Verdana" w:cs="Verdana"/>
          <w:szCs w:val="18"/>
          <w:lang w:val="nl-NL"/>
        </w:rPr>
        <w:t>d (</w:t>
      </w:r>
      <w:r w:rsidRPr="00A33930">
        <w:rPr>
          <w:rFonts w:eastAsia="Verdana" w:cs="Verdana"/>
          <w:i/>
          <w:iCs/>
          <w:szCs w:val="18"/>
          <w:lang w:val="nl-NL"/>
        </w:rPr>
        <w:t>supra</w:t>
      </w:r>
      <w:r w:rsidRPr="00A33930">
        <w:rPr>
          <w:rFonts w:eastAsia="Verdana" w:cs="Verdana"/>
          <w:szCs w:val="18"/>
          <w:lang w:val="nl-NL"/>
        </w:rPr>
        <w:t>, nr. 10)</w:t>
      </w:r>
      <w:r w:rsidR="006D3BD0" w:rsidRPr="00A33930">
        <w:rPr>
          <w:rFonts w:eastAsia="Verdana" w:cs="Verdana"/>
          <w:szCs w:val="18"/>
          <w:lang w:val="nl-NL"/>
        </w:rPr>
        <w:t>.</w:t>
      </w:r>
    </w:p>
    <w:p w14:paraId="595403E9" w14:textId="77777777" w:rsidR="007053D2" w:rsidRPr="00A33930" w:rsidRDefault="007053D2" w:rsidP="007053D2">
      <w:pPr>
        <w:pStyle w:val="Lijstalinea"/>
        <w:spacing w:before="200" w:after="0"/>
        <w:ind w:left="0"/>
        <w:jc w:val="both"/>
        <w:rPr>
          <w:rFonts w:eastAsia="Verdana" w:cs="Verdana"/>
          <w:szCs w:val="18"/>
          <w:lang w:val="nl-NL"/>
        </w:rPr>
      </w:pPr>
    </w:p>
    <w:p w14:paraId="35C593F9" w14:textId="25AECB14" w:rsidR="00F4363A" w:rsidRPr="00A33930" w:rsidRDefault="008E0EC7" w:rsidP="008E0EC7">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Dit valt te verklaren door het gehanteerde </w:t>
      </w:r>
      <w:r w:rsidR="00E57778" w:rsidRPr="00A33930">
        <w:rPr>
          <w:rFonts w:eastAsia="Verdana" w:cs="Verdana"/>
          <w:szCs w:val="18"/>
          <w:lang w:val="nl-NL"/>
        </w:rPr>
        <w:t>kindperspectief</w:t>
      </w:r>
      <w:r w:rsidRPr="00A33930">
        <w:rPr>
          <w:rFonts w:eastAsia="Verdana" w:cs="Verdana"/>
          <w:szCs w:val="18"/>
          <w:lang w:val="nl-NL"/>
        </w:rPr>
        <w:t xml:space="preserve">. De Belgische regelgeving is ingebed in </w:t>
      </w:r>
      <w:r w:rsidR="00A40BA9" w:rsidRPr="00A33930">
        <w:rPr>
          <w:rFonts w:eastAsia="Verdana" w:cs="Verdana"/>
          <w:szCs w:val="18"/>
          <w:lang w:val="nl-NL"/>
        </w:rPr>
        <w:t>het</w:t>
      </w:r>
      <w:r w:rsidRPr="00A33930">
        <w:rPr>
          <w:rFonts w:eastAsia="Verdana" w:cs="Verdana"/>
          <w:szCs w:val="18"/>
          <w:lang w:val="nl-NL"/>
        </w:rPr>
        <w:t xml:space="preserve"> idee dat het kind bescherming nodig heeft. </w:t>
      </w:r>
      <w:r w:rsidR="000D4B4A" w:rsidRPr="00A33930">
        <w:rPr>
          <w:rFonts w:eastAsia="Verdana" w:cs="Verdana"/>
          <w:szCs w:val="18"/>
          <w:lang w:val="nl-NL"/>
        </w:rPr>
        <w:t>Hierdoor</w:t>
      </w:r>
      <w:r w:rsidRPr="00A33930">
        <w:rPr>
          <w:rFonts w:eastAsia="Verdana" w:cs="Verdana"/>
          <w:szCs w:val="18"/>
          <w:lang w:val="nl-NL"/>
        </w:rPr>
        <w:t xml:space="preserve"> leidt het competentiedebat </w:t>
      </w:r>
      <w:r w:rsidR="000D4B4A" w:rsidRPr="00A33930">
        <w:rPr>
          <w:rFonts w:eastAsia="Verdana" w:cs="Verdana"/>
          <w:szCs w:val="18"/>
          <w:lang w:val="nl-NL"/>
        </w:rPr>
        <w:t>momenteel tot</w:t>
      </w:r>
      <w:r w:rsidRPr="00A33930">
        <w:rPr>
          <w:rFonts w:eastAsia="Verdana" w:cs="Verdana"/>
          <w:szCs w:val="18"/>
          <w:lang w:val="nl-NL"/>
        </w:rPr>
        <w:t xml:space="preserve"> een toepassing van de pragmatische stroming waarin een evenwicht wordt gezocht tussen bescherming en autonomie (</w:t>
      </w:r>
      <w:r w:rsidRPr="00A33930">
        <w:rPr>
          <w:rFonts w:eastAsia="Verdana" w:cs="Verdana"/>
          <w:i/>
          <w:iCs/>
          <w:szCs w:val="18"/>
          <w:lang w:val="nl-NL"/>
        </w:rPr>
        <w:t>supra</w:t>
      </w:r>
      <w:r w:rsidRPr="00A33930">
        <w:rPr>
          <w:rFonts w:eastAsia="Verdana" w:cs="Verdana"/>
          <w:szCs w:val="18"/>
          <w:lang w:val="nl-NL"/>
        </w:rPr>
        <w:t>, nr</w:t>
      </w:r>
      <w:r w:rsidR="00D31B1C" w:rsidRPr="00A33930">
        <w:rPr>
          <w:rFonts w:eastAsia="Verdana" w:cs="Verdana"/>
          <w:szCs w:val="18"/>
          <w:lang w:val="nl-NL"/>
        </w:rPr>
        <w:t>s</w:t>
      </w:r>
      <w:r w:rsidRPr="00A33930">
        <w:rPr>
          <w:rFonts w:eastAsia="Verdana" w:cs="Verdana"/>
          <w:szCs w:val="18"/>
          <w:lang w:val="nl-NL"/>
        </w:rPr>
        <w:t xml:space="preserve">. </w:t>
      </w:r>
      <w:r w:rsidR="000C7187" w:rsidRPr="00A33930">
        <w:rPr>
          <w:rFonts w:eastAsia="Verdana" w:cs="Verdana"/>
          <w:szCs w:val="18"/>
          <w:lang w:val="nl-NL"/>
        </w:rPr>
        <w:t>68-69</w:t>
      </w:r>
      <w:r w:rsidRPr="00A33930">
        <w:rPr>
          <w:rFonts w:eastAsia="Verdana" w:cs="Verdana"/>
          <w:szCs w:val="18"/>
          <w:lang w:val="nl-NL"/>
        </w:rPr>
        <w:t xml:space="preserve">). </w:t>
      </w:r>
      <w:r w:rsidR="00F4363A" w:rsidRPr="00A33930">
        <w:rPr>
          <w:rFonts w:eastAsia="Verdana" w:cs="Verdana"/>
          <w:szCs w:val="18"/>
          <w:lang w:val="nl-NL"/>
        </w:rPr>
        <w:t xml:space="preserve">Daar waar de mensenrechtelijke wetgever het kind </w:t>
      </w:r>
      <w:r w:rsidR="001D4C66" w:rsidRPr="00A33930">
        <w:rPr>
          <w:rFonts w:eastAsia="Verdana" w:cs="Verdana"/>
          <w:szCs w:val="18"/>
          <w:lang w:val="nl-NL"/>
        </w:rPr>
        <w:t>beschouwt</w:t>
      </w:r>
      <w:r w:rsidR="00F4363A" w:rsidRPr="00A33930">
        <w:rPr>
          <w:rFonts w:eastAsia="Verdana" w:cs="Verdana"/>
          <w:szCs w:val="18"/>
          <w:lang w:val="nl-NL"/>
        </w:rPr>
        <w:t xml:space="preserve"> als rechtssubject, </w:t>
      </w:r>
      <w:r w:rsidR="001D4C66" w:rsidRPr="00A33930">
        <w:rPr>
          <w:rFonts w:eastAsia="Verdana" w:cs="Verdana"/>
          <w:szCs w:val="18"/>
          <w:lang w:val="nl-NL"/>
        </w:rPr>
        <w:t>ligt de focus in</w:t>
      </w:r>
      <w:r w:rsidR="00F4363A" w:rsidRPr="00A33930">
        <w:rPr>
          <w:rFonts w:eastAsia="Verdana" w:cs="Verdana"/>
          <w:szCs w:val="18"/>
          <w:lang w:val="nl-NL"/>
        </w:rPr>
        <w:t xml:space="preserve"> het Belgische recht </w:t>
      </w:r>
      <w:r w:rsidR="001D4C66" w:rsidRPr="00A33930">
        <w:rPr>
          <w:rFonts w:eastAsia="Verdana" w:cs="Verdana"/>
          <w:szCs w:val="18"/>
          <w:lang w:val="nl-NL"/>
        </w:rPr>
        <w:t>nog steeds op de historisch gegroeide objectbenadering</w:t>
      </w:r>
      <w:r w:rsidR="00F4363A" w:rsidRPr="00A33930">
        <w:rPr>
          <w:rFonts w:eastAsia="Verdana" w:cs="Verdana"/>
          <w:szCs w:val="18"/>
          <w:lang w:val="nl-NL"/>
        </w:rPr>
        <w:t xml:space="preserve"> (</w:t>
      </w:r>
      <w:r w:rsidR="00F4363A" w:rsidRPr="00A33930">
        <w:rPr>
          <w:rFonts w:eastAsia="Verdana" w:cs="Verdana"/>
          <w:i/>
          <w:iCs/>
          <w:szCs w:val="18"/>
          <w:lang w:val="nl-NL"/>
        </w:rPr>
        <w:t>supra</w:t>
      </w:r>
      <w:r w:rsidR="00F4363A" w:rsidRPr="00A33930">
        <w:rPr>
          <w:rFonts w:eastAsia="Verdana" w:cs="Verdana"/>
          <w:szCs w:val="18"/>
          <w:lang w:val="nl-NL"/>
        </w:rPr>
        <w:t xml:space="preserve">, nr. </w:t>
      </w:r>
      <w:r w:rsidR="000C7187" w:rsidRPr="00A33930">
        <w:rPr>
          <w:rFonts w:eastAsia="Verdana" w:cs="Verdana"/>
          <w:szCs w:val="18"/>
          <w:lang w:val="nl-NL"/>
        </w:rPr>
        <w:t>10</w:t>
      </w:r>
      <w:r w:rsidR="00F4363A" w:rsidRPr="00A33930">
        <w:rPr>
          <w:rFonts w:eastAsia="Verdana" w:cs="Verdana"/>
          <w:szCs w:val="18"/>
          <w:lang w:val="nl-NL"/>
        </w:rPr>
        <w:t>).</w:t>
      </w:r>
    </w:p>
    <w:p w14:paraId="3D671C17" w14:textId="77777777" w:rsidR="008E0EC7" w:rsidRPr="00A33930" w:rsidRDefault="008E0EC7" w:rsidP="008E0EC7">
      <w:pPr>
        <w:pStyle w:val="Lijstalinea"/>
        <w:rPr>
          <w:rFonts w:eastAsia="Verdana" w:cs="Verdana"/>
          <w:szCs w:val="18"/>
          <w:lang w:val="nl-NL"/>
        </w:rPr>
      </w:pPr>
    </w:p>
    <w:p w14:paraId="61A977D5" w14:textId="65302898" w:rsidR="008E0EC7" w:rsidRPr="00A33930" w:rsidRDefault="008E0EC7" w:rsidP="008E0EC7">
      <w:pPr>
        <w:pStyle w:val="Lijstalinea"/>
        <w:numPr>
          <w:ilvl w:val="0"/>
          <w:numId w:val="4"/>
        </w:numPr>
        <w:spacing w:before="200" w:after="0"/>
        <w:ind w:left="0" w:firstLine="0"/>
        <w:jc w:val="both"/>
        <w:rPr>
          <w:rFonts w:eastAsia="Verdana" w:cs="Verdana"/>
          <w:szCs w:val="18"/>
          <w:lang w:val="nl-NL"/>
        </w:rPr>
      </w:pPr>
      <w:r w:rsidRPr="00A33930">
        <w:rPr>
          <w:lang w:val="nl-NL"/>
        </w:rPr>
        <w:t xml:space="preserve">Uiteindelijk verbiedt het oud BW het recht op persoonlijk contact van het kind </w:t>
      </w:r>
      <w:r w:rsidR="001D4C66" w:rsidRPr="00A33930">
        <w:rPr>
          <w:lang w:val="nl-NL"/>
        </w:rPr>
        <w:t xml:space="preserve">in principe </w:t>
      </w:r>
      <w:r w:rsidRPr="00A33930">
        <w:rPr>
          <w:lang w:val="nl-NL"/>
        </w:rPr>
        <w:t xml:space="preserve">niet. </w:t>
      </w:r>
      <w:r w:rsidR="001D4C66" w:rsidRPr="00A33930">
        <w:rPr>
          <w:lang w:val="nl-NL"/>
        </w:rPr>
        <w:t xml:space="preserve">De reden waarom de Belgische regelgeving momenteel niet voldoet aan hetgeen op mensenrechtelijk niveau wordt nagestreefd is </w:t>
      </w:r>
      <w:r w:rsidRPr="00A33930">
        <w:rPr>
          <w:lang w:val="nl-NL"/>
        </w:rPr>
        <w:t xml:space="preserve">omdat dit recht zich kadert binnen een </w:t>
      </w:r>
      <w:r w:rsidR="0063560D" w:rsidRPr="00A33930">
        <w:rPr>
          <w:lang w:val="nl-NL"/>
        </w:rPr>
        <w:t>groter geheel</w:t>
      </w:r>
      <w:r w:rsidRPr="00A33930">
        <w:rPr>
          <w:lang w:val="nl-NL"/>
        </w:rPr>
        <w:t xml:space="preserve"> </w:t>
      </w:r>
      <w:r w:rsidR="001D4C66" w:rsidRPr="00A33930">
        <w:rPr>
          <w:lang w:val="nl-NL"/>
        </w:rPr>
        <w:lastRenderedPageBreak/>
        <w:t xml:space="preserve">aan maatregelen </w:t>
      </w:r>
      <w:r w:rsidRPr="00A33930">
        <w:rPr>
          <w:lang w:val="nl-NL"/>
        </w:rPr>
        <w:t>ter bescherming van het kind</w:t>
      </w:r>
      <w:r w:rsidR="001D4C66" w:rsidRPr="00A33930">
        <w:rPr>
          <w:lang w:val="nl-NL"/>
        </w:rPr>
        <w:t xml:space="preserve">. Hierbij spelen </w:t>
      </w:r>
      <w:r w:rsidRPr="00A33930">
        <w:rPr>
          <w:lang w:val="nl-NL"/>
        </w:rPr>
        <w:t>de handelings- en procesonbekwaamheid</w:t>
      </w:r>
      <w:r w:rsidR="001D4C66" w:rsidRPr="00A33930">
        <w:rPr>
          <w:lang w:val="nl-NL"/>
        </w:rPr>
        <w:t xml:space="preserve">, </w:t>
      </w:r>
      <w:r w:rsidRPr="00A33930">
        <w:rPr>
          <w:lang w:val="nl-NL"/>
        </w:rPr>
        <w:t>de ouderlijke verantwoordelijkheden</w:t>
      </w:r>
      <w:r w:rsidR="001D4C66" w:rsidRPr="00A33930">
        <w:rPr>
          <w:lang w:val="nl-NL"/>
        </w:rPr>
        <w:t xml:space="preserve"> en de gevolgen van deze leidende beginselen een grote rol (</w:t>
      </w:r>
      <w:r w:rsidR="001D4C66" w:rsidRPr="00A33930">
        <w:rPr>
          <w:i/>
          <w:iCs/>
          <w:lang w:val="nl-NL"/>
        </w:rPr>
        <w:t>supra</w:t>
      </w:r>
      <w:r w:rsidR="001D4C66" w:rsidRPr="00A33930">
        <w:rPr>
          <w:lang w:val="nl-NL"/>
        </w:rPr>
        <w:t xml:space="preserve">, nr. 84 en nr. 87). </w:t>
      </w:r>
      <w:r w:rsidR="0063560D" w:rsidRPr="00A33930">
        <w:rPr>
          <w:lang w:val="nl-NL"/>
        </w:rPr>
        <w:t>De</w:t>
      </w:r>
      <w:r w:rsidRPr="00A33930">
        <w:rPr>
          <w:lang w:val="nl-NL"/>
        </w:rPr>
        <w:t xml:space="preserve"> Belgische wetgever heeft nagelaten een eigen recht op persoonlijk contact van het kind in de wet te verankeren</w:t>
      </w:r>
      <w:r w:rsidR="0063560D" w:rsidRPr="00A33930">
        <w:rPr>
          <w:lang w:val="nl-NL"/>
        </w:rPr>
        <w:t>, wat maakt dat de regelgeving op gespannen voet staat met de mensenrechtelijke verplichtingen</w:t>
      </w:r>
      <w:r w:rsidR="001D4C66" w:rsidRPr="00A33930">
        <w:rPr>
          <w:lang w:val="nl-NL"/>
        </w:rPr>
        <w:t xml:space="preserve"> (</w:t>
      </w:r>
      <w:r w:rsidR="001D4C66" w:rsidRPr="00A33930">
        <w:rPr>
          <w:i/>
          <w:iCs/>
          <w:lang w:val="nl-NL"/>
        </w:rPr>
        <w:t>supra</w:t>
      </w:r>
      <w:r w:rsidR="001D4C66" w:rsidRPr="00A33930">
        <w:rPr>
          <w:lang w:val="nl-NL"/>
        </w:rPr>
        <w:t>, nr. 10)</w:t>
      </w:r>
      <w:r w:rsidR="0063560D" w:rsidRPr="00A33930">
        <w:rPr>
          <w:lang w:val="nl-NL"/>
        </w:rPr>
        <w:t>.</w:t>
      </w:r>
    </w:p>
    <w:p w14:paraId="531C9136" w14:textId="77777777" w:rsidR="00F4363A" w:rsidRPr="00A33930" w:rsidRDefault="00F4363A" w:rsidP="00F4363A">
      <w:pPr>
        <w:pStyle w:val="Lijstalinea"/>
        <w:spacing w:before="200" w:after="0"/>
        <w:ind w:left="0"/>
        <w:jc w:val="both"/>
        <w:rPr>
          <w:rFonts w:eastAsia="Verdana" w:cs="Verdana"/>
          <w:szCs w:val="18"/>
          <w:lang w:val="nl-NL"/>
        </w:rPr>
      </w:pPr>
    </w:p>
    <w:p w14:paraId="43B9D680" w14:textId="2478DDF6" w:rsidR="00034CBE" w:rsidRPr="00A33930" w:rsidRDefault="00F4363A" w:rsidP="00CE1B1D">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Uit de externe rechtsvergelijking blijkt dat een</w:t>
      </w:r>
      <w:r w:rsidR="00034CBE" w:rsidRPr="00A33930">
        <w:rPr>
          <w:rFonts w:eastAsia="Verdana" w:cs="Verdana"/>
          <w:szCs w:val="18"/>
          <w:lang w:val="nl-NL"/>
        </w:rPr>
        <w:t xml:space="preserve"> inschrijving van </w:t>
      </w:r>
      <w:r w:rsidR="00C865CE" w:rsidRPr="00A33930">
        <w:rPr>
          <w:rFonts w:eastAsia="Verdana" w:cs="Verdana"/>
          <w:szCs w:val="18"/>
          <w:lang w:val="nl-NL"/>
        </w:rPr>
        <w:t>een wederkerig contactrecht</w:t>
      </w:r>
      <w:r w:rsidR="00034CBE" w:rsidRPr="00A33930">
        <w:rPr>
          <w:rFonts w:eastAsia="Verdana" w:cs="Verdana"/>
          <w:szCs w:val="18"/>
          <w:lang w:val="nl-NL"/>
        </w:rPr>
        <w:t xml:space="preserve"> </w:t>
      </w:r>
      <w:r w:rsidR="008E0EC7" w:rsidRPr="00A33930">
        <w:rPr>
          <w:rFonts w:eastAsia="Verdana" w:cs="Verdana"/>
          <w:szCs w:val="18"/>
          <w:lang w:val="nl-NL"/>
        </w:rPr>
        <w:t>geen</w:t>
      </w:r>
      <w:r w:rsidR="00034CBE" w:rsidRPr="00A33930">
        <w:rPr>
          <w:rFonts w:eastAsia="Verdana" w:cs="Verdana"/>
          <w:szCs w:val="18"/>
          <w:lang w:val="nl-NL"/>
        </w:rPr>
        <w:t xml:space="preserve"> </w:t>
      </w:r>
      <w:r w:rsidRPr="00A33930">
        <w:rPr>
          <w:rFonts w:eastAsia="Verdana" w:cs="Verdana"/>
          <w:szCs w:val="18"/>
          <w:lang w:val="nl-NL"/>
        </w:rPr>
        <w:t xml:space="preserve">wondermiddel </w:t>
      </w:r>
      <w:r w:rsidR="0063560D" w:rsidRPr="00A33930">
        <w:rPr>
          <w:rFonts w:eastAsia="Verdana" w:cs="Verdana"/>
          <w:szCs w:val="18"/>
          <w:lang w:val="nl-NL"/>
        </w:rPr>
        <w:t>vormt</w:t>
      </w:r>
      <w:r w:rsidR="001D4C66" w:rsidRPr="00A33930">
        <w:rPr>
          <w:rFonts w:eastAsia="Verdana" w:cs="Verdana"/>
          <w:szCs w:val="18"/>
          <w:lang w:val="nl-NL"/>
        </w:rPr>
        <w:t xml:space="preserve"> (</w:t>
      </w:r>
      <w:r w:rsidR="001D4C66" w:rsidRPr="00A33930">
        <w:rPr>
          <w:rFonts w:eastAsia="Verdana" w:cs="Verdana"/>
          <w:i/>
          <w:iCs/>
          <w:szCs w:val="18"/>
          <w:lang w:val="nl-NL"/>
        </w:rPr>
        <w:t>supra</w:t>
      </w:r>
      <w:r w:rsidR="001D4C66" w:rsidRPr="00A33930">
        <w:rPr>
          <w:rFonts w:eastAsia="Verdana" w:cs="Verdana"/>
          <w:szCs w:val="18"/>
          <w:lang w:val="nl-NL"/>
        </w:rPr>
        <w:t>, nr. 10)</w:t>
      </w:r>
      <w:r w:rsidR="00034CBE" w:rsidRPr="00A33930">
        <w:rPr>
          <w:rFonts w:eastAsia="Verdana" w:cs="Verdana"/>
          <w:szCs w:val="18"/>
          <w:lang w:val="nl-NL"/>
        </w:rPr>
        <w:t xml:space="preserve">. </w:t>
      </w:r>
      <w:r w:rsidR="008E0EC7" w:rsidRPr="00A33930">
        <w:rPr>
          <w:rFonts w:eastAsia="Verdana" w:cs="Verdana"/>
          <w:szCs w:val="18"/>
          <w:lang w:val="nl-NL"/>
        </w:rPr>
        <w:t>Zowel</w:t>
      </w:r>
      <w:r w:rsidRPr="00A33930">
        <w:rPr>
          <w:rFonts w:eastAsia="Verdana" w:cs="Verdana"/>
          <w:szCs w:val="18"/>
          <w:lang w:val="nl-NL"/>
        </w:rPr>
        <w:t xml:space="preserve"> Nederland als Duitsland</w:t>
      </w:r>
      <w:r w:rsidR="00034CBE" w:rsidRPr="00A33930">
        <w:rPr>
          <w:rFonts w:eastAsia="Verdana" w:cs="Verdana"/>
          <w:szCs w:val="18"/>
          <w:lang w:val="nl-NL"/>
        </w:rPr>
        <w:t xml:space="preserve"> </w:t>
      </w:r>
      <w:r w:rsidR="001D4C66" w:rsidRPr="00A33930">
        <w:rPr>
          <w:rFonts w:eastAsia="Verdana" w:cs="Verdana"/>
          <w:szCs w:val="18"/>
          <w:lang w:val="nl-NL"/>
        </w:rPr>
        <w:t>voldoen</w:t>
      </w:r>
      <w:r w:rsidR="008E0EC7" w:rsidRPr="00A33930">
        <w:rPr>
          <w:rFonts w:eastAsia="Verdana" w:cs="Verdana"/>
          <w:szCs w:val="18"/>
          <w:lang w:val="nl-NL"/>
        </w:rPr>
        <w:t xml:space="preserve"> </w:t>
      </w:r>
      <w:r w:rsidR="00034CBE" w:rsidRPr="00A33930">
        <w:rPr>
          <w:rFonts w:eastAsia="Verdana" w:cs="Verdana"/>
          <w:szCs w:val="18"/>
          <w:lang w:val="nl-NL"/>
        </w:rPr>
        <w:t xml:space="preserve">niet </w:t>
      </w:r>
      <w:r w:rsidR="001D4C66" w:rsidRPr="00A33930">
        <w:rPr>
          <w:rFonts w:eastAsia="Verdana" w:cs="Verdana"/>
          <w:szCs w:val="18"/>
          <w:lang w:val="nl-NL"/>
        </w:rPr>
        <w:t>aan</w:t>
      </w:r>
      <w:r w:rsidR="00034CBE" w:rsidRPr="00A33930">
        <w:rPr>
          <w:rFonts w:eastAsia="Verdana" w:cs="Verdana"/>
          <w:szCs w:val="18"/>
          <w:lang w:val="nl-NL"/>
        </w:rPr>
        <w:t xml:space="preserve"> een volledige overeenstemming met de mensenrechtelijke verplichtingen, </w:t>
      </w:r>
      <w:r w:rsidRPr="00A33930">
        <w:rPr>
          <w:rFonts w:eastAsia="Verdana" w:cs="Verdana"/>
          <w:szCs w:val="18"/>
          <w:lang w:val="nl-NL"/>
        </w:rPr>
        <w:t>zelfs wanneer zij het kind expliciet beschouwen</w:t>
      </w:r>
      <w:r w:rsidR="00034CBE" w:rsidRPr="00A33930">
        <w:rPr>
          <w:rFonts w:eastAsia="Verdana" w:cs="Verdana"/>
          <w:szCs w:val="18"/>
          <w:lang w:val="nl-NL"/>
        </w:rPr>
        <w:t xml:space="preserve"> als rechtssubject</w:t>
      </w:r>
      <w:r w:rsidR="007053D2" w:rsidRPr="00A33930">
        <w:rPr>
          <w:rFonts w:eastAsia="Verdana" w:cs="Verdana"/>
          <w:szCs w:val="18"/>
          <w:lang w:val="nl-NL"/>
        </w:rPr>
        <w:t xml:space="preserve"> en een wederkerig contactrecht verankeren</w:t>
      </w:r>
      <w:r w:rsidR="001D4C66" w:rsidRPr="00A33930">
        <w:rPr>
          <w:rFonts w:eastAsia="Verdana" w:cs="Verdana"/>
          <w:szCs w:val="18"/>
          <w:lang w:val="nl-NL"/>
        </w:rPr>
        <w:t xml:space="preserve"> (</w:t>
      </w:r>
      <w:r w:rsidR="001D4C66" w:rsidRPr="00A33930">
        <w:rPr>
          <w:rFonts w:eastAsia="Verdana" w:cs="Verdana"/>
          <w:i/>
          <w:iCs/>
          <w:szCs w:val="18"/>
          <w:lang w:val="nl-NL"/>
        </w:rPr>
        <w:t>supra</w:t>
      </w:r>
      <w:r w:rsidR="001D4C66" w:rsidRPr="00A33930">
        <w:rPr>
          <w:rFonts w:eastAsia="Verdana" w:cs="Verdana"/>
          <w:szCs w:val="18"/>
          <w:lang w:val="nl-NL"/>
        </w:rPr>
        <w:t xml:space="preserve">, nr. 128 en </w:t>
      </w:r>
      <w:r w:rsidR="00D31B1C" w:rsidRPr="00A33930">
        <w:rPr>
          <w:rFonts w:eastAsia="Verdana" w:cs="Verdana"/>
          <w:szCs w:val="18"/>
          <w:lang w:val="nl-NL"/>
        </w:rPr>
        <w:t xml:space="preserve">nr. </w:t>
      </w:r>
      <w:r w:rsidR="001D4C66" w:rsidRPr="00A33930">
        <w:rPr>
          <w:rFonts w:eastAsia="Verdana" w:cs="Verdana"/>
          <w:szCs w:val="18"/>
          <w:lang w:val="nl-NL"/>
        </w:rPr>
        <w:t>137)</w:t>
      </w:r>
      <w:r w:rsidR="00034CBE" w:rsidRPr="00A33930">
        <w:rPr>
          <w:rFonts w:eastAsia="Verdana" w:cs="Verdana"/>
          <w:szCs w:val="18"/>
          <w:lang w:val="nl-NL"/>
        </w:rPr>
        <w:t xml:space="preserve">. </w:t>
      </w:r>
      <w:r w:rsidR="002601A1" w:rsidRPr="00A33930">
        <w:rPr>
          <w:rFonts w:eastAsia="Verdana" w:cs="Verdana"/>
          <w:szCs w:val="18"/>
          <w:lang w:val="nl-NL"/>
        </w:rPr>
        <w:t xml:space="preserve">In theorie voldoen zij aan de opgelegde mensenrechtelijke verplichtingen, maar in de praktijk kennen de bepalingen niet de gewenste uitwerking. </w:t>
      </w:r>
      <w:r w:rsidR="00034CBE" w:rsidRPr="00A33930">
        <w:rPr>
          <w:rFonts w:eastAsia="Verdana" w:cs="Verdana"/>
          <w:szCs w:val="18"/>
          <w:lang w:val="nl-NL"/>
        </w:rPr>
        <w:t xml:space="preserve">Het volstaat niet het kind bepaalde rechten toe te kennen, </w:t>
      </w:r>
      <w:r w:rsidR="008E0EC7" w:rsidRPr="00A33930">
        <w:rPr>
          <w:rFonts w:eastAsia="Verdana" w:cs="Verdana"/>
          <w:szCs w:val="18"/>
          <w:lang w:val="nl-NL"/>
        </w:rPr>
        <w:t>wanneer</w:t>
      </w:r>
      <w:r w:rsidR="00034CBE" w:rsidRPr="00A33930">
        <w:rPr>
          <w:rFonts w:eastAsia="Verdana" w:cs="Verdana"/>
          <w:szCs w:val="18"/>
          <w:lang w:val="nl-NL"/>
        </w:rPr>
        <w:t xml:space="preserve"> er geen</w:t>
      </w:r>
      <w:r w:rsidR="00C865CE" w:rsidRPr="00A33930">
        <w:rPr>
          <w:rFonts w:eastAsia="Verdana" w:cs="Verdana"/>
          <w:szCs w:val="18"/>
          <w:lang w:val="nl-NL"/>
        </w:rPr>
        <w:t xml:space="preserve"> of onvoldoende</w:t>
      </w:r>
      <w:r w:rsidR="00034CBE" w:rsidRPr="00A33930">
        <w:rPr>
          <w:rFonts w:eastAsia="Verdana" w:cs="Verdana"/>
          <w:szCs w:val="18"/>
          <w:lang w:val="nl-NL"/>
        </w:rPr>
        <w:t xml:space="preserve"> </w:t>
      </w:r>
      <w:r w:rsidR="00C865CE" w:rsidRPr="00A33930">
        <w:rPr>
          <w:rFonts w:eastAsia="Verdana" w:cs="Verdana"/>
          <w:szCs w:val="18"/>
          <w:lang w:val="nl-NL"/>
        </w:rPr>
        <w:t>mogelijkheden</w:t>
      </w:r>
      <w:r w:rsidR="00034CBE" w:rsidRPr="00A33930">
        <w:rPr>
          <w:rFonts w:eastAsia="Verdana" w:cs="Verdana"/>
          <w:szCs w:val="18"/>
          <w:lang w:val="nl-NL"/>
        </w:rPr>
        <w:t xml:space="preserve"> </w:t>
      </w:r>
      <w:r w:rsidR="00C865CE" w:rsidRPr="00A33930">
        <w:rPr>
          <w:rFonts w:eastAsia="Verdana" w:cs="Verdana"/>
          <w:szCs w:val="18"/>
          <w:lang w:val="nl-NL"/>
        </w:rPr>
        <w:t>worden</w:t>
      </w:r>
      <w:r w:rsidR="00034CBE" w:rsidRPr="00A33930">
        <w:rPr>
          <w:rFonts w:eastAsia="Verdana" w:cs="Verdana"/>
          <w:szCs w:val="18"/>
          <w:lang w:val="nl-NL"/>
        </w:rPr>
        <w:t xml:space="preserve"> </w:t>
      </w:r>
      <w:r w:rsidR="0086280A" w:rsidRPr="00A33930">
        <w:rPr>
          <w:rFonts w:eastAsia="Verdana" w:cs="Verdana"/>
          <w:szCs w:val="18"/>
          <w:lang w:val="nl-NL"/>
        </w:rPr>
        <w:t>gecreëerd</w:t>
      </w:r>
      <w:r w:rsidR="00034CBE" w:rsidRPr="00A33930">
        <w:rPr>
          <w:rFonts w:eastAsia="Verdana" w:cs="Verdana"/>
          <w:szCs w:val="18"/>
          <w:lang w:val="nl-NL"/>
        </w:rPr>
        <w:t xml:space="preserve"> om deze rechten uit te oefenen. De </w:t>
      </w:r>
      <w:r w:rsidR="002D19D1" w:rsidRPr="00A33930">
        <w:rPr>
          <w:rFonts w:eastAsia="Verdana" w:cs="Verdana"/>
          <w:szCs w:val="18"/>
          <w:lang w:val="nl-NL"/>
        </w:rPr>
        <w:t>handelings- en proces</w:t>
      </w:r>
      <w:r w:rsidR="00034CBE" w:rsidRPr="00A33930">
        <w:rPr>
          <w:rFonts w:eastAsia="Verdana" w:cs="Verdana"/>
          <w:szCs w:val="18"/>
          <w:lang w:val="nl-NL"/>
        </w:rPr>
        <w:t xml:space="preserve">onbekwaamheid van de minderjarige staat </w:t>
      </w:r>
      <w:r w:rsidR="002601A1" w:rsidRPr="00A33930">
        <w:rPr>
          <w:rFonts w:eastAsia="Verdana" w:cs="Verdana"/>
          <w:szCs w:val="18"/>
          <w:lang w:val="nl-NL"/>
        </w:rPr>
        <w:t xml:space="preserve">opnieuw </w:t>
      </w:r>
      <w:r w:rsidR="00034CBE" w:rsidRPr="00A33930">
        <w:rPr>
          <w:rFonts w:eastAsia="Verdana" w:cs="Verdana"/>
          <w:szCs w:val="18"/>
          <w:lang w:val="nl-NL"/>
        </w:rPr>
        <w:t xml:space="preserve">een effectieve uitoefening van dit recht in de weg. </w:t>
      </w:r>
      <w:r w:rsidR="001503ED" w:rsidRPr="00A33930">
        <w:rPr>
          <w:rFonts w:eastAsia="Verdana" w:cs="Verdana"/>
          <w:szCs w:val="18"/>
          <w:lang w:val="nl-NL"/>
        </w:rPr>
        <w:t>Het contactrecht</w:t>
      </w:r>
      <w:r w:rsidR="00034CBE" w:rsidRPr="00A33930">
        <w:rPr>
          <w:rFonts w:eastAsia="Verdana" w:cs="Verdana"/>
          <w:szCs w:val="18"/>
          <w:lang w:val="nl-NL"/>
        </w:rPr>
        <w:t xml:space="preserve"> </w:t>
      </w:r>
      <w:r w:rsidR="001503ED" w:rsidRPr="00A33930">
        <w:rPr>
          <w:rFonts w:eastAsia="Verdana" w:cs="Verdana"/>
          <w:szCs w:val="18"/>
          <w:lang w:val="nl-NL"/>
        </w:rPr>
        <w:t>blijft</w:t>
      </w:r>
      <w:r w:rsidR="00034CBE" w:rsidRPr="00A33930">
        <w:rPr>
          <w:rFonts w:eastAsia="Verdana" w:cs="Verdana"/>
          <w:szCs w:val="18"/>
          <w:lang w:val="nl-NL"/>
        </w:rPr>
        <w:t xml:space="preserve"> op </w:t>
      </w:r>
      <w:r w:rsidR="00C865CE" w:rsidRPr="00A33930">
        <w:rPr>
          <w:rFonts w:eastAsia="Verdana" w:cs="Verdana"/>
          <w:szCs w:val="18"/>
          <w:lang w:val="nl-NL"/>
        </w:rPr>
        <w:t>deze</w:t>
      </w:r>
      <w:r w:rsidR="00034CBE" w:rsidRPr="00A33930">
        <w:rPr>
          <w:rFonts w:eastAsia="Verdana" w:cs="Verdana"/>
          <w:szCs w:val="18"/>
          <w:lang w:val="nl-NL"/>
        </w:rPr>
        <w:t xml:space="preserve"> manier </w:t>
      </w:r>
      <w:r w:rsidR="00C865CE" w:rsidRPr="00A33930">
        <w:rPr>
          <w:rFonts w:eastAsia="Verdana" w:cs="Verdana"/>
          <w:szCs w:val="18"/>
          <w:lang w:val="nl-NL"/>
        </w:rPr>
        <w:t xml:space="preserve">dan ook </w:t>
      </w:r>
      <w:r w:rsidR="00034CBE" w:rsidRPr="00A33930">
        <w:rPr>
          <w:rFonts w:eastAsia="Verdana" w:cs="Verdana"/>
          <w:szCs w:val="18"/>
          <w:lang w:val="nl-NL"/>
        </w:rPr>
        <w:t>vaak een lege doos.</w:t>
      </w:r>
    </w:p>
    <w:p w14:paraId="4B66D52D" w14:textId="77777777" w:rsidR="00034CBE" w:rsidRPr="00A33930" w:rsidRDefault="00034CBE" w:rsidP="00034CBE">
      <w:pPr>
        <w:pStyle w:val="Lijstalinea"/>
        <w:spacing w:before="200" w:after="0"/>
        <w:ind w:left="0"/>
        <w:jc w:val="both"/>
        <w:rPr>
          <w:rFonts w:eastAsia="Verdana" w:cs="Verdana"/>
          <w:szCs w:val="18"/>
          <w:lang w:val="nl-NL"/>
        </w:rPr>
      </w:pPr>
    </w:p>
    <w:p w14:paraId="4A5F07FA" w14:textId="77777777" w:rsidR="00D327E0" w:rsidRPr="00A33930" w:rsidRDefault="00034CBE" w:rsidP="0063560D">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Hoe dan ook geeft de inefficiënte toepassing van het </w:t>
      </w:r>
      <w:r w:rsidR="00C865CE" w:rsidRPr="00A33930">
        <w:rPr>
          <w:rFonts w:eastAsia="Verdana" w:cs="Verdana"/>
          <w:szCs w:val="18"/>
          <w:lang w:val="nl-NL"/>
        </w:rPr>
        <w:t>contact</w:t>
      </w:r>
      <w:r w:rsidRPr="00A33930">
        <w:rPr>
          <w:rFonts w:eastAsia="Verdana" w:cs="Verdana"/>
          <w:szCs w:val="18"/>
          <w:lang w:val="nl-NL"/>
        </w:rPr>
        <w:t>recht aanleiding tot grote rechtsonzekerheid</w:t>
      </w:r>
      <w:r w:rsidR="008E162C" w:rsidRPr="00A33930">
        <w:rPr>
          <w:rFonts w:eastAsia="Verdana" w:cs="Verdana"/>
          <w:szCs w:val="18"/>
          <w:lang w:val="nl-NL"/>
        </w:rPr>
        <w:t xml:space="preserve"> en in sommige gevallen ook tot rechtsongelijkheid (</w:t>
      </w:r>
      <w:r w:rsidR="008E162C" w:rsidRPr="00A33930">
        <w:rPr>
          <w:rFonts w:eastAsia="Verdana" w:cs="Verdana"/>
          <w:i/>
          <w:iCs/>
          <w:szCs w:val="18"/>
          <w:lang w:val="nl-NL"/>
        </w:rPr>
        <w:t>supra</w:t>
      </w:r>
      <w:r w:rsidR="008E162C" w:rsidRPr="00A33930">
        <w:rPr>
          <w:rFonts w:eastAsia="Verdana" w:cs="Verdana"/>
          <w:szCs w:val="18"/>
          <w:lang w:val="nl-NL"/>
        </w:rPr>
        <w:t xml:space="preserve">, nr. </w:t>
      </w:r>
      <w:r w:rsidR="000C7187" w:rsidRPr="00A33930">
        <w:rPr>
          <w:rFonts w:eastAsia="Verdana" w:cs="Verdana"/>
          <w:szCs w:val="18"/>
          <w:lang w:val="nl-NL"/>
        </w:rPr>
        <w:t>100</w:t>
      </w:r>
      <w:r w:rsidR="008E162C" w:rsidRPr="00A33930">
        <w:rPr>
          <w:rFonts w:eastAsia="Verdana" w:cs="Verdana"/>
          <w:szCs w:val="18"/>
          <w:lang w:val="nl-NL"/>
        </w:rPr>
        <w:t>)</w:t>
      </w:r>
      <w:r w:rsidRPr="00A33930">
        <w:rPr>
          <w:rFonts w:eastAsia="Verdana" w:cs="Verdana"/>
          <w:szCs w:val="18"/>
          <w:lang w:val="nl-NL"/>
        </w:rPr>
        <w:t xml:space="preserve">. </w:t>
      </w:r>
      <w:r w:rsidR="00FA41BF" w:rsidRPr="00A33930">
        <w:rPr>
          <w:rFonts w:eastAsia="Verdana" w:cs="Verdana"/>
          <w:szCs w:val="18"/>
          <w:lang w:val="nl-NL"/>
        </w:rPr>
        <w:t xml:space="preserve">Dat is onaanvaardbaar. </w:t>
      </w:r>
      <w:r w:rsidR="0063560D" w:rsidRPr="00A33930">
        <w:rPr>
          <w:rFonts w:eastAsia="Verdana" w:cs="Verdana"/>
          <w:szCs w:val="18"/>
          <w:lang w:val="nl-NL"/>
        </w:rPr>
        <w:t xml:space="preserve">Conceptueel en beleidsmatig valt te verdedigen dat er een eigen contactrecht van het kind wordt ingeschreven, maar daar tegenover staat dat dit recht momenteel niet afdwingbaar is door het kind. </w:t>
      </w:r>
    </w:p>
    <w:p w14:paraId="3AC1D85D" w14:textId="77777777" w:rsidR="00D327E0" w:rsidRPr="00A33930" w:rsidRDefault="00D327E0" w:rsidP="00D327E0">
      <w:pPr>
        <w:pStyle w:val="Lijstalinea"/>
        <w:rPr>
          <w:rFonts w:eastAsia="Verdana" w:cs="Verdana"/>
          <w:szCs w:val="18"/>
          <w:lang w:val="nl-NL"/>
        </w:rPr>
      </w:pPr>
    </w:p>
    <w:p w14:paraId="4DBBDBFB" w14:textId="0D039255" w:rsidR="007053D2" w:rsidRPr="00A33930" w:rsidRDefault="00D327E0" w:rsidP="007053D2">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In hoeverre is een dergelijke inschrijving echter ook wenselijk? </w:t>
      </w:r>
      <w:r w:rsidR="002D19D1" w:rsidRPr="00A33930">
        <w:rPr>
          <w:rFonts w:eastAsia="Verdana" w:cs="Verdana"/>
          <w:szCs w:val="18"/>
          <w:lang w:val="nl-NL"/>
        </w:rPr>
        <w:t>Argumenten zoals het</w:t>
      </w:r>
      <w:r w:rsidR="0063560D" w:rsidRPr="00A33930">
        <w:rPr>
          <w:rFonts w:eastAsia="Verdana" w:cs="Verdana"/>
          <w:szCs w:val="18"/>
          <w:lang w:val="nl-NL"/>
        </w:rPr>
        <w:t xml:space="preserve"> </w:t>
      </w:r>
      <w:r w:rsidRPr="00A33930">
        <w:rPr>
          <w:rFonts w:eastAsia="Verdana" w:cs="Verdana"/>
          <w:szCs w:val="18"/>
          <w:lang w:val="nl-NL"/>
        </w:rPr>
        <w:t>ontstaan van</w:t>
      </w:r>
      <w:r w:rsidR="0063560D" w:rsidRPr="00A33930">
        <w:rPr>
          <w:rFonts w:eastAsia="Verdana" w:cs="Verdana"/>
          <w:szCs w:val="18"/>
          <w:lang w:val="nl-NL"/>
        </w:rPr>
        <w:t xml:space="preserve"> een contact</w:t>
      </w:r>
      <w:r w:rsidR="0063560D" w:rsidRPr="00A33930">
        <w:rPr>
          <w:rFonts w:eastAsia="Verdana" w:cs="Verdana"/>
          <w:i/>
          <w:iCs/>
          <w:szCs w:val="18"/>
          <w:lang w:val="nl-NL"/>
        </w:rPr>
        <w:t>plicht</w:t>
      </w:r>
      <w:r w:rsidR="00426D83" w:rsidRPr="00A33930">
        <w:rPr>
          <w:rFonts w:eastAsia="Verdana" w:cs="Verdana"/>
          <w:szCs w:val="18"/>
          <w:lang w:val="nl-NL"/>
        </w:rPr>
        <w:t xml:space="preserve">, de schending van de persoonlijke vrijheid van de meerderjarige en de onschendbaarheid van </w:t>
      </w:r>
      <w:r w:rsidRPr="00A33930">
        <w:rPr>
          <w:rFonts w:eastAsia="Verdana" w:cs="Verdana"/>
          <w:szCs w:val="18"/>
          <w:lang w:val="nl-NL"/>
        </w:rPr>
        <w:t>zijn</w:t>
      </w:r>
      <w:r w:rsidR="00426D83" w:rsidRPr="00A33930">
        <w:rPr>
          <w:rFonts w:eastAsia="Verdana" w:cs="Verdana"/>
          <w:szCs w:val="18"/>
          <w:lang w:val="nl-NL"/>
        </w:rPr>
        <w:t xml:space="preserve"> woning (</w:t>
      </w:r>
      <w:r w:rsidR="00426D83" w:rsidRPr="00A33930">
        <w:rPr>
          <w:rFonts w:eastAsia="Verdana" w:cs="Verdana"/>
          <w:i/>
          <w:iCs/>
          <w:szCs w:val="18"/>
          <w:lang w:val="nl-NL"/>
        </w:rPr>
        <w:t>supra</w:t>
      </w:r>
      <w:r w:rsidR="00426D83" w:rsidRPr="00A33930">
        <w:rPr>
          <w:rFonts w:eastAsia="Verdana" w:cs="Verdana"/>
          <w:szCs w:val="18"/>
          <w:lang w:val="nl-NL"/>
        </w:rPr>
        <w:t>, nr. 98)</w:t>
      </w:r>
      <w:r w:rsidR="00DC0D66" w:rsidRPr="00A33930">
        <w:rPr>
          <w:rFonts w:eastAsia="Verdana" w:cs="Verdana"/>
          <w:szCs w:val="18"/>
          <w:lang w:val="nl-NL"/>
        </w:rPr>
        <w:t xml:space="preserve">, juridisering van conflicten of </w:t>
      </w:r>
      <w:r w:rsidR="00426D83" w:rsidRPr="00A33930">
        <w:rPr>
          <w:rFonts w:eastAsia="Verdana" w:cs="Verdana"/>
          <w:szCs w:val="18"/>
          <w:lang w:val="nl-NL"/>
        </w:rPr>
        <w:t xml:space="preserve">de nood aan bescherming </w:t>
      </w:r>
      <w:r w:rsidR="002D19D1" w:rsidRPr="00A33930">
        <w:rPr>
          <w:rFonts w:eastAsia="Verdana" w:cs="Verdana"/>
          <w:szCs w:val="18"/>
          <w:lang w:val="nl-NL"/>
        </w:rPr>
        <w:t xml:space="preserve">en onbekwaamheid van de minderjarige </w:t>
      </w:r>
      <w:r w:rsidR="00426D83" w:rsidRPr="00A33930">
        <w:rPr>
          <w:rFonts w:eastAsia="Verdana" w:cs="Verdana"/>
          <w:szCs w:val="18"/>
          <w:lang w:val="nl-NL"/>
        </w:rPr>
        <w:t>(</w:t>
      </w:r>
      <w:r w:rsidR="00426D83" w:rsidRPr="00A33930">
        <w:rPr>
          <w:rFonts w:eastAsia="Verdana" w:cs="Verdana"/>
          <w:i/>
          <w:iCs/>
          <w:szCs w:val="18"/>
          <w:lang w:val="nl-NL"/>
        </w:rPr>
        <w:t>supra</w:t>
      </w:r>
      <w:r w:rsidR="00426D83" w:rsidRPr="00A33930">
        <w:rPr>
          <w:rFonts w:eastAsia="Verdana" w:cs="Verdana"/>
          <w:szCs w:val="18"/>
          <w:lang w:val="nl-NL"/>
        </w:rPr>
        <w:t>, nr</w:t>
      </w:r>
      <w:r w:rsidR="00D31B1C" w:rsidRPr="00A33930">
        <w:rPr>
          <w:rFonts w:eastAsia="Verdana" w:cs="Verdana"/>
          <w:szCs w:val="18"/>
          <w:lang w:val="nl-NL"/>
        </w:rPr>
        <w:t>s</w:t>
      </w:r>
      <w:r w:rsidR="00426D83" w:rsidRPr="00A33930">
        <w:rPr>
          <w:rFonts w:eastAsia="Verdana" w:cs="Verdana"/>
          <w:szCs w:val="18"/>
          <w:lang w:val="nl-NL"/>
        </w:rPr>
        <w:t>. 69-80</w:t>
      </w:r>
      <w:r w:rsidR="00DC0D66" w:rsidRPr="00A33930">
        <w:rPr>
          <w:rFonts w:eastAsia="Verdana" w:cs="Verdana"/>
          <w:szCs w:val="18"/>
          <w:lang w:val="nl-NL"/>
        </w:rPr>
        <w:t xml:space="preserve"> en nr. 85</w:t>
      </w:r>
      <w:r w:rsidR="00426D83" w:rsidRPr="00A33930">
        <w:rPr>
          <w:rFonts w:eastAsia="Verdana" w:cs="Verdana"/>
          <w:szCs w:val="18"/>
          <w:lang w:val="nl-NL"/>
        </w:rPr>
        <w:t xml:space="preserve">) </w:t>
      </w:r>
      <w:r w:rsidR="002D19D1" w:rsidRPr="00A33930">
        <w:rPr>
          <w:rFonts w:eastAsia="Verdana" w:cs="Verdana"/>
          <w:szCs w:val="18"/>
          <w:lang w:val="nl-NL"/>
        </w:rPr>
        <w:t>nemen</w:t>
      </w:r>
      <w:r w:rsidR="0063560D" w:rsidRPr="00A33930">
        <w:rPr>
          <w:rFonts w:eastAsia="Verdana" w:cs="Verdana"/>
          <w:szCs w:val="18"/>
          <w:lang w:val="nl-NL"/>
        </w:rPr>
        <w:t xml:space="preserve"> </w:t>
      </w:r>
      <w:r w:rsidR="002D19D1" w:rsidRPr="00A33930">
        <w:rPr>
          <w:rFonts w:eastAsia="Verdana" w:cs="Verdana"/>
          <w:szCs w:val="18"/>
          <w:lang w:val="nl-NL"/>
        </w:rPr>
        <w:t xml:space="preserve">in het huidig debat </w:t>
      </w:r>
      <w:r w:rsidR="0063560D" w:rsidRPr="00A33930">
        <w:rPr>
          <w:rFonts w:eastAsia="Verdana" w:cs="Verdana"/>
          <w:szCs w:val="18"/>
          <w:lang w:val="nl-NL"/>
        </w:rPr>
        <w:t xml:space="preserve">de bovenhand. </w:t>
      </w:r>
      <w:r w:rsidR="002D19D1" w:rsidRPr="00A33930">
        <w:rPr>
          <w:rFonts w:eastAsia="Verdana" w:cs="Verdana"/>
          <w:szCs w:val="18"/>
          <w:lang w:val="nl-NL"/>
        </w:rPr>
        <w:t xml:space="preserve">Het debat is </w:t>
      </w:r>
      <w:r w:rsidR="00426D83" w:rsidRPr="00A33930">
        <w:rPr>
          <w:rFonts w:eastAsia="Verdana" w:cs="Verdana"/>
          <w:szCs w:val="18"/>
          <w:lang w:val="nl-NL"/>
        </w:rPr>
        <w:t>hierdoor</w:t>
      </w:r>
      <w:r w:rsidR="002D19D1" w:rsidRPr="00A33930">
        <w:rPr>
          <w:rFonts w:eastAsia="Verdana" w:cs="Verdana"/>
          <w:szCs w:val="18"/>
          <w:lang w:val="nl-NL"/>
        </w:rPr>
        <w:t xml:space="preserve"> nog niet gedebatteerd. </w:t>
      </w:r>
      <w:r w:rsidRPr="00A33930">
        <w:rPr>
          <w:rFonts w:eastAsia="Verdana" w:cs="Verdana"/>
          <w:szCs w:val="18"/>
          <w:lang w:val="nl-NL"/>
        </w:rPr>
        <w:t>Het is onmiskenbaar dat de Belgische wetgever verandering zal moeten doorvoeren</w:t>
      </w:r>
      <w:r w:rsidR="000D4B4A" w:rsidRPr="00A33930">
        <w:rPr>
          <w:rFonts w:eastAsia="Verdana" w:cs="Verdana"/>
          <w:szCs w:val="18"/>
          <w:lang w:val="nl-NL"/>
        </w:rPr>
        <w:t>. Op die manier wordt</w:t>
      </w:r>
      <w:r w:rsidRPr="00A33930">
        <w:rPr>
          <w:rFonts w:eastAsia="Verdana" w:cs="Verdana"/>
          <w:szCs w:val="18"/>
          <w:lang w:val="nl-NL"/>
        </w:rPr>
        <w:t xml:space="preserve"> de rechtsonzekerheid en rechtsongelijkheid weggewerkt. </w:t>
      </w:r>
      <w:r w:rsidR="00BD04AC" w:rsidRPr="00A33930">
        <w:rPr>
          <w:rFonts w:eastAsia="Verdana" w:cs="Verdana"/>
          <w:szCs w:val="18"/>
          <w:lang w:val="nl-NL"/>
        </w:rPr>
        <w:t xml:space="preserve">Kinderen worden in deze moderne samenleving niet langer gezien als onbekwamen die lijdzaam de keuzes van volwassenen moeten volgen. </w:t>
      </w:r>
      <w:r w:rsidR="0063560D" w:rsidRPr="00A33930">
        <w:rPr>
          <w:rFonts w:eastAsia="Verdana" w:cs="Verdana"/>
          <w:szCs w:val="18"/>
          <w:lang w:val="nl-NL"/>
        </w:rPr>
        <w:t xml:space="preserve">De vraag </w:t>
      </w:r>
      <w:r w:rsidRPr="00A33930">
        <w:rPr>
          <w:rFonts w:eastAsia="Verdana" w:cs="Verdana"/>
          <w:szCs w:val="18"/>
          <w:lang w:val="nl-NL"/>
        </w:rPr>
        <w:t>rijst</w:t>
      </w:r>
      <w:r w:rsidR="0063560D" w:rsidRPr="00A33930">
        <w:rPr>
          <w:rFonts w:eastAsia="Verdana" w:cs="Verdana"/>
          <w:szCs w:val="18"/>
          <w:lang w:val="nl-NL"/>
        </w:rPr>
        <w:t xml:space="preserve"> </w:t>
      </w:r>
      <w:r w:rsidR="007053D2" w:rsidRPr="00A33930">
        <w:rPr>
          <w:rFonts w:eastAsia="Verdana" w:cs="Verdana"/>
          <w:szCs w:val="18"/>
          <w:lang w:val="nl-NL"/>
        </w:rPr>
        <w:t xml:space="preserve">dan ook </w:t>
      </w:r>
      <w:r w:rsidR="0063560D" w:rsidRPr="00A33930">
        <w:rPr>
          <w:rFonts w:eastAsia="Verdana" w:cs="Verdana"/>
          <w:szCs w:val="18"/>
          <w:lang w:val="nl-NL"/>
        </w:rPr>
        <w:t xml:space="preserve">hoe de Belgische wetgever </w:t>
      </w:r>
      <w:r w:rsidR="00DC0D66" w:rsidRPr="00A33930">
        <w:rPr>
          <w:rFonts w:eastAsia="Verdana" w:cs="Verdana"/>
          <w:szCs w:val="18"/>
          <w:lang w:val="nl-NL"/>
        </w:rPr>
        <w:t>een</w:t>
      </w:r>
      <w:r w:rsidR="0063560D" w:rsidRPr="00A33930">
        <w:rPr>
          <w:rFonts w:eastAsia="Verdana" w:cs="Verdana"/>
          <w:szCs w:val="18"/>
          <w:lang w:val="nl-NL"/>
        </w:rPr>
        <w:t xml:space="preserve"> contactrecht van het kind</w:t>
      </w:r>
      <w:r w:rsidR="00FF7CEB" w:rsidRPr="00A33930">
        <w:rPr>
          <w:rFonts w:eastAsia="Verdana" w:cs="Verdana"/>
          <w:szCs w:val="18"/>
          <w:lang w:val="nl-NL"/>
        </w:rPr>
        <w:t xml:space="preserve"> in overeenstemming met de mensenrechtelijke verplichtingen</w:t>
      </w:r>
      <w:r w:rsidR="0063560D" w:rsidRPr="00A33930">
        <w:rPr>
          <w:rFonts w:eastAsia="Verdana" w:cs="Verdana"/>
          <w:szCs w:val="18"/>
          <w:lang w:val="nl-NL"/>
        </w:rPr>
        <w:t xml:space="preserve"> het beste vormgeeft.</w:t>
      </w:r>
    </w:p>
    <w:p w14:paraId="5E63AA6D" w14:textId="77777777" w:rsidR="00C66EAF" w:rsidRPr="00A33930" w:rsidRDefault="00C66EAF">
      <w:pPr>
        <w:spacing w:after="160" w:line="259" w:lineRule="auto"/>
        <w:rPr>
          <w:rFonts w:eastAsiaTheme="majorEastAsia" w:cstheme="majorBidi"/>
          <w:b/>
          <w:sz w:val="20"/>
          <w:szCs w:val="28"/>
          <w:lang w:val="nl-NL" w:eastAsia="en-US"/>
        </w:rPr>
      </w:pPr>
      <w:r w:rsidRPr="00A33930">
        <w:rPr>
          <w:sz w:val="20"/>
          <w:szCs w:val="28"/>
          <w:lang w:val="nl-NL"/>
        </w:rPr>
        <w:br w:type="page"/>
      </w:r>
    </w:p>
    <w:p w14:paraId="5414B2EC" w14:textId="178B846B" w:rsidR="00717BC2" w:rsidRPr="00A33930" w:rsidRDefault="00C66EAF" w:rsidP="00C66EAF">
      <w:pPr>
        <w:pStyle w:val="Kop2"/>
        <w:numPr>
          <w:ilvl w:val="0"/>
          <w:numId w:val="0"/>
        </w:numPr>
        <w:spacing w:before="240"/>
        <w:ind w:left="357" w:hanging="357"/>
        <w:jc w:val="both"/>
        <w:rPr>
          <w:sz w:val="20"/>
          <w:szCs w:val="28"/>
          <w:lang w:val="nl-NL"/>
        </w:rPr>
      </w:pPr>
      <w:bookmarkStart w:id="45" w:name="_Toc134621204"/>
      <w:r w:rsidRPr="00A33930">
        <w:rPr>
          <w:sz w:val="20"/>
          <w:szCs w:val="28"/>
          <w:lang w:val="nl-NL"/>
        </w:rPr>
        <w:lastRenderedPageBreak/>
        <w:t>HOOFDSTUK II.</w:t>
      </w:r>
      <w:r w:rsidRPr="00A33930">
        <w:rPr>
          <w:sz w:val="20"/>
          <w:szCs w:val="28"/>
          <w:lang w:val="nl-NL"/>
        </w:rPr>
        <w:tab/>
        <w:t>AANBEVELINGEN: HOE KAN DE WETGEVER DIT AANPAKKEN?</w:t>
      </w:r>
      <w:bookmarkEnd w:id="45"/>
    </w:p>
    <w:p w14:paraId="6C4AD9EC" w14:textId="034B12AA" w:rsidR="00857C8A" w:rsidRPr="00A33930" w:rsidRDefault="00034CBE" w:rsidP="00D327E0">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In het licht van het onderzoek tot nu toe gevoerd, zouden de hierna besproken aanbevelingen de mogelijke pistes zijn die verder onderzocht moeten worden om overeenstemming van de Belgische regelgeving met </w:t>
      </w:r>
      <w:r w:rsidR="007749DA" w:rsidRPr="00A33930">
        <w:rPr>
          <w:rFonts w:eastAsia="Verdana" w:cs="Verdana"/>
          <w:szCs w:val="18"/>
          <w:lang w:val="nl-NL"/>
        </w:rPr>
        <w:t xml:space="preserve">de </w:t>
      </w:r>
      <w:r w:rsidRPr="00A33930">
        <w:rPr>
          <w:rFonts w:eastAsia="Verdana" w:cs="Verdana"/>
          <w:szCs w:val="18"/>
          <w:lang w:val="nl-NL"/>
        </w:rPr>
        <w:t xml:space="preserve">mensenrechtelijke </w:t>
      </w:r>
      <w:r w:rsidR="00B84E70" w:rsidRPr="00A33930">
        <w:rPr>
          <w:rFonts w:eastAsia="Verdana" w:cs="Verdana"/>
          <w:szCs w:val="18"/>
          <w:lang w:val="nl-NL"/>
        </w:rPr>
        <w:t>verplichtingen</w:t>
      </w:r>
      <w:r w:rsidRPr="00A33930">
        <w:rPr>
          <w:rFonts w:eastAsia="Verdana" w:cs="Verdana"/>
          <w:szCs w:val="18"/>
          <w:lang w:val="nl-NL"/>
        </w:rPr>
        <w:t xml:space="preserve"> te bereiken. </w:t>
      </w:r>
      <w:r w:rsidR="00D327E0" w:rsidRPr="00A33930">
        <w:rPr>
          <w:rFonts w:eastAsia="Verdana" w:cs="Verdana"/>
          <w:szCs w:val="18"/>
          <w:lang w:val="nl-NL"/>
        </w:rPr>
        <w:t xml:space="preserve">Mijns inziens kunnen er verschillende redenen worden aangehaald waarom het kind recht heeft op een eigen </w:t>
      </w:r>
      <w:r w:rsidR="007053D2" w:rsidRPr="00A33930">
        <w:rPr>
          <w:rFonts w:eastAsia="Verdana" w:cs="Verdana"/>
          <w:szCs w:val="18"/>
          <w:lang w:val="nl-NL"/>
        </w:rPr>
        <w:t>contact</w:t>
      </w:r>
      <w:r w:rsidR="00D327E0" w:rsidRPr="00A33930">
        <w:rPr>
          <w:rFonts w:eastAsia="Verdana" w:cs="Verdana"/>
          <w:szCs w:val="18"/>
          <w:lang w:val="nl-NL"/>
        </w:rPr>
        <w:t xml:space="preserve">recht. </w:t>
      </w:r>
      <w:r w:rsidRPr="00A33930">
        <w:rPr>
          <w:rFonts w:eastAsia="Verdana" w:cs="Verdana"/>
          <w:szCs w:val="18"/>
          <w:lang w:val="nl-NL"/>
        </w:rPr>
        <w:t>Kinderen zijn juridisch steeds de zwakste partij. Ze hebben op papier wel rechten, maar de uitoefening</w:t>
      </w:r>
      <w:r w:rsidR="00DC3FD4" w:rsidRPr="00A33930">
        <w:rPr>
          <w:rFonts w:eastAsia="Verdana" w:cs="Verdana"/>
          <w:szCs w:val="18"/>
          <w:lang w:val="nl-NL"/>
        </w:rPr>
        <w:t xml:space="preserve"> en afdwingbaarheid ervan</w:t>
      </w:r>
      <w:r w:rsidRPr="00A33930">
        <w:rPr>
          <w:rFonts w:eastAsia="Verdana" w:cs="Verdana"/>
          <w:szCs w:val="18"/>
          <w:lang w:val="nl-NL"/>
        </w:rPr>
        <w:t xml:space="preserve"> </w:t>
      </w:r>
      <w:r w:rsidR="00DC3FD4" w:rsidRPr="00A33930">
        <w:rPr>
          <w:rFonts w:eastAsia="Verdana" w:cs="Verdana"/>
          <w:szCs w:val="18"/>
          <w:lang w:val="nl-NL"/>
        </w:rPr>
        <w:t xml:space="preserve">betreft </w:t>
      </w:r>
      <w:r w:rsidR="000728FB" w:rsidRPr="00A33930">
        <w:rPr>
          <w:rFonts w:eastAsia="Verdana" w:cs="Verdana"/>
          <w:szCs w:val="18"/>
          <w:lang w:val="nl-NL"/>
        </w:rPr>
        <w:t>m</w:t>
      </w:r>
      <w:r w:rsidR="007053D2" w:rsidRPr="00A33930">
        <w:rPr>
          <w:rFonts w:eastAsia="Verdana" w:cs="Verdana"/>
          <w:szCs w:val="18"/>
          <w:lang w:val="nl-NL"/>
        </w:rPr>
        <w:t>ijns inziens</w:t>
      </w:r>
      <w:r w:rsidR="000728FB" w:rsidRPr="00A33930">
        <w:rPr>
          <w:rFonts w:eastAsia="Verdana" w:cs="Verdana"/>
          <w:szCs w:val="18"/>
          <w:lang w:val="nl-NL"/>
        </w:rPr>
        <w:t xml:space="preserve"> </w:t>
      </w:r>
      <w:r w:rsidR="00DC3FD4" w:rsidRPr="00A33930">
        <w:rPr>
          <w:rFonts w:eastAsia="Verdana" w:cs="Verdana"/>
          <w:szCs w:val="18"/>
          <w:lang w:val="nl-NL"/>
        </w:rPr>
        <w:t xml:space="preserve">een sterk versnipperde aanpak. </w:t>
      </w:r>
      <w:r w:rsidR="000D4B4A" w:rsidRPr="00A33930">
        <w:rPr>
          <w:rFonts w:eastAsia="Verdana" w:cs="Verdana"/>
          <w:szCs w:val="18"/>
          <w:lang w:val="nl-NL"/>
        </w:rPr>
        <w:t>Bovenal mag d</w:t>
      </w:r>
      <w:r w:rsidRPr="00A33930">
        <w:rPr>
          <w:rFonts w:eastAsia="Verdana" w:cs="Verdana"/>
          <w:szCs w:val="18"/>
          <w:lang w:val="nl-NL"/>
        </w:rPr>
        <w:t xml:space="preserve">e impact van </w:t>
      </w:r>
      <w:r w:rsidR="000728FB" w:rsidRPr="00A33930">
        <w:rPr>
          <w:rFonts w:eastAsia="Verdana" w:cs="Verdana"/>
          <w:szCs w:val="18"/>
          <w:lang w:val="nl-NL"/>
        </w:rPr>
        <w:t xml:space="preserve">contactregelingen op kinderen </w:t>
      </w:r>
      <w:r w:rsidRPr="00A33930">
        <w:rPr>
          <w:rFonts w:eastAsia="Verdana" w:cs="Verdana"/>
          <w:szCs w:val="18"/>
          <w:lang w:val="nl-NL"/>
        </w:rPr>
        <w:t>niet onderschat worden</w:t>
      </w:r>
      <w:r w:rsidR="00F83A3E" w:rsidRPr="00A33930">
        <w:rPr>
          <w:rFonts w:eastAsia="Verdana" w:cs="Verdana"/>
          <w:szCs w:val="18"/>
          <w:lang w:val="nl-NL"/>
        </w:rPr>
        <w:t>,</w:t>
      </w:r>
      <w:r w:rsidRPr="00A33930">
        <w:rPr>
          <w:rFonts w:eastAsia="Verdana" w:cs="Verdana"/>
          <w:szCs w:val="18"/>
          <w:lang w:val="nl-NL"/>
        </w:rPr>
        <w:t xml:space="preserve"> waardoor het respect voor hun rechten en belangen </w:t>
      </w:r>
      <w:r w:rsidR="007053D2" w:rsidRPr="00A33930">
        <w:rPr>
          <w:rFonts w:eastAsia="Verdana" w:cs="Verdana"/>
          <w:szCs w:val="18"/>
          <w:lang w:val="nl-NL"/>
        </w:rPr>
        <w:t>steeds het</w:t>
      </w:r>
      <w:r w:rsidR="004C7523" w:rsidRPr="00A33930">
        <w:rPr>
          <w:rFonts w:eastAsia="Verdana" w:cs="Verdana"/>
          <w:szCs w:val="18"/>
          <w:lang w:val="nl-NL"/>
        </w:rPr>
        <w:t xml:space="preserve"> uitgangspunt</w:t>
      </w:r>
      <w:r w:rsidRPr="00A33930">
        <w:rPr>
          <w:rFonts w:eastAsia="Verdana" w:cs="Verdana"/>
          <w:szCs w:val="18"/>
          <w:lang w:val="nl-NL"/>
        </w:rPr>
        <w:t xml:space="preserve"> moet </w:t>
      </w:r>
      <w:r w:rsidR="004C7523" w:rsidRPr="00A33930">
        <w:rPr>
          <w:rFonts w:eastAsia="Verdana" w:cs="Verdana"/>
          <w:szCs w:val="18"/>
          <w:lang w:val="nl-NL"/>
        </w:rPr>
        <w:t>vormen</w:t>
      </w:r>
      <w:r w:rsidR="00DE426A" w:rsidRPr="00A33930">
        <w:rPr>
          <w:rFonts w:eastAsia="Verdana" w:cs="Verdana"/>
          <w:szCs w:val="18"/>
          <w:lang w:val="nl-NL"/>
        </w:rPr>
        <w:t>.</w:t>
      </w:r>
    </w:p>
    <w:p w14:paraId="508D2731" w14:textId="08B284AA" w:rsidR="008E162C" w:rsidRPr="00A33930" w:rsidRDefault="00C66EAF" w:rsidP="00857C8A">
      <w:pPr>
        <w:pStyle w:val="Kop4"/>
        <w:spacing w:before="240"/>
        <w:rPr>
          <w:rFonts w:ascii="Verdana" w:hAnsi="Verdana"/>
          <w:color w:val="auto"/>
          <w:lang w:val="nl-NL"/>
        </w:rPr>
      </w:pPr>
      <w:r w:rsidRPr="00A33930">
        <w:rPr>
          <w:rFonts w:ascii="Verdana" w:hAnsi="Verdana"/>
          <w:color w:val="auto"/>
          <w:lang w:val="nl-NL"/>
        </w:rPr>
        <w:t>§</w:t>
      </w:r>
      <w:r w:rsidR="008E3D48" w:rsidRPr="00A33930">
        <w:rPr>
          <w:rFonts w:ascii="Verdana" w:hAnsi="Verdana"/>
          <w:color w:val="auto"/>
          <w:lang w:val="nl-NL"/>
        </w:rPr>
        <w:t>1.</w:t>
      </w:r>
      <w:r w:rsidR="008E3D48" w:rsidRPr="00A33930">
        <w:rPr>
          <w:rFonts w:ascii="Verdana" w:hAnsi="Verdana"/>
          <w:color w:val="auto"/>
          <w:lang w:val="nl-NL"/>
        </w:rPr>
        <w:tab/>
        <w:t xml:space="preserve">Inschrijving </w:t>
      </w:r>
      <w:r w:rsidRPr="00A33930">
        <w:rPr>
          <w:rFonts w:ascii="Verdana" w:hAnsi="Verdana"/>
          <w:color w:val="auto"/>
          <w:lang w:val="nl-NL"/>
        </w:rPr>
        <w:t xml:space="preserve">eigen </w:t>
      </w:r>
      <w:r w:rsidR="008E3D48" w:rsidRPr="00A33930">
        <w:rPr>
          <w:rFonts w:ascii="Verdana" w:hAnsi="Verdana"/>
          <w:color w:val="auto"/>
          <w:lang w:val="nl-NL"/>
        </w:rPr>
        <w:t>recht op persoonlijk contact</w:t>
      </w:r>
      <w:r w:rsidR="004C7523" w:rsidRPr="00A33930">
        <w:rPr>
          <w:rFonts w:ascii="Verdana" w:hAnsi="Verdana"/>
          <w:color w:val="auto"/>
          <w:lang w:val="nl-NL"/>
        </w:rPr>
        <w:t xml:space="preserve"> van het kind</w:t>
      </w:r>
      <w:r w:rsidR="008E3D48" w:rsidRPr="00A33930">
        <w:rPr>
          <w:rFonts w:ascii="Verdana" w:hAnsi="Verdana"/>
          <w:color w:val="auto"/>
          <w:lang w:val="nl-NL"/>
        </w:rPr>
        <w:t xml:space="preserve"> in de Grondwet</w:t>
      </w:r>
    </w:p>
    <w:p w14:paraId="2E82272F" w14:textId="44D2E0D4" w:rsidR="00772430" w:rsidRPr="00A33930" w:rsidRDefault="009E1A96" w:rsidP="008E3D48">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Vooreerst</w:t>
      </w:r>
      <w:r w:rsidR="008E162C" w:rsidRPr="00A33930">
        <w:rPr>
          <w:rFonts w:eastAsia="Verdana" w:cs="Verdana"/>
          <w:szCs w:val="18"/>
          <w:lang w:val="nl-NL"/>
        </w:rPr>
        <w:t xml:space="preserve"> </w:t>
      </w:r>
      <w:r w:rsidR="00C87DE5" w:rsidRPr="00A33930">
        <w:rPr>
          <w:rFonts w:eastAsia="Verdana" w:cs="Verdana"/>
          <w:szCs w:val="18"/>
          <w:lang w:val="nl-NL"/>
        </w:rPr>
        <w:t>zou</w:t>
      </w:r>
      <w:r w:rsidR="00772430" w:rsidRPr="00A33930">
        <w:rPr>
          <w:rFonts w:eastAsia="Verdana" w:cs="Verdana"/>
          <w:szCs w:val="18"/>
          <w:lang w:val="nl-NL"/>
        </w:rPr>
        <w:t xml:space="preserve"> de wetgever</w:t>
      </w:r>
      <w:r w:rsidR="008E162C" w:rsidRPr="00A33930">
        <w:rPr>
          <w:rFonts w:eastAsia="Verdana" w:cs="Verdana"/>
          <w:szCs w:val="18"/>
          <w:lang w:val="nl-NL"/>
        </w:rPr>
        <w:t xml:space="preserve"> het recht van het kind op persoonlijk contact in de Belgische Grondwet </w:t>
      </w:r>
      <w:r w:rsidR="00772430" w:rsidRPr="00A33930">
        <w:rPr>
          <w:rFonts w:eastAsia="Verdana" w:cs="Verdana"/>
          <w:szCs w:val="18"/>
          <w:lang w:val="nl-NL"/>
        </w:rPr>
        <w:t>moeten</w:t>
      </w:r>
      <w:r w:rsidR="008E162C" w:rsidRPr="00A33930">
        <w:rPr>
          <w:rFonts w:eastAsia="Verdana" w:cs="Verdana"/>
          <w:szCs w:val="18"/>
          <w:lang w:val="nl-NL"/>
        </w:rPr>
        <w:t xml:space="preserve"> </w:t>
      </w:r>
      <w:r w:rsidR="00772430" w:rsidRPr="00A33930">
        <w:rPr>
          <w:rFonts w:eastAsia="Verdana" w:cs="Verdana"/>
          <w:szCs w:val="18"/>
          <w:lang w:val="nl-NL"/>
        </w:rPr>
        <w:t>inschrijven</w:t>
      </w:r>
      <w:r w:rsidR="008E162C" w:rsidRPr="00A33930">
        <w:rPr>
          <w:rFonts w:eastAsia="Verdana" w:cs="Verdana"/>
          <w:szCs w:val="18"/>
          <w:lang w:val="nl-NL"/>
        </w:rPr>
        <w:t xml:space="preserve">, naar Duits </w:t>
      </w:r>
      <w:r w:rsidR="00EF0A8D" w:rsidRPr="00A33930">
        <w:rPr>
          <w:rFonts w:eastAsia="Verdana" w:cs="Verdana"/>
          <w:szCs w:val="18"/>
          <w:lang w:val="nl-NL"/>
        </w:rPr>
        <w:t>voorbeeld</w:t>
      </w:r>
      <w:r w:rsidR="00772430" w:rsidRPr="00A33930">
        <w:rPr>
          <w:rFonts w:eastAsia="Verdana" w:cs="Verdana"/>
          <w:szCs w:val="18"/>
          <w:lang w:val="nl-NL"/>
        </w:rPr>
        <w:t xml:space="preserve"> (</w:t>
      </w:r>
      <w:r w:rsidR="00772430" w:rsidRPr="00A33930">
        <w:rPr>
          <w:rFonts w:eastAsia="Verdana" w:cs="Verdana"/>
          <w:i/>
          <w:iCs/>
          <w:szCs w:val="18"/>
          <w:lang w:val="nl-NL"/>
        </w:rPr>
        <w:t>supra</w:t>
      </w:r>
      <w:r w:rsidR="00772430" w:rsidRPr="00A33930">
        <w:rPr>
          <w:rFonts w:eastAsia="Verdana" w:cs="Verdana"/>
          <w:szCs w:val="18"/>
          <w:lang w:val="nl-NL"/>
        </w:rPr>
        <w:t>, nr. 136)</w:t>
      </w:r>
      <w:r w:rsidR="008E162C" w:rsidRPr="00A33930">
        <w:rPr>
          <w:rFonts w:eastAsia="Verdana" w:cs="Verdana"/>
          <w:szCs w:val="18"/>
          <w:lang w:val="nl-NL"/>
        </w:rPr>
        <w:t xml:space="preserve">. Niet alleen zorgt dit voor een </w:t>
      </w:r>
      <w:r w:rsidR="00FB441C" w:rsidRPr="00A33930">
        <w:rPr>
          <w:rFonts w:eastAsia="Verdana" w:cs="Verdana"/>
          <w:szCs w:val="18"/>
          <w:lang w:val="nl-NL"/>
        </w:rPr>
        <w:t>sterkere afdwingbaarheid</w:t>
      </w:r>
      <w:r w:rsidR="00EF0A8D" w:rsidRPr="00A33930">
        <w:rPr>
          <w:rFonts w:eastAsia="Verdana" w:cs="Verdana"/>
          <w:szCs w:val="18"/>
          <w:lang w:val="nl-NL"/>
        </w:rPr>
        <w:t>,</w:t>
      </w:r>
      <w:r w:rsidR="00186212" w:rsidRPr="00A33930">
        <w:rPr>
          <w:rFonts w:eastAsia="Verdana" w:cs="Verdana"/>
          <w:szCs w:val="18"/>
          <w:lang w:val="nl-NL"/>
        </w:rPr>
        <w:t xml:space="preserve"> </w:t>
      </w:r>
      <w:r w:rsidR="00FB441C" w:rsidRPr="00A33930">
        <w:rPr>
          <w:rFonts w:eastAsia="Verdana" w:cs="Verdana"/>
          <w:szCs w:val="18"/>
          <w:lang w:val="nl-NL"/>
        </w:rPr>
        <w:t>maar</w:t>
      </w:r>
      <w:r w:rsidR="007053D2" w:rsidRPr="00A33930">
        <w:rPr>
          <w:rFonts w:eastAsia="Verdana" w:cs="Verdana"/>
          <w:szCs w:val="18"/>
          <w:lang w:val="nl-NL"/>
        </w:rPr>
        <w:t xml:space="preserve"> </w:t>
      </w:r>
      <w:r w:rsidR="00FB441C" w:rsidRPr="00A33930">
        <w:rPr>
          <w:rFonts w:eastAsia="Verdana" w:cs="Verdana"/>
          <w:szCs w:val="18"/>
          <w:lang w:val="nl-NL"/>
        </w:rPr>
        <w:t xml:space="preserve">ook </w:t>
      </w:r>
      <w:r w:rsidR="00772430" w:rsidRPr="00A33930">
        <w:rPr>
          <w:rFonts w:eastAsia="Verdana" w:cs="Verdana"/>
          <w:szCs w:val="18"/>
          <w:lang w:val="nl-NL"/>
        </w:rPr>
        <w:t>voor</w:t>
      </w:r>
      <w:r w:rsidR="00FB441C" w:rsidRPr="00A33930">
        <w:rPr>
          <w:rFonts w:eastAsia="Verdana" w:cs="Verdana"/>
          <w:szCs w:val="18"/>
          <w:lang w:val="nl-NL"/>
        </w:rPr>
        <w:t xml:space="preserve"> </w:t>
      </w:r>
      <w:r w:rsidR="00772430" w:rsidRPr="00A33930">
        <w:rPr>
          <w:rFonts w:eastAsia="Verdana" w:cs="Verdana"/>
          <w:szCs w:val="18"/>
          <w:lang w:val="nl-NL"/>
        </w:rPr>
        <w:t xml:space="preserve">een </w:t>
      </w:r>
      <w:r w:rsidR="007053D2" w:rsidRPr="00A33930">
        <w:rPr>
          <w:rFonts w:eastAsia="Verdana" w:cs="Verdana"/>
          <w:szCs w:val="18"/>
          <w:lang w:val="nl-NL"/>
        </w:rPr>
        <w:t>verankering</w:t>
      </w:r>
      <w:r w:rsidR="00FB441C" w:rsidRPr="00A33930">
        <w:rPr>
          <w:rFonts w:eastAsia="Verdana" w:cs="Verdana"/>
          <w:szCs w:val="18"/>
          <w:lang w:val="nl-NL"/>
        </w:rPr>
        <w:t xml:space="preserve"> van de </w:t>
      </w:r>
      <w:r w:rsidR="00772430" w:rsidRPr="00A33930">
        <w:rPr>
          <w:rFonts w:eastAsia="Verdana" w:cs="Verdana"/>
          <w:szCs w:val="18"/>
          <w:lang w:val="nl-NL"/>
        </w:rPr>
        <w:t xml:space="preserve">moderne </w:t>
      </w:r>
      <w:r w:rsidR="00FB441C" w:rsidRPr="00A33930">
        <w:rPr>
          <w:rFonts w:eastAsia="Verdana" w:cs="Verdana"/>
          <w:szCs w:val="18"/>
          <w:lang w:val="nl-NL"/>
        </w:rPr>
        <w:t>subjectgedachte</w:t>
      </w:r>
      <w:r w:rsidR="008E162C" w:rsidRPr="00A33930">
        <w:rPr>
          <w:rFonts w:eastAsia="Verdana" w:cs="Verdana"/>
          <w:szCs w:val="18"/>
          <w:lang w:val="nl-NL"/>
        </w:rPr>
        <w:t>.</w:t>
      </w:r>
      <w:r w:rsidR="00186212" w:rsidRPr="00A33930">
        <w:rPr>
          <w:rFonts w:eastAsia="Verdana" w:cs="Verdana"/>
          <w:szCs w:val="18"/>
          <w:lang w:val="nl-NL"/>
        </w:rPr>
        <w:t xml:space="preserve"> </w:t>
      </w:r>
      <w:r w:rsidR="004C7523" w:rsidRPr="00A33930">
        <w:rPr>
          <w:rFonts w:eastAsia="Verdana" w:cs="Verdana"/>
          <w:szCs w:val="18"/>
          <w:lang w:val="nl-NL"/>
        </w:rPr>
        <w:t xml:space="preserve">Het modern </w:t>
      </w:r>
      <w:r w:rsidR="00E57778" w:rsidRPr="00A33930">
        <w:rPr>
          <w:rFonts w:eastAsia="Verdana" w:cs="Verdana"/>
          <w:szCs w:val="18"/>
          <w:lang w:val="nl-NL"/>
        </w:rPr>
        <w:t xml:space="preserve">kindperspectief </w:t>
      </w:r>
      <w:r w:rsidR="004C7523" w:rsidRPr="00A33930">
        <w:rPr>
          <w:rFonts w:eastAsia="Verdana" w:cs="Verdana"/>
          <w:szCs w:val="18"/>
          <w:lang w:val="nl-NL"/>
        </w:rPr>
        <w:t xml:space="preserve">vraagt </w:t>
      </w:r>
      <w:r w:rsidR="00772430" w:rsidRPr="00A33930">
        <w:rPr>
          <w:rFonts w:eastAsia="Verdana" w:cs="Verdana"/>
          <w:szCs w:val="18"/>
          <w:lang w:val="nl-NL"/>
        </w:rPr>
        <w:t xml:space="preserve">namelijk </w:t>
      </w:r>
      <w:r w:rsidR="004C7523" w:rsidRPr="00A33930">
        <w:rPr>
          <w:rFonts w:eastAsia="Verdana" w:cs="Verdana"/>
          <w:szCs w:val="18"/>
          <w:lang w:val="nl-NL"/>
        </w:rPr>
        <w:t xml:space="preserve">dat </w:t>
      </w:r>
      <w:r w:rsidR="00186212" w:rsidRPr="00A33930">
        <w:rPr>
          <w:rFonts w:eastAsia="Verdana" w:cs="Verdana"/>
          <w:szCs w:val="18"/>
          <w:lang w:val="nl-NL"/>
        </w:rPr>
        <w:t>de Belgische wetgever zijn objectgedachte verlaat.</w:t>
      </w:r>
      <w:r w:rsidR="008E162C" w:rsidRPr="00A33930">
        <w:rPr>
          <w:rFonts w:eastAsia="Verdana" w:cs="Verdana"/>
          <w:szCs w:val="18"/>
          <w:lang w:val="nl-NL"/>
        </w:rPr>
        <w:t xml:space="preserve"> </w:t>
      </w:r>
      <w:r w:rsidR="004C7523" w:rsidRPr="00A33930">
        <w:rPr>
          <w:rFonts w:eastAsia="Verdana" w:cs="Verdana"/>
          <w:szCs w:val="18"/>
          <w:lang w:val="nl-NL"/>
        </w:rPr>
        <w:t>Hierdoor vindt de</w:t>
      </w:r>
      <w:r w:rsidR="008E3D48" w:rsidRPr="00A33930">
        <w:rPr>
          <w:rFonts w:eastAsia="Verdana" w:cs="Verdana"/>
          <w:szCs w:val="18"/>
          <w:lang w:val="nl-NL"/>
        </w:rPr>
        <w:t xml:space="preserve"> kritiek dat </w:t>
      </w:r>
      <w:r w:rsidR="004C7523" w:rsidRPr="00A33930">
        <w:rPr>
          <w:rFonts w:eastAsia="Verdana" w:cs="Verdana"/>
          <w:szCs w:val="18"/>
          <w:lang w:val="nl-NL"/>
        </w:rPr>
        <w:t xml:space="preserve">er </w:t>
      </w:r>
      <w:r w:rsidR="008E3D48" w:rsidRPr="00A33930">
        <w:rPr>
          <w:rFonts w:eastAsia="Verdana" w:cs="Verdana"/>
          <w:szCs w:val="18"/>
          <w:lang w:val="nl-NL"/>
        </w:rPr>
        <w:t xml:space="preserve">bij zeer jonge kinderen geen sprake is van privé-, familie- en gezinsleven door een inschrijving in de Grondwet </w:t>
      </w:r>
      <w:r w:rsidR="004C7523" w:rsidRPr="00A33930">
        <w:rPr>
          <w:rFonts w:eastAsia="Verdana" w:cs="Verdana"/>
          <w:szCs w:val="18"/>
          <w:lang w:val="nl-NL"/>
        </w:rPr>
        <w:t>bovendien</w:t>
      </w:r>
      <w:r w:rsidR="008E3D48" w:rsidRPr="00A33930">
        <w:rPr>
          <w:rFonts w:eastAsia="Verdana" w:cs="Verdana"/>
          <w:szCs w:val="18"/>
          <w:lang w:val="nl-NL"/>
        </w:rPr>
        <w:t xml:space="preserve"> geen grondslag meer. Wanneer het recht op persoonlijk contact erkend wordt als een fundamenteel en persoonlijk recht, is er onmogelijk sprake van een collectief karakter</w:t>
      </w:r>
      <w:r w:rsidR="00772430" w:rsidRPr="00A33930">
        <w:rPr>
          <w:rFonts w:eastAsia="Verdana" w:cs="Verdana"/>
          <w:szCs w:val="18"/>
          <w:lang w:val="nl-NL"/>
        </w:rPr>
        <w:t xml:space="preserve"> (</w:t>
      </w:r>
      <w:r w:rsidR="00772430" w:rsidRPr="00A33930">
        <w:rPr>
          <w:rFonts w:eastAsia="Verdana" w:cs="Verdana"/>
          <w:i/>
          <w:iCs/>
          <w:szCs w:val="18"/>
          <w:lang w:val="nl-NL"/>
        </w:rPr>
        <w:t>supra</w:t>
      </w:r>
      <w:r w:rsidR="00772430" w:rsidRPr="00A33930">
        <w:rPr>
          <w:rFonts w:eastAsia="Verdana" w:cs="Verdana"/>
          <w:szCs w:val="18"/>
          <w:lang w:val="nl-NL"/>
        </w:rPr>
        <w:t>, nr. 73)</w:t>
      </w:r>
      <w:r w:rsidR="008E3D48" w:rsidRPr="00A33930">
        <w:rPr>
          <w:rFonts w:eastAsia="Verdana" w:cs="Verdana"/>
          <w:szCs w:val="18"/>
          <w:lang w:val="nl-NL"/>
        </w:rPr>
        <w:t xml:space="preserve">. Alleen </w:t>
      </w:r>
      <w:r w:rsidR="00C87DE5" w:rsidRPr="00A33930">
        <w:rPr>
          <w:rFonts w:eastAsia="Verdana" w:cs="Verdana"/>
          <w:szCs w:val="18"/>
          <w:lang w:val="nl-NL"/>
        </w:rPr>
        <w:t>via deze weg</w:t>
      </w:r>
      <w:r w:rsidR="008E3D48" w:rsidRPr="00A33930">
        <w:rPr>
          <w:rFonts w:eastAsia="Verdana" w:cs="Verdana"/>
          <w:szCs w:val="18"/>
          <w:lang w:val="nl-NL"/>
        </w:rPr>
        <w:t xml:space="preserve"> wordt </w:t>
      </w:r>
      <w:r w:rsidR="00772430" w:rsidRPr="00A33930">
        <w:rPr>
          <w:rFonts w:eastAsia="Verdana" w:cs="Verdana"/>
          <w:szCs w:val="18"/>
          <w:lang w:val="nl-NL"/>
        </w:rPr>
        <w:t>ieder</w:t>
      </w:r>
      <w:r w:rsidR="008E3D48" w:rsidRPr="00A33930">
        <w:rPr>
          <w:rFonts w:eastAsia="Verdana" w:cs="Verdana"/>
          <w:szCs w:val="18"/>
          <w:lang w:val="nl-NL"/>
        </w:rPr>
        <w:t xml:space="preserve"> kind gezien als volwaardig rechtssubject.</w:t>
      </w:r>
    </w:p>
    <w:p w14:paraId="1574A144" w14:textId="77777777" w:rsidR="00772430" w:rsidRPr="00A33930" w:rsidRDefault="00772430" w:rsidP="00772430">
      <w:pPr>
        <w:pStyle w:val="Lijstalinea"/>
        <w:spacing w:before="200" w:after="0"/>
        <w:ind w:left="0"/>
        <w:jc w:val="both"/>
        <w:rPr>
          <w:rFonts w:eastAsia="Verdana" w:cs="Verdana"/>
          <w:szCs w:val="18"/>
          <w:lang w:val="nl-NL"/>
        </w:rPr>
      </w:pPr>
    </w:p>
    <w:p w14:paraId="1D8F31DD" w14:textId="2EB34104" w:rsidR="00772430" w:rsidRPr="00A33930" w:rsidRDefault="008E162C" w:rsidP="00772430">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Indien de Belgische wetgever </w:t>
      </w:r>
      <w:r w:rsidR="007749DA" w:rsidRPr="00A33930">
        <w:rPr>
          <w:rFonts w:eastAsia="Verdana" w:cs="Verdana"/>
          <w:szCs w:val="18"/>
          <w:lang w:val="nl-NL"/>
        </w:rPr>
        <w:t>besluit</w:t>
      </w:r>
      <w:r w:rsidRPr="00A33930">
        <w:rPr>
          <w:rFonts w:eastAsia="Verdana" w:cs="Verdana"/>
          <w:szCs w:val="18"/>
          <w:lang w:val="nl-NL"/>
        </w:rPr>
        <w:t xml:space="preserve"> tot inschrijving in de Grondwet moet ook worden gekeken naar de gevolgen van deze inschrijving. </w:t>
      </w:r>
      <w:r w:rsidR="004C7523" w:rsidRPr="00A33930">
        <w:rPr>
          <w:rFonts w:eastAsia="Verdana" w:cs="Verdana"/>
          <w:szCs w:val="18"/>
          <w:lang w:val="nl-NL"/>
        </w:rPr>
        <w:t>Vooreerst zou deze inschrijving</w:t>
      </w:r>
      <w:r w:rsidR="00186212" w:rsidRPr="00A33930">
        <w:rPr>
          <w:rFonts w:eastAsia="Verdana" w:cs="Verdana"/>
          <w:szCs w:val="18"/>
          <w:lang w:val="nl-NL"/>
        </w:rPr>
        <w:t xml:space="preserve"> de directe werking van artikel 9.3 IVRK </w:t>
      </w:r>
      <w:r w:rsidR="00186212" w:rsidRPr="00A33930">
        <w:rPr>
          <w:rFonts w:eastAsia="Verdana" w:cs="Verdana"/>
          <w:i/>
          <w:iCs/>
          <w:szCs w:val="18"/>
          <w:lang w:val="nl-NL"/>
        </w:rPr>
        <w:t>juncto</w:t>
      </w:r>
      <w:r w:rsidR="00186212" w:rsidRPr="00A33930">
        <w:rPr>
          <w:rFonts w:eastAsia="Verdana" w:cs="Verdana"/>
          <w:szCs w:val="18"/>
          <w:lang w:val="nl-NL"/>
        </w:rPr>
        <w:t xml:space="preserve"> artikel 8 EVRM sterk benadrukken. </w:t>
      </w:r>
      <w:r w:rsidR="004C7523" w:rsidRPr="00A33930">
        <w:rPr>
          <w:rFonts w:eastAsia="Verdana" w:cs="Verdana"/>
          <w:szCs w:val="18"/>
          <w:lang w:val="nl-NL"/>
        </w:rPr>
        <w:t>Een inschrijving</w:t>
      </w:r>
      <w:r w:rsidR="00186212" w:rsidRPr="00A33930">
        <w:rPr>
          <w:rFonts w:eastAsia="Verdana" w:cs="Verdana"/>
          <w:szCs w:val="18"/>
          <w:lang w:val="nl-NL"/>
        </w:rPr>
        <w:t xml:space="preserve"> zorgt ervoor dat er geen subjectieve interpretatieoefening </w:t>
      </w:r>
      <w:r w:rsidR="004C7523" w:rsidRPr="00A33930">
        <w:rPr>
          <w:rFonts w:eastAsia="Verdana" w:cs="Verdana"/>
          <w:szCs w:val="18"/>
          <w:lang w:val="nl-NL"/>
        </w:rPr>
        <w:t>moet worden uitgevoerd</w:t>
      </w:r>
      <w:r w:rsidR="00186212" w:rsidRPr="00A33930">
        <w:rPr>
          <w:rFonts w:eastAsia="Verdana" w:cs="Verdana"/>
          <w:szCs w:val="18"/>
          <w:lang w:val="nl-NL"/>
        </w:rPr>
        <w:t xml:space="preserve"> door de rechterlijke instanties</w:t>
      </w:r>
      <w:r w:rsidR="00772430" w:rsidRPr="00A33930">
        <w:rPr>
          <w:rFonts w:eastAsia="Verdana" w:cs="Verdana"/>
          <w:szCs w:val="18"/>
          <w:lang w:val="nl-NL"/>
        </w:rPr>
        <w:t xml:space="preserve"> (</w:t>
      </w:r>
      <w:r w:rsidR="00772430" w:rsidRPr="00A33930">
        <w:rPr>
          <w:rFonts w:eastAsia="Verdana" w:cs="Verdana"/>
          <w:i/>
          <w:iCs/>
          <w:szCs w:val="18"/>
          <w:lang w:val="nl-NL"/>
        </w:rPr>
        <w:t>supra</w:t>
      </w:r>
      <w:r w:rsidR="00772430" w:rsidRPr="00A33930">
        <w:rPr>
          <w:rFonts w:eastAsia="Verdana" w:cs="Verdana"/>
          <w:szCs w:val="18"/>
          <w:lang w:val="nl-NL"/>
        </w:rPr>
        <w:t>, nr. 30 en nr. 49)</w:t>
      </w:r>
      <w:r w:rsidR="00186212" w:rsidRPr="00A33930">
        <w:rPr>
          <w:rFonts w:eastAsia="Verdana" w:cs="Verdana"/>
          <w:szCs w:val="18"/>
          <w:lang w:val="nl-NL"/>
        </w:rPr>
        <w:t xml:space="preserve">. De criteria </w:t>
      </w:r>
      <w:r w:rsidR="007749DA" w:rsidRPr="00A33930">
        <w:rPr>
          <w:rFonts w:eastAsia="Verdana" w:cs="Verdana"/>
          <w:szCs w:val="18"/>
          <w:lang w:val="nl-NL"/>
        </w:rPr>
        <w:t xml:space="preserve">ter toekenning </w:t>
      </w:r>
      <w:r w:rsidR="00186212" w:rsidRPr="00A33930">
        <w:rPr>
          <w:rFonts w:eastAsia="Verdana" w:cs="Verdana"/>
          <w:szCs w:val="18"/>
          <w:lang w:val="nl-NL"/>
        </w:rPr>
        <w:t>van directe werking verhullen m</w:t>
      </w:r>
      <w:r w:rsidR="007053D2" w:rsidRPr="00A33930">
        <w:rPr>
          <w:rFonts w:eastAsia="Verdana" w:cs="Verdana"/>
          <w:szCs w:val="18"/>
          <w:lang w:val="nl-NL"/>
        </w:rPr>
        <w:t>ijns inziens</w:t>
      </w:r>
      <w:r w:rsidR="00186212" w:rsidRPr="00A33930">
        <w:rPr>
          <w:rFonts w:eastAsia="Verdana" w:cs="Verdana"/>
          <w:szCs w:val="18"/>
          <w:lang w:val="nl-NL"/>
        </w:rPr>
        <w:t xml:space="preserve"> dat de rechter een zeer interpretatieve en actieve rol </w:t>
      </w:r>
      <w:r w:rsidR="004C7523" w:rsidRPr="00A33930">
        <w:rPr>
          <w:rFonts w:eastAsia="Verdana" w:cs="Verdana"/>
          <w:szCs w:val="18"/>
          <w:lang w:val="nl-NL"/>
        </w:rPr>
        <w:t>heeft</w:t>
      </w:r>
      <w:r w:rsidR="00186212" w:rsidRPr="00A33930">
        <w:rPr>
          <w:rFonts w:eastAsia="Verdana" w:cs="Verdana"/>
          <w:szCs w:val="18"/>
          <w:lang w:val="nl-NL"/>
        </w:rPr>
        <w:t xml:space="preserve"> in het </w:t>
      </w:r>
      <w:r w:rsidR="00C87DE5" w:rsidRPr="00A33930">
        <w:rPr>
          <w:rFonts w:eastAsia="Verdana" w:cs="Verdana"/>
          <w:szCs w:val="18"/>
          <w:lang w:val="nl-NL"/>
        </w:rPr>
        <w:t>invullen</w:t>
      </w:r>
      <w:r w:rsidR="00186212" w:rsidRPr="00A33930">
        <w:rPr>
          <w:rFonts w:eastAsia="Verdana" w:cs="Verdana"/>
          <w:szCs w:val="18"/>
          <w:lang w:val="nl-NL"/>
        </w:rPr>
        <w:t xml:space="preserve"> van </w:t>
      </w:r>
      <w:r w:rsidR="00C87DE5" w:rsidRPr="00A33930">
        <w:rPr>
          <w:rFonts w:eastAsia="Verdana" w:cs="Verdana"/>
          <w:szCs w:val="18"/>
          <w:lang w:val="nl-NL"/>
        </w:rPr>
        <w:t>het</w:t>
      </w:r>
      <w:r w:rsidR="00186212" w:rsidRPr="00A33930">
        <w:rPr>
          <w:rFonts w:eastAsia="Verdana" w:cs="Verdana"/>
          <w:szCs w:val="18"/>
          <w:lang w:val="nl-NL"/>
        </w:rPr>
        <w:t xml:space="preserve"> recht op persoonlijk contact. Bovendien </w:t>
      </w:r>
      <w:r w:rsidR="00EF0A8D" w:rsidRPr="00A33930">
        <w:rPr>
          <w:rFonts w:eastAsia="Verdana" w:cs="Verdana"/>
          <w:szCs w:val="18"/>
          <w:lang w:val="nl-NL"/>
        </w:rPr>
        <w:t>lijkt</w:t>
      </w:r>
      <w:r w:rsidR="00186212" w:rsidRPr="00A33930">
        <w:rPr>
          <w:rFonts w:eastAsia="Verdana" w:cs="Verdana"/>
          <w:szCs w:val="18"/>
          <w:lang w:val="nl-NL"/>
        </w:rPr>
        <w:t xml:space="preserve"> deze interpretatie sterk </w:t>
      </w:r>
      <w:r w:rsidR="00EF0A8D" w:rsidRPr="00A33930">
        <w:rPr>
          <w:rFonts w:eastAsia="Verdana" w:cs="Verdana"/>
          <w:szCs w:val="18"/>
          <w:lang w:val="nl-NL"/>
        </w:rPr>
        <w:t>af te hangen</w:t>
      </w:r>
      <w:r w:rsidR="00186212" w:rsidRPr="00A33930">
        <w:rPr>
          <w:rFonts w:eastAsia="Verdana" w:cs="Verdana"/>
          <w:szCs w:val="18"/>
          <w:lang w:val="nl-NL"/>
        </w:rPr>
        <w:t xml:space="preserve"> van individuele hoven en rechtbanken</w:t>
      </w:r>
      <w:r w:rsidR="00C87DE5" w:rsidRPr="00A33930">
        <w:rPr>
          <w:rFonts w:eastAsia="Verdana" w:cs="Verdana"/>
          <w:szCs w:val="18"/>
          <w:lang w:val="nl-NL"/>
        </w:rPr>
        <w:t xml:space="preserve"> en</w:t>
      </w:r>
      <w:r w:rsidR="00186212" w:rsidRPr="00A33930">
        <w:rPr>
          <w:rFonts w:eastAsia="Verdana" w:cs="Verdana"/>
          <w:szCs w:val="18"/>
          <w:lang w:val="nl-NL"/>
        </w:rPr>
        <w:t xml:space="preserve"> </w:t>
      </w:r>
      <w:r w:rsidR="004C7523" w:rsidRPr="00A33930">
        <w:rPr>
          <w:rFonts w:eastAsia="Verdana" w:cs="Verdana"/>
          <w:szCs w:val="18"/>
          <w:lang w:val="nl-NL"/>
        </w:rPr>
        <w:t>van</w:t>
      </w:r>
      <w:r w:rsidR="00186212" w:rsidRPr="00A33930">
        <w:rPr>
          <w:rFonts w:eastAsia="Verdana" w:cs="Verdana"/>
          <w:szCs w:val="18"/>
          <w:lang w:val="nl-NL"/>
        </w:rPr>
        <w:t xml:space="preserve"> welke rechter deze interpretatieoefening moet uitvoeren</w:t>
      </w:r>
      <w:r w:rsidR="00772430" w:rsidRPr="00A33930">
        <w:rPr>
          <w:rFonts w:eastAsia="Verdana" w:cs="Verdana"/>
          <w:szCs w:val="18"/>
          <w:lang w:val="nl-NL"/>
        </w:rPr>
        <w:t xml:space="preserve"> (</w:t>
      </w:r>
      <w:r w:rsidR="00772430" w:rsidRPr="00A33930">
        <w:rPr>
          <w:rFonts w:eastAsia="Verdana" w:cs="Verdana"/>
          <w:i/>
          <w:iCs/>
          <w:szCs w:val="18"/>
          <w:lang w:val="nl-NL"/>
        </w:rPr>
        <w:t>supra</w:t>
      </w:r>
      <w:r w:rsidR="00772430" w:rsidRPr="00A33930">
        <w:rPr>
          <w:rFonts w:eastAsia="Verdana" w:cs="Verdana"/>
          <w:szCs w:val="18"/>
          <w:lang w:val="nl-NL"/>
        </w:rPr>
        <w:t xml:space="preserve">, nr. 85 en nr. 100). Dat zorgt voor rechtsongelijkheid en moet worden weggewerkt. </w:t>
      </w:r>
    </w:p>
    <w:p w14:paraId="1978AF19" w14:textId="77777777" w:rsidR="00772430" w:rsidRPr="00A33930" w:rsidRDefault="00772430" w:rsidP="00772430">
      <w:pPr>
        <w:pStyle w:val="Lijstalinea"/>
        <w:rPr>
          <w:rFonts w:eastAsia="Verdana" w:cs="Verdana"/>
          <w:szCs w:val="18"/>
          <w:lang w:val="nl-NL"/>
        </w:rPr>
      </w:pPr>
    </w:p>
    <w:p w14:paraId="6713AB68" w14:textId="5522D569" w:rsidR="004C7523" w:rsidRPr="00A33930" w:rsidRDefault="00DC3FD4" w:rsidP="00772430">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Een inschrijving in de Grondwet zorgt </w:t>
      </w:r>
      <w:r w:rsidR="00772430" w:rsidRPr="00A33930">
        <w:rPr>
          <w:rFonts w:eastAsia="Verdana" w:cs="Verdana"/>
          <w:szCs w:val="18"/>
          <w:lang w:val="nl-NL"/>
        </w:rPr>
        <w:t xml:space="preserve">bovendien </w:t>
      </w:r>
      <w:r w:rsidRPr="00A33930">
        <w:rPr>
          <w:rFonts w:eastAsia="Verdana" w:cs="Verdana"/>
          <w:szCs w:val="18"/>
          <w:lang w:val="nl-NL"/>
        </w:rPr>
        <w:t xml:space="preserve">voor normatieve duidelijkheid, waardoor </w:t>
      </w:r>
      <w:r w:rsidR="00612454" w:rsidRPr="00A33930">
        <w:rPr>
          <w:rFonts w:eastAsia="Verdana" w:cs="Verdana"/>
          <w:szCs w:val="18"/>
          <w:lang w:val="nl-NL"/>
        </w:rPr>
        <w:t>substantiële</w:t>
      </w:r>
      <w:r w:rsidRPr="00A33930">
        <w:rPr>
          <w:rFonts w:eastAsia="Verdana" w:cs="Verdana"/>
          <w:szCs w:val="18"/>
          <w:lang w:val="nl-NL"/>
        </w:rPr>
        <w:t xml:space="preserve"> en procedurele regels als volgende </w:t>
      </w:r>
      <w:r w:rsidR="004C7523" w:rsidRPr="00A33930">
        <w:rPr>
          <w:rFonts w:eastAsia="Verdana" w:cs="Verdana"/>
          <w:szCs w:val="18"/>
          <w:lang w:val="nl-NL"/>
        </w:rPr>
        <w:t>stap</w:t>
      </w:r>
      <w:r w:rsidRPr="00A33930">
        <w:rPr>
          <w:rFonts w:eastAsia="Verdana" w:cs="Verdana"/>
          <w:szCs w:val="18"/>
          <w:lang w:val="nl-NL"/>
        </w:rPr>
        <w:t xml:space="preserve"> kunnen worden uitgewerkt. </w:t>
      </w:r>
      <w:r w:rsidR="00772430" w:rsidRPr="00A33930">
        <w:rPr>
          <w:rFonts w:eastAsia="Verdana" w:cs="Verdana"/>
          <w:szCs w:val="18"/>
          <w:lang w:val="nl-NL"/>
        </w:rPr>
        <w:t>Bijkomend</w:t>
      </w:r>
      <w:r w:rsidRPr="00A33930">
        <w:rPr>
          <w:rFonts w:eastAsia="Verdana" w:cs="Verdana"/>
          <w:szCs w:val="18"/>
          <w:lang w:val="nl-NL"/>
        </w:rPr>
        <w:t xml:space="preserve"> zou het expliciet erkennen van het omgangsrecht als een recht van het kind in de Grondwet een precedent vormen voor alle rechtsdomeinen.</w:t>
      </w:r>
      <w:r w:rsidR="00EF0A8D" w:rsidRPr="00A33930">
        <w:rPr>
          <w:rFonts w:eastAsia="Verdana" w:cs="Verdana"/>
          <w:szCs w:val="18"/>
          <w:lang w:val="nl-NL"/>
        </w:rPr>
        <w:t xml:space="preserve"> </w:t>
      </w:r>
      <w:r w:rsidR="00772430" w:rsidRPr="00A33930">
        <w:rPr>
          <w:rFonts w:eastAsia="Verdana" w:cs="Verdana"/>
          <w:szCs w:val="18"/>
          <w:lang w:val="nl-NL"/>
        </w:rPr>
        <w:t>Zo heeft een</w:t>
      </w:r>
      <w:r w:rsidR="00EF0A8D" w:rsidRPr="00A33930">
        <w:rPr>
          <w:rFonts w:eastAsia="Verdana" w:cs="Verdana"/>
          <w:szCs w:val="18"/>
          <w:lang w:val="nl-NL"/>
        </w:rPr>
        <w:t xml:space="preserve"> opname in de Grondwet eerst en vooral een symbolische waarde</w:t>
      </w:r>
      <w:r w:rsidR="007053D2" w:rsidRPr="00A33930">
        <w:rPr>
          <w:rFonts w:eastAsia="Verdana" w:cs="Verdana"/>
          <w:szCs w:val="18"/>
          <w:lang w:val="nl-NL"/>
        </w:rPr>
        <w:t>,</w:t>
      </w:r>
      <w:r w:rsidR="00772430" w:rsidRPr="00A33930">
        <w:rPr>
          <w:rFonts w:eastAsia="Verdana" w:cs="Verdana"/>
          <w:szCs w:val="18"/>
          <w:lang w:val="nl-NL"/>
        </w:rPr>
        <w:t xml:space="preserve"> maar </w:t>
      </w:r>
      <w:r w:rsidR="00EF0A8D" w:rsidRPr="00A33930">
        <w:rPr>
          <w:rFonts w:eastAsia="Verdana" w:cs="Verdana"/>
          <w:szCs w:val="18"/>
          <w:lang w:val="nl-NL"/>
        </w:rPr>
        <w:t>mag ook de praktische meerwaarde niet worden onderschat. De Grondwet vormt uiteraard eerder een beleidsdocument</w:t>
      </w:r>
      <w:r w:rsidR="007053D2" w:rsidRPr="00A33930">
        <w:rPr>
          <w:rFonts w:eastAsia="Verdana" w:cs="Verdana"/>
          <w:szCs w:val="18"/>
          <w:lang w:val="nl-NL"/>
        </w:rPr>
        <w:t xml:space="preserve"> waardoor </w:t>
      </w:r>
      <w:r w:rsidR="00EF0A8D" w:rsidRPr="00A33930">
        <w:rPr>
          <w:rFonts w:eastAsia="Verdana" w:cs="Verdana"/>
          <w:szCs w:val="18"/>
          <w:lang w:val="nl-NL"/>
        </w:rPr>
        <w:t xml:space="preserve">concretisering voornamelijk </w:t>
      </w:r>
      <w:r w:rsidR="007053D2" w:rsidRPr="00A33930">
        <w:rPr>
          <w:rFonts w:eastAsia="Verdana" w:cs="Verdana"/>
          <w:szCs w:val="18"/>
          <w:lang w:val="nl-NL"/>
        </w:rPr>
        <w:t xml:space="preserve">zal </w:t>
      </w:r>
      <w:r w:rsidR="00EF0A8D" w:rsidRPr="00A33930">
        <w:rPr>
          <w:rFonts w:eastAsia="Verdana" w:cs="Verdana"/>
          <w:szCs w:val="18"/>
          <w:lang w:val="nl-NL"/>
        </w:rPr>
        <w:t>gebeuren door het Grondwettelijk Hof.</w:t>
      </w:r>
      <w:r w:rsidR="00C8039C" w:rsidRPr="00A33930">
        <w:rPr>
          <w:rFonts w:eastAsia="Verdana" w:cs="Verdana"/>
          <w:szCs w:val="18"/>
          <w:lang w:val="nl-NL"/>
        </w:rPr>
        <w:t xml:space="preserve"> Deze erkenning heeft m</w:t>
      </w:r>
      <w:r w:rsidR="007053D2" w:rsidRPr="00A33930">
        <w:rPr>
          <w:rFonts w:eastAsia="Verdana" w:cs="Verdana"/>
          <w:szCs w:val="18"/>
          <w:lang w:val="nl-NL"/>
        </w:rPr>
        <w:t>ijns inziens</w:t>
      </w:r>
      <w:r w:rsidR="00C8039C" w:rsidRPr="00A33930">
        <w:rPr>
          <w:rFonts w:eastAsia="Verdana" w:cs="Verdana"/>
          <w:szCs w:val="18"/>
          <w:lang w:val="nl-NL"/>
        </w:rPr>
        <w:t xml:space="preserve"> een positief effect op het garanderen van een kinderrecht op hoog niveau.</w:t>
      </w:r>
    </w:p>
    <w:p w14:paraId="78A3A206" w14:textId="77777777" w:rsidR="004C7523" w:rsidRPr="00A33930" w:rsidRDefault="004C7523" w:rsidP="004C7523">
      <w:pPr>
        <w:pStyle w:val="Lijstalinea"/>
        <w:rPr>
          <w:rFonts w:eastAsia="Verdana" w:cs="Verdana"/>
          <w:szCs w:val="18"/>
          <w:lang w:val="nl-NL"/>
        </w:rPr>
      </w:pPr>
    </w:p>
    <w:p w14:paraId="3FD29DB0" w14:textId="232D1FC9" w:rsidR="00DC3FD4" w:rsidRPr="00A33930" w:rsidRDefault="00C87DE5" w:rsidP="004C7523">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lastRenderedPageBreak/>
        <w:t>E</w:t>
      </w:r>
      <w:r w:rsidR="004C7523" w:rsidRPr="00A33930">
        <w:rPr>
          <w:rFonts w:eastAsia="Verdana" w:cs="Verdana"/>
          <w:szCs w:val="18"/>
          <w:lang w:val="nl-NL"/>
        </w:rPr>
        <w:t>en invoering in de Grondwet lijkt op dit moment het meest juridisch zinvol</w:t>
      </w:r>
      <w:r w:rsidR="00C8039C" w:rsidRPr="00A33930">
        <w:rPr>
          <w:rFonts w:eastAsia="Verdana" w:cs="Verdana"/>
          <w:szCs w:val="18"/>
          <w:lang w:val="nl-NL"/>
        </w:rPr>
        <w:t xml:space="preserve"> doordat</w:t>
      </w:r>
      <w:r w:rsidR="004C7523" w:rsidRPr="00A33930">
        <w:rPr>
          <w:rFonts w:eastAsia="Verdana" w:cs="Verdana"/>
          <w:szCs w:val="18"/>
          <w:lang w:val="nl-NL"/>
        </w:rPr>
        <w:t xml:space="preserve"> een grondwetsconforme interpretatie geen twijfel meer toelaat over het wel of niet hebben van een eigen recht op persoonlijk contact. </w:t>
      </w:r>
      <w:r w:rsidR="00EF0A8D" w:rsidRPr="00A33930">
        <w:rPr>
          <w:rFonts w:eastAsia="Verdana" w:cs="Verdana"/>
          <w:szCs w:val="18"/>
          <w:lang w:val="nl-NL"/>
        </w:rPr>
        <w:t>Een inschrijving in de Grondwet voorziet daardoor m</w:t>
      </w:r>
      <w:r w:rsidR="00C8039C" w:rsidRPr="00A33930">
        <w:rPr>
          <w:rFonts w:eastAsia="Verdana" w:cs="Verdana"/>
          <w:szCs w:val="18"/>
          <w:lang w:val="nl-NL"/>
        </w:rPr>
        <w:t xml:space="preserve">ijns inziens </w:t>
      </w:r>
      <w:r w:rsidR="00EF0A8D" w:rsidRPr="00A33930">
        <w:rPr>
          <w:rFonts w:eastAsia="Verdana" w:cs="Verdana"/>
          <w:szCs w:val="18"/>
          <w:lang w:val="nl-NL"/>
        </w:rPr>
        <w:t xml:space="preserve">in voldoende positieve gevolgen voor het kind: het doet een </w:t>
      </w:r>
      <w:r w:rsidR="00C8039C" w:rsidRPr="00A33930">
        <w:rPr>
          <w:rFonts w:eastAsia="Verdana" w:cs="Verdana"/>
          <w:szCs w:val="18"/>
          <w:lang w:val="nl-NL"/>
        </w:rPr>
        <w:t xml:space="preserve">sterke, </w:t>
      </w:r>
      <w:r w:rsidR="00EF0A8D" w:rsidRPr="00A33930">
        <w:rPr>
          <w:rFonts w:eastAsia="Verdana" w:cs="Verdana"/>
          <w:szCs w:val="18"/>
          <w:lang w:val="nl-NL"/>
        </w:rPr>
        <w:t>objectieve toetsing ontstaan.</w:t>
      </w:r>
    </w:p>
    <w:p w14:paraId="02271F16" w14:textId="56DE5AC5" w:rsidR="00857C8A" w:rsidRPr="00A33930" w:rsidRDefault="00857C8A" w:rsidP="00857C8A">
      <w:pPr>
        <w:pStyle w:val="Kop4"/>
        <w:spacing w:before="240"/>
        <w:rPr>
          <w:rFonts w:ascii="Verdana" w:hAnsi="Verdana"/>
          <w:color w:val="auto"/>
          <w:lang w:val="nl-NL"/>
        </w:rPr>
      </w:pPr>
      <w:r w:rsidRPr="00A33930">
        <w:rPr>
          <w:rFonts w:ascii="Verdana" w:hAnsi="Verdana"/>
          <w:color w:val="auto"/>
          <w:lang w:val="nl-NL"/>
        </w:rPr>
        <w:t>§2.</w:t>
      </w:r>
      <w:r w:rsidRPr="00A33930">
        <w:rPr>
          <w:rFonts w:ascii="Verdana" w:hAnsi="Verdana"/>
          <w:color w:val="auto"/>
          <w:lang w:val="nl-NL"/>
        </w:rPr>
        <w:tab/>
        <w:t>Heroverweging van de principiële procesonbekwaamheid van het kind</w:t>
      </w:r>
    </w:p>
    <w:p w14:paraId="7C4FF9F9" w14:textId="638E8EF3" w:rsidR="00CE7E2E" w:rsidRPr="00A33930" w:rsidRDefault="00EF0A8D" w:rsidP="001F50AD">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Ten tweede</w:t>
      </w:r>
      <w:r w:rsidR="00FB441C" w:rsidRPr="00A33930">
        <w:rPr>
          <w:rFonts w:eastAsia="Verdana" w:cs="Verdana"/>
          <w:szCs w:val="18"/>
          <w:lang w:val="nl-NL"/>
        </w:rPr>
        <w:t xml:space="preserve"> is het van belang </w:t>
      </w:r>
      <w:r w:rsidR="003D5F29" w:rsidRPr="00A33930">
        <w:rPr>
          <w:rFonts w:eastAsia="Verdana" w:cs="Verdana"/>
          <w:szCs w:val="18"/>
          <w:lang w:val="nl-NL"/>
        </w:rPr>
        <w:t xml:space="preserve">dat </w:t>
      </w:r>
      <w:r w:rsidRPr="00A33930">
        <w:rPr>
          <w:rFonts w:eastAsia="Verdana" w:cs="Verdana"/>
          <w:szCs w:val="18"/>
          <w:lang w:val="nl-NL"/>
        </w:rPr>
        <w:t>het recht op persoonlijk contact een recht wordt waar het kind zelf voor instaat</w:t>
      </w:r>
      <w:r w:rsidR="003D5F29" w:rsidRPr="00A33930">
        <w:rPr>
          <w:rFonts w:eastAsia="Verdana" w:cs="Verdana"/>
          <w:szCs w:val="18"/>
          <w:lang w:val="nl-NL"/>
        </w:rPr>
        <w:t xml:space="preserve"> en voor kan opkomen</w:t>
      </w:r>
      <w:r w:rsidRPr="00A33930">
        <w:rPr>
          <w:rFonts w:eastAsia="Verdana" w:cs="Verdana"/>
          <w:szCs w:val="18"/>
          <w:lang w:val="nl-NL"/>
        </w:rPr>
        <w:t>.</w:t>
      </w:r>
      <w:r w:rsidR="00BD04AC" w:rsidRPr="00A33930">
        <w:rPr>
          <w:rFonts w:eastAsia="Verdana" w:cs="Verdana"/>
          <w:szCs w:val="18"/>
          <w:lang w:val="nl-NL"/>
        </w:rPr>
        <w:t xml:space="preserve"> </w:t>
      </w:r>
      <w:r w:rsidRPr="00A33930">
        <w:rPr>
          <w:rFonts w:eastAsia="Verdana" w:cs="Verdana"/>
          <w:szCs w:val="18"/>
          <w:lang w:val="nl-NL"/>
        </w:rPr>
        <w:t xml:space="preserve">Het is </w:t>
      </w:r>
      <w:r w:rsidR="00FB441C" w:rsidRPr="00A33930">
        <w:rPr>
          <w:rFonts w:eastAsia="Verdana" w:cs="Verdana"/>
          <w:szCs w:val="18"/>
          <w:lang w:val="nl-NL"/>
        </w:rPr>
        <w:t xml:space="preserve">geen kinderrecht </w:t>
      </w:r>
      <w:r w:rsidRPr="00A33930">
        <w:rPr>
          <w:rFonts w:eastAsia="Verdana" w:cs="Verdana"/>
          <w:szCs w:val="18"/>
          <w:lang w:val="nl-NL"/>
        </w:rPr>
        <w:t>wanneer</w:t>
      </w:r>
      <w:r w:rsidR="00FB441C" w:rsidRPr="00A33930">
        <w:rPr>
          <w:rFonts w:eastAsia="Verdana" w:cs="Verdana"/>
          <w:szCs w:val="18"/>
          <w:lang w:val="nl-NL"/>
        </w:rPr>
        <w:t xml:space="preserve"> het kind zelf </w:t>
      </w:r>
      <w:r w:rsidR="006F5A3F" w:rsidRPr="00A33930">
        <w:rPr>
          <w:rFonts w:eastAsia="Verdana" w:cs="Verdana"/>
          <w:szCs w:val="18"/>
          <w:lang w:val="nl-NL"/>
        </w:rPr>
        <w:t>geen</w:t>
      </w:r>
      <w:r w:rsidR="00FB441C" w:rsidRPr="00A33930">
        <w:rPr>
          <w:rFonts w:eastAsia="Verdana" w:cs="Verdana"/>
          <w:szCs w:val="18"/>
          <w:lang w:val="nl-NL"/>
        </w:rPr>
        <w:t xml:space="preserve"> </w:t>
      </w:r>
      <w:r w:rsidR="006F5A3F" w:rsidRPr="00A33930">
        <w:rPr>
          <w:rFonts w:eastAsia="Verdana" w:cs="Verdana"/>
          <w:szCs w:val="18"/>
          <w:lang w:val="nl-NL"/>
        </w:rPr>
        <w:t>mogelijkheid heeft om iets te</w:t>
      </w:r>
      <w:r w:rsidR="00FB441C" w:rsidRPr="00A33930">
        <w:rPr>
          <w:rFonts w:eastAsia="Verdana" w:cs="Verdana"/>
          <w:szCs w:val="18"/>
          <w:lang w:val="nl-NL"/>
        </w:rPr>
        <w:t xml:space="preserve"> ondernemen. </w:t>
      </w:r>
      <w:r w:rsidR="00C8039C" w:rsidRPr="00A33930">
        <w:rPr>
          <w:rFonts w:eastAsia="Verdana" w:cs="Verdana"/>
          <w:szCs w:val="18"/>
          <w:lang w:val="nl-NL"/>
        </w:rPr>
        <w:t>In afwezigheid van</w:t>
      </w:r>
      <w:r w:rsidR="00FB441C" w:rsidRPr="00A33930">
        <w:rPr>
          <w:rFonts w:eastAsia="Verdana" w:cs="Verdana"/>
          <w:szCs w:val="18"/>
          <w:lang w:val="nl-NL"/>
        </w:rPr>
        <w:t xml:space="preserve"> </w:t>
      </w:r>
      <w:r w:rsidR="00C8039C" w:rsidRPr="00A33930">
        <w:rPr>
          <w:rFonts w:eastAsia="Verdana" w:cs="Verdana"/>
          <w:szCs w:val="18"/>
          <w:lang w:val="nl-NL"/>
        </w:rPr>
        <w:t>een</w:t>
      </w:r>
      <w:r w:rsidR="00FB441C" w:rsidRPr="00A33930">
        <w:rPr>
          <w:rFonts w:eastAsia="Verdana" w:cs="Verdana"/>
          <w:szCs w:val="18"/>
          <w:lang w:val="nl-NL"/>
        </w:rPr>
        <w:t xml:space="preserve"> mogelijkheid tot afdwinging </w:t>
      </w:r>
      <w:r w:rsidR="00C8039C" w:rsidRPr="00A33930">
        <w:rPr>
          <w:rFonts w:eastAsia="Verdana" w:cs="Verdana"/>
          <w:szCs w:val="18"/>
          <w:lang w:val="nl-NL"/>
        </w:rPr>
        <w:t xml:space="preserve">van dit recht </w:t>
      </w:r>
      <w:r w:rsidR="00FB441C" w:rsidRPr="00A33930">
        <w:rPr>
          <w:rFonts w:eastAsia="Verdana" w:cs="Verdana"/>
          <w:szCs w:val="18"/>
          <w:lang w:val="nl-NL"/>
        </w:rPr>
        <w:t xml:space="preserve">door het kind, valt de </w:t>
      </w:r>
      <w:r w:rsidRPr="00A33930">
        <w:rPr>
          <w:rFonts w:eastAsia="Verdana" w:cs="Verdana"/>
          <w:i/>
          <w:iCs/>
          <w:szCs w:val="18"/>
          <w:lang w:val="nl-NL"/>
        </w:rPr>
        <w:t>ratio legis</w:t>
      </w:r>
      <w:r w:rsidR="00FB441C" w:rsidRPr="00A33930">
        <w:rPr>
          <w:rFonts w:eastAsia="Verdana" w:cs="Verdana"/>
          <w:szCs w:val="18"/>
          <w:lang w:val="nl-NL"/>
        </w:rPr>
        <w:t xml:space="preserve"> van </w:t>
      </w:r>
      <w:r w:rsidRPr="00A33930">
        <w:rPr>
          <w:rFonts w:eastAsia="Verdana" w:cs="Verdana"/>
          <w:szCs w:val="18"/>
          <w:lang w:val="nl-NL"/>
        </w:rPr>
        <w:t>een</w:t>
      </w:r>
      <w:r w:rsidR="00FB441C" w:rsidRPr="00A33930">
        <w:rPr>
          <w:rFonts w:eastAsia="Verdana" w:cs="Verdana"/>
          <w:szCs w:val="18"/>
          <w:lang w:val="nl-NL"/>
        </w:rPr>
        <w:t xml:space="preserve"> kinderrecht </w:t>
      </w:r>
      <w:r w:rsidRPr="00A33930">
        <w:rPr>
          <w:rFonts w:eastAsia="Verdana" w:cs="Verdana"/>
          <w:szCs w:val="18"/>
          <w:lang w:val="nl-NL"/>
        </w:rPr>
        <w:t>m</w:t>
      </w:r>
      <w:r w:rsidR="00C8039C" w:rsidRPr="00A33930">
        <w:rPr>
          <w:rFonts w:eastAsia="Verdana" w:cs="Verdana"/>
          <w:szCs w:val="18"/>
          <w:lang w:val="nl-NL"/>
        </w:rPr>
        <w:t>ijns inziens</w:t>
      </w:r>
      <w:r w:rsidR="00FB441C" w:rsidRPr="00A33930">
        <w:rPr>
          <w:rFonts w:eastAsia="Verdana" w:cs="Verdana"/>
          <w:szCs w:val="18"/>
          <w:lang w:val="nl-NL"/>
        </w:rPr>
        <w:t xml:space="preserve"> buiten de boot. Dit vraagt van de Belgische wetgever een </w:t>
      </w:r>
      <w:r w:rsidR="00857C8A" w:rsidRPr="00A33930">
        <w:rPr>
          <w:rFonts w:eastAsia="Verdana" w:cs="Verdana"/>
          <w:i/>
          <w:iCs/>
          <w:szCs w:val="18"/>
          <w:lang w:val="nl-NL"/>
        </w:rPr>
        <w:t>rethinking</w:t>
      </w:r>
      <w:r w:rsidR="00FB441C" w:rsidRPr="00A33930">
        <w:rPr>
          <w:rFonts w:eastAsia="Verdana" w:cs="Verdana"/>
          <w:szCs w:val="18"/>
          <w:lang w:val="nl-NL"/>
        </w:rPr>
        <w:t xml:space="preserve"> van de principiële procesonbekwaamheid.</w:t>
      </w:r>
      <w:r w:rsidR="00BD04AC" w:rsidRPr="00A33930">
        <w:rPr>
          <w:rFonts w:eastAsia="Verdana" w:cs="Verdana"/>
          <w:szCs w:val="18"/>
          <w:lang w:val="nl-NL"/>
        </w:rPr>
        <w:t xml:space="preserve"> Bovendien zou dit aansluiten bij het modern </w:t>
      </w:r>
      <w:r w:rsidR="00E57778" w:rsidRPr="00A33930">
        <w:rPr>
          <w:rFonts w:eastAsia="Verdana" w:cs="Verdana"/>
          <w:szCs w:val="18"/>
          <w:lang w:val="nl-NL"/>
        </w:rPr>
        <w:t xml:space="preserve">kindperspectief </w:t>
      </w:r>
      <w:r w:rsidR="00BD04AC" w:rsidRPr="00A33930">
        <w:rPr>
          <w:rFonts w:eastAsia="Verdana" w:cs="Verdana"/>
          <w:szCs w:val="18"/>
          <w:lang w:val="nl-NL"/>
        </w:rPr>
        <w:t xml:space="preserve">waarin kinderen een eigen stem hebben. </w:t>
      </w:r>
    </w:p>
    <w:p w14:paraId="5452C21C" w14:textId="77777777" w:rsidR="00CE7E2E" w:rsidRPr="00A33930" w:rsidRDefault="00CE7E2E" w:rsidP="00CE7E2E">
      <w:pPr>
        <w:pStyle w:val="Lijstalinea"/>
        <w:spacing w:before="200" w:after="0"/>
        <w:ind w:left="0"/>
        <w:jc w:val="both"/>
        <w:rPr>
          <w:rFonts w:eastAsia="Verdana" w:cs="Verdana"/>
          <w:szCs w:val="18"/>
          <w:lang w:val="nl-NL"/>
        </w:rPr>
      </w:pPr>
    </w:p>
    <w:p w14:paraId="3FCB6F07" w14:textId="49AFA74F" w:rsidR="002D0380" w:rsidRPr="00A33930" w:rsidRDefault="00FB441C" w:rsidP="00AC2AA9">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Hierbij is het m</w:t>
      </w:r>
      <w:r w:rsidR="002D0380" w:rsidRPr="00A33930">
        <w:rPr>
          <w:rFonts w:eastAsia="Verdana" w:cs="Verdana"/>
          <w:szCs w:val="18"/>
          <w:lang w:val="nl-NL"/>
        </w:rPr>
        <w:t>ijns inziens</w:t>
      </w:r>
      <w:r w:rsidRPr="00A33930">
        <w:rPr>
          <w:rFonts w:eastAsia="Verdana" w:cs="Verdana"/>
          <w:szCs w:val="18"/>
          <w:lang w:val="nl-NL"/>
        </w:rPr>
        <w:t xml:space="preserve"> niet noodzakelijk dat </w:t>
      </w:r>
      <w:r w:rsidR="00AC2AA9" w:rsidRPr="00A33930">
        <w:rPr>
          <w:rFonts w:eastAsia="Verdana" w:cs="Verdana"/>
          <w:szCs w:val="18"/>
          <w:lang w:val="nl-NL"/>
        </w:rPr>
        <w:t xml:space="preserve">momenteel </w:t>
      </w:r>
      <w:r w:rsidRPr="00A33930">
        <w:rPr>
          <w:rFonts w:eastAsia="Verdana" w:cs="Verdana"/>
          <w:szCs w:val="18"/>
          <w:lang w:val="nl-NL"/>
        </w:rPr>
        <w:t>het hele systeem wordt omgegooid. Er zijn verschillende redenen waarom het systeem van vandaag is zoals het is</w:t>
      </w:r>
      <w:r w:rsidR="00EF0A8D" w:rsidRPr="00A33930">
        <w:rPr>
          <w:rFonts w:eastAsia="Verdana" w:cs="Verdana"/>
          <w:szCs w:val="18"/>
          <w:lang w:val="nl-NL"/>
        </w:rPr>
        <w:t xml:space="preserve"> (</w:t>
      </w:r>
      <w:r w:rsidR="00EF0A8D" w:rsidRPr="00A33930">
        <w:rPr>
          <w:rFonts w:eastAsia="Verdana" w:cs="Verdana"/>
          <w:i/>
          <w:iCs/>
          <w:szCs w:val="18"/>
          <w:lang w:val="nl-NL"/>
        </w:rPr>
        <w:t>supra</w:t>
      </w:r>
      <w:r w:rsidR="00EF0A8D" w:rsidRPr="00A33930">
        <w:rPr>
          <w:rFonts w:eastAsia="Verdana" w:cs="Verdana"/>
          <w:szCs w:val="18"/>
          <w:lang w:val="nl-NL"/>
        </w:rPr>
        <w:t xml:space="preserve">, </w:t>
      </w:r>
      <w:r w:rsidR="000C7187" w:rsidRPr="00A33930">
        <w:rPr>
          <w:rFonts w:eastAsia="Verdana" w:cs="Verdana"/>
          <w:szCs w:val="18"/>
          <w:lang w:val="nl-NL"/>
        </w:rPr>
        <w:t>deel II, hoofdstuk I, afdeling II</w:t>
      </w:r>
      <w:r w:rsidR="00EF0A8D" w:rsidRPr="00A33930">
        <w:rPr>
          <w:rFonts w:eastAsia="Verdana" w:cs="Verdana"/>
          <w:szCs w:val="18"/>
          <w:lang w:val="nl-NL"/>
        </w:rPr>
        <w:t>)</w:t>
      </w:r>
      <w:r w:rsidRPr="00A33930">
        <w:rPr>
          <w:rFonts w:eastAsia="Verdana" w:cs="Verdana"/>
          <w:szCs w:val="18"/>
          <w:lang w:val="nl-NL"/>
        </w:rPr>
        <w:t xml:space="preserve">. </w:t>
      </w:r>
      <w:r w:rsidR="00A36A95" w:rsidRPr="00A33930">
        <w:rPr>
          <w:rFonts w:eastAsia="Verdana" w:cs="Verdana"/>
          <w:szCs w:val="18"/>
          <w:lang w:val="nl-NL"/>
        </w:rPr>
        <w:t>Het</w:t>
      </w:r>
      <w:r w:rsidR="002D0380" w:rsidRPr="00A33930">
        <w:rPr>
          <w:rFonts w:eastAsia="Verdana" w:cs="Verdana"/>
          <w:szCs w:val="18"/>
          <w:lang w:val="nl-NL"/>
        </w:rPr>
        <w:t xml:space="preserve"> is </w:t>
      </w:r>
      <w:r w:rsidRPr="00A33930">
        <w:rPr>
          <w:rFonts w:eastAsia="Verdana" w:cs="Verdana"/>
          <w:szCs w:val="18"/>
          <w:lang w:val="nl-NL"/>
        </w:rPr>
        <w:t xml:space="preserve">belangrijk om op dit punt </w:t>
      </w:r>
      <w:r w:rsidR="002D0380" w:rsidRPr="00A33930">
        <w:rPr>
          <w:rFonts w:eastAsia="Verdana" w:cs="Verdana"/>
          <w:szCs w:val="18"/>
          <w:lang w:val="nl-NL"/>
        </w:rPr>
        <w:t xml:space="preserve">een blik te werpen </w:t>
      </w:r>
      <w:r w:rsidR="00A36A95" w:rsidRPr="00A33930">
        <w:rPr>
          <w:rFonts w:eastAsia="Verdana" w:cs="Verdana"/>
          <w:szCs w:val="18"/>
          <w:lang w:val="nl-NL"/>
        </w:rPr>
        <w:t>naar</w:t>
      </w:r>
      <w:r w:rsidRPr="00A33930">
        <w:rPr>
          <w:rFonts w:eastAsia="Verdana" w:cs="Verdana"/>
          <w:szCs w:val="18"/>
          <w:lang w:val="nl-NL"/>
        </w:rPr>
        <w:t xml:space="preserve"> </w:t>
      </w:r>
      <w:r w:rsidR="003A54E2" w:rsidRPr="00A33930">
        <w:rPr>
          <w:rFonts w:eastAsia="Verdana" w:cs="Verdana"/>
          <w:szCs w:val="18"/>
          <w:lang w:val="nl-NL"/>
        </w:rPr>
        <w:t>het Nederlands recht</w:t>
      </w:r>
      <w:r w:rsidRPr="00A33930">
        <w:rPr>
          <w:rFonts w:eastAsia="Verdana" w:cs="Verdana"/>
          <w:szCs w:val="18"/>
          <w:lang w:val="nl-NL"/>
        </w:rPr>
        <w:t xml:space="preserve">, waar wordt voorzien in </w:t>
      </w:r>
      <w:r w:rsidR="003A54E2" w:rsidRPr="00A33930">
        <w:rPr>
          <w:rFonts w:eastAsia="Verdana" w:cs="Verdana"/>
          <w:szCs w:val="18"/>
          <w:lang w:val="nl-NL"/>
        </w:rPr>
        <w:t>een uitzondering</w:t>
      </w:r>
      <w:r w:rsidRPr="00A33930">
        <w:rPr>
          <w:rFonts w:eastAsia="Verdana" w:cs="Verdana"/>
          <w:szCs w:val="18"/>
          <w:lang w:val="nl-NL"/>
        </w:rPr>
        <w:t xml:space="preserve"> op de procesonbekwaamheid voor omgangsregelingen</w:t>
      </w:r>
      <w:r w:rsidR="00EF0A8D" w:rsidRPr="00A33930">
        <w:rPr>
          <w:rFonts w:eastAsia="Verdana" w:cs="Verdana"/>
          <w:szCs w:val="18"/>
          <w:lang w:val="nl-NL"/>
        </w:rPr>
        <w:t xml:space="preserve"> (</w:t>
      </w:r>
      <w:r w:rsidR="00EF0A8D" w:rsidRPr="00A33930">
        <w:rPr>
          <w:rFonts w:eastAsia="Verdana" w:cs="Verdana"/>
          <w:i/>
          <w:iCs/>
          <w:szCs w:val="18"/>
          <w:lang w:val="nl-NL"/>
        </w:rPr>
        <w:t>supra</w:t>
      </w:r>
      <w:r w:rsidR="00EF0A8D" w:rsidRPr="00A33930">
        <w:rPr>
          <w:rFonts w:eastAsia="Verdana" w:cs="Verdana"/>
          <w:szCs w:val="18"/>
          <w:lang w:val="nl-NL"/>
        </w:rPr>
        <w:t xml:space="preserve">, nr. </w:t>
      </w:r>
      <w:r w:rsidR="000C7187" w:rsidRPr="00A33930">
        <w:rPr>
          <w:rFonts w:eastAsia="Verdana" w:cs="Verdana"/>
          <w:szCs w:val="18"/>
          <w:lang w:val="nl-NL"/>
        </w:rPr>
        <w:t>124</w:t>
      </w:r>
      <w:r w:rsidR="00EF0A8D" w:rsidRPr="00A33930">
        <w:rPr>
          <w:rFonts w:eastAsia="Verdana" w:cs="Verdana"/>
          <w:szCs w:val="18"/>
          <w:lang w:val="nl-NL"/>
        </w:rPr>
        <w:t>)</w:t>
      </w:r>
      <w:r w:rsidRPr="00A33930">
        <w:rPr>
          <w:rFonts w:eastAsia="Verdana" w:cs="Verdana"/>
          <w:szCs w:val="18"/>
          <w:lang w:val="nl-NL"/>
        </w:rPr>
        <w:t>.</w:t>
      </w:r>
      <w:r w:rsidR="00A26E71" w:rsidRPr="00A33930">
        <w:rPr>
          <w:rFonts w:eastAsia="Verdana" w:cs="Verdana"/>
          <w:szCs w:val="18"/>
          <w:lang w:val="nl-NL"/>
        </w:rPr>
        <w:t xml:space="preserve"> Dergelijke uitzondering zou m</w:t>
      </w:r>
      <w:r w:rsidR="002D0380" w:rsidRPr="00A33930">
        <w:rPr>
          <w:rFonts w:eastAsia="Verdana" w:cs="Verdana"/>
          <w:szCs w:val="18"/>
          <w:lang w:val="nl-NL"/>
        </w:rPr>
        <w:t>ijns inziens</w:t>
      </w:r>
      <w:r w:rsidR="00A26E71" w:rsidRPr="00A33930">
        <w:rPr>
          <w:rFonts w:eastAsia="Verdana" w:cs="Verdana"/>
          <w:szCs w:val="18"/>
          <w:lang w:val="nl-NL"/>
        </w:rPr>
        <w:t xml:space="preserve"> voor het Belgisch recht </w:t>
      </w:r>
      <w:r w:rsidR="00CE7E2E" w:rsidRPr="00A33930">
        <w:rPr>
          <w:rFonts w:eastAsia="Verdana" w:cs="Verdana"/>
          <w:szCs w:val="18"/>
          <w:lang w:val="nl-NL"/>
        </w:rPr>
        <w:t>op dit moment een</w:t>
      </w:r>
      <w:r w:rsidR="00A26E71" w:rsidRPr="00A33930">
        <w:rPr>
          <w:rFonts w:eastAsia="Verdana" w:cs="Verdana"/>
          <w:szCs w:val="18"/>
          <w:lang w:val="nl-NL"/>
        </w:rPr>
        <w:t xml:space="preserve"> meerwaarde vormen.</w:t>
      </w:r>
      <w:r w:rsidR="0053198A" w:rsidRPr="00A33930">
        <w:rPr>
          <w:rFonts w:eastAsia="Verdana" w:cs="Verdana"/>
          <w:szCs w:val="18"/>
          <w:lang w:val="nl-NL"/>
        </w:rPr>
        <w:t xml:space="preserve"> In het huidige recht bestaan er reeds specifieke uitzonderingen op zijn procesonbekwaamheid</w:t>
      </w:r>
      <w:r w:rsidR="00A36A95" w:rsidRPr="00A33930">
        <w:rPr>
          <w:rFonts w:eastAsia="Verdana" w:cs="Verdana"/>
          <w:szCs w:val="18"/>
          <w:lang w:val="nl-NL"/>
        </w:rPr>
        <w:t>, dit zou ook een mogelijkheid moeten zijn voor het recht op persoonlijk contact</w:t>
      </w:r>
      <w:r w:rsidR="0053198A" w:rsidRPr="00A33930">
        <w:rPr>
          <w:rFonts w:eastAsia="Verdana" w:cs="Verdana"/>
          <w:szCs w:val="18"/>
          <w:lang w:val="nl-NL"/>
        </w:rPr>
        <w:t xml:space="preserve"> (</w:t>
      </w:r>
      <w:r w:rsidR="0053198A" w:rsidRPr="00A33930">
        <w:rPr>
          <w:rFonts w:eastAsia="Verdana" w:cs="Verdana"/>
          <w:i/>
          <w:iCs/>
          <w:szCs w:val="18"/>
          <w:lang w:val="nl-NL"/>
        </w:rPr>
        <w:t>supra</w:t>
      </w:r>
      <w:r w:rsidR="0053198A" w:rsidRPr="00A33930">
        <w:rPr>
          <w:rFonts w:eastAsia="Verdana" w:cs="Verdana"/>
          <w:szCs w:val="18"/>
          <w:lang w:val="nl-NL"/>
        </w:rPr>
        <w:t>, nr</w:t>
      </w:r>
      <w:r w:rsidR="00B324B1" w:rsidRPr="00A33930">
        <w:rPr>
          <w:rFonts w:eastAsia="Verdana" w:cs="Verdana"/>
          <w:szCs w:val="18"/>
          <w:lang w:val="nl-NL"/>
        </w:rPr>
        <w:t>s</w:t>
      </w:r>
      <w:r w:rsidR="0053198A" w:rsidRPr="00A33930">
        <w:rPr>
          <w:rFonts w:eastAsia="Verdana" w:cs="Verdana"/>
          <w:szCs w:val="18"/>
          <w:lang w:val="nl-NL"/>
        </w:rPr>
        <w:t xml:space="preserve">. </w:t>
      </w:r>
      <w:r w:rsidR="000C7187" w:rsidRPr="00A33930">
        <w:rPr>
          <w:rFonts w:eastAsia="Verdana" w:cs="Verdana"/>
          <w:szCs w:val="18"/>
          <w:lang w:val="nl-NL"/>
        </w:rPr>
        <w:t>84-85</w:t>
      </w:r>
      <w:r w:rsidR="0053198A" w:rsidRPr="00A33930">
        <w:rPr>
          <w:rFonts w:eastAsia="Verdana" w:cs="Verdana"/>
          <w:szCs w:val="18"/>
          <w:lang w:val="nl-NL"/>
        </w:rPr>
        <w:t>).</w:t>
      </w:r>
    </w:p>
    <w:p w14:paraId="13C536BA" w14:textId="77777777" w:rsidR="00AC2AA9" w:rsidRPr="00A33930" w:rsidRDefault="00AC2AA9" w:rsidP="00AC2AA9">
      <w:pPr>
        <w:pStyle w:val="Lijstalinea"/>
        <w:spacing w:before="200" w:after="0"/>
        <w:ind w:left="0"/>
        <w:jc w:val="both"/>
        <w:rPr>
          <w:rFonts w:eastAsia="Verdana" w:cs="Verdana"/>
          <w:szCs w:val="18"/>
          <w:lang w:val="nl-NL"/>
        </w:rPr>
      </w:pPr>
    </w:p>
    <w:p w14:paraId="38132621" w14:textId="72B24DE6" w:rsidR="00857C8A" w:rsidRPr="00A33930" w:rsidRDefault="00A26E71" w:rsidP="001F50AD">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Op lange</w:t>
      </w:r>
      <w:r w:rsidR="00CE7E2E" w:rsidRPr="00A33930">
        <w:rPr>
          <w:rFonts w:eastAsia="Verdana" w:cs="Verdana"/>
          <w:szCs w:val="18"/>
          <w:lang w:val="nl-NL"/>
        </w:rPr>
        <w:t>re</w:t>
      </w:r>
      <w:r w:rsidRPr="00A33930">
        <w:rPr>
          <w:rFonts w:eastAsia="Verdana" w:cs="Verdana"/>
          <w:szCs w:val="18"/>
          <w:lang w:val="nl-NL"/>
        </w:rPr>
        <w:t xml:space="preserve"> termijn is er hoogstwaarschijnlijk </w:t>
      </w:r>
      <w:r w:rsidR="006F5A3F" w:rsidRPr="00A33930">
        <w:rPr>
          <w:rFonts w:eastAsia="Verdana" w:cs="Verdana"/>
          <w:szCs w:val="18"/>
          <w:lang w:val="nl-NL"/>
        </w:rPr>
        <w:t xml:space="preserve">een volledige </w:t>
      </w:r>
      <w:r w:rsidRPr="00A33930">
        <w:rPr>
          <w:rFonts w:eastAsia="Verdana" w:cs="Verdana"/>
          <w:szCs w:val="18"/>
          <w:lang w:val="nl-NL"/>
        </w:rPr>
        <w:t xml:space="preserve">hervorming nodig doordat het creëren van </w:t>
      </w:r>
      <w:r w:rsidR="003A54E2" w:rsidRPr="00A33930">
        <w:rPr>
          <w:rFonts w:eastAsia="Verdana" w:cs="Verdana"/>
          <w:szCs w:val="18"/>
          <w:lang w:val="nl-NL"/>
        </w:rPr>
        <w:t>meerdere</w:t>
      </w:r>
      <w:r w:rsidRPr="00A33930">
        <w:rPr>
          <w:rFonts w:eastAsia="Verdana" w:cs="Verdana"/>
          <w:szCs w:val="18"/>
          <w:lang w:val="nl-NL"/>
        </w:rPr>
        <w:t xml:space="preserve"> uitzonderingen het recht ook versnippert. In het kader van het recht op persoonlijk contact vormt </w:t>
      </w:r>
      <w:r w:rsidR="002D0380" w:rsidRPr="00A33930">
        <w:rPr>
          <w:rFonts w:eastAsia="Verdana" w:cs="Verdana"/>
          <w:szCs w:val="18"/>
          <w:lang w:val="nl-NL"/>
        </w:rPr>
        <w:t>het creëren van dergelijke uitzondering</w:t>
      </w:r>
      <w:r w:rsidRPr="00A33930">
        <w:rPr>
          <w:rFonts w:eastAsia="Verdana" w:cs="Verdana"/>
          <w:szCs w:val="18"/>
          <w:lang w:val="nl-NL"/>
        </w:rPr>
        <w:t xml:space="preserve"> op dit moment wel een snelle, </w:t>
      </w:r>
      <w:r w:rsidR="003A54E2" w:rsidRPr="00A33930">
        <w:rPr>
          <w:rFonts w:eastAsia="Verdana" w:cs="Verdana"/>
          <w:szCs w:val="18"/>
          <w:lang w:val="nl-NL"/>
        </w:rPr>
        <w:t xml:space="preserve">gepaste en </w:t>
      </w:r>
      <w:r w:rsidRPr="00A33930">
        <w:rPr>
          <w:rFonts w:eastAsia="Verdana" w:cs="Verdana"/>
          <w:szCs w:val="18"/>
          <w:lang w:val="nl-NL"/>
        </w:rPr>
        <w:t xml:space="preserve">gerechtvaardigde uitbreiding. </w:t>
      </w:r>
      <w:r w:rsidR="00002E1A" w:rsidRPr="00A33930">
        <w:rPr>
          <w:rFonts w:eastAsia="Verdana" w:cs="Verdana"/>
          <w:szCs w:val="18"/>
          <w:lang w:val="nl-NL"/>
        </w:rPr>
        <w:t xml:space="preserve">Ongetwijfeld roept een aanpassing van de principiële procesonbekwaamheid de nodige vragen op. Mijns inziens is het grootste pijnpunt </w:t>
      </w:r>
      <w:r w:rsidR="003A54E2" w:rsidRPr="00A33930">
        <w:rPr>
          <w:rFonts w:eastAsia="Verdana" w:cs="Verdana"/>
          <w:szCs w:val="18"/>
          <w:lang w:val="nl-NL"/>
        </w:rPr>
        <w:t>vandaag voornamelijk</w:t>
      </w:r>
      <w:r w:rsidR="00002E1A" w:rsidRPr="00A33930">
        <w:rPr>
          <w:rFonts w:eastAsia="Verdana" w:cs="Verdana"/>
          <w:szCs w:val="18"/>
          <w:lang w:val="nl-NL"/>
        </w:rPr>
        <w:t xml:space="preserve"> dat alle mogelijke opties om contact te garanderen, onderhouden en aan te vragen voornamelijk afhankelijk zijn van de </w:t>
      </w:r>
      <w:r w:rsidR="00002E1A" w:rsidRPr="00A33930">
        <w:rPr>
          <w:rFonts w:eastAsia="Verdana" w:cs="Verdana"/>
          <w:i/>
          <w:iCs/>
          <w:szCs w:val="18"/>
          <w:lang w:val="nl-NL"/>
        </w:rPr>
        <w:t>goodwill</w:t>
      </w:r>
      <w:r w:rsidR="00002E1A" w:rsidRPr="00A33930">
        <w:rPr>
          <w:rFonts w:eastAsia="Verdana" w:cs="Verdana"/>
          <w:szCs w:val="18"/>
          <w:lang w:val="nl-NL"/>
        </w:rPr>
        <w:t xml:space="preserve"> van volwassenen. Dat zou niet mogen.</w:t>
      </w:r>
    </w:p>
    <w:p w14:paraId="4F7ED728" w14:textId="77777777" w:rsidR="00857C8A" w:rsidRPr="00A33930" w:rsidRDefault="00857C8A" w:rsidP="00857C8A">
      <w:pPr>
        <w:pStyle w:val="Lijstalinea"/>
        <w:spacing w:before="200" w:after="0"/>
        <w:ind w:left="0"/>
        <w:jc w:val="both"/>
        <w:rPr>
          <w:rFonts w:eastAsia="Verdana" w:cs="Verdana"/>
          <w:szCs w:val="18"/>
          <w:lang w:val="nl-NL"/>
        </w:rPr>
      </w:pPr>
    </w:p>
    <w:p w14:paraId="4D4B61F7" w14:textId="7C0CBE30" w:rsidR="00857C8A" w:rsidRPr="00A33930" w:rsidRDefault="00AC2AA9" w:rsidP="001F50AD">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Hierbij doet mijns inziens </w:t>
      </w:r>
      <w:r w:rsidR="001F50AD" w:rsidRPr="00A33930">
        <w:rPr>
          <w:rFonts w:eastAsia="Verdana" w:cs="Verdana"/>
          <w:szCs w:val="18"/>
          <w:lang w:val="nl-NL"/>
        </w:rPr>
        <w:t xml:space="preserve">het huidig regelgevend kader een tegenstrijdigheid ontstaan: daar waar een minderjarige op strafrechtelijk vlak (bv. voor een diefstal) zijn verantwoordelijkheid moet dragen, is dat </w:t>
      </w:r>
      <w:r w:rsidR="00A26E71" w:rsidRPr="00A33930">
        <w:rPr>
          <w:rFonts w:eastAsia="Verdana" w:cs="Verdana"/>
          <w:szCs w:val="18"/>
          <w:lang w:val="nl-NL"/>
        </w:rPr>
        <w:t>voor contactregelingen</w:t>
      </w:r>
      <w:r w:rsidR="001F50AD" w:rsidRPr="00A33930">
        <w:rPr>
          <w:rFonts w:eastAsia="Verdana" w:cs="Verdana"/>
          <w:szCs w:val="18"/>
          <w:lang w:val="nl-NL"/>
        </w:rPr>
        <w:t xml:space="preserve"> niet het geval. De strafrechtelijke verantwoordelijkheid van de minderjarige ligt uiteraard buiten het bestek van dit onderzoek. Toch doet dit bij mij vragen rijzen. Het kind wordt in dit kader meer gezien als rechtssubject dan in het kader van contactregelingen, maar waarom? Wat maakt dat een kind voor iets “goed” </w:t>
      </w:r>
      <w:r w:rsidRPr="00A33930">
        <w:rPr>
          <w:rFonts w:eastAsia="Verdana" w:cs="Verdana"/>
          <w:szCs w:val="18"/>
          <w:lang w:val="nl-NL"/>
        </w:rPr>
        <w:t xml:space="preserve">zoals een contactrecht </w:t>
      </w:r>
      <w:r w:rsidR="001F50AD" w:rsidRPr="00A33930">
        <w:rPr>
          <w:rFonts w:eastAsia="Verdana" w:cs="Verdana"/>
          <w:szCs w:val="18"/>
          <w:lang w:val="nl-NL"/>
        </w:rPr>
        <w:t xml:space="preserve">eigenlijk onvoldoende mogelijkheden heeft en </w:t>
      </w:r>
      <w:r w:rsidR="00CE7E2E" w:rsidRPr="00A33930">
        <w:rPr>
          <w:rFonts w:eastAsia="Verdana" w:cs="Verdana"/>
          <w:szCs w:val="18"/>
          <w:lang w:val="nl-NL"/>
        </w:rPr>
        <w:t>opgelegde</w:t>
      </w:r>
      <w:r w:rsidR="001F50AD" w:rsidRPr="00A33930">
        <w:rPr>
          <w:rFonts w:eastAsia="Verdana" w:cs="Verdana"/>
          <w:szCs w:val="18"/>
          <w:lang w:val="nl-NL"/>
        </w:rPr>
        <w:t xml:space="preserve"> regelingen op dit moment maar moet “ondergaan”? Dit staat m</w:t>
      </w:r>
      <w:r w:rsidR="002D0380" w:rsidRPr="00A33930">
        <w:rPr>
          <w:rFonts w:eastAsia="Verdana" w:cs="Verdana"/>
          <w:szCs w:val="18"/>
          <w:lang w:val="nl-NL"/>
        </w:rPr>
        <w:t>ijns inziens</w:t>
      </w:r>
      <w:r w:rsidR="001F50AD" w:rsidRPr="00A33930">
        <w:rPr>
          <w:rFonts w:eastAsia="Verdana" w:cs="Verdana"/>
          <w:szCs w:val="18"/>
          <w:lang w:val="nl-NL"/>
        </w:rPr>
        <w:t xml:space="preserve"> in </w:t>
      </w:r>
      <w:r w:rsidR="00CE7E2E" w:rsidRPr="00A33930">
        <w:rPr>
          <w:rFonts w:eastAsia="Verdana" w:cs="Verdana"/>
          <w:szCs w:val="18"/>
          <w:lang w:val="nl-NL"/>
        </w:rPr>
        <w:t>contrast met</w:t>
      </w:r>
      <w:r w:rsidR="001F50AD" w:rsidRPr="00A33930">
        <w:rPr>
          <w:rFonts w:eastAsia="Verdana" w:cs="Verdana"/>
          <w:szCs w:val="18"/>
          <w:lang w:val="nl-NL"/>
        </w:rPr>
        <w:t xml:space="preserve"> het straf</w:t>
      </w:r>
      <w:r w:rsidRPr="00A33930">
        <w:rPr>
          <w:rFonts w:eastAsia="Verdana" w:cs="Verdana"/>
          <w:szCs w:val="18"/>
          <w:lang w:val="nl-NL"/>
        </w:rPr>
        <w:t xml:space="preserve">- of </w:t>
      </w:r>
      <w:r w:rsidR="002D0380" w:rsidRPr="00A33930">
        <w:rPr>
          <w:rFonts w:eastAsia="Verdana" w:cs="Verdana"/>
          <w:szCs w:val="18"/>
          <w:lang w:val="nl-NL"/>
        </w:rPr>
        <w:t>jeugdrecht</w:t>
      </w:r>
      <w:r w:rsidR="001F50AD" w:rsidRPr="00A33930">
        <w:rPr>
          <w:rFonts w:eastAsia="Verdana" w:cs="Verdana"/>
          <w:szCs w:val="18"/>
          <w:lang w:val="nl-NL"/>
        </w:rPr>
        <w:t xml:space="preserve">, waar wel voldoende aansluiting wordt gezocht bij de verantwoordelijkheid van het kind, </w:t>
      </w:r>
      <w:r w:rsidRPr="00A33930">
        <w:rPr>
          <w:rFonts w:eastAsia="Verdana" w:cs="Verdana"/>
          <w:szCs w:val="18"/>
          <w:lang w:val="nl-NL"/>
        </w:rPr>
        <w:t xml:space="preserve">maar dan </w:t>
      </w:r>
      <w:r w:rsidR="001F50AD" w:rsidRPr="00A33930">
        <w:rPr>
          <w:rFonts w:eastAsia="Verdana" w:cs="Verdana"/>
          <w:szCs w:val="18"/>
          <w:lang w:val="nl-NL"/>
        </w:rPr>
        <w:t xml:space="preserve">voor zijn “slecht” </w:t>
      </w:r>
      <w:r w:rsidR="00A26422" w:rsidRPr="00A33930">
        <w:rPr>
          <w:rFonts w:eastAsia="Verdana" w:cs="Verdana"/>
          <w:szCs w:val="18"/>
          <w:lang w:val="nl-NL"/>
        </w:rPr>
        <w:t xml:space="preserve">of delinquent </w:t>
      </w:r>
      <w:r w:rsidR="001F50AD" w:rsidRPr="00A33930">
        <w:rPr>
          <w:rFonts w:eastAsia="Verdana" w:cs="Verdana"/>
          <w:szCs w:val="18"/>
          <w:lang w:val="nl-NL"/>
        </w:rPr>
        <w:t>gedrag.</w:t>
      </w:r>
      <w:r w:rsidR="00A26E71" w:rsidRPr="00A33930">
        <w:rPr>
          <w:rFonts w:eastAsia="Verdana" w:cs="Verdana"/>
          <w:szCs w:val="18"/>
          <w:lang w:val="nl-NL"/>
        </w:rPr>
        <w:t xml:space="preserve"> De Belgische wetgever hinkt m</w:t>
      </w:r>
      <w:r w:rsidR="002D0380" w:rsidRPr="00A33930">
        <w:rPr>
          <w:rFonts w:eastAsia="Verdana" w:cs="Verdana"/>
          <w:szCs w:val="18"/>
          <w:lang w:val="nl-NL"/>
        </w:rPr>
        <w:t xml:space="preserve">ijns inziens </w:t>
      </w:r>
      <w:r w:rsidR="00A26E71" w:rsidRPr="00A33930">
        <w:rPr>
          <w:rFonts w:eastAsia="Verdana" w:cs="Verdana"/>
          <w:szCs w:val="18"/>
          <w:lang w:val="nl-NL"/>
        </w:rPr>
        <w:t xml:space="preserve">niet alleen achterop maar </w:t>
      </w:r>
      <w:r w:rsidR="002D0380" w:rsidRPr="00A33930">
        <w:rPr>
          <w:rFonts w:eastAsia="Verdana" w:cs="Verdana"/>
          <w:szCs w:val="18"/>
          <w:lang w:val="nl-NL"/>
        </w:rPr>
        <w:t xml:space="preserve">nu </w:t>
      </w:r>
      <w:r w:rsidR="00A26E71" w:rsidRPr="00A33930">
        <w:rPr>
          <w:rFonts w:eastAsia="Verdana" w:cs="Verdana"/>
          <w:szCs w:val="18"/>
          <w:lang w:val="nl-NL"/>
        </w:rPr>
        <w:t>dus ook</w:t>
      </w:r>
      <w:r w:rsidR="002D0380" w:rsidRPr="00A33930">
        <w:rPr>
          <w:rFonts w:eastAsia="Verdana" w:cs="Verdana"/>
          <w:szCs w:val="18"/>
          <w:lang w:val="nl-NL"/>
        </w:rPr>
        <w:t xml:space="preserve">, afhankelijk van het rechtsdomein, </w:t>
      </w:r>
      <w:r w:rsidR="00A26E71" w:rsidRPr="00A33930">
        <w:rPr>
          <w:rFonts w:eastAsia="Verdana" w:cs="Verdana"/>
          <w:szCs w:val="18"/>
          <w:lang w:val="nl-NL"/>
        </w:rPr>
        <w:t>op twee benen</w:t>
      </w:r>
      <w:r w:rsidR="002D0380" w:rsidRPr="00A33930">
        <w:rPr>
          <w:rFonts w:eastAsia="Verdana" w:cs="Verdana"/>
          <w:szCs w:val="18"/>
          <w:lang w:val="nl-NL"/>
        </w:rPr>
        <w:t xml:space="preserve"> </w:t>
      </w:r>
      <w:r w:rsidR="00A26E71" w:rsidRPr="00A33930">
        <w:rPr>
          <w:rFonts w:eastAsia="Verdana" w:cs="Verdana"/>
          <w:szCs w:val="18"/>
          <w:lang w:val="nl-NL"/>
        </w:rPr>
        <w:t>(</w:t>
      </w:r>
      <w:r w:rsidR="00A26E71" w:rsidRPr="00A33930">
        <w:rPr>
          <w:rFonts w:eastAsia="Verdana" w:cs="Verdana"/>
          <w:i/>
          <w:iCs/>
          <w:szCs w:val="18"/>
          <w:lang w:val="nl-NL"/>
        </w:rPr>
        <w:t>supra</w:t>
      </w:r>
      <w:r w:rsidR="00A26E71" w:rsidRPr="00A33930">
        <w:rPr>
          <w:rFonts w:eastAsia="Verdana" w:cs="Verdana"/>
          <w:szCs w:val="18"/>
          <w:lang w:val="nl-NL"/>
        </w:rPr>
        <w:t xml:space="preserve">, nr. </w:t>
      </w:r>
      <w:r w:rsidR="000C7187" w:rsidRPr="00A33930">
        <w:rPr>
          <w:rFonts w:eastAsia="Verdana" w:cs="Verdana"/>
          <w:szCs w:val="18"/>
          <w:lang w:val="nl-NL"/>
        </w:rPr>
        <w:t>33 en nr. 119</w:t>
      </w:r>
      <w:r w:rsidR="00A26E71" w:rsidRPr="00A33930">
        <w:rPr>
          <w:rFonts w:eastAsia="Verdana" w:cs="Verdana"/>
          <w:szCs w:val="18"/>
          <w:lang w:val="nl-NL"/>
        </w:rPr>
        <w:t>).</w:t>
      </w:r>
    </w:p>
    <w:p w14:paraId="620FABA6" w14:textId="6814DFE3" w:rsidR="00002E1A" w:rsidRPr="00A33930" w:rsidRDefault="00857C8A" w:rsidP="00857C8A">
      <w:pPr>
        <w:pStyle w:val="Kop4"/>
        <w:spacing w:before="240"/>
        <w:rPr>
          <w:rFonts w:ascii="Verdana" w:hAnsi="Verdana"/>
          <w:color w:val="auto"/>
          <w:lang w:val="nl-NL"/>
        </w:rPr>
      </w:pPr>
      <w:r w:rsidRPr="00A33930">
        <w:rPr>
          <w:rFonts w:ascii="Verdana" w:hAnsi="Verdana"/>
          <w:color w:val="auto"/>
          <w:lang w:val="nl-NL"/>
        </w:rPr>
        <w:lastRenderedPageBreak/>
        <w:t>§3.</w:t>
      </w:r>
      <w:r w:rsidRPr="00A33930">
        <w:rPr>
          <w:rFonts w:ascii="Verdana" w:hAnsi="Verdana"/>
          <w:color w:val="auto"/>
          <w:lang w:val="nl-NL"/>
        </w:rPr>
        <w:tab/>
        <w:t>Ontwerpen van een informele rechtsingang</w:t>
      </w:r>
    </w:p>
    <w:p w14:paraId="79834418" w14:textId="4012DF65" w:rsidR="006F5A3F" w:rsidRPr="00A33930" w:rsidRDefault="00BD04AC" w:rsidP="00E069FB">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Indien niet wordt voorzien in een </w:t>
      </w:r>
      <w:r w:rsidRPr="00A33930">
        <w:rPr>
          <w:rFonts w:eastAsia="Verdana" w:cs="Verdana"/>
          <w:i/>
          <w:iCs/>
          <w:szCs w:val="18"/>
          <w:lang w:val="nl-NL"/>
        </w:rPr>
        <w:t>rethinking</w:t>
      </w:r>
      <w:r w:rsidRPr="00A33930">
        <w:rPr>
          <w:rFonts w:eastAsia="Verdana" w:cs="Verdana"/>
          <w:szCs w:val="18"/>
          <w:lang w:val="nl-NL"/>
        </w:rPr>
        <w:t xml:space="preserve"> van de principiële procesonbekwaamheid</w:t>
      </w:r>
      <w:r w:rsidR="00FB441C" w:rsidRPr="00A33930">
        <w:rPr>
          <w:rFonts w:eastAsia="Verdana" w:cs="Verdana"/>
          <w:szCs w:val="18"/>
          <w:lang w:val="nl-NL"/>
        </w:rPr>
        <w:t xml:space="preserve"> lijkt </w:t>
      </w:r>
      <w:r w:rsidR="00002E1A" w:rsidRPr="00A33930">
        <w:rPr>
          <w:rFonts w:eastAsia="Verdana" w:cs="Verdana"/>
          <w:szCs w:val="18"/>
          <w:lang w:val="nl-NL"/>
        </w:rPr>
        <w:t xml:space="preserve">het ontwerpen van </w:t>
      </w:r>
      <w:r w:rsidR="00FB441C" w:rsidRPr="00A33930">
        <w:rPr>
          <w:rFonts w:eastAsia="Verdana" w:cs="Verdana"/>
          <w:szCs w:val="18"/>
          <w:lang w:val="nl-NL"/>
        </w:rPr>
        <w:t>een informele rechtsingang</w:t>
      </w:r>
      <w:r w:rsidR="00002E1A" w:rsidRPr="00A33930">
        <w:rPr>
          <w:rFonts w:eastAsia="Verdana" w:cs="Verdana"/>
          <w:szCs w:val="18"/>
          <w:lang w:val="nl-NL"/>
        </w:rPr>
        <w:t xml:space="preserve"> voor het kind</w:t>
      </w:r>
      <w:r w:rsidR="00FB441C" w:rsidRPr="00A33930">
        <w:rPr>
          <w:rFonts w:eastAsia="Verdana" w:cs="Verdana"/>
          <w:szCs w:val="18"/>
          <w:lang w:val="nl-NL"/>
        </w:rPr>
        <w:t xml:space="preserve"> in België</w:t>
      </w:r>
      <w:r w:rsidRPr="00A33930">
        <w:rPr>
          <w:rFonts w:eastAsia="Verdana" w:cs="Verdana"/>
          <w:szCs w:val="18"/>
          <w:lang w:val="nl-NL"/>
        </w:rPr>
        <w:t xml:space="preserve"> alvast</w:t>
      </w:r>
      <w:r w:rsidR="00FB441C" w:rsidRPr="00A33930">
        <w:rPr>
          <w:rFonts w:eastAsia="Verdana" w:cs="Verdana"/>
          <w:szCs w:val="18"/>
          <w:lang w:val="nl-NL"/>
        </w:rPr>
        <w:t xml:space="preserve"> wenselijk.</w:t>
      </w:r>
      <w:r w:rsidR="00002E1A" w:rsidRPr="00A33930">
        <w:rPr>
          <w:rFonts w:eastAsia="Verdana" w:cs="Verdana"/>
          <w:szCs w:val="18"/>
          <w:lang w:val="nl-NL"/>
        </w:rPr>
        <w:t xml:space="preserve"> </w:t>
      </w:r>
      <w:r w:rsidR="00104FC5" w:rsidRPr="00A33930">
        <w:rPr>
          <w:rFonts w:eastAsia="Verdana" w:cs="Verdana"/>
          <w:szCs w:val="18"/>
          <w:lang w:val="nl-NL"/>
        </w:rPr>
        <w:t xml:space="preserve">Een eigen rechtsingang zou aansluiten bij de </w:t>
      </w:r>
      <w:r w:rsidR="006F5A3F" w:rsidRPr="00A33930">
        <w:rPr>
          <w:rFonts w:eastAsia="Verdana" w:cs="Verdana"/>
          <w:szCs w:val="18"/>
          <w:lang w:val="nl-NL"/>
        </w:rPr>
        <w:t>hedendaagse</w:t>
      </w:r>
      <w:r w:rsidR="00104FC5" w:rsidRPr="00A33930">
        <w:rPr>
          <w:rFonts w:eastAsia="Verdana" w:cs="Verdana"/>
          <w:szCs w:val="18"/>
          <w:lang w:val="nl-NL"/>
        </w:rPr>
        <w:t xml:space="preserve"> en mondige positie van het kind. </w:t>
      </w:r>
      <w:r w:rsidR="003A54E2" w:rsidRPr="00A33930">
        <w:rPr>
          <w:rFonts w:eastAsia="Verdana" w:cs="Verdana"/>
          <w:szCs w:val="18"/>
          <w:lang w:val="nl-NL"/>
        </w:rPr>
        <w:t>Zo lijkt het m</w:t>
      </w:r>
      <w:r w:rsidR="002D0380" w:rsidRPr="00A33930">
        <w:rPr>
          <w:rFonts w:eastAsia="Verdana" w:cs="Verdana"/>
          <w:szCs w:val="18"/>
          <w:lang w:val="nl-NL"/>
        </w:rPr>
        <w:t>ijns inziens</w:t>
      </w:r>
      <w:r w:rsidR="003A54E2" w:rsidRPr="00A33930">
        <w:rPr>
          <w:rFonts w:eastAsia="Verdana" w:cs="Verdana"/>
          <w:szCs w:val="18"/>
          <w:lang w:val="nl-NL"/>
        </w:rPr>
        <w:t xml:space="preserve"> aangewezen om bv. in een online rechtsingang te voorzien</w:t>
      </w:r>
      <w:r w:rsidR="00FD6AC9" w:rsidRPr="00A33930">
        <w:rPr>
          <w:rFonts w:eastAsia="Verdana" w:cs="Verdana"/>
          <w:szCs w:val="18"/>
          <w:lang w:val="nl-NL"/>
        </w:rPr>
        <w:t xml:space="preserve"> via een website of een app</w:t>
      </w:r>
      <w:r w:rsidR="003A54E2" w:rsidRPr="00A33930">
        <w:rPr>
          <w:rFonts w:eastAsia="Verdana" w:cs="Verdana"/>
          <w:szCs w:val="18"/>
          <w:lang w:val="nl-NL"/>
        </w:rPr>
        <w:t>.</w:t>
      </w:r>
      <w:r w:rsidR="00FD479E" w:rsidRPr="00A33930">
        <w:rPr>
          <w:rStyle w:val="Voetnootmarkering"/>
          <w:rFonts w:eastAsia="Verdana" w:cs="Verdana"/>
          <w:szCs w:val="18"/>
          <w:lang w:val="nl-NL"/>
        </w:rPr>
        <w:footnoteReference w:id="558"/>
      </w:r>
      <w:r w:rsidR="003A54E2" w:rsidRPr="00A33930">
        <w:rPr>
          <w:rFonts w:eastAsia="Verdana" w:cs="Verdana"/>
          <w:szCs w:val="18"/>
          <w:lang w:val="nl-NL"/>
        </w:rPr>
        <w:t xml:space="preserve"> </w:t>
      </w:r>
      <w:r w:rsidR="002D0380" w:rsidRPr="00A33930">
        <w:rPr>
          <w:rFonts w:eastAsia="Verdana" w:cs="Verdana"/>
          <w:szCs w:val="18"/>
          <w:lang w:val="nl-NL"/>
        </w:rPr>
        <w:t>Het sturen van een brief naar Nederlands voorbeeld lijkt mijns inziens echter achterhaald</w:t>
      </w:r>
      <w:r w:rsidR="00AC2AA9" w:rsidRPr="00A33930">
        <w:rPr>
          <w:rFonts w:eastAsia="Verdana" w:cs="Verdana"/>
          <w:szCs w:val="18"/>
          <w:lang w:val="nl-NL"/>
        </w:rPr>
        <w:t xml:space="preserve"> doordat kinderen niet </w:t>
      </w:r>
      <w:r w:rsidR="002D0380" w:rsidRPr="00A33930">
        <w:rPr>
          <w:rFonts w:eastAsia="Verdana" w:cs="Verdana"/>
          <w:szCs w:val="18"/>
          <w:lang w:val="nl-NL"/>
        </w:rPr>
        <w:t xml:space="preserve">graag </w:t>
      </w:r>
      <w:r w:rsidR="009445DA" w:rsidRPr="00A33930">
        <w:rPr>
          <w:rFonts w:eastAsia="Verdana" w:cs="Verdana"/>
          <w:szCs w:val="18"/>
          <w:lang w:val="nl-NL"/>
        </w:rPr>
        <w:t>telefoneren</w:t>
      </w:r>
      <w:r w:rsidR="00AC2AA9" w:rsidRPr="00A33930">
        <w:rPr>
          <w:rFonts w:eastAsia="Verdana" w:cs="Verdana"/>
          <w:szCs w:val="18"/>
          <w:lang w:val="nl-NL"/>
        </w:rPr>
        <w:t xml:space="preserve"> en </w:t>
      </w:r>
      <w:r w:rsidR="002D0380" w:rsidRPr="00A33930">
        <w:rPr>
          <w:rFonts w:eastAsia="Verdana" w:cs="Verdana"/>
          <w:szCs w:val="18"/>
          <w:lang w:val="nl-NL"/>
        </w:rPr>
        <w:t>tegenwoordig ook geen brieven meer</w:t>
      </w:r>
      <w:r w:rsidR="00AC2AA9" w:rsidRPr="00A33930">
        <w:rPr>
          <w:rFonts w:eastAsia="Verdana" w:cs="Verdana"/>
          <w:szCs w:val="18"/>
          <w:lang w:val="nl-NL"/>
        </w:rPr>
        <w:t xml:space="preserve"> sturen</w:t>
      </w:r>
      <w:r w:rsidR="002D0380" w:rsidRPr="00A33930">
        <w:rPr>
          <w:rFonts w:eastAsia="Verdana" w:cs="Verdana"/>
          <w:szCs w:val="18"/>
          <w:lang w:val="nl-NL"/>
        </w:rPr>
        <w:t>.</w:t>
      </w:r>
    </w:p>
    <w:p w14:paraId="4C794785" w14:textId="77777777" w:rsidR="006F5A3F" w:rsidRPr="00A33930" w:rsidRDefault="006F5A3F" w:rsidP="006F5A3F">
      <w:pPr>
        <w:pStyle w:val="Lijstalinea"/>
        <w:spacing w:before="200" w:after="0"/>
        <w:ind w:left="0"/>
        <w:jc w:val="both"/>
        <w:rPr>
          <w:rFonts w:eastAsia="Verdana" w:cs="Verdana"/>
          <w:szCs w:val="18"/>
          <w:lang w:val="nl-NL"/>
        </w:rPr>
      </w:pPr>
    </w:p>
    <w:p w14:paraId="0901DA8E" w14:textId="1B44016C" w:rsidR="00E069FB" w:rsidRPr="00A33930" w:rsidRDefault="00002E1A" w:rsidP="00E069FB">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Het Nederlands recht laat </w:t>
      </w:r>
      <w:r w:rsidR="003A54E2" w:rsidRPr="00A33930">
        <w:rPr>
          <w:rFonts w:eastAsia="Verdana" w:cs="Verdana"/>
          <w:szCs w:val="18"/>
          <w:lang w:val="nl-NL"/>
        </w:rPr>
        <w:t>bijkomend blijken</w:t>
      </w:r>
      <w:r w:rsidRPr="00A33930">
        <w:rPr>
          <w:rFonts w:eastAsia="Verdana" w:cs="Verdana"/>
          <w:szCs w:val="18"/>
          <w:lang w:val="nl-NL"/>
        </w:rPr>
        <w:t xml:space="preserve"> dat een informele rechtsingang enkel een meerwaarde biedt wanneer deze rechtsingang ook voldoende </w:t>
      </w:r>
      <w:r w:rsidR="00E069FB" w:rsidRPr="00A33930">
        <w:rPr>
          <w:rFonts w:eastAsia="Verdana" w:cs="Verdana"/>
          <w:szCs w:val="18"/>
          <w:lang w:val="nl-NL"/>
        </w:rPr>
        <w:t>gekend</w:t>
      </w:r>
      <w:r w:rsidRPr="00A33930">
        <w:rPr>
          <w:rFonts w:eastAsia="Verdana" w:cs="Verdana"/>
          <w:szCs w:val="18"/>
          <w:lang w:val="nl-NL"/>
        </w:rPr>
        <w:t xml:space="preserve"> is (</w:t>
      </w:r>
      <w:r w:rsidRPr="00A33930">
        <w:rPr>
          <w:rFonts w:eastAsia="Verdana" w:cs="Verdana"/>
          <w:i/>
          <w:iCs/>
          <w:szCs w:val="18"/>
          <w:lang w:val="nl-NL"/>
        </w:rPr>
        <w:t>supra</w:t>
      </w:r>
      <w:r w:rsidRPr="00A33930">
        <w:rPr>
          <w:rFonts w:eastAsia="Verdana" w:cs="Verdana"/>
          <w:szCs w:val="18"/>
          <w:lang w:val="nl-NL"/>
        </w:rPr>
        <w:t xml:space="preserve">, nr. </w:t>
      </w:r>
      <w:r w:rsidR="000C7187" w:rsidRPr="00A33930">
        <w:rPr>
          <w:rFonts w:eastAsia="Verdana" w:cs="Verdana"/>
          <w:szCs w:val="18"/>
          <w:lang w:val="nl-NL"/>
        </w:rPr>
        <w:t>129</w:t>
      </w:r>
      <w:r w:rsidRPr="00A33930">
        <w:rPr>
          <w:rFonts w:eastAsia="Verdana" w:cs="Verdana"/>
          <w:szCs w:val="18"/>
          <w:lang w:val="nl-NL"/>
        </w:rPr>
        <w:t xml:space="preserve">). </w:t>
      </w:r>
      <w:r w:rsidR="00E069FB" w:rsidRPr="00A33930">
        <w:rPr>
          <w:rFonts w:eastAsia="Verdana" w:cs="Verdana"/>
          <w:szCs w:val="18"/>
          <w:lang w:val="nl-NL"/>
        </w:rPr>
        <w:t>Het</w:t>
      </w:r>
      <w:r w:rsidRPr="00A33930">
        <w:rPr>
          <w:rFonts w:eastAsia="Verdana" w:cs="Verdana"/>
          <w:szCs w:val="18"/>
          <w:lang w:val="nl-NL"/>
        </w:rPr>
        <w:t xml:space="preserve"> </w:t>
      </w:r>
      <w:r w:rsidR="0086280A" w:rsidRPr="00A33930">
        <w:rPr>
          <w:rFonts w:eastAsia="Verdana" w:cs="Verdana"/>
          <w:szCs w:val="18"/>
          <w:lang w:val="nl-NL"/>
        </w:rPr>
        <w:t>creëren</w:t>
      </w:r>
      <w:r w:rsidRPr="00A33930">
        <w:rPr>
          <w:rFonts w:eastAsia="Verdana" w:cs="Verdana"/>
          <w:szCs w:val="18"/>
          <w:lang w:val="nl-NL"/>
        </w:rPr>
        <w:t xml:space="preserve"> van een nieuwe rechtsingang voor het kind</w:t>
      </w:r>
      <w:r w:rsidR="00E069FB" w:rsidRPr="00A33930">
        <w:rPr>
          <w:rFonts w:eastAsia="Verdana" w:cs="Verdana"/>
          <w:szCs w:val="18"/>
          <w:lang w:val="nl-NL"/>
        </w:rPr>
        <w:t xml:space="preserve"> zet echter ook</w:t>
      </w:r>
      <w:r w:rsidRPr="00A33930">
        <w:rPr>
          <w:rFonts w:eastAsia="Verdana" w:cs="Verdana"/>
          <w:szCs w:val="18"/>
          <w:lang w:val="nl-NL"/>
        </w:rPr>
        <w:t xml:space="preserve"> </w:t>
      </w:r>
      <w:r w:rsidR="00E069FB" w:rsidRPr="00A33930">
        <w:rPr>
          <w:rFonts w:eastAsia="Verdana" w:cs="Verdana"/>
          <w:szCs w:val="18"/>
          <w:lang w:val="nl-NL"/>
        </w:rPr>
        <w:t>de deur open naar</w:t>
      </w:r>
      <w:r w:rsidRPr="00A33930">
        <w:rPr>
          <w:rFonts w:eastAsia="Verdana" w:cs="Verdana"/>
          <w:szCs w:val="18"/>
          <w:lang w:val="nl-NL"/>
        </w:rPr>
        <w:t xml:space="preserve"> versnippering. Een teveel aan mogelijkheden kan </w:t>
      </w:r>
      <w:r w:rsidR="0050757C" w:rsidRPr="00A33930">
        <w:rPr>
          <w:rFonts w:eastAsia="Verdana" w:cs="Verdana"/>
          <w:szCs w:val="18"/>
          <w:lang w:val="nl-NL"/>
        </w:rPr>
        <w:t>hierdoor</w:t>
      </w:r>
      <w:r w:rsidR="001F50AD" w:rsidRPr="00A33930">
        <w:rPr>
          <w:rFonts w:eastAsia="Verdana" w:cs="Verdana"/>
          <w:szCs w:val="18"/>
          <w:lang w:val="nl-NL"/>
        </w:rPr>
        <w:t xml:space="preserve"> </w:t>
      </w:r>
      <w:r w:rsidRPr="00A33930">
        <w:rPr>
          <w:rFonts w:eastAsia="Verdana" w:cs="Verdana"/>
          <w:szCs w:val="18"/>
          <w:lang w:val="nl-NL"/>
        </w:rPr>
        <w:t>schadelijk zijn voor dit kinderrecht</w:t>
      </w:r>
      <w:r w:rsidR="00E069FB" w:rsidRPr="00A33930">
        <w:rPr>
          <w:rFonts w:eastAsia="Verdana" w:cs="Verdana"/>
          <w:szCs w:val="18"/>
          <w:lang w:val="nl-NL"/>
        </w:rPr>
        <w:t xml:space="preserve"> en voor de </w:t>
      </w:r>
      <w:r w:rsidR="0050757C" w:rsidRPr="00A33930">
        <w:rPr>
          <w:rFonts w:eastAsia="Verdana" w:cs="Verdana"/>
          <w:szCs w:val="18"/>
          <w:lang w:val="nl-NL"/>
        </w:rPr>
        <w:t xml:space="preserve">algemene </w:t>
      </w:r>
      <w:r w:rsidR="00E069FB" w:rsidRPr="00A33930">
        <w:rPr>
          <w:rFonts w:eastAsia="Verdana" w:cs="Verdana"/>
          <w:szCs w:val="18"/>
          <w:lang w:val="nl-NL"/>
        </w:rPr>
        <w:t xml:space="preserve">duidelijkheid ten aanzien van </w:t>
      </w:r>
      <w:r w:rsidR="002D0380" w:rsidRPr="00A33930">
        <w:rPr>
          <w:rFonts w:eastAsia="Verdana" w:cs="Verdana"/>
          <w:szCs w:val="18"/>
          <w:lang w:val="nl-NL"/>
        </w:rPr>
        <w:t>het</w:t>
      </w:r>
      <w:r w:rsidR="00E069FB" w:rsidRPr="00A33930">
        <w:rPr>
          <w:rFonts w:eastAsia="Verdana" w:cs="Verdana"/>
          <w:szCs w:val="18"/>
          <w:lang w:val="nl-NL"/>
        </w:rPr>
        <w:t xml:space="preserve"> kind</w:t>
      </w:r>
      <w:r w:rsidRPr="00A33930">
        <w:rPr>
          <w:rFonts w:eastAsia="Verdana" w:cs="Verdana"/>
          <w:szCs w:val="18"/>
          <w:lang w:val="nl-NL"/>
        </w:rPr>
        <w:t xml:space="preserve">. De Belgische wetgever moet </w:t>
      </w:r>
      <w:r w:rsidR="0050757C" w:rsidRPr="00A33930">
        <w:rPr>
          <w:rFonts w:eastAsia="Verdana" w:cs="Verdana"/>
          <w:szCs w:val="18"/>
          <w:lang w:val="nl-NL"/>
        </w:rPr>
        <w:t>dan ook</w:t>
      </w:r>
      <w:r w:rsidRPr="00A33930">
        <w:rPr>
          <w:rFonts w:eastAsia="Verdana" w:cs="Verdana"/>
          <w:szCs w:val="18"/>
          <w:lang w:val="nl-NL"/>
        </w:rPr>
        <w:t xml:space="preserve"> voorzien in een concreet beleid: </w:t>
      </w:r>
      <w:r w:rsidR="001F50AD" w:rsidRPr="00A33930">
        <w:rPr>
          <w:rFonts w:eastAsia="Verdana" w:cs="Verdana"/>
          <w:szCs w:val="18"/>
          <w:lang w:val="nl-NL"/>
        </w:rPr>
        <w:t xml:space="preserve">zowel in de wet als in de praktijk. </w:t>
      </w:r>
      <w:r w:rsidR="00AC2AA9" w:rsidRPr="00A33930">
        <w:rPr>
          <w:rFonts w:eastAsia="Verdana" w:cs="Verdana"/>
          <w:szCs w:val="18"/>
          <w:lang w:val="nl-NL"/>
        </w:rPr>
        <w:t>Verduidelijking</w:t>
      </w:r>
      <w:r w:rsidR="001F50AD" w:rsidRPr="00A33930">
        <w:rPr>
          <w:rFonts w:eastAsia="Verdana" w:cs="Verdana"/>
          <w:szCs w:val="18"/>
          <w:lang w:val="nl-NL"/>
        </w:rPr>
        <w:t xml:space="preserve"> kan b</w:t>
      </w:r>
      <w:r w:rsidRPr="00A33930">
        <w:rPr>
          <w:rFonts w:eastAsia="Verdana" w:cs="Verdana"/>
          <w:szCs w:val="18"/>
          <w:lang w:val="nl-NL"/>
        </w:rPr>
        <w:t xml:space="preserve">ijvoorbeeld </w:t>
      </w:r>
      <w:r w:rsidR="00AC2AA9" w:rsidRPr="00A33930">
        <w:rPr>
          <w:rFonts w:eastAsia="Verdana" w:cs="Verdana"/>
          <w:szCs w:val="18"/>
          <w:lang w:val="nl-NL"/>
        </w:rPr>
        <w:t xml:space="preserve">plaatsvinden </w:t>
      </w:r>
      <w:r w:rsidR="001F50AD" w:rsidRPr="00A33930">
        <w:rPr>
          <w:rFonts w:eastAsia="Verdana" w:cs="Verdana"/>
          <w:szCs w:val="18"/>
          <w:lang w:val="nl-NL"/>
        </w:rPr>
        <w:t>door middel van</w:t>
      </w:r>
      <w:r w:rsidRPr="00A33930">
        <w:rPr>
          <w:rFonts w:eastAsia="Verdana" w:cs="Verdana"/>
          <w:szCs w:val="18"/>
          <w:lang w:val="nl-NL"/>
        </w:rPr>
        <w:t xml:space="preserve"> </w:t>
      </w:r>
      <w:r w:rsidRPr="00A33930">
        <w:rPr>
          <w:rFonts w:eastAsia="Verdana" w:cs="Verdana"/>
          <w:i/>
          <w:iCs/>
          <w:szCs w:val="18"/>
          <w:lang w:val="nl-NL"/>
        </w:rPr>
        <w:t>infographics</w:t>
      </w:r>
      <w:r w:rsidR="001F50AD" w:rsidRPr="00A33930">
        <w:rPr>
          <w:rFonts w:eastAsia="Verdana" w:cs="Verdana"/>
          <w:szCs w:val="18"/>
          <w:lang w:val="nl-NL"/>
        </w:rPr>
        <w:t xml:space="preserve"> bij scholen/dokters/muziekacademies etc., ook </w:t>
      </w:r>
      <w:r w:rsidRPr="00A33930">
        <w:rPr>
          <w:rFonts w:eastAsia="Verdana" w:cs="Verdana"/>
          <w:szCs w:val="18"/>
          <w:lang w:val="nl-NL"/>
        </w:rPr>
        <w:t xml:space="preserve">online filmpjes en </w:t>
      </w:r>
      <w:r w:rsidR="001F50AD" w:rsidRPr="00A33930">
        <w:rPr>
          <w:rFonts w:eastAsia="Verdana" w:cs="Verdana"/>
          <w:szCs w:val="18"/>
          <w:lang w:val="nl-NL"/>
        </w:rPr>
        <w:t>de</w:t>
      </w:r>
      <w:r w:rsidR="000C7187" w:rsidRPr="00A33930">
        <w:rPr>
          <w:rFonts w:eastAsia="Verdana" w:cs="Verdana"/>
          <w:szCs w:val="18"/>
          <w:lang w:val="nl-NL"/>
        </w:rPr>
        <w:t xml:space="preserve"> (visuele)</w:t>
      </w:r>
      <w:r w:rsidR="001F50AD" w:rsidRPr="00A33930">
        <w:rPr>
          <w:rFonts w:eastAsia="Verdana" w:cs="Verdana"/>
          <w:szCs w:val="18"/>
          <w:lang w:val="nl-NL"/>
        </w:rPr>
        <w:t xml:space="preserve"> </w:t>
      </w:r>
      <w:r w:rsidRPr="00A33930">
        <w:rPr>
          <w:rFonts w:eastAsia="Verdana" w:cs="Verdana"/>
          <w:szCs w:val="18"/>
          <w:lang w:val="nl-NL"/>
        </w:rPr>
        <w:t>aanwezigheid op laagdrempelige platformen</w:t>
      </w:r>
      <w:r w:rsidR="000C7187" w:rsidRPr="00A33930">
        <w:rPr>
          <w:rStyle w:val="Voetnootmarkering"/>
          <w:rFonts w:eastAsia="Verdana" w:cs="Verdana"/>
          <w:szCs w:val="18"/>
          <w:lang w:val="nl-NL"/>
        </w:rPr>
        <w:footnoteReference w:id="559"/>
      </w:r>
      <w:r w:rsidR="001F50AD" w:rsidRPr="00A33930">
        <w:rPr>
          <w:rFonts w:eastAsia="Verdana" w:cs="Verdana"/>
          <w:szCs w:val="18"/>
          <w:lang w:val="nl-NL"/>
        </w:rPr>
        <w:t xml:space="preserve"> lijkt m</w:t>
      </w:r>
      <w:r w:rsidR="002D0380" w:rsidRPr="00A33930">
        <w:rPr>
          <w:rFonts w:eastAsia="Verdana" w:cs="Verdana"/>
          <w:szCs w:val="18"/>
          <w:lang w:val="nl-NL"/>
        </w:rPr>
        <w:t>ijns inziens</w:t>
      </w:r>
      <w:r w:rsidR="001F50AD" w:rsidRPr="00A33930">
        <w:rPr>
          <w:rFonts w:eastAsia="Verdana" w:cs="Verdana"/>
          <w:szCs w:val="18"/>
          <w:lang w:val="nl-NL"/>
        </w:rPr>
        <w:t xml:space="preserve"> belangrijk</w:t>
      </w:r>
      <w:r w:rsidRPr="00A33930">
        <w:rPr>
          <w:rFonts w:eastAsia="Verdana" w:cs="Verdana"/>
          <w:szCs w:val="18"/>
          <w:lang w:val="nl-NL"/>
        </w:rPr>
        <w:t>.</w:t>
      </w:r>
    </w:p>
    <w:p w14:paraId="16813AC7" w14:textId="5CF41F0A" w:rsidR="008E3D48" w:rsidRPr="00A33930" w:rsidRDefault="00857C8A" w:rsidP="00857C8A">
      <w:pPr>
        <w:pStyle w:val="Kop4"/>
        <w:spacing w:before="240"/>
        <w:rPr>
          <w:rFonts w:ascii="Verdana" w:hAnsi="Verdana"/>
          <w:color w:val="auto"/>
          <w:lang w:val="nl-NL"/>
        </w:rPr>
      </w:pPr>
      <w:r w:rsidRPr="00A33930">
        <w:rPr>
          <w:rFonts w:ascii="Verdana" w:hAnsi="Verdana"/>
          <w:color w:val="auto"/>
          <w:lang w:val="nl-NL"/>
        </w:rPr>
        <w:t>§4.</w:t>
      </w:r>
      <w:r w:rsidRPr="00A33930">
        <w:rPr>
          <w:rFonts w:ascii="Verdana" w:hAnsi="Verdana"/>
          <w:color w:val="auto"/>
          <w:lang w:val="nl-NL"/>
        </w:rPr>
        <w:tab/>
        <w:t>Verlaten van de objectgedachte in het oud BW</w:t>
      </w:r>
    </w:p>
    <w:p w14:paraId="30AD20E7" w14:textId="32BDDC74" w:rsidR="00A03A25" w:rsidRPr="00A33930" w:rsidRDefault="00DC3FD4" w:rsidP="00DC3FD4">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De </w:t>
      </w:r>
      <w:r w:rsidR="00A03A25" w:rsidRPr="00A33930">
        <w:rPr>
          <w:rFonts w:eastAsia="Verdana" w:cs="Verdana"/>
          <w:szCs w:val="18"/>
          <w:lang w:val="nl-NL"/>
        </w:rPr>
        <w:t xml:space="preserve">historisch gegroeide </w:t>
      </w:r>
      <w:r w:rsidRPr="00A33930">
        <w:rPr>
          <w:rFonts w:eastAsia="Verdana" w:cs="Verdana"/>
          <w:szCs w:val="18"/>
          <w:lang w:val="nl-NL"/>
        </w:rPr>
        <w:t xml:space="preserve">objectgedachte </w:t>
      </w:r>
      <w:r w:rsidR="00A03A25" w:rsidRPr="00A33930">
        <w:rPr>
          <w:rFonts w:eastAsia="Verdana" w:cs="Verdana"/>
          <w:szCs w:val="18"/>
          <w:lang w:val="nl-NL"/>
        </w:rPr>
        <w:t xml:space="preserve">die nog steeds wordt gehanteerd </w:t>
      </w:r>
      <w:r w:rsidRPr="00A33930">
        <w:rPr>
          <w:rFonts w:eastAsia="Verdana" w:cs="Verdana"/>
          <w:szCs w:val="18"/>
          <w:lang w:val="nl-NL"/>
        </w:rPr>
        <w:t>moet m</w:t>
      </w:r>
      <w:r w:rsidR="00A03A25" w:rsidRPr="00A33930">
        <w:rPr>
          <w:rFonts w:eastAsia="Verdana" w:cs="Verdana"/>
          <w:szCs w:val="18"/>
          <w:lang w:val="nl-NL"/>
        </w:rPr>
        <w:t>ijns inziens plaatsmaken voor de moderne subjectgedachte</w:t>
      </w:r>
      <w:r w:rsidRPr="00A33930">
        <w:rPr>
          <w:rFonts w:eastAsia="Verdana" w:cs="Verdana"/>
          <w:szCs w:val="18"/>
          <w:lang w:val="nl-NL"/>
        </w:rPr>
        <w:t xml:space="preserve">. De eerbiediging van de kinderrechten </w:t>
      </w:r>
      <w:r w:rsidR="006F5A3F" w:rsidRPr="00A33930">
        <w:rPr>
          <w:rFonts w:eastAsia="Verdana" w:cs="Verdana"/>
          <w:szCs w:val="18"/>
          <w:lang w:val="nl-NL"/>
        </w:rPr>
        <w:t xml:space="preserve">zoals voorzien door het IVRK </w:t>
      </w:r>
      <w:r w:rsidRPr="00A33930">
        <w:rPr>
          <w:rFonts w:eastAsia="Verdana" w:cs="Verdana"/>
          <w:szCs w:val="18"/>
          <w:lang w:val="nl-NL"/>
        </w:rPr>
        <w:t xml:space="preserve">vraagt dat het competentiedebat niet meer </w:t>
      </w:r>
      <w:r w:rsidR="00A03A25" w:rsidRPr="00A33930">
        <w:rPr>
          <w:rFonts w:eastAsia="Verdana" w:cs="Verdana"/>
          <w:szCs w:val="18"/>
          <w:lang w:val="nl-NL"/>
        </w:rPr>
        <w:t xml:space="preserve">volgens de huidige argumenten </w:t>
      </w:r>
      <w:r w:rsidRPr="00A33930">
        <w:rPr>
          <w:rFonts w:eastAsia="Verdana" w:cs="Verdana"/>
          <w:szCs w:val="18"/>
          <w:lang w:val="nl-NL"/>
        </w:rPr>
        <w:t>wordt gevoerd</w:t>
      </w:r>
      <w:r w:rsidR="00A03A25" w:rsidRPr="00A33930">
        <w:rPr>
          <w:rFonts w:eastAsia="Verdana" w:cs="Verdana"/>
          <w:szCs w:val="18"/>
          <w:lang w:val="nl-NL"/>
        </w:rPr>
        <w:t xml:space="preserve"> (</w:t>
      </w:r>
      <w:r w:rsidR="00A03A25" w:rsidRPr="00A33930">
        <w:rPr>
          <w:rFonts w:eastAsia="Verdana" w:cs="Verdana"/>
          <w:i/>
          <w:iCs/>
          <w:szCs w:val="18"/>
          <w:lang w:val="nl-NL"/>
        </w:rPr>
        <w:t>supra</w:t>
      </w:r>
      <w:r w:rsidR="00A03A25" w:rsidRPr="00A33930">
        <w:rPr>
          <w:rFonts w:eastAsia="Verdana" w:cs="Verdana"/>
          <w:szCs w:val="18"/>
          <w:lang w:val="nl-NL"/>
        </w:rPr>
        <w:t>, nr. 69</w:t>
      </w:r>
      <w:r w:rsidR="00B324B1" w:rsidRPr="00A33930">
        <w:rPr>
          <w:rFonts w:eastAsia="Verdana" w:cs="Verdana"/>
          <w:szCs w:val="18"/>
          <w:lang w:val="nl-NL"/>
        </w:rPr>
        <w:t xml:space="preserve"> en nrs. 100-101</w:t>
      </w:r>
      <w:r w:rsidR="00A03A25" w:rsidRPr="00A33930">
        <w:rPr>
          <w:rFonts w:eastAsia="Verdana" w:cs="Verdana"/>
          <w:szCs w:val="18"/>
          <w:lang w:val="nl-NL"/>
        </w:rPr>
        <w:t>)</w:t>
      </w:r>
      <w:r w:rsidRPr="00A33930">
        <w:rPr>
          <w:rFonts w:eastAsia="Verdana" w:cs="Verdana"/>
          <w:szCs w:val="18"/>
          <w:lang w:val="nl-NL"/>
        </w:rPr>
        <w:t>. De subjectgedachte wordt op mensenrechtelijk niveau al enige tijd nagestreefd</w:t>
      </w:r>
      <w:r w:rsidR="00A03A25" w:rsidRPr="00A33930">
        <w:rPr>
          <w:rFonts w:eastAsia="Verdana" w:cs="Verdana"/>
          <w:szCs w:val="18"/>
          <w:lang w:val="nl-NL"/>
        </w:rPr>
        <w:t xml:space="preserve">, maar toch </w:t>
      </w:r>
      <w:r w:rsidR="008E3D48" w:rsidRPr="00A33930">
        <w:rPr>
          <w:rFonts w:eastAsia="Verdana" w:cs="Verdana"/>
          <w:szCs w:val="18"/>
          <w:lang w:val="nl-NL"/>
        </w:rPr>
        <w:t>is de rol van het kind in de Belgische regelgeving nog erg passief</w:t>
      </w:r>
      <w:r w:rsidRPr="00A33930">
        <w:rPr>
          <w:rFonts w:eastAsia="Verdana" w:cs="Verdana"/>
          <w:szCs w:val="18"/>
          <w:lang w:val="nl-NL"/>
        </w:rPr>
        <w:t>. De Belgische wetgever moet hierop bijbenen.</w:t>
      </w:r>
    </w:p>
    <w:p w14:paraId="489AB2F7" w14:textId="77777777" w:rsidR="00A03A25" w:rsidRPr="00A33930" w:rsidRDefault="00A03A25" w:rsidP="00A03A25">
      <w:pPr>
        <w:pStyle w:val="Lijstalinea"/>
        <w:spacing w:before="200" w:after="0"/>
        <w:ind w:left="0"/>
        <w:jc w:val="both"/>
        <w:rPr>
          <w:rFonts w:eastAsia="Verdana" w:cs="Verdana"/>
          <w:szCs w:val="18"/>
          <w:lang w:val="nl-NL"/>
        </w:rPr>
      </w:pPr>
    </w:p>
    <w:p w14:paraId="6E11D010" w14:textId="090721A7" w:rsidR="008E3D48" w:rsidRPr="00A33930" w:rsidRDefault="009E20AA" w:rsidP="00DC3FD4">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Een belangrijke vraag die </w:t>
      </w:r>
      <w:r w:rsidR="00DC3FD4" w:rsidRPr="00A33930">
        <w:rPr>
          <w:rFonts w:eastAsia="Verdana" w:cs="Verdana"/>
          <w:szCs w:val="18"/>
          <w:lang w:val="nl-NL"/>
        </w:rPr>
        <w:t xml:space="preserve">hierbij </w:t>
      </w:r>
      <w:r w:rsidRPr="00A33930">
        <w:rPr>
          <w:rFonts w:eastAsia="Verdana" w:cs="Verdana"/>
          <w:szCs w:val="18"/>
          <w:lang w:val="nl-NL"/>
        </w:rPr>
        <w:t xml:space="preserve">wordt gesteld </w:t>
      </w:r>
      <w:r w:rsidR="00DC3FD4" w:rsidRPr="00A33930">
        <w:rPr>
          <w:rFonts w:eastAsia="Verdana" w:cs="Verdana"/>
          <w:szCs w:val="18"/>
          <w:lang w:val="nl-NL"/>
        </w:rPr>
        <w:t xml:space="preserve">is echter hoe dit moet worden vormgegeven. Mijns inziens is het niet verantwoord dat alles afhangt van de </w:t>
      </w:r>
      <w:r w:rsidR="00DC3FD4" w:rsidRPr="00A33930">
        <w:rPr>
          <w:rFonts w:eastAsia="Verdana" w:cs="Verdana"/>
          <w:i/>
          <w:iCs/>
          <w:szCs w:val="18"/>
          <w:lang w:val="nl-NL"/>
        </w:rPr>
        <w:t xml:space="preserve">goodwill </w:t>
      </w:r>
      <w:r w:rsidR="00DC3FD4" w:rsidRPr="00A33930">
        <w:rPr>
          <w:rFonts w:eastAsia="Verdana" w:cs="Verdana"/>
          <w:szCs w:val="18"/>
          <w:lang w:val="nl-NL"/>
        </w:rPr>
        <w:t xml:space="preserve">van volwassenen, al is dat vandaag </w:t>
      </w:r>
      <w:r w:rsidR="00A03A25" w:rsidRPr="00A33930">
        <w:rPr>
          <w:rFonts w:eastAsia="Verdana" w:cs="Verdana"/>
          <w:szCs w:val="18"/>
          <w:lang w:val="nl-NL"/>
        </w:rPr>
        <w:t xml:space="preserve">grotendeels </w:t>
      </w:r>
      <w:r w:rsidR="00DC3FD4" w:rsidRPr="00A33930">
        <w:rPr>
          <w:rFonts w:eastAsia="Verdana" w:cs="Verdana"/>
          <w:szCs w:val="18"/>
          <w:lang w:val="nl-NL"/>
        </w:rPr>
        <w:t xml:space="preserve">de realiteit. Het lijkt </w:t>
      </w:r>
      <w:r w:rsidRPr="00A33930">
        <w:rPr>
          <w:rFonts w:eastAsia="Verdana" w:cs="Verdana"/>
          <w:szCs w:val="18"/>
          <w:lang w:val="nl-NL"/>
        </w:rPr>
        <w:t xml:space="preserve">aan de ene kant </w:t>
      </w:r>
      <w:r w:rsidR="00DC3FD4" w:rsidRPr="00A33930">
        <w:rPr>
          <w:rFonts w:eastAsia="Verdana" w:cs="Verdana"/>
          <w:szCs w:val="18"/>
          <w:lang w:val="nl-NL"/>
        </w:rPr>
        <w:t>aanvaardbaar om het kind te beschermen</w:t>
      </w:r>
      <w:r w:rsidR="00A03A25" w:rsidRPr="00A33930">
        <w:rPr>
          <w:rFonts w:eastAsia="Verdana" w:cs="Verdana"/>
          <w:szCs w:val="18"/>
          <w:lang w:val="nl-NL"/>
        </w:rPr>
        <w:t>,</w:t>
      </w:r>
      <w:r w:rsidRPr="00A33930">
        <w:rPr>
          <w:rFonts w:eastAsia="Verdana" w:cs="Verdana"/>
          <w:szCs w:val="18"/>
          <w:lang w:val="nl-NL"/>
        </w:rPr>
        <w:t xml:space="preserve"> </w:t>
      </w:r>
      <w:r w:rsidR="00DC3FD4" w:rsidRPr="00A33930">
        <w:rPr>
          <w:rFonts w:eastAsia="Verdana" w:cs="Verdana"/>
          <w:szCs w:val="18"/>
          <w:lang w:val="nl-NL"/>
        </w:rPr>
        <w:t xml:space="preserve">maar </w:t>
      </w:r>
      <w:r w:rsidRPr="00A33930">
        <w:rPr>
          <w:rFonts w:eastAsia="Verdana" w:cs="Verdana"/>
          <w:szCs w:val="18"/>
          <w:lang w:val="nl-NL"/>
        </w:rPr>
        <w:t xml:space="preserve">aan de andere kant </w:t>
      </w:r>
      <w:r w:rsidR="00DC3FD4" w:rsidRPr="00A33930">
        <w:rPr>
          <w:rFonts w:eastAsia="Verdana" w:cs="Verdana"/>
          <w:szCs w:val="18"/>
          <w:lang w:val="nl-NL"/>
        </w:rPr>
        <w:t xml:space="preserve">ook om het kind meer autonomie te geven. Zelfbeschikking is een werkwoord, net zoals kinderrechten dat zijn. </w:t>
      </w:r>
      <w:r w:rsidR="008E3D48" w:rsidRPr="00A33930">
        <w:rPr>
          <w:rFonts w:eastAsia="Verdana" w:cs="Verdana"/>
          <w:szCs w:val="18"/>
          <w:lang w:val="nl-NL"/>
        </w:rPr>
        <w:t>Hierin komt</w:t>
      </w:r>
      <w:r w:rsidR="00DC3FD4" w:rsidRPr="00A33930">
        <w:rPr>
          <w:rFonts w:eastAsia="Verdana" w:cs="Verdana"/>
          <w:szCs w:val="18"/>
          <w:lang w:val="nl-NL"/>
        </w:rPr>
        <w:t xml:space="preserve"> de Belgische wetgever </w:t>
      </w:r>
      <w:r w:rsidR="008E3D48" w:rsidRPr="00A33930">
        <w:rPr>
          <w:rFonts w:eastAsia="Verdana" w:cs="Verdana"/>
          <w:szCs w:val="18"/>
          <w:lang w:val="nl-NL"/>
        </w:rPr>
        <w:t>tekort</w:t>
      </w:r>
      <w:r w:rsidR="00DC3FD4" w:rsidRPr="00A33930">
        <w:rPr>
          <w:rFonts w:eastAsia="Verdana" w:cs="Verdana"/>
          <w:szCs w:val="18"/>
          <w:lang w:val="nl-NL"/>
        </w:rPr>
        <w:t xml:space="preserve">. </w:t>
      </w:r>
      <w:r w:rsidR="008E3D48" w:rsidRPr="00A33930">
        <w:rPr>
          <w:rFonts w:eastAsia="Verdana" w:cs="Verdana"/>
          <w:szCs w:val="18"/>
          <w:lang w:val="nl-NL"/>
        </w:rPr>
        <w:t>Er</w:t>
      </w:r>
      <w:r w:rsidRPr="00A33930">
        <w:rPr>
          <w:rFonts w:eastAsia="Verdana" w:cs="Verdana"/>
          <w:szCs w:val="18"/>
          <w:lang w:val="nl-NL"/>
        </w:rPr>
        <w:t xml:space="preserve"> wordt vaak teruggegrepen naar de ontwikkeling en maturiteit van het kind, zonder te kijken naar de maatschappelijke ontwikkelingen. Er worden vandaag geen vragen meer gesteld bij jongeren die werken als jobstudent, een instagramshop openen, kleding verkopen, met de </w:t>
      </w:r>
      <w:r w:rsidR="009445DA" w:rsidRPr="00A33930">
        <w:rPr>
          <w:rFonts w:eastAsia="Verdana" w:cs="Verdana"/>
          <w:szCs w:val="18"/>
          <w:lang w:val="nl-NL"/>
        </w:rPr>
        <w:t>bromfiets</w:t>
      </w:r>
      <w:r w:rsidRPr="00A33930">
        <w:rPr>
          <w:rFonts w:eastAsia="Verdana" w:cs="Verdana"/>
          <w:szCs w:val="18"/>
          <w:lang w:val="nl-NL"/>
        </w:rPr>
        <w:t xml:space="preserve"> rijden… Steeds vaker wordt de bekwaamheid van minderjarigen erkend en worden hen desgevallend rechten toegekend. In het burgerlijk recht, daar waar het recht </w:t>
      </w:r>
      <w:r w:rsidR="00A03A25" w:rsidRPr="00A33930">
        <w:rPr>
          <w:rFonts w:eastAsia="Verdana" w:cs="Verdana"/>
          <w:szCs w:val="18"/>
          <w:lang w:val="nl-NL"/>
        </w:rPr>
        <w:t>begint</w:t>
      </w:r>
      <w:r w:rsidRPr="00A33930">
        <w:rPr>
          <w:rFonts w:eastAsia="Verdana" w:cs="Verdana"/>
          <w:szCs w:val="18"/>
          <w:lang w:val="nl-NL"/>
        </w:rPr>
        <w:t>, is er echter weinig verandering merkbaar.</w:t>
      </w:r>
      <w:r w:rsidRPr="00A33930">
        <w:rPr>
          <w:rStyle w:val="Voetnootmarkering"/>
          <w:rFonts w:eastAsia="Verdana" w:cs="Verdana"/>
          <w:szCs w:val="18"/>
          <w:lang w:val="nl-NL"/>
        </w:rPr>
        <w:footnoteReference w:id="560"/>
      </w:r>
    </w:p>
    <w:p w14:paraId="6D8EE155" w14:textId="3DCEC1A5" w:rsidR="008E3D48" w:rsidRPr="00A33930" w:rsidRDefault="00857C8A" w:rsidP="00857C8A">
      <w:pPr>
        <w:pStyle w:val="Kop4"/>
        <w:spacing w:before="240"/>
        <w:rPr>
          <w:rFonts w:ascii="Verdana" w:hAnsi="Verdana"/>
          <w:color w:val="auto"/>
          <w:lang w:val="nl-NL"/>
        </w:rPr>
      </w:pPr>
      <w:r w:rsidRPr="00A33930">
        <w:rPr>
          <w:rFonts w:ascii="Verdana" w:hAnsi="Verdana"/>
          <w:color w:val="auto"/>
          <w:lang w:val="nl-NL"/>
        </w:rPr>
        <w:lastRenderedPageBreak/>
        <w:t>§5.</w:t>
      </w:r>
      <w:r w:rsidRPr="00A33930">
        <w:rPr>
          <w:rFonts w:ascii="Verdana" w:hAnsi="Verdana"/>
          <w:color w:val="auto"/>
          <w:lang w:val="nl-NL"/>
        </w:rPr>
        <w:tab/>
        <w:t xml:space="preserve">Opnemen en benadrukken van </w:t>
      </w:r>
      <w:r w:rsidR="0053198A" w:rsidRPr="00A33930">
        <w:rPr>
          <w:rFonts w:ascii="Verdana" w:hAnsi="Verdana"/>
          <w:color w:val="auto"/>
          <w:lang w:val="nl-NL"/>
        </w:rPr>
        <w:t xml:space="preserve">de </w:t>
      </w:r>
      <w:r w:rsidRPr="00A33930">
        <w:rPr>
          <w:rFonts w:ascii="Verdana" w:hAnsi="Verdana"/>
          <w:color w:val="auto"/>
          <w:lang w:val="nl-NL"/>
        </w:rPr>
        <w:t>principiële contactplicht voor volwassenen</w:t>
      </w:r>
    </w:p>
    <w:p w14:paraId="4A5290F3" w14:textId="659FB5AA" w:rsidR="006B5B1A" w:rsidRPr="00A33930" w:rsidRDefault="009E20AA" w:rsidP="006B5B1A">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Indien niet wordt gekozen voor een inschrijving in de Grondwet, of al dan niet gelijk met deze inschrijving, is het wettelijk opnemen van een contact</w:t>
      </w:r>
      <w:r w:rsidRPr="00A33930">
        <w:rPr>
          <w:rFonts w:eastAsia="Verdana" w:cs="Verdana"/>
          <w:i/>
          <w:iCs/>
          <w:szCs w:val="18"/>
          <w:lang w:val="nl-NL"/>
        </w:rPr>
        <w:t xml:space="preserve">plicht </w:t>
      </w:r>
      <w:r w:rsidRPr="00A33930">
        <w:rPr>
          <w:rFonts w:eastAsia="Verdana" w:cs="Verdana"/>
          <w:szCs w:val="18"/>
          <w:lang w:val="nl-NL"/>
        </w:rPr>
        <w:t>in het nieuwe boek 2 BW m</w:t>
      </w:r>
      <w:r w:rsidR="00A03A25" w:rsidRPr="00A33930">
        <w:rPr>
          <w:rFonts w:eastAsia="Verdana" w:cs="Verdana"/>
          <w:szCs w:val="18"/>
          <w:lang w:val="nl-NL"/>
        </w:rPr>
        <w:t>ijns inziens</w:t>
      </w:r>
      <w:r w:rsidRPr="00A33930">
        <w:rPr>
          <w:rFonts w:eastAsia="Verdana" w:cs="Verdana"/>
          <w:szCs w:val="18"/>
          <w:lang w:val="nl-NL"/>
        </w:rPr>
        <w:t xml:space="preserve"> noodzakelijk.</w:t>
      </w:r>
      <w:r w:rsidR="00E61ED6" w:rsidRPr="00A33930">
        <w:rPr>
          <w:rFonts w:eastAsia="Verdana" w:cs="Verdana"/>
          <w:szCs w:val="18"/>
          <w:lang w:val="nl-NL"/>
        </w:rPr>
        <w:t xml:space="preserve"> </w:t>
      </w:r>
      <w:r w:rsidR="00CE7E2E" w:rsidRPr="00A33930">
        <w:rPr>
          <w:rFonts w:eastAsia="Verdana" w:cs="Verdana"/>
          <w:szCs w:val="18"/>
          <w:lang w:val="nl-NL"/>
        </w:rPr>
        <w:t xml:space="preserve">Het opnemen van een recht op persoonlijk contact als een recht van het kind in het BW zou een </w:t>
      </w:r>
      <w:r w:rsidR="00A03A25" w:rsidRPr="00A33930">
        <w:rPr>
          <w:rFonts w:eastAsia="Verdana" w:cs="Verdana"/>
          <w:szCs w:val="18"/>
          <w:lang w:val="nl-NL"/>
        </w:rPr>
        <w:t>goede</w:t>
      </w:r>
      <w:r w:rsidR="00CE7E2E" w:rsidRPr="00A33930">
        <w:rPr>
          <w:rFonts w:eastAsia="Verdana" w:cs="Verdana"/>
          <w:szCs w:val="18"/>
          <w:lang w:val="nl-NL"/>
        </w:rPr>
        <w:t xml:space="preserve"> stap zijn richting de afdwingbaarheid van een eigen contactrecht. </w:t>
      </w:r>
      <w:r w:rsidR="00B324B1" w:rsidRPr="00A33930">
        <w:rPr>
          <w:rFonts w:eastAsia="Verdana" w:cs="Verdana"/>
          <w:szCs w:val="18"/>
          <w:lang w:val="nl-NL"/>
        </w:rPr>
        <w:t xml:space="preserve">De wederkerigheid zou benadrukt kunnen worden door de term “contact” te vervangen door “omgang”, naar Nederlands voorbeeld. </w:t>
      </w:r>
      <w:r w:rsidR="006B5B1A" w:rsidRPr="00A33930">
        <w:rPr>
          <w:rFonts w:eastAsia="Verdana" w:cs="Verdana"/>
          <w:iCs/>
          <w:szCs w:val="18"/>
          <w:lang w:val="nl-NL"/>
        </w:rPr>
        <w:t>Niet alleen wordt het kind door dergelijke inschrijving meer gezien als rechtssubject en heeft het dus een heel symbolische betekenis, ook zorgt dit voor een sterkere basis om loya</w:t>
      </w:r>
      <w:r w:rsidR="0042308F" w:rsidRPr="00A33930">
        <w:rPr>
          <w:rFonts w:eastAsia="Verdana" w:cs="Verdana"/>
          <w:iCs/>
          <w:szCs w:val="18"/>
          <w:lang w:val="nl-NL"/>
        </w:rPr>
        <w:t>li</w:t>
      </w:r>
      <w:r w:rsidR="006B5B1A" w:rsidRPr="00A33930">
        <w:rPr>
          <w:rFonts w:eastAsia="Verdana" w:cs="Verdana"/>
          <w:iCs/>
          <w:szCs w:val="18"/>
          <w:lang w:val="nl-NL"/>
        </w:rPr>
        <w:t>teitsconflicten van het kind te vermijden</w:t>
      </w:r>
      <w:r w:rsidR="009710CE" w:rsidRPr="00A33930">
        <w:rPr>
          <w:rFonts w:eastAsia="Verdana" w:cs="Verdana"/>
          <w:iCs/>
          <w:szCs w:val="18"/>
          <w:lang w:val="nl-NL"/>
        </w:rPr>
        <w:t xml:space="preserve"> (</w:t>
      </w:r>
      <w:r w:rsidR="009710CE" w:rsidRPr="00A33930">
        <w:rPr>
          <w:rFonts w:eastAsia="Verdana" w:cs="Verdana"/>
          <w:i/>
          <w:szCs w:val="18"/>
          <w:lang w:val="nl-NL"/>
        </w:rPr>
        <w:t>supra</w:t>
      </w:r>
      <w:r w:rsidR="009710CE" w:rsidRPr="00A33930">
        <w:rPr>
          <w:rFonts w:eastAsia="Verdana" w:cs="Verdana"/>
          <w:iCs/>
          <w:szCs w:val="18"/>
          <w:lang w:val="nl-NL"/>
        </w:rPr>
        <w:t>, nr. 96)</w:t>
      </w:r>
      <w:r w:rsidR="006B5B1A" w:rsidRPr="00A33930">
        <w:rPr>
          <w:rFonts w:eastAsia="Verdana" w:cs="Verdana"/>
          <w:iCs/>
          <w:szCs w:val="18"/>
          <w:lang w:val="nl-NL"/>
        </w:rPr>
        <w:t>. Bovendien vormt dit een extra houvast voor het verantwoorden van de plichten van volwassenen</w:t>
      </w:r>
      <w:r w:rsidR="00F9577E" w:rsidRPr="00A33930">
        <w:rPr>
          <w:rFonts w:eastAsia="Verdana" w:cs="Verdana"/>
          <w:iCs/>
          <w:szCs w:val="18"/>
          <w:lang w:val="nl-NL"/>
        </w:rPr>
        <w:t xml:space="preserve"> (</w:t>
      </w:r>
      <w:r w:rsidR="00F9577E" w:rsidRPr="00A33930">
        <w:rPr>
          <w:rFonts w:eastAsia="Verdana" w:cs="Verdana"/>
          <w:i/>
          <w:szCs w:val="18"/>
          <w:lang w:val="nl-NL"/>
        </w:rPr>
        <w:t>supra</w:t>
      </w:r>
      <w:r w:rsidR="00F9577E" w:rsidRPr="00A33930">
        <w:rPr>
          <w:rFonts w:eastAsia="Verdana" w:cs="Verdana"/>
          <w:iCs/>
          <w:szCs w:val="18"/>
          <w:lang w:val="nl-NL"/>
        </w:rPr>
        <w:t>, nr. 98)</w:t>
      </w:r>
      <w:r w:rsidR="006B5B1A" w:rsidRPr="00A33930">
        <w:rPr>
          <w:rFonts w:eastAsia="Verdana" w:cs="Verdana"/>
          <w:iCs/>
          <w:szCs w:val="18"/>
          <w:lang w:val="nl-NL"/>
        </w:rPr>
        <w:t>.</w:t>
      </w:r>
      <w:r w:rsidR="00DA3AB7" w:rsidRPr="00A33930">
        <w:rPr>
          <w:rFonts w:eastAsia="Verdana" w:cs="Verdana"/>
          <w:iCs/>
          <w:szCs w:val="18"/>
          <w:lang w:val="nl-NL"/>
        </w:rPr>
        <w:t xml:space="preserve"> </w:t>
      </w:r>
      <w:r w:rsidR="00DA3AB7" w:rsidRPr="00A33930">
        <w:rPr>
          <w:rFonts w:eastAsia="Verdana" w:cs="Verdana"/>
          <w:szCs w:val="18"/>
          <w:lang w:val="nl-NL"/>
        </w:rPr>
        <w:t xml:space="preserve">Het recht van de ouders als functioneel recht </w:t>
      </w:r>
      <w:r w:rsidR="009710CE" w:rsidRPr="00A33930">
        <w:rPr>
          <w:rFonts w:eastAsia="Verdana" w:cs="Verdana"/>
          <w:szCs w:val="18"/>
          <w:lang w:val="nl-NL"/>
        </w:rPr>
        <w:t xml:space="preserve">en de wederkerigheid </w:t>
      </w:r>
      <w:r w:rsidR="00DA3AB7" w:rsidRPr="00A33930">
        <w:rPr>
          <w:rFonts w:eastAsia="Verdana" w:cs="Verdana"/>
          <w:szCs w:val="18"/>
          <w:lang w:val="nl-NL"/>
        </w:rPr>
        <w:t>wordt hierdoor benadrukt (</w:t>
      </w:r>
      <w:r w:rsidR="00DA3AB7" w:rsidRPr="00A33930">
        <w:rPr>
          <w:rFonts w:eastAsia="Verdana" w:cs="Verdana"/>
          <w:i/>
          <w:iCs/>
          <w:szCs w:val="18"/>
          <w:lang w:val="nl-NL"/>
        </w:rPr>
        <w:t>supra</w:t>
      </w:r>
      <w:r w:rsidR="00DA3AB7" w:rsidRPr="00A33930">
        <w:rPr>
          <w:rFonts w:eastAsia="Verdana" w:cs="Verdana"/>
          <w:szCs w:val="18"/>
          <w:lang w:val="nl-NL"/>
        </w:rPr>
        <w:t>, nr. 32</w:t>
      </w:r>
      <w:r w:rsidR="009710CE" w:rsidRPr="00A33930">
        <w:rPr>
          <w:rFonts w:eastAsia="Verdana" w:cs="Verdana"/>
          <w:szCs w:val="18"/>
          <w:lang w:val="nl-NL"/>
        </w:rPr>
        <w:t xml:space="preserve"> en nr. 97</w:t>
      </w:r>
      <w:r w:rsidR="00DA3AB7" w:rsidRPr="00A33930">
        <w:rPr>
          <w:rFonts w:eastAsia="Verdana" w:cs="Verdana"/>
          <w:szCs w:val="18"/>
          <w:lang w:val="nl-NL"/>
        </w:rPr>
        <w:t>).</w:t>
      </w:r>
      <w:r w:rsidR="006B5B1A" w:rsidRPr="00A33930">
        <w:rPr>
          <w:rFonts w:eastAsia="Verdana" w:cs="Verdana"/>
          <w:iCs/>
          <w:szCs w:val="18"/>
          <w:lang w:val="nl-NL"/>
        </w:rPr>
        <w:t xml:space="preserve"> Dit blijkt ook uit de analyse van het Nederlands en Duits recht (</w:t>
      </w:r>
      <w:r w:rsidR="006B5B1A" w:rsidRPr="00A33930">
        <w:rPr>
          <w:rFonts w:eastAsia="Verdana" w:cs="Verdana"/>
          <w:i/>
          <w:szCs w:val="18"/>
          <w:lang w:val="nl-NL"/>
        </w:rPr>
        <w:t>supra</w:t>
      </w:r>
      <w:r w:rsidR="006B5B1A" w:rsidRPr="00A33930">
        <w:rPr>
          <w:rFonts w:eastAsia="Verdana" w:cs="Verdana"/>
          <w:iCs/>
          <w:szCs w:val="18"/>
          <w:lang w:val="nl-NL"/>
        </w:rPr>
        <w:t xml:space="preserve">, nr. </w:t>
      </w:r>
      <w:r w:rsidR="000C7187" w:rsidRPr="00A33930">
        <w:rPr>
          <w:rFonts w:eastAsia="Verdana" w:cs="Verdana"/>
          <w:iCs/>
          <w:szCs w:val="18"/>
          <w:lang w:val="nl-NL"/>
        </w:rPr>
        <w:t>125 en nr. 137</w:t>
      </w:r>
      <w:r w:rsidR="006B5B1A" w:rsidRPr="00A33930">
        <w:rPr>
          <w:rFonts w:eastAsia="Verdana" w:cs="Verdana"/>
          <w:iCs/>
          <w:szCs w:val="18"/>
          <w:lang w:val="nl-NL"/>
        </w:rPr>
        <w:t xml:space="preserve">). Gedwongen omgang wordt zelden geacht </w:t>
      </w:r>
      <w:r w:rsidR="009710CE" w:rsidRPr="00A33930">
        <w:rPr>
          <w:rFonts w:eastAsia="Verdana" w:cs="Verdana"/>
          <w:iCs/>
          <w:szCs w:val="18"/>
          <w:lang w:val="nl-NL"/>
        </w:rPr>
        <w:t xml:space="preserve">in </w:t>
      </w:r>
      <w:r w:rsidR="006B5B1A" w:rsidRPr="00A33930">
        <w:rPr>
          <w:rFonts w:eastAsia="Verdana" w:cs="Verdana"/>
          <w:iCs/>
          <w:szCs w:val="18"/>
          <w:lang w:val="nl-NL"/>
        </w:rPr>
        <w:t xml:space="preserve">het belang van het kind te </w:t>
      </w:r>
      <w:r w:rsidR="009710CE" w:rsidRPr="00A33930">
        <w:rPr>
          <w:rFonts w:eastAsia="Verdana" w:cs="Verdana"/>
          <w:iCs/>
          <w:szCs w:val="18"/>
          <w:lang w:val="nl-NL"/>
        </w:rPr>
        <w:t>zijn</w:t>
      </w:r>
      <w:r w:rsidR="006B5B1A" w:rsidRPr="00A33930">
        <w:rPr>
          <w:rFonts w:eastAsia="Verdana" w:cs="Verdana"/>
          <w:iCs/>
          <w:szCs w:val="18"/>
          <w:lang w:val="nl-NL"/>
        </w:rPr>
        <w:t>, waardoor hier niet voor moet worden</w:t>
      </w:r>
      <w:r w:rsidR="006F5A3F" w:rsidRPr="00A33930">
        <w:rPr>
          <w:rFonts w:eastAsia="Verdana" w:cs="Verdana"/>
          <w:iCs/>
          <w:szCs w:val="18"/>
          <w:lang w:val="nl-NL"/>
        </w:rPr>
        <w:t xml:space="preserve"> gevreesd</w:t>
      </w:r>
      <w:r w:rsidR="006B5B1A" w:rsidRPr="00A33930">
        <w:rPr>
          <w:rFonts w:eastAsia="Verdana" w:cs="Verdana"/>
          <w:iCs/>
          <w:szCs w:val="18"/>
          <w:lang w:val="nl-NL"/>
        </w:rPr>
        <w:t xml:space="preserve">. </w:t>
      </w:r>
      <w:r w:rsidR="006F5A3F" w:rsidRPr="00A33930">
        <w:rPr>
          <w:rFonts w:eastAsia="Verdana" w:cs="Verdana"/>
          <w:iCs/>
          <w:szCs w:val="18"/>
          <w:lang w:val="nl-NL"/>
        </w:rPr>
        <w:t xml:space="preserve">Het belang van het kind blijft </w:t>
      </w:r>
      <w:r w:rsidR="00AC2AA9" w:rsidRPr="00A33930">
        <w:rPr>
          <w:rFonts w:eastAsia="Verdana" w:cs="Verdana"/>
          <w:iCs/>
          <w:szCs w:val="18"/>
          <w:lang w:val="nl-NL"/>
        </w:rPr>
        <w:t xml:space="preserve">uiteraard </w:t>
      </w:r>
      <w:r w:rsidR="006F5A3F" w:rsidRPr="00A33930">
        <w:rPr>
          <w:rFonts w:eastAsia="Verdana" w:cs="Verdana"/>
          <w:iCs/>
          <w:szCs w:val="18"/>
          <w:lang w:val="nl-NL"/>
        </w:rPr>
        <w:t>gelden als uiterste grens</w:t>
      </w:r>
      <w:r w:rsidR="00AC2AA9" w:rsidRPr="00A33930">
        <w:rPr>
          <w:rFonts w:eastAsia="Verdana" w:cs="Verdana"/>
          <w:iCs/>
          <w:szCs w:val="18"/>
          <w:lang w:val="nl-NL"/>
        </w:rPr>
        <w:t xml:space="preserve"> en belangrijke maatstaf</w:t>
      </w:r>
      <w:r w:rsidR="006F5A3F" w:rsidRPr="00A33930">
        <w:rPr>
          <w:rFonts w:eastAsia="Verdana" w:cs="Verdana"/>
          <w:iCs/>
          <w:szCs w:val="18"/>
          <w:lang w:val="nl-NL"/>
        </w:rPr>
        <w:t>.</w:t>
      </w:r>
    </w:p>
    <w:p w14:paraId="0C9C4447" w14:textId="77777777" w:rsidR="006B5B1A" w:rsidRPr="00A33930" w:rsidRDefault="006B5B1A" w:rsidP="006B5B1A">
      <w:pPr>
        <w:pStyle w:val="Lijstalinea"/>
        <w:spacing w:before="200" w:after="0"/>
        <w:ind w:left="0"/>
        <w:jc w:val="both"/>
        <w:rPr>
          <w:rFonts w:eastAsia="Verdana" w:cs="Verdana"/>
          <w:szCs w:val="18"/>
          <w:lang w:val="nl-NL"/>
        </w:rPr>
      </w:pPr>
    </w:p>
    <w:p w14:paraId="2C138700" w14:textId="61F1B5AE" w:rsidR="006B5B1A" w:rsidRPr="00A33930" w:rsidRDefault="00CE7E2E" w:rsidP="006B5B1A">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Het inschrijven</w:t>
      </w:r>
      <w:r w:rsidR="006F5A3F" w:rsidRPr="00A33930">
        <w:rPr>
          <w:rFonts w:eastAsia="Verdana" w:cs="Verdana"/>
          <w:szCs w:val="18"/>
          <w:lang w:val="nl-NL"/>
        </w:rPr>
        <w:t xml:space="preserve"> van een contactplicht</w:t>
      </w:r>
      <w:r w:rsidRPr="00A33930">
        <w:rPr>
          <w:rFonts w:eastAsia="Verdana" w:cs="Verdana"/>
          <w:szCs w:val="18"/>
          <w:lang w:val="nl-NL"/>
        </w:rPr>
        <w:t xml:space="preserve"> in het BW</w:t>
      </w:r>
      <w:r w:rsidR="006B5B1A" w:rsidRPr="00A33930">
        <w:rPr>
          <w:rFonts w:eastAsia="Verdana" w:cs="Verdana"/>
          <w:szCs w:val="18"/>
          <w:lang w:val="nl-NL"/>
        </w:rPr>
        <w:t xml:space="preserve"> </w:t>
      </w:r>
      <w:r w:rsidRPr="00A33930">
        <w:rPr>
          <w:rFonts w:eastAsia="Verdana" w:cs="Verdana"/>
          <w:szCs w:val="18"/>
          <w:lang w:val="nl-NL"/>
        </w:rPr>
        <w:t>mag echter</w:t>
      </w:r>
      <w:r w:rsidR="006B5B1A" w:rsidRPr="00A33930">
        <w:rPr>
          <w:rFonts w:eastAsia="Verdana" w:cs="Verdana"/>
          <w:szCs w:val="18"/>
          <w:lang w:val="nl-NL"/>
        </w:rPr>
        <w:t xml:space="preserve"> </w:t>
      </w:r>
      <w:r w:rsidR="006F5A3F" w:rsidRPr="00A33930">
        <w:rPr>
          <w:rFonts w:eastAsia="Verdana" w:cs="Verdana"/>
          <w:szCs w:val="18"/>
          <w:lang w:val="nl-NL"/>
        </w:rPr>
        <w:t>geen</w:t>
      </w:r>
      <w:r w:rsidR="006B5B1A" w:rsidRPr="00A33930">
        <w:rPr>
          <w:rFonts w:eastAsia="Verdana" w:cs="Verdana"/>
          <w:szCs w:val="18"/>
          <w:lang w:val="nl-NL"/>
        </w:rPr>
        <w:t xml:space="preserve"> alleenstaande maatregel</w:t>
      </w:r>
      <w:r w:rsidR="006F5A3F" w:rsidRPr="00A33930">
        <w:rPr>
          <w:rFonts w:eastAsia="Verdana" w:cs="Verdana"/>
          <w:szCs w:val="18"/>
          <w:lang w:val="nl-NL"/>
        </w:rPr>
        <w:t xml:space="preserve"> vormen</w:t>
      </w:r>
      <w:r w:rsidR="006B5B1A" w:rsidRPr="00A33930">
        <w:rPr>
          <w:rFonts w:eastAsia="Verdana" w:cs="Verdana"/>
          <w:szCs w:val="18"/>
          <w:lang w:val="nl-NL"/>
        </w:rPr>
        <w:t xml:space="preserve">. </w:t>
      </w:r>
      <w:r w:rsidR="006F5A3F" w:rsidRPr="00A33930">
        <w:rPr>
          <w:rFonts w:eastAsia="Verdana" w:cs="Verdana"/>
          <w:szCs w:val="18"/>
          <w:lang w:val="nl-NL"/>
        </w:rPr>
        <w:t>Mijns inziens moeten de</w:t>
      </w:r>
      <w:r w:rsidR="006B5B1A" w:rsidRPr="00A33930">
        <w:rPr>
          <w:rFonts w:eastAsia="Verdana" w:cs="Verdana"/>
          <w:szCs w:val="18"/>
          <w:lang w:val="nl-NL"/>
        </w:rPr>
        <w:t xml:space="preserve"> andere aanbevelingen </w:t>
      </w:r>
      <w:r w:rsidR="006F5A3F" w:rsidRPr="00A33930">
        <w:rPr>
          <w:rFonts w:eastAsia="Verdana" w:cs="Verdana"/>
          <w:szCs w:val="18"/>
          <w:lang w:val="nl-NL"/>
        </w:rPr>
        <w:t>hierbij</w:t>
      </w:r>
      <w:r w:rsidR="006B5B1A" w:rsidRPr="00A33930">
        <w:rPr>
          <w:rFonts w:eastAsia="Verdana" w:cs="Verdana"/>
          <w:szCs w:val="18"/>
          <w:lang w:val="nl-NL"/>
        </w:rPr>
        <w:t xml:space="preserve"> </w:t>
      </w:r>
      <w:r w:rsidR="006F5A3F" w:rsidRPr="00A33930">
        <w:rPr>
          <w:rFonts w:eastAsia="Verdana" w:cs="Verdana"/>
          <w:szCs w:val="18"/>
          <w:lang w:val="nl-NL"/>
        </w:rPr>
        <w:t>ook in overweging worden</w:t>
      </w:r>
      <w:r w:rsidR="00A03A25" w:rsidRPr="00A33930">
        <w:rPr>
          <w:rFonts w:eastAsia="Verdana" w:cs="Verdana"/>
          <w:szCs w:val="18"/>
          <w:lang w:val="nl-NL"/>
        </w:rPr>
        <w:t xml:space="preserve"> genomen</w:t>
      </w:r>
      <w:r w:rsidR="006B5B1A" w:rsidRPr="00A33930">
        <w:rPr>
          <w:rFonts w:eastAsia="Verdana" w:cs="Verdana"/>
          <w:szCs w:val="18"/>
          <w:lang w:val="nl-NL"/>
        </w:rPr>
        <w:t>.</w:t>
      </w:r>
      <w:r w:rsidR="006B5B1A" w:rsidRPr="00A33930">
        <w:rPr>
          <w:rFonts w:eastAsia="Verdana" w:cs="Verdana"/>
          <w:iCs/>
          <w:szCs w:val="18"/>
          <w:lang w:val="nl-NL"/>
        </w:rPr>
        <w:t xml:space="preserve"> </w:t>
      </w:r>
      <w:r w:rsidR="00E61ED6" w:rsidRPr="00A33930">
        <w:rPr>
          <w:rFonts w:eastAsia="Verdana" w:cs="Verdana"/>
          <w:iCs/>
          <w:szCs w:val="18"/>
          <w:lang w:val="nl-NL"/>
        </w:rPr>
        <w:t>Een omgangs</w:t>
      </w:r>
      <w:r w:rsidR="00E61ED6" w:rsidRPr="00A33930">
        <w:rPr>
          <w:rFonts w:eastAsia="Verdana" w:cs="Verdana"/>
          <w:i/>
          <w:szCs w:val="18"/>
          <w:lang w:val="nl-NL"/>
        </w:rPr>
        <w:t>recht</w:t>
      </w:r>
      <w:r w:rsidR="00E61ED6" w:rsidRPr="00A33930">
        <w:rPr>
          <w:rFonts w:eastAsia="Verdana" w:cs="Verdana"/>
          <w:iCs/>
          <w:szCs w:val="18"/>
          <w:lang w:val="nl-NL"/>
        </w:rPr>
        <w:t xml:space="preserve"> van het kind, dat eigenlijk een omgangs</w:t>
      </w:r>
      <w:r w:rsidR="00E61ED6" w:rsidRPr="00A33930">
        <w:rPr>
          <w:rFonts w:eastAsia="Verdana" w:cs="Verdana"/>
          <w:i/>
          <w:szCs w:val="18"/>
          <w:lang w:val="nl-NL"/>
        </w:rPr>
        <w:t>plicht</w:t>
      </w:r>
      <w:r w:rsidR="00E61ED6" w:rsidRPr="00A33930">
        <w:rPr>
          <w:rFonts w:eastAsia="Verdana" w:cs="Verdana"/>
          <w:iCs/>
          <w:szCs w:val="18"/>
          <w:lang w:val="nl-NL"/>
        </w:rPr>
        <w:t xml:space="preserve"> impliceert voor de volwassenen</w:t>
      </w:r>
      <w:r w:rsidR="006F5A3F" w:rsidRPr="00A33930">
        <w:rPr>
          <w:rFonts w:eastAsia="Verdana" w:cs="Verdana"/>
          <w:iCs/>
          <w:szCs w:val="18"/>
          <w:lang w:val="nl-NL"/>
        </w:rPr>
        <w:t>,</w:t>
      </w:r>
      <w:r w:rsidR="00E61ED6" w:rsidRPr="00A33930">
        <w:rPr>
          <w:rFonts w:eastAsia="Verdana" w:cs="Verdana"/>
          <w:iCs/>
          <w:szCs w:val="18"/>
          <w:lang w:val="nl-NL"/>
        </w:rPr>
        <w:t xml:space="preserve"> wordt door de huidige wetgeving hoe dan ook schaakmat gezet.</w:t>
      </w:r>
      <w:r w:rsidR="00E61ED6" w:rsidRPr="00A33930">
        <w:rPr>
          <w:rFonts w:eastAsia="Verdana" w:cs="Verdana"/>
          <w:szCs w:val="18"/>
          <w:lang w:val="nl-NL"/>
        </w:rPr>
        <w:t xml:space="preserve"> </w:t>
      </w:r>
      <w:r w:rsidR="006B5B1A" w:rsidRPr="00A33930">
        <w:rPr>
          <w:rFonts w:eastAsia="Verdana" w:cs="Verdana"/>
          <w:szCs w:val="18"/>
          <w:lang w:val="nl-NL"/>
        </w:rPr>
        <w:t>Ondanks het bestaan van een contact</w:t>
      </w:r>
      <w:r w:rsidR="006B5B1A" w:rsidRPr="00A33930">
        <w:rPr>
          <w:rFonts w:eastAsia="Verdana" w:cs="Verdana"/>
          <w:i/>
          <w:iCs/>
          <w:szCs w:val="18"/>
          <w:lang w:val="nl-NL"/>
        </w:rPr>
        <w:t>plicht</w:t>
      </w:r>
      <w:r w:rsidR="006B5B1A" w:rsidRPr="00A33930">
        <w:rPr>
          <w:rFonts w:eastAsia="Verdana" w:cs="Verdana"/>
          <w:szCs w:val="18"/>
          <w:lang w:val="nl-NL"/>
        </w:rPr>
        <w:t xml:space="preserve"> in Nederland en Duitsland, ligt ook daar de </w:t>
      </w:r>
      <w:r w:rsidRPr="00A33930">
        <w:rPr>
          <w:rFonts w:eastAsia="Verdana" w:cs="Verdana"/>
          <w:szCs w:val="18"/>
          <w:lang w:val="nl-NL"/>
        </w:rPr>
        <w:t>eigenlijke uitoefening in de praktijk nog</w:t>
      </w:r>
      <w:r w:rsidR="006B5B1A" w:rsidRPr="00A33930">
        <w:rPr>
          <w:rFonts w:eastAsia="Verdana" w:cs="Verdana"/>
          <w:szCs w:val="18"/>
          <w:lang w:val="nl-NL"/>
        </w:rPr>
        <w:t xml:space="preserve"> bij volwassenen</w:t>
      </w:r>
      <w:r w:rsidR="00A03A25" w:rsidRPr="00A33930">
        <w:rPr>
          <w:rFonts w:eastAsia="Verdana" w:cs="Verdana"/>
          <w:szCs w:val="18"/>
          <w:lang w:val="nl-NL"/>
        </w:rPr>
        <w:t xml:space="preserve"> (</w:t>
      </w:r>
      <w:r w:rsidR="00A03A25" w:rsidRPr="00A33930">
        <w:rPr>
          <w:rFonts w:eastAsia="Verdana" w:cs="Verdana"/>
          <w:i/>
          <w:iCs/>
          <w:szCs w:val="18"/>
          <w:lang w:val="nl-NL"/>
        </w:rPr>
        <w:t>supra</w:t>
      </w:r>
      <w:r w:rsidR="00A03A25" w:rsidRPr="00A33930">
        <w:rPr>
          <w:rFonts w:eastAsia="Verdana" w:cs="Verdana"/>
          <w:szCs w:val="18"/>
          <w:lang w:val="nl-NL"/>
        </w:rPr>
        <w:t xml:space="preserve">, nr. 130 en </w:t>
      </w:r>
      <w:r w:rsidR="00A26422" w:rsidRPr="00A33930">
        <w:rPr>
          <w:rFonts w:eastAsia="Verdana" w:cs="Verdana"/>
          <w:szCs w:val="18"/>
          <w:lang w:val="nl-NL"/>
        </w:rPr>
        <w:t xml:space="preserve">nrs. </w:t>
      </w:r>
      <w:r w:rsidR="00A03A25" w:rsidRPr="00A33930">
        <w:rPr>
          <w:rFonts w:eastAsia="Verdana" w:cs="Verdana"/>
          <w:szCs w:val="18"/>
          <w:lang w:val="nl-NL"/>
        </w:rPr>
        <w:t>141-142)</w:t>
      </w:r>
      <w:r w:rsidR="006B5B1A" w:rsidRPr="00A33930">
        <w:rPr>
          <w:rFonts w:eastAsia="Verdana" w:cs="Verdana"/>
          <w:szCs w:val="18"/>
          <w:lang w:val="nl-NL"/>
        </w:rPr>
        <w:t xml:space="preserve">. De vraag kan </w:t>
      </w:r>
      <w:r w:rsidR="00AC2AA9" w:rsidRPr="00A33930">
        <w:rPr>
          <w:rFonts w:eastAsia="Verdana" w:cs="Verdana"/>
          <w:szCs w:val="18"/>
          <w:lang w:val="nl-NL"/>
        </w:rPr>
        <w:t xml:space="preserve">vervolgens </w:t>
      </w:r>
      <w:r w:rsidR="006B5B1A" w:rsidRPr="00A33930">
        <w:rPr>
          <w:rFonts w:eastAsia="Verdana" w:cs="Verdana"/>
          <w:szCs w:val="18"/>
          <w:lang w:val="nl-NL"/>
        </w:rPr>
        <w:t>worden gesteld naar de effectiviteit van dergelijke maatregelen.</w:t>
      </w:r>
      <w:r w:rsidR="00AC2AA9" w:rsidRPr="00A33930">
        <w:rPr>
          <w:rFonts w:eastAsia="Verdana" w:cs="Verdana"/>
          <w:szCs w:val="18"/>
          <w:lang w:val="nl-NL"/>
        </w:rPr>
        <w:t xml:space="preserve"> Momenteel zijn</w:t>
      </w:r>
      <w:r w:rsidR="006B5B1A" w:rsidRPr="00A33930">
        <w:rPr>
          <w:rFonts w:eastAsia="Verdana" w:cs="Verdana"/>
          <w:szCs w:val="18"/>
          <w:lang w:val="nl-NL"/>
        </w:rPr>
        <w:t xml:space="preserve"> </w:t>
      </w:r>
      <w:r w:rsidR="00AC2AA9" w:rsidRPr="00A33930">
        <w:rPr>
          <w:rFonts w:eastAsia="Verdana" w:cs="Verdana"/>
          <w:szCs w:val="18"/>
          <w:lang w:val="nl-NL"/>
        </w:rPr>
        <w:t>d</w:t>
      </w:r>
      <w:r w:rsidR="006B5B1A" w:rsidRPr="00A33930">
        <w:rPr>
          <w:rFonts w:eastAsia="Verdana" w:cs="Verdana"/>
          <w:szCs w:val="18"/>
          <w:lang w:val="nl-NL"/>
        </w:rPr>
        <w:t xml:space="preserve">e gevolgen van </w:t>
      </w:r>
      <w:r w:rsidR="009445DA" w:rsidRPr="00A33930">
        <w:rPr>
          <w:rFonts w:eastAsia="Verdana" w:cs="Verdana"/>
          <w:szCs w:val="18"/>
          <w:lang w:val="nl-NL"/>
        </w:rPr>
        <w:t xml:space="preserve">een inschrijving van </w:t>
      </w:r>
      <w:r w:rsidR="006B5B1A" w:rsidRPr="00A33930">
        <w:rPr>
          <w:rFonts w:eastAsia="Verdana" w:cs="Verdana"/>
          <w:szCs w:val="18"/>
          <w:lang w:val="nl-NL"/>
        </w:rPr>
        <w:t>dergelijke</w:t>
      </w:r>
      <w:r w:rsidR="00AC2AA9" w:rsidRPr="00A33930">
        <w:rPr>
          <w:rFonts w:eastAsia="Verdana" w:cs="Verdana"/>
          <w:szCs w:val="18"/>
          <w:lang w:val="nl-NL"/>
        </w:rPr>
        <w:t xml:space="preserve"> </w:t>
      </w:r>
      <w:r w:rsidR="006B5B1A" w:rsidRPr="00A33930">
        <w:rPr>
          <w:rFonts w:eastAsia="Verdana" w:cs="Verdana"/>
          <w:szCs w:val="18"/>
          <w:lang w:val="nl-NL"/>
        </w:rPr>
        <w:t>contact</w:t>
      </w:r>
      <w:r w:rsidR="006B5B1A" w:rsidRPr="00A33930">
        <w:rPr>
          <w:rFonts w:eastAsia="Verdana" w:cs="Verdana"/>
          <w:i/>
          <w:iCs/>
          <w:szCs w:val="18"/>
          <w:lang w:val="nl-NL"/>
        </w:rPr>
        <w:t>plicht</w:t>
      </w:r>
      <w:r w:rsidR="00C830A2">
        <w:rPr>
          <w:rFonts w:eastAsia="Verdana" w:cs="Verdana"/>
          <w:i/>
          <w:iCs/>
          <w:szCs w:val="18"/>
          <w:lang w:val="nl-NL"/>
        </w:rPr>
        <w:t xml:space="preserve"> </w:t>
      </w:r>
      <w:r w:rsidR="00C830A2">
        <w:rPr>
          <w:rFonts w:eastAsia="Verdana" w:cs="Verdana"/>
          <w:szCs w:val="18"/>
          <w:lang w:val="nl-NL"/>
        </w:rPr>
        <w:t>nog</w:t>
      </w:r>
      <w:r w:rsidR="006B5B1A" w:rsidRPr="00A33930">
        <w:rPr>
          <w:rFonts w:eastAsia="Verdana" w:cs="Verdana"/>
          <w:szCs w:val="18"/>
          <w:lang w:val="nl-NL"/>
        </w:rPr>
        <w:t xml:space="preserve"> te onduidelijk</w:t>
      </w:r>
      <w:r w:rsidR="009445DA" w:rsidRPr="00A33930">
        <w:rPr>
          <w:rFonts w:eastAsia="Verdana" w:cs="Verdana"/>
          <w:szCs w:val="18"/>
          <w:lang w:val="nl-NL"/>
        </w:rPr>
        <w:t xml:space="preserve"> waardoor verder onderzoek </w:t>
      </w:r>
      <w:r w:rsidR="00C830A2">
        <w:rPr>
          <w:rFonts w:eastAsia="Verdana" w:cs="Verdana"/>
          <w:szCs w:val="18"/>
          <w:lang w:val="nl-NL"/>
        </w:rPr>
        <w:t>wenselijk</w:t>
      </w:r>
      <w:r w:rsidR="009445DA" w:rsidRPr="00A33930">
        <w:rPr>
          <w:rFonts w:eastAsia="Verdana" w:cs="Verdana"/>
          <w:szCs w:val="18"/>
          <w:lang w:val="nl-NL"/>
        </w:rPr>
        <w:t xml:space="preserve"> </w:t>
      </w:r>
      <w:r w:rsidR="00C830A2">
        <w:rPr>
          <w:rFonts w:eastAsia="Verdana" w:cs="Verdana"/>
          <w:szCs w:val="18"/>
          <w:lang w:val="nl-NL"/>
        </w:rPr>
        <w:t>is</w:t>
      </w:r>
      <w:r w:rsidR="00AC2AA9" w:rsidRPr="00A33930">
        <w:rPr>
          <w:rFonts w:eastAsia="Verdana" w:cs="Verdana"/>
          <w:szCs w:val="18"/>
          <w:lang w:val="nl-NL"/>
        </w:rPr>
        <w:t>.</w:t>
      </w:r>
    </w:p>
    <w:p w14:paraId="71294227" w14:textId="63C5577B" w:rsidR="008E162C" w:rsidRPr="00A33930" w:rsidRDefault="00857C8A" w:rsidP="00857C8A">
      <w:pPr>
        <w:pStyle w:val="Kop4"/>
        <w:spacing w:before="240"/>
        <w:rPr>
          <w:rFonts w:ascii="Verdana" w:hAnsi="Verdana"/>
          <w:color w:val="auto"/>
          <w:lang w:val="nl-NL"/>
        </w:rPr>
      </w:pPr>
      <w:r w:rsidRPr="00A33930">
        <w:rPr>
          <w:rFonts w:ascii="Verdana" w:hAnsi="Verdana"/>
          <w:color w:val="auto"/>
          <w:lang w:val="nl-NL"/>
        </w:rPr>
        <w:t>§6.</w:t>
      </w:r>
      <w:r w:rsidRPr="00A33930">
        <w:rPr>
          <w:rFonts w:ascii="Verdana" w:hAnsi="Verdana"/>
          <w:color w:val="auto"/>
          <w:lang w:val="nl-NL"/>
        </w:rPr>
        <w:tab/>
        <w:t xml:space="preserve">Ontwerpen van begeleidende maatregelen </w:t>
      </w:r>
      <w:r w:rsidR="006B5B1A" w:rsidRPr="00A33930">
        <w:rPr>
          <w:rFonts w:ascii="Verdana" w:hAnsi="Verdana"/>
          <w:color w:val="auto"/>
          <w:lang w:val="nl-NL"/>
        </w:rPr>
        <w:t>voor</w:t>
      </w:r>
      <w:r w:rsidRPr="00A33930">
        <w:rPr>
          <w:rFonts w:ascii="Verdana" w:hAnsi="Verdana"/>
          <w:color w:val="auto"/>
          <w:lang w:val="nl-NL"/>
        </w:rPr>
        <w:t xml:space="preserve"> contactregelingen</w:t>
      </w:r>
    </w:p>
    <w:p w14:paraId="71CF5F84" w14:textId="519D20FD" w:rsidR="00FD6AC9" w:rsidRPr="00A33930" w:rsidRDefault="00766E5C" w:rsidP="00FD6AC9">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Verder</w:t>
      </w:r>
      <w:r w:rsidR="00E61ED6" w:rsidRPr="00A33930">
        <w:rPr>
          <w:rFonts w:eastAsia="Verdana" w:cs="Verdana"/>
          <w:szCs w:val="18"/>
          <w:lang w:val="nl-NL"/>
        </w:rPr>
        <w:t xml:space="preserve"> lijkt het noodzakelijk dat de Belgische wetgever aandacht besteed aan het ontwerpen van begeleidende maatregelen.</w:t>
      </w:r>
      <w:r w:rsidR="00FD6AC9" w:rsidRPr="00A33930">
        <w:rPr>
          <w:rFonts w:eastAsia="Verdana" w:cs="Verdana"/>
          <w:szCs w:val="18"/>
          <w:lang w:val="nl-NL"/>
        </w:rPr>
        <w:t xml:space="preserve"> Dit kan gaan van het voorzien in een trapsgewijze toekenning van een eigen recht op persoonlijk contact</w:t>
      </w:r>
      <w:r w:rsidR="00FD6AC9" w:rsidRPr="00A33930">
        <w:rPr>
          <w:rStyle w:val="Voetnootmarkering"/>
          <w:rFonts w:eastAsia="Verdana" w:cs="Verdana"/>
          <w:szCs w:val="18"/>
          <w:lang w:val="nl-NL"/>
        </w:rPr>
        <w:footnoteReference w:id="561"/>
      </w:r>
      <w:r w:rsidR="00FD6AC9" w:rsidRPr="00A33930">
        <w:rPr>
          <w:rFonts w:eastAsia="Verdana" w:cs="Verdana"/>
          <w:szCs w:val="18"/>
          <w:lang w:val="nl-NL"/>
        </w:rPr>
        <w:t xml:space="preserve"> tot het kind de mogelijkheid geven zelf een bemiddelaar of voogd ad hoc aan te stellen. </w:t>
      </w:r>
      <w:r w:rsidR="00D31C72" w:rsidRPr="00A33930">
        <w:rPr>
          <w:rFonts w:eastAsia="Verdana" w:cs="Verdana"/>
          <w:szCs w:val="18"/>
          <w:lang w:val="nl-NL"/>
        </w:rPr>
        <w:t>Het ontwikkelen van objectieve criteria ter beoordeling van het belang van het kind, naar Nederlands voorbeeld, lijkt m</w:t>
      </w:r>
      <w:r w:rsidR="0050644D" w:rsidRPr="00A33930">
        <w:rPr>
          <w:rFonts w:eastAsia="Verdana" w:cs="Verdana"/>
          <w:szCs w:val="18"/>
          <w:lang w:val="nl-NL"/>
        </w:rPr>
        <w:t>ijns inziens</w:t>
      </w:r>
      <w:r w:rsidR="00D31C72" w:rsidRPr="00A33930">
        <w:rPr>
          <w:rFonts w:eastAsia="Verdana" w:cs="Verdana"/>
          <w:szCs w:val="18"/>
          <w:lang w:val="nl-NL"/>
        </w:rPr>
        <w:t xml:space="preserve"> ook een positieve bijdrage voor het </w:t>
      </w:r>
      <w:r w:rsidR="000C7187" w:rsidRPr="00A33930">
        <w:rPr>
          <w:rFonts w:eastAsia="Verdana" w:cs="Verdana"/>
          <w:szCs w:val="18"/>
          <w:lang w:val="nl-NL"/>
        </w:rPr>
        <w:t>volledig</w:t>
      </w:r>
      <w:r w:rsidR="00D31C72" w:rsidRPr="00A33930">
        <w:rPr>
          <w:rFonts w:eastAsia="Verdana" w:cs="Verdana"/>
          <w:szCs w:val="18"/>
          <w:lang w:val="nl-NL"/>
        </w:rPr>
        <w:t xml:space="preserve"> </w:t>
      </w:r>
      <w:r w:rsidR="000C7187" w:rsidRPr="00A33930">
        <w:rPr>
          <w:rFonts w:eastAsia="Verdana" w:cs="Verdana"/>
          <w:szCs w:val="18"/>
          <w:lang w:val="nl-NL"/>
        </w:rPr>
        <w:t>burgerlijk recht</w:t>
      </w:r>
      <w:r w:rsidR="00D31C72" w:rsidRPr="00A33930">
        <w:rPr>
          <w:rFonts w:eastAsia="Verdana" w:cs="Verdana"/>
          <w:szCs w:val="18"/>
          <w:lang w:val="nl-NL"/>
        </w:rPr>
        <w:t xml:space="preserve"> (</w:t>
      </w:r>
      <w:r w:rsidR="00D31C72" w:rsidRPr="00A33930">
        <w:rPr>
          <w:rFonts w:eastAsia="Verdana" w:cs="Verdana"/>
          <w:i/>
          <w:iCs/>
          <w:szCs w:val="18"/>
          <w:lang w:val="nl-NL"/>
        </w:rPr>
        <w:t>supra</w:t>
      </w:r>
      <w:r w:rsidR="00D31C72" w:rsidRPr="00A33930">
        <w:rPr>
          <w:rFonts w:eastAsia="Verdana" w:cs="Verdana"/>
          <w:szCs w:val="18"/>
          <w:lang w:val="nl-NL"/>
        </w:rPr>
        <w:t xml:space="preserve">, nr. </w:t>
      </w:r>
      <w:r w:rsidR="000C7187" w:rsidRPr="00A33930">
        <w:rPr>
          <w:rFonts w:eastAsia="Verdana" w:cs="Verdana"/>
          <w:szCs w:val="18"/>
          <w:lang w:val="nl-NL"/>
        </w:rPr>
        <w:t>126</w:t>
      </w:r>
      <w:r w:rsidR="00D31C72" w:rsidRPr="00A33930">
        <w:rPr>
          <w:rFonts w:eastAsia="Verdana" w:cs="Verdana"/>
          <w:szCs w:val="18"/>
          <w:lang w:val="nl-NL"/>
        </w:rPr>
        <w:t>).</w:t>
      </w:r>
    </w:p>
    <w:p w14:paraId="288C1BB2" w14:textId="77777777" w:rsidR="00FD6AC9" w:rsidRPr="00A33930" w:rsidRDefault="00FD6AC9" w:rsidP="00FD6AC9">
      <w:pPr>
        <w:pStyle w:val="Lijstalinea"/>
        <w:spacing w:before="200" w:after="0"/>
        <w:ind w:left="0"/>
        <w:jc w:val="both"/>
        <w:rPr>
          <w:rFonts w:eastAsia="Verdana" w:cs="Verdana"/>
          <w:szCs w:val="18"/>
          <w:lang w:val="nl-NL"/>
        </w:rPr>
      </w:pPr>
    </w:p>
    <w:p w14:paraId="7DDE95CC" w14:textId="49191568" w:rsidR="00FD6AC9" w:rsidRPr="00A33930" w:rsidRDefault="00FD6AC9" w:rsidP="00FD6AC9">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Het kind heeft nood aan een steunfiguur, waardoor m</w:t>
      </w:r>
      <w:r w:rsidR="0050644D" w:rsidRPr="00A33930">
        <w:rPr>
          <w:rFonts w:eastAsia="Verdana" w:cs="Verdana"/>
          <w:szCs w:val="18"/>
          <w:lang w:val="nl-NL"/>
        </w:rPr>
        <w:t>ijns inziens</w:t>
      </w:r>
      <w:r w:rsidRPr="00A33930">
        <w:rPr>
          <w:rFonts w:eastAsia="Verdana" w:cs="Verdana"/>
          <w:szCs w:val="18"/>
          <w:lang w:val="nl-NL"/>
        </w:rPr>
        <w:t xml:space="preserve"> moet worden voorzien in</w:t>
      </w:r>
      <w:r w:rsidR="003B55AA" w:rsidRPr="00A33930">
        <w:rPr>
          <w:rFonts w:eastAsia="Verdana" w:cs="Verdana"/>
          <w:szCs w:val="18"/>
          <w:lang w:val="nl-NL"/>
        </w:rPr>
        <w:t xml:space="preserve"> de mogelijkheid tot aanstelling van</w:t>
      </w:r>
      <w:r w:rsidRPr="00A33930">
        <w:rPr>
          <w:rFonts w:eastAsia="Verdana" w:cs="Verdana"/>
          <w:szCs w:val="18"/>
          <w:lang w:val="nl-NL"/>
        </w:rPr>
        <w:t xml:space="preserve"> een voogd ad hoc </w:t>
      </w:r>
      <w:r w:rsidR="003B55AA" w:rsidRPr="00A33930">
        <w:rPr>
          <w:rFonts w:eastAsia="Verdana" w:cs="Verdana"/>
          <w:szCs w:val="18"/>
          <w:lang w:val="nl-NL"/>
        </w:rPr>
        <w:t>in</w:t>
      </w:r>
      <w:r w:rsidRPr="00A33930">
        <w:rPr>
          <w:rFonts w:eastAsia="Verdana" w:cs="Verdana"/>
          <w:szCs w:val="18"/>
          <w:lang w:val="nl-NL"/>
        </w:rPr>
        <w:t xml:space="preserve"> contactregelingen. Er wordt door sommige rechtspraak reeds aanvaard dat minderjarigen kunnen optreden, maar telkens met bijstand van een jeugdadvocaat of </w:t>
      </w:r>
      <w:r w:rsidR="003B55AA" w:rsidRPr="00A33930">
        <w:rPr>
          <w:rFonts w:eastAsia="Verdana" w:cs="Verdana"/>
          <w:szCs w:val="18"/>
          <w:lang w:val="nl-NL"/>
        </w:rPr>
        <w:t>middels</w:t>
      </w:r>
      <w:r w:rsidRPr="00A33930">
        <w:rPr>
          <w:rFonts w:eastAsia="Verdana" w:cs="Verdana"/>
          <w:szCs w:val="18"/>
          <w:lang w:val="nl-NL"/>
        </w:rPr>
        <w:t xml:space="preserve"> vertegenwoordiging (</w:t>
      </w:r>
      <w:r w:rsidRPr="00A33930">
        <w:rPr>
          <w:rFonts w:eastAsia="Verdana" w:cs="Verdana"/>
          <w:i/>
          <w:iCs/>
          <w:szCs w:val="18"/>
          <w:lang w:val="nl-NL"/>
        </w:rPr>
        <w:t>supra</w:t>
      </w:r>
      <w:r w:rsidRPr="00A33930">
        <w:rPr>
          <w:rFonts w:eastAsia="Verdana" w:cs="Verdana"/>
          <w:szCs w:val="18"/>
          <w:lang w:val="nl-NL"/>
        </w:rPr>
        <w:t xml:space="preserve">, nr. </w:t>
      </w:r>
      <w:r w:rsidR="000C7187" w:rsidRPr="00A33930">
        <w:rPr>
          <w:rFonts w:eastAsia="Verdana" w:cs="Verdana"/>
          <w:szCs w:val="18"/>
          <w:lang w:val="nl-NL"/>
        </w:rPr>
        <w:t>100</w:t>
      </w:r>
      <w:r w:rsidRPr="00A33930">
        <w:rPr>
          <w:rFonts w:eastAsia="Verdana" w:cs="Verdana"/>
          <w:szCs w:val="18"/>
          <w:lang w:val="nl-NL"/>
        </w:rPr>
        <w:t xml:space="preserve">). Momenteel wordt de jeugdadvocaat enkel gebruikt in het jeugdrecht, maar deze figuur </w:t>
      </w:r>
      <w:r w:rsidR="0050644D" w:rsidRPr="00A33930">
        <w:rPr>
          <w:rFonts w:eastAsia="Verdana" w:cs="Verdana"/>
          <w:szCs w:val="18"/>
          <w:lang w:val="nl-NL"/>
        </w:rPr>
        <w:t>vormt wellicht ook</w:t>
      </w:r>
      <w:r w:rsidRPr="00A33930">
        <w:rPr>
          <w:rFonts w:eastAsia="Verdana" w:cs="Verdana"/>
          <w:szCs w:val="18"/>
          <w:lang w:val="nl-NL"/>
        </w:rPr>
        <w:t xml:space="preserve"> een goede aanvulling voor het </w:t>
      </w:r>
      <w:r w:rsidRPr="00A33930">
        <w:rPr>
          <w:rFonts w:eastAsia="Verdana" w:cs="Verdana"/>
          <w:szCs w:val="18"/>
          <w:lang w:val="nl-NL"/>
        </w:rPr>
        <w:lastRenderedPageBreak/>
        <w:t>personen- en familierecht. Op die manier heeft het kind het gevoel dat er</w:t>
      </w:r>
      <w:r w:rsidR="006F5A3F" w:rsidRPr="00A33930">
        <w:rPr>
          <w:rFonts w:eastAsia="Verdana" w:cs="Verdana"/>
          <w:szCs w:val="18"/>
          <w:lang w:val="nl-NL"/>
        </w:rPr>
        <w:t xml:space="preserve"> altijd</w:t>
      </w:r>
      <w:r w:rsidRPr="00A33930">
        <w:rPr>
          <w:rFonts w:eastAsia="Verdana" w:cs="Verdana"/>
          <w:szCs w:val="18"/>
          <w:lang w:val="nl-NL"/>
        </w:rPr>
        <w:t xml:space="preserve"> iemand </w:t>
      </w:r>
      <w:r w:rsidR="006F5A3F" w:rsidRPr="00A33930">
        <w:rPr>
          <w:rFonts w:eastAsia="Verdana" w:cs="Verdana"/>
          <w:szCs w:val="18"/>
          <w:lang w:val="nl-NL"/>
        </w:rPr>
        <w:t xml:space="preserve">is die </w:t>
      </w:r>
      <w:r w:rsidRPr="00A33930">
        <w:rPr>
          <w:rFonts w:eastAsia="Verdana" w:cs="Verdana"/>
          <w:szCs w:val="18"/>
          <w:lang w:val="nl-NL"/>
        </w:rPr>
        <w:t>100% achter zijn belangen staat</w:t>
      </w:r>
      <w:r w:rsidR="00F83A3E" w:rsidRPr="00A33930">
        <w:rPr>
          <w:rFonts w:eastAsia="Verdana" w:cs="Verdana"/>
          <w:szCs w:val="18"/>
          <w:lang w:val="nl-NL"/>
        </w:rPr>
        <w:t xml:space="preserve"> en waar hij op kan bouwen.</w:t>
      </w:r>
    </w:p>
    <w:p w14:paraId="725BE5C2" w14:textId="77777777" w:rsidR="00FD6AC9" w:rsidRPr="00A33930" w:rsidRDefault="00FD6AC9" w:rsidP="00FD6AC9">
      <w:pPr>
        <w:pStyle w:val="Lijstalinea"/>
        <w:rPr>
          <w:rFonts w:eastAsia="Verdana" w:cs="Verdana"/>
          <w:szCs w:val="18"/>
          <w:lang w:val="nl-NL"/>
        </w:rPr>
      </w:pPr>
    </w:p>
    <w:p w14:paraId="02748FC6" w14:textId="36A2C1D4" w:rsidR="00857C8A" w:rsidRPr="00A33930" w:rsidRDefault="00FD6AC9" w:rsidP="00857C8A">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Het inschrijven van een gelijkaardige figuur zoals de Duitse “Umgangspfleger” of de Nederlandse “omgangscurator” lijkt m</w:t>
      </w:r>
      <w:r w:rsidR="002D0DF6" w:rsidRPr="00A33930">
        <w:rPr>
          <w:rFonts w:eastAsia="Verdana" w:cs="Verdana"/>
          <w:szCs w:val="18"/>
          <w:lang w:val="nl-NL"/>
        </w:rPr>
        <w:t>ijns inziens</w:t>
      </w:r>
      <w:r w:rsidRPr="00A33930">
        <w:rPr>
          <w:rFonts w:eastAsia="Verdana" w:cs="Verdana"/>
          <w:szCs w:val="18"/>
          <w:lang w:val="nl-NL"/>
        </w:rPr>
        <w:t xml:space="preserve"> momenteel niet noodzakelijk. </w:t>
      </w:r>
      <w:r w:rsidR="002D0DF6" w:rsidRPr="00A33930">
        <w:rPr>
          <w:rFonts w:eastAsia="Verdana" w:cs="Verdana"/>
          <w:szCs w:val="18"/>
          <w:lang w:val="nl-NL"/>
        </w:rPr>
        <w:t xml:space="preserve">In theorie bieden deze figuren wel de nodige meerwaarde, maar </w:t>
      </w:r>
      <w:r w:rsidR="003B55AA" w:rsidRPr="00A33930">
        <w:rPr>
          <w:rFonts w:eastAsia="Verdana" w:cs="Verdana"/>
          <w:szCs w:val="18"/>
          <w:lang w:val="nl-NL"/>
        </w:rPr>
        <w:t>in de praktijk</w:t>
      </w:r>
      <w:r w:rsidR="002D0DF6" w:rsidRPr="00A33930">
        <w:rPr>
          <w:rFonts w:eastAsia="Verdana" w:cs="Verdana"/>
          <w:szCs w:val="18"/>
          <w:lang w:val="nl-NL"/>
        </w:rPr>
        <w:t xml:space="preserve"> hebben zij</w:t>
      </w:r>
      <w:r w:rsidR="003B55AA" w:rsidRPr="00A33930">
        <w:rPr>
          <w:rFonts w:eastAsia="Verdana" w:cs="Verdana"/>
          <w:szCs w:val="18"/>
          <w:lang w:val="nl-NL"/>
        </w:rPr>
        <w:t xml:space="preserve"> on</w:t>
      </w:r>
      <w:r w:rsidRPr="00A33930">
        <w:rPr>
          <w:rFonts w:eastAsia="Verdana" w:cs="Verdana"/>
          <w:szCs w:val="18"/>
          <w:lang w:val="nl-NL"/>
        </w:rPr>
        <w:t>voldoende hun nut bewezen</w:t>
      </w:r>
      <w:r w:rsidR="002D0DF6" w:rsidRPr="00A33930">
        <w:rPr>
          <w:rFonts w:eastAsia="Verdana" w:cs="Verdana"/>
          <w:szCs w:val="18"/>
          <w:lang w:val="nl-NL"/>
        </w:rPr>
        <w:t>. Hierdoor</w:t>
      </w:r>
      <w:r w:rsidRPr="00A33930">
        <w:rPr>
          <w:rFonts w:eastAsia="Verdana" w:cs="Verdana"/>
          <w:szCs w:val="18"/>
          <w:lang w:val="nl-NL"/>
        </w:rPr>
        <w:t xml:space="preserve"> </w:t>
      </w:r>
      <w:r w:rsidR="002D0DF6" w:rsidRPr="00A33930">
        <w:rPr>
          <w:rFonts w:eastAsia="Verdana" w:cs="Verdana"/>
          <w:szCs w:val="18"/>
          <w:lang w:val="nl-NL"/>
        </w:rPr>
        <w:t>zijn zij onderhevig</w:t>
      </w:r>
      <w:r w:rsidR="003B55AA" w:rsidRPr="00A33930">
        <w:rPr>
          <w:rFonts w:eastAsia="Verdana" w:cs="Verdana"/>
          <w:szCs w:val="18"/>
          <w:lang w:val="nl-NL"/>
        </w:rPr>
        <w:t xml:space="preserve"> </w:t>
      </w:r>
      <w:r w:rsidR="003D5F29" w:rsidRPr="00A33930">
        <w:rPr>
          <w:rFonts w:eastAsia="Verdana" w:cs="Verdana"/>
          <w:szCs w:val="18"/>
          <w:lang w:val="nl-NL"/>
        </w:rPr>
        <w:t xml:space="preserve">aan heel wat kritiek </w:t>
      </w:r>
      <w:r w:rsidRPr="00A33930">
        <w:rPr>
          <w:rFonts w:eastAsia="Verdana" w:cs="Verdana"/>
          <w:szCs w:val="18"/>
          <w:lang w:val="nl-NL"/>
        </w:rPr>
        <w:t>(</w:t>
      </w:r>
      <w:r w:rsidRPr="00A33930">
        <w:rPr>
          <w:rFonts w:eastAsia="Verdana" w:cs="Verdana"/>
          <w:i/>
          <w:iCs/>
          <w:szCs w:val="18"/>
          <w:lang w:val="nl-NL"/>
        </w:rPr>
        <w:t>supra</w:t>
      </w:r>
      <w:r w:rsidRPr="00A33930">
        <w:rPr>
          <w:rFonts w:eastAsia="Verdana" w:cs="Verdana"/>
          <w:szCs w:val="18"/>
          <w:lang w:val="nl-NL"/>
        </w:rPr>
        <w:t xml:space="preserve">, nr. </w:t>
      </w:r>
      <w:r w:rsidR="00F83A3E" w:rsidRPr="00A33930">
        <w:rPr>
          <w:rFonts w:eastAsia="Verdana" w:cs="Verdana"/>
          <w:szCs w:val="18"/>
          <w:lang w:val="nl-NL"/>
        </w:rPr>
        <w:t>132 en nr. 148</w:t>
      </w:r>
      <w:r w:rsidRPr="00A33930">
        <w:rPr>
          <w:rFonts w:eastAsia="Verdana" w:cs="Verdana"/>
          <w:szCs w:val="18"/>
          <w:lang w:val="nl-NL"/>
        </w:rPr>
        <w:t>).</w:t>
      </w:r>
    </w:p>
    <w:p w14:paraId="58AF8807" w14:textId="625725C0" w:rsidR="00857C8A" w:rsidRPr="00A33930" w:rsidRDefault="00857C8A" w:rsidP="00857C8A">
      <w:pPr>
        <w:pStyle w:val="Kop4"/>
        <w:spacing w:before="240"/>
        <w:rPr>
          <w:rFonts w:ascii="Verdana" w:hAnsi="Verdana"/>
          <w:color w:val="auto"/>
          <w:lang w:val="nl-NL"/>
        </w:rPr>
      </w:pPr>
      <w:r w:rsidRPr="00A33930">
        <w:rPr>
          <w:rFonts w:ascii="Verdana" w:hAnsi="Verdana"/>
          <w:color w:val="auto"/>
          <w:lang w:val="nl-NL"/>
        </w:rPr>
        <w:t>§7.</w:t>
      </w:r>
      <w:r w:rsidRPr="00A33930">
        <w:rPr>
          <w:rFonts w:ascii="Verdana" w:hAnsi="Verdana"/>
          <w:color w:val="auto"/>
          <w:lang w:val="nl-NL"/>
        </w:rPr>
        <w:tab/>
      </w:r>
      <w:r w:rsidR="000E18A4" w:rsidRPr="00A33930">
        <w:rPr>
          <w:rFonts w:ascii="Verdana" w:hAnsi="Verdana"/>
          <w:color w:val="auto"/>
          <w:lang w:val="nl-NL"/>
        </w:rPr>
        <w:t>Extra</w:t>
      </w:r>
      <w:r w:rsidRPr="00A33930">
        <w:rPr>
          <w:rFonts w:ascii="Verdana" w:hAnsi="Verdana"/>
          <w:color w:val="auto"/>
          <w:lang w:val="nl-NL"/>
        </w:rPr>
        <w:t xml:space="preserve"> aandacht voor het kind in ADR</w:t>
      </w:r>
    </w:p>
    <w:p w14:paraId="7022B67A" w14:textId="69C8F9BF" w:rsidR="00A36A95" w:rsidRPr="00A33930" w:rsidRDefault="00857C8A" w:rsidP="005A1E20">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Bijkomend moet m</w:t>
      </w:r>
      <w:r w:rsidR="0050644D" w:rsidRPr="00A33930">
        <w:rPr>
          <w:rFonts w:eastAsia="Verdana" w:cs="Verdana"/>
          <w:szCs w:val="18"/>
          <w:lang w:val="nl-NL"/>
        </w:rPr>
        <w:t>ijns inziens</w:t>
      </w:r>
      <w:r w:rsidRPr="00A33930">
        <w:rPr>
          <w:rFonts w:eastAsia="Verdana" w:cs="Verdana"/>
          <w:szCs w:val="18"/>
          <w:lang w:val="nl-NL"/>
        </w:rPr>
        <w:t xml:space="preserve"> </w:t>
      </w:r>
      <w:r w:rsidR="008C6387" w:rsidRPr="00A33930">
        <w:rPr>
          <w:rFonts w:eastAsia="Verdana" w:cs="Verdana"/>
          <w:szCs w:val="18"/>
          <w:lang w:val="nl-NL"/>
        </w:rPr>
        <w:t xml:space="preserve">ook voor contactregelingen </w:t>
      </w:r>
      <w:r w:rsidRPr="00A33930">
        <w:rPr>
          <w:rFonts w:eastAsia="Verdana" w:cs="Verdana"/>
          <w:szCs w:val="18"/>
          <w:lang w:val="nl-NL"/>
        </w:rPr>
        <w:t>de nodige aandacht worden gegeven aan ADR.</w:t>
      </w:r>
      <w:r w:rsidR="008C6387" w:rsidRPr="00A33930">
        <w:rPr>
          <w:rFonts w:eastAsia="Verdana" w:cs="Verdana"/>
          <w:szCs w:val="18"/>
          <w:lang w:val="nl-NL"/>
        </w:rPr>
        <w:t xml:space="preserve"> </w:t>
      </w:r>
      <w:r w:rsidR="00A36A95" w:rsidRPr="00A33930">
        <w:rPr>
          <w:rFonts w:eastAsia="Verdana" w:cs="Verdana"/>
          <w:szCs w:val="18"/>
          <w:lang w:val="nl-NL"/>
        </w:rPr>
        <w:t xml:space="preserve">Het is positief dat de nadruk in het rechtssysteem steeds meer ligt op participatie, responsabilisering en alternatieve vormen van geschillenbeslechting. Tot op heden staat de positie van het kind in de bemiddelingspraktijk echter niet op punt, waardoor mijns inziens opnieuw subjectieve interpretaties en de </w:t>
      </w:r>
      <w:r w:rsidR="00A36A95" w:rsidRPr="00A33930">
        <w:rPr>
          <w:rFonts w:eastAsia="Verdana" w:cs="Verdana"/>
          <w:i/>
          <w:iCs/>
          <w:szCs w:val="18"/>
          <w:lang w:val="nl-NL"/>
        </w:rPr>
        <w:t>goodwill</w:t>
      </w:r>
      <w:r w:rsidR="00A36A95" w:rsidRPr="00A33930">
        <w:rPr>
          <w:rFonts w:eastAsia="Verdana" w:cs="Verdana"/>
          <w:szCs w:val="18"/>
          <w:lang w:val="nl-NL"/>
        </w:rPr>
        <w:t xml:space="preserve"> van volwassenen de bovenhand nemen (</w:t>
      </w:r>
      <w:r w:rsidR="00A36A95" w:rsidRPr="00A33930">
        <w:rPr>
          <w:rFonts w:eastAsia="Verdana" w:cs="Verdana"/>
          <w:i/>
          <w:iCs/>
          <w:szCs w:val="18"/>
          <w:lang w:val="nl-NL"/>
        </w:rPr>
        <w:t>supra</w:t>
      </w:r>
      <w:r w:rsidR="00A36A95" w:rsidRPr="00A33930">
        <w:rPr>
          <w:rFonts w:eastAsia="Verdana" w:cs="Verdana"/>
          <w:szCs w:val="18"/>
          <w:lang w:val="nl-NL"/>
        </w:rPr>
        <w:t>, nr. 112). Het lijkt daarom belangrijk om ook hier in een duidelijke leidraad te voorzien. Er moet gewaakt worden over de positie van het kind en zijn stem in het debat.</w:t>
      </w:r>
    </w:p>
    <w:p w14:paraId="7701821E" w14:textId="77777777" w:rsidR="00A36A95" w:rsidRPr="00A33930" w:rsidRDefault="00A36A95" w:rsidP="00A36A95">
      <w:pPr>
        <w:pStyle w:val="Lijstalinea"/>
        <w:spacing w:before="200" w:after="0"/>
        <w:ind w:left="0"/>
        <w:jc w:val="both"/>
        <w:rPr>
          <w:rFonts w:eastAsia="Verdana" w:cs="Verdana"/>
          <w:szCs w:val="18"/>
          <w:lang w:val="nl-NL"/>
        </w:rPr>
      </w:pPr>
    </w:p>
    <w:p w14:paraId="61025F50" w14:textId="7B4F36E8" w:rsidR="00857C8A" w:rsidRPr="00A33930" w:rsidRDefault="006F5A3F" w:rsidP="00A36A95">
      <w:pPr>
        <w:pStyle w:val="Lijstalinea"/>
        <w:spacing w:before="200" w:after="0"/>
        <w:ind w:left="0"/>
        <w:jc w:val="both"/>
        <w:rPr>
          <w:rFonts w:eastAsia="Verdana" w:cs="Verdana"/>
          <w:szCs w:val="18"/>
          <w:lang w:val="nl-NL"/>
        </w:rPr>
      </w:pPr>
      <w:r w:rsidRPr="00A33930">
        <w:rPr>
          <w:rFonts w:eastAsia="Verdana" w:cs="Verdana"/>
          <w:szCs w:val="18"/>
          <w:lang w:val="nl-NL"/>
        </w:rPr>
        <w:t>M</w:t>
      </w:r>
      <w:r w:rsidR="005A1E20" w:rsidRPr="00A33930">
        <w:rPr>
          <w:rFonts w:eastAsia="Verdana" w:cs="Verdana"/>
          <w:szCs w:val="18"/>
          <w:lang w:val="nl-NL"/>
        </w:rPr>
        <w:t xml:space="preserve">iddels </w:t>
      </w:r>
      <w:r w:rsidRPr="00A33930">
        <w:rPr>
          <w:rFonts w:eastAsia="Verdana" w:cs="Verdana"/>
          <w:szCs w:val="18"/>
          <w:lang w:val="nl-NL"/>
        </w:rPr>
        <w:t xml:space="preserve">extra aandacht voor ADR </w:t>
      </w:r>
      <w:r w:rsidR="005A1E20" w:rsidRPr="00A33930">
        <w:rPr>
          <w:rFonts w:eastAsia="Verdana" w:cs="Verdana"/>
          <w:szCs w:val="18"/>
          <w:lang w:val="nl-NL"/>
        </w:rPr>
        <w:t xml:space="preserve">in contactregelingen </w:t>
      </w:r>
      <w:r w:rsidRPr="00A33930">
        <w:rPr>
          <w:rFonts w:eastAsia="Verdana" w:cs="Verdana"/>
          <w:szCs w:val="18"/>
          <w:lang w:val="nl-NL"/>
        </w:rPr>
        <w:t xml:space="preserve">wordt het tegenargument van juridisering van het </w:t>
      </w:r>
      <w:r w:rsidR="005A1E20" w:rsidRPr="00A33930">
        <w:rPr>
          <w:rFonts w:eastAsia="Verdana" w:cs="Verdana"/>
          <w:szCs w:val="18"/>
          <w:lang w:val="nl-NL"/>
        </w:rPr>
        <w:t>kind</w:t>
      </w:r>
      <w:r w:rsidRPr="00A33930">
        <w:rPr>
          <w:rFonts w:eastAsia="Verdana" w:cs="Verdana"/>
          <w:szCs w:val="18"/>
          <w:lang w:val="nl-NL"/>
        </w:rPr>
        <w:t xml:space="preserve"> en </w:t>
      </w:r>
      <w:r w:rsidR="005A1E20" w:rsidRPr="00A33930">
        <w:rPr>
          <w:rFonts w:eastAsia="Verdana" w:cs="Verdana"/>
          <w:szCs w:val="18"/>
          <w:lang w:val="nl-NL"/>
        </w:rPr>
        <w:t>het openen van een deur naar de rechtbank voor ontevreden kinderen tegenwicht gegeven (</w:t>
      </w:r>
      <w:r w:rsidR="005A1E20" w:rsidRPr="00A33930">
        <w:rPr>
          <w:rFonts w:eastAsia="Verdana" w:cs="Verdana"/>
          <w:i/>
          <w:iCs/>
          <w:szCs w:val="18"/>
          <w:lang w:val="nl-NL"/>
        </w:rPr>
        <w:t>supra</w:t>
      </w:r>
      <w:r w:rsidR="005A1E20" w:rsidRPr="00A33930">
        <w:rPr>
          <w:rFonts w:eastAsia="Verdana" w:cs="Verdana"/>
          <w:szCs w:val="18"/>
          <w:lang w:val="nl-NL"/>
        </w:rPr>
        <w:t xml:space="preserve">, nr. </w:t>
      </w:r>
      <w:r w:rsidR="00F83A3E" w:rsidRPr="00A33930">
        <w:rPr>
          <w:rFonts w:eastAsia="Verdana" w:cs="Verdana"/>
          <w:szCs w:val="18"/>
          <w:lang w:val="nl-NL"/>
        </w:rPr>
        <w:t>85</w:t>
      </w:r>
      <w:r w:rsidR="005A1E20" w:rsidRPr="00A33930">
        <w:rPr>
          <w:rFonts w:eastAsia="Verdana" w:cs="Verdana"/>
          <w:szCs w:val="18"/>
          <w:lang w:val="nl-NL"/>
        </w:rPr>
        <w:t>).</w:t>
      </w:r>
      <w:r w:rsidR="00A36A95" w:rsidRPr="00A33930">
        <w:rPr>
          <w:rFonts w:eastAsia="Verdana" w:cs="Verdana"/>
          <w:szCs w:val="18"/>
          <w:lang w:val="nl-NL"/>
        </w:rPr>
        <w:t xml:space="preserve"> </w:t>
      </w:r>
      <w:r w:rsidR="008C6387" w:rsidRPr="00A33930">
        <w:rPr>
          <w:rFonts w:eastAsia="Verdana" w:cs="Verdana"/>
          <w:szCs w:val="18"/>
          <w:lang w:val="nl-NL"/>
        </w:rPr>
        <w:t xml:space="preserve">Het ontwerpen van een informele rechtsingang mag geen hogere werklast voor de rechtbanken </w:t>
      </w:r>
      <w:r w:rsidR="003D5F29" w:rsidRPr="00A33930">
        <w:rPr>
          <w:rFonts w:eastAsia="Verdana" w:cs="Verdana"/>
          <w:szCs w:val="18"/>
          <w:lang w:val="nl-NL"/>
        </w:rPr>
        <w:t>tot</w:t>
      </w:r>
      <w:r w:rsidR="008C6387" w:rsidRPr="00A33930">
        <w:rPr>
          <w:rFonts w:eastAsia="Verdana" w:cs="Verdana"/>
          <w:szCs w:val="18"/>
          <w:lang w:val="nl-NL"/>
        </w:rPr>
        <w:t xml:space="preserve"> gevolg hebben. </w:t>
      </w:r>
      <w:r w:rsidR="0050644D" w:rsidRPr="00A33930">
        <w:rPr>
          <w:rFonts w:eastAsia="Verdana" w:cs="Verdana"/>
          <w:szCs w:val="18"/>
          <w:lang w:val="nl-NL"/>
        </w:rPr>
        <w:t>Hierdoor</w:t>
      </w:r>
      <w:r w:rsidR="008C6387" w:rsidRPr="00A33930">
        <w:rPr>
          <w:rFonts w:eastAsia="Verdana" w:cs="Verdana"/>
          <w:szCs w:val="18"/>
          <w:lang w:val="nl-NL"/>
        </w:rPr>
        <w:t xml:space="preserve"> lijkt het aangewezen om, samen met een online informele rechtsingang</w:t>
      </w:r>
      <w:r w:rsidR="0050644D" w:rsidRPr="00A33930">
        <w:rPr>
          <w:rFonts w:eastAsia="Verdana" w:cs="Verdana"/>
          <w:szCs w:val="18"/>
          <w:lang w:val="nl-NL"/>
        </w:rPr>
        <w:t xml:space="preserve"> (</w:t>
      </w:r>
      <w:r w:rsidR="0050644D" w:rsidRPr="00A33930">
        <w:rPr>
          <w:rFonts w:eastAsia="Verdana" w:cs="Verdana"/>
          <w:i/>
          <w:iCs/>
          <w:szCs w:val="18"/>
          <w:lang w:val="nl-NL"/>
        </w:rPr>
        <w:t>supra</w:t>
      </w:r>
      <w:r w:rsidR="0050644D" w:rsidRPr="00A33930">
        <w:rPr>
          <w:rFonts w:eastAsia="Verdana" w:cs="Verdana"/>
          <w:szCs w:val="18"/>
          <w:lang w:val="nl-NL"/>
        </w:rPr>
        <w:t>, nr. 174)</w:t>
      </w:r>
      <w:r w:rsidR="008C6387" w:rsidRPr="00A33930">
        <w:rPr>
          <w:rFonts w:eastAsia="Verdana" w:cs="Verdana"/>
          <w:szCs w:val="18"/>
          <w:lang w:val="nl-NL"/>
        </w:rPr>
        <w:t>, een online filterfunctie in te bouwen door bv. een korte en duidelijke vragenlijst op te stellen.</w:t>
      </w:r>
      <w:r w:rsidR="008C6387" w:rsidRPr="00A33930">
        <w:rPr>
          <w:rStyle w:val="Voetnootmarkering"/>
          <w:rFonts w:eastAsia="Verdana" w:cs="Verdana"/>
          <w:szCs w:val="18"/>
          <w:lang w:val="nl-NL"/>
        </w:rPr>
        <w:footnoteReference w:id="562"/>
      </w:r>
      <w:r w:rsidR="008C6387" w:rsidRPr="00A33930">
        <w:rPr>
          <w:rFonts w:eastAsia="Verdana" w:cs="Verdana"/>
          <w:szCs w:val="18"/>
          <w:lang w:val="nl-NL"/>
        </w:rPr>
        <w:t xml:space="preserve"> Op die manier heeft het kind zijn recht in eigen handen, maar wordt wel richting gegeven aan zijn mogelijkheden.</w:t>
      </w:r>
    </w:p>
    <w:p w14:paraId="5087047D" w14:textId="0CCDC922" w:rsidR="008E162C" w:rsidRPr="00A33930" w:rsidRDefault="00857C8A" w:rsidP="00857C8A">
      <w:pPr>
        <w:pStyle w:val="Kop4"/>
        <w:spacing w:before="240"/>
        <w:rPr>
          <w:rFonts w:ascii="Verdana" w:hAnsi="Verdana"/>
          <w:color w:val="auto"/>
          <w:lang w:val="nl-NL"/>
        </w:rPr>
      </w:pPr>
      <w:r w:rsidRPr="00A33930">
        <w:rPr>
          <w:rFonts w:ascii="Verdana" w:hAnsi="Verdana"/>
          <w:color w:val="auto"/>
          <w:lang w:val="nl-NL"/>
        </w:rPr>
        <w:t>§8.</w:t>
      </w:r>
      <w:r w:rsidRPr="00A33930">
        <w:rPr>
          <w:rFonts w:ascii="Verdana" w:hAnsi="Verdana"/>
          <w:color w:val="auto"/>
          <w:lang w:val="nl-NL"/>
        </w:rPr>
        <w:tab/>
        <w:t>Ondertekenen en ratificeren van de overige Verdragen door de Belgische wetgever</w:t>
      </w:r>
    </w:p>
    <w:p w14:paraId="6E9E4561" w14:textId="0648823A" w:rsidR="00766E5C" w:rsidRPr="00A33930" w:rsidRDefault="00766E5C" w:rsidP="00E61ED6">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Tot slot </w:t>
      </w:r>
      <w:r w:rsidR="0050644D" w:rsidRPr="00A33930">
        <w:rPr>
          <w:rFonts w:eastAsia="Verdana" w:cs="Verdana"/>
          <w:szCs w:val="18"/>
          <w:lang w:val="nl-NL"/>
        </w:rPr>
        <w:t>lijkt het</w:t>
      </w:r>
      <w:r w:rsidRPr="00A33930">
        <w:rPr>
          <w:rFonts w:eastAsia="Verdana" w:cs="Verdana"/>
          <w:szCs w:val="18"/>
          <w:lang w:val="nl-NL"/>
        </w:rPr>
        <w:t xml:space="preserve"> wenselijk dat de Belgische wetgever de overige mensenrechtelijke Verdragen zoals het EVURK en het</w:t>
      </w:r>
      <w:r w:rsidR="000E18A4" w:rsidRPr="00A33930">
        <w:rPr>
          <w:rFonts w:eastAsia="Verdana" w:cs="Verdana"/>
          <w:szCs w:val="18"/>
          <w:lang w:val="nl-NL"/>
        </w:rPr>
        <w:t xml:space="preserve"> Europees</w:t>
      </w:r>
      <w:r w:rsidRPr="00A33930">
        <w:rPr>
          <w:rFonts w:eastAsia="Verdana" w:cs="Verdana"/>
          <w:szCs w:val="18"/>
          <w:lang w:val="nl-NL"/>
        </w:rPr>
        <w:t xml:space="preserve"> Contactverdrag ratificeert</w:t>
      </w:r>
      <w:r w:rsidR="000E18A4" w:rsidRPr="00A33930">
        <w:rPr>
          <w:rFonts w:eastAsia="Verdana" w:cs="Verdana"/>
          <w:szCs w:val="18"/>
          <w:lang w:val="nl-NL"/>
        </w:rPr>
        <w:t>,</w:t>
      </w:r>
      <w:r w:rsidRPr="00A33930">
        <w:rPr>
          <w:rFonts w:eastAsia="Verdana" w:cs="Verdana"/>
          <w:szCs w:val="18"/>
          <w:lang w:val="nl-NL"/>
        </w:rPr>
        <w:t xml:space="preserve"> en aan zijn verplichtingen onder artikel 24.3 HvEU </w:t>
      </w:r>
      <w:r w:rsidR="000E18A4" w:rsidRPr="00A33930">
        <w:rPr>
          <w:rFonts w:eastAsia="Verdana" w:cs="Verdana"/>
          <w:szCs w:val="18"/>
          <w:lang w:val="nl-NL"/>
        </w:rPr>
        <w:t>tegemoet komt</w:t>
      </w:r>
      <w:r w:rsidR="005A1E20" w:rsidRPr="00A33930">
        <w:rPr>
          <w:rFonts w:eastAsia="Verdana" w:cs="Verdana"/>
          <w:szCs w:val="18"/>
          <w:lang w:val="nl-NL"/>
        </w:rPr>
        <w:t xml:space="preserve"> (</w:t>
      </w:r>
      <w:r w:rsidR="005A1E20" w:rsidRPr="00A33930">
        <w:rPr>
          <w:rFonts w:eastAsia="Verdana" w:cs="Verdana"/>
          <w:i/>
          <w:iCs/>
          <w:szCs w:val="18"/>
          <w:lang w:val="nl-NL"/>
        </w:rPr>
        <w:t>infra</w:t>
      </w:r>
      <w:r w:rsidR="005A1E20" w:rsidRPr="00A33930">
        <w:rPr>
          <w:rFonts w:eastAsia="Verdana" w:cs="Verdana"/>
          <w:szCs w:val="18"/>
          <w:lang w:val="nl-NL"/>
        </w:rPr>
        <w:t>, bijlage 1)</w:t>
      </w:r>
      <w:r w:rsidRPr="00A33930">
        <w:rPr>
          <w:rFonts w:eastAsia="Verdana" w:cs="Verdana"/>
          <w:szCs w:val="18"/>
          <w:lang w:val="nl-NL"/>
        </w:rPr>
        <w:t>. Deze instrumenten vormen een precisering van het mensenrechtelijk kader uit artikel 9.3 IVRK en artikel 8.1 EVRM, waardoor de rechtspositie van het kind wordt verduidelijkt en verfijn</w:t>
      </w:r>
      <w:r w:rsidR="0042308F" w:rsidRPr="00A33930">
        <w:rPr>
          <w:rFonts w:eastAsia="Verdana" w:cs="Verdana"/>
          <w:szCs w:val="18"/>
          <w:lang w:val="nl-NL"/>
        </w:rPr>
        <w:t>d</w:t>
      </w:r>
      <w:r w:rsidR="0050644D" w:rsidRPr="00A33930">
        <w:rPr>
          <w:rFonts w:eastAsia="Verdana" w:cs="Verdana"/>
          <w:szCs w:val="18"/>
          <w:lang w:val="nl-NL"/>
        </w:rPr>
        <w:t xml:space="preserve"> (</w:t>
      </w:r>
      <w:r w:rsidR="0050644D" w:rsidRPr="00A33930">
        <w:rPr>
          <w:rFonts w:eastAsia="Verdana" w:cs="Verdana"/>
          <w:i/>
          <w:iCs/>
          <w:szCs w:val="18"/>
          <w:lang w:val="nl-NL"/>
        </w:rPr>
        <w:t>supra</w:t>
      </w:r>
      <w:r w:rsidR="0050644D" w:rsidRPr="00A33930">
        <w:rPr>
          <w:rFonts w:eastAsia="Verdana" w:cs="Verdana"/>
          <w:szCs w:val="18"/>
          <w:lang w:val="nl-NL"/>
        </w:rPr>
        <w:t>, nr. 23)</w:t>
      </w:r>
      <w:r w:rsidRPr="00A33930">
        <w:rPr>
          <w:rFonts w:eastAsia="Verdana" w:cs="Verdana"/>
          <w:szCs w:val="18"/>
          <w:lang w:val="nl-NL"/>
        </w:rPr>
        <w:t>.</w:t>
      </w:r>
    </w:p>
    <w:p w14:paraId="5A0C15DC" w14:textId="77777777" w:rsidR="0090513D" w:rsidRPr="00A33930" w:rsidRDefault="0090513D" w:rsidP="0090513D">
      <w:pPr>
        <w:pStyle w:val="Lijstalinea"/>
        <w:spacing w:before="200" w:after="0"/>
        <w:ind w:left="0"/>
        <w:jc w:val="both"/>
        <w:rPr>
          <w:rFonts w:eastAsia="Verdana" w:cs="Verdana"/>
          <w:szCs w:val="18"/>
          <w:lang w:val="nl-NL"/>
        </w:rPr>
      </w:pPr>
    </w:p>
    <w:p w14:paraId="7C924F78" w14:textId="19C3A3C3" w:rsidR="000715CA" w:rsidRPr="00A33930" w:rsidRDefault="00243962" w:rsidP="00336600">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De rechten van kinderen vormen een delicate aangelegenheid waarover doorheen de jaren veel meningsverschillen zijn ontstaan. Dat is ook de reden waarom een heldere, gestructureerde regeling noodzakelijk is. </w:t>
      </w:r>
      <w:r w:rsidR="00034CBE" w:rsidRPr="00A33930">
        <w:rPr>
          <w:rFonts w:eastAsia="Verdana" w:cs="Verdana"/>
          <w:szCs w:val="18"/>
          <w:lang w:val="nl-NL"/>
        </w:rPr>
        <w:t xml:space="preserve">Deze aanbevelingen vormen een eerste bouwsteen </w:t>
      </w:r>
      <w:r w:rsidR="008E162C" w:rsidRPr="00A33930">
        <w:rPr>
          <w:rFonts w:eastAsia="Verdana" w:cs="Verdana"/>
          <w:szCs w:val="18"/>
          <w:lang w:val="nl-NL"/>
        </w:rPr>
        <w:t>ter aanpassing van de Belgische regelgeving</w:t>
      </w:r>
      <w:r w:rsidR="008C6387" w:rsidRPr="00A33930">
        <w:rPr>
          <w:rFonts w:eastAsia="Verdana" w:cs="Verdana"/>
          <w:szCs w:val="18"/>
          <w:lang w:val="nl-NL"/>
        </w:rPr>
        <w:t>,</w:t>
      </w:r>
      <w:r w:rsidR="008E162C" w:rsidRPr="00A33930">
        <w:rPr>
          <w:rFonts w:eastAsia="Verdana" w:cs="Verdana"/>
          <w:szCs w:val="18"/>
          <w:lang w:val="nl-NL"/>
        </w:rPr>
        <w:t xml:space="preserve"> </w:t>
      </w:r>
      <w:r w:rsidR="00034CBE" w:rsidRPr="00A33930">
        <w:rPr>
          <w:rFonts w:eastAsia="Verdana" w:cs="Verdana"/>
          <w:szCs w:val="18"/>
          <w:lang w:val="nl-NL"/>
        </w:rPr>
        <w:t xml:space="preserve">maar </w:t>
      </w:r>
      <w:r w:rsidR="008E162C" w:rsidRPr="00A33930">
        <w:rPr>
          <w:rFonts w:eastAsia="Verdana" w:cs="Verdana"/>
          <w:szCs w:val="18"/>
          <w:lang w:val="nl-NL"/>
        </w:rPr>
        <w:t>volstaan niet</w:t>
      </w:r>
      <w:r w:rsidR="00034CBE" w:rsidRPr="00A33930">
        <w:rPr>
          <w:rFonts w:eastAsia="Verdana" w:cs="Verdana"/>
          <w:szCs w:val="18"/>
          <w:lang w:val="nl-NL"/>
        </w:rPr>
        <w:t xml:space="preserve"> </w:t>
      </w:r>
      <w:r w:rsidR="008E162C" w:rsidRPr="00A33930">
        <w:rPr>
          <w:rFonts w:eastAsia="Verdana" w:cs="Verdana"/>
          <w:szCs w:val="18"/>
          <w:lang w:val="nl-NL"/>
        </w:rPr>
        <w:t xml:space="preserve">voor </w:t>
      </w:r>
      <w:r w:rsidR="0050644D" w:rsidRPr="00A33930">
        <w:rPr>
          <w:rFonts w:eastAsia="Verdana" w:cs="Verdana"/>
          <w:szCs w:val="18"/>
          <w:lang w:val="nl-NL"/>
        </w:rPr>
        <w:t xml:space="preserve">een </w:t>
      </w:r>
      <w:r w:rsidR="008E162C" w:rsidRPr="00A33930">
        <w:rPr>
          <w:rFonts w:eastAsia="Verdana" w:cs="Verdana"/>
          <w:szCs w:val="18"/>
          <w:lang w:val="nl-NL"/>
        </w:rPr>
        <w:t xml:space="preserve">rechtstreekse toepassing </w:t>
      </w:r>
      <w:r w:rsidR="00034CBE" w:rsidRPr="00A33930">
        <w:rPr>
          <w:rFonts w:eastAsia="Verdana" w:cs="Verdana"/>
          <w:szCs w:val="18"/>
          <w:lang w:val="nl-NL"/>
        </w:rPr>
        <w:t>in de praktijk.</w:t>
      </w:r>
      <w:r w:rsidR="008E0EC7" w:rsidRPr="00A33930">
        <w:rPr>
          <w:rFonts w:eastAsia="Verdana" w:cs="Verdana"/>
          <w:szCs w:val="18"/>
          <w:lang w:val="nl-NL"/>
        </w:rPr>
        <w:t xml:space="preserve"> </w:t>
      </w:r>
      <w:r w:rsidR="00034CBE" w:rsidRPr="00A33930">
        <w:rPr>
          <w:rFonts w:eastAsia="Verdana" w:cs="Verdana"/>
          <w:szCs w:val="18"/>
          <w:lang w:val="nl-NL"/>
        </w:rPr>
        <w:t>Inmiddels</w:t>
      </w:r>
      <w:r w:rsidR="008E162C" w:rsidRPr="00A33930">
        <w:rPr>
          <w:rFonts w:eastAsia="Verdana" w:cs="Verdana"/>
          <w:szCs w:val="18"/>
          <w:lang w:val="nl-NL"/>
        </w:rPr>
        <w:t xml:space="preserve"> is </w:t>
      </w:r>
      <w:r w:rsidR="00034CBE" w:rsidRPr="00A33930">
        <w:rPr>
          <w:rFonts w:eastAsia="Verdana" w:cs="Verdana"/>
          <w:szCs w:val="18"/>
          <w:lang w:val="nl-NL"/>
        </w:rPr>
        <w:t xml:space="preserve">duidelijk dat verder onderzoek naar de inschrijving van dit recht op persoonlijk contact noodzakelijk </w:t>
      </w:r>
      <w:r w:rsidR="00E26F4A" w:rsidRPr="00A33930">
        <w:rPr>
          <w:rFonts w:eastAsia="Verdana" w:cs="Verdana"/>
          <w:szCs w:val="18"/>
          <w:lang w:val="nl-NL"/>
        </w:rPr>
        <w:t xml:space="preserve">is en </w:t>
      </w:r>
      <w:r w:rsidR="00336600" w:rsidRPr="00A33930">
        <w:rPr>
          <w:rFonts w:eastAsia="Verdana" w:cs="Verdana"/>
          <w:szCs w:val="18"/>
          <w:lang w:val="nl-NL"/>
        </w:rPr>
        <w:t>blijft</w:t>
      </w:r>
      <w:r w:rsidR="00034CBE" w:rsidRPr="00A33930">
        <w:rPr>
          <w:rFonts w:eastAsia="Verdana" w:cs="Verdana"/>
          <w:szCs w:val="18"/>
          <w:lang w:val="nl-NL"/>
        </w:rPr>
        <w:t>.</w:t>
      </w:r>
      <w:r w:rsidR="00E26F4A" w:rsidRPr="00A33930">
        <w:rPr>
          <w:rFonts w:eastAsia="Verdana" w:cs="Verdana"/>
          <w:szCs w:val="18"/>
          <w:lang w:val="nl-NL"/>
        </w:rPr>
        <w:t xml:space="preserve"> De kinderen van vandaag zijn niet de kinderen van gisteren, maar ook niet die van morgen. Het recht op persoonlijk contact moet in deze moderne wereld blijven groeien.</w:t>
      </w:r>
    </w:p>
    <w:p w14:paraId="13FF9F5D" w14:textId="77777777" w:rsidR="000715CA" w:rsidRPr="00A33930" w:rsidRDefault="000715CA" w:rsidP="000715CA">
      <w:pPr>
        <w:pStyle w:val="Lijstalinea"/>
        <w:rPr>
          <w:rFonts w:eastAsia="Verdana" w:cs="Verdana"/>
          <w:szCs w:val="18"/>
          <w:lang w:val="nl-NL"/>
        </w:rPr>
      </w:pPr>
    </w:p>
    <w:p w14:paraId="383FBE68" w14:textId="600EE7E5" w:rsidR="000E18A4" w:rsidRPr="00A33930" w:rsidRDefault="0050644D" w:rsidP="000715CA">
      <w:pPr>
        <w:pStyle w:val="Lijstalinea"/>
        <w:spacing w:before="200" w:after="0"/>
        <w:ind w:left="0"/>
        <w:jc w:val="both"/>
        <w:rPr>
          <w:rFonts w:eastAsia="Verdana" w:cs="Verdana"/>
          <w:szCs w:val="18"/>
          <w:lang w:val="nl-NL"/>
        </w:rPr>
      </w:pPr>
      <w:r w:rsidRPr="00A33930">
        <w:rPr>
          <w:rFonts w:eastAsia="Verdana" w:cs="Verdana"/>
          <w:szCs w:val="18"/>
          <w:lang w:val="nl-NL"/>
        </w:rPr>
        <w:lastRenderedPageBreak/>
        <w:t xml:space="preserve">Wanneer een eigen recht op persoonlijk contact </w:t>
      </w:r>
      <w:r w:rsidR="000715CA" w:rsidRPr="00A33930">
        <w:rPr>
          <w:rFonts w:eastAsia="Verdana" w:cs="Verdana"/>
          <w:szCs w:val="18"/>
          <w:lang w:val="nl-NL"/>
        </w:rPr>
        <w:t xml:space="preserve">van het kind </w:t>
      </w:r>
      <w:r w:rsidRPr="00A33930">
        <w:rPr>
          <w:rFonts w:eastAsia="Verdana" w:cs="Verdana"/>
          <w:szCs w:val="18"/>
          <w:lang w:val="nl-NL"/>
        </w:rPr>
        <w:t xml:space="preserve">wordt ingeschreven in het Belgische recht, </w:t>
      </w:r>
      <w:r w:rsidR="0090513D" w:rsidRPr="00A33930">
        <w:rPr>
          <w:rFonts w:eastAsia="Verdana" w:cs="Verdana"/>
          <w:szCs w:val="18"/>
          <w:lang w:val="nl-NL"/>
        </w:rPr>
        <w:t>vormt het opstellen</w:t>
      </w:r>
      <w:r w:rsidRPr="00A33930">
        <w:rPr>
          <w:rFonts w:eastAsia="Verdana" w:cs="Verdana"/>
          <w:szCs w:val="18"/>
          <w:lang w:val="nl-NL"/>
        </w:rPr>
        <w:t xml:space="preserve"> </w:t>
      </w:r>
      <w:r w:rsidR="003538CC" w:rsidRPr="00A33930">
        <w:rPr>
          <w:rFonts w:eastAsia="Verdana" w:cs="Verdana"/>
          <w:szCs w:val="18"/>
          <w:lang w:val="nl-NL"/>
        </w:rPr>
        <w:t xml:space="preserve">van </w:t>
      </w:r>
      <w:r w:rsidRPr="00A33930">
        <w:rPr>
          <w:rFonts w:eastAsia="Verdana" w:cs="Verdana"/>
          <w:szCs w:val="18"/>
          <w:lang w:val="nl-NL"/>
        </w:rPr>
        <w:t>een regeling naar analogie met Nederland of Duitsland geen ideaal scenario. E</w:t>
      </w:r>
      <w:r w:rsidR="008E0EC7" w:rsidRPr="00A33930">
        <w:rPr>
          <w:rFonts w:eastAsia="Verdana" w:cs="Verdana"/>
          <w:szCs w:val="18"/>
          <w:lang w:val="nl-NL"/>
        </w:rPr>
        <w:t xml:space="preserve">nkel </w:t>
      </w:r>
      <w:r w:rsidR="00336600" w:rsidRPr="00A33930">
        <w:rPr>
          <w:rFonts w:eastAsia="Verdana" w:cs="Verdana"/>
          <w:szCs w:val="18"/>
          <w:lang w:val="nl-NL"/>
        </w:rPr>
        <w:t xml:space="preserve">middels een volledige </w:t>
      </w:r>
      <w:r w:rsidR="00336600" w:rsidRPr="00A33930">
        <w:rPr>
          <w:rFonts w:eastAsia="Verdana" w:cs="Verdana"/>
          <w:i/>
          <w:iCs/>
          <w:szCs w:val="18"/>
          <w:lang w:val="nl-NL"/>
        </w:rPr>
        <w:t>rethinking</w:t>
      </w:r>
      <w:r w:rsidR="00336600" w:rsidRPr="00A33930">
        <w:rPr>
          <w:rFonts w:eastAsia="Verdana" w:cs="Verdana"/>
          <w:szCs w:val="18"/>
          <w:lang w:val="nl-NL"/>
        </w:rPr>
        <w:t xml:space="preserve"> van het recht op persoonlijk contact</w:t>
      </w:r>
      <w:r w:rsidR="008E0EC7" w:rsidRPr="00A33930">
        <w:rPr>
          <w:rFonts w:eastAsia="Verdana" w:cs="Verdana"/>
          <w:szCs w:val="18"/>
          <w:lang w:val="nl-NL"/>
        </w:rPr>
        <w:t xml:space="preserve"> </w:t>
      </w:r>
      <w:r w:rsidR="00336600" w:rsidRPr="00A33930">
        <w:rPr>
          <w:rFonts w:eastAsia="Verdana" w:cs="Verdana"/>
          <w:szCs w:val="18"/>
          <w:lang w:val="nl-NL"/>
        </w:rPr>
        <w:t>is het mogelijk om de Belgische regelgeving in overeenstemming te brengen met de mensenrechtelijke verplichtingen uit artikel 9.3 IVRK en artikel 8.1 EVRM</w:t>
      </w:r>
      <w:r w:rsidR="000E18A4" w:rsidRPr="00A33930">
        <w:rPr>
          <w:rFonts w:eastAsia="Verdana" w:cs="Verdana"/>
          <w:szCs w:val="18"/>
          <w:lang w:val="nl-NL"/>
        </w:rPr>
        <w:t xml:space="preserve"> (</w:t>
      </w:r>
      <w:r w:rsidR="000E18A4" w:rsidRPr="00A33930">
        <w:rPr>
          <w:rFonts w:eastAsia="Verdana" w:cs="Verdana"/>
          <w:i/>
          <w:iCs/>
          <w:szCs w:val="18"/>
          <w:lang w:val="nl-NL"/>
        </w:rPr>
        <w:t>supra</w:t>
      </w:r>
      <w:r w:rsidR="000E18A4" w:rsidRPr="00A33930">
        <w:rPr>
          <w:rFonts w:eastAsia="Verdana" w:cs="Verdana"/>
          <w:szCs w:val="18"/>
          <w:lang w:val="nl-NL"/>
        </w:rPr>
        <w:t xml:space="preserve">, nr. </w:t>
      </w:r>
      <w:r w:rsidR="00F83A3E" w:rsidRPr="00A33930">
        <w:rPr>
          <w:rFonts w:eastAsia="Verdana" w:cs="Verdana"/>
          <w:szCs w:val="18"/>
          <w:lang w:val="nl-NL"/>
        </w:rPr>
        <w:t>9</w:t>
      </w:r>
      <w:r w:rsidR="000E18A4" w:rsidRPr="00A33930">
        <w:rPr>
          <w:rFonts w:eastAsia="Verdana" w:cs="Verdana"/>
          <w:szCs w:val="18"/>
          <w:lang w:val="nl-NL"/>
        </w:rPr>
        <w:t>)</w:t>
      </w:r>
      <w:r w:rsidR="00336600" w:rsidRPr="00A33930">
        <w:rPr>
          <w:rFonts w:eastAsia="Verdana" w:cs="Verdana"/>
          <w:szCs w:val="18"/>
          <w:lang w:val="nl-NL"/>
        </w:rPr>
        <w:t>.</w:t>
      </w:r>
      <w:r w:rsidR="008E162C" w:rsidRPr="00A33930">
        <w:rPr>
          <w:rFonts w:eastAsia="Verdana" w:cs="Verdana"/>
          <w:szCs w:val="18"/>
          <w:lang w:val="nl-NL"/>
        </w:rPr>
        <w:t xml:space="preserve"> </w:t>
      </w:r>
    </w:p>
    <w:p w14:paraId="00787866" w14:textId="77777777" w:rsidR="000E18A4" w:rsidRPr="00A33930" w:rsidRDefault="000E18A4" w:rsidP="000E18A4">
      <w:pPr>
        <w:pStyle w:val="Lijstalinea"/>
        <w:rPr>
          <w:rFonts w:eastAsia="Verdana" w:cs="Verdana"/>
          <w:szCs w:val="18"/>
          <w:lang w:val="nl-NL"/>
        </w:rPr>
      </w:pPr>
    </w:p>
    <w:p w14:paraId="38140449" w14:textId="77777777" w:rsidR="0090513D" w:rsidRPr="00A33930" w:rsidRDefault="000715CA" w:rsidP="00995E5D">
      <w:pPr>
        <w:pStyle w:val="Lijstalinea"/>
        <w:spacing w:before="200" w:after="0"/>
        <w:ind w:left="0"/>
        <w:jc w:val="both"/>
        <w:rPr>
          <w:rFonts w:eastAsia="Verdana" w:cs="Verdana"/>
          <w:szCs w:val="18"/>
          <w:lang w:val="nl-NL"/>
        </w:rPr>
      </w:pPr>
      <w:r w:rsidRPr="00A33930">
        <w:rPr>
          <w:rFonts w:eastAsia="Verdana" w:cs="Verdana"/>
          <w:szCs w:val="18"/>
          <w:lang w:val="nl-NL"/>
        </w:rPr>
        <w:t>Bovendien</w:t>
      </w:r>
      <w:r w:rsidR="00336600" w:rsidRPr="00A33930">
        <w:rPr>
          <w:rFonts w:eastAsia="Verdana" w:cs="Verdana"/>
          <w:szCs w:val="18"/>
          <w:lang w:val="nl-NL"/>
        </w:rPr>
        <w:t xml:space="preserve"> verdient dit onderwerp n</w:t>
      </w:r>
      <w:r w:rsidR="008E162C" w:rsidRPr="00A33930">
        <w:rPr>
          <w:rFonts w:eastAsia="Verdana" w:cs="Verdana"/>
          <w:szCs w:val="18"/>
          <w:lang w:val="nl-NL"/>
        </w:rPr>
        <w:t xml:space="preserve">iet alleen </w:t>
      </w:r>
      <w:r w:rsidR="00336600" w:rsidRPr="00A33930">
        <w:rPr>
          <w:rFonts w:eastAsia="Verdana" w:cs="Verdana"/>
          <w:szCs w:val="18"/>
          <w:lang w:val="nl-NL"/>
        </w:rPr>
        <w:t xml:space="preserve">de nodige </w:t>
      </w:r>
      <w:r w:rsidR="008E162C" w:rsidRPr="00A33930">
        <w:rPr>
          <w:rFonts w:eastAsia="Verdana" w:cs="Verdana"/>
          <w:szCs w:val="18"/>
          <w:lang w:val="nl-NL"/>
        </w:rPr>
        <w:t>aandacht op juridisch niveau</w:t>
      </w:r>
      <w:r w:rsidR="000E18A4" w:rsidRPr="00A33930">
        <w:rPr>
          <w:rFonts w:eastAsia="Verdana" w:cs="Verdana"/>
          <w:szCs w:val="18"/>
          <w:lang w:val="nl-NL"/>
        </w:rPr>
        <w:t>. Ook</w:t>
      </w:r>
      <w:r w:rsidR="008E162C" w:rsidRPr="00A33930">
        <w:rPr>
          <w:rFonts w:eastAsia="Verdana" w:cs="Verdana"/>
          <w:szCs w:val="18"/>
          <w:lang w:val="nl-NL"/>
        </w:rPr>
        <w:t xml:space="preserve"> op psychologisch</w:t>
      </w:r>
      <w:r w:rsidR="000E18A4" w:rsidRPr="00A33930">
        <w:rPr>
          <w:rFonts w:eastAsia="Verdana" w:cs="Verdana"/>
          <w:szCs w:val="18"/>
          <w:lang w:val="nl-NL"/>
        </w:rPr>
        <w:t xml:space="preserve">, </w:t>
      </w:r>
      <w:r w:rsidR="008E162C" w:rsidRPr="00A33930">
        <w:rPr>
          <w:rFonts w:eastAsia="Verdana" w:cs="Verdana"/>
          <w:szCs w:val="18"/>
          <w:lang w:val="nl-NL"/>
        </w:rPr>
        <w:t>maatschappelijk</w:t>
      </w:r>
      <w:r w:rsidR="000E18A4" w:rsidRPr="00A33930">
        <w:rPr>
          <w:rFonts w:eastAsia="Verdana" w:cs="Verdana"/>
          <w:szCs w:val="18"/>
          <w:lang w:val="nl-NL"/>
        </w:rPr>
        <w:t xml:space="preserve"> en sociaal-politiek</w:t>
      </w:r>
      <w:r w:rsidR="008E162C" w:rsidRPr="00A33930">
        <w:rPr>
          <w:rFonts w:eastAsia="Verdana" w:cs="Verdana"/>
          <w:szCs w:val="18"/>
          <w:lang w:val="nl-NL"/>
        </w:rPr>
        <w:t xml:space="preserve"> niveau is </w:t>
      </w:r>
      <w:r w:rsidR="008C6387" w:rsidRPr="00A33930">
        <w:rPr>
          <w:rFonts w:eastAsia="Verdana" w:cs="Verdana"/>
          <w:szCs w:val="18"/>
          <w:lang w:val="nl-NL"/>
        </w:rPr>
        <w:t>nood aan het herdenken van het recht op persoonlijk contact</w:t>
      </w:r>
      <w:r w:rsidR="00FB441C" w:rsidRPr="00A33930">
        <w:rPr>
          <w:rFonts w:eastAsia="Verdana" w:cs="Verdana"/>
          <w:szCs w:val="18"/>
          <w:lang w:val="nl-NL"/>
        </w:rPr>
        <w:t xml:space="preserve">. </w:t>
      </w:r>
      <w:r w:rsidR="008E162C" w:rsidRPr="00A33930">
        <w:rPr>
          <w:rFonts w:eastAsia="Verdana" w:cs="Verdana"/>
          <w:szCs w:val="18"/>
          <w:lang w:val="nl-NL"/>
        </w:rPr>
        <w:t xml:space="preserve">Het </w:t>
      </w:r>
      <w:r w:rsidR="00E57778" w:rsidRPr="00A33930">
        <w:rPr>
          <w:rFonts w:eastAsia="Verdana" w:cs="Verdana"/>
          <w:szCs w:val="18"/>
          <w:lang w:val="nl-NL"/>
        </w:rPr>
        <w:t xml:space="preserve">kindperspectief </w:t>
      </w:r>
      <w:r w:rsidR="008E162C" w:rsidRPr="00A33930">
        <w:rPr>
          <w:rFonts w:eastAsia="Verdana" w:cs="Verdana"/>
          <w:szCs w:val="18"/>
          <w:lang w:val="nl-NL"/>
        </w:rPr>
        <w:t xml:space="preserve">van vandaag is </w:t>
      </w:r>
      <w:r w:rsidR="000E18A4" w:rsidRPr="00A33930">
        <w:rPr>
          <w:rFonts w:eastAsia="Verdana" w:cs="Verdana"/>
          <w:szCs w:val="18"/>
          <w:lang w:val="nl-NL"/>
        </w:rPr>
        <w:t>reeds</w:t>
      </w:r>
      <w:r w:rsidR="008E162C" w:rsidRPr="00A33930">
        <w:rPr>
          <w:rFonts w:eastAsia="Verdana" w:cs="Verdana"/>
          <w:szCs w:val="18"/>
          <w:lang w:val="nl-NL"/>
        </w:rPr>
        <w:t xml:space="preserve"> lang</w:t>
      </w:r>
      <w:r w:rsidR="000E18A4" w:rsidRPr="00A33930">
        <w:rPr>
          <w:rFonts w:eastAsia="Verdana" w:cs="Verdana"/>
          <w:szCs w:val="18"/>
          <w:lang w:val="nl-NL"/>
        </w:rPr>
        <w:t>e tijd</w:t>
      </w:r>
      <w:r w:rsidR="008E162C" w:rsidRPr="00A33930">
        <w:rPr>
          <w:rFonts w:eastAsia="Verdana" w:cs="Verdana"/>
          <w:szCs w:val="18"/>
          <w:lang w:val="nl-NL"/>
        </w:rPr>
        <w:t xml:space="preserve"> niet meer het </w:t>
      </w:r>
      <w:r w:rsidR="00E57778" w:rsidRPr="00A33930">
        <w:rPr>
          <w:rFonts w:eastAsia="Verdana" w:cs="Verdana"/>
          <w:szCs w:val="18"/>
          <w:lang w:val="nl-NL"/>
        </w:rPr>
        <w:t xml:space="preserve">kindperspectief </w:t>
      </w:r>
      <w:r w:rsidR="008E162C" w:rsidRPr="00A33930">
        <w:rPr>
          <w:rFonts w:eastAsia="Verdana" w:cs="Verdana"/>
          <w:szCs w:val="18"/>
          <w:lang w:val="nl-NL"/>
        </w:rPr>
        <w:t>van de vorige eeu</w:t>
      </w:r>
      <w:r w:rsidR="0050644D" w:rsidRPr="00A33930">
        <w:rPr>
          <w:rFonts w:eastAsia="Verdana" w:cs="Verdana"/>
          <w:szCs w:val="18"/>
          <w:lang w:val="nl-NL"/>
        </w:rPr>
        <w:t>w waardoor a</w:t>
      </w:r>
      <w:r w:rsidR="008E162C" w:rsidRPr="00A33930">
        <w:rPr>
          <w:rFonts w:eastAsia="Verdana" w:cs="Verdana"/>
          <w:szCs w:val="18"/>
          <w:lang w:val="nl-NL"/>
        </w:rPr>
        <w:t xml:space="preserve">l deze </w:t>
      </w:r>
      <w:r w:rsidR="00FB441C" w:rsidRPr="00A33930">
        <w:rPr>
          <w:rFonts w:eastAsia="Verdana" w:cs="Verdana"/>
          <w:szCs w:val="18"/>
          <w:lang w:val="nl-NL"/>
        </w:rPr>
        <w:t>disciplines</w:t>
      </w:r>
      <w:r w:rsidR="008E162C" w:rsidRPr="00A33930">
        <w:rPr>
          <w:rFonts w:eastAsia="Verdana" w:cs="Verdana"/>
          <w:szCs w:val="18"/>
          <w:lang w:val="nl-NL"/>
        </w:rPr>
        <w:t xml:space="preserve"> </w:t>
      </w:r>
      <w:r w:rsidR="0050644D" w:rsidRPr="00A33930">
        <w:rPr>
          <w:rFonts w:eastAsia="Verdana" w:cs="Verdana"/>
          <w:szCs w:val="18"/>
          <w:lang w:val="nl-NL"/>
        </w:rPr>
        <w:t>mijns inziens</w:t>
      </w:r>
      <w:r w:rsidR="00FB441C" w:rsidRPr="00A33930">
        <w:rPr>
          <w:rFonts w:eastAsia="Verdana" w:cs="Verdana"/>
          <w:szCs w:val="18"/>
          <w:lang w:val="nl-NL"/>
        </w:rPr>
        <w:t xml:space="preserve"> </w:t>
      </w:r>
      <w:r w:rsidR="008E162C" w:rsidRPr="00A33930">
        <w:rPr>
          <w:rFonts w:eastAsia="Verdana" w:cs="Verdana"/>
          <w:szCs w:val="18"/>
          <w:lang w:val="nl-NL"/>
        </w:rPr>
        <w:t>een update</w:t>
      </w:r>
      <w:r w:rsidR="0050644D" w:rsidRPr="00A33930">
        <w:rPr>
          <w:rFonts w:eastAsia="Verdana" w:cs="Verdana"/>
          <w:szCs w:val="18"/>
          <w:lang w:val="nl-NL"/>
        </w:rPr>
        <w:t xml:space="preserve"> verdienen</w:t>
      </w:r>
      <w:r w:rsidR="008E162C" w:rsidRPr="00A33930">
        <w:rPr>
          <w:rFonts w:eastAsia="Verdana" w:cs="Verdana"/>
          <w:szCs w:val="18"/>
          <w:lang w:val="nl-NL"/>
        </w:rPr>
        <w:t>.</w:t>
      </w:r>
      <w:r w:rsidR="00FB441C" w:rsidRPr="00A33930">
        <w:rPr>
          <w:rFonts w:eastAsia="Verdana" w:cs="Verdana"/>
          <w:szCs w:val="18"/>
          <w:lang w:val="nl-NL"/>
        </w:rPr>
        <w:t xml:space="preserve"> </w:t>
      </w:r>
    </w:p>
    <w:p w14:paraId="469C9320" w14:textId="77777777" w:rsidR="0090513D" w:rsidRPr="00A33930" w:rsidRDefault="0090513D" w:rsidP="00995E5D">
      <w:pPr>
        <w:pStyle w:val="Lijstalinea"/>
        <w:spacing w:before="200" w:after="0"/>
        <w:ind w:left="0"/>
        <w:jc w:val="both"/>
        <w:rPr>
          <w:rFonts w:eastAsia="Verdana" w:cs="Verdana"/>
          <w:szCs w:val="18"/>
          <w:lang w:val="nl-NL"/>
        </w:rPr>
      </w:pPr>
    </w:p>
    <w:p w14:paraId="4DA3D447" w14:textId="63214670" w:rsidR="00995E5D" w:rsidRPr="00A33930" w:rsidRDefault="00FB441C" w:rsidP="00995E5D">
      <w:pPr>
        <w:pStyle w:val="Lijstalinea"/>
        <w:spacing w:before="200" w:after="0"/>
        <w:ind w:left="0"/>
        <w:jc w:val="both"/>
        <w:rPr>
          <w:rFonts w:eastAsia="Verdana" w:cs="Verdana"/>
          <w:iCs/>
          <w:szCs w:val="18"/>
          <w:lang w:val="nl-NL"/>
        </w:rPr>
      </w:pPr>
      <w:r w:rsidRPr="00A33930">
        <w:rPr>
          <w:rFonts w:eastAsia="Verdana" w:cs="Verdana"/>
          <w:szCs w:val="18"/>
          <w:lang w:val="nl-NL"/>
        </w:rPr>
        <w:t xml:space="preserve">Een bespreking van de objectbenadering in België besteedde in </w:t>
      </w:r>
      <w:r w:rsidR="0090513D" w:rsidRPr="00A33930">
        <w:rPr>
          <w:rFonts w:eastAsia="Verdana" w:cs="Verdana"/>
          <w:szCs w:val="18"/>
          <w:lang w:val="nl-NL"/>
        </w:rPr>
        <w:t>het tweede deel</w:t>
      </w:r>
      <w:r w:rsidRPr="00A33930">
        <w:rPr>
          <w:rFonts w:eastAsia="Verdana" w:cs="Verdana"/>
          <w:szCs w:val="18"/>
          <w:lang w:val="nl-NL"/>
        </w:rPr>
        <w:t xml:space="preserve"> aandacht aan de verschillende stromingen en de competentiediscussie. </w:t>
      </w:r>
      <w:r w:rsidR="008C6387" w:rsidRPr="00A33930">
        <w:rPr>
          <w:rFonts w:eastAsia="Verdana" w:cs="Verdana"/>
          <w:szCs w:val="18"/>
          <w:lang w:val="nl-NL"/>
        </w:rPr>
        <w:t>Een gefundeerd</w:t>
      </w:r>
      <w:r w:rsidRPr="00A33930">
        <w:rPr>
          <w:rFonts w:eastAsia="Verdana" w:cs="Verdana"/>
          <w:szCs w:val="18"/>
          <w:lang w:val="nl-NL"/>
        </w:rPr>
        <w:t xml:space="preserve"> debat blijft</w:t>
      </w:r>
      <w:r w:rsidR="0050644D" w:rsidRPr="00A33930">
        <w:rPr>
          <w:rFonts w:eastAsia="Verdana" w:cs="Verdana"/>
          <w:szCs w:val="18"/>
          <w:lang w:val="nl-NL"/>
        </w:rPr>
        <w:t xml:space="preserve"> </w:t>
      </w:r>
      <w:r w:rsidRPr="00A33930">
        <w:rPr>
          <w:rFonts w:eastAsia="Verdana" w:cs="Verdana"/>
          <w:szCs w:val="18"/>
          <w:lang w:val="nl-NL"/>
        </w:rPr>
        <w:t xml:space="preserve">noodzakelijk, maar mag </w:t>
      </w:r>
      <w:r w:rsidR="0090513D" w:rsidRPr="00A33930">
        <w:rPr>
          <w:rFonts w:eastAsia="Verdana" w:cs="Verdana"/>
          <w:szCs w:val="18"/>
          <w:lang w:val="nl-NL"/>
        </w:rPr>
        <w:t xml:space="preserve">vooral </w:t>
      </w:r>
      <w:r w:rsidRPr="00A33930">
        <w:rPr>
          <w:rFonts w:eastAsia="Verdana" w:cs="Verdana"/>
          <w:szCs w:val="18"/>
          <w:lang w:val="nl-NL"/>
        </w:rPr>
        <w:t xml:space="preserve">geen drempel </w:t>
      </w:r>
      <w:r w:rsidR="00F83A3E" w:rsidRPr="00A33930">
        <w:rPr>
          <w:rFonts w:eastAsia="Verdana" w:cs="Verdana"/>
          <w:szCs w:val="18"/>
          <w:lang w:val="nl-NL"/>
        </w:rPr>
        <w:t>doen ontstaan ter naleving van</w:t>
      </w:r>
      <w:r w:rsidRPr="00A33930">
        <w:rPr>
          <w:rFonts w:eastAsia="Verdana" w:cs="Verdana"/>
          <w:szCs w:val="18"/>
          <w:lang w:val="nl-NL"/>
        </w:rPr>
        <w:t xml:space="preserve"> de mensenrechtelijke verplichtingen</w:t>
      </w:r>
      <w:r w:rsidR="0050644D" w:rsidRPr="00A33930">
        <w:rPr>
          <w:rFonts w:eastAsia="Verdana" w:cs="Verdana"/>
          <w:szCs w:val="18"/>
          <w:lang w:val="nl-NL"/>
        </w:rPr>
        <w:t xml:space="preserve">. </w:t>
      </w:r>
      <w:r w:rsidRPr="00A33930">
        <w:rPr>
          <w:rFonts w:eastAsia="Verdana" w:cs="Verdana"/>
          <w:szCs w:val="18"/>
          <w:lang w:val="nl-NL"/>
        </w:rPr>
        <w:t xml:space="preserve">De </w:t>
      </w:r>
      <w:r w:rsidR="008C6387" w:rsidRPr="00A33930">
        <w:rPr>
          <w:rFonts w:eastAsia="Verdana" w:cs="Verdana"/>
          <w:szCs w:val="18"/>
          <w:lang w:val="nl-NL"/>
        </w:rPr>
        <w:t>inhoud van het kinderrecht</w:t>
      </w:r>
      <w:r w:rsidRPr="00A33930">
        <w:rPr>
          <w:rFonts w:eastAsia="Verdana" w:cs="Verdana"/>
          <w:szCs w:val="18"/>
          <w:lang w:val="nl-NL"/>
        </w:rPr>
        <w:t xml:space="preserve"> </w:t>
      </w:r>
      <w:r w:rsidR="008C6387" w:rsidRPr="00A33930">
        <w:rPr>
          <w:rFonts w:eastAsia="Verdana" w:cs="Verdana"/>
          <w:szCs w:val="18"/>
          <w:lang w:val="nl-NL"/>
        </w:rPr>
        <w:t>neemt m</w:t>
      </w:r>
      <w:r w:rsidR="0050644D" w:rsidRPr="00A33930">
        <w:rPr>
          <w:rFonts w:eastAsia="Verdana" w:cs="Verdana"/>
          <w:szCs w:val="18"/>
          <w:lang w:val="nl-NL"/>
        </w:rPr>
        <w:t xml:space="preserve">ijns inziens </w:t>
      </w:r>
      <w:r w:rsidR="008C6387" w:rsidRPr="00A33930">
        <w:rPr>
          <w:rFonts w:eastAsia="Verdana" w:cs="Verdana"/>
          <w:szCs w:val="18"/>
          <w:lang w:val="nl-NL"/>
        </w:rPr>
        <w:t>binnen dit debat</w:t>
      </w:r>
      <w:r w:rsidRPr="00A33930">
        <w:rPr>
          <w:rFonts w:eastAsia="Verdana" w:cs="Verdana"/>
          <w:szCs w:val="18"/>
          <w:lang w:val="nl-NL"/>
        </w:rPr>
        <w:t xml:space="preserve"> een minder centrale plaats in, </w:t>
      </w:r>
      <w:r w:rsidR="008C6387" w:rsidRPr="00A33930">
        <w:rPr>
          <w:rFonts w:eastAsia="Verdana" w:cs="Verdana"/>
          <w:szCs w:val="18"/>
          <w:lang w:val="nl-NL"/>
        </w:rPr>
        <w:t xml:space="preserve">terwijl </w:t>
      </w:r>
      <w:r w:rsidRPr="00A33930">
        <w:rPr>
          <w:rFonts w:eastAsia="Verdana" w:cs="Verdana"/>
          <w:szCs w:val="18"/>
          <w:lang w:val="nl-NL"/>
        </w:rPr>
        <w:t xml:space="preserve">de uitoefening ervan </w:t>
      </w:r>
      <w:r w:rsidR="008C6387" w:rsidRPr="00A33930">
        <w:rPr>
          <w:rFonts w:eastAsia="Verdana" w:cs="Verdana"/>
          <w:szCs w:val="18"/>
          <w:lang w:val="nl-NL"/>
        </w:rPr>
        <w:t>onder het vergrootglas wordt gelegd</w:t>
      </w:r>
      <w:r w:rsidRPr="00A33930">
        <w:rPr>
          <w:rFonts w:eastAsia="Verdana" w:cs="Verdana"/>
          <w:szCs w:val="18"/>
          <w:lang w:val="nl-NL"/>
        </w:rPr>
        <w:t>.</w:t>
      </w:r>
      <w:r w:rsidR="008C6387" w:rsidRPr="00A33930">
        <w:rPr>
          <w:rFonts w:eastAsia="Verdana" w:cs="Verdana"/>
          <w:szCs w:val="18"/>
          <w:lang w:val="nl-NL"/>
        </w:rPr>
        <w:t xml:space="preserve"> Dat zou </w:t>
      </w:r>
      <w:r w:rsidR="0050644D" w:rsidRPr="00A33930">
        <w:rPr>
          <w:rFonts w:eastAsia="Verdana" w:cs="Verdana"/>
          <w:szCs w:val="18"/>
          <w:lang w:val="nl-NL"/>
        </w:rPr>
        <w:t>het tegenovergestelde</w:t>
      </w:r>
      <w:r w:rsidR="008C6387" w:rsidRPr="00A33930">
        <w:rPr>
          <w:rFonts w:eastAsia="Verdana" w:cs="Verdana"/>
          <w:szCs w:val="18"/>
          <w:lang w:val="nl-NL"/>
        </w:rPr>
        <w:t xml:space="preserve"> moeten zijn.</w:t>
      </w:r>
      <w:r w:rsidR="003538CC" w:rsidRPr="00A33930">
        <w:rPr>
          <w:rFonts w:eastAsia="Verdana" w:cs="Verdana"/>
          <w:szCs w:val="18"/>
          <w:lang w:val="nl-NL"/>
        </w:rPr>
        <w:t xml:space="preserve"> Zonder een duidelijke wettelijke basis, vormt de toepassing in de praktijk een heikel punt.</w:t>
      </w:r>
      <w:r w:rsidRPr="00A33930">
        <w:rPr>
          <w:rFonts w:eastAsia="Verdana" w:cs="Verdana"/>
          <w:szCs w:val="18"/>
          <w:lang w:val="nl-NL"/>
        </w:rPr>
        <w:t xml:space="preserve"> </w:t>
      </w:r>
      <w:r w:rsidR="005A1E20" w:rsidRPr="00A33930">
        <w:rPr>
          <w:rFonts w:eastAsia="Verdana" w:cs="Verdana"/>
          <w:szCs w:val="18"/>
          <w:lang w:val="nl-NL"/>
        </w:rPr>
        <w:t>Het</w:t>
      </w:r>
      <w:r w:rsidRPr="00A33930">
        <w:rPr>
          <w:rFonts w:eastAsia="Verdana" w:cs="Verdana"/>
          <w:szCs w:val="18"/>
          <w:lang w:val="nl-NL"/>
        </w:rPr>
        <w:t xml:space="preserve"> Belgische </w:t>
      </w:r>
      <w:r w:rsidR="0090513D" w:rsidRPr="00A33930">
        <w:rPr>
          <w:rFonts w:eastAsia="Verdana" w:cs="Verdana"/>
          <w:szCs w:val="18"/>
          <w:lang w:val="nl-NL"/>
        </w:rPr>
        <w:t>recht op persoonlijk contact</w:t>
      </w:r>
      <w:r w:rsidRPr="00A33930">
        <w:rPr>
          <w:rFonts w:eastAsia="Verdana" w:cs="Verdana"/>
          <w:szCs w:val="18"/>
          <w:lang w:val="nl-NL"/>
        </w:rPr>
        <w:t xml:space="preserve"> </w:t>
      </w:r>
      <w:r w:rsidR="005A1E20" w:rsidRPr="00A33930">
        <w:rPr>
          <w:rFonts w:eastAsia="Verdana" w:cs="Verdana"/>
          <w:szCs w:val="18"/>
          <w:lang w:val="nl-NL"/>
        </w:rPr>
        <w:t xml:space="preserve">moet </w:t>
      </w:r>
      <w:r w:rsidRPr="00A33930">
        <w:rPr>
          <w:rFonts w:eastAsia="Verdana" w:cs="Verdana"/>
          <w:szCs w:val="18"/>
          <w:lang w:val="nl-NL"/>
        </w:rPr>
        <w:t xml:space="preserve">zo georganiseerd worden dat een verwijzing naar het IVRK en EVRM </w:t>
      </w:r>
      <w:r w:rsidR="000E18A4" w:rsidRPr="00A33930">
        <w:rPr>
          <w:rFonts w:eastAsia="Verdana" w:cs="Verdana"/>
          <w:szCs w:val="18"/>
          <w:lang w:val="nl-NL"/>
        </w:rPr>
        <w:t>een bijkomstigheid</w:t>
      </w:r>
      <w:r w:rsidRPr="00A33930">
        <w:rPr>
          <w:rFonts w:eastAsia="Verdana" w:cs="Verdana"/>
          <w:szCs w:val="18"/>
          <w:lang w:val="nl-NL"/>
        </w:rPr>
        <w:t xml:space="preserve"> </w:t>
      </w:r>
      <w:r w:rsidR="008C6387" w:rsidRPr="00A33930">
        <w:rPr>
          <w:rFonts w:eastAsia="Verdana" w:cs="Verdana"/>
          <w:szCs w:val="18"/>
          <w:lang w:val="nl-NL"/>
        </w:rPr>
        <w:t>wordt</w:t>
      </w:r>
      <w:r w:rsidRPr="00A33930">
        <w:rPr>
          <w:rFonts w:eastAsia="Verdana" w:cs="Verdana"/>
          <w:szCs w:val="18"/>
          <w:lang w:val="nl-NL"/>
        </w:rPr>
        <w:t>.</w:t>
      </w:r>
      <w:r w:rsidR="005A1E20" w:rsidRPr="00A33930">
        <w:rPr>
          <w:rFonts w:eastAsia="Verdana" w:cs="Verdana"/>
          <w:szCs w:val="18"/>
          <w:lang w:val="nl-NL"/>
        </w:rPr>
        <w:t xml:space="preserve"> Dat zou een </w:t>
      </w:r>
      <w:r w:rsidR="0090513D" w:rsidRPr="00A33930">
        <w:rPr>
          <w:rFonts w:eastAsia="Verdana" w:cs="Verdana"/>
          <w:szCs w:val="18"/>
          <w:lang w:val="nl-NL"/>
        </w:rPr>
        <w:t>kinderrecht</w:t>
      </w:r>
      <w:r w:rsidR="005A1E20" w:rsidRPr="00A33930">
        <w:rPr>
          <w:rFonts w:eastAsia="Verdana" w:cs="Verdana"/>
          <w:szCs w:val="18"/>
          <w:lang w:val="nl-NL"/>
        </w:rPr>
        <w:t xml:space="preserve"> doen ontstaan dat zijn naam waardig is</w:t>
      </w:r>
      <w:r w:rsidR="005A1E20" w:rsidRPr="00A33930">
        <w:rPr>
          <w:rFonts w:eastAsia="Verdana" w:cs="Verdana"/>
          <w:iCs/>
          <w:szCs w:val="18"/>
          <w:lang w:val="nl-NL"/>
        </w:rPr>
        <w:t>.</w:t>
      </w:r>
    </w:p>
    <w:p w14:paraId="6CECC45F" w14:textId="06CFFDC4" w:rsidR="00E47D14" w:rsidRPr="00A33930" w:rsidRDefault="00034CBE" w:rsidP="00AF32B9">
      <w:pPr>
        <w:pStyle w:val="Lijstalinea"/>
        <w:spacing w:before="200" w:after="0"/>
        <w:ind w:left="0"/>
        <w:jc w:val="both"/>
        <w:rPr>
          <w:rFonts w:eastAsia="Verdana" w:cs="Verdana"/>
          <w:szCs w:val="18"/>
          <w:lang w:val="nl-NL"/>
        </w:rPr>
      </w:pPr>
      <w:r w:rsidRPr="00A33930">
        <w:rPr>
          <w:rFonts w:eastAsia="Verdana" w:cs="Verdana"/>
          <w:iCs/>
          <w:szCs w:val="18"/>
          <w:lang w:val="nl-NL"/>
        </w:rPr>
        <w:br w:type="page"/>
      </w:r>
      <w:bookmarkStart w:id="46" w:name="_Toc134621205"/>
    </w:p>
    <w:p w14:paraId="3B1DB380" w14:textId="4857D755" w:rsidR="007A4C05" w:rsidRPr="00A33930" w:rsidRDefault="00824F78" w:rsidP="006B5C19">
      <w:pPr>
        <w:pStyle w:val="Kop1"/>
        <w:jc w:val="both"/>
        <w:rPr>
          <w:sz w:val="24"/>
          <w:lang w:val="nl-NL"/>
        </w:rPr>
      </w:pPr>
      <w:r w:rsidRPr="00A33930">
        <w:rPr>
          <w:sz w:val="24"/>
          <w:lang w:val="nl-NL"/>
        </w:rPr>
        <w:lastRenderedPageBreak/>
        <w:t>BIBLIOGRAFIE</w:t>
      </w:r>
      <w:bookmarkEnd w:id="46"/>
    </w:p>
    <w:p w14:paraId="12C0A30A" w14:textId="024B197F" w:rsidR="00DA3ECE" w:rsidRPr="00A33930" w:rsidRDefault="00DA3ECE" w:rsidP="00DF3653">
      <w:pPr>
        <w:spacing w:line="480" w:lineRule="auto"/>
        <w:rPr>
          <w:b/>
          <w:bCs/>
          <w:sz w:val="21"/>
          <w:szCs w:val="32"/>
          <w:u w:val="single"/>
          <w:lang w:val="nl-NL"/>
        </w:rPr>
      </w:pPr>
      <w:r w:rsidRPr="00A33930">
        <w:rPr>
          <w:b/>
          <w:bCs/>
          <w:sz w:val="21"/>
          <w:szCs w:val="32"/>
          <w:u w:val="single"/>
          <w:lang w:val="nl-NL"/>
        </w:rPr>
        <w:t>WETGEVING</w:t>
      </w:r>
    </w:p>
    <w:p w14:paraId="2F30AC4A" w14:textId="24F4A88F" w:rsidR="0016225C" w:rsidRPr="00A33930" w:rsidRDefault="0016225C" w:rsidP="0016225C">
      <w:pPr>
        <w:spacing w:before="120" w:after="120" w:line="360" w:lineRule="auto"/>
        <w:jc w:val="both"/>
        <w:rPr>
          <w:rFonts w:eastAsia="Verdana" w:cs="Verdana"/>
          <w:b/>
          <w:bCs/>
          <w:i/>
          <w:lang w:val="nl-NL"/>
        </w:rPr>
      </w:pPr>
      <w:r w:rsidRPr="00A33930">
        <w:rPr>
          <w:rFonts w:eastAsia="Verdana" w:cs="Verdana"/>
          <w:b/>
          <w:bCs/>
          <w:i/>
          <w:lang w:val="nl-NL"/>
        </w:rPr>
        <w:t>Internationaal:</w:t>
      </w:r>
    </w:p>
    <w:p w14:paraId="3D93E1BB" w14:textId="6AC3A171" w:rsidR="00611390" w:rsidRPr="00A33930" w:rsidRDefault="00611390" w:rsidP="0016225C">
      <w:pPr>
        <w:spacing w:before="140" w:line="360" w:lineRule="auto"/>
        <w:jc w:val="both"/>
        <w:rPr>
          <w:rFonts w:eastAsia="Verdana" w:cs="Verdana"/>
          <w:szCs w:val="18"/>
          <w:lang w:val="nl-NL"/>
        </w:rPr>
      </w:pPr>
      <w:r w:rsidRPr="00A33930">
        <w:rPr>
          <w:rFonts w:eastAsia="Verdana" w:cs="Verdana"/>
          <w:szCs w:val="18"/>
          <w:lang w:val="nl-NL"/>
        </w:rPr>
        <w:t xml:space="preserve">Universele Verklaring van 10 december 1948 van de Rechten van de Mens, </w:t>
      </w:r>
      <w:r w:rsidRPr="00A33930">
        <w:rPr>
          <w:rFonts w:eastAsia="Verdana" w:cs="Verdana"/>
          <w:i/>
          <w:iCs/>
          <w:szCs w:val="18"/>
          <w:lang w:val="nl-NL"/>
        </w:rPr>
        <w:t>BS</w:t>
      </w:r>
      <w:r w:rsidRPr="00A33930">
        <w:rPr>
          <w:rFonts w:eastAsia="Verdana" w:cs="Verdana"/>
          <w:szCs w:val="18"/>
          <w:lang w:val="nl-NL"/>
        </w:rPr>
        <w:t xml:space="preserve"> 31 maart 1949. </w:t>
      </w:r>
    </w:p>
    <w:p w14:paraId="6F87D554" w14:textId="652140D9" w:rsidR="0016225C" w:rsidRPr="00A33930" w:rsidRDefault="0016225C" w:rsidP="0016225C">
      <w:pPr>
        <w:spacing w:before="140" w:line="360" w:lineRule="auto"/>
        <w:jc w:val="both"/>
        <w:rPr>
          <w:rFonts w:eastAsia="Verdana" w:cs="Verdana"/>
          <w:szCs w:val="18"/>
          <w:lang w:val="nl-NL"/>
        </w:rPr>
      </w:pPr>
      <w:r w:rsidRPr="00A33930">
        <w:rPr>
          <w:rFonts w:eastAsia="Verdana" w:cs="Verdana"/>
          <w:szCs w:val="18"/>
          <w:lang w:val="nl-NL"/>
        </w:rPr>
        <w:t xml:space="preserve">Verdrag 20 november 1989 inzake de Rechten van het Kind, </w:t>
      </w:r>
      <w:r w:rsidRPr="00A33930">
        <w:rPr>
          <w:rFonts w:eastAsia="Verdana" w:cs="Verdana"/>
          <w:i/>
          <w:szCs w:val="18"/>
          <w:lang w:val="nl-NL"/>
        </w:rPr>
        <w:t>BS</w:t>
      </w:r>
      <w:r w:rsidRPr="00A33930">
        <w:rPr>
          <w:rFonts w:eastAsia="Verdana" w:cs="Verdana"/>
          <w:szCs w:val="18"/>
          <w:lang w:val="nl-NL"/>
        </w:rPr>
        <w:t xml:space="preserve"> 17 januari 1992.</w:t>
      </w:r>
    </w:p>
    <w:p w14:paraId="47C1A364" w14:textId="649F6A99" w:rsidR="008C0B48" w:rsidRPr="00A33930" w:rsidRDefault="008C0B48" w:rsidP="0016225C">
      <w:pPr>
        <w:spacing w:before="140" w:line="360" w:lineRule="auto"/>
        <w:jc w:val="both"/>
        <w:rPr>
          <w:rFonts w:eastAsia="Verdana" w:cs="Verdana"/>
          <w:szCs w:val="18"/>
          <w:lang w:val="nl-NL"/>
        </w:rPr>
      </w:pPr>
      <w:r w:rsidRPr="00A33930">
        <w:rPr>
          <w:rFonts w:eastAsia="Verdana" w:cs="Verdana"/>
          <w:szCs w:val="18"/>
          <w:lang w:val="nl-NL"/>
        </w:rPr>
        <w:t xml:space="preserve">General Comment no. 4 of the UN Committee on the Rights of the Child on adolescent health and development in the context of the Convention on the Rights of the Child, 1 </w:t>
      </w:r>
      <w:r w:rsidR="00014ED3" w:rsidRPr="00A33930">
        <w:rPr>
          <w:rFonts w:eastAsia="Verdana" w:cs="Verdana"/>
          <w:szCs w:val="18"/>
          <w:lang w:val="nl-NL"/>
        </w:rPr>
        <w:t>j</w:t>
      </w:r>
      <w:r w:rsidRPr="00A33930">
        <w:rPr>
          <w:rFonts w:eastAsia="Verdana" w:cs="Verdana"/>
          <w:szCs w:val="18"/>
          <w:lang w:val="nl-NL"/>
        </w:rPr>
        <w:t>uli 2003, CRC/GC/2003/4.</w:t>
      </w:r>
    </w:p>
    <w:p w14:paraId="59277708" w14:textId="77777777" w:rsidR="008C0B48" w:rsidRPr="00A33930" w:rsidRDefault="008C0B48" w:rsidP="008C0B48">
      <w:pPr>
        <w:spacing w:before="140" w:line="360" w:lineRule="auto"/>
        <w:jc w:val="both"/>
        <w:rPr>
          <w:rFonts w:eastAsia="Verdana" w:cs="Verdana"/>
          <w:szCs w:val="18"/>
          <w:lang w:val="nl-NL"/>
        </w:rPr>
      </w:pPr>
      <w:r w:rsidRPr="00A33930">
        <w:rPr>
          <w:rFonts w:eastAsia="Verdana" w:cs="Verdana"/>
          <w:szCs w:val="18"/>
          <w:lang w:val="nl-NL"/>
        </w:rPr>
        <w:t>General Comment no. 5 of the UN Committee on the Rights of the Child on general measures of implementation of the Convention on the Rights of the child, 27 november 2003, CRC/GC/2003/5.</w:t>
      </w:r>
    </w:p>
    <w:p w14:paraId="7111F66C" w14:textId="0C3B1361" w:rsidR="008C0B48" w:rsidRPr="00A33930" w:rsidRDefault="008C0B48" w:rsidP="0016225C">
      <w:pPr>
        <w:spacing w:before="140" w:line="360" w:lineRule="auto"/>
        <w:jc w:val="both"/>
        <w:rPr>
          <w:rFonts w:eastAsia="Verdana" w:cs="Verdana"/>
          <w:szCs w:val="18"/>
          <w:lang w:val="nl-NL"/>
        </w:rPr>
      </w:pPr>
      <w:r w:rsidRPr="00A33930">
        <w:rPr>
          <w:rFonts w:eastAsia="Verdana" w:cs="Verdana"/>
          <w:szCs w:val="18"/>
          <w:lang w:val="nl-NL"/>
        </w:rPr>
        <w:t>General Comment no. 7 of the UN Committee on the Rights of the Child on implementing child rights in early childhood, 20 september 2006, CRC/C/GC/7/Rev.1.</w:t>
      </w:r>
    </w:p>
    <w:p w14:paraId="3288133C" w14:textId="77777777" w:rsidR="00611390" w:rsidRPr="00A33930" w:rsidRDefault="00611390" w:rsidP="00611390">
      <w:pPr>
        <w:spacing w:before="140" w:line="360" w:lineRule="auto"/>
        <w:jc w:val="both"/>
        <w:rPr>
          <w:rFonts w:eastAsia="Verdana" w:cs="Verdana"/>
          <w:szCs w:val="18"/>
          <w:lang w:val="nl-NL"/>
        </w:rPr>
      </w:pPr>
      <w:r w:rsidRPr="00A33930">
        <w:rPr>
          <w:rFonts w:eastAsia="Verdana" w:cs="Verdana"/>
          <w:szCs w:val="18"/>
          <w:lang w:val="nl-NL"/>
        </w:rPr>
        <w:t>General Comment no. 12 of the UN Committee on the Rights of the Child on the right of the child to be heard, 1 juli 2019, CRC/C/GC/12.</w:t>
      </w:r>
    </w:p>
    <w:p w14:paraId="238AFF28" w14:textId="276C80C0" w:rsidR="0016225C" w:rsidRPr="00A33930" w:rsidRDefault="00611390" w:rsidP="0016225C">
      <w:pPr>
        <w:spacing w:before="140" w:line="360" w:lineRule="auto"/>
        <w:jc w:val="both"/>
        <w:rPr>
          <w:rFonts w:eastAsia="Verdana" w:cs="Verdana"/>
          <w:szCs w:val="18"/>
          <w:lang w:val="nl-NL"/>
        </w:rPr>
      </w:pPr>
      <w:r w:rsidRPr="00A33930">
        <w:rPr>
          <w:rFonts w:eastAsia="Verdana" w:cs="Verdana"/>
          <w:szCs w:val="18"/>
          <w:lang w:val="nl-NL"/>
        </w:rPr>
        <w:t>General Comment no. 14 of the UN Committee on the Rights of the Child on the right of the child to have his or her best interests taken as a primary consideration, 29 mei 2013, CRC/C/GC/14.</w:t>
      </w:r>
    </w:p>
    <w:p w14:paraId="08940D89" w14:textId="77777777" w:rsidR="006B5C19" w:rsidRPr="00A33930" w:rsidRDefault="006B5C19" w:rsidP="0016225C">
      <w:pPr>
        <w:spacing w:before="140" w:line="360" w:lineRule="auto"/>
        <w:jc w:val="both"/>
        <w:rPr>
          <w:rFonts w:eastAsia="Verdana" w:cs="Verdana"/>
          <w:szCs w:val="18"/>
          <w:lang w:val="nl-NL"/>
        </w:rPr>
      </w:pPr>
    </w:p>
    <w:p w14:paraId="282983C0" w14:textId="0858BDCC" w:rsidR="0016225C" w:rsidRPr="00A33930" w:rsidRDefault="0016225C" w:rsidP="0016225C">
      <w:pPr>
        <w:spacing w:before="140" w:line="360" w:lineRule="auto"/>
        <w:jc w:val="both"/>
        <w:rPr>
          <w:rFonts w:eastAsia="Verdana" w:cs="Verdana"/>
          <w:b/>
          <w:bCs/>
          <w:i/>
          <w:lang w:val="nl-NL"/>
        </w:rPr>
      </w:pPr>
      <w:r w:rsidRPr="00A33930">
        <w:rPr>
          <w:rFonts w:eastAsia="Verdana" w:cs="Verdana"/>
          <w:b/>
          <w:bCs/>
          <w:i/>
          <w:lang w:val="nl-NL"/>
        </w:rPr>
        <w:t>Europees</w:t>
      </w:r>
      <w:r w:rsidR="008354CD" w:rsidRPr="00A33930">
        <w:rPr>
          <w:rFonts w:eastAsia="Verdana" w:cs="Verdana"/>
          <w:b/>
          <w:bCs/>
          <w:i/>
          <w:lang w:val="nl-NL"/>
        </w:rPr>
        <w:t>:</w:t>
      </w:r>
    </w:p>
    <w:p w14:paraId="6B069958" w14:textId="77777777" w:rsidR="0016225C" w:rsidRPr="00A33930" w:rsidRDefault="0016225C" w:rsidP="0016225C">
      <w:pPr>
        <w:spacing w:before="140" w:line="360" w:lineRule="auto"/>
        <w:jc w:val="both"/>
        <w:rPr>
          <w:rFonts w:eastAsia="Verdana" w:cs="Verdana"/>
          <w:szCs w:val="18"/>
          <w:lang w:val="nl-NL"/>
        </w:rPr>
      </w:pPr>
      <w:r w:rsidRPr="00A33930">
        <w:rPr>
          <w:rFonts w:eastAsia="Verdana" w:cs="Verdana"/>
          <w:szCs w:val="18"/>
          <w:lang w:val="nl-NL"/>
        </w:rPr>
        <w:t xml:space="preserve">Verdrag 4 november 1950 tot bescherming van de rechten van de mens en de fundamentele vrijheden, </w:t>
      </w:r>
      <w:r w:rsidRPr="00A33930">
        <w:rPr>
          <w:rFonts w:eastAsia="Verdana" w:cs="Verdana"/>
          <w:i/>
          <w:szCs w:val="18"/>
          <w:lang w:val="nl-NL"/>
        </w:rPr>
        <w:t>BS</w:t>
      </w:r>
      <w:r w:rsidRPr="00A33930">
        <w:rPr>
          <w:rFonts w:eastAsia="Verdana" w:cs="Verdana"/>
          <w:szCs w:val="18"/>
          <w:lang w:val="nl-NL"/>
        </w:rPr>
        <w:t xml:space="preserve"> 19 augustus 1955.</w:t>
      </w:r>
    </w:p>
    <w:p w14:paraId="300FE830" w14:textId="77777777" w:rsidR="0016225C" w:rsidRPr="00A33930" w:rsidRDefault="0016225C" w:rsidP="0016225C">
      <w:pPr>
        <w:spacing w:before="140" w:line="360" w:lineRule="auto"/>
        <w:jc w:val="both"/>
        <w:rPr>
          <w:rFonts w:eastAsia="Verdana" w:cs="Verdana"/>
          <w:szCs w:val="18"/>
          <w:lang w:val="nl-NL"/>
        </w:rPr>
      </w:pPr>
      <w:r w:rsidRPr="00A33930">
        <w:rPr>
          <w:rFonts w:eastAsia="Verdana" w:cs="Verdana"/>
          <w:szCs w:val="18"/>
          <w:lang w:val="nl-NL"/>
        </w:rPr>
        <w:t xml:space="preserve">Verdrag 25 januari 1996 inzake de Uitoefening van de Rechten van het Kind, </w:t>
      </w:r>
      <w:r w:rsidRPr="00A33930">
        <w:rPr>
          <w:rFonts w:eastAsia="Verdana" w:cs="Verdana"/>
          <w:i/>
          <w:szCs w:val="18"/>
          <w:lang w:val="nl-NL"/>
        </w:rPr>
        <w:t>European Treaty Series</w:t>
      </w:r>
      <w:r w:rsidRPr="00A33930">
        <w:rPr>
          <w:rFonts w:eastAsia="Verdana" w:cs="Verdana"/>
          <w:szCs w:val="18"/>
          <w:lang w:val="nl-NL"/>
        </w:rPr>
        <w:t>, nr. 160.</w:t>
      </w:r>
    </w:p>
    <w:p w14:paraId="6D4B34A1" w14:textId="77777777" w:rsidR="0016225C" w:rsidRPr="00A33930" w:rsidRDefault="0016225C" w:rsidP="0016225C">
      <w:pPr>
        <w:spacing w:before="140" w:line="360" w:lineRule="auto"/>
        <w:jc w:val="both"/>
        <w:rPr>
          <w:rFonts w:eastAsia="Verdana" w:cs="Verdana"/>
          <w:szCs w:val="18"/>
          <w:lang w:val="nl-NL"/>
        </w:rPr>
      </w:pPr>
      <w:r w:rsidRPr="00A33930">
        <w:rPr>
          <w:rFonts w:eastAsia="Verdana" w:cs="Verdana"/>
          <w:szCs w:val="18"/>
          <w:lang w:val="nl-NL"/>
        </w:rPr>
        <w:t xml:space="preserve">Verdrag 15 mei 2003 inzake contact met kinderen, </w:t>
      </w:r>
      <w:r w:rsidRPr="00A33930">
        <w:rPr>
          <w:rFonts w:eastAsia="Verdana" w:cs="Verdana"/>
          <w:i/>
          <w:szCs w:val="18"/>
          <w:lang w:val="nl-NL"/>
        </w:rPr>
        <w:t>European Treaty Series</w:t>
      </w:r>
      <w:r w:rsidRPr="00A33930">
        <w:rPr>
          <w:rFonts w:eastAsia="Verdana" w:cs="Verdana"/>
          <w:szCs w:val="18"/>
          <w:lang w:val="nl-NL"/>
        </w:rPr>
        <w:t>, nr. 192.</w:t>
      </w:r>
    </w:p>
    <w:p w14:paraId="4C4D87B5" w14:textId="77FCBD00" w:rsidR="0016225C" w:rsidRPr="00A33930" w:rsidRDefault="0016225C" w:rsidP="0016225C">
      <w:pPr>
        <w:spacing w:before="140" w:line="360" w:lineRule="auto"/>
        <w:jc w:val="both"/>
        <w:rPr>
          <w:rFonts w:eastAsia="Verdana" w:cs="Verdana"/>
          <w:szCs w:val="18"/>
          <w:lang w:val="nl-NL"/>
        </w:rPr>
      </w:pPr>
      <w:r w:rsidRPr="00A33930">
        <w:rPr>
          <w:rFonts w:eastAsia="Verdana" w:cs="Verdana"/>
          <w:szCs w:val="18"/>
          <w:lang w:val="nl-NL"/>
        </w:rPr>
        <w:t xml:space="preserve">Handvest van de Grondrechten van de Europese Unie van 7 december 2000, </w:t>
      </w:r>
      <w:r w:rsidRPr="00A33930">
        <w:rPr>
          <w:rFonts w:eastAsia="Verdana" w:cs="Verdana"/>
          <w:i/>
          <w:szCs w:val="18"/>
          <w:lang w:val="nl-NL"/>
        </w:rPr>
        <w:t>Pb.L.</w:t>
      </w:r>
      <w:r w:rsidRPr="00A33930">
        <w:rPr>
          <w:rFonts w:eastAsia="Verdana" w:cs="Verdana"/>
          <w:szCs w:val="18"/>
          <w:lang w:val="nl-NL"/>
        </w:rPr>
        <w:t xml:space="preserve"> 18 december 2000, afl. 364, 1-22.</w:t>
      </w:r>
    </w:p>
    <w:p w14:paraId="2962E8B2" w14:textId="77777777" w:rsidR="00326BF2" w:rsidRPr="00A33930" w:rsidRDefault="00326BF2" w:rsidP="00326BF2">
      <w:pPr>
        <w:spacing w:before="140" w:line="360" w:lineRule="auto"/>
        <w:jc w:val="both"/>
        <w:rPr>
          <w:rFonts w:eastAsia="Verdana" w:cs="Verdana"/>
          <w:szCs w:val="18"/>
          <w:lang w:val="nl-NL"/>
        </w:rPr>
      </w:pPr>
      <w:r w:rsidRPr="00A33930">
        <w:rPr>
          <w:rFonts w:eastAsia="Verdana" w:cs="Verdana"/>
          <w:szCs w:val="18"/>
          <w:lang w:val="nl-NL"/>
        </w:rPr>
        <w:t xml:space="preserve">Aanbeveling 874 van 4 oktober 1979 betreffende een Europees Charter betreffende de Rechten van het Kind, aangenomen door de Parlementaire Vergadering van de Raad van Europa. </w:t>
      </w:r>
    </w:p>
    <w:p w14:paraId="5285BF97" w14:textId="77777777" w:rsidR="00326BF2" w:rsidRPr="00A33930" w:rsidRDefault="00326BF2" w:rsidP="00326BF2">
      <w:pPr>
        <w:spacing w:before="140" w:line="360" w:lineRule="auto"/>
        <w:jc w:val="both"/>
        <w:rPr>
          <w:rFonts w:eastAsia="Verdana" w:cs="Verdana"/>
          <w:szCs w:val="18"/>
          <w:lang w:val="nl-NL"/>
        </w:rPr>
      </w:pPr>
      <w:r w:rsidRPr="00A33930">
        <w:rPr>
          <w:rFonts w:eastAsia="Verdana" w:cs="Verdana"/>
          <w:szCs w:val="18"/>
          <w:lang w:val="nl-NL"/>
        </w:rPr>
        <w:t>Aanbeveling 1121 van 1 februari 1990 betreffende de rechten van kinderen, aangenomen door de Parlementaire Vergadering van de Raad van Europa.</w:t>
      </w:r>
    </w:p>
    <w:p w14:paraId="7013F645" w14:textId="19AB4E4A" w:rsidR="00326BF2" w:rsidRPr="00A33930" w:rsidRDefault="00326BF2" w:rsidP="00326BF2">
      <w:pPr>
        <w:spacing w:before="140" w:line="360" w:lineRule="auto"/>
        <w:jc w:val="both"/>
        <w:rPr>
          <w:rFonts w:eastAsia="Verdana" w:cs="Verdana"/>
          <w:szCs w:val="18"/>
          <w:lang w:val="nl-NL"/>
        </w:rPr>
      </w:pPr>
      <w:r w:rsidRPr="00A33930">
        <w:rPr>
          <w:rFonts w:eastAsia="Verdana" w:cs="Verdana"/>
          <w:szCs w:val="18"/>
          <w:lang w:val="nl-NL"/>
        </w:rPr>
        <w:t xml:space="preserve">Toelichting bij het Europees Verdrag van 25 januari 1996 inzake de Uitoefening van de Rechten van het Kind, </w:t>
      </w:r>
      <w:r w:rsidRPr="00A33930">
        <w:rPr>
          <w:rFonts w:eastAsia="Verdana" w:cs="Verdana"/>
          <w:i/>
          <w:iCs/>
          <w:szCs w:val="18"/>
          <w:lang w:val="nl-NL"/>
        </w:rPr>
        <w:t>European Treaty Series</w:t>
      </w:r>
      <w:r w:rsidRPr="00A33930">
        <w:rPr>
          <w:rFonts w:eastAsia="Verdana" w:cs="Verdana"/>
          <w:szCs w:val="18"/>
          <w:lang w:val="nl-NL"/>
        </w:rPr>
        <w:t>, nr. 160.</w:t>
      </w:r>
    </w:p>
    <w:p w14:paraId="48DB9CEB" w14:textId="1ADCE87E" w:rsidR="00326BF2" w:rsidRPr="00A33930" w:rsidRDefault="00326BF2" w:rsidP="00326BF2">
      <w:pPr>
        <w:spacing w:before="140" w:line="360" w:lineRule="auto"/>
        <w:jc w:val="both"/>
        <w:rPr>
          <w:rFonts w:eastAsia="Verdana" w:cs="Verdana"/>
          <w:szCs w:val="18"/>
          <w:lang w:val="nl-NL"/>
        </w:rPr>
      </w:pPr>
      <w:r w:rsidRPr="00A33930">
        <w:rPr>
          <w:rFonts w:eastAsia="Verdana" w:cs="Verdana"/>
          <w:szCs w:val="18"/>
          <w:lang w:val="nl-NL"/>
        </w:rPr>
        <w:t xml:space="preserve">Toelichting bij het Verdrag van Straatsburg van 15 mei 2003 inzake contact met kinderen, </w:t>
      </w:r>
      <w:r w:rsidRPr="00A33930">
        <w:rPr>
          <w:rFonts w:eastAsia="Verdana" w:cs="Verdana"/>
          <w:i/>
          <w:iCs/>
          <w:szCs w:val="18"/>
          <w:lang w:val="nl-NL"/>
        </w:rPr>
        <w:t>European Treaty Series</w:t>
      </w:r>
      <w:r w:rsidRPr="00A33930">
        <w:rPr>
          <w:rFonts w:eastAsia="Verdana" w:cs="Verdana"/>
          <w:szCs w:val="18"/>
          <w:lang w:val="nl-NL"/>
        </w:rPr>
        <w:t>, nr. 192.</w:t>
      </w:r>
    </w:p>
    <w:p w14:paraId="35EB9293" w14:textId="6EC076E4" w:rsidR="00326BF2" w:rsidRPr="00A33930" w:rsidRDefault="00326BF2" w:rsidP="0016225C">
      <w:pPr>
        <w:spacing w:before="140" w:line="360" w:lineRule="auto"/>
        <w:jc w:val="both"/>
        <w:rPr>
          <w:rFonts w:eastAsia="Verdana" w:cs="Verdana"/>
          <w:szCs w:val="18"/>
          <w:lang w:val="nl-NL"/>
        </w:rPr>
      </w:pPr>
      <w:r w:rsidRPr="00A33930">
        <w:rPr>
          <w:rFonts w:eastAsia="Verdana" w:cs="Verdana"/>
          <w:szCs w:val="18"/>
          <w:lang w:val="nl-NL"/>
        </w:rPr>
        <w:lastRenderedPageBreak/>
        <w:t xml:space="preserve">Toelichting bij het Handvest van de Grondrechten van 7 december 2000, </w:t>
      </w:r>
      <w:r w:rsidRPr="00A33930">
        <w:rPr>
          <w:rFonts w:eastAsia="Verdana" w:cs="Verdana"/>
          <w:i/>
          <w:iCs/>
          <w:szCs w:val="18"/>
          <w:lang w:val="nl-NL"/>
        </w:rPr>
        <w:t>Pb.L.</w:t>
      </w:r>
      <w:r w:rsidRPr="00A33930">
        <w:rPr>
          <w:rFonts w:eastAsia="Verdana" w:cs="Verdana"/>
          <w:szCs w:val="18"/>
          <w:lang w:val="nl-NL"/>
        </w:rPr>
        <w:t xml:space="preserve"> 14 december 2007, afl. 303.</w:t>
      </w:r>
    </w:p>
    <w:p w14:paraId="7F3EBF1C" w14:textId="689DF745" w:rsidR="0077608D" w:rsidRPr="00A33930" w:rsidRDefault="0077608D" w:rsidP="0077608D">
      <w:pPr>
        <w:spacing w:before="140" w:line="360" w:lineRule="auto"/>
        <w:jc w:val="both"/>
        <w:rPr>
          <w:rFonts w:eastAsia="Verdana" w:cs="Verdana"/>
          <w:szCs w:val="18"/>
          <w:lang w:val="nl-NL"/>
        </w:rPr>
      </w:pPr>
      <w:r w:rsidRPr="00A33930">
        <w:rPr>
          <w:rFonts w:eastAsia="Verdana" w:cs="Verdana"/>
          <w:szCs w:val="18"/>
          <w:lang w:val="nl-NL"/>
        </w:rPr>
        <w:t>Voorstel (Comm.) voor een besluit van de Raad betreffende de ondertekening door de Europese Gemeenschap van het Verdrag van de Raad van Europa inzake contact met kinderen, 28 januari 2003, COM(2002)520 def.</w:t>
      </w:r>
    </w:p>
    <w:p w14:paraId="136E083D" w14:textId="79AC6201" w:rsidR="0077608D" w:rsidRPr="00A33930" w:rsidRDefault="0077608D" w:rsidP="0016225C">
      <w:pPr>
        <w:spacing w:before="140" w:line="360" w:lineRule="auto"/>
        <w:jc w:val="both"/>
        <w:rPr>
          <w:rFonts w:eastAsia="Verdana" w:cs="Verdana"/>
          <w:szCs w:val="18"/>
          <w:lang w:val="nl-NL"/>
        </w:rPr>
      </w:pPr>
      <w:r w:rsidRPr="00A33930">
        <w:rPr>
          <w:rFonts w:eastAsia="Verdana" w:cs="Verdana"/>
          <w:szCs w:val="18"/>
          <w:lang w:val="nl-NL"/>
        </w:rPr>
        <w:t>Mededeling (Comm.) voor een EU-agenda voor de rechten van het kind, 15 februari 2011, COM(2011) 0060 def.</w:t>
      </w:r>
    </w:p>
    <w:p w14:paraId="66A6FC79" w14:textId="77777777" w:rsidR="0016225C" w:rsidRPr="00A33930" w:rsidRDefault="0016225C" w:rsidP="0016225C">
      <w:pPr>
        <w:rPr>
          <w:lang w:val="nl-NL" w:eastAsia="en-US"/>
        </w:rPr>
      </w:pPr>
    </w:p>
    <w:p w14:paraId="033B6877" w14:textId="77777777" w:rsidR="00DA3ECE" w:rsidRPr="00A33930" w:rsidRDefault="00DA3ECE" w:rsidP="00DA3ECE">
      <w:pPr>
        <w:spacing w:before="120" w:after="120" w:line="360" w:lineRule="auto"/>
        <w:jc w:val="both"/>
        <w:rPr>
          <w:rFonts w:eastAsia="Verdana" w:cs="Verdana"/>
          <w:b/>
          <w:bCs/>
          <w:i/>
          <w:lang w:val="nl-NL"/>
        </w:rPr>
      </w:pPr>
      <w:r w:rsidRPr="00A33930">
        <w:rPr>
          <w:rFonts w:eastAsia="Verdana" w:cs="Verdana"/>
          <w:b/>
          <w:bCs/>
          <w:i/>
          <w:lang w:val="nl-NL"/>
        </w:rPr>
        <w:t>België:</w:t>
      </w:r>
    </w:p>
    <w:p w14:paraId="570905C2" w14:textId="77777777" w:rsidR="008C0B48" w:rsidRPr="00A33930" w:rsidRDefault="008C0B48" w:rsidP="008C0B48">
      <w:pPr>
        <w:spacing w:before="240" w:after="240" w:line="360" w:lineRule="auto"/>
        <w:jc w:val="both"/>
        <w:rPr>
          <w:rFonts w:eastAsia="Verdana" w:cs="Verdana"/>
          <w:szCs w:val="18"/>
          <w:lang w:val="nl-NL"/>
        </w:rPr>
      </w:pPr>
      <w:r w:rsidRPr="00A33930">
        <w:rPr>
          <w:rFonts w:eastAsia="Verdana" w:cs="Verdana"/>
          <w:szCs w:val="18"/>
          <w:lang w:val="nl-NL"/>
        </w:rPr>
        <w:t xml:space="preserve">De gecoördineerde Grondwet van 17 februari 1994, </w:t>
      </w:r>
      <w:r w:rsidRPr="00A33930">
        <w:rPr>
          <w:rFonts w:eastAsia="Verdana" w:cs="Verdana"/>
          <w:i/>
          <w:szCs w:val="18"/>
          <w:lang w:val="nl-NL"/>
        </w:rPr>
        <w:t>BS</w:t>
      </w:r>
      <w:r w:rsidRPr="00A33930">
        <w:rPr>
          <w:rFonts w:eastAsia="Verdana" w:cs="Verdana"/>
          <w:szCs w:val="18"/>
          <w:lang w:val="nl-NL"/>
        </w:rPr>
        <w:t xml:space="preserve"> 17 februari 1994.</w:t>
      </w:r>
    </w:p>
    <w:p w14:paraId="192348B1" w14:textId="77777777" w:rsidR="00DA3ECE" w:rsidRPr="00A33930" w:rsidRDefault="00DA3ECE" w:rsidP="00611390">
      <w:pPr>
        <w:spacing w:before="240" w:after="240" w:line="360" w:lineRule="auto"/>
        <w:jc w:val="both"/>
        <w:rPr>
          <w:rFonts w:eastAsia="Verdana" w:cs="Verdana"/>
          <w:szCs w:val="18"/>
          <w:lang w:val="nl-NL"/>
        </w:rPr>
      </w:pPr>
      <w:r w:rsidRPr="00A33930">
        <w:rPr>
          <w:rFonts w:eastAsia="Verdana" w:cs="Verdana"/>
          <w:szCs w:val="18"/>
          <w:lang w:val="nl-NL"/>
        </w:rPr>
        <w:t xml:space="preserve">Burgerlijk Wetboek van 21 maart 1804, </w:t>
      </w:r>
      <w:r w:rsidRPr="00A33930">
        <w:rPr>
          <w:rFonts w:eastAsia="Verdana" w:cs="Verdana"/>
          <w:i/>
          <w:szCs w:val="18"/>
          <w:lang w:val="nl-NL"/>
        </w:rPr>
        <w:t>BS</w:t>
      </w:r>
      <w:r w:rsidRPr="00A33930">
        <w:rPr>
          <w:rFonts w:eastAsia="Verdana" w:cs="Verdana"/>
          <w:szCs w:val="18"/>
          <w:lang w:val="nl-NL"/>
        </w:rPr>
        <w:t xml:space="preserve"> 3 september 1807.</w:t>
      </w:r>
    </w:p>
    <w:p w14:paraId="79A86F43" w14:textId="77777777" w:rsidR="00DA3ECE" w:rsidRPr="00A33930" w:rsidRDefault="00DA3ECE" w:rsidP="00611390">
      <w:pPr>
        <w:spacing w:before="240" w:after="240" w:line="360" w:lineRule="auto"/>
        <w:jc w:val="both"/>
        <w:rPr>
          <w:rFonts w:eastAsia="Verdana" w:cs="Verdana"/>
          <w:szCs w:val="18"/>
          <w:lang w:val="nl-NL"/>
        </w:rPr>
      </w:pPr>
      <w:r w:rsidRPr="00A33930">
        <w:rPr>
          <w:rFonts w:eastAsia="Verdana" w:cs="Verdana"/>
          <w:szCs w:val="18"/>
          <w:lang w:val="nl-NL"/>
        </w:rPr>
        <w:t xml:space="preserve">Gerechtelijk Wetboek van 10 oktober 1967, </w:t>
      </w:r>
      <w:r w:rsidRPr="00A33930">
        <w:rPr>
          <w:rFonts w:eastAsia="Verdana" w:cs="Verdana"/>
          <w:i/>
          <w:szCs w:val="18"/>
          <w:lang w:val="nl-NL"/>
        </w:rPr>
        <w:t>BS</w:t>
      </w:r>
      <w:r w:rsidRPr="00A33930">
        <w:rPr>
          <w:rFonts w:eastAsia="Verdana" w:cs="Verdana"/>
          <w:szCs w:val="18"/>
          <w:lang w:val="nl-NL"/>
        </w:rPr>
        <w:t xml:space="preserve"> 31 oktober 1967.</w:t>
      </w:r>
    </w:p>
    <w:p w14:paraId="0EA729D1" w14:textId="77777777" w:rsidR="00DA3ECE" w:rsidRPr="00A33930" w:rsidRDefault="00DA3ECE" w:rsidP="00611390">
      <w:pPr>
        <w:spacing w:before="240" w:after="240" w:line="360" w:lineRule="auto"/>
        <w:jc w:val="both"/>
        <w:rPr>
          <w:rFonts w:eastAsia="Verdana" w:cs="Verdana"/>
          <w:szCs w:val="18"/>
          <w:lang w:val="nl-NL"/>
        </w:rPr>
      </w:pPr>
      <w:r w:rsidRPr="00A33930">
        <w:rPr>
          <w:rFonts w:eastAsia="Verdana" w:cs="Verdana"/>
          <w:szCs w:val="18"/>
          <w:lang w:val="nl-NL"/>
        </w:rPr>
        <w:t xml:space="preserve">Wet 25 november 1991 houdende goedkeuring van het Verdrag inzake de rechten van het kind aangenomen te New York op 20 november 1989, </w:t>
      </w:r>
      <w:r w:rsidRPr="00A33930">
        <w:rPr>
          <w:rFonts w:eastAsia="Verdana" w:cs="Verdana"/>
          <w:i/>
          <w:szCs w:val="18"/>
          <w:lang w:val="nl-NL"/>
        </w:rPr>
        <w:t>BS</w:t>
      </w:r>
      <w:r w:rsidRPr="00A33930">
        <w:rPr>
          <w:rFonts w:eastAsia="Verdana" w:cs="Verdana"/>
          <w:szCs w:val="18"/>
          <w:lang w:val="nl-NL"/>
        </w:rPr>
        <w:t xml:space="preserve"> 17 januari 1992.</w:t>
      </w:r>
    </w:p>
    <w:p w14:paraId="3DFBDD4A" w14:textId="77777777" w:rsidR="00DA3ECE" w:rsidRPr="00A33930" w:rsidRDefault="00DA3ECE" w:rsidP="00611390">
      <w:pPr>
        <w:spacing w:before="240" w:after="240" w:line="360" w:lineRule="auto"/>
        <w:jc w:val="both"/>
        <w:rPr>
          <w:rFonts w:eastAsia="Verdana" w:cs="Verdana"/>
          <w:szCs w:val="18"/>
          <w:lang w:val="nl-NL"/>
        </w:rPr>
      </w:pPr>
      <w:r w:rsidRPr="00A33930">
        <w:rPr>
          <w:rFonts w:eastAsia="Verdana" w:cs="Verdana"/>
          <w:szCs w:val="18"/>
          <w:lang w:val="nl-NL"/>
        </w:rPr>
        <w:t xml:space="preserve">Wet 13 april 1995 betreffende de gezamenlijke uitoefening van het ouderlijk gezag, </w:t>
      </w:r>
      <w:r w:rsidRPr="00A33930">
        <w:rPr>
          <w:rFonts w:eastAsia="Verdana" w:cs="Verdana"/>
          <w:i/>
          <w:szCs w:val="18"/>
          <w:lang w:val="nl-NL"/>
        </w:rPr>
        <w:t>BS</w:t>
      </w:r>
      <w:r w:rsidRPr="00A33930">
        <w:rPr>
          <w:rFonts w:eastAsia="Verdana" w:cs="Verdana"/>
          <w:szCs w:val="18"/>
          <w:lang w:val="nl-NL"/>
        </w:rPr>
        <w:t xml:space="preserve"> 24 mei 1995.</w:t>
      </w:r>
    </w:p>
    <w:p w14:paraId="6FE8C658" w14:textId="77777777" w:rsidR="006B5C19" w:rsidRPr="00A33930" w:rsidRDefault="006B5C19" w:rsidP="006B5C19">
      <w:pPr>
        <w:spacing w:before="240" w:after="240" w:line="360" w:lineRule="auto"/>
        <w:jc w:val="both"/>
        <w:rPr>
          <w:rFonts w:eastAsia="Verdana" w:cs="Verdana"/>
          <w:szCs w:val="18"/>
          <w:lang w:val="nl-NL"/>
        </w:rPr>
      </w:pPr>
      <w:r w:rsidRPr="00A33930">
        <w:rPr>
          <w:rFonts w:eastAsia="Verdana" w:cs="Verdana"/>
          <w:szCs w:val="18"/>
          <w:lang w:val="nl-NL"/>
        </w:rPr>
        <w:t xml:space="preserve">Wet 30 juli 2013 betreffende de invoering van een familie- en jeugdrechtbank, </w:t>
      </w:r>
      <w:r w:rsidRPr="00A33930">
        <w:rPr>
          <w:rFonts w:eastAsia="Verdana" w:cs="Verdana"/>
          <w:i/>
          <w:szCs w:val="18"/>
          <w:lang w:val="nl-NL"/>
        </w:rPr>
        <w:t>BS</w:t>
      </w:r>
      <w:r w:rsidRPr="00A33930">
        <w:rPr>
          <w:rFonts w:eastAsia="Verdana" w:cs="Verdana"/>
          <w:szCs w:val="18"/>
          <w:lang w:val="nl-NL"/>
        </w:rPr>
        <w:t xml:space="preserve"> 27 september 2013.</w:t>
      </w:r>
    </w:p>
    <w:p w14:paraId="3D0D1B59" w14:textId="67E09544" w:rsidR="006B5C19" w:rsidRPr="00A33930" w:rsidRDefault="006B5C19" w:rsidP="00611390">
      <w:pPr>
        <w:spacing w:before="240" w:after="240" w:line="360" w:lineRule="auto"/>
        <w:jc w:val="both"/>
        <w:rPr>
          <w:rFonts w:eastAsia="Verdana" w:cs="Verdana"/>
          <w:szCs w:val="18"/>
          <w:lang w:val="nl-NL"/>
        </w:rPr>
      </w:pPr>
      <w:r w:rsidRPr="00A33930">
        <w:rPr>
          <w:rFonts w:eastAsia="Verdana" w:cs="Verdana"/>
          <w:szCs w:val="18"/>
          <w:lang w:val="nl-NL"/>
        </w:rPr>
        <w:t xml:space="preserve">Wet 15 juni 2018 tot wijziging van artikel 375bis van het Burgerlijk Wetboek en de artikelen 1253ter/1, 1253ter/3 en 1253quater van het Gerechtelijk Wetboek, </w:t>
      </w:r>
      <w:r w:rsidRPr="00A33930">
        <w:rPr>
          <w:rFonts w:eastAsia="Verdana" w:cs="Verdana"/>
          <w:i/>
          <w:szCs w:val="18"/>
          <w:lang w:val="nl-NL"/>
        </w:rPr>
        <w:t>BS</w:t>
      </w:r>
      <w:r w:rsidRPr="00A33930">
        <w:rPr>
          <w:rFonts w:eastAsia="Verdana" w:cs="Verdana"/>
          <w:szCs w:val="18"/>
          <w:lang w:val="nl-NL"/>
        </w:rPr>
        <w:t xml:space="preserve"> 2 juli 2018.</w:t>
      </w:r>
    </w:p>
    <w:p w14:paraId="36BAFB36" w14:textId="62ED1A0C" w:rsidR="00DA3ECE" w:rsidRPr="00A33930" w:rsidRDefault="00DA3ECE" w:rsidP="00611390">
      <w:pPr>
        <w:spacing w:before="240" w:after="240" w:line="360" w:lineRule="auto"/>
        <w:jc w:val="both"/>
        <w:rPr>
          <w:rFonts w:eastAsia="Verdana" w:cs="Verdana"/>
          <w:szCs w:val="18"/>
          <w:lang w:val="nl-NL"/>
        </w:rPr>
      </w:pPr>
      <w:r w:rsidRPr="00A33930">
        <w:rPr>
          <w:rFonts w:eastAsia="Verdana" w:cs="Verdana"/>
          <w:szCs w:val="18"/>
          <w:lang w:val="nl-NL"/>
        </w:rPr>
        <w:t xml:space="preserve">Wet 20 mei 2021 tot wijziging van het oud Burgerlijk Wetboek, betreffende de persoonlijke banden tussen broers en zussen, </w:t>
      </w:r>
      <w:r w:rsidRPr="00A33930">
        <w:rPr>
          <w:rFonts w:eastAsia="Verdana" w:cs="Verdana"/>
          <w:i/>
          <w:szCs w:val="18"/>
          <w:lang w:val="nl-NL"/>
        </w:rPr>
        <w:t>BS</w:t>
      </w:r>
      <w:r w:rsidRPr="00A33930">
        <w:rPr>
          <w:rFonts w:eastAsia="Verdana" w:cs="Verdana"/>
          <w:szCs w:val="18"/>
          <w:lang w:val="nl-NL"/>
        </w:rPr>
        <w:t xml:space="preserve"> 9 juni 2021.</w:t>
      </w:r>
    </w:p>
    <w:p w14:paraId="35DB170C" w14:textId="7B5DEE48" w:rsidR="00611390" w:rsidRPr="00A33930" w:rsidRDefault="00611390" w:rsidP="00611390">
      <w:pPr>
        <w:spacing w:before="240" w:after="240" w:line="360" w:lineRule="auto"/>
        <w:jc w:val="both"/>
        <w:rPr>
          <w:rFonts w:eastAsia="Verdana" w:cs="Verdana"/>
          <w:szCs w:val="18"/>
          <w:lang w:val="nl-NL"/>
        </w:rPr>
      </w:pPr>
      <w:r w:rsidRPr="00A33930">
        <w:rPr>
          <w:rFonts w:eastAsia="Verdana" w:cs="Verdana"/>
          <w:szCs w:val="18"/>
          <w:lang w:val="nl-NL"/>
        </w:rPr>
        <w:t xml:space="preserve">Decr.Vl. 15 mei 1991 houdende goedkeuring van het Verdrag inzake de Rechten van het Kind, aangenomen te New York op 20 november 1989, </w:t>
      </w:r>
      <w:r w:rsidRPr="00A33930">
        <w:rPr>
          <w:rFonts w:eastAsia="Verdana" w:cs="Verdana"/>
          <w:i/>
          <w:iCs/>
          <w:szCs w:val="18"/>
          <w:lang w:val="nl-NL"/>
        </w:rPr>
        <w:t>BS</w:t>
      </w:r>
      <w:r w:rsidRPr="00A33930">
        <w:rPr>
          <w:rFonts w:eastAsia="Verdana" w:cs="Verdana"/>
          <w:szCs w:val="18"/>
          <w:lang w:val="nl-NL"/>
        </w:rPr>
        <w:t xml:space="preserve"> 13 juli 1991.</w:t>
      </w:r>
    </w:p>
    <w:p w14:paraId="3E441F68" w14:textId="0FC3BB8B" w:rsidR="00DA3ECE" w:rsidRPr="00A33930" w:rsidRDefault="00DA3ECE" w:rsidP="00611390">
      <w:pPr>
        <w:spacing w:before="240" w:after="240" w:line="360" w:lineRule="auto"/>
        <w:jc w:val="both"/>
        <w:rPr>
          <w:rFonts w:eastAsia="Verdana" w:cs="Verdana"/>
          <w:szCs w:val="18"/>
          <w:lang w:val="nl-NL"/>
        </w:rPr>
      </w:pPr>
      <w:r w:rsidRPr="00A33930">
        <w:rPr>
          <w:rFonts w:eastAsia="Verdana" w:cs="Verdana"/>
          <w:szCs w:val="18"/>
          <w:lang w:val="nl-NL"/>
        </w:rPr>
        <w:t xml:space="preserve">Decreet betreffende de oprichting van een Kinderrechtencommissariaat en instelling van </w:t>
      </w:r>
      <w:r w:rsidR="00611390" w:rsidRPr="00A33930">
        <w:rPr>
          <w:rFonts w:eastAsia="Verdana" w:cs="Verdana"/>
          <w:szCs w:val="18"/>
          <w:lang w:val="nl-NL"/>
        </w:rPr>
        <w:t>het</w:t>
      </w:r>
      <w:r w:rsidRPr="00A33930">
        <w:rPr>
          <w:rFonts w:eastAsia="Verdana" w:cs="Verdana"/>
          <w:szCs w:val="18"/>
          <w:lang w:val="nl-NL"/>
        </w:rPr>
        <w:t xml:space="preserve"> ambt van Kinderrechtencommissaris van 15 juli 1997, </w:t>
      </w:r>
      <w:r w:rsidRPr="00A33930">
        <w:rPr>
          <w:rFonts w:eastAsia="Verdana" w:cs="Verdana"/>
          <w:i/>
          <w:szCs w:val="18"/>
          <w:lang w:val="nl-NL"/>
        </w:rPr>
        <w:t>BS</w:t>
      </w:r>
      <w:r w:rsidRPr="00A33930">
        <w:rPr>
          <w:rFonts w:eastAsia="Verdana" w:cs="Verdana"/>
          <w:szCs w:val="18"/>
          <w:lang w:val="nl-NL"/>
        </w:rPr>
        <w:t xml:space="preserve"> 7 oktober 1997.</w:t>
      </w:r>
    </w:p>
    <w:p w14:paraId="574E8AFE" w14:textId="5C63B887" w:rsidR="001D6547" w:rsidRPr="00A33930" w:rsidRDefault="00DA3ECE" w:rsidP="00611390">
      <w:pPr>
        <w:spacing w:before="240" w:after="240" w:line="360" w:lineRule="auto"/>
        <w:jc w:val="both"/>
        <w:rPr>
          <w:rFonts w:eastAsia="Verdana" w:cs="Verdana"/>
          <w:szCs w:val="18"/>
          <w:lang w:val="nl-NL"/>
        </w:rPr>
      </w:pPr>
      <w:r w:rsidRPr="00A33930">
        <w:rPr>
          <w:rFonts w:eastAsia="Verdana" w:cs="Verdana"/>
          <w:szCs w:val="18"/>
          <w:lang w:val="nl-NL"/>
        </w:rPr>
        <w:t xml:space="preserve">Decreet betreffende de instelling van het kindeffectrapport en de toetsing van het regeringsbeleid aan de naleving van de rechten van het kind van 15 juli 1997, </w:t>
      </w:r>
      <w:r w:rsidRPr="00A33930">
        <w:rPr>
          <w:rFonts w:eastAsia="Verdana" w:cs="Verdana"/>
          <w:i/>
          <w:szCs w:val="18"/>
          <w:lang w:val="nl-NL"/>
        </w:rPr>
        <w:t>BS</w:t>
      </w:r>
      <w:r w:rsidRPr="00A33930">
        <w:rPr>
          <w:rFonts w:eastAsia="Verdana" w:cs="Verdana"/>
          <w:szCs w:val="18"/>
          <w:lang w:val="nl-NL"/>
        </w:rPr>
        <w:t xml:space="preserve"> 7 oktober 1997.</w:t>
      </w:r>
    </w:p>
    <w:p w14:paraId="43561A34" w14:textId="77777777" w:rsidR="00DA3ECE" w:rsidRPr="00A33930" w:rsidRDefault="00DA3ECE" w:rsidP="001D6547">
      <w:pPr>
        <w:spacing w:before="360" w:after="120" w:line="360" w:lineRule="auto"/>
        <w:jc w:val="both"/>
        <w:rPr>
          <w:rFonts w:eastAsia="Verdana" w:cs="Verdana"/>
          <w:i/>
          <w:sz w:val="19"/>
          <w:szCs w:val="19"/>
          <w:u w:val="single"/>
          <w:lang w:val="nl-NL"/>
        </w:rPr>
      </w:pPr>
      <w:r w:rsidRPr="00A33930">
        <w:rPr>
          <w:rFonts w:eastAsia="Verdana" w:cs="Verdana"/>
          <w:i/>
          <w:sz w:val="19"/>
          <w:szCs w:val="19"/>
          <w:u w:val="single"/>
          <w:lang w:val="nl-NL"/>
        </w:rPr>
        <w:t>Parlementaire stukken:</w:t>
      </w:r>
    </w:p>
    <w:p w14:paraId="006AE2CB" w14:textId="77777777" w:rsidR="006B5C19" w:rsidRPr="00A33930" w:rsidRDefault="006B5C19" w:rsidP="006B5C19">
      <w:pPr>
        <w:spacing w:before="120" w:after="120" w:line="360" w:lineRule="auto"/>
        <w:jc w:val="both"/>
        <w:rPr>
          <w:rFonts w:eastAsia="Verdana" w:cs="Verdana"/>
          <w:iCs/>
          <w:szCs w:val="18"/>
          <w:lang w:val="nl-NL"/>
        </w:rPr>
      </w:pPr>
      <w:r w:rsidRPr="00A33930">
        <w:rPr>
          <w:rFonts w:eastAsia="Verdana" w:cs="Verdana"/>
          <w:szCs w:val="18"/>
          <w:lang w:val="nl-NL"/>
        </w:rPr>
        <w:t xml:space="preserve">Wetsvoorstel tot wijziging van het Burgerlijk Wetboek met betrekking tot de wederzijdse rechten en verplichtingen van ouders en kinderen, </w:t>
      </w:r>
      <w:r w:rsidRPr="00A33930">
        <w:rPr>
          <w:rFonts w:eastAsia="Verdana" w:cs="Verdana"/>
          <w:i/>
          <w:szCs w:val="18"/>
          <w:lang w:val="nl-NL"/>
        </w:rPr>
        <w:t>Parl.St.</w:t>
      </w:r>
      <w:r w:rsidRPr="00A33930">
        <w:rPr>
          <w:rFonts w:eastAsia="Verdana" w:cs="Verdana"/>
          <w:szCs w:val="18"/>
          <w:lang w:val="nl-NL"/>
        </w:rPr>
        <w:t xml:space="preserve"> Kamer 1993-94, nr. 1187/1.</w:t>
      </w:r>
    </w:p>
    <w:p w14:paraId="1F8B2CA3" w14:textId="77777777" w:rsidR="006B5C19" w:rsidRPr="00A33930" w:rsidRDefault="006B5C19" w:rsidP="006B5C19">
      <w:pPr>
        <w:spacing w:before="120" w:after="120" w:line="360" w:lineRule="auto"/>
        <w:jc w:val="both"/>
        <w:rPr>
          <w:rFonts w:eastAsia="Verdana" w:cs="Verdana"/>
          <w:iCs/>
          <w:szCs w:val="18"/>
          <w:lang w:val="nl-NL"/>
        </w:rPr>
      </w:pPr>
      <w:r w:rsidRPr="00A33930">
        <w:rPr>
          <w:rFonts w:eastAsia="Verdana" w:cs="Verdana"/>
          <w:szCs w:val="18"/>
          <w:lang w:val="nl-NL"/>
        </w:rPr>
        <w:t xml:space="preserve">Wetsvoorstel betreffende de gezamenlijke uitoefening van het ouderlijk gezag, </w:t>
      </w:r>
      <w:r w:rsidRPr="00A33930">
        <w:rPr>
          <w:rFonts w:eastAsia="Verdana" w:cs="Verdana"/>
          <w:i/>
          <w:szCs w:val="18"/>
          <w:lang w:val="nl-NL"/>
        </w:rPr>
        <w:t xml:space="preserve">Parl.St. </w:t>
      </w:r>
      <w:r w:rsidRPr="00A33930">
        <w:rPr>
          <w:rFonts w:eastAsia="Verdana" w:cs="Verdana"/>
          <w:szCs w:val="18"/>
          <w:lang w:val="nl-NL"/>
        </w:rPr>
        <w:t>Kamer 1993-94, nr. 1430/1.</w:t>
      </w:r>
    </w:p>
    <w:p w14:paraId="53B51D7F" w14:textId="77777777" w:rsidR="006B5C19" w:rsidRPr="00A33930" w:rsidRDefault="006B5C19" w:rsidP="006B5C19">
      <w:pPr>
        <w:spacing w:before="120" w:after="120" w:line="360" w:lineRule="auto"/>
        <w:jc w:val="both"/>
        <w:rPr>
          <w:rFonts w:eastAsia="Verdana" w:cs="Verdana"/>
          <w:szCs w:val="18"/>
          <w:lang w:val="nl-NL"/>
        </w:rPr>
      </w:pPr>
      <w:r w:rsidRPr="00A33930">
        <w:rPr>
          <w:rFonts w:eastAsia="Verdana" w:cs="Verdana"/>
          <w:szCs w:val="18"/>
          <w:lang w:val="nl-NL"/>
        </w:rPr>
        <w:lastRenderedPageBreak/>
        <w:t xml:space="preserve">Wetsvoorstel tot het waarborgen van het omgangsrecht tussen ouders en kinderen en tussen grootouders en kleinkinderen, </w:t>
      </w:r>
      <w:r w:rsidRPr="00A33930">
        <w:rPr>
          <w:rFonts w:eastAsia="Verdana" w:cs="Verdana"/>
          <w:i/>
          <w:szCs w:val="18"/>
          <w:lang w:val="nl-NL"/>
        </w:rPr>
        <w:t>Parl.St.</w:t>
      </w:r>
      <w:r w:rsidRPr="00A33930">
        <w:rPr>
          <w:rFonts w:eastAsia="Verdana" w:cs="Verdana"/>
          <w:szCs w:val="18"/>
          <w:lang w:val="nl-NL"/>
        </w:rPr>
        <w:t xml:space="preserve"> Kamer 2003-04, nr. 51-0976/001.</w:t>
      </w:r>
    </w:p>
    <w:p w14:paraId="66397BD5" w14:textId="0D1C0B86" w:rsidR="006B5C19" w:rsidRPr="00A33930" w:rsidRDefault="006B5C19" w:rsidP="006B5C19">
      <w:pPr>
        <w:spacing w:before="120" w:after="120" w:line="360" w:lineRule="auto"/>
        <w:jc w:val="both"/>
        <w:rPr>
          <w:rFonts w:eastAsia="Verdana" w:cs="Verdana"/>
          <w:iCs/>
          <w:szCs w:val="18"/>
          <w:lang w:val="nl-NL"/>
        </w:rPr>
      </w:pPr>
      <w:r w:rsidRPr="00A33930">
        <w:rPr>
          <w:rFonts w:eastAsia="Verdana" w:cs="Verdana"/>
          <w:iCs/>
          <w:szCs w:val="18"/>
          <w:lang w:val="nl-NL"/>
        </w:rPr>
        <w:t xml:space="preserve">Wetsvoorstel (M.C. MARGHEM en C. NYSSENS) tot herziening van artikel 22bis van de Grondwet, </w:t>
      </w:r>
      <w:r w:rsidRPr="00A33930">
        <w:rPr>
          <w:rFonts w:eastAsia="Verdana" w:cs="Verdana"/>
          <w:i/>
          <w:iCs/>
          <w:szCs w:val="18"/>
          <w:lang w:val="nl-NL"/>
        </w:rPr>
        <w:t>Parl.St.</w:t>
      </w:r>
      <w:r w:rsidRPr="00A33930">
        <w:rPr>
          <w:rFonts w:eastAsia="Verdana" w:cs="Verdana"/>
          <w:iCs/>
          <w:szCs w:val="18"/>
          <w:lang w:val="nl-NL"/>
        </w:rPr>
        <w:t xml:space="preserve"> Kamer 2007-08, nr. 52-175/001.</w:t>
      </w:r>
    </w:p>
    <w:p w14:paraId="46508D65" w14:textId="77777777" w:rsidR="006B5C19" w:rsidRPr="00A33930" w:rsidRDefault="006B5C19" w:rsidP="006B5C19">
      <w:pPr>
        <w:spacing w:before="120" w:after="120" w:line="360" w:lineRule="auto"/>
        <w:jc w:val="both"/>
        <w:rPr>
          <w:rFonts w:eastAsia="Verdana" w:cs="Verdana"/>
          <w:szCs w:val="18"/>
          <w:lang w:val="nl-NL"/>
        </w:rPr>
      </w:pPr>
      <w:r w:rsidRPr="00A33930">
        <w:rPr>
          <w:rFonts w:eastAsia="Verdana" w:cs="Verdana"/>
          <w:szCs w:val="18"/>
          <w:lang w:val="nl-NL"/>
        </w:rPr>
        <w:t xml:space="preserve">Wetsvoorstel tot wijziging van artikel 375bis van het Burgerlijk Wetboek, </w:t>
      </w:r>
      <w:r w:rsidRPr="00A33930">
        <w:rPr>
          <w:rFonts w:eastAsia="Verdana" w:cs="Verdana"/>
          <w:i/>
          <w:szCs w:val="18"/>
          <w:lang w:val="nl-NL"/>
        </w:rPr>
        <w:t>Parl.St.</w:t>
      </w:r>
      <w:r w:rsidRPr="00A33930">
        <w:rPr>
          <w:rFonts w:eastAsia="Verdana" w:cs="Verdana"/>
          <w:szCs w:val="18"/>
          <w:lang w:val="nl-NL"/>
        </w:rPr>
        <w:t xml:space="preserve"> Kamer 2015-16, nr. 54-1895/001.</w:t>
      </w:r>
    </w:p>
    <w:p w14:paraId="1B4D2E91" w14:textId="77777777" w:rsidR="006B5C19" w:rsidRPr="00A33930" w:rsidRDefault="006B5C19" w:rsidP="006B5C19">
      <w:pPr>
        <w:spacing w:before="120" w:after="120" w:line="360" w:lineRule="auto"/>
        <w:jc w:val="both"/>
        <w:rPr>
          <w:rFonts w:eastAsia="Verdana" w:cs="Verdana"/>
          <w:szCs w:val="18"/>
          <w:lang w:val="nl-NL"/>
        </w:rPr>
      </w:pPr>
      <w:r w:rsidRPr="00A33930">
        <w:rPr>
          <w:rFonts w:eastAsia="Verdana" w:cs="Verdana"/>
          <w:szCs w:val="18"/>
          <w:lang w:val="nl-NL"/>
        </w:rPr>
        <w:t xml:space="preserve">Wetsvoorstel tot wijziging van het Burgerlijk Wetboek, betreffende de persoonlijke banden tussen broers en zussen, </w:t>
      </w:r>
      <w:r w:rsidRPr="00A33930">
        <w:rPr>
          <w:rFonts w:eastAsia="Verdana" w:cs="Verdana"/>
          <w:i/>
          <w:szCs w:val="18"/>
          <w:lang w:val="nl-NL"/>
        </w:rPr>
        <w:t>Parl.St.</w:t>
      </w:r>
      <w:r w:rsidRPr="00A33930">
        <w:rPr>
          <w:rFonts w:eastAsia="Verdana" w:cs="Verdana"/>
          <w:szCs w:val="18"/>
          <w:lang w:val="nl-NL"/>
        </w:rPr>
        <w:t xml:space="preserve"> Kamer 2020-21, nr. 55-780/11.</w:t>
      </w:r>
    </w:p>
    <w:p w14:paraId="7B00201A" w14:textId="06C3C73C" w:rsidR="006B5C19" w:rsidRPr="00A33930" w:rsidRDefault="006B5C19" w:rsidP="006B5C19">
      <w:pPr>
        <w:spacing w:before="120" w:after="120" w:line="360" w:lineRule="auto"/>
        <w:jc w:val="both"/>
        <w:rPr>
          <w:rFonts w:eastAsia="Verdana" w:cs="Verdana"/>
          <w:szCs w:val="18"/>
          <w:lang w:val="nl-NL"/>
        </w:rPr>
      </w:pPr>
      <w:r w:rsidRPr="00A33930">
        <w:rPr>
          <w:rFonts w:eastAsia="Verdana" w:cs="Verdana"/>
          <w:szCs w:val="18"/>
          <w:lang w:val="nl-NL"/>
        </w:rPr>
        <w:t xml:space="preserve">Wetsontwerp om justitie menselijker, sneller en straffer te maken II, </w:t>
      </w:r>
      <w:r w:rsidRPr="00A33930">
        <w:rPr>
          <w:rFonts w:eastAsia="Verdana" w:cs="Verdana"/>
          <w:i/>
          <w:iCs/>
          <w:szCs w:val="18"/>
          <w:lang w:val="nl-NL"/>
        </w:rPr>
        <w:t>Parl.St.</w:t>
      </w:r>
      <w:r w:rsidRPr="00A33930">
        <w:rPr>
          <w:rFonts w:eastAsia="Verdana" w:cs="Verdana"/>
          <w:szCs w:val="18"/>
          <w:lang w:val="nl-NL"/>
        </w:rPr>
        <w:t xml:space="preserve"> Kamer 2021-22, nr. 55-2774/001.</w:t>
      </w:r>
    </w:p>
    <w:p w14:paraId="6E16AE78" w14:textId="7CC13C85" w:rsidR="006B5C19" w:rsidRPr="00A33930" w:rsidRDefault="006B5C19" w:rsidP="006B5C19">
      <w:pPr>
        <w:spacing w:before="120" w:after="120" w:line="360" w:lineRule="auto"/>
        <w:jc w:val="both"/>
        <w:rPr>
          <w:rFonts w:eastAsia="Verdana" w:cs="Verdana"/>
          <w:szCs w:val="18"/>
          <w:lang w:val="nl-NL"/>
        </w:rPr>
      </w:pPr>
      <w:r w:rsidRPr="00A33930">
        <w:rPr>
          <w:rFonts w:eastAsia="Verdana" w:cs="Verdana"/>
          <w:szCs w:val="18"/>
          <w:lang w:val="nl-NL"/>
        </w:rPr>
        <w:t xml:space="preserve">Voorstel van verklaring tot herziening van titel II van de Grondwet, om nieuwe bepalingen in te voegen die de bescherming van de rechten van het kind verzekeren, </w:t>
      </w:r>
      <w:r w:rsidRPr="00A33930">
        <w:rPr>
          <w:rFonts w:eastAsia="Verdana" w:cs="Verdana"/>
          <w:i/>
          <w:iCs/>
          <w:szCs w:val="18"/>
          <w:lang w:val="nl-NL"/>
        </w:rPr>
        <w:t>Parl.St.</w:t>
      </w:r>
      <w:r w:rsidRPr="00A33930">
        <w:rPr>
          <w:rFonts w:eastAsia="Verdana" w:cs="Verdana"/>
          <w:szCs w:val="18"/>
          <w:lang w:val="nl-NL"/>
        </w:rPr>
        <w:t xml:space="preserve"> Senaat, 1996-97, nr. 1-496/1.</w:t>
      </w:r>
    </w:p>
    <w:p w14:paraId="546EC404" w14:textId="3B6966E3" w:rsidR="008C0B48" w:rsidRPr="00A33930" w:rsidRDefault="008C0B48" w:rsidP="008C0B48">
      <w:pPr>
        <w:spacing w:before="120" w:after="120" w:line="360" w:lineRule="auto"/>
        <w:jc w:val="both"/>
        <w:rPr>
          <w:rFonts w:eastAsia="Verdana" w:cs="Verdana"/>
          <w:b/>
          <w:bCs/>
          <w:iCs/>
          <w:szCs w:val="18"/>
          <w:lang w:val="nl-NL"/>
        </w:rPr>
      </w:pPr>
      <w:r w:rsidRPr="00A33930">
        <w:rPr>
          <w:rFonts w:eastAsia="Verdana" w:cs="Verdana"/>
          <w:iCs/>
          <w:szCs w:val="18"/>
          <w:lang w:val="nl-NL"/>
        </w:rPr>
        <w:t xml:space="preserve">Verslag namens de Commissie voor Justitie uitgebracht door de heer Swennen, </w:t>
      </w:r>
      <w:r w:rsidRPr="00A33930">
        <w:rPr>
          <w:rFonts w:eastAsia="Verdana" w:cs="Verdana"/>
          <w:i/>
          <w:szCs w:val="18"/>
          <w:lang w:val="nl-NL"/>
        </w:rPr>
        <w:t>Parl.St.</w:t>
      </w:r>
      <w:r w:rsidRPr="00A33930">
        <w:rPr>
          <w:rFonts w:eastAsia="Verdana" w:cs="Verdana"/>
          <w:iCs/>
          <w:szCs w:val="18"/>
          <w:lang w:val="nl-NL"/>
        </w:rPr>
        <w:t xml:space="preserve"> Kamer 1993-94, nr. 1430/4.</w:t>
      </w:r>
    </w:p>
    <w:p w14:paraId="3D4B27D0" w14:textId="77777777" w:rsidR="008C0B48" w:rsidRPr="00A33930" w:rsidRDefault="008C0B48" w:rsidP="008C0B48">
      <w:pPr>
        <w:spacing w:before="120" w:after="120" w:line="360" w:lineRule="auto"/>
        <w:jc w:val="both"/>
        <w:rPr>
          <w:rFonts w:eastAsia="Verdana" w:cs="Verdana"/>
          <w:iCs/>
          <w:szCs w:val="18"/>
          <w:lang w:val="nl-NL"/>
        </w:rPr>
      </w:pPr>
      <w:r w:rsidRPr="00A33930">
        <w:rPr>
          <w:rFonts w:eastAsia="Verdana" w:cs="Verdana"/>
          <w:iCs/>
          <w:szCs w:val="18"/>
          <w:lang w:val="nl-NL"/>
        </w:rPr>
        <w:t xml:space="preserve">Verslag over het wetsvoorstel tot herziening van titel II van de Grondwet, om nieuwe bepalingen in te voegen die de bescherming van de rechten van het kind op morele, lichamelijke, geestelijke en seksuele integriteit verzekeren, </w:t>
      </w:r>
      <w:r w:rsidRPr="00A33930">
        <w:rPr>
          <w:rFonts w:eastAsia="Verdana" w:cs="Verdana"/>
          <w:i/>
          <w:iCs/>
          <w:szCs w:val="18"/>
          <w:lang w:val="nl-NL"/>
        </w:rPr>
        <w:t>Parl.St.</w:t>
      </w:r>
      <w:r w:rsidRPr="00A33930">
        <w:rPr>
          <w:rFonts w:eastAsia="Verdana" w:cs="Verdana"/>
          <w:iCs/>
          <w:szCs w:val="18"/>
          <w:lang w:val="nl-NL"/>
        </w:rPr>
        <w:t xml:space="preserve"> Senaat 1999-2000, nr. 2-21/4. </w:t>
      </w:r>
    </w:p>
    <w:p w14:paraId="07432E75" w14:textId="002ADDA0" w:rsidR="008C0B48" w:rsidRPr="00A33930" w:rsidRDefault="008C0B48" w:rsidP="008C0B48">
      <w:pPr>
        <w:spacing w:before="120" w:after="120" w:line="360" w:lineRule="auto"/>
        <w:jc w:val="both"/>
        <w:rPr>
          <w:rFonts w:eastAsia="Verdana" w:cs="Verdana"/>
          <w:iCs/>
          <w:szCs w:val="18"/>
          <w:lang w:val="nl-NL"/>
        </w:rPr>
      </w:pPr>
      <w:r w:rsidRPr="00A33930">
        <w:rPr>
          <w:rFonts w:eastAsia="Verdana" w:cs="Verdana"/>
          <w:szCs w:val="18"/>
          <w:lang w:val="nl-NL"/>
        </w:rPr>
        <w:t>Herziening van artikel 22</w:t>
      </w:r>
      <w:r w:rsidRPr="00A33930">
        <w:rPr>
          <w:rFonts w:eastAsia="Verdana" w:cs="Verdana"/>
          <w:i/>
          <w:iCs/>
          <w:szCs w:val="18"/>
          <w:lang w:val="nl-NL"/>
        </w:rPr>
        <w:t>bis</w:t>
      </w:r>
      <w:r w:rsidRPr="00A33930">
        <w:rPr>
          <w:rFonts w:eastAsia="Verdana" w:cs="Verdana"/>
          <w:szCs w:val="18"/>
          <w:lang w:val="nl-NL"/>
        </w:rPr>
        <w:t xml:space="preserve"> van de Grondwet, teneinde een lid toe te voegen betreffende de bescherming van aanvullende rechten van het kind, </w:t>
      </w:r>
      <w:r w:rsidRPr="00A33930">
        <w:rPr>
          <w:rFonts w:eastAsia="Verdana" w:cs="Verdana"/>
          <w:i/>
          <w:szCs w:val="18"/>
          <w:lang w:val="nl-NL"/>
        </w:rPr>
        <w:t>Parl.St</w:t>
      </w:r>
      <w:r w:rsidRPr="00A33930">
        <w:rPr>
          <w:rFonts w:eastAsia="Verdana" w:cs="Verdana"/>
          <w:szCs w:val="18"/>
          <w:lang w:val="nl-NL"/>
        </w:rPr>
        <w:t>. Senaat 2004-05, nr. 3-365/3.</w:t>
      </w:r>
    </w:p>
    <w:p w14:paraId="3759F474" w14:textId="1109B9BD" w:rsidR="008C0B48" w:rsidRPr="00A33930" w:rsidRDefault="008C0B48" w:rsidP="008C0B48">
      <w:pPr>
        <w:spacing w:before="120" w:after="120" w:line="360" w:lineRule="auto"/>
        <w:jc w:val="both"/>
        <w:rPr>
          <w:rFonts w:eastAsia="Verdana" w:cs="Verdana"/>
          <w:szCs w:val="18"/>
          <w:lang w:val="nl-NL"/>
        </w:rPr>
      </w:pPr>
      <w:r w:rsidRPr="00A33930">
        <w:rPr>
          <w:rFonts w:eastAsia="Verdana" w:cs="Verdana"/>
          <w:szCs w:val="18"/>
          <w:lang w:val="nl-NL"/>
        </w:rPr>
        <w:t xml:space="preserve">Verslag namens de commissie voor de herziening van de grondwet en de hervorming der instellingen, </w:t>
      </w:r>
      <w:r w:rsidRPr="00A33930">
        <w:rPr>
          <w:rFonts w:eastAsia="Verdana" w:cs="Verdana"/>
          <w:i/>
          <w:iCs/>
          <w:szCs w:val="18"/>
          <w:lang w:val="nl-NL"/>
        </w:rPr>
        <w:t>Parl.St.</w:t>
      </w:r>
      <w:r w:rsidRPr="00A33930">
        <w:rPr>
          <w:rFonts w:eastAsia="Verdana" w:cs="Verdana"/>
          <w:szCs w:val="18"/>
          <w:lang w:val="nl-NL"/>
        </w:rPr>
        <w:t xml:space="preserve"> Kamer 2007-08, nr. 52-175/005.</w:t>
      </w:r>
    </w:p>
    <w:p w14:paraId="1103D797" w14:textId="4065A3E1" w:rsidR="008C0B48" w:rsidRPr="00A33930" w:rsidRDefault="008C0B48" w:rsidP="008C0B48">
      <w:pPr>
        <w:spacing w:before="120" w:after="120" w:line="360" w:lineRule="auto"/>
        <w:jc w:val="both"/>
        <w:rPr>
          <w:rFonts w:eastAsia="Verdana" w:cs="Verdana"/>
          <w:szCs w:val="18"/>
          <w:lang w:val="nl-NL"/>
        </w:rPr>
      </w:pPr>
      <w:r w:rsidRPr="00A33930">
        <w:rPr>
          <w:rFonts w:eastAsia="Verdana" w:cs="Verdana"/>
          <w:szCs w:val="18"/>
          <w:lang w:val="nl-NL"/>
        </w:rPr>
        <w:t>Verslag namens de commissie voor de institutionele aangelegenheden tot herziening van artikel 22</w:t>
      </w:r>
      <w:r w:rsidRPr="00A33930">
        <w:rPr>
          <w:rFonts w:eastAsia="Verdana" w:cs="Verdana"/>
          <w:i/>
          <w:iCs/>
          <w:szCs w:val="18"/>
          <w:lang w:val="nl-NL"/>
        </w:rPr>
        <w:t>bis</w:t>
      </w:r>
      <w:r w:rsidRPr="00A33930">
        <w:rPr>
          <w:rFonts w:eastAsia="Verdana" w:cs="Verdana"/>
          <w:szCs w:val="18"/>
          <w:lang w:val="nl-NL"/>
        </w:rPr>
        <w:t xml:space="preserve"> van de Grondwet, </w:t>
      </w:r>
      <w:r w:rsidRPr="00A33930">
        <w:rPr>
          <w:rFonts w:eastAsia="Verdana" w:cs="Verdana"/>
          <w:i/>
          <w:iCs/>
          <w:szCs w:val="18"/>
          <w:lang w:val="nl-NL"/>
        </w:rPr>
        <w:t>Parl.St.</w:t>
      </w:r>
      <w:r w:rsidRPr="00A33930">
        <w:rPr>
          <w:rFonts w:eastAsia="Verdana" w:cs="Verdana"/>
          <w:szCs w:val="18"/>
          <w:lang w:val="nl-NL"/>
        </w:rPr>
        <w:t xml:space="preserve"> Senaat 2008-09, nr. 4-800/2.</w:t>
      </w:r>
    </w:p>
    <w:p w14:paraId="5B728057" w14:textId="0984A2C9" w:rsidR="008C0B48" w:rsidRPr="00A33930" w:rsidRDefault="008C0B48" w:rsidP="008C0B48">
      <w:pPr>
        <w:spacing w:before="120" w:after="120" w:line="360" w:lineRule="auto"/>
        <w:jc w:val="both"/>
        <w:rPr>
          <w:rFonts w:eastAsia="Verdana" w:cs="Verdana"/>
          <w:iCs/>
          <w:szCs w:val="18"/>
          <w:lang w:val="nl-NL"/>
        </w:rPr>
      </w:pPr>
      <w:r w:rsidRPr="00A33930">
        <w:rPr>
          <w:rFonts w:eastAsia="Verdana" w:cs="Verdana"/>
          <w:szCs w:val="18"/>
          <w:lang w:val="nl-NL"/>
        </w:rPr>
        <w:t xml:space="preserve">Verslag van de eerste lezing bij het wetsvoorstel tot wijziging van het Burgerlijk Wetboek, in verband met de persoonlijke banden tussen broers en zussen, </w:t>
      </w:r>
      <w:r w:rsidRPr="00A33930">
        <w:rPr>
          <w:rFonts w:eastAsia="Verdana" w:cs="Verdana"/>
          <w:i/>
          <w:szCs w:val="18"/>
          <w:lang w:val="nl-NL"/>
        </w:rPr>
        <w:t>Parl.St.</w:t>
      </w:r>
      <w:r w:rsidRPr="00A33930">
        <w:rPr>
          <w:rFonts w:eastAsia="Verdana" w:cs="Verdana"/>
          <w:szCs w:val="18"/>
          <w:lang w:val="nl-NL"/>
        </w:rPr>
        <w:t xml:space="preserve"> Kamer 2020-21, nr. 55-780/007.</w:t>
      </w:r>
    </w:p>
    <w:p w14:paraId="52B26431" w14:textId="1A222E2A" w:rsidR="008C0B48" w:rsidRPr="00A33930" w:rsidRDefault="008C0B48" w:rsidP="008C0B48">
      <w:pPr>
        <w:spacing w:before="120" w:after="120" w:line="360" w:lineRule="auto"/>
        <w:jc w:val="both"/>
        <w:rPr>
          <w:rFonts w:eastAsia="Verdana" w:cs="Verdana"/>
          <w:szCs w:val="18"/>
          <w:lang w:val="nl-NL"/>
        </w:rPr>
      </w:pPr>
      <w:r w:rsidRPr="00A33930">
        <w:rPr>
          <w:rFonts w:eastAsia="Verdana" w:cs="Verdana"/>
          <w:szCs w:val="18"/>
          <w:lang w:val="nl-NL"/>
        </w:rPr>
        <w:t xml:space="preserve">Verslag van de tweede lezing bij het wetsvoorstel tot wijziging van het Burgerlijk Wetboek, in verband met de persoonlijke banden tussen broers en zussen, </w:t>
      </w:r>
      <w:r w:rsidRPr="00A33930">
        <w:rPr>
          <w:rFonts w:eastAsia="Verdana" w:cs="Verdana"/>
          <w:i/>
          <w:szCs w:val="18"/>
          <w:lang w:val="nl-NL"/>
        </w:rPr>
        <w:t>Parl.St.</w:t>
      </w:r>
      <w:r w:rsidRPr="00A33930">
        <w:rPr>
          <w:rFonts w:eastAsia="Verdana" w:cs="Verdana"/>
          <w:szCs w:val="18"/>
          <w:lang w:val="nl-NL"/>
        </w:rPr>
        <w:t xml:space="preserve"> Kamer 2020-21, nr. 55-780/010.</w:t>
      </w:r>
    </w:p>
    <w:p w14:paraId="0489D795" w14:textId="58DC7BF2" w:rsidR="006B5C19" w:rsidRPr="00A33930" w:rsidRDefault="008C0B48" w:rsidP="00DA3ECE">
      <w:pPr>
        <w:spacing w:before="120" w:after="120" w:line="360" w:lineRule="auto"/>
        <w:jc w:val="both"/>
        <w:rPr>
          <w:rFonts w:eastAsia="Verdana" w:cs="Verdana"/>
          <w:iCs/>
          <w:szCs w:val="18"/>
          <w:lang w:val="nl-NL"/>
        </w:rPr>
      </w:pPr>
      <w:r w:rsidRPr="00A33930">
        <w:rPr>
          <w:rFonts w:eastAsia="Verdana" w:cs="Verdana"/>
          <w:iCs/>
          <w:szCs w:val="18"/>
          <w:lang w:val="nl-NL"/>
        </w:rPr>
        <w:t xml:space="preserve">Amendement nr. 9 van G. SWENNEN op het wetsontwerp tot het bevoorrechten van een gelijkmatig verdeelde huisvesting van het kind van wie de ouders gescheiden zijn en tot regeling van de gedwongen tenuitvoerlegging inzake huisvesting van het kind, </w:t>
      </w:r>
      <w:r w:rsidRPr="00A33930">
        <w:rPr>
          <w:rFonts w:eastAsia="Verdana" w:cs="Verdana"/>
          <w:i/>
          <w:iCs/>
          <w:szCs w:val="18"/>
          <w:lang w:val="nl-NL"/>
        </w:rPr>
        <w:t>Parl.St</w:t>
      </w:r>
      <w:r w:rsidRPr="00A33930">
        <w:rPr>
          <w:rFonts w:eastAsia="Verdana" w:cs="Verdana"/>
          <w:iCs/>
          <w:szCs w:val="18"/>
          <w:lang w:val="nl-NL"/>
        </w:rPr>
        <w:t>. Kamer 2004-05, nr. 51-1673/003.</w:t>
      </w:r>
    </w:p>
    <w:p w14:paraId="5A9A604B" w14:textId="77777777" w:rsidR="001D6547" w:rsidRPr="00A33930" w:rsidRDefault="001D6547">
      <w:pPr>
        <w:spacing w:after="160" w:line="259" w:lineRule="auto"/>
        <w:rPr>
          <w:rFonts w:eastAsia="Verdana" w:cs="Verdana"/>
          <w:b/>
          <w:bCs/>
          <w:i/>
          <w:lang w:val="nl-NL"/>
        </w:rPr>
      </w:pPr>
      <w:r w:rsidRPr="00A33930">
        <w:rPr>
          <w:rFonts w:eastAsia="Verdana" w:cs="Verdana"/>
          <w:b/>
          <w:bCs/>
          <w:i/>
          <w:lang w:val="nl-NL"/>
        </w:rPr>
        <w:br w:type="page"/>
      </w:r>
    </w:p>
    <w:p w14:paraId="40A4A48A" w14:textId="0945ECCE" w:rsidR="00DA3ECE" w:rsidRPr="00A33930" w:rsidRDefault="00DA3ECE" w:rsidP="00DA3ECE">
      <w:pPr>
        <w:spacing w:before="120" w:after="120" w:line="360" w:lineRule="auto"/>
        <w:jc w:val="both"/>
        <w:rPr>
          <w:rFonts w:eastAsia="Verdana" w:cs="Verdana"/>
          <w:b/>
          <w:bCs/>
          <w:i/>
          <w:lang w:val="nl-NL"/>
        </w:rPr>
      </w:pPr>
      <w:r w:rsidRPr="00A33930">
        <w:rPr>
          <w:rFonts w:eastAsia="Verdana" w:cs="Verdana"/>
          <w:b/>
          <w:bCs/>
          <w:i/>
          <w:lang w:val="nl-NL"/>
        </w:rPr>
        <w:lastRenderedPageBreak/>
        <w:t>Nederland</w:t>
      </w:r>
    </w:p>
    <w:p w14:paraId="19689128" w14:textId="77777777" w:rsidR="006B5C19" w:rsidRPr="00A33930" w:rsidRDefault="006B5C19" w:rsidP="006B5C19">
      <w:pPr>
        <w:spacing w:before="120" w:after="120" w:line="360" w:lineRule="auto"/>
        <w:jc w:val="both"/>
        <w:rPr>
          <w:rFonts w:eastAsia="Verdana" w:cs="Verdana"/>
          <w:iCs/>
          <w:lang w:val="nl-NL"/>
        </w:rPr>
      </w:pPr>
      <w:r w:rsidRPr="00A33930">
        <w:rPr>
          <w:rFonts w:eastAsia="Verdana" w:cs="Verdana"/>
          <w:iCs/>
          <w:lang w:val="nl-NL"/>
        </w:rPr>
        <w:t>Burgerlijk Wetboek van 1 januari 1992.</w:t>
      </w:r>
    </w:p>
    <w:p w14:paraId="5B956DFE" w14:textId="77777777" w:rsidR="006B5C19" w:rsidRPr="00A33930" w:rsidRDefault="006B5C19" w:rsidP="006B5C19">
      <w:pPr>
        <w:spacing w:before="120" w:after="120" w:line="360" w:lineRule="auto"/>
        <w:jc w:val="both"/>
        <w:rPr>
          <w:rFonts w:eastAsia="Verdana" w:cs="Verdana"/>
          <w:iCs/>
          <w:lang w:val="nl-NL"/>
        </w:rPr>
      </w:pPr>
      <w:r w:rsidRPr="00A33930">
        <w:rPr>
          <w:rFonts w:eastAsia="Verdana" w:cs="Verdana"/>
          <w:iCs/>
          <w:lang w:val="nl-NL"/>
        </w:rPr>
        <w:t>Wetboek van Burgerlijke Rechtsvordering van 10 mei 1837.</w:t>
      </w:r>
    </w:p>
    <w:p w14:paraId="0EA98789" w14:textId="77777777" w:rsidR="006B5C19" w:rsidRPr="00A33930" w:rsidRDefault="006B5C19" w:rsidP="006B5C19">
      <w:pPr>
        <w:spacing w:before="120" w:after="120" w:line="360" w:lineRule="auto"/>
        <w:jc w:val="both"/>
        <w:rPr>
          <w:rFonts w:eastAsia="Verdana" w:cs="Verdana"/>
          <w:iCs/>
          <w:lang w:val="nl-NL"/>
        </w:rPr>
      </w:pPr>
      <w:r w:rsidRPr="00A33930">
        <w:rPr>
          <w:rFonts w:eastAsia="Verdana" w:cs="Verdana"/>
          <w:iCs/>
          <w:lang w:val="nl-NL"/>
        </w:rPr>
        <w:t xml:space="preserve">Wet 6 mei 1971 houdende herziening van het echtscheidingsrecht, </w:t>
      </w:r>
      <w:r w:rsidRPr="00A33930">
        <w:rPr>
          <w:rFonts w:eastAsia="Verdana" w:cs="Verdana"/>
          <w:i/>
          <w:iCs/>
          <w:lang w:val="nl-NL"/>
        </w:rPr>
        <w:t xml:space="preserve">Stb. </w:t>
      </w:r>
      <w:r w:rsidRPr="00A33930">
        <w:rPr>
          <w:rFonts w:eastAsia="Verdana" w:cs="Verdana"/>
          <w:iCs/>
          <w:lang w:val="nl-NL"/>
        </w:rPr>
        <w:t>1971, nr. 290.</w:t>
      </w:r>
    </w:p>
    <w:p w14:paraId="18C15994" w14:textId="77777777" w:rsidR="006B5C19" w:rsidRPr="00A33930" w:rsidRDefault="006B5C19" w:rsidP="006B5C19">
      <w:pPr>
        <w:spacing w:before="120" w:after="120" w:line="360" w:lineRule="auto"/>
        <w:jc w:val="both"/>
        <w:rPr>
          <w:rFonts w:eastAsia="Verdana" w:cs="Verdana"/>
          <w:iCs/>
          <w:lang w:val="nl-NL"/>
        </w:rPr>
      </w:pPr>
      <w:r w:rsidRPr="00A33930">
        <w:rPr>
          <w:rFonts w:eastAsia="Verdana" w:cs="Verdana"/>
          <w:iCs/>
          <w:lang w:val="nl-NL"/>
        </w:rPr>
        <w:t xml:space="preserve">Wet 13 september 1990 houdende nadere regeling van de omgang in verband met scheiding, </w:t>
      </w:r>
      <w:r w:rsidRPr="00A33930">
        <w:rPr>
          <w:rFonts w:eastAsia="Verdana" w:cs="Verdana"/>
          <w:i/>
          <w:iCs/>
          <w:lang w:val="nl-NL"/>
        </w:rPr>
        <w:t>Stb.</w:t>
      </w:r>
      <w:r w:rsidRPr="00A33930">
        <w:rPr>
          <w:rFonts w:eastAsia="Verdana" w:cs="Verdana"/>
          <w:iCs/>
          <w:lang w:val="nl-NL"/>
        </w:rPr>
        <w:t xml:space="preserve"> 27 september 1990, nr. 482.</w:t>
      </w:r>
    </w:p>
    <w:p w14:paraId="4C964F31" w14:textId="77777777" w:rsidR="006B5C19" w:rsidRPr="00A33930" w:rsidRDefault="006B5C19" w:rsidP="006B5C19">
      <w:pPr>
        <w:spacing w:before="120" w:after="120" w:line="360" w:lineRule="auto"/>
        <w:jc w:val="both"/>
        <w:rPr>
          <w:rFonts w:eastAsia="Verdana" w:cs="Verdana"/>
          <w:iCs/>
          <w:lang w:val="nl-NL"/>
        </w:rPr>
      </w:pPr>
      <w:r w:rsidRPr="00A33930">
        <w:rPr>
          <w:rFonts w:eastAsia="Verdana" w:cs="Verdana"/>
          <w:iCs/>
          <w:lang w:val="nl-NL"/>
        </w:rPr>
        <w:t xml:space="preserve">Wet 6 april 1995 tot nadere regeling van het gezag over en van de omgang met minderjarige kinderen, </w:t>
      </w:r>
      <w:r w:rsidRPr="00A33930">
        <w:rPr>
          <w:rFonts w:eastAsia="Verdana" w:cs="Verdana"/>
          <w:i/>
          <w:iCs/>
          <w:lang w:val="nl-NL"/>
        </w:rPr>
        <w:t>Stb.</w:t>
      </w:r>
      <w:r w:rsidRPr="00A33930">
        <w:rPr>
          <w:rFonts w:eastAsia="Verdana" w:cs="Verdana"/>
          <w:iCs/>
          <w:lang w:val="nl-NL"/>
        </w:rPr>
        <w:t xml:space="preserve"> 9 mei 1995.</w:t>
      </w:r>
    </w:p>
    <w:p w14:paraId="3D68EF21" w14:textId="77777777" w:rsidR="006B5C19" w:rsidRPr="00A33930" w:rsidRDefault="006B5C19" w:rsidP="006B5C19">
      <w:pPr>
        <w:spacing w:before="120" w:after="120" w:line="360" w:lineRule="auto"/>
        <w:jc w:val="both"/>
        <w:rPr>
          <w:rFonts w:eastAsia="Verdana" w:cs="Verdana"/>
          <w:iCs/>
          <w:lang w:val="nl-NL"/>
        </w:rPr>
      </w:pPr>
      <w:r w:rsidRPr="00A33930">
        <w:rPr>
          <w:rFonts w:eastAsia="Verdana" w:cs="Verdana"/>
          <w:iCs/>
          <w:lang w:val="nl-NL"/>
        </w:rPr>
        <w:t xml:space="preserve">Wet 25 november 2008 tot bevordering voortgezet ouderschap en zorgvuldige scheiding, </w:t>
      </w:r>
      <w:r w:rsidRPr="00A33930">
        <w:rPr>
          <w:rFonts w:eastAsia="Verdana" w:cs="Verdana"/>
          <w:i/>
          <w:iCs/>
          <w:lang w:val="nl-NL"/>
        </w:rPr>
        <w:t>Stb.</w:t>
      </w:r>
      <w:r w:rsidRPr="00A33930">
        <w:rPr>
          <w:rFonts w:eastAsia="Verdana" w:cs="Verdana"/>
          <w:iCs/>
          <w:lang w:val="nl-NL"/>
        </w:rPr>
        <w:t xml:space="preserve"> 16 december 2008.</w:t>
      </w:r>
    </w:p>
    <w:p w14:paraId="16DB0E56" w14:textId="77777777" w:rsidR="006B5C19" w:rsidRPr="00A33930" w:rsidRDefault="006B5C19" w:rsidP="006B5C19">
      <w:pPr>
        <w:spacing w:before="120" w:after="120" w:line="360" w:lineRule="auto"/>
        <w:jc w:val="both"/>
        <w:rPr>
          <w:rFonts w:eastAsia="Verdana" w:cs="Verdana"/>
          <w:iCs/>
          <w:lang w:val="nl-NL"/>
        </w:rPr>
      </w:pPr>
      <w:r w:rsidRPr="00A33930">
        <w:rPr>
          <w:rFonts w:eastAsia="Verdana" w:cs="Verdana"/>
          <w:iCs/>
          <w:lang w:val="nl-NL"/>
        </w:rPr>
        <w:t>Kamerstukken</w:t>
      </w:r>
      <w:r w:rsidRPr="00A33930">
        <w:rPr>
          <w:rFonts w:eastAsia="Verdana" w:cs="Verdana"/>
          <w:i/>
          <w:iCs/>
          <w:lang w:val="nl-NL"/>
        </w:rPr>
        <w:t xml:space="preserve"> </w:t>
      </w:r>
      <w:r w:rsidRPr="00A33930">
        <w:rPr>
          <w:rFonts w:eastAsia="Verdana" w:cs="Verdana"/>
          <w:iCs/>
          <w:lang w:val="nl-NL"/>
        </w:rPr>
        <w:t>II 1999/2000, 25 451, nr. 5</w:t>
      </w:r>
    </w:p>
    <w:p w14:paraId="32DCE9CE" w14:textId="1AB8EAB7" w:rsidR="006B5C19" w:rsidRPr="00A33930" w:rsidRDefault="006B5C19" w:rsidP="00DA3ECE">
      <w:pPr>
        <w:spacing w:before="120" w:after="120" w:line="360" w:lineRule="auto"/>
        <w:jc w:val="both"/>
        <w:rPr>
          <w:rFonts w:eastAsia="Verdana" w:cs="Verdana"/>
          <w:iCs/>
          <w:lang w:val="nl-NL"/>
        </w:rPr>
      </w:pPr>
      <w:r w:rsidRPr="00A33930">
        <w:rPr>
          <w:rFonts w:eastAsia="Verdana" w:cs="Verdana"/>
          <w:iCs/>
          <w:lang w:val="nl-NL"/>
        </w:rPr>
        <w:t>Kamerstukken II 2004/05, 30 145, nr. 3.</w:t>
      </w:r>
    </w:p>
    <w:p w14:paraId="53379930" w14:textId="77777777" w:rsidR="00611390" w:rsidRPr="00A33930" w:rsidRDefault="00611390" w:rsidP="00DA3ECE">
      <w:pPr>
        <w:spacing w:before="140" w:line="360" w:lineRule="auto"/>
        <w:jc w:val="both"/>
        <w:rPr>
          <w:rFonts w:eastAsia="Verdana" w:cs="Verdana"/>
          <w:szCs w:val="18"/>
          <w:lang w:val="nl-NL"/>
        </w:rPr>
      </w:pPr>
    </w:p>
    <w:p w14:paraId="64C7DA17" w14:textId="77777777" w:rsidR="00DA3ECE" w:rsidRPr="00A33930" w:rsidRDefault="00DA3ECE" w:rsidP="00DA3ECE">
      <w:pPr>
        <w:spacing w:before="120" w:after="120" w:line="360" w:lineRule="auto"/>
        <w:jc w:val="both"/>
        <w:rPr>
          <w:rFonts w:eastAsia="Verdana" w:cs="Verdana"/>
          <w:b/>
          <w:bCs/>
          <w:i/>
          <w:lang w:val="nl-NL"/>
        </w:rPr>
      </w:pPr>
      <w:r w:rsidRPr="00A33930">
        <w:rPr>
          <w:rFonts w:eastAsia="Verdana" w:cs="Verdana"/>
          <w:b/>
          <w:bCs/>
          <w:i/>
          <w:lang w:val="nl-NL"/>
        </w:rPr>
        <w:t>Duitsland</w:t>
      </w:r>
    </w:p>
    <w:p w14:paraId="6E1B8296" w14:textId="1990BEE3" w:rsidR="00754AB6" w:rsidRPr="00A33930" w:rsidRDefault="00754AB6" w:rsidP="00754AB6">
      <w:pPr>
        <w:spacing w:before="120" w:after="120" w:line="360" w:lineRule="auto"/>
        <w:jc w:val="both"/>
        <w:rPr>
          <w:rFonts w:eastAsia="Verdana" w:cs="Verdana"/>
          <w:szCs w:val="18"/>
          <w:lang w:val="nl-NL"/>
        </w:rPr>
      </w:pPr>
      <w:r w:rsidRPr="00A33930">
        <w:rPr>
          <w:rFonts w:eastAsia="Verdana" w:cs="Verdana"/>
          <w:szCs w:val="18"/>
          <w:lang w:val="nl-NL"/>
        </w:rPr>
        <w:t>Bürgerliches Gesetzbuch 18 augustus 1896.</w:t>
      </w:r>
    </w:p>
    <w:p w14:paraId="306DA6C2" w14:textId="60F7D6AA" w:rsidR="00754AB6" w:rsidRPr="00A33930" w:rsidRDefault="00754AB6" w:rsidP="00754AB6">
      <w:pPr>
        <w:spacing w:before="120" w:after="120" w:line="360" w:lineRule="auto"/>
        <w:jc w:val="both"/>
        <w:rPr>
          <w:rFonts w:eastAsia="Verdana" w:cs="Verdana"/>
          <w:szCs w:val="18"/>
          <w:lang w:val="nl-NL"/>
        </w:rPr>
      </w:pPr>
      <w:r w:rsidRPr="00A33930">
        <w:rPr>
          <w:rFonts w:eastAsia="Verdana" w:cs="Verdana"/>
          <w:szCs w:val="18"/>
          <w:lang w:val="nl-NL"/>
        </w:rPr>
        <w:t>Grundgesetz für die Bundesprepublik Deutschland 23 mei 1949.</w:t>
      </w:r>
    </w:p>
    <w:p w14:paraId="79A33A76" w14:textId="77777777" w:rsidR="00754AB6" w:rsidRPr="00A33930" w:rsidRDefault="00754AB6" w:rsidP="00754AB6">
      <w:pPr>
        <w:spacing w:before="120" w:after="120" w:line="360" w:lineRule="auto"/>
        <w:jc w:val="both"/>
        <w:rPr>
          <w:rFonts w:eastAsia="Verdana" w:cs="Verdana"/>
          <w:szCs w:val="18"/>
          <w:lang w:val="nl-NL"/>
        </w:rPr>
      </w:pPr>
      <w:r w:rsidRPr="00A33930">
        <w:rPr>
          <w:rFonts w:eastAsia="Verdana" w:cs="Verdana"/>
          <w:szCs w:val="18"/>
          <w:lang w:val="nl-NL"/>
        </w:rPr>
        <w:t>Zivilprozessordnung 13 januari 1877.</w:t>
      </w:r>
    </w:p>
    <w:p w14:paraId="0606C6D8" w14:textId="72271C03" w:rsidR="00754AB6" w:rsidRPr="00A33930" w:rsidRDefault="00754AB6" w:rsidP="00754AB6">
      <w:pPr>
        <w:spacing w:before="120" w:after="120" w:line="360" w:lineRule="auto"/>
        <w:jc w:val="both"/>
        <w:rPr>
          <w:rFonts w:eastAsia="Verdana" w:cs="Verdana"/>
          <w:szCs w:val="18"/>
          <w:lang w:val="nl-NL"/>
        </w:rPr>
      </w:pPr>
      <w:r w:rsidRPr="00A33930">
        <w:rPr>
          <w:rFonts w:eastAsia="Verdana" w:cs="Verdana"/>
          <w:szCs w:val="18"/>
          <w:lang w:val="nl-NL"/>
        </w:rPr>
        <w:t>Gesetz über die Konvention zum Schutze der Menschenrechte und Grundfreiheiten van 7 augustus 1952, </w:t>
      </w:r>
      <w:r w:rsidRPr="00A33930">
        <w:rPr>
          <w:rFonts w:eastAsia="Verdana" w:cs="Verdana"/>
          <w:i/>
          <w:iCs/>
          <w:szCs w:val="18"/>
          <w:lang w:val="nl-NL"/>
        </w:rPr>
        <w:t>BGBl</w:t>
      </w:r>
      <w:r w:rsidRPr="00A33930">
        <w:rPr>
          <w:rFonts w:eastAsia="Verdana" w:cs="Verdana"/>
          <w:szCs w:val="18"/>
          <w:lang w:val="nl-NL"/>
        </w:rPr>
        <w:t> 1952, 14.</w:t>
      </w:r>
    </w:p>
    <w:p w14:paraId="4D06F741" w14:textId="77777777" w:rsidR="00754AB6" w:rsidRPr="00A33930" w:rsidRDefault="00754AB6" w:rsidP="00754AB6">
      <w:pPr>
        <w:spacing w:before="120" w:after="120" w:line="360" w:lineRule="auto"/>
        <w:jc w:val="both"/>
        <w:rPr>
          <w:rFonts w:eastAsia="Verdana" w:cs="Verdana"/>
          <w:szCs w:val="18"/>
          <w:lang w:val="nl-NL"/>
        </w:rPr>
      </w:pPr>
      <w:r w:rsidRPr="00A33930">
        <w:rPr>
          <w:rFonts w:eastAsia="Verdana" w:cs="Verdana"/>
          <w:szCs w:val="18"/>
          <w:lang w:val="nl-NL"/>
        </w:rPr>
        <w:t xml:space="preserve">Gesetz zu dem Übereinkommen vom 20 november 1989 über die Rechte des Kindes van 17 februari 1992, </w:t>
      </w:r>
      <w:r w:rsidRPr="00A33930">
        <w:rPr>
          <w:rFonts w:eastAsia="Verdana" w:cs="Verdana"/>
          <w:i/>
          <w:szCs w:val="18"/>
          <w:lang w:val="nl-NL"/>
        </w:rPr>
        <w:t>BGBI</w:t>
      </w:r>
      <w:r w:rsidRPr="00A33930">
        <w:rPr>
          <w:rFonts w:eastAsia="Verdana" w:cs="Verdana"/>
          <w:szCs w:val="18"/>
          <w:lang w:val="nl-NL"/>
        </w:rPr>
        <w:t xml:space="preserve"> 21 februari 1992.</w:t>
      </w:r>
    </w:p>
    <w:p w14:paraId="1B456A6F" w14:textId="02C1165F" w:rsidR="00DA3ECE" w:rsidRPr="00A33930" w:rsidRDefault="00754AB6" w:rsidP="00DA3ECE">
      <w:pPr>
        <w:spacing w:before="120" w:after="120" w:line="360" w:lineRule="auto"/>
        <w:jc w:val="both"/>
        <w:rPr>
          <w:rFonts w:eastAsia="Verdana" w:cs="Verdana"/>
          <w:szCs w:val="18"/>
          <w:lang w:val="nl-NL"/>
        </w:rPr>
      </w:pPr>
      <w:r w:rsidRPr="00A33930">
        <w:rPr>
          <w:rFonts w:eastAsia="Verdana" w:cs="Verdana"/>
          <w:szCs w:val="18"/>
          <w:lang w:val="nl-NL"/>
        </w:rPr>
        <w:t xml:space="preserve">Gesets über die Angelegenheiten der freiwilligen Gerichtsbarkeit (FGG) van 12 maart 2009, </w:t>
      </w:r>
      <w:r w:rsidRPr="00A33930">
        <w:rPr>
          <w:rFonts w:eastAsia="Verdana" w:cs="Verdana"/>
          <w:i/>
          <w:iCs/>
          <w:szCs w:val="18"/>
          <w:lang w:val="nl-NL"/>
        </w:rPr>
        <w:t>BGBI</w:t>
      </w:r>
      <w:r w:rsidRPr="00A33930">
        <w:rPr>
          <w:rFonts w:eastAsia="Verdana" w:cs="Verdana"/>
          <w:szCs w:val="18"/>
          <w:lang w:val="nl-NL"/>
        </w:rPr>
        <w:t xml:space="preserve"> 18 maart 2009.</w:t>
      </w:r>
    </w:p>
    <w:p w14:paraId="5110E30A" w14:textId="77777777" w:rsidR="00DA3ECE" w:rsidRPr="00A33930" w:rsidRDefault="00DA3ECE" w:rsidP="00DA3ECE">
      <w:pPr>
        <w:spacing w:before="200" w:after="200" w:line="276" w:lineRule="auto"/>
        <w:rPr>
          <w:rFonts w:eastAsiaTheme="majorEastAsia" w:cstheme="majorBidi"/>
          <w:b/>
          <w:iCs/>
          <w:szCs w:val="28"/>
          <w:lang w:val="nl-NL" w:eastAsia="en-US"/>
        </w:rPr>
      </w:pPr>
      <w:r w:rsidRPr="00A33930">
        <w:rPr>
          <w:rFonts w:eastAsiaTheme="majorEastAsia" w:cstheme="majorBidi"/>
          <w:b/>
          <w:caps/>
          <w:szCs w:val="28"/>
          <w:lang w:val="nl-NL" w:eastAsia="en-US"/>
        </w:rPr>
        <w:br w:type="page"/>
      </w:r>
    </w:p>
    <w:p w14:paraId="0FE2D1C0" w14:textId="71825B5F" w:rsidR="00DA3ECE" w:rsidRPr="00A33930" w:rsidRDefault="00DA3ECE" w:rsidP="00DF3653">
      <w:pPr>
        <w:spacing w:line="480" w:lineRule="auto"/>
        <w:rPr>
          <w:b/>
          <w:bCs/>
          <w:sz w:val="21"/>
          <w:szCs w:val="32"/>
          <w:u w:val="single"/>
          <w:lang w:val="nl-NL"/>
        </w:rPr>
      </w:pPr>
      <w:r w:rsidRPr="00A33930">
        <w:rPr>
          <w:b/>
          <w:bCs/>
          <w:sz w:val="21"/>
          <w:szCs w:val="32"/>
          <w:u w:val="single"/>
          <w:lang w:val="nl-NL"/>
        </w:rPr>
        <w:lastRenderedPageBreak/>
        <w:t>RECHTSPRAAK</w:t>
      </w:r>
    </w:p>
    <w:p w14:paraId="60AA107F" w14:textId="555F6DDD" w:rsidR="00AE65F8" w:rsidRPr="00A33930" w:rsidRDefault="0077608D" w:rsidP="00AE65F8">
      <w:pPr>
        <w:spacing w:before="120" w:after="120" w:line="360" w:lineRule="auto"/>
        <w:jc w:val="both"/>
        <w:rPr>
          <w:rFonts w:eastAsia="Verdana" w:cs="Verdana"/>
          <w:b/>
          <w:bCs/>
          <w:i/>
          <w:lang w:val="nl-NL"/>
        </w:rPr>
      </w:pPr>
      <w:r w:rsidRPr="00A33930">
        <w:rPr>
          <w:rFonts w:eastAsia="Verdana" w:cs="Verdana"/>
          <w:b/>
          <w:bCs/>
          <w:i/>
          <w:lang w:val="nl-NL"/>
        </w:rPr>
        <w:t>Europees</w:t>
      </w:r>
      <w:r w:rsidR="008354CD" w:rsidRPr="00A33930">
        <w:rPr>
          <w:rFonts w:eastAsia="Verdana" w:cs="Verdana"/>
          <w:b/>
          <w:bCs/>
          <w:i/>
          <w:lang w:val="nl-NL"/>
        </w:rPr>
        <w:t>:</w:t>
      </w:r>
    </w:p>
    <w:p w14:paraId="23CBB3BB" w14:textId="77777777" w:rsidR="00245F00" w:rsidRPr="00A33930" w:rsidRDefault="00245F00" w:rsidP="00245F00">
      <w:pPr>
        <w:spacing w:before="120" w:after="120" w:line="360" w:lineRule="auto"/>
        <w:jc w:val="both"/>
        <w:rPr>
          <w:rFonts w:eastAsia="Verdana" w:cs="Verdana"/>
          <w:i/>
          <w:szCs w:val="18"/>
          <w:lang w:val="nl-NL"/>
        </w:rPr>
      </w:pPr>
      <w:r w:rsidRPr="00A33930">
        <w:rPr>
          <w:rFonts w:eastAsia="Verdana" w:cs="Verdana"/>
          <w:szCs w:val="18"/>
          <w:lang w:val="nl-NL"/>
        </w:rPr>
        <w:t xml:space="preserve">EHRM 13 juni 1979, nr. 6833/74, </w:t>
      </w:r>
      <w:r w:rsidRPr="00A33930">
        <w:rPr>
          <w:rFonts w:eastAsia="Verdana" w:cs="Verdana"/>
          <w:i/>
          <w:szCs w:val="18"/>
          <w:lang w:val="nl-NL"/>
        </w:rPr>
        <w:t>Marckx/België.</w:t>
      </w:r>
    </w:p>
    <w:p w14:paraId="58BACEF2" w14:textId="77777777" w:rsidR="00245F00" w:rsidRPr="00A33930" w:rsidRDefault="00245F00" w:rsidP="00245F00">
      <w:pPr>
        <w:spacing w:before="120" w:after="120" w:line="360" w:lineRule="auto"/>
        <w:jc w:val="both"/>
        <w:rPr>
          <w:rFonts w:eastAsia="Verdana" w:cs="Verdana"/>
          <w:szCs w:val="18"/>
          <w:lang w:val="nl-NL"/>
        </w:rPr>
      </w:pPr>
      <w:r w:rsidRPr="00A33930">
        <w:rPr>
          <w:rFonts w:eastAsia="Verdana" w:cs="Verdana"/>
          <w:szCs w:val="18"/>
          <w:lang w:val="nl-NL"/>
        </w:rPr>
        <w:t xml:space="preserve">EHRM 24 maart 1988, nr. 10465/83, </w:t>
      </w:r>
      <w:r w:rsidRPr="00A33930">
        <w:rPr>
          <w:rFonts w:eastAsia="Verdana" w:cs="Verdana"/>
          <w:i/>
          <w:szCs w:val="18"/>
          <w:lang w:val="nl-NL"/>
        </w:rPr>
        <w:t>Olsson/Zweden</w:t>
      </w:r>
      <w:r w:rsidRPr="00A33930">
        <w:rPr>
          <w:rFonts w:eastAsia="Verdana" w:cs="Verdana"/>
          <w:szCs w:val="18"/>
          <w:lang w:val="nl-NL"/>
        </w:rPr>
        <w:t>.</w:t>
      </w:r>
    </w:p>
    <w:p w14:paraId="11A1F4BB" w14:textId="77777777" w:rsidR="00245F00" w:rsidRPr="00A33930" w:rsidRDefault="00245F00" w:rsidP="00245F00">
      <w:pPr>
        <w:spacing w:before="120" w:after="120" w:line="360" w:lineRule="auto"/>
        <w:jc w:val="both"/>
        <w:rPr>
          <w:rFonts w:eastAsia="Verdana" w:cs="Verdana"/>
          <w:iCs/>
          <w:szCs w:val="18"/>
          <w:lang w:val="nl-NL"/>
        </w:rPr>
      </w:pPr>
      <w:r w:rsidRPr="00A33930">
        <w:rPr>
          <w:rFonts w:eastAsia="Verdana" w:cs="Verdana"/>
          <w:iCs/>
          <w:szCs w:val="18"/>
          <w:lang w:val="nl-NL"/>
        </w:rPr>
        <w:t xml:space="preserve">EHRM 22 november 1988, nr. 10929/84, </w:t>
      </w:r>
      <w:r w:rsidRPr="00A33930">
        <w:rPr>
          <w:rFonts w:eastAsia="Verdana" w:cs="Verdana"/>
          <w:i/>
          <w:szCs w:val="18"/>
          <w:lang w:val="nl-NL"/>
        </w:rPr>
        <w:t>Nielsen/Denemarken</w:t>
      </w:r>
      <w:r w:rsidRPr="00A33930">
        <w:rPr>
          <w:rFonts w:eastAsia="Verdana" w:cs="Verdana"/>
          <w:iCs/>
          <w:szCs w:val="18"/>
          <w:lang w:val="nl-NL"/>
        </w:rPr>
        <w:t>.</w:t>
      </w:r>
    </w:p>
    <w:p w14:paraId="0D36631B" w14:textId="06253D13" w:rsidR="00245F00" w:rsidRPr="00A33930" w:rsidRDefault="00245F00" w:rsidP="00245F00">
      <w:pPr>
        <w:spacing w:before="120" w:after="120" w:line="360" w:lineRule="auto"/>
        <w:jc w:val="both"/>
        <w:rPr>
          <w:rFonts w:eastAsia="Verdana" w:cs="Verdana"/>
          <w:iCs/>
          <w:szCs w:val="18"/>
          <w:lang w:val="nl-NL"/>
        </w:rPr>
      </w:pPr>
      <w:r w:rsidRPr="00A33930">
        <w:rPr>
          <w:rFonts w:eastAsia="Verdana" w:cs="Verdana"/>
          <w:iCs/>
          <w:szCs w:val="18"/>
          <w:lang w:val="nl-NL"/>
        </w:rPr>
        <w:t xml:space="preserve">EHRM 29 november 1991, nr. 12849/87, </w:t>
      </w:r>
      <w:r w:rsidRPr="00A33930">
        <w:rPr>
          <w:rFonts w:eastAsia="Verdana" w:cs="Verdana"/>
          <w:i/>
          <w:iCs/>
          <w:szCs w:val="18"/>
          <w:lang w:val="nl-NL"/>
        </w:rPr>
        <w:t>Vermeire/België,</w:t>
      </w:r>
      <w:r w:rsidRPr="00A33930">
        <w:rPr>
          <w:rFonts w:eastAsia="Verdana" w:cs="Verdana"/>
          <w:iCs/>
          <w:szCs w:val="18"/>
          <w:lang w:val="nl-NL"/>
        </w:rPr>
        <w:t xml:space="preserve"> </w:t>
      </w:r>
      <w:r w:rsidRPr="00A33930">
        <w:rPr>
          <w:rFonts w:eastAsia="Verdana" w:cs="Verdana"/>
          <w:i/>
          <w:iCs/>
          <w:szCs w:val="18"/>
          <w:lang w:val="nl-NL"/>
        </w:rPr>
        <w:t>T.Vred.</w:t>
      </w:r>
      <w:r w:rsidRPr="00A33930">
        <w:rPr>
          <w:rFonts w:eastAsia="Verdana" w:cs="Verdana"/>
          <w:iCs/>
          <w:szCs w:val="18"/>
          <w:lang w:val="nl-NL"/>
        </w:rPr>
        <w:t xml:space="preserve"> 2002, 238-244, noot DANDOY</w:t>
      </w:r>
      <w:r w:rsidR="00207260" w:rsidRPr="00A33930">
        <w:rPr>
          <w:rFonts w:eastAsia="Verdana" w:cs="Verdana"/>
          <w:iCs/>
          <w:szCs w:val="18"/>
          <w:lang w:val="nl-NL"/>
        </w:rPr>
        <w:t>, N</w:t>
      </w:r>
      <w:r w:rsidRPr="00A33930">
        <w:rPr>
          <w:rFonts w:eastAsia="Verdana" w:cs="Verdana"/>
          <w:iCs/>
          <w:szCs w:val="18"/>
          <w:lang w:val="nl-NL"/>
        </w:rPr>
        <w:t>.</w:t>
      </w:r>
    </w:p>
    <w:p w14:paraId="7A84CCFC" w14:textId="77777777" w:rsidR="00245F00" w:rsidRPr="00A33930" w:rsidRDefault="00245F00" w:rsidP="00245F00">
      <w:pPr>
        <w:spacing w:before="120" w:after="120" w:line="360" w:lineRule="auto"/>
        <w:jc w:val="both"/>
        <w:rPr>
          <w:rFonts w:eastAsia="Verdana" w:cs="Verdana"/>
          <w:iCs/>
          <w:szCs w:val="18"/>
          <w:lang w:val="nl-NL"/>
        </w:rPr>
      </w:pPr>
      <w:r w:rsidRPr="00A33930">
        <w:rPr>
          <w:rFonts w:eastAsia="Verdana" w:cs="Verdana"/>
          <w:iCs/>
          <w:szCs w:val="18"/>
          <w:lang w:val="nl-NL"/>
        </w:rPr>
        <w:t xml:space="preserve">EHRM 16 december 1992, nr. 13710/88, </w:t>
      </w:r>
      <w:r w:rsidRPr="00A33930">
        <w:rPr>
          <w:rFonts w:eastAsia="Verdana" w:cs="Verdana"/>
          <w:i/>
          <w:iCs/>
          <w:szCs w:val="18"/>
          <w:lang w:val="nl-NL"/>
        </w:rPr>
        <w:t>Niemietz/Duitsland.</w:t>
      </w:r>
    </w:p>
    <w:p w14:paraId="53B8D901" w14:textId="77777777" w:rsidR="00245F00" w:rsidRPr="00A33930" w:rsidRDefault="00245F00" w:rsidP="00245F00">
      <w:pPr>
        <w:spacing w:before="120" w:after="120" w:line="360" w:lineRule="auto"/>
        <w:jc w:val="both"/>
        <w:rPr>
          <w:rFonts w:eastAsia="Verdana" w:cs="Verdana"/>
          <w:iCs/>
          <w:szCs w:val="18"/>
          <w:lang w:val="nl-NL"/>
        </w:rPr>
      </w:pPr>
      <w:r w:rsidRPr="00A33930">
        <w:rPr>
          <w:rFonts w:eastAsia="Verdana" w:cs="Verdana"/>
          <w:szCs w:val="18"/>
          <w:lang w:val="nl-NL"/>
        </w:rPr>
        <w:t xml:space="preserve">EHRM 23 september 1994, nr. 19823/92, </w:t>
      </w:r>
      <w:r w:rsidRPr="00A33930">
        <w:rPr>
          <w:rFonts w:eastAsia="Verdana" w:cs="Verdana"/>
          <w:i/>
          <w:szCs w:val="18"/>
          <w:lang w:val="nl-NL"/>
        </w:rPr>
        <w:t>Hokkanen/Finland.</w:t>
      </w:r>
    </w:p>
    <w:p w14:paraId="7569E622" w14:textId="00EB3B41" w:rsidR="00245F00" w:rsidRPr="00A33930" w:rsidRDefault="00245F00" w:rsidP="00245F00">
      <w:pPr>
        <w:spacing w:before="120" w:after="120" w:line="360" w:lineRule="auto"/>
        <w:jc w:val="both"/>
        <w:rPr>
          <w:rFonts w:eastAsia="Verdana" w:cs="Verdana"/>
          <w:i/>
          <w:iCs/>
          <w:szCs w:val="18"/>
          <w:lang w:val="nl-NL"/>
        </w:rPr>
      </w:pPr>
      <w:r w:rsidRPr="00A33930">
        <w:rPr>
          <w:rFonts w:eastAsia="Verdana" w:cs="Verdana"/>
          <w:szCs w:val="18"/>
          <w:lang w:val="nl-NL"/>
        </w:rPr>
        <w:t xml:space="preserve">EHRM 12 april 1997, nr. 21830/93, </w:t>
      </w:r>
      <w:r w:rsidRPr="00A33930">
        <w:rPr>
          <w:rFonts w:eastAsia="Verdana" w:cs="Verdana"/>
          <w:i/>
          <w:iCs/>
          <w:szCs w:val="18"/>
          <w:lang w:val="nl-NL"/>
        </w:rPr>
        <w:t>X.Y. en Z./Verenigd Koninkrijk.</w:t>
      </w:r>
    </w:p>
    <w:p w14:paraId="5B4CE03D" w14:textId="0C7F2763" w:rsidR="00D365FF" w:rsidRPr="00A33930" w:rsidRDefault="00D365FF" w:rsidP="00245F00">
      <w:pPr>
        <w:spacing w:before="120" w:after="120" w:line="360" w:lineRule="auto"/>
        <w:jc w:val="both"/>
        <w:rPr>
          <w:rFonts w:eastAsia="Verdana" w:cs="Verdana"/>
          <w:i/>
          <w:iCs/>
          <w:szCs w:val="18"/>
          <w:lang w:val="nl-NL"/>
        </w:rPr>
      </w:pPr>
      <w:r w:rsidRPr="00A33930">
        <w:rPr>
          <w:rFonts w:eastAsia="Verdana" w:cs="Verdana"/>
          <w:szCs w:val="18"/>
          <w:lang w:val="nl-NL"/>
        </w:rPr>
        <w:t>EHRM 9 juni 1998, nr. 22430/93,</w:t>
      </w:r>
      <w:r w:rsidRPr="00A33930">
        <w:rPr>
          <w:rFonts w:eastAsia="Verdana" w:cs="Verdana"/>
          <w:i/>
          <w:iCs/>
          <w:szCs w:val="18"/>
          <w:lang w:val="nl-NL"/>
        </w:rPr>
        <w:t xml:space="preserve"> Bronda/Italië.</w:t>
      </w:r>
    </w:p>
    <w:p w14:paraId="7AAEA055" w14:textId="77777777" w:rsidR="00245F00" w:rsidRPr="00A33930" w:rsidRDefault="00245F00" w:rsidP="00245F00">
      <w:pPr>
        <w:spacing w:before="120" w:after="120" w:line="360" w:lineRule="auto"/>
        <w:jc w:val="both"/>
        <w:rPr>
          <w:rFonts w:eastAsia="Verdana" w:cs="Verdana"/>
          <w:szCs w:val="18"/>
          <w:lang w:val="nl-NL"/>
        </w:rPr>
      </w:pPr>
      <w:r w:rsidRPr="00A33930">
        <w:rPr>
          <w:rFonts w:eastAsia="Verdana" w:cs="Verdana"/>
          <w:szCs w:val="18"/>
          <w:lang w:val="nl-NL"/>
        </w:rPr>
        <w:t>EHRM 23 september 1998, nr. 100/1997/884/1096, A/Verenigd Koninkrijk.</w:t>
      </w:r>
    </w:p>
    <w:p w14:paraId="1849D1FF" w14:textId="77777777" w:rsidR="00245F00" w:rsidRPr="00A33930" w:rsidRDefault="00245F00" w:rsidP="00245F00">
      <w:pPr>
        <w:spacing w:before="120" w:after="120" w:line="360" w:lineRule="auto"/>
        <w:jc w:val="both"/>
        <w:rPr>
          <w:rFonts w:eastAsia="Verdana" w:cs="Verdana"/>
          <w:szCs w:val="18"/>
          <w:lang w:val="nl-NL"/>
        </w:rPr>
      </w:pPr>
      <w:r w:rsidRPr="00A33930">
        <w:rPr>
          <w:rFonts w:eastAsia="Verdana" w:cs="Verdana"/>
          <w:szCs w:val="18"/>
          <w:lang w:val="nl-NL"/>
        </w:rPr>
        <w:t xml:space="preserve">EHRM 13 juli 2000, nr. 25735/94, </w:t>
      </w:r>
      <w:r w:rsidRPr="00A33930">
        <w:rPr>
          <w:rFonts w:eastAsia="Verdana" w:cs="Verdana"/>
          <w:i/>
          <w:szCs w:val="18"/>
          <w:lang w:val="nl-NL"/>
        </w:rPr>
        <w:t>Elsholz/Duitsland</w:t>
      </w:r>
      <w:r w:rsidRPr="00A33930">
        <w:rPr>
          <w:rFonts w:eastAsia="Verdana" w:cs="Verdana"/>
          <w:szCs w:val="18"/>
          <w:lang w:val="nl-NL"/>
        </w:rPr>
        <w:t>.</w:t>
      </w:r>
    </w:p>
    <w:p w14:paraId="6309D384" w14:textId="77777777" w:rsidR="00245F00" w:rsidRPr="00A33930" w:rsidRDefault="00245F00" w:rsidP="00245F00">
      <w:pPr>
        <w:spacing w:before="120" w:after="120" w:line="360" w:lineRule="auto"/>
        <w:jc w:val="both"/>
        <w:rPr>
          <w:rFonts w:eastAsia="Verdana" w:cs="Verdana"/>
          <w:szCs w:val="18"/>
          <w:lang w:val="nl-NL"/>
        </w:rPr>
      </w:pPr>
      <w:r w:rsidRPr="00A33930">
        <w:rPr>
          <w:rFonts w:eastAsia="Verdana" w:cs="Verdana"/>
          <w:szCs w:val="18"/>
          <w:lang w:val="nl-NL"/>
        </w:rPr>
        <w:t xml:space="preserve">EHRM 13 juli 2000, nrs. 39221/98 en 41963/98, </w:t>
      </w:r>
      <w:r w:rsidRPr="00A33930">
        <w:rPr>
          <w:rFonts w:eastAsia="Verdana" w:cs="Verdana"/>
          <w:i/>
          <w:szCs w:val="18"/>
          <w:lang w:val="nl-NL"/>
        </w:rPr>
        <w:t>Scozzari en Giunta/Italië</w:t>
      </w:r>
      <w:r w:rsidRPr="00A33930">
        <w:rPr>
          <w:rFonts w:eastAsia="Verdana" w:cs="Verdana"/>
          <w:szCs w:val="18"/>
          <w:lang w:val="nl-NL"/>
        </w:rPr>
        <w:t>.</w:t>
      </w:r>
    </w:p>
    <w:p w14:paraId="0B044B6B" w14:textId="77777777" w:rsidR="00245F00" w:rsidRPr="00A33930" w:rsidRDefault="00245F00" w:rsidP="00245F00">
      <w:pPr>
        <w:spacing w:before="120" w:after="120" w:line="360" w:lineRule="auto"/>
        <w:jc w:val="both"/>
        <w:rPr>
          <w:rFonts w:eastAsia="Verdana" w:cs="Verdana"/>
          <w:i/>
          <w:iCs/>
          <w:szCs w:val="18"/>
          <w:lang w:val="nl-NL"/>
        </w:rPr>
      </w:pPr>
      <w:r w:rsidRPr="00A33930">
        <w:rPr>
          <w:rFonts w:eastAsia="Verdana" w:cs="Verdana"/>
          <w:szCs w:val="18"/>
          <w:lang w:val="nl-NL"/>
        </w:rPr>
        <w:t xml:space="preserve">EHRM 19 september 2000, nr. 40031/98, </w:t>
      </w:r>
      <w:r w:rsidRPr="00A33930">
        <w:rPr>
          <w:rFonts w:eastAsia="Verdana" w:cs="Verdana"/>
          <w:i/>
          <w:iCs/>
          <w:szCs w:val="18"/>
          <w:lang w:val="nl-NL"/>
        </w:rPr>
        <w:t>Gnahoré/Frankrijk.</w:t>
      </w:r>
    </w:p>
    <w:p w14:paraId="3ECE00E4" w14:textId="77777777" w:rsidR="00245F00" w:rsidRPr="00A33930" w:rsidRDefault="00245F00" w:rsidP="00245F00">
      <w:pPr>
        <w:spacing w:before="120" w:after="120" w:line="360" w:lineRule="auto"/>
        <w:jc w:val="both"/>
        <w:rPr>
          <w:rFonts w:eastAsia="Verdana" w:cs="Verdana"/>
          <w:szCs w:val="18"/>
          <w:lang w:val="nl-NL"/>
        </w:rPr>
      </w:pPr>
      <w:r w:rsidRPr="00A33930">
        <w:rPr>
          <w:rFonts w:eastAsia="Verdana" w:cs="Verdana"/>
          <w:szCs w:val="18"/>
          <w:lang w:val="nl-NL"/>
        </w:rPr>
        <w:t xml:space="preserve">EHRM 12 juli 2001, nr. 25702/94, </w:t>
      </w:r>
      <w:r w:rsidRPr="00A33930">
        <w:rPr>
          <w:rFonts w:eastAsia="Verdana" w:cs="Verdana"/>
          <w:i/>
          <w:iCs/>
          <w:szCs w:val="18"/>
          <w:lang w:val="nl-NL"/>
        </w:rPr>
        <w:t>K. en T./Finland</w:t>
      </w:r>
      <w:r w:rsidRPr="00A33930">
        <w:rPr>
          <w:rFonts w:eastAsia="Verdana" w:cs="Verdana"/>
          <w:szCs w:val="18"/>
          <w:lang w:val="nl-NL"/>
        </w:rPr>
        <w:t>.</w:t>
      </w:r>
    </w:p>
    <w:p w14:paraId="00050D70" w14:textId="77777777" w:rsidR="00245F00" w:rsidRPr="00A33930" w:rsidRDefault="00245F00" w:rsidP="00245F00">
      <w:pPr>
        <w:spacing w:before="120" w:after="120" w:line="360" w:lineRule="auto"/>
        <w:jc w:val="both"/>
        <w:rPr>
          <w:rFonts w:eastAsia="Verdana" w:cs="Verdana"/>
          <w:i/>
          <w:iCs/>
          <w:szCs w:val="18"/>
          <w:lang w:val="nl-NL"/>
        </w:rPr>
      </w:pPr>
      <w:r w:rsidRPr="00A33930">
        <w:rPr>
          <w:rFonts w:eastAsia="Verdana" w:cs="Verdana"/>
          <w:szCs w:val="18"/>
          <w:lang w:val="nl-NL"/>
        </w:rPr>
        <w:t xml:space="preserve">EHRM 7 februari 2002, nr. 53176/99, </w:t>
      </w:r>
      <w:r w:rsidRPr="00A33930">
        <w:rPr>
          <w:rFonts w:eastAsia="Verdana" w:cs="Verdana"/>
          <w:i/>
          <w:iCs/>
          <w:szCs w:val="18"/>
          <w:lang w:val="nl-NL"/>
        </w:rPr>
        <w:t>Mikulic/Kroatië.</w:t>
      </w:r>
    </w:p>
    <w:p w14:paraId="5CE136A9" w14:textId="77777777" w:rsidR="00245F00" w:rsidRPr="00A33930" w:rsidRDefault="00245F00" w:rsidP="00245F00">
      <w:pPr>
        <w:spacing w:before="120" w:after="120" w:line="360" w:lineRule="auto"/>
        <w:jc w:val="both"/>
        <w:rPr>
          <w:rFonts w:eastAsia="Verdana" w:cs="Verdana"/>
          <w:szCs w:val="18"/>
          <w:lang w:val="nl-NL"/>
        </w:rPr>
      </w:pPr>
      <w:r w:rsidRPr="00A33930">
        <w:rPr>
          <w:rFonts w:eastAsia="Verdana" w:cs="Verdana"/>
          <w:szCs w:val="18"/>
          <w:lang w:val="nl-NL"/>
        </w:rPr>
        <w:t xml:space="preserve">EHRM 26 februari 2002, nr. 46544/99, </w:t>
      </w:r>
      <w:r w:rsidRPr="00A33930">
        <w:rPr>
          <w:rFonts w:eastAsia="Verdana" w:cs="Verdana"/>
          <w:i/>
          <w:szCs w:val="18"/>
          <w:lang w:val="nl-NL"/>
        </w:rPr>
        <w:t>Kutzner/Duitsland</w:t>
      </w:r>
      <w:r w:rsidRPr="00A33930">
        <w:rPr>
          <w:rFonts w:eastAsia="Verdana" w:cs="Verdana"/>
          <w:szCs w:val="18"/>
          <w:lang w:val="nl-NL"/>
        </w:rPr>
        <w:t>.</w:t>
      </w:r>
    </w:p>
    <w:p w14:paraId="46FADB58" w14:textId="77777777" w:rsidR="00245F00" w:rsidRPr="00A33930" w:rsidRDefault="00245F00" w:rsidP="00245F00">
      <w:pPr>
        <w:spacing w:before="120" w:after="120" w:line="360" w:lineRule="auto"/>
        <w:jc w:val="both"/>
        <w:rPr>
          <w:rFonts w:eastAsia="Verdana" w:cs="Verdana"/>
          <w:szCs w:val="18"/>
          <w:lang w:val="nl-NL"/>
        </w:rPr>
      </w:pPr>
      <w:r w:rsidRPr="00A33930">
        <w:rPr>
          <w:rFonts w:eastAsia="Verdana" w:cs="Verdana"/>
          <w:szCs w:val="18"/>
          <w:lang w:val="nl-NL"/>
        </w:rPr>
        <w:t xml:space="preserve">EHRM 11 juli 2002, nr. 28957/95, </w:t>
      </w:r>
      <w:r w:rsidRPr="00A33930">
        <w:rPr>
          <w:rFonts w:eastAsia="Verdana" w:cs="Verdana"/>
          <w:i/>
          <w:iCs/>
          <w:szCs w:val="18"/>
          <w:lang w:val="nl-NL"/>
        </w:rPr>
        <w:t>Goodwin/Verenigd Koninkrijk.</w:t>
      </w:r>
    </w:p>
    <w:p w14:paraId="20BDA087" w14:textId="77777777" w:rsidR="00245F00" w:rsidRPr="00A33930" w:rsidRDefault="00245F00" w:rsidP="00245F00">
      <w:pPr>
        <w:spacing w:before="120" w:after="120" w:line="360" w:lineRule="auto"/>
        <w:jc w:val="both"/>
        <w:rPr>
          <w:rFonts w:eastAsia="Verdana" w:cs="Verdana"/>
          <w:szCs w:val="18"/>
          <w:lang w:val="nl-NL"/>
        </w:rPr>
      </w:pPr>
      <w:r w:rsidRPr="00A33930">
        <w:rPr>
          <w:rFonts w:eastAsia="Verdana" w:cs="Verdana"/>
          <w:szCs w:val="18"/>
          <w:lang w:val="nl-NL"/>
        </w:rPr>
        <w:t>EHRM 26 juni 2003, nr.</w:t>
      </w:r>
      <w:r w:rsidRPr="00A33930">
        <w:rPr>
          <w:rFonts w:eastAsia="Verdana" w:cs="Verdana"/>
          <w:i/>
          <w:iCs/>
          <w:szCs w:val="18"/>
          <w:lang w:val="nl-NL"/>
        </w:rPr>
        <w:t> </w:t>
      </w:r>
      <w:r w:rsidRPr="00A33930">
        <w:rPr>
          <w:rFonts w:eastAsia="Verdana" w:cs="Verdana"/>
          <w:szCs w:val="18"/>
          <w:lang w:val="nl-NL"/>
        </w:rPr>
        <w:t xml:space="preserve">48206/99, </w:t>
      </w:r>
      <w:r w:rsidRPr="00A33930">
        <w:rPr>
          <w:rFonts w:eastAsia="Verdana" w:cs="Verdana"/>
          <w:i/>
          <w:iCs/>
          <w:szCs w:val="18"/>
          <w:lang w:val="nl-NL"/>
        </w:rPr>
        <w:t>Maire/Portugal.</w:t>
      </w:r>
    </w:p>
    <w:p w14:paraId="25C4218D" w14:textId="77777777" w:rsidR="00245F00" w:rsidRPr="00A33930" w:rsidRDefault="00245F00" w:rsidP="00245F00">
      <w:pPr>
        <w:spacing w:before="120" w:after="120" w:line="360" w:lineRule="auto"/>
        <w:jc w:val="both"/>
        <w:rPr>
          <w:rFonts w:eastAsia="Verdana" w:cs="Verdana"/>
          <w:iCs/>
          <w:szCs w:val="18"/>
          <w:lang w:val="nl-NL"/>
        </w:rPr>
      </w:pPr>
      <w:r w:rsidRPr="00A33930">
        <w:rPr>
          <w:rFonts w:eastAsia="Verdana" w:cs="Verdana"/>
          <w:szCs w:val="18"/>
          <w:lang w:val="nl-NL"/>
        </w:rPr>
        <w:t xml:space="preserve">EHRM 8 juli 2003, nr. 30943/96, </w:t>
      </w:r>
      <w:r w:rsidRPr="00A33930">
        <w:rPr>
          <w:rFonts w:eastAsia="Verdana" w:cs="Verdana"/>
          <w:i/>
          <w:szCs w:val="18"/>
          <w:lang w:val="nl-NL"/>
        </w:rPr>
        <w:t>Sahin/Duitsland.</w:t>
      </w:r>
    </w:p>
    <w:p w14:paraId="7047F523" w14:textId="77777777" w:rsidR="00245F00" w:rsidRPr="00A33930" w:rsidRDefault="00245F00" w:rsidP="00245F00">
      <w:pPr>
        <w:spacing w:before="120" w:after="120" w:line="360" w:lineRule="auto"/>
        <w:jc w:val="both"/>
        <w:rPr>
          <w:rFonts w:eastAsia="Verdana" w:cs="Verdana"/>
          <w:i/>
          <w:iCs/>
          <w:szCs w:val="18"/>
          <w:lang w:val="nl-NL"/>
        </w:rPr>
      </w:pPr>
      <w:r w:rsidRPr="00A33930">
        <w:rPr>
          <w:rFonts w:eastAsia="Verdana" w:cs="Verdana"/>
          <w:szCs w:val="18"/>
          <w:lang w:val="nl-NL"/>
        </w:rPr>
        <w:t xml:space="preserve">EHRM 8 juli 2003, nr. 31871/96, </w:t>
      </w:r>
      <w:r w:rsidRPr="00A33930">
        <w:rPr>
          <w:rFonts w:eastAsia="Verdana" w:cs="Verdana"/>
          <w:i/>
          <w:iCs/>
          <w:szCs w:val="18"/>
          <w:lang w:val="nl-NL"/>
        </w:rPr>
        <w:t>Sommerfeld/Duitsland.</w:t>
      </w:r>
    </w:p>
    <w:p w14:paraId="13943488" w14:textId="77777777" w:rsidR="00245F00" w:rsidRPr="00A33930" w:rsidRDefault="00245F00" w:rsidP="00245F00">
      <w:pPr>
        <w:spacing w:before="120" w:after="120" w:line="360" w:lineRule="auto"/>
        <w:jc w:val="both"/>
        <w:rPr>
          <w:rFonts w:eastAsia="Verdana" w:cs="Verdana"/>
          <w:i/>
          <w:iCs/>
          <w:szCs w:val="18"/>
          <w:lang w:val="nl-NL"/>
        </w:rPr>
      </w:pPr>
      <w:r w:rsidRPr="00A33930">
        <w:rPr>
          <w:rFonts w:eastAsia="Verdana" w:cs="Verdana"/>
          <w:szCs w:val="18"/>
          <w:lang w:val="nl-NL"/>
        </w:rPr>
        <w:t xml:space="preserve">EHRM 26 februari 2004, nr. 74969/01, </w:t>
      </w:r>
      <w:r w:rsidRPr="00A33930">
        <w:rPr>
          <w:rFonts w:eastAsia="Verdana" w:cs="Verdana"/>
          <w:i/>
          <w:iCs/>
          <w:szCs w:val="18"/>
          <w:lang w:val="nl-NL"/>
        </w:rPr>
        <w:t>Görgülü/Duitsland.</w:t>
      </w:r>
    </w:p>
    <w:p w14:paraId="37AFFFC7" w14:textId="77777777" w:rsidR="00245F00" w:rsidRPr="00A33930" w:rsidRDefault="00245F00" w:rsidP="00245F00">
      <w:pPr>
        <w:spacing w:before="120" w:after="120" w:line="360" w:lineRule="auto"/>
        <w:jc w:val="both"/>
        <w:rPr>
          <w:rFonts w:eastAsia="Verdana" w:cs="Verdana"/>
          <w:szCs w:val="18"/>
          <w:lang w:val="nl-NL"/>
        </w:rPr>
      </w:pPr>
      <w:r w:rsidRPr="00A33930">
        <w:rPr>
          <w:rFonts w:eastAsia="Verdana" w:cs="Verdana"/>
          <w:szCs w:val="18"/>
          <w:lang w:val="nl-NL"/>
        </w:rPr>
        <w:t xml:space="preserve">EHRM 1 juni 2004, nr. 45582/99, </w:t>
      </w:r>
      <w:r w:rsidRPr="00A33930">
        <w:rPr>
          <w:rFonts w:eastAsia="Verdana" w:cs="Verdana"/>
          <w:i/>
          <w:iCs/>
          <w:szCs w:val="18"/>
          <w:lang w:val="nl-NL"/>
        </w:rPr>
        <w:t>Lebbink/Nederland</w:t>
      </w:r>
      <w:r w:rsidRPr="00A33930">
        <w:rPr>
          <w:rFonts w:eastAsia="Verdana" w:cs="Verdana"/>
          <w:szCs w:val="18"/>
          <w:lang w:val="nl-NL"/>
        </w:rPr>
        <w:t>.</w:t>
      </w:r>
    </w:p>
    <w:p w14:paraId="75F43BDF" w14:textId="77777777" w:rsidR="00245F00" w:rsidRPr="00A33930" w:rsidRDefault="00245F00" w:rsidP="00245F00">
      <w:pPr>
        <w:spacing w:before="120" w:after="120" w:line="360" w:lineRule="auto"/>
        <w:jc w:val="both"/>
        <w:rPr>
          <w:rFonts w:eastAsia="Verdana" w:cs="Verdana"/>
          <w:i/>
          <w:iCs/>
          <w:szCs w:val="18"/>
          <w:lang w:val="nl-NL"/>
        </w:rPr>
      </w:pPr>
      <w:r w:rsidRPr="00A33930">
        <w:rPr>
          <w:rFonts w:eastAsia="Verdana" w:cs="Verdana"/>
          <w:szCs w:val="18"/>
          <w:lang w:val="nl-NL"/>
        </w:rPr>
        <w:t xml:space="preserve">EHRM 29 juni 2004, nr. 63637/04, </w:t>
      </w:r>
      <w:r w:rsidRPr="00A33930">
        <w:rPr>
          <w:rFonts w:eastAsia="Verdana" w:cs="Verdana"/>
          <w:i/>
          <w:iCs/>
          <w:szCs w:val="18"/>
          <w:lang w:val="nl-NL"/>
        </w:rPr>
        <w:t>Volesky/République Tchèque.</w:t>
      </w:r>
    </w:p>
    <w:p w14:paraId="35A9DE43" w14:textId="77777777" w:rsidR="00245F00" w:rsidRPr="00A33930" w:rsidRDefault="00245F00" w:rsidP="00245F00">
      <w:pPr>
        <w:spacing w:before="120" w:after="120" w:line="360" w:lineRule="auto"/>
        <w:jc w:val="both"/>
        <w:rPr>
          <w:rFonts w:eastAsia="Verdana" w:cs="Verdana"/>
          <w:szCs w:val="18"/>
          <w:lang w:val="nl-NL"/>
        </w:rPr>
      </w:pPr>
      <w:r w:rsidRPr="00A33930">
        <w:rPr>
          <w:rFonts w:eastAsia="Verdana" w:cs="Verdana"/>
          <w:szCs w:val="18"/>
          <w:lang w:val="nl-NL"/>
        </w:rPr>
        <w:t xml:space="preserve">EHRM 13 juli 2004, nr. 69498/01, </w:t>
      </w:r>
      <w:r w:rsidRPr="00A33930">
        <w:rPr>
          <w:rFonts w:eastAsia="Verdana" w:cs="Verdana"/>
          <w:i/>
          <w:iCs/>
          <w:szCs w:val="18"/>
          <w:lang w:val="nl-NL"/>
        </w:rPr>
        <w:t>Pla en Poncernau/Andorra.</w:t>
      </w:r>
    </w:p>
    <w:p w14:paraId="50C07ABE" w14:textId="57FE3205" w:rsidR="00245F00" w:rsidRPr="00A33930" w:rsidRDefault="00245F00" w:rsidP="00245F00">
      <w:pPr>
        <w:spacing w:before="120" w:after="120" w:line="360" w:lineRule="auto"/>
        <w:jc w:val="both"/>
        <w:rPr>
          <w:rFonts w:eastAsia="Verdana" w:cs="Verdana"/>
          <w:szCs w:val="18"/>
          <w:lang w:val="nl-NL"/>
        </w:rPr>
      </w:pPr>
      <w:r w:rsidRPr="00A33930">
        <w:rPr>
          <w:rFonts w:eastAsia="Verdana" w:cs="Verdana"/>
          <w:szCs w:val="18"/>
          <w:lang w:val="nl-NL"/>
        </w:rPr>
        <w:t xml:space="preserve">EHRM 23 juni 2005, nr. 48542/99, </w:t>
      </w:r>
      <w:r w:rsidRPr="00A33930">
        <w:rPr>
          <w:rFonts w:eastAsia="Verdana" w:cs="Verdana"/>
          <w:i/>
          <w:iCs/>
          <w:szCs w:val="18"/>
          <w:lang w:val="nl-NL"/>
        </w:rPr>
        <w:t>Zawadka/Polen</w:t>
      </w:r>
      <w:r w:rsidRPr="00A33930">
        <w:rPr>
          <w:rFonts w:eastAsia="Verdana" w:cs="Verdana"/>
          <w:szCs w:val="18"/>
          <w:lang w:val="nl-NL"/>
        </w:rPr>
        <w:t xml:space="preserve">, </w:t>
      </w:r>
      <w:r w:rsidRPr="00A33930">
        <w:rPr>
          <w:rFonts w:eastAsia="Verdana" w:cs="Verdana"/>
          <w:i/>
          <w:iCs/>
          <w:szCs w:val="18"/>
          <w:lang w:val="nl-NL"/>
        </w:rPr>
        <w:t>RTDF</w:t>
      </w:r>
      <w:r w:rsidRPr="00A33930">
        <w:rPr>
          <w:rFonts w:eastAsia="Verdana" w:cs="Verdana"/>
          <w:szCs w:val="18"/>
          <w:lang w:val="nl-NL"/>
        </w:rPr>
        <w:t xml:space="preserve"> 2008, 956, noot DEMARET</w:t>
      </w:r>
      <w:r w:rsidR="00207260" w:rsidRPr="00A33930">
        <w:rPr>
          <w:rFonts w:eastAsia="Verdana" w:cs="Verdana"/>
          <w:szCs w:val="18"/>
          <w:lang w:val="nl-NL"/>
        </w:rPr>
        <w:t>, M</w:t>
      </w:r>
      <w:r w:rsidRPr="00A33930">
        <w:rPr>
          <w:rFonts w:eastAsia="Verdana" w:cs="Verdana"/>
          <w:szCs w:val="18"/>
          <w:lang w:val="nl-NL"/>
        </w:rPr>
        <w:t>.</w:t>
      </w:r>
    </w:p>
    <w:p w14:paraId="0331B307" w14:textId="77777777" w:rsidR="00245F00" w:rsidRPr="00A33930" w:rsidRDefault="00245F00" w:rsidP="00245F00">
      <w:pPr>
        <w:spacing w:before="120" w:after="120" w:line="360" w:lineRule="auto"/>
        <w:jc w:val="both"/>
        <w:rPr>
          <w:rFonts w:eastAsia="Verdana" w:cs="Verdana"/>
          <w:i/>
          <w:iCs/>
          <w:szCs w:val="18"/>
          <w:lang w:val="nl-NL"/>
        </w:rPr>
      </w:pPr>
      <w:r w:rsidRPr="00A33930">
        <w:rPr>
          <w:rFonts w:eastAsia="Verdana" w:cs="Verdana"/>
          <w:szCs w:val="18"/>
          <w:lang w:val="nl-NL"/>
        </w:rPr>
        <w:t xml:space="preserve">EHRM 28 juni 2005, nr. 60145/00, </w:t>
      </w:r>
      <w:r w:rsidRPr="00A33930">
        <w:rPr>
          <w:rFonts w:eastAsia="Verdana" w:cs="Verdana"/>
          <w:i/>
          <w:iCs/>
          <w:szCs w:val="18"/>
          <w:lang w:val="nl-NL"/>
        </w:rPr>
        <w:t>Fourchon/Frankrijk.</w:t>
      </w:r>
    </w:p>
    <w:p w14:paraId="24ADCB84" w14:textId="77777777" w:rsidR="00245F00" w:rsidRPr="00A33930" w:rsidRDefault="00245F00" w:rsidP="00245F00">
      <w:pPr>
        <w:spacing w:before="120" w:after="120" w:line="360" w:lineRule="auto"/>
        <w:jc w:val="both"/>
        <w:rPr>
          <w:rFonts w:eastAsia="Verdana" w:cs="Verdana"/>
          <w:i/>
          <w:iCs/>
          <w:szCs w:val="18"/>
          <w:lang w:val="nl-NL"/>
        </w:rPr>
      </w:pPr>
      <w:r w:rsidRPr="00A33930">
        <w:rPr>
          <w:rFonts w:eastAsia="Verdana" w:cs="Verdana"/>
          <w:szCs w:val="18"/>
          <w:lang w:val="nl-NL"/>
        </w:rPr>
        <w:t xml:space="preserve">EHRM 30 juni 2005, nr. 30595/02, </w:t>
      </w:r>
      <w:r w:rsidRPr="00A33930">
        <w:rPr>
          <w:rFonts w:eastAsia="Verdana" w:cs="Verdana"/>
          <w:i/>
          <w:iCs/>
          <w:szCs w:val="18"/>
          <w:lang w:val="nl-NL"/>
        </w:rPr>
        <w:t>Bove/Italië.</w:t>
      </w:r>
    </w:p>
    <w:p w14:paraId="3A6554BB" w14:textId="77777777" w:rsidR="00245F00" w:rsidRPr="00A33930" w:rsidRDefault="00245F00" w:rsidP="00245F00">
      <w:pPr>
        <w:spacing w:before="120" w:after="120" w:line="360" w:lineRule="auto"/>
        <w:jc w:val="both"/>
        <w:rPr>
          <w:rFonts w:eastAsia="Verdana" w:cs="Verdana"/>
          <w:szCs w:val="18"/>
          <w:lang w:val="nl-NL"/>
        </w:rPr>
      </w:pPr>
      <w:r w:rsidRPr="00A33930">
        <w:rPr>
          <w:rFonts w:eastAsia="Verdana" w:cs="Verdana"/>
          <w:szCs w:val="18"/>
          <w:lang w:val="nl-NL"/>
        </w:rPr>
        <w:t xml:space="preserve">EHRM 10 november 2005, nr. 40324/98, </w:t>
      </w:r>
      <w:r w:rsidRPr="00A33930">
        <w:rPr>
          <w:rFonts w:eastAsia="Verdana" w:cs="Verdana"/>
          <w:i/>
          <w:iCs/>
          <w:szCs w:val="18"/>
          <w:lang w:val="nl-NL"/>
        </w:rPr>
        <w:t>Süss/Duitsland</w:t>
      </w:r>
      <w:r w:rsidRPr="00A33930">
        <w:rPr>
          <w:rFonts w:eastAsia="Verdana" w:cs="Verdana"/>
          <w:szCs w:val="18"/>
          <w:lang w:val="nl-NL"/>
        </w:rPr>
        <w:t>.</w:t>
      </w:r>
    </w:p>
    <w:p w14:paraId="5C70693E" w14:textId="77777777" w:rsidR="00245F00" w:rsidRPr="00A33930" w:rsidRDefault="00245F00" w:rsidP="00245F00">
      <w:pPr>
        <w:spacing w:before="120" w:after="120" w:line="360" w:lineRule="auto"/>
        <w:jc w:val="both"/>
        <w:rPr>
          <w:rFonts w:eastAsia="Verdana" w:cs="Verdana"/>
          <w:szCs w:val="18"/>
          <w:lang w:val="nl-NL"/>
        </w:rPr>
      </w:pPr>
      <w:r w:rsidRPr="00A33930">
        <w:rPr>
          <w:rFonts w:eastAsia="Verdana" w:cs="Verdana"/>
          <w:szCs w:val="18"/>
          <w:lang w:val="nl-NL"/>
        </w:rPr>
        <w:t xml:space="preserve">EHRM 13 december 2007, nr. 39051/03, </w:t>
      </w:r>
      <w:r w:rsidRPr="00A33930">
        <w:rPr>
          <w:rFonts w:eastAsia="Verdana" w:cs="Verdana"/>
          <w:i/>
          <w:iCs/>
          <w:szCs w:val="18"/>
          <w:lang w:val="nl-NL"/>
        </w:rPr>
        <w:t>Emonet e.a./Zwitserland</w:t>
      </w:r>
      <w:r w:rsidRPr="00A33930">
        <w:rPr>
          <w:rFonts w:eastAsia="Verdana" w:cs="Verdana"/>
          <w:szCs w:val="18"/>
          <w:lang w:val="nl-NL"/>
        </w:rPr>
        <w:t>.</w:t>
      </w:r>
    </w:p>
    <w:p w14:paraId="5F824B29" w14:textId="77777777" w:rsidR="00245F00" w:rsidRPr="00A33930" w:rsidRDefault="00245F00" w:rsidP="00245F00">
      <w:pPr>
        <w:spacing w:before="120" w:after="120" w:line="360" w:lineRule="auto"/>
        <w:jc w:val="both"/>
        <w:rPr>
          <w:rFonts w:eastAsia="Verdana" w:cs="Verdana"/>
          <w:szCs w:val="18"/>
          <w:lang w:val="nl-NL"/>
        </w:rPr>
      </w:pPr>
      <w:r w:rsidRPr="00A33930">
        <w:rPr>
          <w:rFonts w:eastAsia="Verdana" w:cs="Verdana"/>
          <w:szCs w:val="18"/>
          <w:lang w:val="nl-NL"/>
        </w:rPr>
        <w:t xml:space="preserve">EHRM 25 september 2008, nr. 26664/03, </w:t>
      </w:r>
      <w:r w:rsidRPr="00A33930">
        <w:rPr>
          <w:rFonts w:eastAsia="Verdana" w:cs="Verdana"/>
          <w:i/>
          <w:iCs/>
          <w:szCs w:val="18"/>
          <w:lang w:val="nl-NL"/>
        </w:rPr>
        <w:t>K.T./Noorwegen.</w:t>
      </w:r>
    </w:p>
    <w:p w14:paraId="248A435B" w14:textId="77777777" w:rsidR="00245F00" w:rsidRPr="00A33930" w:rsidRDefault="00245F00" w:rsidP="00245F00">
      <w:pPr>
        <w:spacing w:before="120" w:after="120" w:line="360" w:lineRule="auto"/>
        <w:jc w:val="both"/>
        <w:rPr>
          <w:rFonts w:eastAsia="Verdana" w:cs="Verdana"/>
          <w:szCs w:val="18"/>
          <w:lang w:val="nl-NL"/>
        </w:rPr>
      </w:pPr>
      <w:r w:rsidRPr="00A33930">
        <w:rPr>
          <w:rFonts w:eastAsia="Verdana" w:cs="Verdana"/>
          <w:szCs w:val="18"/>
          <w:lang w:val="nl-NL"/>
        </w:rPr>
        <w:lastRenderedPageBreak/>
        <w:t xml:space="preserve">EHRM 13 januari 2009, nr. 33932/06, </w:t>
      </w:r>
      <w:r w:rsidRPr="00A33930">
        <w:rPr>
          <w:rFonts w:eastAsia="Verdana" w:cs="Verdana"/>
          <w:i/>
          <w:iCs/>
          <w:szCs w:val="18"/>
          <w:lang w:val="nl-NL"/>
        </w:rPr>
        <w:t>Todorova/Italië</w:t>
      </w:r>
      <w:r w:rsidRPr="00A33930">
        <w:rPr>
          <w:rFonts w:eastAsia="Verdana" w:cs="Verdana"/>
          <w:szCs w:val="18"/>
          <w:lang w:val="nl-NL"/>
        </w:rPr>
        <w:t>.</w:t>
      </w:r>
    </w:p>
    <w:p w14:paraId="6746BD44" w14:textId="77777777" w:rsidR="00245F00" w:rsidRPr="00A33930" w:rsidRDefault="00245F00" w:rsidP="00245F00">
      <w:pPr>
        <w:spacing w:before="120" w:after="120" w:line="360" w:lineRule="auto"/>
        <w:jc w:val="both"/>
        <w:rPr>
          <w:rFonts w:eastAsia="Verdana" w:cs="Verdana"/>
          <w:i/>
          <w:iCs/>
          <w:szCs w:val="18"/>
          <w:lang w:val="nl-NL"/>
        </w:rPr>
      </w:pPr>
      <w:r w:rsidRPr="00A33930">
        <w:rPr>
          <w:rFonts w:eastAsia="Verdana" w:cs="Verdana"/>
          <w:szCs w:val="18"/>
          <w:lang w:val="nl-NL"/>
        </w:rPr>
        <w:t xml:space="preserve">EHRM 20 januari 2009, nr. 70337/01, </w:t>
      </w:r>
      <w:r w:rsidRPr="00A33930">
        <w:rPr>
          <w:rFonts w:eastAsia="Verdana" w:cs="Verdana"/>
          <w:i/>
          <w:iCs/>
          <w:szCs w:val="18"/>
          <w:lang w:val="nl-NL"/>
        </w:rPr>
        <w:t>Güveç/Turkije.</w:t>
      </w:r>
    </w:p>
    <w:p w14:paraId="1FD7D749" w14:textId="77777777" w:rsidR="00245F00" w:rsidRPr="00A33930" w:rsidRDefault="00245F00" w:rsidP="00245F00">
      <w:pPr>
        <w:spacing w:before="120" w:after="120" w:line="360" w:lineRule="auto"/>
        <w:jc w:val="both"/>
        <w:rPr>
          <w:rFonts w:eastAsia="Verdana" w:cs="Verdana"/>
          <w:szCs w:val="18"/>
          <w:lang w:val="nl-NL"/>
        </w:rPr>
      </w:pPr>
      <w:r w:rsidRPr="00A33930">
        <w:rPr>
          <w:rFonts w:eastAsia="Verdana" w:cs="Verdana"/>
          <w:szCs w:val="18"/>
          <w:lang w:val="nl-NL"/>
        </w:rPr>
        <w:t xml:space="preserve">EHRM 7 mei 2009, nr. 3451/05, </w:t>
      </w:r>
      <w:r w:rsidRPr="00A33930">
        <w:rPr>
          <w:rFonts w:eastAsia="Verdana" w:cs="Verdana"/>
          <w:i/>
          <w:iCs/>
          <w:szCs w:val="18"/>
          <w:lang w:val="nl-NL"/>
        </w:rPr>
        <w:t>Kalacheva/Rusland</w:t>
      </w:r>
      <w:r w:rsidRPr="00A33930">
        <w:rPr>
          <w:rFonts w:eastAsia="Verdana" w:cs="Verdana"/>
          <w:szCs w:val="18"/>
          <w:lang w:val="nl-NL"/>
        </w:rPr>
        <w:t>.</w:t>
      </w:r>
    </w:p>
    <w:p w14:paraId="3AA671DC" w14:textId="77777777" w:rsidR="00245F00" w:rsidRPr="00A33930" w:rsidRDefault="00245F00" w:rsidP="00245F00">
      <w:pPr>
        <w:spacing w:before="120" w:after="120" w:line="360" w:lineRule="auto"/>
        <w:jc w:val="both"/>
        <w:rPr>
          <w:rFonts w:eastAsia="Verdana" w:cs="Verdana"/>
          <w:i/>
          <w:szCs w:val="18"/>
          <w:lang w:val="nl-NL"/>
        </w:rPr>
      </w:pPr>
      <w:r w:rsidRPr="00A33930">
        <w:rPr>
          <w:rFonts w:eastAsia="Verdana" w:cs="Verdana"/>
          <w:szCs w:val="18"/>
          <w:lang w:val="nl-NL"/>
        </w:rPr>
        <w:t xml:space="preserve">EHRM 27 april 2010, nr. 16318/07, </w:t>
      </w:r>
      <w:r w:rsidRPr="00A33930">
        <w:rPr>
          <w:rFonts w:eastAsia="Verdana" w:cs="Verdana"/>
          <w:i/>
          <w:szCs w:val="18"/>
          <w:lang w:val="nl-NL"/>
        </w:rPr>
        <w:t>Moretti et Benedetti/Italië.</w:t>
      </w:r>
    </w:p>
    <w:p w14:paraId="1E6AC609" w14:textId="1232F675" w:rsidR="00245F00" w:rsidRPr="00A33930" w:rsidRDefault="00245F00" w:rsidP="00245F00">
      <w:pPr>
        <w:spacing w:before="120" w:after="120" w:line="360" w:lineRule="auto"/>
        <w:jc w:val="both"/>
        <w:rPr>
          <w:rFonts w:eastAsia="Verdana" w:cs="Verdana"/>
          <w:i/>
          <w:szCs w:val="18"/>
          <w:lang w:val="nl-NL"/>
        </w:rPr>
      </w:pPr>
      <w:r w:rsidRPr="00A33930">
        <w:rPr>
          <w:rFonts w:eastAsia="Verdana" w:cs="Verdana"/>
          <w:szCs w:val="18"/>
          <w:lang w:val="nl-NL"/>
        </w:rPr>
        <w:t xml:space="preserve">EHRM 6 juli 2010, nr. 41615/07, </w:t>
      </w:r>
      <w:r w:rsidRPr="00A33930">
        <w:rPr>
          <w:rFonts w:eastAsia="Verdana" w:cs="Verdana"/>
          <w:i/>
          <w:szCs w:val="18"/>
          <w:lang w:val="nl-NL"/>
        </w:rPr>
        <w:t xml:space="preserve">Neulinger </w:t>
      </w:r>
      <w:r w:rsidR="00C0083F" w:rsidRPr="00A33930">
        <w:rPr>
          <w:rFonts w:eastAsia="Verdana" w:cs="Verdana"/>
          <w:i/>
          <w:szCs w:val="18"/>
          <w:lang w:val="nl-NL"/>
        </w:rPr>
        <w:t>en</w:t>
      </w:r>
      <w:r w:rsidRPr="00A33930">
        <w:rPr>
          <w:rFonts w:eastAsia="Verdana" w:cs="Verdana"/>
          <w:i/>
          <w:szCs w:val="18"/>
          <w:lang w:val="nl-NL"/>
        </w:rPr>
        <w:t xml:space="preserve"> Shuruk/Zwitserland.</w:t>
      </w:r>
    </w:p>
    <w:p w14:paraId="013C1B32" w14:textId="77777777" w:rsidR="00245F00" w:rsidRPr="00A33930" w:rsidRDefault="00245F00" w:rsidP="00245F00">
      <w:pPr>
        <w:spacing w:before="120" w:after="120" w:line="360" w:lineRule="auto"/>
        <w:jc w:val="both"/>
        <w:rPr>
          <w:rFonts w:eastAsia="Verdana" w:cs="Verdana"/>
          <w:szCs w:val="18"/>
          <w:lang w:val="nl-NL"/>
        </w:rPr>
      </w:pPr>
      <w:r w:rsidRPr="00A33930">
        <w:rPr>
          <w:rFonts w:eastAsia="Verdana" w:cs="Verdana"/>
          <w:szCs w:val="18"/>
          <w:lang w:val="nl-NL"/>
        </w:rPr>
        <w:t xml:space="preserve">EHRM 27 juli 2010, nr. 20739/05, </w:t>
      </w:r>
      <w:r w:rsidRPr="00A33930">
        <w:rPr>
          <w:rFonts w:eastAsia="Verdana" w:cs="Verdana"/>
          <w:i/>
          <w:iCs/>
          <w:szCs w:val="18"/>
          <w:lang w:val="nl-NL"/>
        </w:rPr>
        <w:t>Gineitiene/Litouwen</w:t>
      </w:r>
      <w:r w:rsidRPr="00A33930">
        <w:rPr>
          <w:rFonts w:eastAsia="Verdana" w:cs="Verdana"/>
          <w:szCs w:val="18"/>
          <w:lang w:val="nl-NL"/>
        </w:rPr>
        <w:t xml:space="preserve">. </w:t>
      </w:r>
    </w:p>
    <w:p w14:paraId="79EBEB0F" w14:textId="27CDF75A" w:rsidR="00245F00" w:rsidRPr="00A33930" w:rsidRDefault="00245F00" w:rsidP="00245F00">
      <w:pPr>
        <w:spacing w:before="120" w:after="120" w:line="360" w:lineRule="auto"/>
        <w:jc w:val="both"/>
        <w:rPr>
          <w:rFonts w:eastAsia="Verdana" w:cs="Verdana"/>
          <w:iCs/>
          <w:szCs w:val="18"/>
          <w:lang w:val="nl-NL"/>
        </w:rPr>
      </w:pPr>
      <w:r w:rsidRPr="00A33930">
        <w:rPr>
          <w:rFonts w:eastAsia="Verdana" w:cs="Verdana"/>
          <w:iCs/>
          <w:szCs w:val="18"/>
          <w:lang w:val="nl-NL"/>
        </w:rPr>
        <w:t xml:space="preserve">EHRM 21 december 2010, nr. 20578/07, </w:t>
      </w:r>
      <w:r w:rsidRPr="00A33930">
        <w:rPr>
          <w:rFonts w:eastAsia="Verdana" w:cs="Verdana"/>
          <w:i/>
          <w:szCs w:val="18"/>
          <w:lang w:val="nl-NL"/>
        </w:rPr>
        <w:t>Anayo/Duitsland</w:t>
      </w:r>
      <w:r w:rsidRPr="00A33930">
        <w:rPr>
          <w:rFonts w:eastAsia="Verdana" w:cs="Verdana"/>
          <w:iCs/>
          <w:szCs w:val="18"/>
          <w:lang w:val="nl-NL"/>
        </w:rPr>
        <w:t>.</w:t>
      </w:r>
    </w:p>
    <w:p w14:paraId="239704F3" w14:textId="710795BD" w:rsidR="00754AB6" w:rsidRPr="00A33930" w:rsidRDefault="00754AB6" w:rsidP="00245F00">
      <w:pPr>
        <w:spacing w:before="120" w:after="120" w:line="360" w:lineRule="auto"/>
        <w:jc w:val="both"/>
        <w:rPr>
          <w:rFonts w:eastAsia="Verdana" w:cs="Verdana"/>
          <w:iCs/>
          <w:szCs w:val="18"/>
          <w:lang w:val="nl-NL"/>
        </w:rPr>
      </w:pPr>
      <w:r w:rsidRPr="00A33930">
        <w:rPr>
          <w:rFonts w:eastAsia="Verdana" w:cs="Verdana"/>
          <w:iCs/>
          <w:szCs w:val="18"/>
          <w:lang w:val="nl-NL"/>
        </w:rPr>
        <w:t xml:space="preserve">EHRM 25 januari 2011, nr. 18830/07, </w:t>
      </w:r>
      <w:r w:rsidRPr="00A33930">
        <w:rPr>
          <w:rFonts w:eastAsia="Verdana" w:cs="Verdana"/>
          <w:i/>
          <w:iCs/>
          <w:szCs w:val="18"/>
          <w:lang w:val="nl-NL"/>
        </w:rPr>
        <w:t>Plaza/Polen</w:t>
      </w:r>
      <w:r w:rsidRPr="00A33930">
        <w:rPr>
          <w:rFonts w:eastAsia="Verdana" w:cs="Verdana"/>
          <w:iCs/>
          <w:szCs w:val="18"/>
          <w:lang w:val="nl-NL"/>
        </w:rPr>
        <w:t>.</w:t>
      </w:r>
    </w:p>
    <w:p w14:paraId="6AA58A7F" w14:textId="77777777" w:rsidR="00245F00" w:rsidRPr="00A33930" w:rsidRDefault="00245F00" w:rsidP="00245F00">
      <w:pPr>
        <w:spacing w:before="120" w:after="120" w:line="360" w:lineRule="auto"/>
        <w:jc w:val="both"/>
        <w:rPr>
          <w:rFonts w:eastAsia="Verdana" w:cs="Verdana"/>
          <w:iCs/>
          <w:szCs w:val="18"/>
          <w:lang w:val="nl-NL"/>
        </w:rPr>
      </w:pPr>
      <w:r w:rsidRPr="00A33930">
        <w:rPr>
          <w:rFonts w:eastAsia="Verdana" w:cs="Verdana"/>
          <w:iCs/>
          <w:szCs w:val="18"/>
          <w:lang w:val="nl-NL"/>
        </w:rPr>
        <w:t xml:space="preserve">EHRM 15 september 2011, nr. 17080/07, </w:t>
      </w:r>
      <w:r w:rsidRPr="00A33930">
        <w:rPr>
          <w:rFonts w:eastAsia="Verdana" w:cs="Verdana"/>
          <w:i/>
          <w:szCs w:val="18"/>
          <w:lang w:val="nl-NL"/>
        </w:rPr>
        <w:t>Schneider/Duitsland</w:t>
      </w:r>
      <w:r w:rsidRPr="00A33930">
        <w:rPr>
          <w:rFonts w:eastAsia="Verdana" w:cs="Verdana"/>
          <w:iCs/>
          <w:szCs w:val="18"/>
          <w:lang w:val="nl-NL"/>
        </w:rPr>
        <w:t>.</w:t>
      </w:r>
    </w:p>
    <w:p w14:paraId="6BBF0CAA" w14:textId="1D3243F8" w:rsidR="00245F00" w:rsidRPr="00A33930" w:rsidRDefault="00245F00" w:rsidP="00245F00">
      <w:pPr>
        <w:spacing w:before="120" w:after="120" w:line="360" w:lineRule="auto"/>
        <w:jc w:val="both"/>
        <w:rPr>
          <w:rFonts w:eastAsia="Verdana" w:cs="Verdana"/>
          <w:i/>
          <w:szCs w:val="18"/>
          <w:lang w:val="nl-NL"/>
        </w:rPr>
      </w:pPr>
      <w:r w:rsidRPr="00A33930">
        <w:rPr>
          <w:rFonts w:eastAsia="Verdana" w:cs="Verdana"/>
          <w:iCs/>
          <w:szCs w:val="18"/>
          <w:lang w:val="nl-NL"/>
        </w:rPr>
        <w:t xml:space="preserve">EHRM 15 maart 2012, nr. 35141/06, </w:t>
      </w:r>
      <w:r w:rsidRPr="00A33930">
        <w:rPr>
          <w:rFonts w:eastAsia="Verdana" w:cs="Verdana"/>
          <w:i/>
          <w:szCs w:val="18"/>
          <w:lang w:val="nl-NL"/>
        </w:rPr>
        <w:t>Levin/Zweden.</w:t>
      </w:r>
    </w:p>
    <w:p w14:paraId="2C663133" w14:textId="4A7FC122" w:rsidR="00754AB6" w:rsidRPr="00A33930" w:rsidRDefault="00754AB6" w:rsidP="00245F00">
      <w:pPr>
        <w:spacing w:before="120" w:after="120" w:line="360" w:lineRule="auto"/>
        <w:jc w:val="both"/>
        <w:rPr>
          <w:rFonts w:eastAsia="Verdana" w:cs="Verdana"/>
          <w:iCs/>
          <w:szCs w:val="18"/>
          <w:lang w:val="nl-NL"/>
        </w:rPr>
      </w:pPr>
      <w:r w:rsidRPr="00A33930">
        <w:rPr>
          <w:rFonts w:eastAsia="Verdana" w:cs="Verdana"/>
          <w:iCs/>
          <w:szCs w:val="18"/>
          <w:lang w:val="nl-NL"/>
        </w:rPr>
        <w:t xml:space="preserve">EHRM 17 april 2012, nr. 805/09, </w:t>
      </w:r>
      <w:r w:rsidRPr="00A33930">
        <w:rPr>
          <w:rFonts w:eastAsia="Verdana" w:cs="Verdana"/>
          <w:i/>
          <w:iCs/>
          <w:szCs w:val="18"/>
          <w:lang w:val="nl-NL"/>
        </w:rPr>
        <w:t>Pascal/Roemenië</w:t>
      </w:r>
      <w:r w:rsidRPr="00A33930">
        <w:rPr>
          <w:rFonts w:eastAsia="Verdana" w:cs="Verdana"/>
          <w:iCs/>
          <w:szCs w:val="18"/>
          <w:lang w:val="nl-NL"/>
        </w:rPr>
        <w:t>.</w:t>
      </w:r>
    </w:p>
    <w:p w14:paraId="1B55D07E" w14:textId="77777777" w:rsidR="00245F00" w:rsidRPr="00A33930" w:rsidRDefault="00245F00" w:rsidP="00245F00">
      <w:pPr>
        <w:spacing w:before="120" w:after="120" w:line="360" w:lineRule="auto"/>
        <w:jc w:val="both"/>
        <w:rPr>
          <w:rFonts w:eastAsia="Verdana" w:cs="Verdana"/>
          <w:iCs/>
          <w:szCs w:val="18"/>
          <w:lang w:val="nl-NL"/>
        </w:rPr>
      </w:pPr>
      <w:r w:rsidRPr="00A33930">
        <w:rPr>
          <w:rFonts w:eastAsia="Verdana" w:cs="Verdana"/>
          <w:iCs/>
          <w:szCs w:val="18"/>
          <w:lang w:val="nl-NL"/>
        </w:rPr>
        <w:t xml:space="preserve">EHRM 9 oktober 2012, nr. 1413/07, </w:t>
      </w:r>
      <w:r w:rsidRPr="00A33930">
        <w:rPr>
          <w:rFonts w:eastAsia="Verdana" w:cs="Verdana"/>
          <w:i/>
          <w:szCs w:val="18"/>
          <w:lang w:val="nl-NL"/>
        </w:rPr>
        <w:t>Çoselav/Turkije</w:t>
      </w:r>
      <w:r w:rsidRPr="00A33930">
        <w:rPr>
          <w:rFonts w:eastAsia="Verdana" w:cs="Verdana"/>
          <w:iCs/>
          <w:szCs w:val="18"/>
          <w:lang w:val="nl-NL"/>
        </w:rPr>
        <w:t>.</w:t>
      </w:r>
    </w:p>
    <w:p w14:paraId="462C39A1" w14:textId="77777777" w:rsidR="00245F00" w:rsidRPr="00A33930" w:rsidRDefault="00245F00" w:rsidP="00245F00">
      <w:pPr>
        <w:spacing w:before="120" w:after="120" w:line="360" w:lineRule="auto"/>
        <w:jc w:val="both"/>
        <w:rPr>
          <w:rFonts w:eastAsia="Verdana" w:cs="Verdana"/>
          <w:i/>
          <w:szCs w:val="18"/>
          <w:lang w:val="nl-NL"/>
        </w:rPr>
      </w:pPr>
      <w:r w:rsidRPr="00A33930">
        <w:rPr>
          <w:rFonts w:eastAsia="Verdana" w:cs="Verdana"/>
          <w:iCs/>
          <w:szCs w:val="18"/>
          <w:lang w:val="nl-NL"/>
        </w:rPr>
        <w:t xml:space="preserve">EHRM 29 januari 2013, nr. 25704/11, </w:t>
      </w:r>
      <w:r w:rsidRPr="00A33930">
        <w:rPr>
          <w:rFonts w:eastAsia="Verdana" w:cs="Verdana"/>
          <w:i/>
          <w:szCs w:val="18"/>
          <w:lang w:val="nl-NL"/>
        </w:rPr>
        <w:t>Lombardo/Italië.</w:t>
      </w:r>
    </w:p>
    <w:p w14:paraId="29ABB6BF" w14:textId="77777777" w:rsidR="00245F00" w:rsidRPr="00A33930" w:rsidRDefault="00245F00" w:rsidP="00245F00">
      <w:pPr>
        <w:spacing w:before="120" w:after="120" w:line="360" w:lineRule="auto"/>
        <w:jc w:val="both"/>
        <w:rPr>
          <w:rFonts w:eastAsia="Verdana" w:cs="Verdana"/>
          <w:iCs/>
          <w:szCs w:val="18"/>
          <w:lang w:val="nl-NL"/>
        </w:rPr>
      </w:pPr>
      <w:r w:rsidRPr="00A33930">
        <w:rPr>
          <w:rFonts w:eastAsia="Verdana" w:cs="Verdana"/>
          <w:iCs/>
          <w:szCs w:val="18"/>
          <w:lang w:val="nl-NL"/>
        </w:rPr>
        <w:t xml:space="preserve">EHRM 17 juli 2014, nr. 19315/11, </w:t>
      </w:r>
      <w:r w:rsidRPr="00A33930">
        <w:rPr>
          <w:rFonts w:eastAsia="Verdana" w:cs="Verdana"/>
          <w:i/>
          <w:szCs w:val="18"/>
          <w:lang w:val="nl-NL"/>
        </w:rPr>
        <w:t>T./Tsjechië</w:t>
      </w:r>
      <w:r w:rsidRPr="00A33930">
        <w:rPr>
          <w:rFonts w:eastAsia="Verdana" w:cs="Verdana"/>
          <w:iCs/>
          <w:szCs w:val="18"/>
          <w:lang w:val="nl-NL"/>
        </w:rPr>
        <w:t>.</w:t>
      </w:r>
    </w:p>
    <w:p w14:paraId="3B8E8E63" w14:textId="0ACBE337" w:rsidR="00245F00" w:rsidRPr="00A33930" w:rsidRDefault="00245F00" w:rsidP="00245F00">
      <w:pPr>
        <w:spacing w:before="120" w:after="120" w:line="360" w:lineRule="auto"/>
        <w:jc w:val="both"/>
        <w:rPr>
          <w:rFonts w:eastAsia="Verdana" w:cs="Verdana"/>
          <w:i/>
          <w:szCs w:val="18"/>
          <w:lang w:val="nl-NL"/>
        </w:rPr>
      </w:pPr>
      <w:r w:rsidRPr="00A33930">
        <w:rPr>
          <w:rFonts w:eastAsia="Verdana" w:cs="Verdana"/>
          <w:szCs w:val="18"/>
          <w:lang w:val="nl-NL"/>
        </w:rPr>
        <w:t xml:space="preserve">EHRM 25 november 2014, nr. 10140/13, </w:t>
      </w:r>
      <w:r w:rsidRPr="00A33930">
        <w:rPr>
          <w:rFonts w:eastAsia="Verdana" w:cs="Verdana"/>
          <w:i/>
          <w:szCs w:val="18"/>
          <w:lang w:val="nl-NL"/>
        </w:rPr>
        <w:t>Kruskic/Kroatië.</w:t>
      </w:r>
    </w:p>
    <w:p w14:paraId="4AD85BCB" w14:textId="691204DC" w:rsidR="0088378B" w:rsidRPr="00A33930" w:rsidRDefault="0088378B" w:rsidP="00245F00">
      <w:pPr>
        <w:spacing w:before="120" w:after="120" w:line="360" w:lineRule="auto"/>
        <w:jc w:val="both"/>
        <w:rPr>
          <w:rFonts w:eastAsia="Verdana" w:cs="Verdana"/>
          <w:iCs/>
          <w:szCs w:val="18"/>
          <w:lang w:val="nl-NL"/>
        </w:rPr>
      </w:pPr>
      <w:r w:rsidRPr="00A33930">
        <w:rPr>
          <w:rFonts w:eastAsia="Verdana" w:cs="Verdana"/>
          <w:iCs/>
          <w:szCs w:val="18"/>
          <w:lang w:val="nl-NL"/>
        </w:rPr>
        <w:t xml:space="preserve">EHRM 20 januari 2015, nr. 107/10, </w:t>
      </w:r>
      <w:r w:rsidRPr="00A33930">
        <w:rPr>
          <w:rFonts w:eastAsia="Verdana" w:cs="Verdana"/>
          <w:i/>
          <w:szCs w:val="18"/>
          <w:lang w:val="nl-NL"/>
        </w:rPr>
        <w:t>Manuello en Nevi/Italië</w:t>
      </w:r>
      <w:r w:rsidRPr="00A33930">
        <w:rPr>
          <w:rFonts w:eastAsia="Verdana" w:cs="Verdana"/>
          <w:iCs/>
          <w:szCs w:val="18"/>
          <w:lang w:val="nl-NL"/>
        </w:rPr>
        <w:t>.</w:t>
      </w:r>
    </w:p>
    <w:p w14:paraId="66F92D00" w14:textId="77777777" w:rsidR="00245F00" w:rsidRPr="00A33930" w:rsidRDefault="00245F00" w:rsidP="00245F00">
      <w:pPr>
        <w:spacing w:before="120" w:after="120" w:line="360" w:lineRule="auto"/>
        <w:jc w:val="both"/>
        <w:rPr>
          <w:rFonts w:eastAsia="Verdana" w:cs="Verdana"/>
          <w:szCs w:val="18"/>
          <w:lang w:val="nl-NL"/>
        </w:rPr>
      </w:pPr>
      <w:r w:rsidRPr="00A33930">
        <w:rPr>
          <w:rFonts w:eastAsia="Verdana" w:cs="Verdana"/>
          <w:szCs w:val="18"/>
          <w:lang w:val="nl-NL"/>
        </w:rPr>
        <w:t xml:space="preserve">EHRM 3 september 2015, nr. 10161/13, </w:t>
      </w:r>
      <w:r w:rsidRPr="00A33930">
        <w:rPr>
          <w:rFonts w:eastAsia="Verdana" w:cs="Verdana"/>
          <w:i/>
          <w:iCs/>
          <w:szCs w:val="18"/>
          <w:lang w:val="nl-NL"/>
        </w:rPr>
        <w:t>M. en M./Kroatië</w:t>
      </w:r>
      <w:r w:rsidRPr="00A33930">
        <w:rPr>
          <w:rFonts w:eastAsia="Verdana" w:cs="Verdana"/>
          <w:szCs w:val="18"/>
          <w:lang w:val="nl-NL"/>
        </w:rPr>
        <w:t>.</w:t>
      </w:r>
    </w:p>
    <w:p w14:paraId="00404C52" w14:textId="77777777" w:rsidR="00245F00" w:rsidRPr="00A33930" w:rsidRDefault="00245F00" w:rsidP="00245F00">
      <w:pPr>
        <w:spacing w:before="120" w:after="120" w:line="360" w:lineRule="auto"/>
        <w:jc w:val="both"/>
        <w:rPr>
          <w:rFonts w:eastAsia="Verdana" w:cs="Verdana"/>
          <w:i/>
          <w:iCs/>
          <w:szCs w:val="18"/>
          <w:lang w:val="nl-NL"/>
        </w:rPr>
      </w:pPr>
      <w:r w:rsidRPr="00A33930">
        <w:rPr>
          <w:rFonts w:eastAsia="Verdana" w:cs="Verdana"/>
          <w:iCs/>
          <w:szCs w:val="18"/>
          <w:lang w:val="nl-NL"/>
        </w:rPr>
        <w:t xml:space="preserve">EHRM 11 juli 2017, nr. 2091/13, </w:t>
      </w:r>
      <w:r w:rsidRPr="00A33930">
        <w:rPr>
          <w:rFonts w:eastAsia="Verdana" w:cs="Verdana"/>
          <w:i/>
          <w:iCs/>
          <w:szCs w:val="18"/>
          <w:lang w:val="nl-NL"/>
        </w:rPr>
        <w:t>M.S./Oekraïne.</w:t>
      </w:r>
    </w:p>
    <w:p w14:paraId="4D67E573" w14:textId="2E7B7A2A" w:rsidR="00EE22E8" w:rsidRPr="00A33930" w:rsidRDefault="00EE22E8" w:rsidP="00245F00">
      <w:pPr>
        <w:spacing w:before="120" w:after="120" w:line="360" w:lineRule="auto"/>
        <w:jc w:val="both"/>
        <w:rPr>
          <w:rFonts w:eastAsia="Verdana" w:cs="Verdana"/>
          <w:i/>
          <w:iCs/>
          <w:szCs w:val="18"/>
          <w:lang w:val="nl-NL"/>
        </w:rPr>
      </w:pPr>
      <w:r w:rsidRPr="00A33930">
        <w:rPr>
          <w:rFonts w:eastAsia="Verdana" w:cs="Verdana"/>
          <w:szCs w:val="18"/>
          <w:lang w:val="nl-NL"/>
        </w:rPr>
        <w:t xml:space="preserve">EHRM 14 januari 2021, nr. 21052/18, </w:t>
      </w:r>
      <w:r w:rsidRPr="00A33930">
        <w:rPr>
          <w:rFonts w:eastAsia="Verdana" w:cs="Verdana"/>
          <w:i/>
          <w:iCs/>
          <w:szCs w:val="18"/>
          <w:lang w:val="nl-NL"/>
        </w:rPr>
        <w:t>Terna/Italië.</w:t>
      </w:r>
    </w:p>
    <w:p w14:paraId="3DBC87CF" w14:textId="77777777" w:rsidR="00245F00" w:rsidRPr="00A33930" w:rsidRDefault="00245F00" w:rsidP="00245F00">
      <w:pPr>
        <w:spacing w:before="120" w:after="120" w:line="360" w:lineRule="auto"/>
        <w:jc w:val="both"/>
        <w:rPr>
          <w:rFonts w:eastAsia="Verdana" w:cs="Verdana"/>
          <w:i/>
          <w:szCs w:val="18"/>
          <w:lang w:val="nl-NL"/>
        </w:rPr>
      </w:pPr>
      <w:r w:rsidRPr="00A33930">
        <w:rPr>
          <w:rFonts w:eastAsia="Verdana" w:cs="Verdana"/>
          <w:iCs/>
          <w:szCs w:val="18"/>
          <w:lang w:val="nl-NL"/>
        </w:rPr>
        <w:t xml:space="preserve">EHRM 1 april 2021, nr. 70896/17, </w:t>
      </w:r>
      <w:r w:rsidRPr="00A33930">
        <w:rPr>
          <w:rFonts w:eastAsia="Verdana" w:cs="Verdana"/>
          <w:i/>
          <w:szCs w:val="18"/>
          <w:lang w:val="nl-NL"/>
        </w:rPr>
        <w:t>A.I./Italië.</w:t>
      </w:r>
    </w:p>
    <w:p w14:paraId="04B2D583" w14:textId="77777777" w:rsidR="00245F00" w:rsidRPr="00A33930" w:rsidRDefault="00245F00" w:rsidP="00245F00">
      <w:pPr>
        <w:spacing w:before="120" w:after="120" w:line="360" w:lineRule="auto"/>
        <w:jc w:val="both"/>
        <w:rPr>
          <w:rFonts w:eastAsia="Verdana" w:cs="Verdana"/>
          <w:iCs/>
          <w:szCs w:val="18"/>
          <w:lang w:val="nl-NL"/>
        </w:rPr>
      </w:pPr>
      <w:r w:rsidRPr="00A33930">
        <w:rPr>
          <w:rFonts w:eastAsia="Verdana" w:cs="Verdana"/>
          <w:iCs/>
          <w:szCs w:val="18"/>
          <w:lang w:val="nl-NL"/>
        </w:rPr>
        <w:t xml:space="preserve">EHRM 8 april 2021, nr. 4762/13, </w:t>
      </w:r>
      <w:r w:rsidRPr="00A33930">
        <w:rPr>
          <w:rFonts w:eastAsia="Verdana" w:cs="Verdana"/>
          <w:i/>
          <w:szCs w:val="18"/>
          <w:lang w:val="nl-NL"/>
        </w:rPr>
        <w:t>Vavřička e.a./Tsjechië</w:t>
      </w:r>
      <w:r w:rsidRPr="00A33930">
        <w:rPr>
          <w:rFonts w:eastAsia="Verdana" w:cs="Verdana"/>
          <w:iCs/>
          <w:szCs w:val="18"/>
          <w:lang w:val="nl-NL"/>
        </w:rPr>
        <w:t>.</w:t>
      </w:r>
    </w:p>
    <w:p w14:paraId="5BB5C520" w14:textId="77777777" w:rsidR="00245F00" w:rsidRPr="00A33930" w:rsidRDefault="00245F00" w:rsidP="00245F00">
      <w:pPr>
        <w:spacing w:before="120" w:after="120" w:line="360" w:lineRule="auto"/>
        <w:jc w:val="both"/>
        <w:rPr>
          <w:rFonts w:eastAsia="Verdana" w:cs="Verdana"/>
          <w:i/>
          <w:szCs w:val="18"/>
          <w:lang w:val="nl-NL"/>
        </w:rPr>
      </w:pPr>
      <w:r w:rsidRPr="00A33930">
        <w:rPr>
          <w:rFonts w:eastAsia="Verdana" w:cs="Verdana"/>
          <w:szCs w:val="18"/>
          <w:lang w:val="nl-NL"/>
        </w:rPr>
        <w:t xml:space="preserve">EHRM 20 september 2022, nr. 7833/12, </w:t>
      </w:r>
      <w:r w:rsidRPr="00A33930">
        <w:rPr>
          <w:rFonts w:eastAsia="Verdana" w:cs="Verdana"/>
          <w:i/>
          <w:szCs w:val="18"/>
          <w:lang w:val="nl-NL"/>
        </w:rPr>
        <w:t>Popadic/Servië.</w:t>
      </w:r>
    </w:p>
    <w:p w14:paraId="648FC43E" w14:textId="0B39416A" w:rsidR="00245F00" w:rsidRPr="00A33930" w:rsidRDefault="00245F00" w:rsidP="00AE65F8">
      <w:pPr>
        <w:spacing w:before="120" w:after="120" w:line="360" w:lineRule="auto"/>
        <w:jc w:val="both"/>
        <w:rPr>
          <w:rFonts w:eastAsia="Verdana" w:cs="Verdana"/>
          <w:i/>
          <w:szCs w:val="18"/>
          <w:lang w:val="nl-NL"/>
        </w:rPr>
      </w:pPr>
      <w:r w:rsidRPr="00A33930">
        <w:rPr>
          <w:rFonts w:eastAsia="Verdana" w:cs="Verdana"/>
          <w:iCs/>
          <w:szCs w:val="18"/>
          <w:lang w:val="nl-NL"/>
        </w:rPr>
        <w:t>EHRM 14 februari 2023, nr. 10477/21</w:t>
      </w:r>
      <w:r w:rsidRPr="00A33930">
        <w:rPr>
          <w:rFonts w:eastAsia="Verdana" w:cs="Verdana"/>
          <w:i/>
          <w:szCs w:val="18"/>
          <w:lang w:val="nl-NL"/>
        </w:rPr>
        <w:t xml:space="preserve">, </w:t>
      </w:r>
      <w:r w:rsidRPr="00A33930">
        <w:rPr>
          <w:rFonts w:eastAsia="Verdana" w:cs="Verdana"/>
          <w:i/>
          <w:iCs/>
          <w:szCs w:val="18"/>
          <w:lang w:val="nl-NL"/>
        </w:rPr>
        <w:t>Bycenko/Lithuanië</w:t>
      </w:r>
      <w:r w:rsidRPr="00A33930">
        <w:rPr>
          <w:rFonts w:eastAsia="Verdana" w:cs="Verdana"/>
          <w:i/>
          <w:szCs w:val="18"/>
          <w:lang w:val="nl-NL"/>
        </w:rPr>
        <w:t>.</w:t>
      </w:r>
    </w:p>
    <w:p w14:paraId="07BE569A" w14:textId="77777777" w:rsidR="00245F00" w:rsidRPr="00A33930" w:rsidRDefault="00245F00" w:rsidP="00245F00">
      <w:pPr>
        <w:spacing w:before="120" w:after="120" w:line="360" w:lineRule="auto"/>
        <w:jc w:val="both"/>
        <w:rPr>
          <w:rFonts w:eastAsia="Verdana" w:cs="Verdana"/>
          <w:iCs/>
          <w:szCs w:val="18"/>
          <w:lang w:val="nl-NL"/>
        </w:rPr>
      </w:pPr>
      <w:r w:rsidRPr="00A33930">
        <w:rPr>
          <w:rFonts w:eastAsia="Verdana" w:cs="Verdana"/>
          <w:iCs/>
          <w:szCs w:val="18"/>
          <w:lang w:val="nl-NL"/>
        </w:rPr>
        <w:t xml:space="preserve">HvJ-EU 23 december 2009, C-403/09 PPU, </w:t>
      </w:r>
      <w:r w:rsidRPr="00A33930">
        <w:rPr>
          <w:rFonts w:eastAsia="Verdana" w:cs="Verdana"/>
          <w:i/>
          <w:iCs/>
          <w:szCs w:val="18"/>
          <w:lang w:val="nl-NL"/>
        </w:rPr>
        <w:t>Jasna Deticek/Maurizio Sgueglia</w:t>
      </w:r>
      <w:r w:rsidRPr="00A33930">
        <w:rPr>
          <w:rFonts w:eastAsia="Verdana" w:cs="Verdana"/>
          <w:iCs/>
          <w:szCs w:val="18"/>
          <w:lang w:val="nl-NL"/>
        </w:rPr>
        <w:t>.</w:t>
      </w:r>
    </w:p>
    <w:p w14:paraId="114B9917" w14:textId="77777777" w:rsidR="00245F00" w:rsidRPr="00A33930" w:rsidRDefault="00245F00" w:rsidP="00AE65F8">
      <w:pPr>
        <w:spacing w:before="120" w:after="120" w:line="360" w:lineRule="auto"/>
        <w:jc w:val="both"/>
        <w:rPr>
          <w:rFonts w:eastAsia="Verdana" w:cs="Verdana"/>
          <w:b/>
          <w:bCs/>
          <w:i/>
          <w:lang w:val="nl-NL"/>
        </w:rPr>
      </w:pPr>
    </w:p>
    <w:p w14:paraId="0B95616F" w14:textId="22EE3F3E" w:rsidR="00DA3ECE" w:rsidRPr="00A33930" w:rsidRDefault="00DA3ECE" w:rsidP="00DA3ECE">
      <w:pPr>
        <w:spacing w:before="120" w:after="120" w:line="360" w:lineRule="auto"/>
        <w:jc w:val="both"/>
        <w:rPr>
          <w:rFonts w:eastAsia="Verdana" w:cs="Verdana"/>
          <w:b/>
          <w:bCs/>
          <w:i/>
          <w:lang w:val="nl-NL"/>
        </w:rPr>
      </w:pPr>
      <w:r w:rsidRPr="00A33930">
        <w:rPr>
          <w:rFonts w:eastAsia="Verdana" w:cs="Verdana"/>
          <w:b/>
          <w:bCs/>
          <w:i/>
          <w:lang w:val="nl-NL"/>
        </w:rPr>
        <w:t>België</w:t>
      </w:r>
      <w:r w:rsidR="008354CD" w:rsidRPr="00A33930">
        <w:rPr>
          <w:rFonts w:eastAsia="Verdana" w:cs="Verdana"/>
          <w:b/>
          <w:bCs/>
          <w:i/>
          <w:lang w:val="nl-NL"/>
        </w:rPr>
        <w:t>:</w:t>
      </w:r>
    </w:p>
    <w:p w14:paraId="2E6C8077" w14:textId="77777777" w:rsidR="00754AB6" w:rsidRPr="00A33930" w:rsidRDefault="00754AB6" w:rsidP="00754AB6">
      <w:pPr>
        <w:spacing w:before="120" w:after="120" w:line="360" w:lineRule="auto"/>
        <w:jc w:val="both"/>
        <w:rPr>
          <w:rFonts w:eastAsia="Verdana" w:cs="Verdana"/>
          <w:szCs w:val="18"/>
          <w:lang w:val="nl-NL"/>
        </w:rPr>
      </w:pPr>
      <w:r w:rsidRPr="00A33930">
        <w:rPr>
          <w:rFonts w:eastAsia="Verdana" w:cs="Verdana"/>
          <w:szCs w:val="18"/>
          <w:lang w:val="nl-NL"/>
        </w:rPr>
        <w:t xml:space="preserve">GwH 8 oktober 2003, nr. 134/2003, </w:t>
      </w:r>
      <w:r w:rsidRPr="00A33930">
        <w:rPr>
          <w:rFonts w:eastAsia="Verdana" w:cs="Verdana"/>
          <w:i/>
          <w:iCs/>
          <w:szCs w:val="18"/>
          <w:lang w:val="nl-NL"/>
        </w:rPr>
        <w:t>TJK</w:t>
      </w:r>
      <w:r w:rsidRPr="00A33930">
        <w:rPr>
          <w:rFonts w:eastAsia="Verdana" w:cs="Verdana"/>
          <w:szCs w:val="18"/>
          <w:lang w:val="nl-NL"/>
        </w:rPr>
        <w:t xml:space="preserve"> 2004, afl. 1, 40-43 noot ROBERT, T.</w:t>
      </w:r>
    </w:p>
    <w:p w14:paraId="4C4FCB8D" w14:textId="0DB8B629" w:rsidR="00754AB6" w:rsidRPr="00A33930" w:rsidRDefault="00754AB6" w:rsidP="00754AB6">
      <w:pPr>
        <w:spacing w:before="120" w:after="120" w:line="360" w:lineRule="auto"/>
        <w:jc w:val="both"/>
        <w:rPr>
          <w:rFonts w:eastAsia="Verdana" w:cs="Verdana"/>
          <w:szCs w:val="18"/>
          <w:lang w:val="nl-NL"/>
        </w:rPr>
      </w:pPr>
      <w:r w:rsidRPr="00A33930">
        <w:rPr>
          <w:rFonts w:eastAsia="Verdana" w:cs="Verdana"/>
          <w:szCs w:val="18"/>
          <w:lang w:val="nl-NL"/>
        </w:rPr>
        <w:t xml:space="preserve">GwH 7 maart 2013, nr. 30/2013, </w:t>
      </w:r>
      <w:r w:rsidRPr="00A33930">
        <w:rPr>
          <w:rFonts w:eastAsia="Verdana" w:cs="Verdana"/>
          <w:i/>
          <w:iCs/>
          <w:szCs w:val="18"/>
          <w:lang w:val="nl-NL"/>
        </w:rPr>
        <w:t>Juristenkrant</w:t>
      </w:r>
      <w:r w:rsidRPr="00A33930">
        <w:rPr>
          <w:rFonts w:eastAsia="Verdana" w:cs="Verdana"/>
          <w:szCs w:val="18"/>
          <w:lang w:val="nl-NL"/>
        </w:rPr>
        <w:t xml:space="preserve"> 2013, afl. 267, 4, noot VERSCHELDEN, G.; </w:t>
      </w:r>
      <w:r w:rsidRPr="00A33930">
        <w:rPr>
          <w:rFonts w:eastAsia="Verdana" w:cs="Verdana"/>
          <w:i/>
          <w:iCs/>
          <w:szCs w:val="18"/>
          <w:lang w:val="nl-NL"/>
        </w:rPr>
        <w:t>T.Fam.</w:t>
      </w:r>
      <w:r w:rsidRPr="00A33930">
        <w:rPr>
          <w:rFonts w:eastAsia="Verdana" w:cs="Verdana"/>
          <w:szCs w:val="18"/>
          <w:lang w:val="nl-NL"/>
        </w:rPr>
        <w:t xml:space="preserve"> 2013, afl. 9, 232.</w:t>
      </w:r>
    </w:p>
    <w:p w14:paraId="3E5F85B0" w14:textId="77777777" w:rsidR="00754AB6" w:rsidRPr="00A33930" w:rsidRDefault="00754AB6" w:rsidP="00754AB6">
      <w:pPr>
        <w:spacing w:before="120" w:after="120" w:line="360" w:lineRule="auto"/>
        <w:jc w:val="both"/>
        <w:rPr>
          <w:rFonts w:eastAsia="Verdana" w:cs="Verdana"/>
          <w:szCs w:val="18"/>
          <w:lang w:val="nl-NL"/>
        </w:rPr>
      </w:pPr>
      <w:r w:rsidRPr="00A33930">
        <w:rPr>
          <w:rFonts w:eastAsia="Verdana" w:cs="Verdana"/>
          <w:szCs w:val="18"/>
          <w:lang w:val="nl-NL"/>
        </w:rPr>
        <w:t xml:space="preserve">GwH 23 april 2015, nr. 45/2015, </w:t>
      </w:r>
      <w:r w:rsidRPr="00A33930">
        <w:rPr>
          <w:rFonts w:eastAsia="Verdana" w:cs="Verdana"/>
          <w:i/>
          <w:iCs/>
          <w:szCs w:val="18"/>
          <w:lang w:val="nl-NL"/>
        </w:rPr>
        <w:t>Juristenkrant</w:t>
      </w:r>
      <w:r w:rsidRPr="00A33930">
        <w:rPr>
          <w:rFonts w:eastAsia="Verdana" w:cs="Verdana"/>
          <w:szCs w:val="18"/>
          <w:lang w:val="nl-NL"/>
        </w:rPr>
        <w:t xml:space="preserve"> 2015, afl. 309, 2, noot WEIS, K.</w:t>
      </w:r>
    </w:p>
    <w:p w14:paraId="0230F8D9" w14:textId="2CC07C4F" w:rsidR="00754AB6" w:rsidRPr="00A33930" w:rsidRDefault="00754AB6" w:rsidP="00754AB6">
      <w:pPr>
        <w:spacing w:before="120" w:after="120" w:line="360" w:lineRule="auto"/>
        <w:jc w:val="both"/>
        <w:rPr>
          <w:rFonts w:eastAsia="Verdana" w:cs="Verdana"/>
          <w:szCs w:val="18"/>
          <w:lang w:val="nl-NL"/>
        </w:rPr>
      </w:pPr>
      <w:r w:rsidRPr="00A33930">
        <w:rPr>
          <w:rFonts w:eastAsia="Verdana" w:cs="Verdana"/>
          <w:szCs w:val="18"/>
          <w:lang w:val="nl-NL"/>
        </w:rPr>
        <w:t xml:space="preserve">GwH 2 juli 2015, nr. 101/2015, </w:t>
      </w:r>
      <w:r w:rsidRPr="00A33930">
        <w:rPr>
          <w:rFonts w:eastAsia="Verdana" w:cs="Verdana"/>
          <w:i/>
          <w:iCs/>
          <w:szCs w:val="18"/>
          <w:lang w:val="nl-NL"/>
        </w:rPr>
        <w:t>Juristenkrant</w:t>
      </w:r>
      <w:r w:rsidRPr="00A33930">
        <w:rPr>
          <w:rFonts w:eastAsia="Verdana" w:cs="Verdana"/>
          <w:szCs w:val="18"/>
          <w:lang w:val="nl-NL"/>
        </w:rPr>
        <w:t xml:space="preserve"> 2015, afl. 315, 7, noot DE BOCK, E.</w:t>
      </w:r>
    </w:p>
    <w:p w14:paraId="5CA6D534" w14:textId="77777777" w:rsidR="00754AB6" w:rsidRPr="00A33930" w:rsidRDefault="00754AB6" w:rsidP="00754AB6">
      <w:pPr>
        <w:spacing w:before="120" w:after="120" w:line="360" w:lineRule="auto"/>
        <w:jc w:val="both"/>
        <w:rPr>
          <w:rFonts w:eastAsia="Verdana" w:cs="Verdana"/>
          <w:szCs w:val="18"/>
          <w:lang w:val="nl-NL"/>
        </w:rPr>
      </w:pPr>
      <w:r w:rsidRPr="00A33930">
        <w:rPr>
          <w:rFonts w:eastAsia="Verdana" w:cs="Verdana"/>
          <w:szCs w:val="18"/>
          <w:lang w:val="nl-NL"/>
        </w:rPr>
        <w:t xml:space="preserve">GwH 7 februari 2019, nr. 20/2019, </w:t>
      </w:r>
      <w:r w:rsidRPr="00A33930">
        <w:rPr>
          <w:rFonts w:eastAsia="Verdana" w:cs="Verdana"/>
          <w:i/>
          <w:iCs/>
          <w:szCs w:val="18"/>
          <w:lang w:val="nl-NL"/>
        </w:rPr>
        <w:t>RW</w:t>
      </w:r>
      <w:r w:rsidRPr="00A33930">
        <w:rPr>
          <w:rFonts w:eastAsia="Verdana" w:cs="Verdana"/>
          <w:szCs w:val="18"/>
          <w:lang w:val="nl-NL"/>
        </w:rPr>
        <w:t xml:space="preserve"> 2018-2019, afl. 26, 1160.</w:t>
      </w:r>
    </w:p>
    <w:p w14:paraId="365B218D" w14:textId="77777777" w:rsidR="00611390" w:rsidRPr="00A33930" w:rsidRDefault="00611390" w:rsidP="00611390">
      <w:pPr>
        <w:spacing w:before="120" w:after="120" w:line="360" w:lineRule="auto"/>
        <w:jc w:val="both"/>
        <w:rPr>
          <w:rFonts w:eastAsia="Verdana" w:cs="Verdana"/>
          <w:iCs/>
          <w:szCs w:val="18"/>
          <w:lang w:val="nl-NL"/>
        </w:rPr>
      </w:pPr>
      <w:r w:rsidRPr="00A33930">
        <w:rPr>
          <w:rFonts w:eastAsia="Verdana" w:cs="Verdana"/>
          <w:szCs w:val="18"/>
          <w:lang w:val="nl-NL"/>
        </w:rPr>
        <w:lastRenderedPageBreak/>
        <w:t xml:space="preserve">GwH 28 februari 2019, nr. 36/2019, </w:t>
      </w:r>
      <w:r w:rsidRPr="00A33930">
        <w:rPr>
          <w:rFonts w:eastAsia="Verdana" w:cs="Verdana"/>
          <w:i/>
          <w:szCs w:val="18"/>
          <w:lang w:val="nl-NL"/>
        </w:rPr>
        <w:t>TJK</w:t>
      </w:r>
      <w:r w:rsidRPr="00A33930">
        <w:rPr>
          <w:rFonts w:eastAsia="Verdana" w:cs="Verdana"/>
          <w:szCs w:val="18"/>
          <w:lang w:val="nl-NL"/>
        </w:rPr>
        <w:t xml:space="preserve"> 2019, afl. 4, 452, noot BERGHMANS, M.</w:t>
      </w:r>
    </w:p>
    <w:p w14:paraId="6122E926" w14:textId="703806DE" w:rsidR="00611390" w:rsidRPr="00A33930" w:rsidRDefault="00611390" w:rsidP="00611390">
      <w:pPr>
        <w:spacing w:before="120" w:after="120" w:line="360" w:lineRule="auto"/>
        <w:jc w:val="both"/>
        <w:rPr>
          <w:rFonts w:eastAsia="Verdana" w:cs="Verdana"/>
          <w:szCs w:val="18"/>
          <w:lang w:val="nl-NL"/>
        </w:rPr>
      </w:pPr>
      <w:r w:rsidRPr="00A33930">
        <w:rPr>
          <w:rFonts w:eastAsia="Verdana" w:cs="Verdana"/>
          <w:szCs w:val="18"/>
          <w:lang w:val="nl-NL"/>
        </w:rPr>
        <w:t xml:space="preserve">GwH 21 april 2022, nr. 58/2022, </w:t>
      </w:r>
      <w:r w:rsidRPr="00A33930">
        <w:rPr>
          <w:rFonts w:eastAsia="Verdana" w:cs="Verdana"/>
          <w:i/>
          <w:szCs w:val="18"/>
          <w:lang w:val="nl-NL"/>
        </w:rPr>
        <w:t>T.Fam.</w:t>
      </w:r>
      <w:r w:rsidRPr="00A33930">
        <w:rPr>
          <w:rFonts w:eastAsia="Verdana" w:cs="Verdana"/>
          <w:szCs w:val="18"/>
          <w:lang w:val="nl-NL"/>
        </w:rPr>
        <w:t xml:space="preserve"> 2022, afl. 7, 185, noot SENAEVE, P.</w:t>
      </w:r>
    </w:p>
    <w:p w14:paraId="23A085A1" w14:textId="77777777" w:rsidR="00754AB6" w:rsidRPr="00A33930" w:rsidRDefault="00754AB6" w:rsidP="00754AB6">
      <w:pPr>
        <w:spacing w:before="120" w:after="120" w:line="360" w:lineRule="auto"/>
        <w:jc w:val="both"/>
        <w:rPr>
          <w:rFonts w:eastAsia="Verdana" w:cs="Verdana"/>
          <w:iCs/>
          <w:szCs w:val="18"/>
          <w:lang w:val="nl-NL"/>
        </w:rPr>
      </w:pPr>
      <w:r w:rsidRPr="00A33930">
        <w:rPr>
          <w:rFonts w:eastAsia="Verdana" w:cs="Verdana"/>
          <w:iCs/>
          <w:szCs w:val="18"/>
          <w:lang w:val="nl-NL"/>
        </w:rPr>
        <w:t xml:space="preserve">Cass. 14 oktober 1915, </w:t>
      </w:r>
      <w:r w:rsidRPr="00A33930">
        <w:rPr>
          <w:rFonts w:eastAsia="Verdana" w:cs="Verdana"/>
          <w:i/>
          <w:iCs/>
          <w:szCs w:val="18"/>
          <w:lang w:val="nl-NL"/>
        </w:rPr>
        <w:t>Pas.</w:t>
      </w:r>
      <w:r w:rsidRPr="00A33930">
        <w:rPr>
          <w:rFonts w:eastAsia="Verdana" w:cs="Verdana"/>
          <w:iCs/>
          <w:szCs w:val="18"/>
          <w:lang w:val="nl-NL"/>
        </w:rPr>
        <w:t xml:space="preserve"> 1915-1916.</w:t>
      </w:r>
    </w:p>
    <w:p w14:paraId="13574939" w14:textId="77777777" w:rsidR="00611390" w:rsidRPr="00A33930" w:rsidRDefault="00611390" w:rsidP="00611390">
      <w:pPr>
        <w:spacing w:before="120" w:after="120" w:line="360" w:lineRule="auto"/>
        <w:jc w:val="both"/>
        <w:rPr>
          <w:rFonts w:eastAsia="Verdana" w:cs="Verdana"/>
          <w:iCs/>
          <w:szCs w:val="18"/>
          <w:lang w:val="nl-NL"/>
        </w:rPr>
      </w:pPr>
      <w:r w:rsidRPr="00A33930">
        <w:rPr>
          <w:rFonts w:eastAsia="Verdana" w:cs="Verdana"/>
          <w:iCs/>
          <w:szCs w:val="18"/>
          <w:lang w:val="nl-NL"/>
        </w:rPr>
        <w:t xml:space="preserve">Cass. 27 mei 1971, </w:t>
      </w:r>
      <w:r w:rsidRPr="00A33930">
        <w:rPr>
          <w:rFonts w:eastAsia="Verdana" w:cs="Verdana"/>
          <w:i/>
          <w:iCs/>
          <w:szCs w:val="18"/>
          <w:lang w:val="nl-NL"/>
        </w:rPr>
        <w:t>Arr.Cass.</w:t>
      </w:r>
      <w:r w:rsidRPr="00A33930">
        <w:rPr>
          <w:rFonts w:eastAsia="Verdana" w:cs="Verdana"/>
          <w:iCs/>
          <w:szCs w:val="18"/>
          <w:lang w:val="nl-NL"/>
        </w:rPr>
        <w:t xml:space="preserve"> 1971, 959, </w:t>
      </w:r>
      <w:r w:rsidRPr="00A33930">
        <w:rPr>
          <w:rFonts w:eastAsia="Verdana" w:cs="Verdana"/>
          <w:i/>
          <w:iCs/>
          <w:szCs w:val="18"/>
          <w:lang w:val="nl-NL"/>
        </w:rPr>
        <w:t>Smeerkaasarrest</w:t>
      </w:r>
      <w:r w:rsidRPr="00A33930">
        <w:rPr>
          <w:rFonts w:eastAsia="Verdana" w:cs="Verdana"/>
          <w:iCs/>
          <w:szCs w:val="18"/>
          <w:lang w:val="nl-NL"/>
        </w:rPr>
        <w:t>.</w:t>
      </w:r>
    </w:p>
    <w:p w14:paraId="16A0D132" w14:textId="77777777" w:rsidR="00611390" w:rsidRPr="00A33930" w:rsidRDefault="00611390" w:rsidP="00611390">
      <w:pPr>
        <w:spacing w:before="120" w:after="120" w:line="360" w:lineRule="auto"/>
        <w:jc w:val="both"/>
        <w:rPr>
          <w:szCs w:val="18"/>
          <w:lang w:val="nl-NL"/>
        </w:rPr>
      </w:pPr>
      <w:r w:rsidRPr="00A33930">
        <w:rPr>
          <w:szCs w:val="18"/>
          <w:lang w:val="nl-NL"/>
        </w:rPr>
        <w:t xml:space="preserve">Cass. 4 maart 1976, </w:t>
      </w:r>
      <w:r w:rsidRPr="00A33930">
        <w:rPr>
          <w:i/>
          <w:szCs w:val="18"/>
          <w:lang w:val="nl-NL"/>
        </w:rPr>
        <w:t>RW</w:t>
      </w:r>
      <w:r w:rsidRPr="00A33930">
        <w:rPr>
          <w:szCs w:val="18"/>
          <w:lang w:val="nl-NL"/>
        </w:rPr>
        <w:t xml:space="preserve"> 1976-1977, 288, noot NUYTINCK, H., </w:t>
      </w:r>
      <w:r w:rsidRPr="00A33930">
        <w:rPr>
          <w:i/>
          <w:szCs w:val="18"/>
          <w:lang w:val="nl-NL"/>
        </w:rPr>
        <w:t>Grootjesarrest</w:t>
      </w:r>
      <w:r w:rsidRPr="00A33930">
        <w:rPr>
          <w:szCs w:val="18"/>
          <w:lang w:val="nl-NL"/>
        </w:rPr>
        <w:t>.</w:t>
      </w:r>
    </w:p>
    <w:p w14:paraId="0EFB2626" w14:textId="3D71C117" w:rsidR="00754AB6" w:rsidRPr="00A33930" w:rsidRDefault="00754AB6" w:rsidP="00611390">
      <w:pPr>
        <w:spacing w:before="120" w:after="120" w:line="360" w:lineRule="auto"/>
        <w:jc w:val="both"/>
        <w:rPr>
          <w:rFonts w:eastAsia="Verdana" w:cs="Verdana"/>
          <w:iCs/>
          <w:szCs w:val="18"/>
          <w:lang w:val="nl-NL"/>
        </w:rPr>
      </w:pPr>
      <w:r w:rsidRPr="00A33930">
        <w:rPr>
          <w:rFonts w:eastAsia="Verdana" w:cs="Verdana"/>
          <w:iCs/>
          <w:szCs w:val="18"/>
          <w:lang w:val="nl-NL"/>
        </w:rPr>
        <w:t xml:space="preserve">Cass. 26 september 1978, </w:t>
      </w:r>
      <w:r w:rsidRPr="00A33930">
        <w:rPr>
          <w:rFonts w:eastAsia="Verdana" w:cs="Verdana"/>
          <w:i/>
          <w:szCs w:val="18"/>
          <w:lang w:val="nl-NL"/>
        </w:rPr>
        <w:t>Arr.Cass.</w:t>
      </w:r>
      <w:r w:rsidRPr="00A33930">
        <w:rPr>
          <w:rFonts w:eastAsia="Verdana" w:cs="Verdana"/>
          <w:iCs/>
          <w:szCs w:val="18"/>
          <w:lang w:val="nl-NL"/>
        </w:rPr>
        <w:t xml:space="preserve"> 1978, 116.</w:t>
      </w:r>
    </w:p>
    <w:p w14:paraId="32863B90" w14:textId="54099738" w:rsidR="00611390" w:rsidRPr="00A33930" w:rsidRDefault="00611390" w:rsidP="00611390">
      <w:pPr>
        <w:spacing w:before="120" w:after="120" w:line="360" w:lineRule="auto"/>
        <w:jc w:val="both"/>
        <w:rPr>
          <w:rFonts w:eastAsia="Verdana" w:cs="Verdana"/>
          <w:iCs/>
          <w:szCs w:val="18"/>
          <w:lang w:val="nl-NL"/>
        </w:rPr>
      </w:pPr>
      <w:r w:rsidRPr="00A33930">
        <w:rPr>
          <w:rFonts w:eastAsia="Verdana" w:cs="Verdana"/>
          <w:szCs w:val="18"/>
          <w:lang w:val="nl-NL"/>
        </w:rPr>
        <w:t xml:space="preserve">Cass. 11 maart 1994, AR C.93.0342.N, </w:t>
      </w:r>
      <w:r w:rsidRPr="00A33930">
        <w:rPr>
          <w:rFonts w:eastAsia="Verdana" w:cs="Verdana"/>
          <w:i/>
          <w:szCs w:val="18"/>
          <w:lang w:val="nl-NL"/>
        </w:rPr>
        <w:t>EJ</w:t>
      </w:r>
      <w:r w:rsidRPr="00A33930">
        <w:rPr>
          <w:rFonts w:eastAsia="Verdana" w:cs="Verdana"/>
          <w:szCs w:val="18"/>
          <w:lang w:val="nl-NL"/>
        </w:rPr>
        <w:t xml:space="preserve"> 1995, 82, noot DEKELVER, K.</w:t>
      </w:r>
    </w:p>
    <w:p w14:paraId="44870176" w14:textId="77777777" w:rsidR="00754AB6" w:rsidRPr="00A33930" w:rsidRDefault="00754AB6" w:rsidP="00754AB6">
      <w:pPr>
        <w:spacing w:before="120" w:after="120" w:line="360" w:lineRule="auto"/>
        <w:jc w:val="both"/>
        <w:rPr>
          <w:rFonts w:eastAsia="Verdana" w:cs="Verdana"/>
          <w:szCs w:val="18"/>
          <w:lang w:val="nl-NL"/>
        </w:rPr>
      </w:pPr>
      <w:r w:rsidRPr="00A33930">
        <w:rPr>
          <w:rFonts w:eastAsia="Verdana" w:cs="Verdana"/>
          <w:szCs w:val="18"/>
          <w:lang w:val="nl-NL"/>
        </w:rPr>
        <w:t xml:space="preserve">Cass. 4 november 1999, AR C.99.0111.N, </w:t>
      </w:r>
      <w:r w:rsidRPr="00A33930">
        <w:rPr>
          <w:rFonts w:eastAsia="Verdana" w:cs="Verdana"/>
          <w:i/>
          <w:iCs/>
          <w:szCs w:val="18"/>
          <w:lang w:val="nl-NL"/>
        </w:rPr>
        <w:t>Juristenkrant</w:t>
      </w:r>
      <w:r w:rsidRPr="00A33930">
        <w:rPr>
          <w:rFonts w:eastAsia="Verdana" w:cs="Verdana"/>
          <w:szCs w:val="18"/>
          <w:lang w:val="nl-NL"/>
        </w:rPr>
        <w:t xml:space="preserve"> 2000, afl. 2, 4, noot VERSCHELDEN, G.</w:t>
      </w:r>
    </w:p>
    <w:p w14:paraId="0A4FDE4B" w14:textId="77777777" w:rsidR="00754AB6" w:rsidRPr="00A33930" w:rsidRDefault="00754AB6" w:rsidP="00754AB6">
      <w:pPr>
        <w:spacing w:before="120" w:after="120" w:line="360" w:lineRule="auto"/>
        <w:jc w:val="both"/>
        <w:rPr>
          <w:rFonts w:eastAsia="Verdana" w:cs="Verdana"/>
          <w:szCs w:val="18"/>
          <w:lang w:val="nl-NL"/>
        </w:rPr>
      </w:pPr>
      <w:r w:rsidRPr="00A33930">
        <w:rPr>
          <w:rFonts w:eastAsia="Verdana" w:cs="Verdana"/>
          <w:szCs w:val="18"/>
          <w:lang w:val="nl-NL"/>
        </w:rPr>
        <w:t xml:space="preserve">Cass. 4 november 1999, AR C.99.0048.N, </w:t>
      </w:r>
      <w:r w:rsidRPr="00A33930">
        <w:rPr>
          <w:rFonts w:eastAsia="Verdana" w:cs="Verdana"/>
          <w:i/>
          <w:iCs/>
          <w:szCs w:val="18"/>
          <w:lang w:val="nl-NL"/>
        </w:rPr>
        <w:t>TJK</w:t>
      </w:r>
      <w:r w:rsidRPr="00A33930">
        <w:rPr>
          <w:rFonts w:eastAsia="Verdana" w:cs="Verdana"/>
          <w:szCs w:val="18"/>
          <w:lang w:val="nl-NL"/>
        </w:rPr>
        <w:t xml:space="preserve"> 2000, afl. 2, 62.</w:t>
      </w:r>
    </w:p>
    <w:p w14:paraId="350F8F3B" w14:textId="77777777" w:rsidR="00754AB6" w:rsidRPr="00A33930" w:rsidRDefault="00754AB6" w:rsidP="00754AB6">
      <w:pPr>
        <w:spacing w:before="120" w:after="120" w:line="360" w:lineRule="auto"/>
        <w:jc w:val="both"/>
        <w:rPr>
          <w:rFonts w:eastAsia="Verdana" w:cs="Verdana"/>
          <w:szCs w:val="18"/>
          <w:lang w:val="nl-NL"/>
        </w:rPr>
      </w:pPr>
      <w:r w:rsidRPr="00A33930">
        <w:rPr>
          <w:rFonts w:eastAsia="Verdana" w:cs="Verdana"/>
          <w:szCs w:val="18"/>
          <w:lang w:val="nl-NL"/>
        </w:rPr>
        <w:t xml:space="preserve">Cass. 16 januari 2009, AR C.07.0563.N, </w:t>
      </w:r>
      <w:r w:rsidRPr="00A33930">
        <w:rPr>
          <w:rFonts w:eastAsia="Verdana" w:cs="Verdana"/>
          <w:i/>
          <w:szCs w:val="18"/>
          <w:lang w:val="nl-NL"/>
        </w:rPr>
        <w:t>T.Fam.</w:t>
      </w:r>
      <w:r w:rsidRPr="00A33930">
        <w:rPr>
          <w:rFonts w:eastAsia="Verdana" w:cs="Verdana"/>
          <w:szCs w:val="18"/>
          <w:lang w:val="nl-NL"/>
        </w:rPr>
        <w:t xml:space="preserve"> 2009, afl. 5, 91-96, noot VASSEUR, R.</w:t>
      </w:r>
    </w:p>
    <w:p w14:paraId="30F695D0" w14:textId="77777777" w:rsidR="00754AB6" w:rsidRPr="00A33930" w:rsidRDefault="00754AB6" w:rsidP="00754AB6">
      <w:pPr>
        <w:spacing w:before="120" w:after="120" w:line="360" w:lineRule="auto"/>
        <w:jc w:val="both"/>
        <w:rPr>
          <w:rFonts w:eastAsia="Verdana" w:cs="Verdana"/>
          <w:szCs w:val="18"/>
          <w:lang w:val="nl-NL"/>
        </w:rPr>
      </w:pPr>
      <w:r w:rsidRPr="00A33930">
        <w:rPr>
          <w:rFonts w:eastAsia="Verdana" w:cs="Verdana"/>
          <w:szCs w:val="18"/>
          <w:lang w:val="nl-NL"/>
        </w:rPr>
        <w:t xml:space="preserve">Cass. 3 oktober 2014, AR C.12.0191.N, </w:t>
      </w:r>
      <w:r w:rsidRPr="00A33930">
        <w:rPr>
          <w:rFonts w:eastAsia="Verdana" w:cs="Verdana"/>
          <w:i/>
          <w:iCs/>
          <w:szCs w:val="18"/>
          <w:lang w:val="nl-NL"/>
        </w:rPr>
        <w:t>T.Fam.</w:t>
      </w:r>
      <w:r w:rsidRPr="00A33930">
        <w:rPr>
          <w:rFonts w:eastAsia="Verdana" w:cs="Verdana"/>
          <w:szCs w:val="18"/>
          <w:lang w:val="nl-NL"/>
        </w:rPr>
        <w:t xml:space="preserve"> 2016, afl. 7, 196-172, noot VERCRUYSSE, T.</w:t>
      </w:r>
    </w:p>
    <w:p w14:paraId="7EDE1C0F" w14:textId="5DA4ADE2" w:rsidR="00754AB6" w:rsidRPr="00A33930" w:rsidRDefault="00754AB6" w:rsidP="00754AB6">
      <w:pPr>
        <w:spacing w:before="120" w:after="120" w:line="360" w:lineRule="auto"/>
        <w:jc w:val="both"/>
        <w:rPr>
          <w:rFonts w:eastAsia="Verdana" w:cs="Verdana"/>
          <w:szCs w:val="18"/>
          <w:lang w:val="nl-NL"/>
        </w:rPr>
      </w:pPr>
      <w:r w:rsidRPr="00A33930">
        <w:rPr>
          <w:rFonts w:eastAsia="Verdana" w:cs="Verdana"/>
          <w:szCs w:val="18"/>
          <w:lang w:val="nl-NL"/>
        </w:rPr>
        <w:t xml:space="preserve">Cass. 14 juni 2019, AR C.18.0430.N, </w:t>
      </w:r>
      <w:r w:rsidRPr="00A33930">
        <w:rPr>
          <w:rFonts w:eastAsia="Verdana" w:cs="Verdana"/>
          <w:i/>
          <w:iCs/>
          <w:szCs w:val="18"/>
          <w:lang w:val="nl-NL"/>
        </w:rPr>
        <w:t xml:space="preserve">T.Fam. </w:t>
      </w:r>
      <w:r w:rsidRPr="00A33930">
        <w:rPr>
          <w:rFonts w:eastAsia="Verdana" w:cs="Verdana"/>
          <w:szCs w:val="18"/>
          <w:lang w:val="nl-NL"/>
        </w:rPr>
        <w:t>2020, afl. 10, 292, noot SENAEVE</w:t>
      </w:r>
      <w:r w:rsidR="00207260" w:rsidRPr="00A33930">
        <w:rPr>
          <w:rFonts w:eastAsia="Verdana" w:cs="Verdana"/>
          <w:szCs w:val="18"/>
          <w:lang w:val="nl-NL"/>
        </w:rPr>
        <w:t>,</w:t>
      </w:r>
      <w:r w:rsidRPr="00A33930">
        <w:rPr>
          <w:rFonts w:eastAsia="Verdana" w:cs="Verdana"/>
          <w:szCs w:val="18"/>
          <w:lang w:val="nl-NL"/>
        </w:rPr>
        <w:t xml:space="preserve"> P.</w:t>
      </w:r>
    </w:p>
    <w:p w14:paraId="29E760F0" w14:textId="77777777" w:rsidR="00754AB6" w:rsidRPr="00A33930" w:rsidRDefault="00754AB6" w:rsidP="00754AB6">
      <w:pPr>
        <w:spacing w:before="120" w:after="120" w:line="360" w:lineRule="auto"/>
        <w:jc w:val="both"/>
        <w:rPr>
          <w:rFonts w:eastAsia="Verdana" w:cs="Verdana"/>
          <w:b/>
          <w:bCs/>
          <w:iCs/>
          <w:szCs w:val="18"/>
          <w:lang w:val="nl-NL"/>
        </w:rPr>
      </w:pPr>
      <w:r w:rsidRPr="00A33930">
        <w:rPr>
          <w:rFonts w:eastAsia="Verdana" w:cs="Verdana"/>
          <w:szCs w:val="18"/>
          <w:lang w:val="nl-NL"/>
        </w:rPr>
        <w:t xml:space="preserve">Cass. 10 februari 2020, AR C.15.0200.N, </w:t>
      </w:r>
      <w:r w:rsidRPr="00A33930">
        <w:rPr>
          <w:rFonts w:eastAsia="Verdana" w:cs="Verdana"/>
          <w:i/>
          <w:szCs w:val="18"/>
          <w:lang w:val="nl-NL"/>
        </w:rPr>
        <w:t>T.Fam.</w:t>
      </w:r>
      <w:r w:rsidRPr="00A33930">
        <w:rPr>
          <w:rFonts w:eastAsia="Verdana" w:cs="Verdana"/>
          <w:szCs w:val="18"/>
          <w:lang w:val="nl-NL"/>
        </w:rPr>
        <w:t xml:space="preserve"> 2020, afl. 7, 198, noot SENAEVE, P.</w:t>
      </w:r>
    </w:p>
    <w:p w14:paraId="2C7EA9D6" w14:textId="77777777" w:rsidR="00754AB6" w:rsidRPr="00A33930" w:rsidRDefault="00754AB6" w:rsidP="00754AB6">
      <w:pPr>
        <w:spacing w:before="120" w:after="120" w:line="360" w:lineRule="auto"/>
        <w:jc w:val="both"/>
        <w:rPr>
          <w:rFonts w:eastAsia="Verdana" w:cs="Verdana"/>
          <w:szCs w:val="18"/>
          <w:lang w:val="nl-NL"/>
        </w:rPr>
      </w:pPr>
      <w:r w:rsidRPr="00A33930">
        <w:rPr>
          <w:rFonts w:eastAsia="Verdana" w:cs="Verdana"/>
          <w:szCs w:val="18"/>
          <w:lang w:val="nl-NL"/>
        </w:rPr>
        <w:t xml:space="preserve">Cass. 25 januari 2021, AR C.17.0574.N, </w:t>
      </w:r>
      <w:r w:rsidRPr="00A33930">
        <w:rPr>
          <w:rFonts w:eastAsia="Verdana" w:cs="Verdana"/>
          <w:i/>
          <w:szCs w:val="18"/>
          <w:lang w:val="nl-NL"/>
        </w:rPr>
        <w:t>T.Fam.</w:t>
      </w:r>
      <w:r w:rsidRPr="00A33930">
        <w:rPr>
          <w:rFonts w:eastAsia="Verdana" w:cs="Verdana"/>
          <w:szCs w:val="18"/>
          <w:lang w:val="nl-NL"/>
        </w:rPr>
        <w:t xml:space="preserve"> 2022, afl. 5-6, 155. </w:t>
      </w:r>
    </w:p>
    <w:p w14:paraId="4A305B67" w14:textId="5F883469" w:rsidR="00AA26F0" w:rsidRPr="00A33930" w:rsidRDefault="00AA26F0" w:rsidP="00754AB6">
      <w:pPr>
        <w:spacing w:before="120" w:after="120" w:line="360" w:lineRule="auto"/>
        <w:jc w:val="both"/>
        <w:rPr>
          <w:rFonts w:eastAsia="Verdana" w:cs="Verdana"/>
          <w:szCs w:val="18"/>
          <w:lang w:val="nl-NL"/>
        </w:rPr>
      </w:pPr>
      <w:r w:rsidRPr="00A33930">
        <w:rPr>
          <w:rFonts w:eastAsia="Verdana" w:cs="Verdana"/>
          <w:szCs w:val="18"/>
          <w:lang w:val="nl-NL"/>
        </w:rPr>
        <w:t>Cass. 13 april 2021, AR P.21.0045.N., ECLI:BE:CASS:2021:ARR.20210413.2N.8.</w:t>
      </w:r>
    </w:p>
    <w:p w14:paraId="124637A2" w14:textId="77777777" w:rsidR="00754AB6" w:rsidRPr="00A33930" w:rsidRDefault="00754AB6" w:rsidP="00754AB6">
      <w:pPr>
        <w:spacing w:before="120" w:after="120" w:line="360" w:lineRule="auto"/>
        <w:jc w:val="both"/>
        <w:rPr>
          <w:rFonts w:eastAsia="Verdana" w:cs="Verdana"/>
          <w:szCs w:val="18"/>
          <w:lang w:val="nl-NL"/>
        </w:rPr>
      </w:pPr>
      <w:r w:rsidRPr="00A33930">
        <w:rPr>
          <w:rFonts w:eastAsia="Verdana" w:cs="Verdana"/>
          <w:szCs w:val="18"/>
          <w:lang w:val="nl-NL"/>
        </w:rPr>
        <w:t xml:space="preserve">RvS 22 februari 1989, </w:t>
      </w:r>
      <w:r w:rsidRPr="00A33930">
        <w:rPr>
          <w:rFonts w:eastAsia="Verdana" w:cs="Verdana"/>
          <w:i/>
          <w:iCs/>
          <w:szCs w:val="18"/>
          <w:lang w:val="nl-NL"/>
        </w:rPr>
        <w:t>JT</w:t>
      </w:r>
      <w:r w:rsidRPr="00A33930">
        <w:rPr>
          <w:rFonts w:eastAsia="Verdana" w:cs="Verdana"/>
          <w:szCs w:val="18"/>
          <w:lang w:val="nl-NL"/>
        </w:rPr>
        <w:t xml:space="preserve"> 1989, 675, noot RIGAUX, F.</w:t>
      </w:r>
    </w:p>
    <w:p w14:paraId="2AD100DE" w14:textId="77777777" w:rsidR="00754AB6" w:rsidRPr="00A33930" w:rsidRDefault="00754AB6" w:rsidP="00754AB6">
      <w:pPr>
        <w:spacing w:before="120" w:after="120" w:line="360" w:lineRule="auto"/>
        <w:jc w:val="both"/>
        <w:rPr>
          <w:rFonts w:eastAsia="Verdana" w:cs="Verdana"/>
          <w:szCs w:val="18"/>
          <w:lang w:val="nl-NL"/>
        </w:rPr>
      </w:pPr>
      <w:r w:rsidRPr="00A33930">
        <w:rPr>
          <w:rFonts w:eastAsia="Verdana" w:cs="Verdana"/>
          <w:szCs w:val="18"/>
          <w:lang w:val="nl-NL"/>
        </w:rPr>
        <w:t>RvS (14</w:t>
      </w:r>
      <w:r w:rsidRPr="00A33930">
        <w:rPr>
          <w:rFonts w:eastAsia="Verdana" w:cs="Verdana"/>
          <w:szCs w:val="18"/>
          <w:vertAlign w:val="superscript"/>
          <w:lang w:val="nl-NL"/>
        </w:rPr>
        <w:t>e</w:t>
      </w:r>
      <w:r w:rsidRPr="00A33930">
        <w:rPr>
          <w:rFonts w:eastAsia="Verdana" w:cs="Verdana"/>
          <w:szCs w:val="18"/>
          <w:lang w:val="nl-NL"/>
        </w:rPr>
        <w:t xml:space="preserve"> k.) 28 juni 2001, nr. 97.206.</w:t>
      </w:r>
    </w:p>
    <w:p w14:paraId="2F1B1546" w14:textId="77777777" w:rsidR="00754AB6" w:rsidRPr="00A33930" w:rsidRDefault="00754AB6" w:rsidP="00754AB6">
      <w:pPr>
        <w:spacing w:before="120" w:after="120" w:line="360" w:lineRule="auto"/>
        <w:jc w:val="both"/>
        <w:rPr>
          <w:rFonts w:eastAsia="Verdana" w:cs="Verdana"/>
          <w:iCs/>
          <w:szCs w:val="18"/>
          <w:lang w:val="nl-NL"/>
        </w:rPr>
      </w:pPr>
      <w:r w:rsidRPr="00A33930">
        <w:rPr>
          <w:rFonts w:eastAsia="Verdana" w:cs="Verdana"/>
          <w:iCs/>
          <w:szCs w:val="18"/>
          <w:lang w:val="nl-NL"/>
        </w:rPr>
        <w:t>RvS (11</w:t>
      </w:r>
      <w:r w:rsidRPr="00A33930">
        <w:rPr>
          <w:rFonts w:eastAsia="Verdana" w:cs="Verdana"/>
          <w:iCs/>
          <w:szCs w:val="18"/>
          <w:vertAlign w:val="superscript"/>
          <w:lang w:val="nl-NL"/>
        </w:rPr>
        <w:t>e</w:t>
      </w:r>
      <w:r w:rsidRPr="00A33930">
        <w:rPr>
          <w:rFonts w:eastAsia="Verdana" w:cs="Verdana"/>
          <w:iCs/>
          <w:szCs w:val="18"/>
          <w:lang w:val="nl-NL"/>
        </w:rPr>
        <w:t xml:space="preserve"> k.) 27 februari 2014, nr. 226.576, </w:t>
      </w:r>
      <w:r w:rsidRPr="00A33930">
        <w:rPr>
          <w:rFonts w:eastAsia="Verdana" w:cs="Verdana"/>
          <w:i/>
          <w:iCs/>
          <w:szCs w:val="18"/>
          <w:lang w:val="nl-NL"/>
        </w:rPr>
        <w:t>APT</w:t>
      </w:r>
      <w:r w:rsidRPr="00A33930">
        <w:rPr>
          <w:rFonts w:eastAsia="Verdana" w:cs="Verdana"/>
          <w:iCs/>
          <w:szCs w:val="18"/>
          <w:lang w:val="nl-NL"/>
        </w:rPr>
        <w:t xml:space="preserve"> 2013.</w:t>
      </w:r>
    </w:p>
    <w:p w14:paraId="3D0BE2FD" w14:textId="77777777" w:rsidR="00754AB6" w:rsidRPr="00A33930" w:rsidRDefault="00754AB6" w:rsidP="00754AB6">
      <w:pPr>
        <w:spacing w:before="120" w:after="120" w:line="360" w:lineRule="auto"/>
        <w:jc w:val="both"/>
        <w:rPr>
          <w:rFonts w:eastAsia="Verdana" w:cs="Verdana"/>
          <w:iCs/>
          <w:szCs w:val="18"/>
          <w:lang w:val="nl-NL"/>
        </w:rPr>
      </w:pPr>
      <w:r w:rsidRPr="00A33930">
        <w:rPr>
          <w:rFonts w:eastAsia="Verdana" w:cs="Verdana"/>
          <w:iCs/>
          <w:szCs w:val="18"/>
          <w:lang w:val="nl-NL"/>
        </w:rPr>
        <w:t>RvS (11</w:t>
      </w:r>
      <w:r w:rsidRPr="00A33930">
        <w:rPr>
          <w:rFonts w:eastAsia="Verdana" w:cs="Verdana"/>
          <w:iCs/>
          <w:szCs w:val="18"/>
          <w:vertAlign w:val="superscript"/>
          <w:lang w:val="nl-NL"/>
        </w:rPr>
        <w:t>e</w:t>
      </w:r>
      <w:r w:rsidRPr="00A33930">
        <w:rPr>
          <w:rFonts w:eastAsia="Verdana" w:cs="Verdana"/>
          <w:iCs/>
          <w:szCs w:val="18"/>
          <w:lang w:val="nl-NL"/>
        </w:rPr>
        <w:t xml:space="preserve"> k.) 10 december 2015, nr. 216.760, </w:t>
      </w:r>
      <w:r w:rsidRPr="00A33930">
        <w:rPr>
          <w:rFonts w:eastAsia="Verdana" w:cs="Verdana"/>
          <w:i/>
          <w:iCs/>
          <w:szCs w:val="18"/>
          <w:lang w:val="nl-NL"/>
        </w:rPr>
        <w:t>APT</w:t>
      </w:r>
      <w:r w:rsidRPr="00A33930">
        <w:rPr>
          <w:rFonts w:eastAsia="Verdana" w:cs="Verdana"/>
          <w:iCs/>
          <w:szCs w:val="18"/>
          <w:lang w:val="nl-NL"/>
        </w:rPr>
        <w:t xml:space="preserve"> 2016, </w:t>
      </w:r>
      <w:r w:rsidRPr="00A33930">
        <w:rPr>
          <w:rFonts w:eastAsia="Verdana" w:cs="Verdana"/>
          <w:i/>
          <w:iCs/>
          <w:szCs w:val="18"/>
          <w:lang w:val="nl-NL"/>
        </w:rPr>
        <w:t>Mundiete/Belgische Staat</w:t>
      </w:r>
    </w:p>
    <w:p w14:paraId="0C0FE578" w14:textId="77777777" w:rsidR="00754AB6" w:rsidRPr="00A33930" w:rsidRDefault="00754AB6" w:rsidP="00754AB6">
      <w:pPr>
        <w:spacing w:before="120" w:after="120" w:line="360" w:lineRule="auto"/>
        <w:jc w:val="both"/>
        <w:rPr>
          <w:rFonts w:eastAsia="Verdana" w:cs="Verdana"/>
          <w:szCs w:val="18"/>
          <w:lang w:val="nl-NL"/>
        </w:rPr>
      </w:pPr>
      <w:r w:rsidRPr="00A33930">
        <w:rPr>
          <w:rFonts w:eastAsia="Verdana" w:cs="Verdana"/>
          <w:szCs w:val="18"/>
          <w:lang w:val="nl-NL"/>
        </w:rPr>
        <w:t xml:space="preserve">Brugge 13 januari 1969, </w:t>
      </w:r>
      <w:r w:rsidRPr="00A33930">
        <w:rPr>
          <w:rFonts w:eastAsia="Verdana" w:cs="Verdana"/>
          <w:i/>
          <w:iCs/>
          <w:szCs w:val="18"/>
          <w:lang w:val="nl-NL"/>
        </w:rPr>
        <w:t>RW</w:t>
      </w:r>
      <w:r w:rsidRPr="00A33930">
        <w:rPr>
          <w:rFonts w:eastAsia="Verdana" w:cs="Verdana"/>
          <w:szCs w:val="18"/>
          <w:lang w:val="nl-NL"/>
        </w:rPr>
        <w:t xml:space="preserve"> 1968-1969.</w:t>
      </w:r>
    </w:p>
    <w:p w14:paraId="1595035D" w14:textId="77777777" w:rsidR="00754AB6" w:rsidRPr="00A33930" w:rsidRDefault="00754AB6" w:rsidP="00754AB6">
      <w:pPr>
        <w:spacing w:before="120" w:after="120" w:line="360" w:lineRule="auto"/>
        <w:jc w:val="both"/>
        <w:rPr>
          <w:rFonts w:eastAsia="Verdana" w:cs="Verdana"/>
          <w:szCs w:val="18"/>
          <w:lang w:val="nl-NL"/>
        </w:rPr>
      </w:pPr>
      <w:r w:rsidRPr="00A33930">
        <w:rPr>
          <w:rFonts w:eastAsia="Verdana" w:cs="Verdana"/>
          <w:szCs w:val="18"/>
          <w:lang w:val="nl-NL"/>
        </w:rPr>
        <w:t>Luik (16</w:t>
      </w:r>
      <w:r w:rsidRPr="00A33930">
        <w:rPr>
          <w:rFonts w:eastAsia="Verdana" w:cs="Verdana"/>
          <w:szCs w:val="18"/>
          <w:vertAlign w:val="superscript"/>
          <w:lang w:val="nl-NL"/>
        </w:rPr>
        <w:t>e</w:t>
      </w:r>
      <w:r w:rsidRPr="00A33930">
        <w:rPr>
          <w:rFonts w:eastAsia="Verdana" w:cs="Verdana"/>
          <w:szCs w:val="18"/>
          <w:lang w:val="nl-NL"/>
        </w:rPr>
        <w:t xml:space="preserve"> k.) 28 april 2000, </w:t>
      </w:r>
      <w:r w:rsidRPr="00A33930">
        <w:rPr>
          <w:rFonts w:eastAsia="Verdana" w:cs="Verdana"/>
          <w:i/>
          <w:iCs/>
          <w:szCs w:val="18"/>
          <w:lang w:val="nl-NL"/>
        </w:rPr>
        <w:t xml:space="preserve">JLMB </w:t>
      </w:r>
      <w:r w:rsidRPr="00A33930">
        <w:rPr>
          <w:rFonts w:eastAsia="Verdana" w:cs="Verdana"/>
          <w:szCs w:val="18"/>
          <w:lang w:val="nl-NL"/>
        </w:rPr>
        <w:t>2000, 1085.</w:t>
      </w:r>
    </w:p>
    <w:p w14:paraId="16CB7724" w14:textId="51BBD9F6" w:rsidR="00F41039" w:rsidRPr="00A33930" w:rsidRDefault="00754AB6" w:rsidP="00754AB6">
      <w:pPr>
        <w:spacing w:before="120" w:after="120" w:line="360" w:lineRule="auto"/>
        <w:jc w:val="both"/>
        <w:rPr>
          <w:rFonts w:eastAsia="Verdana" w:cs="Verdana"/>
          <w:szCs w:val="18"/>
          <w:lang w:val="nl-NL"/>
        </w:rPr>
      </w:pPr>
      <w:r w:rsidRPr="00A33930">
        <w:rPr>
          <w:rFonts w:eastAsia="Verdana" w:cs="Verdana"/>
          <w:szCs w:val="18"/>
          <w:lang w:val="nl-NL"/>
        </w:rPr>
        <w:t xml:space="preserve">Aarlen 21 oktober 2003, </w:t>
      </w:r>
      <w:r w:rsidRPr="00A33930">
        <w:rPr>
          <w:rFonts w:eastAsia="Verdana" w:cs="Verdana"/>
          <w:i/>
          <w:iCs/>
          <w:szCs w:val="18"/>
          <w:lang w:val="nl-NL"/>
        </w:rPr>
        <w:t>JLMB</w:t>
      </w:r>
      <w:r w:rsidRPr="00A33930">
        <w:rPr>
          <w:rFonts w:eastAsia="Verdana" w:cs="Verdana"/>
          <w:szCs w:val="18"/>
          <w:lang w:val="nl-NL"/>
        </w:rPr>
        <w:t xml:space="preserve"> 2005/11, 478-479.</w:t>
      </w:r>
    </w:p>
    <w:p w14:paraId="488A2B1E" w14:textId="77777777" w:rsidR="00754AB6" w:rsidRPr="00A33930" w:rsidRDefault="00754AB6" w:rsidP="00754AB6">
      <w:pPr>
        <w:spacing w:before="120" w:after="120" w:line="360" w:lineRule="auto"/>
        <w:jc w:val="both"/>
        <w:rPr>
          <w:rFonts w:eastAsia="Verdana" w:cs="Verdana"/>
          <w:b/>
          <w:bCs/>
          <w:szCs w:val="18"/>
          <w:lang w:val="nl-NL"/>
        </w:rPr>
      </w:pPr>
      <w:r w:rsidRPr="00A33930">
        <w:rPr>
          <w:rFonts w:eastAsia="Verdana" w:cs="Verdana"/>
          <w:szCs w:val="18"/>
          <w:lang w:val="nl-NL"/>
        </w:rPr>
        <w:t>Gent (15</w:t>
      </w:r>
      <w:r w:rsidRPr="00A33930">
        <w:rPr>
          <w:rFonts w:eastAsia="Verdana" w:cs="Verdana"/>
          <w:szCs w:val="18"/>
          <w:vertAlign w:val="superscript"/>
          <w:lang w:val="nl-NL"/>
        </w:rPr>
        <w:t>e</w:t>
      </w:r>
      <w:r w:rsidRPr="00A33930">
        <w:rPr>
          <w:rFonts w:eastAsia="Verdana" w:cs="Verdana"/>
          <w:szCs w:val="18"/>
          <w:lang w:val="nl-NL"/>
        </w:rPr>
        <w:t xml:space="preserve"> k.) 7 februari 2005, nr. 2004/JR/80, </w:t>
      </w:r>
      <w:r w:rsidRPr="00A33930">
        <w:rPr>
          <w:rFonts w:eastAsia="Verdana" w:cs="Verdana"/>
          <w:i/>
          <w:szCs w:val="18"/>
          <w:lang w:val="nl-NL"/>
        </w:rPr>
        <w:t>NJW</w:t>
      </w:r>
      <w:r w:rsidRPr="00A33930">
        <w:rPr>
          <w:rFonts w:eastAsia="Verdana" w:cs="Verdana"/>
          <w:szCs w:val="18"/>
          <w:lang w:val="nl-NL"/>
        </w:rPr>
        <w:t xml:space="preserve"> 2006, afl. 134, 36, noot VERSCHELDEN, G.</w:t>
      </w:r>
    </w:p>
    <w:p w14:paraId="77A4FFE7" w14:textId="77777777" w:rsidR="00754AB6" w:rsidRPr="00A33930" w:rsidRDefault="00754AB6" w:rsidP="00754AB6">
      <w:pPr>
        <w:spacing w:before="120" w:after="120" w:line="360" w:lineRule="auto"/>
        <w:jc w:val="both"/>
        <w:rPr>
          <w:rFonts w:eastAsia="Verdana" w:cs="Verdana"/>
          <w:b/>
          <w:bCs/>
          <w:iCs/>
          <w:szCs w:val="18"/>
          <w:lang w:val="nl-NL"/>
        </w:rPr>
      </w:pPr>
      <w:r w:rsidRPr="00A33930">
        <w:rPr>
          <w:rFonts w:eastAsia="Verdana" w:cs="Verdana"/>
          <w:szCs w:val="18"/>
          <w:lang w:val="nl-NL"/>
        </w:rPr>
        <w:t>Gent (5</w:t>
      </w:r>
      <w:r w:rsidRPr="00A33930">
        <w:rPr>
          <w:rFonts w:eastAsia="Verdana" w:cs="Verdana"/>
          <w:szCs w:val="18"/>
          <w:vertAlign w:val="superscript"/>
          <w:lang w:val="nl-NL"/>
        </w:rPr>
        <w:t>e</w:t>
      </w:r>
      <w:r w:rsidRPr="00A33930">
        <w:rPr>
          <w:rFonts w:eastAsia="Verdana" w:cs="Verdana"/>
          <w:szCs w:val="18"/>
          <w:lang w:val="nl-NL"/>
        </w:rPr>
        <w:t xml:space="preserve"> k.) 7 februari 2005, nr. 2004/JR/33 en 2004/JR/111,</w:t>
      </w:r>
      <w:r w:rsidRPr="00A33930">
        <w:rPr>
          <w:rFonts w:eastAsia="Verdana" w:cs="Verdana"/>
          <w:i/>
          <w:iCs/>
          <w:szCs w:val="18"/>
          <w:lang w:val="nl-NL"/>
        </w:rPr>
        <w:t xml:space="preserve"> NJW</w:t>
      </w:r>
      <w:r w:rsidRPr="00A33930">
        <w:rPr>
          <w:rFonts w:eastAsia="Verdana" w:cs="Verdana"/>
          <w:szCs w:val="18"/>
          <w:lang w:val="nl-NL"/>
        </w:rPr>
        <w:t xml:space="preserve"> 2006, afl. 136, 125.</w:t>
      </w:r>
    </w:p>
    <w:p w14:paraId="0FFA313D" w14:textId="77777777" w:rsidR="00754AB6" w:rsidRPr="00A33930" w:rsidRDefault="00754AB6" w:rsidP="00754AB6">
      <w:pPr>
        <w:spacing w:before="120" w:after="120" w:line="360" w:lineRule="auto"/>
        <w:jc w:val="both"/>
        <w:rPr>
          <w:rFonts w:eastAsia="Verdana" w:cs="Verdana"/>
          <w:iCs/>
          <w:szCs w:val="18"/>
          <w:lang w:val="nl-NL"/>
        </w:rPr>
      </w:pPr>
      <w:r w:rsidRPr="00A33930">
        <w:rPr>
          <w:rFonts w:eastAsia="Verdana" w:cs="Verdana"/>
          <w:szCs w:val="18"/>
          <w:lang w:val="nl-NL"/>
        </w:rPr>
        <w:t xml:space="preserve">Brussel (19e k.) 18 februari 2005, </w:t>
      </w:r>
      <w:r w:rsidRPr="00A33930">
        <w:rPr>
          <w:rFonts w:eastAsia="Verdana" w:cs="Verdana"/>
          <w:i/>
          <w:szCs w:val="18"/>
          <w:lang w:val="nl-NL"/>
        </w:rPr>
        <w:t>EJ</w:t>
      </w:r>
      <w:r w:rsidRPr="00A33930">
        <w:rPr>
          <w:rFonts w:eastAsia="Verdana" w:cs="Verdana"/>
          <w:szCs w:val="18"/>
          <w:lang w:val="nl-NL"/>
        </w:rPr>
        <w:t xml:space="preserve"> 2005, afl. 3, 43.</w:t>
      </w:r>
    </w:p>
    <w:p w14:paraId="0C3FAF6E" w14:textId="77777777" w:rsidR="00754AB6" w:rsidRPr="00A33930" w:rsidRDefault="00754AB6" w:rsidP="00754AB6">
      <w:pPr>
        <w:spacing w:before="120" w:after="120" w:line="360" w:lineRule="auto"/>
        <w:jc w:val="both"/>
        <w:rPr>
          <w:rFonts w:eastAsia="Verdana" w:cs="Verdana"/>
          <w:szCs w:val="18"/>
          <w:lang w:val="nl-NL"/>
        </w:rPr>
      </w:pPr>
      <w:r w:rsidRPr="00A33930">
        <w:rPr>
          <w:rFonts w:eastAsia="Verdana" w:cs="Verdana"/>
          <w:szCs w:val="18"/>
          <w:lang w:val="nl-NL"/>
        </w:rPr>
        <w:t xml:space="preserve">Vred. Kortrijk 3 oktober 2006, </w:t>
      </w:r>
      <w:r w:rsidRPr="00A33930">
        <w:rPr>
          <w:rFonts w:eastAsia="Verdana" w:cs="Verdana"/>
          <w:i/>
          <w:szCs w:val="18"/>
          <w:lang w:val="nl-NL"/>
        </w:rPr>
        <w:t>RW</w:t>
      </w:r>
      <w:r w:rsidRPr="00A33930">
        <w:rPr>
          <w:rFonts w:eastAsia="Verdana" w:cs="Verdana"/>
          <w:szCs w:val="18"/>
          <w:lang w:val="nl-NL"/>
        </w:rPr>
        <w:t xml:space="preserve"> 2007-08, afl. 12, 497.</w:t>
      </w:r>
    </w:p>
    <w:p w14:paraId="0239C045" w14:textId="77777777" w:rsidR="00754AB6" w:rsidRPr="00A33930" w:rsidRDefault="00754AB6" w:rsidP="00754AB6">
      <w:pPr>
        <w:spacing w:before="120" w:after="120" w:line="360" w:lineRule="auto"/>
        <w:jc w:val="both"/>
        <w:rPr>
          <w:rFonts w:eastAsia="Verdana" w:cs="Verdana"/>
          <w:szCs w:val="18"/>
          <w:lang w:val="nl-NL"/>
        </w:rPr>
      </w:pPr>
      <w:r w:rsidRPr="00A33930">
        <w:rPr>
          <w:rFonts w:eastAsia="Verdana" w:cs="Verdana"/>
          <w:szCs w:val="18"/>
          <w:lang w:val="nl-NL"/>
        </w:rPr>
        <w:t xml:space="preserve">Gent 20 juni 2006, </w:t>
      </w:r>
      <w:r w:rsidRPr="00A33930">
        <w:rPr>
          <w:rFonts w:eastAsia="Verdana" w:cs="Verdana"/>
          <w:i/>
          <w:iCs/>
          <w:szCs w:val="18"/>
          <w:lang w:val="nl-NL"/>
        </w:rPr>
        <w:t>TJK</w:t>
      </w:r>
      <w:r w:rsidRPr="00A33930">
        <w:rPr>
          <w:rFonts w:eastAsia="Verdana" w:cs="Verdana"/>
          <w:szCs w:val="18"/>
          <w:lang w:val="nl-NL"/>
        </w:rPr>
        <w:t xml:space="preserve"> 2007, afl. 1, 35, noot PAS, H.</w:t>
      </w:r>
    </w:p>
    <w:p w14:paraId="7C91B81B" w14:textId="77777777" w:rsidR="00754AB6" w:rsidRPr="00A33930" w:rsidRDefault="00754AB6" w:rsidP="00754AB6">
      <w:pPr>
        <w:spacing w:before="120" w:after="120" w:line="360" w:lineRule="auto"/>
        <w:jc w:val="both"/>
        <w:rPr>
          <w:rFonts w:eastAsia="Verdana" w:cs="Verdana"/>
          <w:szCs w:val="18"/>
          <w:lang w:val="nl-NL"/>
        </w:rPr>
      </w:pPr>
      <w:r w:rsidRPr="00A33930">
        <w:rPr>
          <w:rFonts w:eastAsia="Verdana" w:cs="Verdana"/>
          <w:szCs w:val="18"/>
          <w:lang w:val="nl-NL"/>
        </w:rPr>
        <w:t xml:space="preserve">Brussel 13 juli 2006, </w:t>
      </w:r>
      <w:r w:rsidRPr="00A33930">
        <w:rPr>
          <w:rFonts w:eastAsia="Verdana" w:cs="Verdana"/>
          <w:i/>
          <w:iCs/>
          <w:szCs w:val="18"/>
          <w:lang w:val="nl-NL"/>
        </w:rPr>
        <w:t xml:space="preserve">JLMB </w:t>
      </w:r>
      <w:r w:rsidRPr="00A33930">
        <w:rPr>
          <w:rFonts w:eastAsia="Verdana" w:cs="Verdana"/>
          <w:szCs w:val="18"/>
          <w:lang w:val="nl-NL"/>
        </w:rPr>
        <w:t>2007, afl. 2, 63.</w:t>
      </w:r>
    </w:p>
    <w:p w14:paraId="7D50E7FB" w14:textId="77777777" w:rsidR="00754AB6" w:rsidRPr="00A33930" w:rsidRDefault="00754AB6" w:rsidP="00754AB6">
      <w:pPr>
        <w:spacing w:before="120" w:after="120" w:line="360" w:lineRule="auto"/>
        <w:jc w:val="both"/>
        <w:rPr>
          <w:rFonts w:eastAsia="Verdana" w:cs="Verdana"/>
          <w:iCs/>
          <w:szCs w:val="18"/>
          <w:lang w:val="nl-NL"/>
        </w:rPr>
      </w:pPr>
      <w:r w:rsidRPr="00A33930">
        <w:rPr>
          <w:rFonts w:eastAsia="Verdana" w:cs="Verdana"/>
          <w:iCs/>
          <w:szCs w:val="18"/>
          <w:lang w:val="nl-NL"/>
        </w:rPr>
        <w:t xml:space="preserve">Dinant 18 augustus 2008, </w:t>
      </w:r>
      <w:r w:rsidRPr="00A33930">
        <w:rPr>
          <w:rFonts w:eastAsia="Verdana" w:cs="Verdana"/>
          <w:i/>
          <w:iCs/>
          <w:szCs w:val="18"/>
          <w:lang w:val="nl-NL"/>
        </w:rPr>
        <w:t>Act.dr.fam.</w:t>
      </w:r>
      <w:r w:rsidRPr="00A33930">
        <w:rPr>
          <w:rFonts w:eastAsia="Verdana" w:cs="Verdana"/>
          <w:iCs/>
          <w:szCs w:val="18"/>
          <w:lang w:val="nl-NL"/>
        </w:rPr>
        <w:t xml:space="preserve"> 2009, afl. 5, 97</w:t>
      </w:r>
    </w:p>
    <w:p w14:paraId="23E088FD" w14:textId="77777777" w:rsidR="00754AB6" w:rsidRPr="00A33930" w:rsidRDefault="00754AB6" w:rsidP="00754AB6">
      <w:pPr>
        <w:spacing w:before="120" w:after="120" w:line="360" w:lineRule="auto"/>
        <w:jc w:val="both"/>
        <w:rPr>
          <w:rFonts w:eastAsia="Verdana" w:cs="Verdana"/>
          <w:szCs w:val="18"/>
          <w:lang w:val="nl-NL"/>
        </w:rPr>
      </w:pPr>
      <w:r w:rsidRPr="00A33930">
        <w:rPr>
          <w:rFonts w:eastAsia="Verdana" w:cs="Verdana"/>
          <w:szCs w:val="18"/>
          <w:lang w:val="nl-NL"/>
        </w:rPr>
        <w:t xml:space="preserve">Antwerpen 1 maart 2010, </w:t>
      </w:r>
      <w:r w:rsidRPr="00A33930">
        <w:rPr>
          <w:rFonts w:eastAsia="Verdana" w:cs="Verdana"/>
          <w:i/>
          <w:szCs w:val="18"/>
          <w:lang w:val="nl-NL"/>
        </w:rPr>
        <w:t>T.Fam.</w:t>
      </w:r>
      <w:r w:rsidRPr="00A33930">
        <w:rPr>
          <w:rFonts w:eastAsia="Verdana" w:cs="Verdana"/>
          <w:szCs w:val="18"/>
          <w:lang w:val="nl-NL"/>
        </w:rPr>
        <w:t xml:space="preserve"> 2010, afl. 9, 195.</w:t>
      </w:r>
    </w:p>
    <w:p w14:paraId="77F40EAD" w14:textId="55E5FE02" w:rsidR="00754AB6" w:rsidRPr="00A33930" w:rsidRDefault="00754AB6" w:rsidP="00754AB6">
      <w:pPr>
        <w:spacing w:before="120" w:after="120" w:line="360" w:lineRule="auto"/>
        <w:jc w:val="both"/>
        <w:rPr>
          <w:rFonts w:eastAsia="Verdana" w:cs="Verdana"/>
          <w:szCs w:val="18"/>
          <w:lang w:val="nl-NL"/>
        </w:rPr>
      </w:pPr>
      <w:r w:rsidRPr="00A33930">
        <w:rPr>
          <w:rFonts w:eastAsia="Verdana" w:cs="Verdana"/>
          <w:szCs w:val="18"/>
          <w:lang w:val="nl-NL"/>
        </w:rPr>
        <w:t xml:space="preserve">Gent 19 december 2013, </w:t>
      </w:r>
      <w:r w:rsidRPr="00A33930">
        <w:rPr>
          <w:rFonts w:eastAsia="Verdana" w:cs="Verdana"/>
          <w:i/>
          <w:iCs/>
          <w:szCs w:val="18"/>
          <w:lang w:val="nl-NL"/>
        </w:rPr>
        <w:t>T.Fam.</w:t>
      </w:r>
      <w:r w:rsidRPr="00A33930">
        <w:rPr>
          <w:rFonts w:eastAsia="Verdana" w:cs="Verdana"/>
          <w:szCs w:val="18"/>
          <w:lang w:val="nl-NL"/>
        </w:rPr>
        <w:t xml:space="preserve"> 2015, 115, noot </w:t>
      </w:r>
      <w:r w:rsidR="00207260" w:rsidRPr="00A33930">
        <w:rPr>
          <w:rFonts w:eastAsia="Verdana" w:cs="Verdana"/>
          <w:szCs w:val="18"/>
          <w:lang w:val="nl-NL"/>
        </w:rPr>
        <w:t>V</w:t>
      </w:r>
      <w:r w:rsidRPr="00A33930">
        <w:rPr>
          <w:rFonts w:eastAsia="Verdana" w:cs="Verdana"/>
          <w:szCs w:val="18"/>
          <w:lang w:val="nl-NL"/>
        </w:rPr>
        <w:t>AN THIENEN</w:t>
      </w:r>
      <w:r w:rsidR="00207260" w:rsidRPr="00A33930">
        <w:rPr>
          <w:rFonts w:eastAsia="Verdana" w:cs="Verdana"/>
          <w:szCs w:val="18"/>
          <w:lang w:val="nl-NL"/>
        </w:rPr>
        <w:t>, A</w:t>
      </w:r>
      <w:r w:rsidRPr="00A33930">
        <w:rPr>
          <w:rFonts w:eastAsia="Verdana" w:cs="Verdana"/>
          <w:szCs w:val="18"/>
          <w:lang w:val="nl-NL"/>
        </w:rPr>
        <w:t>.</w:t>
      </w:r>
    </w:p>
    <w:p w14:paraId="68E3E899" w14:textId="77777777" w:rsidR="00754AB6" w:rsidRPr="00A33930" w:rsidRDefault="00754AB6" w:rsidP="00754AB6">
      <w:pPr>
        <w:spacing w:before="120" w:after="120" w:line="360" w:lineRule="auto"/>
        <w:jc w:val="both"/>
        <w:rPr>
          <w:rFonts w:eastAsia="Verdana" w:cs="Verdana"/>
          <w:szCs w:val="18"/>
          <w:lang w:val="nl-NL"/>
        </w:rPr>
      </w:pPr>
      <w:r w:rsidRPr="00A33930">
        <w:rPr>
          <w:rFonts w:eastAsia="Verdana" w:cs="Verdana"/>
          <w:szCs w:val="18"/>
          <w:lang w:val="nl-NL"/>
        </w:rPr>
        <w:lastRenderedPageBreak/>
        <w:t>Brussel (41</w:t>
      </w:r>
      <w:r w:rsidRPr="00A33930">
        <w:rPr>
          <w:rFonts w:eastAsia="Verdana" w:cs="Verdana"/>
          <w:szCs w:val="18"/>
          <w:vertAlign w:val="superscript"/>
          <w:lang w:val="nl-NL"/>
        </w:rPr>
        <w:t>e</w:t>
      </w:r>
      <w:r w:rsidRPr="00A33930">
        <w:rPr>
          <w:rFonts w:eastAsia="Verdana" w:cs="Verdana"/>
          <w:szCs w:val="18"/>
          <w:lang w:val="nl-NL"/>
        </w:rPr>
        <w:t xml:space="preserve"> k.) 2 december 2014, </w:t>
      </w:r>
      <w:r w:rsidRPr="00A33930">
        <w:rPr>
          <w:rFonts w:eastAsia="Verdana" w:cs="Verdana"/>
          <w:i/>
          <w:iCs/>
          <w:szCs w:val="18"/>
          <w:lang w:val="nl-NL"/>
        </w:rPr>
        <w:t>RTDF</w:t>
      </w:r>
      <w:r w:rsidRPr="00A33930">
        <w:rPr>
          <w:rFonts w:eastAsia="Verdana" w:cs="Verdana"/>
          <w:szCs w:val="18"/>
          <w:lang w:val="nl-NL"/>
        </w:rPr>
        <w:t xml:space="preserve"> 2016, afl. 2, 403.</w:t>
      </w:r>
    </w:p>
    <w:p w14:paraId="0A5F2933" w14:textId="77777777" w:rsidR="00754AB6" w:rsidRPr="00A33930" w:rsidRDefault="00754AB6" w:rsidP="00754AB6">
      <w:pPr>
        <w:spacing w:before="120" w:after="120" w:line="360" w:lineRule="auto"/>
        <w:jc w:val="both"/>
        <w:rPr>
          <w:rFonts w:eastAsia="Verdana" w:cs="Verdana"/>
          <w:szCs w:val="18"/>
          <w:lang w:val="nl-NL"/>
        </w:rPr>
      </w:pPr>
      <w:r w:rsidRPr="00A33930">
        <w:rPr>
          <w:rFonts w:eastAsia="Verdana" w:cs="Verdana"/>
          <w:szCs w:val="18"/>
          <w:lang w:val="nl-NL"/>
        </w:rPr>
        <w:t>Brussel (41</w:t>
      </w:r>
      <w:r w:rsidRPr="00A33930">
        <w:rPr>
          <w:rFonts w:eastAsia="Verdana" w:cs="Verdana"/>
          <w:szCs w:val="18"/>
          <w:vertAlign w:val="superscript"/>
          <w:lang w:val="nl-NL"/>
        </w:rPr>
        <w:t>e</w:t>
      </w:r>
      <w:r w:rsidRPr="00A33930">
        <w:rPr>
          <w:rFonts w:eastAsia="Verdana" w:cs="Verdana"/>
          <w:szCs w:val="18"/>
          <w:lang w:val="nl-NL"/>
        </w:rPr>
        <w:t xml:space="preserve"> k.) 26 januari 2016, </w:t>
      </w:r>
      <w:r w:rsidRPr="00A33930">
        <w:rPr>
          <w:rFonts w:eastAsia="Verdana" w:cs="Verdana"/>
          <w:i/>
          <w:iCs/>
          <w:szCs w:val="18"/>
          <w:lang w:val="nl-NL"/>
        </w:rPr>
        <w:t>Act.dr.fam.</w:t>
      </w:r>
      <w:r w:rsidRPr="00A33930">
        <w:rPr>
          <w:rFonts w:eastAsia="Verdana" w:cs="Verdana"/>
          <w:szCs w:val="18"/>
          <w:lang w:val="nl-NL"/>
        </w:rPr>
        <w:t xml:space="preserve"> 2017, afl. 1-2, 46.</w:t>
      </w:r>
    </w:p>
    <w:p w14:paraId="7FBC476A" w14:textId="77777777" w:rsidR="00754AB6" w:rsidRPr="00A33930" w:rsidRDefault="00754AB6" w:rsidP="00754AB6">
      <w:pPr>
        <w:spacing w:before="120" w:after="120" w:line="360" w:lineRule="auto"/>
        <w:jc w:val="both"/>
        <w:rPr>
          <w:rFonts w:eastAsia="Verdana" w:cs="Verdana"/>
          <w:szCs w:val="18"/>
          <w:lang w:val="nl-NL"/>
        </w:rPr>
      </w:pPr>
      <w:r w:rsidRPr="00A33930">
        <w:rPr>
          <w:rFonts w:eastAsia="Verdana" w:cs="Verdana"/>
          <w:szCs w:val="18"/>
          <w:lang w:val="nl-NL"/>
        </w:rPr>
        <w:t>Brussel (41</w:t>
      </w:r>
      <w:r w:rsidRPr="00A33930">
        <w:rPr>
          <w:rFonts w:eastAsia="Verdana" w:cs="Verdana"/>
          <w:szCs w:val="18"/>
          <w:vertAlign w:val="superscript"/>
          <w:lang w:val="nl-NL"/>
        </w:rPr>
        <w:t>e</w:t>
      </w:r>
      <w:r w:rsidRPr="00A33930">
        <w:rPr>
          <w:rFonts w:eastAsia="Verdana" w:cs="Verdana"/>
          <w:szCs w:val="18"/>
          <w:lang w:val="nl-NL"/>
        </w:rPr>
        <w:t xml:space="preserve"> k.) 29 november 2016, </w:t>
      </w:r>
      <w:r w:rsidRPr="00A33930">
        <w:rPr>
          <w:rFonts w:eastAsia="Verdana" w:cs="Verdana"/>
          <w:i/>
          <w:iCs/>
          <w:szCs w:val="18"/>
          <w:lang w:val="nl-NL"/>
        </w:rPr>
        <w:t>Act.dr.fam.</w:t>
      </w:r>
      <w:r w:rsidRPr="00A33930">
        <w:rPr>
          <w:rFonts w:eastAsia="Verdana" w:cs="Verdana"/>
          <w:szCs w:val="18"/>
          <w:lang w:val="nl-NL"/>
        </w:rPr>
        <w:t xml:space="preserve"> 2017, afl. 1-2, 56</w:t>
      </w:r>
    </w:p>
    <w:p w14:paraId="750CAF0E" w14:textId="77777777" w:rsidR="00754AB6" w:rsidRPr="00A33930" w:rsidRDefault="00754AB6" w:rsidP="00754AB6">
      <w:pPr>
        <w:spacing w:before="120" w:after="120" w:line="360" w:lineRule="auto"/>
        <w:jc w:val="both"/>
        <w:rPr>
          <w:rFonts w:eastAsia="Verdana" w:cs="Verdana"/>
          <w:iCs/>
          <w:szCs w:val="18"/>
          <w:lang w:val="nl-NL"/>
        </w:rPr>
      </w:pPr>
      <w:r w:rsidRPr="00A33930">
        <w:rPr>
          <w:rFonts w:eastAsia="Verdana" w:cs="Verdana"/>
          <w:szCs w:val="18"/>
          <w:lang w:val="nl-NL"/>
        </w:rPr>
        <w:t xml:space="preserve">Bergen (33e k.) 13 maart 2019, </w:t>
      </w:r>
      <w:r w:rsidRPr="00A33930">
        <w:rPr>
          <w:rFonts w:eastAsia="Verdana" w:cs="Verdana"/>
          <w:i/>
          <w:szCs w:val="18"/>
          <w:lang w:val="nl-NL"/>
        </w:rPr>
        <w:t>Act.dr.fam.</w:t>
      </w:r>
      <w:r w:rsidRPr="00A33930">
        <w:rPr>
          <w:rFonts w:eastAsia="Verdana" w:cs="Verdana"/>
          <w:szCs w:val="18"/>
          <w:lang w:val="nl-NL"/>
        </w:rPr>
        <w:t xml:space="preserve"> 2021, afl. 2, 69.</w:t>
      </w:r>
    </w:p>
    <w:p w14:paraId="02A4AE8A" w14:textId="77777777" w:rsidR="00754AB6" w:rsidRPr="00A33930" w:rsidRDefault="00754AB6" w:rsidP="00754AB6">
      <w:pPr>
        <w:spacing w:before="120" w:after="120" w:line="360" w:lineRule="auto"/>
        <w:jc w:val="both"/>
        <w:rPr>
          <w:rFonts w:eastAsia="Verdana" w:cs="Verdana"/>
          <w:szCs w:val="18"/>
          <w:lang w:val="nl-NL"/>
        </w:rPr>
      </w:pPr>
      <w:r w:rsidRPr="00A33930">
        <w:rPr>
          <w:rFonts w:eastAsia="Verdana" w:cs="Verdana"/>
          <w:szCs w:val="18"/>
          <w:lang w:val="nl-NL"/>
        </w:rPr>
        <w:t xml:space="preserve">Leuven 2 oktober 2019, </w:t>
      </w:r>
      <w:r w:rsidRPr="00A33930">
        <w:rPr>
          <w:rFonts w:eastAsia="Verdana" w:cs="Verdana"/>
          <w:i/>
          <w:szCs w:val="18"/>
          <w:lang w:val="nl-NL"/>
        </w:rPr>
        <w:t>RW</w:t>
      </w:r>
      <w:r w:rsidRPr="00A33930">
        <w:rPr>
          <w:rFonts w:eastAsia="Verdana" w:cs="Verdana"/>
          <w:szCs w:val="18"/>
          <w:lang w:val="nl-NL"/>
        </w:rPr>
        <w:t xml:space="preserve"> 2020-21, afl. 21, 830.</w:t>
      </w:r>
    </w:p>
    <w:p w14:paraId="02C8A0C1" w14:textId="4BF71218" w:rsidR="00754AB6" w:rsidRPr="00A33930" w:rsidRDefault="00754AB6" w:rsidP="00754AB6">
      <w:pPr>
        <w:spacing w:before="120" w:after="120" w:line="360" w:lineRule="auto"/>
        <w:jc w:val="both"/>
        <w:rPr>
          <w:rFonts w:eastAsia="Verdana" w:cs="Verdana"/>
          <w:szCs w:val="18"/>
          <w:lang w:val="nl-NL"/>
        </w:rPr>
      </w:pPr>
      <w:r w:rsidRPr="00A33930">
        <w:rPr>
          <w:rFonts w:eastAsia="Verdana" w:cs="Verdana"/>
          <w:szCs w:val="18"/>
          <w:lang w:val="nl-NL"/>
        </w:rPr>
        <w:t xml:space="preserve">Namen 16 september 2020, </w:t>
      </w:r>
      <w:r w:rsidRPr="00A33930">
        <w:rPr>
          <w:rFonts w:eastAsia="Verdana" w:cs="Verdana"/>
          <w:i/>
          <w:iCs/>
          <w:szCs w:val="18"/>
          <w:lang w:val="nl-NL"/>
        </w:rPr>
        <w:t>Act.dr.fam.</w:t>
      </w:r>
      <w:r w:rsidRPr="00A33930">
        <w:rPr>
          <w:rFonts w:eastAsia="Verdana" w:cs="Verdana"/>
          <w:szCs w:val="18"/>
          <w:lang w:val="nl-NL"/>
        </w:rPr>
        <w:t xml:space="preserve"> 2020, afl. 8-9, 213, noot MASSANGER</w:t>
      </w:r>
      <w:r w:rsidR="00207260" w:rsidRPr="00A33930">
        <w:rPr>
          <w:rFonts w:eastAsia="Verdana" w:cs="Verdana"/>
          <w:szCs w:val="18"/>
          <w:lang w:val="nl-NL"/>
        </w:rPr>
        <w:t>, N</w:t>
      </w:r>
      <w:r w:rsidRPr="00A33930">
        <w:rPr>
          <w:rFonts w:eastAsia="Verdana" w:cs="Verdana"/>
          <w:szCs w:val="18"/>
          <w:lang w:val="nl-NL"/>
        </w:rPr>
        <w:t>.</w:t>
      </w:r>
    </w:p>
    <w:p w14:paraId="049C2F76" w14:textId="74188D54" w:rsidR="007A6A75" w:rsidRPr="00A33930" w:rsidRDefault="007A6A75" w:rsidP="00754AB6">
      <w:pPr>
        <w:spacing w:before="120" w:after="120" w:line="360" w:lineRule="auto"/>
        <w:jc w:val="both"/>
        <w:rPr>
          <w:rFonts w:eastAsia="Verdana" w:cs="Verdana"/>
          <w:szCs w:val="18"/>
          <w:lang w:val="nl-NL"/>
        </w:rPr>
      </w:pPr>
      <w:r w:rsidRPr="00A33930">
        <w:rPr>
          <w:rFonts w:eastAsia="Verdana" w:cs="Verdana"/>
          <w:szCs w:val="18"/>
          <w:lang w:val="nl-NL"/>
        </w:rPr>
        <w:t>Brussel (42</w:t>
      </w:r>
      <w:r w:rsidRPr="00A33930">
        <w:rPr>
          <w:rFonts w:eastAsia="Verdana" w:cs="Verdana"/>
          <w:szCs w:val="18"/>
          <w:vertAlign w:val="superscript"/>
          <w:lang w:val="nl-NL"/>
        </w:rPr>
        <w:t>e</w:t>
      </w:r>
      <w:r w:rsidRPr="00A33930">
        <w:rPr>
          <w:rFonts w:eastAsia="Verdana" w:cs="Verdana"/>
          <w:szCs w:val="18"/>
          <w:lang w:val="nl-NL"/>
        </w:rPr>
        <w:t xml:space="preserve"> k.) 4 januari 2022, </w:t>
      </w:r>
      <w:r w:rsidRPr="00A33930">
        <w:rPr>
          <w:rFonts w:eastAsia="Verdana" w:cs="Verdana"/>
          <w:i/>
          <w:iCs/>
          <w:szCs w:val="18"/>
          <w:lang w:val="nl-NL"/>
        </w:rPr>
        <w:t>T.Fam.</w:t>
      </w:r>
      <w:r w:rsidRPr="00A33930">
        <w:rPr>
          <w:rFonts w:eastAsia="Verdana" w:cs="Verdana"/>
          <w:szCs w:val="18"/>
          <w:lang w:val="nl-NL"/>
        </w:rPr>
        <w:t xml:space="preserve"> 2022, nr. 5-6, 159-162.</w:t>
      </w:r>
    </w:p>
    <w:p w14:paraId="00662479" w14:textId="77777777" w:rsidR="00611390" w:rsidRPr="00A33930" w:rsidRDefault="00611390" w:rsidP="00DA3ECE">
      <w:pPr>
        <w:spacing w:before="120" w:after="120" w:line="360" w:lineRule="auto"/>
        <w:jc w:val="both"/>
        <w:rPr>
          <w:rFonts w:eastAsia="Verdana" w:cs="Verdana"/>
          <w:szCs w:val="18"/>
          <w:lang w:val="nl-NL"/>
        </w:rPr>
      </w:pPr>
    </w:p>
    <w:p w14:paraId="4E1BA16C" w14:textId="28FCEC17" w:rsidR="00DA3ECE" w:rsidRPr="00A33930" w:rsidRDefault="00DA3ECE" w:rsidP="00DA3ECE">
      <w:pPr>
        <w:spacing w:before="120" w:after="120" w:line="360" w:lineRule="auto"/>
        <w:jc w:val="both"/>
        <w:rPr>
          <w:rFonts w:eastAsia="Verdana" w:cs="Verdana"/>
          <w:b/>
          <w:bCs/>
          <w:i/>
          <w:lang w:val="nl-NL"/>
        </w:rPr>
      </w:pPr>
      <w:r w:rsidRPr="00A33930">
        <w:rPr>
          <w:rFonts w:eastAsia="Verdana" w:cs="Verdana"/>
          <w:b/>
          <w:bCs/>
          <w:i/>
          <w:lang w:val="nl-NL"/>
        </w:rPr>
        <w:t>Nederland</w:t>
      </w:r>
      <w:r w:rsidR="008354CD" w:rsidRPr="00A33930">
        <w:rPr>
          <w:rFonts w:eastAsia="Verdana" w:cs="Verdana"/>
          <w:b/>
          <w:bCs/>
          <w:i/>
          <w:lang w:val="nl-NL"/>
        </w:rPr>
        <w:t>:</w:t>
      </w:r>
    </w:p>
    <w:p w14:paraId="26700671" w14:textId="77777777" w:rsidR="00754AB6" w:rsidRPr="00A33930" w:rsidRDefault="00754AB6" w:rsidP="00754AB6">
      <w:pPr>
        <w:spacing w:before="120" w:after="120" w:line="360" w:lineRule="auto"/>
        <w:jc w:val="both"/>
        <w:rPr>
          <w:rFonts w:eastAsia="Verdana" w:cs="Verdana"/>
          <w:iCs/>
          <w:szCs w:val="18"/>
          <w:lang w:val="nl-NL"/>
        </w:rPr>
      </w:pPr>
      <w:r w:rsidRPr="00A33930">
        <w:rPr>
          <w:rFonts w:eastAsia="Verdana" w:cs="Verdana"/>
          <w:iCs/>
          <w:szCs w:val="18"/>
          <w:lang w:val="nl-NL"/>
        </w:rPr>
        <w:t xml:space="preserve">HR 28 augustus 1939, </w:t>
      </w:r>
      <w:r w:rsidRPr="00A33930">
        <w:rPr>
          <w:rFonts w:eastAsia="Verdana" w:cs="Verdana"/>
          <w:i/>
          <w:iCs/>
          <w:szCs w:val="18"/>
          <w:lang w:val="nl-NL"/>
        </w:rPr>
        <w:t xml:space="preserve">NJ </w:t>
      </w:r>
      <w:r w:rsidRPr="00A33930">
        <w:rPr>
          <w:rFonts w:eastAsia="Verdana" w:cs="Verdana"/>
          <w:iCs/>
          <w:szCs w:val="18"/>
          <w:lang w:val="nl-NL"/>
        </w:rPr>
        <w:t>1939, 948, noot SCHOLTEN, P.</w:t>
      </w:r>
    </w:p>
    <w:p w14:paraId="32B3E4AF" w14:textId="77777777" w:rsidR="00754AB6" w:rsidRPr="00A33930" w:rsidRDefault="00754AB6" w:rsidP="00754AB6">
      <w:pPr>
        <w:spacing w:before="120" w:after="120" w:line="360" w:lineRule="auto"/>
        <w:jc w:val="both"/>
        <w:rPr>
          <w:rFonts w:eastAsia="Verdana" w:cs="Verdana"/>
          <w:iCs/>
          <w:szCs w:val="18"/>
          <w:lang w:val="nl-NL"/>
        </w:rPr>
      </w:pPr>
      <w:r w:rsidRPr="00A33930">
        <w:rPr>
          <w:rFonts w:eastAsia="Verdana" w:cs="Verdana"/>
          <w:iCs/>
          <w:szCs w:val="18"/>
          <w:lang w:val="nl-NL"/>
        </w:rPr>
        <w:t>HR 2 mei 1980, ECLI:NL:PHR:1980:AB7478.</w:t>
      </w:r>
    </w:p>
    <w:p w14:paraId="3A58D9ED" w14:textId="77777777" w:rsidR="00754AB6" w:rsidRPr="00A33930" w:rsidRDefault="00754AB6" w:rsidP="00754AB6">
      <w:pPr>
        <w:spacing w:before="120" w:after="120" w:line="360" w:lineRule="auto"/>
        <w:jc w:val="both"/>
        <w:rPr>
          <w:rFonts w:eastAsia="Verdana" w:cs="Verdana"/>
          <w:iCs/>
          <w:szCs w:val="18"/>
          <w:lang w:val="nl-NL"/>
        </w:rPr>
      </w:pPr>
      <w:r w:rsidRPr="00A33930">
        <w:rPr>
          <w:rFonts w:eastAsia="Verdana" w:cs="Verdana"/>
          <w:iCs/>
          <w:szCs w:val="18"/>
          <w:lang w:val="nl-NL"/>
        </w:rPr>
        <w:t>HR 16 april 1982, ECLI:NL:HR:1982:AC7596.</w:t>
      </w:r>
    </w:p>
    <w:p w14:paraId="7DAD3674" w14:textId="77777777" w:rsidR="00754AB6" w:rsidRPr="00A33930" w:rsidRDefault="00754AB6" w:rsidP="00754AB6">
      <w:pPr>
        <w:spacing w:before="120" w:after="120" w:line="360" w:lineRule="auto"/>
        <w:jc w:val="both"/>
        <w:rPr>
          <w:rFonts w:eastAsia="Verdana" w:cs="Verdana"/>
          <w:iCs/>
          <w:szCs w:val="18"/>
          <w:lang w:val="nl-NL"/>
        </w:rPr>
      </w:pPr>
      <w:r w:rsidRPr="00A33930">
        <w:rPr>
          <w:rFonts w:eastAsia="Verdana" w:cs="Verdana"/>
          <w:iCs/>
          <w:szCs w:val="18"/>
          <w:lang w:val="nl-NL"/>
        </w:rPr>
        <w:t>HR 25 juni 1982, ECLI:NL:HR:1982:AG4421.</w:t>
      </w:r>
    </w:p>
    <w:p w14:paraId="790F0CC7" w14:textId="77777777" w:rsidR="00754AB6" w:rsidRPr="00A33930" w:rsidRDefault="00754AB6" w:rsidP="00754AB6">
      <w:pPr>
        <w:spacing w:before="120" w:after="120" w:line="360" w:lineRule="auto"/>
        <w:jc w:val="both"/>
        <w:rPr>
          <w:rFonts w:eastAsia="Verdana" w:cs="Verdana"/>
          <w:iCs/>
          <w:szCs w:val="18"/>
          <w:lang w:val="nl-NL"/>
        </w:rPr>
      </w:pPr>
      <w:r w:rsidRPr="00A33930">
        <w:rPr>
          <w:rFonts w:eastAsia="Verdana" w:cs="Verdana"/>
          <w:iCs/>
          <w:szCs w:val="18"/>
          <w:lang w:val="nl-NL"/>
        </w:rPr>
        <w:t>HR 21 maart 1986, ECLI:NL:HR:1986:AC9280</w:t>
      </w:r>
    </w:p>
    <w:p w14:paraId="516A2C3F" w14:textId="77777777" w:rsidR="00754AB6" w:rsidRPr="00A33930" w:rsidRDefault="00754AB6" w:rsidP="00754AB6">
      <w:pPr>
        <w:spacing w:before="120" w:after="120" w:line="360" w:lineRule="auto"/>
        <w:jc w:val="both"/>
        <w:rPr>
          <w:rFonts w:eastAsia="Verdana" w:cs="Verdana"/>
          <w:iCs/>
          <w:szCs w:val="18"/>
          <w:lang w:val="nl-NL"/>
        </w:rPr>
      </w:pPr>
      <w:r w:rsidRPr="00A33930">
        <w:rPr>
          <w:rFonts w:eastAsia="Verdana" w:cs="Verdana"/>
          <w:iCs/>
          <w:szCs w:val="18"/>
          <w:lang w:val="nl-NL"/>
        </w:rPr>
        <w:t>HR 27 januari 1989, ECLI:NL:HR:1989:AD0612.</w:t>
      </w:r>
    </w:p>
    <w:p w14:paraId="713053C3" w14:textId="77777777" w:rsidR="00754AB6" w:rsidRPr="00A33930" w:rsidRDefault="00754AB6" w:rsidP="00754AB6">
      <w:pPr>
        <w:spacing w:before="120" w:after="120" w:line="360" w:lineRule="auto"/>
        <w:jc w:val="both"/>
        <w:rPr>
          <w:rFonts w:eastAsia="Verdana" w:cs="Verdana"/>
          <w:iCs/>
          <w:szCs w:val="18"/>
          <w:lang w:val="nl-NL"/>
        </w:rPr>
      </w:pPr>
      <w:r w:rsidRPr="00A33930">
        <w:rPr>
          <w:rFonts w:eastAsia="Verdana" w:cs="Verdana"/>
          <w:iCs/>
          <w:szCs w:val="18"/>
          <w:lang w:val="nl-NL"/>
        </w:rPr>
        <w:t>HR 29 september 2000, ECLI:NL:PHR:2000:AA7284.</w:t>
      </w:r>
    </w:p>
    <w:p w14:paraId="660A48BD" w14:textId="77777777" w:rsidR="00754AB6" w:rsidRPr="00A33930" w:rsidRDefault="00754AB6" w:rsidP="00754AB6">
      <w:pPr>
        <w:spacing w:before="120" w:after="120" w:line="360" w:lineRule="auto"/>
        <w:jc w:val="both"/>
        <w:rPr>
          <w:rFonts w:eastAsia="Verdana" w:cs="Verdana"/>
          <w:iCs/>
          <w:szCs w:val="18"/>
          <w:lang w:val="nl-NL"/>
        </w:rPr>
      </w:pPr>
      <w:r w:rsidRPr="00A33930">
        <w:rPr>
          <w:rFonts w:eastAsia="Verdana" w:cs="Verdana"/>
          <w:iCs/>
          <w:szCs w:val="18"/>
          <w:lang w:val="nl-NL"/>
        </w:rPr>
        <w:t>HR 4 februari 2005, ECLI:NL:HR:2005:AR4850.</w:t>
      </w:r>
    </w:p>
    <w:p w14:paraId="33955FE4" w14:textId="77777777" w:rsidR="00754AB6" w:rsidRPr="00A33930" w:rsidRDefault="00754AB6" w:rsidP="00754AB6">
      <w:pPr>
        <w:spacing w:before="120" w:after="120" w:line="360" w:lineRule="auto"/>
        <w:jc w:val="both"/>
        <w:rPr>
          <w:rFonts w:eastAsia="Verdana" w:cs="Verdana"/>
          <w:iCs/>
          <w:szCs w:val="18"/>
          <w:lang w:val="nl-NL"/>
        </w:rPr>
      </w:pPr>
      <w:r w:rsidRPr="00A33930">
        <w:rPr>
          <w:rFonts w:eastAsia="Verdana" w:cs="Verdana"/>
          <w:iCs/>
          <w:szCs w:val="18"/>
          <w:lang w:val="nl-NL"/>
        </w:rPr>
        <w:t>HR 17 januari 2014, ECLI:NL:HR:2014:91, noot WORTMANN, S.F.M.</w:t>
      </w:r>
    </w:p>
    <w:p w14:paraId="048C7085" w14:textId="77777777" w:rsidR="00754AB6" w:rsidRPr="00A33930" w:rsidRDefault="00754AB6" w:rsidP="00754AB6">
      <w:pPr>
        <w:spacing w:before="120" w:after="120" w:line="360" w:lineRule="auto"/>
        <w:jc w:val="both"/>
        <w:rPr>
          <w:rFonts w:eastAsia="Verdana" w:cs="Verdana"/>
          <w:iCs/>
          <w:szCs w:val="18"/>
          <w:lang w:val="nl-NL"/>
        </w:rPr>
      </w:pPr>
      <w:r w:rsidRPr="00A33930">
        <w:rPr>
          <w:rFonts w:eastAsia="Verdana" w:cs="Verdana"/>
          <w:iCs/>
          <w:szCs w:val="18"/>
          <w:lang w:val="nl-NL"/>
        </w:rPr>
        <w:t>HR 28 maart 2014, ECLI:NL:HR:2014:748, noot WORTMANN, S.F.M.</w:t>
      </w:r>
    </w:p>
    <w:p w14:paraId="1AC544C2" w14:textId="77777777" w:rsidR="00754AB6" w:rsidRPr="00A33930" w:rsidRDefault="00754AB6" w:rsidP="00754AB6">
      <w:pPr>
        <w:spacing w:before="120" w:after="120" w:line="360" w:lineRule="auto"/>
        <w:jc w:val="both"/>
        <w:rPr>
          <w:rFonts w:eastAsia="Verdana" w:cs="Verdana"/>
          <w:iCs/>
          <w:szCs w:val="18"/>
          <w:lang w:val="nl-NL"/>
        </w:rPr>
      </w:pPr>
      <w:r w:rsidRPr="00A33930">
        <w:rPr>
          <w:rFonts w:eastAsia="Verdana" w:cs="Verdana"/>
          <w:iCs/>
          <w:szCs w:val="18"/>
          <w:lang w:val="nl-NL"/>
        </w:rPr>
        <w:t>HR 29 mei 2015, ECLI:NL:HR:2015:1409, noot WORTMANN, S.F.M.</w:t>
      </w:r>
    </w:p>
    <w:p w14:paraId="1CEB80EC" w14:textId="77777777" w:rsidR="00754AB6" w:rsidRPr="00A33930" w:rsidRDefault="00754AB6" w:rsidP="00754AB6">
      <w:pPr>
        <w:spacing w:before="120" w:after="120" w:line="360" w:lineRule="auto"/>
        <w:jc w:val="both"/>
        <w:rPr>
          <w:rFonts w:eastAsia="Verdana" w:cs="Verdana"/>
          <w:iCs/>
          <w:szCs w:val="18"/>
          <w:lang w:val="nl-NL"/>
        </w:rPr>
      </w:pPr>
      <w:r w:rsidRPr="00A33930">
        <w:rPr>
          <w:rFonts w:eastAsia="Verdana" w:cs="Verdana"/>
          <w:iCs/>
          <w:szCs w:val="18"/>
          <w:lang w:val="nl-NL"/>
        </w:rPr>
        <w:t>HR 21 februari 2020, ECLI:NL:HR:2020:321.</w:t>
      </w:r>
    </w:p>
    <w:p w14:paraId="11BDAB4A" w14:textId="77777777" w:rsidR="00754AB6" w:rsidRPr="00A33930" w:rsidRDefault="00754AB6" w:rsidP="00754AB6">
      <w:pPr>
        <w:spacing w:before="120" w:after="120" w:line="360" w:lineRule="auto"/>
        <w:jc w:val="both"/>
        <w:rPr>
          <w:rFonts w:eastAsia="Verdana" w:cs="Verdana"/>
          <w:iCs/>
          <w:szCs w:val="18"/>
          <w:lang w:val="nl-NL"/>
        </w:rPr>
      </w:pPr>
      <w:r w:rsidRPr="00A33930">
        <w:rPr>
          <w:rFonts w:eastAsia="Verdana" w:cs="Verdana"/>
          <w:iCs/>
          <w:szCs w:val="18"/>
          <w:lang w:val="nl-NL"/>
        </w:rPr>
        <w:t xml:space="preserve">Hof Amsterdam 19 januari 1995, </w:t>
      </w:r>
      <w:r w:rsidRPr="00A33930">
        <w:rPr>
          <w:rFonts w:eastAsia="Verdana" w:cs="Verdana"/>
          <w:i/>
          <w:iCs/>
          <w:szCs w:val="18"/>
          <w:lang w:val="nl-NL"/>
        </w:rPr>
        <w:t xml:space="preserve">NJCM-bull </w:t>
      </w:r>
      <w:r w:rsidRPr="00A33930">
        <w:rPr>
          <w:rFonts w:eastAsia="Verdana" w:cs="Verdana"/>
          <w:iCs/>
          <w:szCs w:val="18"/>
          <w:lang w:val="nl-NL"/>
        </w:rPr>
        <w:t>1995, 585, noot LOENEN, T.</w:t>
      </w:r>
    </w:p>
    <w:p w14:paraId="3460E949" w14:textId="77777777" w:rsidR="00754AB6" w:rsidRPr="00A33930" w:rsidRDefault="00754AB6" w:rsidP="00754AB6">
      <w:pPr>
        <w:spacing w:before="120" w:after="120" w:line="360" w:lineRule="auto"/>
        <w:jc w:val="both"/>
        <w:rPr>
          <w:rFonts w:eastAsia="Verdana" w:cs="Verdana"/>
          <w:iCs/>
          <w:szCs w:val="18"/>
          <w:lang w:val="nl-NL"/>
        </w:rPr>
      </w:pPr>
      <w:r w:rsidRPr="00A33930">
        <w:rPr>
          <w:rFonts w:eastAsia="Verdana" w:cs="Verdana"/>
          <w:iCs/>
          <w:szCs w:val="18"/>
          <w:lang w:val="nl-NL"/>
        </w:rPr>
        <w:t>Hof Den Haag 12 januari 2011, ECLI:NL:GHSGR:2011:BP9609.</w:t>
      </w:r>
    </w:p>
    <w:p w14:paraId="04E2603A" w14:textId="77777777" w:rsidR="00754AB6" w:rsidRPr="00A33930" w:rsidRDefault="00754AB6" w:rsidP="00754AB6">
      <w:pPr>
        <w:spacing w:before="120" w:after="120" w:line="360" w:lineRule="auto"/>
        <w:jc w:val="both"/>
        <w:rPr>
          <w:rFonts w:eastAsia="Verdana" w:cs="Verdana"/>
          <w:iCs/>
          <w:szCs w:val="18"/>
          <w:lang w:val="nl-NL"/>
        </w:rPr>
      </w:pPr>
      <w:r w:rsidRPr="00A33930">
        <w:rPr>
          <w:rFonts w:eastAsia="Verdana" w:cs="Verdana"/>
          <w:iCs/>
          <w:szCs w:val="18"/>
          <w:lang w:val="nl-NL"/>
        </w:rPr>
        <w:t>Hof ’s-Hertogenbosch 12 april 2011, ECLI:NL:GHSHE:2011:BQ1361.</w:t>
      </w:r>
    </w:p>
    <w:p w14:paraId="7B924837" w14:textId="77777777" w:rsidR="00754AB6" w:rsidRPr="00A33930" w:rsidRDefault="00754AB6" w:rsidP="00754AB6">
      <w:pPr>
        <w:spacing w:before="120" w:after="120" w:line="360" w:lineRule="auto"/>
        <w:jc w:val="both"/>
        <w:rPr>
          <w:rFonts w:eastAsia="Verdana" w:cs="Verdana"/>
          <w:iCs/>
          <w:szCs w:val="18"/>
          <w:lang w:val="nl-NL"/>
        </w:rPr>
      </w:pPr>
      <w:r w:rsidRPr="00A33930">
        <w:rPr>
          <w:rFonts w:eastAsia="Verdana" w:cs="Verdana"/>
          <w:iCs/>
          <w:szCs w:val="18"/>
          <w:lang w:val="nl-NL"/>
        </w:rPr>
        <w:t>Hof ’s-Hertogenbosch 18 december 2014, ECLI:NL:HGHSHE:2014:5388.</w:t>
      </w:r>
    </w:p>
    <w:p w14:paraId="35E95A32" w14:textId="77777777" w:rsidR="00754AB6" w:rsidRPr="00A33930" w:rsidRDefault="00754AB6" w:rsidP="00754AB6">
      <w:pPr>
        <w:spacing w:before="120" w:after="120" w:line="360" w:lineRule="auto"/>
        <w:jc w:val="both"/>
        <w:rPr>
          <w:rFonts w:eastAsia="Verdana" w:cs="Verdana"/>
          <w:iCs/>
          <w:szCs w:val="18"/>
          <w:lang w:val="nl-NL"/>
        </w:rPr>
      </w:pPr>
      <w:r w:rsidRPr="00A33930">
        <w:rPr>
          <w:rFonts w:eastAsia="Verdana" w:cs="Verdana"/>
          <w:iCs/>
          <w:szCs w:val="18"/>
          <w:lang w:val="nl-NL"/>
        </w:rPr>
        <w:t xml:space="preserve">Hof Arnhem-Leeuwarden 17 mei 2016, </w:t>
      </w:r>
      <w:r w:rsidRPr="00A33930">
        <w:rPr>
          <w:rFonts w:eastAsia="Verdana" w:cs="Verdana"/>
          <w:i/>
          <w:iCs/>
          <w:szCs w:val="18"/>
          <w:lang w:val="nl-NL"/>
        </w:rPr>
        <w:t xml:space="preserve">FJR </w:t>
      </w:r>
      <w:r w:rsidRPr="00A33930">
        <w:rPr>
          <w:rFonts w:eastAsia="Verdana" w:cs="Verdana"/>
          <w:iCs/>
          <w:szCs w:val="18"/>
          <w:lang w:val="nl-NL"/>
        </w:rPr>
        <w:t>2016/58.</w:t>
      </w:r>
    </w:p>
    <w:p w14:paraId="5435FF83" w14:textId="77777777" w:rsidR="00754AB6" w:rsidRPr="00A33930" w:rsidRDefault="00754AB6" w:rsidP="00754AB6">
      <w:pPr>
        <w:spacing w:before="120" w:after="120" w:line="360" w:lineRule="auto"/>
        <w:jc w:val="both"/>
        <w:rPr>
          <w:rFonts w:eastAsia="Verdana" w:cs="Verdana"/>
          <w:iCs/>
          <w:szCs w:val="18"/>
          <w:lang w:val="nl-NL"/>
        </w:rPr>
      </w:pPr>
      <w:r w:rsidRPr="00A33930">
        <w:rPr>
          <w:rFonts w:eastAsia="Verdana" w:cs="Verdana"/>
          <w:iCs/>
          <w:szCs w:val="18"/>
          <w:lang w:val="nl-NL"/>
        </w:rPr>
        <w:t>Hof Arnhem-Leeuwarden 17 mei 2016, ECLI:NL:GHARL:2016:4949.</w:t>
      </w:r>
    </w:p>
    <w:p w14:paraId="36982C24" w14:textId="77777777" w:rsidR="00754AB6" w:rsidRPr="00A33930" w:rsidRDefault="00754AB6" w:rsidP="00754AB6">
      <w:pPr>
        <w:spacing w:before="120" w:after="120" w:line="360" w:lineRule="auto"/>
        <w:jc w:val="both"/>
        <w:rPr>
          <w:rFonts w:eastAsia="Verdana" w:cs="Verdana"/>
          <w:iCs/>
          <w:szCs w:val="18"/>
          <w:lang w:val="nl-NL"/>
        </w:rPr>
      </w:pPr>
      <w:r w:rsidRPr="00A33930">
        <w:rPr>
          <w:rFonts w:eastAsia="Verdana" w:cs="Verdana"/>
          <w:iCs/>
          <w:szCs w:val="18"/>
          <w:lang w:val="nl-NL"/>
        </w:rPr>
        <w:t>Hof Arnhem-Leeuwarden 24 mei 2016, ECLI:NL:GHARL:2016:4010.</w:t>
      </w:r>
    </w:p>
    <w:p w14:paraId="06E23BF8" w14:textId="77777777" w:rsidR="00754AB6" w:rsidRPr="00A33930" w:rsidRDefault="00754AB6" w:rsidP="00754AB6">
      <w:pPr>
        <w:spacing w:before="120" w:after="120" w:line="360" w:lineRule="auto"/>
        <w:jc w:val="both"/>
        <w:rPr>
          <w:rFonts w:eastAsia="Verdana" w:cs="Verdana"/>
          <w:iCs/>
          <w:szCs w:val="18"/>
          <w:lang w:val="nl-NL"/>
        </w:rPr>
      </w:pPr>
      <w:r w:rsidRPr="00A33930">
        <w:rPr>
          <w:rFonts w:eastAsia="Verdana" w:cs="Verdana"/>
          <w:iCs/>
          <w:szCs w:val="18"/>
          <w:lang w:val="nl-NL"/>
        </w:rPr>
        <w:t>Hof Arnhem-Leeuwarden 13 juni 2017, ECLI:NL:GHARL:2017:5114.</w:t>
      </w:r>
    </w:p>
    <w:p w14:paraId="3023593C" w14:textId="77777777" w:rsidR="00754AB6" w:rsidRPr="00A33930" w:rsidRDefault="00754AB6" w:rsidP="00754AB6">
      <w:pPr>
        <w:spacing w:before="120" w:after="120" w:line="360" w:lineRule="auto"/>
        <w:jc w:val="both"/>
        <w:rPr>
          <w:rFonts w:eastAsia="Verdana" w:cs="Verdana"/>
          <w:iCs/>
          <w:szCs w:val="18"/>
          <w:lang w:val="nl-NL"/>
        </w:rPr>
      </w:pPr>
      <w:r w:rsidRPr="00A33930">
        <w:rPr>
          <w:rFonts w:eastAsia="Verdana" w:cs="Verdana"/>
          <w:iCs/>
          <w:szCs w:val="18"/>
          <w:lang w:val="nl-NL"/>
        </w:rPr>
        <w:t>Hof Den Haag 12 september 2018, ECLI:NL:GHDHA:2018:2549.</w:t>
      </w:r>
    </w:p>
    <w:p w14:paraId="572318DB" w14:textId="77777777" w:rsidR="00754AB6" w:rsidRPr="00A33930" w:rsidRDefault="00754AB6" w:rsidP="00754AB6">
      <w:pPr>
        <w:spacing w:before="120" w:after="120" w:line="360" w:lineRule="auto"/>
        <w:jc w:val="both"/>
        <w:rPr>
          <w:rFonts w:eastAsia="Verdana" w:cs="Verdana"/>
          <w:iCs/>
          <w:szCs w:val="18"/>
          <w:lang w:val="nl-NL"/>
        </w:rPr>
      </w:pPr>
      <w:r w:rsidRPr="00A33930">
        <w:rPr>
          <w:rFonts w:eastAsia="Verdana" w:cs="Verdana"/>
          <w:iCs/>
          <w:szCs w:val="18"/>
          <w:lang w:val="nl-NL"/>
        </w:rPr>
        <w:t>Hof Amsterdam 6 november 2018, ECLI:NL:GHAMS:2018:4112.</w:t>
      </w:r>
    </w:p>
    <w:p w14:paraId="787D5D07" w14:textId="77777777" w:rsidR="00754AB6" w:rsidRPr="00A33930" w:rsidRDefault="00754AB6" w:rsidP="00754AB6">
      <w:pPr>
        <w:spacing w:before="120" w:after="120" w:line="360" w:lineRule="auto"/>
        <w:jc w:val="both"/>
        <w:rPr>
          <w:rFonts w:eastAsia="Verdana" w:cs="Verdana"/>
          <w:iCs/>
          <w:szCs w:val="18"/>
          <w:lang w:val="nl-NL"/>
        </w:rPr>
      </w:pPr>
      <w:r w:rsidRPr="00A33930">
        <w:rPr>
          <w:rFonts w:eastAsia="Verdana" w:cs="Verdana"/>
          <w:iCs/>
          <w:szCs w:val="18"/>
          <w:lang w:val="nl-NL"/>
        </w:rPr>
        <w:lastRenderedPageBreak/>
        <w:t>Hof ’s-Hertogenbosch 22 augustus 2019, ECLI:NL:GHSHE:2019:3131.</w:t>
      </w:r>
    </w:p>
    <w:p w14:paraId="7C66BCB7" w14:textId="77777777" w:rsidR="00754AB6" w:rsidRPr="00A33930" w:rsidRDefault="00754AB6" w:rsidP="00754AB6">
      <w:pPr>
        <w:spacing w:before="120" w:after="120" w:line="360" w:lineRule="auto"/>
        <w:jc w:val="both"/>
        <w:rPr>
          <w:rFonts w:eastAsia="Verdana" w:cs="Verdana"/>
          <w:iCs/>
          <w:szCs w:val="18"/>
          <w:lang w:val="nl-NL"/>
        </w:rPr>
      </w:pPr>
      <w:r w:rsidRPr="00A33930">
        <w:rPr>
          <w:rFonts w:eastAsia="Verdana" w:cs="Verdana"/>
          <w:iCs/>
          <w:szCs w:val="18"/>
          <w:lang w:val="nl-NL"/>
        </w:rPr>
        <w:t>Hof Amsterdam 26 november 2019, ECLI:NL:GHAMS:2019:4371.</w:t>
      </w:r>
    </w:p>
    <w:p w14:paraId="0C62BD55" w14:textId="77777777" w:rsidR="00754AB6" w:rsidRPr="00A33930" w:rsidRDefault="00754AB6" w:rsidP="00754AB6">
      <w:pPr>
        <w:spacing w:before="120" w:after="120" w:line="360" w:lineRule="auto"/>
        <w:jc w:val="both"/>
        <w:rPr>
          <w:rFonts w:eastAsia="Verdana" w:cs="Verdana"/>
          <w:iCs/>
          <w:szCs w:val="18"/>
          <w:lang w:val="nl-NL"/>
        </w:rPr>
      </w:pPr>
      <w:r w:rsidRPr="00A33930">
        <w:rPr>
          <w:rFonts w:eastAsia="Verdana" w:cs="Verdana"/>
          <w:iCs/>
          <w:szCs w:val="18"/>
          <w:lang w:val="nl-NL"/>
        </w:rPr>
        <w:t>Hof Den Haag 24 juni 2021, ECLI:NL:GHDHA:2021:1269.</w:t>
      </w:r>
    </w:p>
    <w:p w14:paraId="43061B4E" w14:textId="77777777" w:rsidR="00754AB6" w:rsidRPr="00A33930" w:rsidRDefault="00754AB6" w:rsidP="00754AB6">
      <w:pPr>
        <w:spacing w:before="120" w:after="120" w:line="360" w:lineRule="auto"/>
        <w:jc w:val="both"/>
        <w:rPr>
          <w:rFonts w:eastAsia="Verdana" w:cs="Verdana"/>
          <w:iCs/>
          <w:szCs w:val="18"/>
          <w:lang w:val="nl-NL"/>
        </w:rPr>
      </w:pPr>
      <w:r w:rsidRPr="00A33930">
        <w:rPr>
          <w:rFonts w:eastAsia="Verdana" w:cs="Verdana"/>
          <w:iCs/>
          <w:szCs w:val="18"/>
          <w:lang w:val="nl-NL"/>
        </w:rPr>
        <w:t>Hof Arnhem-Leeuwarden 29 maart 2022, ECLI:NL:GHARL:2022:2421.</w:t>
      </w:r>
    </w:p>
    <w:p w14:paraId="5C52465E" w14:textId="77777777" w:rsidR="00754AB6" w:rsidRPr="00A33930" w:rsidRDefault="00754AB6" w:rsidP="00754AB6">
      <w:pPr>
        <w:spacing w:before="120" w:after="120" w:line="360" w:lineRule="auto"/>
        <w:jc w:val="both"/>
        <w:rPr>
          <w:rFonts w:eastAsia="Verdana" w:cs="Verdana"/>
          <w:iCs/>
          <w:szCs w:val="18"/>
          <w:lang w:val="nl-NL"/>
        </w:rPr>
      </w:pPr>
      <w:r w:rsidRPr="00A33930">
        <w:rPr>
          <w:rFonts w:eastAsia="Verdana" w:cs="Verdana"/>
          <w:iCs/>
          <w:szCs w:val="18"/>
          <w:lang w:val="nl-NL"/>
        </w:rPr>
        <w:t>Rb. Zwolle 23 oktober 2003, ECLI:NL:RBZWO:2003:AO1859.</w:t>
      </w:r>
    </w:p>
    <w:p w14:paraId="5B62657B" w14:textId="77777777" w:rsidR="00754AB6" w:rsidRPr="00A33930" w:rsidRDefault="00754AB6" w:rsidP="00754AB6">
      <w:pPr>
        <w:spacing w:before="120" w:after="120" w:line="360" w:lineRule="auto"/>
        <w:jc w:val="both"/>
        <w:rPr>
          <w:rFonts w:eastAsia="Verdana" w:cs="Verdana"/>
          <w:iCs/>
          <w:szCs w:val="18"/>
          <w:lang w:val="nl-NL"/>
        </w:rPr>
      </w:pPr>
      <w:r w:rsidRPr="00A33930">
        <w:rPr>
          <w:rFonts w:eastAsia="Verdana" w:cs="Verdana"/>
          <w:iCs/>
          <w:szCs w:val="18"/>
          <w:lang w:val="nl-NL"/>
        </w:rPr>
        <w:t xml:space="preserve">Rb. Amsterdam 12 juli 2007, </w:t>
      </w:r>
      <w:r w:rsidRPr="00A33930">
        <w:rPr>
          <w:rFonts w:eastAsia="Verdana" w:cs="Verdana"/>
          <w:i/>
          <w:iCs/>
          <w:szCs w:val="18"/>
          <w:lang w:val="nl-NL"/>
        </w:rPr>
        <w:t xml:space="preserve">RFR </w:t>
      </w:r>
      <w:r w:rsidRPr="00A33930">
        <w:rPr>
          <w:rFonts w:eastAsia="Verdana" w:cs="Verdana"/>
          <w:iCs/>
          <w:szCs w:val="18"/>
          <w:lang w:val="nl-NL"/>
        </w:rPr>
        <w:t>2007.</w:t>
      </w:r>
    </w:p>
    <w:p w14:paraId="68DBF7A6" w14:textId="77777777" w:rsidR="00754AB6" w:rsidRPr="00A33930" w:rsidRDefault="00754AB6" w:rsidP="00754AB6">
      <w:pPr>
        <w:spacing w:before="120" w:after="120" w:line="360" w:lineRule="auto"/>
        <w:jc w:val="both"/>
        <w:rPr>
          <w:rFonts w:eastAsia="Verdana" w:cs="Verdana"/>
          <w:iCs/>
          <w:szCs w:val="18"/>
          <w:lang w:val="nl-NL"/>
        </w:rPr>
      </w:pPr>
      <w:r w:rsidRPr="00A33930">
        <w:rPr>
          <w:rFonts w:eastAsia="Verdana" w:cs="Verdana"/>
          <w:iCs/>
          <w:szCs w:val="18"/>
          <w:lang w:val="nl-NL"/>
        </w:rPr>
        <w:t xml:space="preserve">Rb. Breda 14 maart 2011, </w:t>
      </w:r>
      <w:r w:rsidRPr="00A33930">
        <w:rPr>
          <w:rFonts w:eastAsia="Verdana" w:cs="Verdana"/>
          <w:i/>
          <w:iCs/>
          <w:szCs w:val="18"/>
          <w:lang w:val="nl-NL"/>
        </w:rPr>
        <w:t xml:space="preserve">RFR </w:t>
      </w:r>
      <w:r w:rsidRPr="00A33930">
        <w:rPr>
          <w:rFonts w:eastAsia="Verdana" w:cs="Verdana"/>
          <w:iCs/>
          <w:szCs w:val="18"/>
          <w:lang w:val="nl-NL"/>
        </w:rPr>
        <w:t>2011.</w:t>
      </w:r>
    </w:p>
    <w:p w14:paraId="59B87E95" w14:textId="77777777" w:rsidR="00754AB6" w:rsidRPr="00A33930" w:rsidRDefault="00754AB6" w:rsidP="00754AB6">
      <w:pPr>
        <w:spacing w:before="120" w:after="120" w:line="360" w:lineRule="auto"/>
        <w:jc w:val="both"/>
        <w:rPr>
          <w:rFonts w:eastAsia="Verdana" w:cs="Verdana"/>
          <w:iCs/>
          <w:szCs w:val="18"/>
          <w:lang w:val="nl-NL"/>
        </w:rPr>
      </w:pPr>
      <w:r w:rsidRPr="00A33930">
        <w:rPr>
          <w:rFonts w:eastAsia="Verdana" w:cs="Verdana"/>
          <w:iCs/>
          <w:szCs w:val="18"/>
          <w:lang w:val="nl-NL"/>
        </w:rPr>
        <w:t>Rb. Noord-Holland 2 juli 2014, ECLI:NL:RBNHO:2014:8244.</w:t>
      </w:r>
    </w:p>
    <w:p w14:paraId="15DD0DD2" w14:textId="77777777" w:rsidR="00754AB6" w:rsidRPr="00A33930" w:rsidRDefault="00754AB6" w:rsidP="00754AB6">
      <w:pPr>
        <w:spacing w:before="120" w:after="120" w:line="360" w:lineRule="auto"/>
        <w:jc w:val="both"/>
        <w:rPr>
          <w:rFonts w:eastAsia="Verdana" w:cs="Verdana"/>
          <w:iCs/>
          <w:szCs w:val="18"/>
          <w:lang w:val="nl-NL"/>
        </w:rPr>
      </w:pPr>
      <w:r w:rsidRPr="00A33930">
        <w:rPr>
          <w:rFonts w:eastAsia="Verdana" w:cs="Verdana"/>
          <w:iCs/>
          <w:szCs w:val="18"/>
          <w:lang w:val="nl-NL"/>
        </w:rPr>
        <w:t>Rb. Zeeland-West-Brabant 23 juni 2015, ECLI:NL:RBZWB:2015:4346.</w:t>
      </w:r>
    </w:p>
    <w:p w14:paraId="5C67F626" w14:textId="77777777" w:rsidR="00754AB6" w:rsidRPr="00A33930" w:rsidRDefault="00754AB6" w:rsidP="00754AB6">
      <w:pPr>
        <w:spacing w:before="120" w:after="120" w:line="360" w:lineRule="auto"/>
        <w:jc w:val="both"/>
        <w:rPr>
          <w:rFonts w:eastAsia="Verdana" w:cs="Verdana"/>
          <w:iCs/>
          <w:szCs w:val="18"/>
          <w:lang w:val="nl-NL"/>
        </w:rPr>
      </w:pPr>
      <w:r w:rsidRPr="00A33930">
        <w:rPr>
          <w:rFonts w:eastAsia="Verdana" w:cs="Verdana"/>
          <w:iCs/>
          <w:szCs w:val="18"/>
          <w:lang w:val="nl-NL"/>
        </w:rPr>
        <w:t>Rb. Rotterdam 8 juni 2022, ECLI:NL:RBROT:2022:5480.</w:t>
      </w:r>
    </w:p>
    <w:p w14:paraId="651F5940" w14:textId="77777777" w:rsidR="00DA3ECE" w:rsidRPr="00A33930" w:rsidRDefault="00DA3ECE" w:rsidP="00DA3ECE">
      <w:pPr>
        <w:spacing w:before="120" w:after="120" w:line="360" w:lineRule="auto"/>
        <w:jc w:val="both"/>
        <w:rPr>
          <w:rFonts w:eastAsia="Verdana" w:cs="Verdana"/>
          <w:iCs/>
          <w:szCs w:val="18"/>
          <w:lang w:val="nl-NL"/>
        </w:rPr>
      </w:pPr>
    </w:p>
    <w:p w14:paraId="56EAF297" w14:textId="09F9FB89" w:rsidR="00AE65F8" w:rsidRPr="00A33930" w:rsidRDefault="00DA3ECE" w:rsidP="00AE65F8">
      <w:pPr>
        <w:spacing w:before="120" w:after="120" w:line="360" w:lineRule="auto"/>
        <w:jc w:val="both"/>
        <w:rPr>
          <w:rFonts w:eastAsia="Verdana" w:cs="Verdana"/>
          <w:b/>
          <w:bCs/>
          <w:i/>
          <w:lang w:val="nl-NL"/>
        </w:rPr>
      </w:pPr>
      <w:r w:rsidRPr="00A33930">
        <w:rPr>
          <w:rFonts w:eastAsia="Verdana" w:cs="Verdana"/>
          <w:b/>
          <w:bCs/>
          <w:i/>
          <w:lang w:val="nl-NL"/>
        </w:rPr>
        <w:t>Duitsland</w:t>
      </w:r>
      <w:r w:rsidR="008354CD" w:rsidRPr="00A33930">
        <w:rPr>
          <w:rFonts w:eastAsia="Verdana" w:cs="Verdana"/>
          <w:b/>
          <w:bCs/>
          <w:i/>
          <w:lang w:val="nl-NL"/>
        </w:rPr>
        <w:t>:</w:t>
      </w:r>
    </w:p>
    <w:p w14:paraId="5DE0424C" w14:textId="77777777" w:rsidR="00754AB6" w:rsidRPr="00A33930" w:rsidRDefault="00754AB6" w:rsidP="00754AB6">
      <w:pPr>
        <w:spacing w:before="120" w:after="120" w:line="360" w:lineRule="auto"/>
        <w:jc w:val="both"/>
        <w:rPr>
          <w:rFonts w:eastAsia="Verdana" w:cs="Verdana"/>
          <w:iCs/>
          <w:lang w:val="nl-NL"/>
        </w:rPr>
      </w:pPr>
      <w:r w:rsidRPr="00A33930">
        <w:rPr>
          <w:rFonts w:eastAsia="Verdana" w:cs="Verdana"/>
          <w:iCs/>
          <w:lang w:val="nl-NL"/>
        </w:rPr>
        <w:t xml:space="preserve">BVerfG 18 februari 1993, </w:t>
      </w:r>
      <w:r w:rsidRPr="00A33930">
        <w:rPr>
          <w:rFonts w:eastAsia="Verdana" w:cs="Verdana"/>
          <w:i/>
          <w:iCs/>
          <w:lang w:val="nl-NL"/>
        </w:rPr>
        <w:t>NJW</w:t>
      </w:r>
      <w:r w:rsidRPr="00A33930">
        <w:rPr>
          <w:rFonts w:eastAsia="Verdana" w:cs="Verdana"/>
          <w:iCs/>
          <w:lang w:val="nl-NL"/>
        </w:rPr>
        <w:t xml:space="preserve"> 1993.</w:t>
      </w:r>
    </w:p>
    <w:p w14:paraId="7F5C4801" w14:textId="77777777" w:rsidR="00754AB6" w:rsidRPr="00A33930" w:rsidRDefault="00754AB6" w:rsidP="00754AB6">
      <w:pPr>
        <w:spacing w:before="120" w:after="120" w:line="360" w:lineRule="auto"/>
        <w:jc w:val="both"/>
        <w:rPr>
          <w:rFonts w:eastAsia="Verdana" w:cs="Verdana"/>
          <w:iCs/>
          <w:lang w:val="nl-NL"/>
        </w:rPr>
      </w:pPr>
      <w:r w:rsidRPr="00A33930">
        <w:rPr>
          <w:rFonts w:eastAsia="Verdana" w:cs="Verdana"/>
          <w:iCs/>
          <w:lang w:val="nl-NL"/>
        </w:rPr>
        <w:t>BVerfG 14 oktober 2004, ECLI:DE:BVerfG:2004:rs20041014.2bvr148104.</w:t>
      </w:r>
    </w:p>
    <w:p w14:paraId="12434BDF" w14:textId="77777777" w:rsidR="00754AB6" w:rsidRPr="00A33930" w:rsidRDefault="00754AB6" w:rsidP="00754AB6">
      <w:pPr>
        <w:spacing w:before="120" w:after="120" w:line="360" w:lineRule="auto"/>
        <w:jc w:val="both"/>
        <w:rPr>
          <w:rFonts w:eastAsia="Verdana" w:cs="Verdana"/>
          <w:iCs/>
          <w:lang w:val="nl-NL"/>
        </w:rPr>
      </w:pPr>
      <w:r w:rsidRPr="00A33930">
        <w:rPr>
          <w:rFonts w:eastAsia="Verdana" w:cs="Verdana"/>
          <w:iCs/>
          <w:lang w:val="nl-NL"/>
        </w:rPr>
        <w:t>BVerfG 1 april 2008, ECLI:DE:BVerfG:2008:rs20080401.1bvr162004.</w:t>
      </w:r>
    </w:p>
    <w:p w14:paraId="3AC26714" w14:textId="77777777" w:rsidR="00754AB6" w:rsidRPr="00A33930" w:rsidRDefault="00754AB6" w:rsidP="00754AB6">
      <w:pPr>
        <w:spacing w:before="120" w:after="120" w:line="360" w:lineRule="auto"/>
        <w:jc w:val="both"/>
        <w:rPr>
          <w:rFonts w:eastAsia="Verdana" w:cs="Verdana"/>
          <w:iCs/>
          <w:lang w:val="nl-NL"/>
        </w:rPr>
      </w:pPr>
      <w:r w:rsidRPr="00A33930">
        <w:rPr>
          <w:rFonts w:eastAsia="Verdana" w:cs="Verdana"/>
          <w:iCs/>
          <w:lang w:val="nl-NL"/>
        </w:rPr>
        <w:t>BVerfG 25 april 2015, ECLI:DE:BVerfG:2015:rk20150425.1bvr332614.</w:t>
      </w:r>
    </w:p>
    <w:p w14:paraId="4EF94587" w14:textId="77777777" w:rsidR="00754AB6" w:rsidRPr="00A33930" w:rsidRDefault="00754AB6" w:rsidP="00754AB6">
      <w:pPr>
        <w:spacing w:before="120" w:after="120" w:line="360" w:lineRule="auto"/>
        <w:jc w:val="both"/>
        <w:rPr>
          <w:rFonts w:eastAsia="Verdana" w:cs="Verdana"/>
          <w:iCs/>
          <w:lang w:val="nl-NL"/>
        </w:rPr>
      </w:pPr>
      <w:r w:rsidRPr="00A33930">
        <w:rPr>
          <w:rFonts w:eastAsia="Verdana" w:cs="Verdana"/>
          <w:iCs/>
          <w:lang w:val="nl-NL"/>
        </w:rPr>
        <w:t>BVerfG 17 februari 2022, ECLI:DE:BVerfG:2022:rk20220217.1bvr074321.</w:t>
      </w:r>
    </w:p>
    <w:p w14:paraId="4BED2F06" w14:textId="77777777" w:rsidR="00754AB6" w:rsidRPr="00A33930" w:rsidRDefault="00754AB6" w:rsidP="00754AB6">
      <w:pPr>
        <w:spacing w:before="120" w:after="120" w:line="360" w:lineRule="auto"/>
        <w:jc w:val="both"/>
        <w:rPr>
          <w:rFonts w:eastAsia="Verdana" w:cs="Verdana"/>
          <w:iCs/>
          <w:lang w:val="nl-NL"/>
        </w:rPr>
      </w:pPr>
      <w:r w:rsidRPr="00A33930">
        <w:rPr>
          <w:rFonts w:eastAsia="Verdana" w:cs="Verdana"/>
          <w:iCs/>
          <w:lang w:val="nl-NL"/>
        </w:rPr>
        <w:t xml:space="preserve">BGH 21 oktober 1964, </w:t>
      </w:r>
      <w:r w:rsidRPr="00A33930">
        <w:rPr>
          <w:rFonts w:eastAsia="Verdana" w:cs="Verdana"/>
          <w:i/>
          <w:iCs/>
          <w:lang w:val="nl-NL"/>
        </w:rPr>
        <w:t>NJW</w:t>
      </w:r>
      <w:r w:rsidRPr="00A33930">
        <w:rPr>
          <w:rFonts w:eastAsia="Verdana" w:cs="Verdana"/>
          <w:iCs/>
          <w:lang w:val="nl-NL"/>
        </w:rPr>
        <w:t xml:space="preserve"> 1965.</w:t>
      </w:r>
    </w:p>
    <w:p w14:paraId="6531D0FE" w14:textId="77777777" w:rsidR="00754AB6" w:rsidRPr="00A33930" w:rsidRDefault="00754AB6" w:rsidP="00754AB6">
      <w:pPr>
        <w:spacing w:before="120" w:after="120" w:line="360" w:lineRule="auto"/>
        <w:jc w:val="both"/>
        <w:rPr>
          <w:rFonts w:eastAsia="Verdana" w:cs="Verdana"/>
          <w:iCs/>
          <w:lang w:val="nl-NL"/>
        </w:rPr>
      </w:pPr>
      <w:r w:rsidRPr="00A33930">
        <w:rPr>
          <w:rFonts w:eastAsia="Verdana" w:cs="Verdana"/>
          <w:iCs/>
          <w:lang w:val="nl-NL"/>
        </w:rPr>
        <w:t>BGH 17 februari 1983, II ZR 147/81.</w:t>
      </w:r>
    </w:p>
    <w:p w14:paraId="432B9BFB" w14:textId="77777777" w:rsidR="00754AB6" w:rsidRPr="00A33930" w:rsidRDefault="00754AB6" w:rsidP="00754AB6">
      <w:pPr>
        <w:spacing w:before="120" w:after="120" w:line="360" w:lineRule="auto"/>
        <w:jc w:val="both"/>
        <w:rPr>
          <w:rFonts w:eastAsia="Verdana" w:cs="Verdana"/>
          <w:iCs/>
          <w:lang w:val="nl-NL"/>
        </w:rPr>
      </w:pPr>
      <w:r w:rsidRPr="00A33930">
        <w:rPr>
          <w:rFonts w:eastAsia="Verdana" w:cs="Verdana"/>
          <w:iCs/>
          <w:lang w:val="nl-NL"/>
        </w:rPr>
        <w:t>BGH 11 mei 2005</w:t>
      </w:r>
      <w:r w:rsidRPr="00A33930">
        <w:rPr>
          <w:rFonts w:eastAsia="Verdana" w:cs="Verdana"/>
          <w:i/>
          <w:iCs/>
          <w:lang w:val="nl-NL"/>
        </w:rPr>
        <w:t xml:space="preserve">, FamRZ </w:t>
      </w:r>
      <w:r w:rsidRPr="00A33930">
        <w:rPr>
          <w:rFonts w:eastAsia="Verdana" w:cs="Verdana"/>
          <w:iCs/>
          <w:lang w:val="nl-NL"/>
        </w:rPr>
        <w:t>2005, 1471.</w:t>
      </w:r>
    </w:p>
    <w:p w14:paraId="7B0BC1C0" w14:textId="77777777" w:rsidR="00754AB6" w:rsidRPr="00A33930" w:rsidRDefault="00754AB6" w:rsidP="00754AB6">
      <w:pPr>
        <w:spacing w:before="120" w:after="120" w:line="360" w:lineRule="auto"/>
        <w:jc w:val="both"/>
        <w:rPr>
          <w:rFonts w:eastAsia="Verdana" w:cs="Verdana"/>
          <w:iCs/>
          <w:lang w:val="nl-NL"/>
        </w:rPr>
      </w:pPr>
      <w:r w:rsidRPr="00A33930">
        <w:rPr>
          <w:rFonts w:eastAsia="Verdana" w:cs="Verdana"/>
          <w:iCs/>
          <w:lang w:val="nl-NL"/>
        </w:rPr>
        <w:t>BGH 14 mei 2008, XII ZB 225/06.</w:t>
      </w:r>
    </w:p>
    <w:p w14:paraId="0D14CD3A" w14:textId="77777777" w:rsidR="00754AB6" w:rsidRPr="00A33930" w:rsidRDefault="00754AB6" w:rsidP="00754AB6">
      <w:pPr>
        <w:spacing w:before="120" w:after="120" w:line="360" w:lineRule="auto"/>
        <w:jc w:val="both"/>
        <w:rPr>
          <w:rFonts w:eastAsia="Verdana" w:cs="Verdana"/>
          <w:iCs/>
          <w:lang w:val="nl-NL"/>
        </w:rPr>
      </w:pPr>
      <w:r w:rsidRPr="00A33930">
        <w:rPr>
          <w:rFonts w:eastAsia="Verdana" w:cs="Verdana"/>
          <w:iCs/>
          <w:lang w:val="nl-NL"/>
        </w:rPr>
        <w:t xml:space="preserve">OLG Brandenburg 23 juni 1999, </w:t>
      </w:r>
      <w:r w:rsidRPr="00A33930">
        <w:rPr>
          <w:rFonts w:eastAsia="Verdana" w:cs="Verdana"/>
          <w:i/>
          <w:iCs/>
          <w:lang w:val="nl-NL"/>
        </w:rPr>
        <w:t>FamRZ</w:t>
      </w:r>
      <w:r w:rsidRPr="00A33930">
        <w:rPr>
          <w:rFonts w:eastAsia="Verdana" w:cs="Verdana"/>
          <w:iCs/>
          <w:lang w:val="nl-NL"/>
        </w:rPr>
        <w:t xml:space="preserve"> 2000, 1106.</w:t>
      </w:r>
    </w:p>
    <w:p w14:paraId="7211E1E4" w14:textId="77777777" w:rsidR="00754AB6" w:rsidRPr="00A33930" w:rsidRDefault="00754AB6" w:rsidP="00754AB6">
      <w:pPr>
        <w:spacing w:before="120" w:after="120" w:line="360" w:lineRule="auto"/>
        <w:jc w:val="both"/>
        <w:rPr>
          <w:rFonts w:eastAsia="Verdana" w:cs="Verdana"/>
          <w:iCs/>
          <w:lang w:val="nl-NL"/>
        </w:rPr>
      </w:pPr>
      <w:r w:rsidRPr="00A33930">
        <w:rPr>
          <w:rFonts w:eastAsia="Verdana" w:cs="Verdana"/>
          <w:iCs/>
          <w:lang w:val="nl-NL"/>
        </w:rPr>
        <w:t xml:space="preserve">OLG Brandenburg 21 januari 2004, </w:t>
      </w:r>
      <w:r w:rsidRPr="00A33930">
        <w:rPr>
          <w:rFonts w:eastAsia="Verdana" w:cs="Verdana"/>
          <w:i/>
          <w:iCs/>
          <w:lang w:val="nl-NL"/>
        </w:rPr>
        <w:t xml:space="preserve">NJW </w:t>
      </w:r>
      <w:r w:rsidRPr="00A33930">
        <w:rPr>
          <w:rFonts w:eastAsia="Verdana" w:cs="Verdana"/>
          <w:iCs/>
          <w:lang w:val="nl-NL"/>
        </w:rPr>
        <w:t>2004, 3786.</w:t>
      </w:r>
    </w:p>
    <w:p w14:paraId="72CF8074" w14:textId="01668B38" w:rsidR="00AE65F8" w:rsidRPr="00A33930" w:rsidRDefault="00754AB6" w:rsidP="00207260">
      <w:pPr>
        <w:spacing w:before="120" w:after="120" w:line="360" w:lineRule="auto"/>
        <w:jc w:val="both"/>
        <w:rPr>
          <w:rFonts w:eastAsia="Verdana" w:cs="Verdana"/>
          <w:iCs/>
          <w:lang w:val="nl-NL"/>
        </w:rPr>
      </w:pPr>
      <w:r w:rsidRPr="00A33930">
        <w:rPr>
          <w:rFonts w:eastAsia="Verdana" w:cs="Verdana"/>
          <w:iCs/>
          <w:lang w:val="nl-NL"/>
        </w:rPr>
        <w:t xml:space="preserve">OLG </w:t>
      </w:r>
      <w:r w:rsidR="002B18ED" w:rsidRPr="00A33930">
        <w:rPr>
          <w:rFonts w:eastAsia="Verdana" w:cs="Verdana"/>
          <w:iCs/>
          <w:lang w:val="nl-NL"/>
        </w:rPr>
        <w:t>Mü</w:t>
      </w:r>
      <w:r w:rsidR="002B18ED" w:rsidRPr="00A33930">
        <w:rPr>
          <w:rFonts w:ascii="Arial" w:eastAsia="Verdana" w:hAnsi="Arial" w:cs="Arial"/>
          <w:iCs/>
          <w:lang w:val="nl-NL"/>
        </w:rPr>
        <w:t>n</w:t>
      </w:r>
      <w:r w:rsidR="002B18ED" w:rsidRPr="00A33930">
        <w:rPr>
          <w:rFonts w:eastAsia="Verdana" w:cs="Verdana"/>
          <w:iCs/>
          <w:lang w:val="nl-NL"/>
        </w:rPr>
        <w:t>chen</w:t>
      </w:r>
      <w:r w:rsidRPr="00A33930">
        <w:rPr>
          <w:rFonts w:eastAsia="Verdana" w:cs="Verdana"/>
          <w:iCs/>
          <w:lang w:val="nl-NL"/>
        </w:rPr>
        <w:t xml:space="preserve"> 29 maart 2005, </w:t>
      </w:r>
      <w:r w:rsidRPr="00A33930">
        <w:rPr>
          <w:rFonts w:eastAsia="Verdana" w:cs="Verdana"/>
          <w:i/>
          <w:iCs/>
          <w:lang w:val="nl-NL"/>
        </w:rPr>
        <w:t xml:space="preserve">FamRZ </w:t>
      </w:r>
      <w:r w:rsidRPr="00A33930">
        <w:rPr>
          <w:rFonts w:eastAsia="Verdana" w:cs="Verdana"/>
          <w:iCs/>
          <w:lang w:val="nl-NL"/>
        </w:rPr>
        <w:t>2005, 2010.</w:t>
      </w:r>
    </w:p>
    <w:p w14:paraId="377D4FD2" w14:textId="77777777" w:rsidR="008329A0" w:rsidRPr="00A33930" w:rsidRDefault="008329A0">
      <w:pPr>
        <w:spacing w:after="160" w:line="259" w:lineRule="auto"/>
        <w:rPr>
          <w:b/>
          <w:bCs/>
          <w:sz w:val="21"/>
          <w:szCs w:val="32"/>
          <w:u w:val="single"/>
          <w:lang w:val="nl-NL"/>
        </w:rPr>
      </w:pPr>
      <w:r w:rsidRPr="00A33930">
        <w:rPr>
          <w:b/>
          <w:bCs/>
          <w:sz w:val="21"/>
          <w:szCs w:val="32"/>
          <w:u w:val="single"/>
          <w:lang w:val="nl-NL"/>
        </w:rPr>
        <w:br w:type="page"/>
      </w:r>
    </w:p>
    <w:p w14:paraId="49E5EB25" w14:textId="77777777" w:rsidR="00995E5D" w:rsidRPr="00A33930" w:rsidRDefault="00995E5D">
      <w:pPr>
        <w:spacing w:after="160" w:line="259" w:lineRule="auto"/>
        <w:rPr>
          <w:b/>
          <w:bCs/>
          <w:sz w:val="21"/>
          <w:szCs w:val="32"/>
          <w:u w:val="single"/>
          <w:lang w:val="nl-NL"/>
        </w:rPr>
      </w:pPr>
      <w:r w:rsidRPr="00A33930">
        <w:rPr>
          <w:b/>
          <w:bCs/>
          <w:sz w:val="21"/>
          <w:szCs w:val="32"/>
          <w:u w:val="single"/>
          <w:lang w:val="nl-NL"/>
        </w:rPr>
        <w:lastRenderedPageBreak/>
        <w:br w:type="page"/>
      </w:r>
    </w:p>
    <w:p w14:paraId="137A6895" w14:textId="14883F02" w:rsidR="00DA3ECE" w:rsidRPr="00A33930" w:rsidRDefault="00DA3ECE" w:rsidP="00DF3653">
      <w:pPr>
        <w:spacing w:line="480" w:lineRule="auto"/>
        <w:rPr>
          <w:b/>
          <w:bCs/>
          <w:sz w:val="21"/>
          <w:szCs w:val="32"/>
          <w:u w:val="single"/>
          <w:lang w:val="nl-NL"/>
        </w:rPr>
      </w:pPr>
      <w:r w:rsidRPr="00A33930">
        <w:rPr>
          <w:b/>
          <w:bCs/>
          <w:sz w:val="21"/>
          <w:szCs w:val="32"/>
          <w:u w:val="single"/>
          <w:lang w:val="nl-NL"/>
        </w:rPr>
        <w:lastRenderedPageBreak/>
        <w:t>RECHTSLEER</w:t>
      </w:r>
    </w:p>
    <w:p w14:paraId="42F1442F" w14:textId="56336DB1" w:rsidR="00AE65F8" w:rsidRPr="00A33930" w:rsidRDefault="00AE65F8" w:rsidP="00DF3653">
      <w:pPr>
        <w:spacing w:before="120" w:after="120" w:line="360" w:lineRule="auto"/>
        <w:jc w:val="both"/>
        <w:rPr>
          <w:rFonts w:eastAsia="Verdana" w:cs="Verdana"/>
          <w:b/>
          <w:bCs/>
          <w:i/>
          <w:lang w:val="nl-NL"/>
        </w:rPr>
      </w:pPr>
      <w:r w:rsidRPr="00A33930">
        <w:rPr>
          <w:rFonts w:eastAsia="Verdana" w:cs="Verdana"/>
          <w:b/>
          <w:bCs/>
          <w:i/>
          <w:lang w:val="nl-NL"/>
        </w:rPr>
        <w:t>Internationaal en Europees</w:t>
      </w:r>
      <w:r w:rsidR="008354CD" w:rsidRPr="00A33930">
        <w:rPr>
          <w:rFonts w:eastAsia="Verdana" w:cs="Verdana"/>
          <w:b/>
          <w:bCs/>
          <w:i/>
          <w:lang w:val="nl-NL"/>
        </w:rPr>
        <w:t>:</w:t>
      </w:r>
    </w:p>
    <w:p w14:paraId="1DF341A2" w14:textId="77777777" w:rsidR="00AE65F8" w:rsidRPr="00A33930" w:rsidRDefault="00AE65F8" w:rsidP="001D6547">
      <w:pPr>
        <w:spacing w:before="360" w:after="120" w:line="360" w:lineRule="auto"/>
        <w:jc w:val="both"/>
        <w:rPr>
          <w:rFonts w:eastAsia="Verdana" w:cs="Verdana"/>
          <w:i/>
          <w:sz w:val="19"/>
          <w:szCs w:val="19"/>
          <w:u w:val="single"/>
          <w:lang w:val="nl-NL"/>
        </w:rPr>
      </w:pPr>
      <w:r w:rsidRPr="00A33930">
        <w:rPr>
          <w:rFonts w:eastAsia="Verdana" w:cs="Verdana"/>
          <w:i/>
          <w:sz w:val="19"/>
          <w:szCs w:val="19"/>
          <w:u w:val="single"/>
          <w:lang w:val="nl-NL"/>
        </w:rPr>
        <w:t>§1. Boeken:</w:t>
      </w:r>
    </w:p>
    <w:p w14:paraId="7D54B7F8" w14:textId="77777777" w:rsidR="00611390" w:rsidRPr="00A33930" w:rsidRDefault="00611390" w:rsidP="00611390">
      <w:pPr>
        <w:spacing w:before="120" w:after="120" w:line="360" w:lineRule="auto"/>
        <w:jc w:val="both"/>
        <w:rPr>
          <w:szCs w:val="18"/>
          <w:lang w:val="nl-NL"/>
        </w:rPr>
      </w:pPr>
      <w:r w:rsidRPr="00A33930">
        <w:rPr>
          <w:szCs w:val="18"/>
          <w:lang w:val="nl-NL"/>
        </w:rPr>
        <w:t xml:space="preserve">AKHTAR, R. en NYAMUTATA, C., </w:t>
      </w:r>
      <w:r w:rsidRPr="00A33930">
        <w:rPr>
          <w:i/>
          <w:iCs/>
          <w:szCs w:val="18"/>
          <w:lang w:val="nl-NL"/>
        </w:rPr>
        <w:t>International Child Law</w:t>
      </w:r>
      <w:r w:rsidRPr="00A33930">
        <w:rPr>
          <w:szCs w:val="18"/>
          <w:lang w:val="nl-NL"/>
        </w:rPr>
        <w:t>, Londen &amp; New York, Routledge, 2020, 598 p.</w:t>
      </w:r>
    </w:p>
    <w:p w14:paraId="36229FFA" w14:textId="75025259" w:rsidR="00611390" w:rsidRPr="00A33930" w:rsidRDefault="00611390" w:rsidP="00611390">
      <w:pPr>
        <w:spacing w:before="120" w:after="120" w:line="360" w:lineRule="auto"/>
        <w:jc w:val="both"/>
        <w:rPr>
          <w:szCs w:val="18"/>
          <w:lang w:val="nl-NL"/>
        </w:rPr>
      </w:pPr>
      <w:r w:rsidRPr="00A33930">
        <w:rPr>
          <w:szCs w:val="18"/>
          <w:lang w:val="nl-NL"/>
        </w:rPr>
        <w:t xml:space="preserve">ALEN, A., BOSLY, H., DE BIE, M., VANDE LANOTTE, J., ANG, F., DELENS-RAVIER, I., DEL-PLACE, M., HERMAN, C., REYNAERT, D., STAELENS, V., STEEL, E. en VERHEYDE, M., </w:t>
      </w:r>
      <w:r w:rsidRPr="00A33930">
        <w:rPr>
          <w:i/>
          <w:iCs/>
          <w:szCs w:val="18"/>
          <w:lang w:val="nl-NL"/>
        </w:rPr>
        <w:t>The UN Children’s Rights Convention: theory meets practice</w:t>
      </w:r>
      <w:r w:rsidRPr="00A33930">
        <w:rPr>
          <w:szCs w:val="18"/>
          <w:lang w:val="nl-NL"/>
        </w:rPr>
        <w:t>, Antwerpen, Intersentia, 2007, 658 p.</w:t>
      </w:r>
    </w:p>
    <w:p w14:paraId="751E1092" w14:textId="7730D268" w:rsidR="0077608D" w:rsidRPr="00A33930" w:rsidRDefault="0077608D" w:rsidP="00611390">
      <w:pPr>
        <w:spacing w:before="120" w:after="120" w:line="360" w:lineRule="auto"/>
        <w:jc w:val="both"/>
        <w:rPr>
          <w:szCs w:val="18"/>
          <w:lang w:val="nl-NL"/>
        </w:rPr>
      </w:pPr>
      <w:r w:rsidRPr="00A33930">
        <w:rPr>
          <w:szCs w:val="18"/>
          <w:lang w:val="nl-NL"/>
        </w:rPr>
        <w:t xml:space="preserve">ALSTON, P. en TOBIN, J., </w:t>
      </w:r>
      <w:r w:rsidRPr="00A33930">
        <w:rPr>
          <w:i/>
          <w:iCs/>
          <w:szCs w:val="18"/>
          <w:lang w:val="nl-NL"/>
        </w:rPr>
        <w:t>Laying the Foundations for Children’s Rights: An Independent Study of Some Key Legal and Institutional Aspects of the Impact of the Convention on the Rights of the Child</w:t>
      </w:r>
      <w:r w:rsidRPr="00A33930">
        <w:rPr>
          <w:szCs w:val="18"/>
          <w:lang w:val="nl-NL"/>
        </w:rPr>
        <w:t>, UNICEF Innocenti Research Centre 3, 2005, 106 p.</w:t>
      </w:r>
    </w:p>
    <w:p w14:paraId="69600F76" w14:textId="77777777" w:rsidR="00611390" w:rsidRPr="00A33930" w:rsidRDefault="00611390" w:rsidP="00611390">
      <w:pPr>
        <w:spacing w:before="120" w:after="120" w:line="360" w:lineRule="auto"/>
        <w:jc w:val="both"/>
        <w:rPr>
          <w:szCs w:val="18"/>
          <w:lang w:val="nl-NL"/>
        </w:rPr>
      </w:pPr>
      <w:r w:rsidRPr="00A33930">
        <w:rPr>
          <w:szCs w:val="18"/>
          <w:lang w:val="nl-NL"/>
        </w:rPr>
        <w:t xml:space="preserve">BANTEKAS, I. en OETTE, L, </w:t>
      </w:r>
      <w:r w:rsidRPr="00A33930">
        <w:rPr>
          <w:i/>
          <w:iCs/>
          <w:szCs w:val="18"/>
          <w:lang w:val="nl-NL"/>
        </w:rPr>
        <w:t>International Human Rights Law and Practice</w:t>
      </w:r>
      <w:r w:rsidRPr="00A33930">
        <w:rPr>
          <w:szCs w:val="18"/>
          <w:lang w:val="nl-NL"/>
        </w:rPr>
        <w:t>, Cambridge, Cambridge University Press, third edition, 2022, 941 p.</w:t>
      </w:r>
    </w:p>
    <w:p w14:paraId="253E1350" w14:textId="77777777" w:rsidR="00611390" w:rsidRPr="00A33930" w:rsidRDefault="00611390" w:rsidP="00611390">
      <w:pPr>
        <w:spacing w:before="200" w:line="360" w:lineRule="auto"/>
        <w:jc w:val="both"/>
        <w:rPr>
          <w:rFonts w:eastAsia="Verdana" w:cs="Verdana"/>
          <w:szCs w:val="18"/>
          <w:lang w:val="nl-NL"/>
        </w:rPr>
      </w:pPr>
      <w:r w:rsidRPr="00A33930">
        <w:rPr>
          <w:rFonts w:eastAsia="Verdana" w:cs="Verdana"/>
          <w:szCs w:val="18"/>
          <w:lang w:val="nl-NL"/>
        </w:rPr>
        <w:t xml:space="preserve">BUCK, T., </w:t>
      </w:r>
      <w:r w:rsidRPr="00A33930">
        <w:rPr>
          <w:rFonts w:eastAsia="Verdana" w:cs="Verdana"/>
          <w:i/>
          <w:szCs w:val="18"/>
          <w:lang w:val="nl-NL"/>
        </w:rPr>
        <w:t xml:space="preserve">International child law, </w:t>
      </w:r>
      <w:r w:rsidRPr="00A33930">
        <w:rPr>
          <w:rFonts w:eastAsia="Verdana" w:cs="Verdana"/>
          <w:szCs w:val="18"/>
          <w:lang w:val="nl-NL"/>
        </w:rPr>
        <w:t>New York, Routledge, 2014, 478 p.</w:t>
      </w:r>
    </w:p>
    <w:p w14:paraId="4ACA4B4F" w14:textId="05ABD89C" w:rsidR="00754AB6" w:rsidRPr="00A33930" w:rsidRDefault="00754AB6" w:rsidP="00611390">
      <w:pPr>
        <w:spacing w:before="120" w:after="120" w:line="360" w:lineRule="auto"/>
        <w:jc w:val="both"/>
        <w:rPr>
          <w:szCs w:val="18"/>
          <w:lang w:val="nl-NL"/>
        </w:rPr>
      </w:pPr>
      <w:r w:rsidRPr="00A33930">
        <w:rPr>
          <w:szCs w:val="18"/>
          <w:lang w:val="nl-NL"/>
        </w:rPr>
        <w:t xml:space="preserve">DETRICK, S. en DOEK, J., </w:t>
      </w:r>
      <w:r w:rsidRPr="00A33930">
        <w:rPr>
          <w:i/>
          <w:iCs/>
          <w:szCs w:val="18"/>
          <w:lang w:val="nl-NL"/>
        </w:rPr>
        <w:t xml:space="preserve">The United Nations convention on the rights of the child: a guide to the “Travaux préparatoires”, </w:t>
      </w:r>
      <w:r w:rsidRPr="00A33930">
        <w:rPr>
          <w:szCs w:val="18"/>
          <w:lang w:val="nl-NL"/>
        </w:rPr>
        <w:t>Dordrecht, Nijhoff Publishers, 1992, 712 p.</w:t>
      </w:r>
    </w:p>
    <w:p w14:paraId="597797B0" w14:textId="57F0C534" w:rsidR="00611390" w:rsidRPr="00A33930" w:rsidRDefault="00611390" w:rsidP="00611390">
      <w:pPr>
        <w:spacing w:before="120" w:after="120" w:line="360" w:lineRule="auto"/>
        <w:jc w:val="both"/>
        <w:rPr>
          <w:szCs w:val="18"/>
          <w:lang w:val="nl-NL"/>
        </w:rPr>
      </w:pPr>
      <w:r w:rsidRPr="00A33930">
        <w:rPr>
          <w:szCs w:val="18"/>
          <w:lang w:val="nl-NL"/>
        </w:rPr>
        <w:t xml:space="preserve">DOEK, J., </w:t>
      </w:r>
      <w:r w:rsidRPr="00A33930">
        <w:rPr>
          <w:i/>
          <w:iCs/>
          <w:szCs w:val="18"/>
          <w:lang w:val="nl-NL"/>
        </w:rPr>
        <w:t>A Commentary on the United Nations Convention on the Rights of the Child / Articles 8-9, The Right to Preservation of Identity and The Right Not to Be Seperated From His or Her Parents</w:t>
      </w:r>
      <w:r w:rsidRPr="00A33930">
        <w:rPr>
          <w:szCs w:val="18"/>
          <w:lang w:val="nl-NL"/>
        </w:rPr>
        <w:t>, Leiden, Martinus Nijhoff Publishers, 2006, 31 p.</w:t>
      </w:r>
    </w:p>
    <w:p w14:paraId="290D612E" w14:textId="77777777" w:rsidR="0077608D" w:rsidRPr="00A33930" w:rsidRDefault="0077608D" w:rsidP="0077608D">
      <w:pPr>
        <w:spacing w:before="120" w:after="120" w:line="360" w:lineRule="auto"/>
        <w:jc w:val="both"/>
        <w:rPr>
          <w:szCs w:val="18"/>
          <w:lang w:val="nl-NL"/>
        </w:rPr>
      </w:pPr>
      <w:r w:rsidRPr="00A33930">
        <w:rPr>
          <w:szCs w:val="18"/>
          <w:lang w:val="nl-NL"/>
        </w:rPr>
        <w:t xml:space="preserve">DUBOIS, C. en PENNINCKX, E., </w:t>
      </w:r>
      <w:r w:rsidRPr="00A33930">
        <w:rPr>
          <w:i/>
          <w:iCs/>
          <w:szCs w:val="18"/>
          <w:lang w:val="nl-NL"/>
        </w:rPr>
        <w:t>La procédure devant la Cour européenne des Droits de l’Homme et le Comité de Ministres</w:t>
      </w:r>
      <w:r w:rsidRPr="00A33930">
        <w:rPr>
          <w:szCs w:val="18"/>
          <w:lang w:val="nl-NL"/>
        </w:rPr>
        <w:t>, Waterloo, Wolters Kluwer, 2016, 624 p.</w:t>
      </w:r>
    </w:p>
    <w:p w14:paraId="35584426" w14:textId="58DA2C24" w:rsidR="0077608D" w:rsidRPr="00A33930" w:rsidRDefault="0077608D" w:rsidP="00611390">
      <w:pPr>
        <w:spacing w:before="120" w:after="120" w:line="360" w:lineRule="auto"/>
        <w:jc w:val="both"/>
        <w:rPr>
          <w:szCs w:val="18"/>
          <w:lang w:val="nl-NL"/>
        </w:rPr>
      </w:pPr>
      <w:r w:rsidRPr="00A33930">
        <w:rPr>
          <w:szCs w:val="18"/>
          <w:lang w:val="nl-NL"/>
        </w:rPr>
        <w:t xml:space="preserve">FOROWICZ, M., </w:t>
      </w:r>
      <w:r w:rsidRPr="00A33930">
        <w:rPr>
          <w:i/>
          <w:iCs/>
          <w:szCs w:val="18"/>
          <w:lang w:val="nl-NL"/>
        </w:rPr>
        <w:t>The Reception of International Law in the European Court of Human Rights</w:t>
      </w:r>
      <w:r w:rsidRPr="00A33930">
        <w:rPr>
          <w:szCs w:val="18"/>
          <w:lang w:val="nl-NL"/>
        </w:rPr>
        <w:t>, Oxford, Oxford University Press, 2010, 421 p.</w:t>
      </w:r>
    </w:p>
    <w:p w14:paraId="5C031A8B" w14:textId="6158EFC5" w:rsidR="00611390" w:rsidRPr="00A33930" w:rsidRDefault="00611390" w:rsidP="00611390">
      <w:pPr>
        <w:spacing w:before="120" w:after="120" w:line="360" w:lineRule="auto"/>
        <w:jc w:val="both"/>
        <w:rPr>
          <w:szCs w:val="18"/>
          <w:lang w:val="nl-NL"/>
        </w:rPr>
      </w:pPr>
      <w:r w:rsidRPr="00A33930">
        <w:rPr>
          <w:szCs w:val="18"/>
          <w:lang w:val="nl-NL"/>
        </w:rPr>
        <w:t xml:space="preserve">FREEMAN, M., </w:t>
      </w:r>
      <w:r w:rsidRPr="00A33930">
        <w:rPr>
          <w:i/>
          <w:iCs/>
          <w:szCs w:val="18"/>
          <w:lang w:val="nl-NL"/>
        </w:rPr>
        <w:t>A Commentary on the United Nations Convention on the Rights of the Child / Article 3, The Best interests of the Child</w:t>
      </w:r>
      <w:r w:rsidRPr="00A33930">
        <w:rPr>
          <w:szCs w:val="18"/>
          <w:lang w:val="nl-NL"/>
        </w:rPr>
        <w:t>, Leiden, Martinus Nijhoff Publishers, 2007, 80 p.</w:t>
      </w:r>
    </w:p>
    <w:p w14:paraId="2A41C2C9" w14:textId="5271C3E2" w:rsidR="0077608D" w:rsidRPr="00A33930" w:rsidRDefault="0077608D" w:rsidP="0077608D">
      <w:pPr>
        <w:spacing w:before="120" w:after="120" w:line="360" w:lineRule="auto"/>
        <w:jc w:val="both"/>
        <w:rPr>
          <w:szCs w:val="18"/>
          <w:lang w:val="nl-NL"/>
        </w:rPr>
      </w:pPr>
      <w:r w:rsidRPr="00A33930">
        <w:rPr>
          <w:szCs w:val="18"/>
          <w:lang w:val="nl-NL"/>
        </w:rPr>
        <w:t>HAECK, Y.</w:t>
      </w:r>
      <w:r w:rsidR="00454FAC" w:rsidRPr="00A33930">
        <w:rPr>
          <w:szCs w:val="18"/>
          <w:lang w:val="nl-NL"/>
        </w:rPr>
        <w:t xml:space="preserve"> en</w:t>
      </w:r>
      <w:r w:rsidRPr="00A33930">
        <w:rPr>
          <w:szCs w:val="18"/>
          <w:lang w:val="nl-NL"/>
        </w:rPr>
        <w:t xml:space="preserve"> HERRERA, C.B., </w:t>
      </w:r>
      <w:r w:rsidRPr="00A33930">
        <w:rPr>
          <w:i/>
          <w:iCs/>
          <w:szCs w:val="18"/>
          <w:lang w:val="nl-NL"/>
        </w:rPr>
        <w:t>Procederen voor het Europees Hof voor de Rechten van de Mens</w:t>
      </w:r>
      <w:r w:rsidRPr="00A33930">
        <w:rPr>
          <w:szCs w:val="18"/>
          <w:lang w:val="nl-NL"/>
        </w:rPr>
        <w:t>, Antwerpen, Intersentia, 2011, 468 p.</w:t>
      </w:r>
    </w:p>
    <w:p w14:paraId="37DA7136" w14:textId="77777777" w:rsidR="0077608D" w:rsidRPr="00A33930" w:rsidRDefault="0077608D" w:rsidP="0077608D">
      <w:pPr>
        <w:spacing w:before="120" w:after="120" w:line="360" w:lineRule="auto"/>
        <w:jc w:val="both"/>
        <w:rPr>
          <w:szCs w:val="18"/>
          <w:lang w:val="nl-NL"/>
        </w:rPr>
      </w:pPr>
      <w:r w:rsidRPr="00A33930">
        <w:rPr>
          <w:szCs w:val="18"/>
          <w:lang w:val="nl-NL"/>
        </w:rPr>
        <w:t xml:space="preserve">HARRIS, D.J., O’BOYLE, M., BATES, E. en BUCLEY, C., </w:t>
      </w:r>
      <w:r w:rsidRPr="00A33930">
        <w:rPr>
          <w:i/>
          <w:iCs/>
          <w:szCs w:val="18"/>
          <w:lang w:val="nl-NL"/>
        </w:rPr>
        <w:t>Law of the European Convention on Human Rights</w:t>
      </w:r>
      <w:r w:rsidRPr="00A33930">
        <w:rPr>
          <w:szCs w:val="18"/>
          <w:lang w:val="nl-NL"/>
        </w:rPr>
        <w:t>, Oxford, Oxford University Press, 2018, 986 p.</w:t>
      </w:r>
    </w:p>
    <w:p w14:paraId="2BF35360" w14:textId="025F6666" w:rsidR="0077608D" w:rsidRPr="00A33930" w:rsidRDefault="0077608D" w:rsidP="00611390">
      <w:pPr>
        <w:spacing w:before="120" w:after="120" w:line="360" w:lineRule="auto"/>
        <w:jc w:val="both"/>
        <w:rPr>
          <w:szCs w:val="18"/>
          <w:lang w:val="nl-NL"/>
        </w:rPr>
      </w:pPr>
      <w:r w:rsidRPr="00A33930">
        <w:rPr>
          <w:szCs w:val="18"/>
          <w:lang w:val="nl-NL"/>
        </w:rPr>
        <w:t xml:space="preserve">HARRIS, D.J., O’BOYLE, M., WARBRICK, C., BATES, E., BUCKLEY, C., KILKELLY, U., CUMPER, P., ARAI, Y. en LARDY, L., </w:t>
      </w:r>
      <w:r w:rsidRPr="00A33930">
        <w:rPr>
          <w:i/>
          <w:iCs/>
          <w:szCs w:val="18"/>
          <w:lang w:val="nl-NL"/>
        </w:rPr>
        <w:t>Law of the European Convention on human rights</w:t>
      </w:r>
      <w:r w:rsidRPr="00A33930">
        <w:rPr>
          <w:szCs w:val="18"/>
          <w:lang w:val="nl-NL"/>
        </w:rPr>
        <w:t>, Oxford, Oxford University Press, 2009, 902 p.</w:t>
      </w:r>
    </w:p>
    <w:p w14:paraId="6F518181" w14:textId="72B73328" w:rsidR="0077608D" w:rsidRPr="00A33930" w:rsidRDefault="0077608D" w:rsidP="00611390">
      <w:pPr>
        <w:spacing w:before="120" w:after="120" w:line="360" w:lineRule="auto"/>
        <w:jc w:val="both"/>
        <w:rPr>
          <w:szCs w:val="18"/>
          <w:lang w:val="nl-NL"/>
        </w:rPr>
      </w:pPr>
      <w:r w:rsidRPr="00A33930">
        <w:rPr>
          <w:szCs w:val="18"/>
          <w:lang w:val="nl-NL"/>
        </w:rPr>
        <w:t xml:space="preserve">LENAERTS, K. en VAN NUFFEL, P., </w:t>
      </w:r>
      <w:r w:rsidRPr="00A33930">
        <w:rPr>
          <w:i/>
          <w:iCs/>
          <w:szCs w:val="18"/>
          <w:lang w:val="nl-NL"/>
        </w:rPr>
        <w:t>Europees recht (zevende editie</w:t>
      </w:r>
      <w:r w:rsidRPr="00A33930">
        <w:rPr>
          <w:szCs w:val="18"/>
          <w:lang w:val="nl-NL"/>
        </w:rPr>
        <w:t>), Antwerpen, Intersentia, 2023, 809 p.</w:t>
      </w:r>
    </w:p>
    <w:p w14:paraId="7E1E3E01" w14:textId="020E07E5" w:rsidR="00611390" w:rsidRPr="00A33930" w:rsidRDefault="00611390" w:rsidP="00611390">
      <w:pPr>
        <w:spacing w:before="120" w:after="120" w:line="360" w:lineRule="auto"/>
        <w:jc w:val="both"/>
        <w:rPr>
          <w:szCs w:val="18"/>
          <w:lang w:val="nl-NL"/>
        </w:rPr>
      </w:pPr>
      <w:r w:rsidRPr="00A33930">
        <w:rPr>
          <w:szCs w:val="18"/>
          <w:lang w:val="nl-NL"/>
        </w:rPr>
        <w:lastRenderedPageBreak/>
        <w:t xml:space="preserve">MAHMOUDI, S., LEVINER, P., KALDAL, A. en LAINPELTO, K., </w:t>
      </w:r>
      <w:r w:rsidRPr="00A33930">
        <w:rPr>
          <w:i/>
          <w:iCs/>
          <w:szCs w:val="18"/>
          <w:lang w:val="nl-NL"/>
        </w:rPr>
        <w:t>Child-friendly Justice: a quarter of a century of the UN Convention on the Rights of the Child</w:t>
      </w:r>
      <w:r w:rsidRPr="00A33930">
        <w:rPr>
          <w:szCs w:val="18"/>
          <w:lang w:val="nl-NL"/>
        </w:rPr>
        <w:t>, Leiden, Brill/Nijhoff, 2015, 100 p.</w:t>
      </w:r>
    </w:p>
    <w:p w14:paraId="693DA1B3" w14:textId="77777777" w:rsidR="00611390" w:rsidRPr="00A33930" w:rsidRDefault="00611390" w:rsidP="00611390">
      <w:pPr>
        <w:spacing w:before="120" w:after="120" w:line="360" w:lineRule="auto"/>
        <w:jc w:val="both"/>
        <w:rPr>
          <w:szCs w:val="18"/>
          <w:lang w:val="nl-NL"/>
        </w:rPr>
      </w:pPr>
      <w:r w:rsidRPr="00A33930">
        <w:rPr>
          <w:szCs w:val="18"/>
          <w:lang w:val="nl-NL"/>
        </w:rPr>
        <w:t xml:space="preserve">REYNAERT, D., ROOSE, R., VANDENHOLE, W. en VLIEGHE, K., </w:t>
      </w:r>
      <w:r w:rsidRPr="00A33930">
        <w:rPr>
          <w:i/>
          <w:iCs/>
          <w:szCs w:val="18"/>
          <w:lang w:val="nl-NL"/>
        </w:rPr>
        <w:t>Kinderrechten: springplank of struikelblok? Naar een kritische benadering van kinderrechten</w:t>
      </w:r>
      <w:r w:rsidRPr="00A33930">
        <w:rPr>
          <w:szCs w:val="18"/>
          <w:lang w:val="nl-NL"/>
        </w:rPr>
        <w:t>, Antwerpen, Intersentia, 2011, 112 p.</w:t>
      </w:r>
    </w:p>
    <w:p w14:paraId="7C713B3F" w14:textId="77777777" w:rsidR="00611390" w:rsidRPr="00A33930" w:rsidRDefault="00611390" w:rsidP="00611390">
      <w:pPr>
        <w:spacing w:before="200" w:line="360" w:lineRule="auto"/>
        <w:jc w:val="both"/>
        <w:rPr>
          <w:rFonts w:eastAsia="Verdana" w:cs="Verdana"/>
          <w:szCs w:val="18"/>
          <w:lang w:val="nl-NL"/>
        </w:rPr>
      </w:pPr>
      <w:r w:rsidRPr="00A33930">
        <w:rPr>
          <w:rFonts w:eastAsia="Verdana" w:cs="Verdana"/>
          <w:szCs w:val="18"/>
          <w:lang w:val="nl-NL"/>
        </w:rPr>
        <w:t xml:space="preserve">SCHERPE, J.M., </w:t>
      </w:r>
      <w:r w:rsidRPr="00A33930">
        <w:rPr>
          <w:rFonts w:eastAsia="Verdana" w:cs="Verdana"/>
          <w:i/>
          <w:szCs w:val="18"/>
          <w:lang w:val="nl-NL"/>
        </w:rPr>
        <w:t xml:space="preserve">European Family Law Volume I: the impact of institutions and organisations on European family law, </w:t>
      </w:r>
      <w:r w:rsidRPr="00A33930">
        <w:rPr>
          <w:rFonts w:eastAsia="Verdana" w:cs="Verdana"/>
          <w:szCs w:val="18"/>
          <w:lang w:val="nl-NL"/>
        </w:rPr>
        <w:t>Cheltenham, Edward Elgar Publishing,</w:t>
      </w:r>
      <w:r w:rsidRPr="00A33930">
        <w:rPr>
          <w:rFonts w:eastAsia="Verdana" w:cs="Verdana"/>
          <w:i/>
          <w:szCs w:val="18"/>
          <w:lang w:val="nl-NL"/>
        </w:rPr>
        <w:t xml:space="preserve"> </w:t>
      </w:r>
      <w:r w:rsidRPr="00A33930">
        <w:rPr>
          <w:rFonts w:eastAsia="Verdana" w:cs="Verdana"/>
          <w:szCs w:val="18"/>
          <w:lang w:val="nl-NL"/>
        </w:rPr>
        <w:t>2016, 384 p.</w:t>
      </w:r>
    </w:p>
    <w:p w14:paraId="1EFADD52" w14:textId="77777777" w:rsidR="00611390" w:rsidRPr="00A33930" w:rsidRDefault="00611390" w:rsidP="00611390">
      <w:pPr>
        <w:spacing w:before="200" w:line="360" w:lineRule="auto"/>
        <w:jc w:val="both"/>
        <w:rPr>
          <w:rFonts w:eastAsia="Verdana" w:cs="Verdana"/>
          <w:szCs w:val="18"/>
          <w:lang w:val="nl-NL"/>
        </w:rPr>
      </w:pPr>
      <w:r w:rsidRPr="00A33930">
        <w:rPr>
          <w:rFonts w:eastAsia="Verdana" w:cs="Verdana"/>
          <w:szCs w:val="18"/>
          <w:lang w:val="nl-NL"/>
        </w:rPr>
        <w:t xml:space="preserve">SCHERPE, J.M., </w:t>
      </w:r>
      <w:r w:rsidRPr="00A33930">
        <w:rPr>
          <w:rFonts w:eastAsia="Verdana" w:cs="Verdana"/>
          <w:i/>
          <w:szCs w:val="18"/>
          <w:lang w:val="nl-NL"/>
        </w:rPr>
        <w:t xml:space="preserve">European Family Law Volume III: family law in a European perspective, </w:t>
      </w:r>
      <w:r w:rsidRPr="00A33930">
        <w:rPr>
          <w:rFonts w:eastAsia="Verdana" w:cs="Verdana"/>
          <w:szCs w:val="18"/>
          <w:lang w:val="nl-NL"/>
        </w:rPr>
        <w:t>Cheltenham, Edward Elgar Publishing,</w:t>
      </w:r>
      <w:r w:rsidRPr="00A33930">
        <w:rPr>
          <w:rFonts w:eastAsia="Verdana" w:cs="Verdana"/>
          <w:i/>
          <w:szCs w:val="18"/>
          <w:lang w:val="nl-NL"/>
        </w:rPr>
        <w:t xml:space="preserve"> </w:t>
      </w:r>
      <w:r w:rsidRPr="00A33930">
        <w:rPr>
          <w:rFonts w:eastAsia="Verdana" w:cs="Verdana"/>
          <w:szCs w:val="18"/>
          <w:lang w:val="nl-NL"/>
        </w:rPr>
        <w:t>2016, 416 p.</w:t>
      </w:r>
    </w:p>
    <w:p w14:paraId="190948F7" w14:textId="77777777" w:rsidR="00611390" w:rsidRPr="00A33930" w:rsidRDefault="00611390" w:rsidP="00611390">
      <w:pPr>
        <w:spacing w:before="200" w:line="360" w:lineRule="auto"/>
        <w:jc w:val="both"/>
        <w:rPr>
          <w:rFonts w:eastAsia="Verdana" w:cs="Verdana"/>
          <w:szCs w:val="18"/>
          <w:lang w:val="nl-NL"/>
        </w:rPr>
      </w:pPr>
      <w:r w:rsidRPr="00A33930">
        <w:rPr>
          <w:rFonts w:eastAsia="Verdana" w:cs="Verdana"/>
          <w:szCs w:val="18"/>
          <w:lang w:val="nl-NL"/>
        </w:rPr>
        <w:t xml:space="preserve">SENAEVE, P. en LEMMENS, P., </w:t>
      </w:r>
      <w:r w:rsidRPr="00A33930">
        <w:rPr>
          <w:rFonts w:eastAsia="Verdana" w:cs="Verdana"/>
          <w:i/>
          <w:szCs w:val="18"/>
          <w:lang w:val="nl-NL"/>
        </w:rPr>
        <w:t>De betekenis van de mensenrechten voor het personen- en familierecht</w:t>
      </w:r>
      <w:r w:rsidRPr="00A33930">
        <w:rPr>
          <w:rFonts w:eastAsia="Verdana" w:cs="Verdana"/>
          <w:szCs w:val="18"/>
          <w:lang w:val="nl-NL"/>
        </w:rPr>
        <w:t>, Antwerpen, Intersentia, 2004, 201 p.</w:t>
      </w:r>
    </w:p>
    <w:p w14:paraId="0B14F6D1" w14:textId="77777777" w:rsidR="0077608D" w:rsidRPr="00A33930" w:rsidRDefault="0077608D" w:rsidP="0077608D">
      <w:pPr>
        <w:spacing w:before="120" w:after="120" w:line="360" w:lineRule="auto"/>
        <w:jc w:val="both"/>
        <w:rPr>
          <w:szCs w:val="18"/>
          <w:lang w:val="nl-NL"/>
        </w:rPr>
      </w:pPr>
      <w:r w:rsidRPr="00A33930">
        <w:rPr>
          <w:szCs w:val="18"/>
          <w:lang w:val="nl-NL"/>
        </w:rPr>
        <w:t xml:space="preserve">SENDEN, H., </w:t>
      </w:r>
      <w:r w:rsidRPr="00A33930">
        <w:rPr>
          <w:i/>
          <w:iCs/>
          <w:szCs w:val="18"/>
          <w:lang w:val="nl-NL"/>
        </w:rPr>
        <w:t>Interpretation of fundamental rights in a multilevel legal system. An analysis of the European Court of Human Rights and the Court of Justice of the European Union</w:t>
      </w:r>
      <w:r w:rsidRPr="00A33930">
        <w:rPr>
          <w:szCs w:val="18"/>
          <w:lang w:val="nl-NL"/>
        </w:rPr>
        <w:t>, Antwerpen, Intersentia, 2011, 455 p.</w:t>
      </w:r>
    </w:p>
    <w:p w14:paraId="18115413" w14:textId="74C67564" w:rsidR="0077608D" w:rsidRPr="00A33930" w:rsidRDefault="0077608D" w:rsidP="00611390">
      <w:pPr>
        <w:spacing w:before="120" w:after="120" w:line="360" w:lineRule="auto"/>
        <w:jc w:val="both"/>
        <w:rPr>
          <w:szCs w:val="18"/>
          <w:lang w:val="nl-NL"/>
        </w:rPr>
      </w:pPr>
      <w:r w:rsidRPr="00A33930">
        <w:rPr>
          <w:szCs w:val="18"/>
          <w:lang w:val="nl-NL"/>
        </w:rPr>
        <w:t xml:space="preserve">SMIS, S., JANSSENS, C.H., MIRGAUX, S. en VAN LAETHEM, K., </w:t>
      </w:r>
      <w:r w:rsidRPr="00A33930">
        <w:rPr>
          <w:i/>
          <w:iCs/>
          <w:szCs w:val="18"/>
          <w:lang w:val="nl-NL"/>
        </w:rPr>
        <w:t>Handboek mensenrechten: de internationale bescherming van de rechten van de mens</w:t>
      </w:r>
      <w:r w:rsidRPr="00A33930">
        <w:rPr>
          <w:szCs w:val="18"/>
          <w:lang w:val="nl-NL"/>
        </w:rPr>
        <w:t>, Antwerpen, Intersentia, 2011, 660 p.</w:t>
      </w:r>
    </w:p>
    <w:p w14:paraId="1440EBB9" w14:textId="5A841473" w:rsidR="00611390" w:rsidRPr="00A33930" w:rsidRDefault="00611390" w:rsidP="00611390">
      <w:pPr>
        <w:spacing w:before="120" w:after="120" w:line="360" w:lineRule="auto"/>
        <w:jc w:val="both"/>
        <w:rPr>
          <w:szCs w:val="18"/>
          <w:lang w:val="nl-NL"/>
        </w:rPr>
      </w:pPr>
      <w:r w:rsidRPr="00A33930">
        <w:rPr>
          <w:szCs w:val="18"/>
          <w:lang w:val="nl-NL"/>
        </w:rPr>
        <w:t xml:space="preserve">STARK, B., </w:t>
      </w:r>
      <w:r w:rsidRPr="00A33930">
        <w:rPr>
          <w:i/>
          <w:iCs/>
          <w:szCs w:val="18"/>
          <w:lang w:val="nl-NL"/>
        </w:rPr>
        <w:t>Human rights and children: an Edward Elgar research review</w:t>
      </w:r>
      <w:r w:rsidRPr="00A33930">
        <w:rPr>
          <w:szCs w:val="18"/>
          <w:lang w:val="nl-NL"/>
        </w:rPr>
        <w:t>, Cheltenham, Edward Elgar Publishers, 2017, X.</w:t>
      </w:r>
    </w:p>
    <w:p w14:paraId="199FD055" w14:textId="77777777" w:rsidR="00611390" w:rsidRPr="00A33930" w:rsidRDefault="00611390" w:rsidP="00611390">
      <w:pPr>
        <w:spacing w:before="200" w:line="360" w:lineRule="auto"/>
        <w:jc w:val="both"/>
        <w:rPr>
          <w:rFonts w:eastAsia="Verdana" w:cs="Verdana"/>
          <w:szCs w:val="18"/>
          <w:lang w:val="nl-NL"/>
        </w:rPr>
      </w:pPr>
      <w:r w:rsidRPr="00A33930">
        <w:rPr>
          <w:szCs w:val="18"/>
          <w:lang w:val="nl-NL"/>
        </w:rPr>
        <w:t xml:space="preserve">VAGHRI, Z., ZERMATTEN, J., LANSDOWN, G. en RUGGIERO, R. (eds.), </w:t>
      </w:r>
      <w:r w:rsidRPr="00A33930">
        <w:rPr>
          <w:i/>
          <w:iCs/>
          <w:szCs w:val="18"/>
          <w:lang w:val="nl-NL"/>
        </w:rPr>
        <w:t>Monitoring state compliance with the UN Convention on the Rights of the Child: an analysis of attributes</w:t>
      </w:r>
      <w:r w:rsidRPr="00A33930">
        <w:rPr>
          <w:szCs w:val="18"/>
          <w:lang w:val="nl-NL"/>
        </w:rPr>
        <w:t xml:space="preserve">, Zwitserland, Springer, 2022, 435 p. </w:t>
      </w:r>
    </w:p>
    <w:p w14:paraId="27112A73" w14:textId="173D8651" w:rsidR="00611390" w:rsidRPr="00A33930" w:rsidRDefault="00611390" w:rsidP="00611390">
      <w:pPr>
        <w:spacing w:before="120" w:after="120" w:line="360" w:lineRule="auto"/>
        <w:jc w:val="both"/>
        <w:rPr>
          <w:szCs w:val="18"/>
          <w:lang w:val="nl-NL"/>
        </w:rPr>
      </w:pPr>
      <w:r w:rsidRPr="00A33930">
        <w:rPr>
          <w:szCs w:val="18"/>
          <w:lang w:val="nl-NL"/>
        </w:rPr>
        <w:t xml:space="preserve">VAN BUEREN, G., </w:t>
      </w:r>
      <w:r w:rsidRPr="00A33930">
        <w:rPr>
          <w:i/>
          <w:iCs/>
          <w:szCs w:val="18"/>
          <w:lang w:val="nl-NL"/>
        </w:rPr>
        <w:t>Child rights in Europe. Convergence and divergence in judicial protection</w:t>
      </w:r>
      <w:r w:rsidRPr="00A33930">
        <w:rPr>
          <w:szCs w:val="18"/>
          <w:lang w:val="nl-NL"/>
        </w:rPr>
        <w:t>, Straatsburg, Council of Europe, 2007, 201 p.</w:t>
      </w:r>
    </w:p>
    <w:p w14:paraId="7B0B4CF9" w14:textId="78AB07A1" w:rsidR="00611390" w:rsidRPr="00A33930" w:rsidRDefault="0077608D" w:rsidP="001D6547">
      <w:pPr>
        <w:spacing w:before="120" w:after="120" w:line="360" w:lineRule="auto"/>
        <w:jc w:val="both"/>
        <w:rPr>
          <w:szCs w:val="18"/>
          <w:lang w:val="nl-NL"/>
        </w:rPr>
      </w:pPr>
      <w:r w:rsidRPr="00A33930">
        <w:rPr>
          <w:szCs w:val="18"/>
          <w:lang w:val="nl-NL"/>
        </w:rPr>
        <w:t xml:space="preserve">WOUTERS, J., </w:t>
      </w:r>
      <w:r w:rsidRPr="00A33930">
        <w:rPr>
          <w:i/>
          <w:iCs/>
          <w:szCs w:val="18"/>
          <w:lang w:val="nl-NL"/>
        </w:rPr>
        <w:t>Internationaal recht in kort bestek (derde editie)</w:t>
      </w:r>
      <w:r w:rsidRPr="00A33930">
        <w:rPr>
          <w:szCs w:val="18"/>
          <w:lang w:val="nl-NL"/>
        </w:rPr>
        <w:t>, Antwerpen, Intersentia, 2020, 490 p.</w:t>
      </w:r>
    </w:p>
    <w:p w14:paraId="12A454E4" w14:textId="77777777" w:rsidR="00AE65F8" w:rsidRPr="00A33930" w:rsidRDefault="00AE65F8" w:rsidP="001D6547">
      <w:pPr>
        <w:spacing w:before="360" w:after="120" w:line="360" w:lineRule="auto"/>
        <w:jc w:val="both"/>
        <w:rPr>
          <w:rFonts w:eastAsia="Verdana" w:cs="Verdana"/>
          <w:i/>
          <w:sz w:val="19"/>
          <w:szCs w:val="19"/>
          <w:u w:val="single"/>
          <w:lang w:val="nl-NL"/>
        </w:rPr>
      </w:pPr>
      <w:r w:rsidRPr="00A33930">
        <w:rPr>
          <w:rFonts w:eastAsia="Verdana" w:cs="Verdana"/>
          <w:i/>
          <w:sz w:val="19"/>
          <w:szCs w:val="19"/>
          <w:u w:val="single"/>
          <w:lang w:val="nl-NL"/>
        </w:rPr>
        <w:t>§2. Bijdragen in verzamelwerken:</w:t>
      </w:r>
    </w:p>
    <w:p w14:paraId="247998A9" w14:textId="77777777" w:rsidR="0077608D" w:rsidRPr="00A33930" w:rsidRDefault="0077608D" w:rsidP="0077608D">
      <w:pPr>
        <w:spacing w:before="200" w:line="360" w:lineRule="auto"/>
        <w:jc w:val="both"/>
        <w:rPr>
          <w:rFonts w:eastAsia="Verdana" w:cs="Verdana"/>
          <w:szCs w:val="18"/>
          <w:highlight w:val="white"/>
          <w:lang w:val="nl-NL"/>
        </w:rPr>
      </w:pPr>
      <w:r w:rsidRPr="00A33930">
        <w:rPr>
          <w:rFonts w:eastAsia="Verdana" w:cs="Verdana"/>
          <w:szCs w:val="18"/>
          <w:highlight w:val="white"/>
          <w:lang w:val="nl-NL"/>
        </w:rPr>
        <w:t xml:space="preserve">ALEN, A. en PAS, W., “The UN Convention on the Rights of the Child’s Self-executing Character” in VERHELLEN, E. (ed.), </w:t>
      </w:r>
      <w:r w:rsidRPr="00A33930">
        <w:rPr>
          <w:rFonts w:eastAsia="Verdana" w:cs="Verdana"/>
          <w:i/>
          <w:iCs/>
          <w:szCs w:val="18"/>
          <w:highlight w:val="white"/>
          <w:lang w:val="nl-NL"/>
        </w:rPr>
        <w:t xml:space="preserve">Monitoring Children’s Rights, </w:t>
      </w:r>
      <w:r w:rsidRPr="00A33930">
        <w:rPr>
          <w:rFonts w:eastAsia="Verdana" w:cs="Verdana"/>
          <w:szCs w:val="18"/>
          <w:highlight w:val="white"/>
          <w:lang w:val="nl-NL"/>
        </w:rPr>
        <w:t>den Haag, Martinus Nijhoff Publishers 1996, 165-186.</w:t>
      </w:r>
    </w:p>
    <w:p w14:paraId="67E25546" w14:textId="77777777" w:rsidR="0077608D" w:rsidRPr="00A33930" w:rsidRDefault="0077608D" w:rsidP="0077608D">
      <w:pPr>
        <w:spacing w:before="200" w:line="360" w:lineRule="auto"/>
        <w:jc w:val="both"/>
        <w:rPr>
          <w:rFonts w:eastAsia="Verdana" w:cs="Verdana"/>
          <w:szCs w:val="18"/>
          <w:highlight w:val="white"/>
          <w:lang w:val="nl-NL"/>
        </w:rPr>
      </w:pPr>
      <w:r w:rsidRPr="00A33930">
        <w:rPr>
          <w:rFonts w:eastAsia="Verdana" w:cs="Verdana"/>
          <w:szCs w:val="18"/>
          <w:highlight w:val="white"/>
          <w:lang w:val="nl-NL"/>
        </w:rPr>
        <w:t xml:space="preserve">COUZENS, M., “Autonomy rights versus parental autonomy” in ALEN, A., BOSLY, H., DE BIE, M., VANDE LANOTTE, J. e.a. (eds.), </w:t>
      </w:r>
      <w:r w:rsidRPr="00A33930">
        <w:rPr>
          <w:rFonts w:eastAsia="Verdana" w:cs="Verdana"/>
          <w:i/>
          <w:iCs/>
          <w:szCs w:val="18"/>
          <w:highlight w:val="white"/>
          <w:lang w:val="nl-NL"/>
        </w:rPr>
        <w:t xml:space="preserve">The UN Children’s Rights Convention: theory meets practice, </w:t>
      </w:r>
      <w:r w:rsidRPr="00A33930">
        <w:rPr>
          <w:rFonts w:eastAsia="Verdana" w:cs="Verdana"/>
          <w:szCs w:val="18"/>
          <w:highlight w:val="white"/>
          <w:lang w:val="nl-NL"/>
        </w:rPr>
        <w:t>Antwerpen, Intersentia, 2007, 419-438.</w:t>
      </w:r>
    </w:p>
    <w:p w14:paraId="70EE3C03" w14:textId="77777777" w:rsidR="0077608D" w:rsidRPr="00A33930" w:rsidRDefault="0077608D" w:rsidP="0077608D">
      <w:pPr>
        <w:spacing w:before="200" w:line="360" w:lineRule="auto"/>
        <w:jc w:val="both"/>
        <w:rPr>
          <w:rFonts w:eastAsia="Verdana" w:cs="Verdana"/>
          <w:szCs w:val="18"/>
          <w:highlight w:val="white"/>
          <w:lang w:val="nl-NL"/>
        </w:rPr>
      </w:pPr>
      <w:r w:rsidRPr="00A33930">
        <w:rPr>
          <w:rFonts w:eastAsia="Verdana" w:cs="Verdana"/>
          <w:szCs w:val="18"/>
          <w:highlight w:val="white"/>
          <w:lang w:val="nl-NL"/>
        </w:rPr>
        <w:t xml:space="preserve">DOEK, J., “Article 9. The Right Not to Be Separated from His or Her Parents” in ALEN, A., VANDE LANOTTE, J., VERHELLEN, E., ANG, F., BERGHMANS, E. en VERHEYDE, M. (eds.), </w:t>
      </w:r>
      <w:r w:rsidRPr="00A33930">
        <w:rPr>
          <w:rFonts w:eastAsia="Verdana" w:cs="Verdana"/>
          <w:i/>
          <w:iCs/>
          <w:szCs w:val="18"/>
          <w:highlight w:val="white"/>
          <w:lang w:val="nl-NL"/>
        </w:rPr>
        <w:t>A Commentary on the United Nations Convention on the Rights of the Child</w:t>
      </w:r>
      <w:r w:rsidRPr="00A33930">
        <w:rPr>
          <w:rFonts w:eastAsia="Verdana" w:cs="Verdana"/>
          <w:szCs w:val="18"/>
          <w:highlight w:val="white"/>
          <w:lang w:val="nl-NL"/>
        </w:rPr>
        <w:t>, Leiden, 2006, 1-32.</w:t>
      </w:r>
    </w:p>
    <w:p w14:paraId="7E813A45" w14:textId="77777777" w:rsidR="0077608D" w:rsidRPr="00A33930" w:rsidRDefault="0077608D" w:rsidP="0077608D">
      <w:pPr>
        <w:spacing w:before="200" w:line="360" w:lineRule="auto"/>
        <w:jc w:val="both"/>
        <w:rPr>
          <w:rFonts w:eastAsia="Verdana" w:cs="Verdana"/>
          <w:szCs w:val="18"/>
          <w:highlight w:val="white"/>
          <w:lang w:val="nl-NL"/>
        </w:rPr>
      </w:pPr>
      <w:r w:rsidRPr="00A33930">
        <w:rPr>
          <w:rFonts w:eastAsia="Verdana" w:cs="Verdana"/>
          <w:szCs w:val="18"/>
          <w:highlight w:val="white"/>
          <w:lang w:val="nl-NL"/>
        </w:rPr>
        <w:lastRenderedPageBreak/>
        <w:t xml:space="preserve">EEKELAAR, J., “Two dimensions of the best interests principle: decisions about children and decisions affecting children” in SUTHERLAND, E.E. en BARNES MACFARLANE, L.A. (eds.), </w:t>
      </w:r>
      <w:r w:rsidRPr="00A33930">
        <w:rPr>
          <w:rFonts w:eastAsia="Verdana" w:cs="Verdana"/>
          <w:i/>
          <w:iCs/>
          <w:szCs w:val="18"/>
          <w:highlight w:val="white"/>
          <w:lang w:val="nl-NL"/>
        </w:rPr>
        <w:t>Implementing Article 3 of the United Nations Convention on the Rights of the Child: Best Interests, Welfare and Well-being</w:t>
      </w:r>
      <w:r w:rsidRPr="00A33930">
        <w:rPr>
          <w:rFonts w:eastAsia="Verdana" w:cs="Verdana"/>
          <w:szCs w:val="18"/>
          <w:highlight w:val="white"/>
          <w:lang w:val="nl-NL"/>
        </w:rPr>
        <w:t>, Cambridge, Cambridge University Press, 2016, 99-111.</w:t>
      </w:r>
    </w:p>
    <w:p w14:paraId="3EA55A95" w14:textId="77777777" w:rsidR="0077608D" w:rsidRPr="00A33930" w:rsidRDefault="0077608D" w:rsidP="0077608D">
      <w:pPr>
        <w:spacing w:before="200" w:line="360" w:lineRule="auto"/>
        <w:jc w:val="both"/>
        <w:rPr>
          <w:rFonts w:eastAsia="Verdana" w:cs="Verdana"/>
          <w:szCs w:val="18"/>
          <w:highlight w:val="white"/>
          <w:lang w:val="nl-NL"/>
        </w:rPr>
      </w:pPr>
      <w:r w:rsidRPr="00A33930">
        <w:rPr>
          <w:rFonts w:eastAsia="Verdana" w:cs="Verdana"/>
          <w:szCs w:val="18"/>
          <w:highlight w:val="white"/>
          <w:lang w:val="nl-NL"/>
        </w:rPr>
        <w:t xml:space="preserve">GONZALEZ, G., “L’incertaine hiérarchie des intérêts en conflit” in SUDRE, F. (ed.), </w:t>
      </w:r>
      <w:r w:rsidRPr="00A33930">
        <w:rPr>
          <w:rFonts w:eastAsia="Verdana" w:cs="Verdana"/>
          <w:i/>
          <w:iCs/>
          <w:szCs w:val="18"/>
          <w:highlight w:val="white"/>
          <w:lang w:val="nl-NL"/>
        </w:rPr>
        <w:t>Les conflits de droits dans la jurisprudence de la Cour européenne des droits de l’homme,</w:t>
      </w:r>
      <w:r w:rsidRPr="00A33930">
        <w:rPr>
          <w:rFonts w:eastAsia="Verdana" w:cs="Verdana"/>
          <w:szCs w:val="18"/>
          <w:highlight w:val="white"/>
          <w:lang w:val="nl-NL"/>
        </w:rPr>
        <w:t xml:space="preserve"> Limal, Anthemis, 2014, 225-282.</w:t>
      </w:r>
    </w:p>
    <w:p w14:paraId="6890E729" w14:textId="77777777" w:rsidR="0077608D" w:rsidRPr="00A33930" w:rsidRDefault="0077608D" w:rsidP="0077608D">
      <w:pPr>
        <w:spacing w:before="200" w:line="360" w:lineRule="auto"/>
        <w:jc w:val="both"/>
        <w:rPr>
          <w:rFonts w:eastAsia="Verdana" w:cs="Verdana"/>
          <w:szCs w:val="18"/>
          <w:highlight w:val="white"/>
          <w:lang w:val="nl-NL"/>
        </w:rPr>
      </w:pPr>
      <w:r w:rsidRPr="00A33930">
        <w:rPr>
          <w:rFonts w:eastAsia="Verdana" w:cs="Verdana"/>
          <w:szCs w:val="18"/>
          <w:highlight w:val="white"/>
          <w:lang w:val="nl-NL"/>
        </w:rPr>
        <w:t xml:space="preserve">PARKER, S., “The best interests of the child – principles and problems” in ALSTON, P. (ed.), </w:t>
      </w:r>
      <w:r w:rsidRPr="00A33930">
        <w:rPr>
          <w:rFonts w:eastAsia="Verdana" w:cs="Verdana"/>
          <w:i/>
          <w:iCs/>
          <w:szCs w:val="18"/>
          <w:highlight w:val="white"/>
          <w:lang w:val="nl-NL"/>
        </w:rPr>
        <w:t>The best interests of the child. Reconciling culture and human rights</w:t>
      </w:r>
      <w:r w:rsidRPr="00A33930">
        <w:rPr>
          <w:rFonts w:eastAsia="Verdana" w:cs="Verdana"/>
          <w:szCs w:val="18"/>
          <w:highlight w:val="white"/>
          <w:lang w:val="nl-NL"/>
        </w:rPr>
        <w:t>, Clarendon Press, Oxford, 1994, 26-41.</w:t>
      </w:r>
    </w:p>
    <w:p w14:paraId="07E892CB" w14:textId="54509D9A" w:rsidR="0077608D" w:rsidRPr="00A33930" w:rsidRDefault="0077608D" w:rsidP="00AE65F8">
      <w:pPr>
        <w:spacing w:before="200" w:line="360" w:lineRule="auto"/>
        <w:jc w:val="both"/>
        <w:rPr>
          <w:rFonts w:eastAsia="Verdana" w:cs="Verdana"/>
          <w:szCs w:val="18"/>
          <w:highlight w:val="white"/>
          <w:lang w:val="nl-NL"/>
        </w:rPr>
      </w:pPr>
      <w:r w:rsidRPr="00A33930">
        <w:rPr>
          <w:rFonts w:eastAsia="Verdana" w:cs="Verdana"/>
          <w:szCs w:val="18"/>
          <w:highlight w:val="white"/>
          <w:lang w:val="nl-NL"/>
        </w:rPr>
        <w:t xml:space="preserve">SAROLEA, S., “L’intérêt supérieur de l’enfant dans les affaires de droit international privé devant la Cour européenne des droits de l’homme” in BARNICH, L. e.a. (eds.), </w:t>
      </w:r>
      <w:r w:rsidRPr="00A33930">
        <w:rPr>
          <w:rFonts w:eastAsia="Verdana" w:cs="Verdana"/>
          <w:i/>
          <w:iCs/>
          <w:szCs w:val="18"/>
          <w:highlight w:val="white"/>
          <w:lang w:val="nl-NL"/>
        </w:rPr>
        <w:t>Le droit des relations familiales internationales à la croisée des chemins</w:t>
      </w:r>
      <w:r w:rsidRPr="00A33930">
        <w:rPr>
          <w:rFonts w:eastAsia="Verdana" w:cs="Verdana"/>
          <w:szCs w:val="18"/>
          <w:highlight w:val="white"/>
          <w:lang w:val="nl-NL"/>
        </w:rPr>
        <w:t>, Brussel, Bruylant, 2016, 107-147.</w:t>
      </w:r>
    </w:p>
    <w:p w14:paraId="142AF8D6" w14:textId="77777777" w:rsidR="00AE65F8" w:rsidRPr="00A33930" w:rsidRDefault="00AE65F8" w:rsidP="001D6547">
      <w:pPr>
        <w:spacing w:before="360" w:after="120" w:line="360" w:lineRule="auto"/>
        <w:jc w:val="both"/>
        <w:rPr>
          <w:rFonts w:eastAsia="Verdana" w:cs="Verdana"/>
          <w:i/>
          <w:sz w:val="19"/>
          <w:szCs w:val="19"/>
          <w:u w:val="single"/>
          <w:lang w:val="nl-NL"/>
        </w:rPr>
      </w:pPr>
      <w:r w:rsidRPr="00A33930">
        <w:rPr>
          <w:rFonts w:eastAsia="Verdana" w:cs="Verdana"/>
          <w:i/>
          <w:sz w:val="19"/>
          <w:szCs w:val="19"/>
          <w:u w:val="single"/>
          <w:lang w:val="nl-NL"/>
        </w:rPr>
        <w:t>§3. Tijdschriften:</w:t>
      </w:r>
    </w:p>
    <w:p w14:paraId="0177C9AD" w14:textId="77777777" w:rsidR="0077608D" w:rsidRPr="00A33930" w:rsidRDefault="0077608D" w:rsidP="0077608D">
      <w:pPr>
        <w:spacing w:before="120" w:after="120" w:line="360" w:lineRule="auto"/>
        <w:jc w:val="both"/>
        <w:rPr>
          <w:rFonts w:eastAsia="Verdana" w:cs="Verdana"/>
          <w:iCs/>
          <w:szCs w:val="18"/>
          <w:lang w:val="nl-NL"/>
        </w:rPr>
      </w:pPr>
      <w:r w:rsidRPr="00A33930">
        <w:rPr>
          <w:rFonts w:eastAsia="Verdana" w:cs="Verdana"/>
          <w:iCs/>
          <w:szCs w:val="18"/>
          <w:lang w:val="nl-NL"/>
        </w:rPr>
        <w:t xml:space="preserve">BERRO-LEFÈVRE, I., “L’access des enfants à la Cour européenne des droits de l’Homme”, </w:t>
      </w:r>
      <w:r w:rsidRPr="00A33930">
        <w:rPr>
          <w:rFonts w:eastAsia="Verdana" w:cs="Verdana"/>
          <w:i/>
          <w:iCs/>
          <w:szCs w:val="18"/>
          <w:lang w:val="nl-NL"/>
        </w:rPr>
        <w:t>Journal du droit des jeunes</w:t>
      </w:r>
      <w:r w:rsidRPr="00A33930">
        <w:rPr>
          <w:rFonts w:eastAsia="Verdana" w:cs="Verdana"/>
          <w:iCs/>
          <w:szCs w:val="18"/>
          <w:lang w:val="nl-NL"/>
        </w:rPr>
        <w:t xml:space="preserve"> 2008, afl. 272, 35-38.</w:t>
      </w:r>
    </w:p>
    <w:p w14:paraId="386D7B84" w14:textId="77777777" w:rsidR="007A4C05" w:rsidRPr="00A33930" w:rsidRDefault="007A4C05" w:rsidP="00611390">
      <w:pPr>
        <w:spacing w:before="120" w:after="120" w:line="360" w:lineRule="auto"/>
        <w:jc w:val="both"/>
        <w:rPr>
          <w:rFonts w:eastAsia="Verdana" w:cs="Verdana"/>
          <w:szCs w:val="18"/>
          <w:lang w:val="nl-NL"/>
        </w:rPr>
      </w:pPr>
      <w:r w:rsidRPr="00A33930">
        <w:rPr>
          <w:rFonts w:eastAsia="Verdana" w:cs="Verdana"/>
          <w:szCs w:val="18"/>
          <w:lang w:val="nl-NL"/>
        </w:rPr>
        <w:t xml:space="preserve">BOELE-WOELKI, K. en MARTINY, D., “The Commission on European Family Law (CEFL) and its Principles of European Family Law Regarding Parental Responsibilities”, </w:t>
      </w:r>
      <w:r w:rsidRPr="00A33930">
        <w:rPr>
          <w:rFonts w:eastAsia="Verdana" w:cs="Verdana"/>
          <w:i/>
          <w:iCs/>
          <w:szCs w:val="18"/>
          <w:lang w:val="nl-NL"/>
        </w:rPr>
        <w:t>ERA Forum</w:t>
      </w:r>
      <w:r w:rsidRPr="00A33930">
        <w:rPr>
          <w:rFonts w:eastAsia="Verdana" w:cs="Verdana"/>
          <w:szCs w:val="18"/>
          <w:lang w:val="nl-NL"/>
        </w:rPr>
        <w:t xml:space="preserve"> 27 maart 2007, 125-143.</w:t>
      </w:r>
    </w:p>
    <w:p w14:paraId="4D7D62CA" w14:textId="77777777" w:rsidR="0077608D" w:rsidRPr="00A33930" w:rsidRDefault="0077608D" w:rsidP="0077608D">
      <w:pPr>
        <w:spacing w:before="120" w:after="120" w:line="360" w:lineRule="auto"/>
        <w:jc w:val="both"/>
        <w:rPr>
          <w:rFonts w:eastAsia="Verdana" w:cs="Verdana"/>
          <w:iCs/>
          <w:szCs w:val="18"/>
          <w:lang w:val="nl-NL"/>
        </w:rPr>
      </w:pPr>
      <w:r w:rsidRPr="00A33930">
        <w:rPr>
          <w:rFonts w:eastAsia="Verdana" w:cs="Verdana"/>
          <w:iCs/>
          <w:szCs w:val="18"/>
          <w:lang w:val="nl-NL"/>
        </w:rPr>
        <w:t xml:space="preserve">EEKELAAR, J., “The emergence of children’s rights”, </w:t>
      </w:r>
      <w:r w:rsidRPr="00A33930">
        <w:rPr>
          <w:rFonts w:eastAsia="Verdana" w:cs="Verdana"/>
          <w:i/>
          <w:szCs w:val="18"/>
          <w:lang w:val="nl-NL"/>
        </w:rPr>
        <w:t>Oxford Journal Legal Studies</w:t>
      </w:r>
      <w:r w:rsidRPr="00A33930">
        <w:rPr>
          <w:rFonts w:eastAsia="Verdana" w:cs="Verdana"/>
          <w:iCs/>
          <w:szCs w:val="18"/>
          <w:lang w:val="nl-NL"/>
        </w:rPr>
        <w:t xml:space="preserve"> 1986, 161-182.</w:t>
      </w:r>
    </w:p>
    <w:p w14:paraId="5E43C2D0" w14:textId="77777777" w:rsidR="0077608D" w:rsidRPr="00A33930" w:rsidRDefault="0077608D" w:rsidP="0077608D">
      <w:pPr>
        <w:spacing w:before="120" w:after="120" w:line="360" w:lineRule="auto"/>
        <w:jc w:val="both"/>
        <w:rPr>
          <w:rFonts w:eastAsia="Verdana" w:cs="Verdana"/>
          <w:iCs/>
          <w:szCs w:val="18"/>
          <w:lang w:val="nl-NL"/>
        </w:rPr>
      </w:pPr>
      <w:r w:rsidRPr="00A33930">
        <w:rPr>
          <w:rFonts w:eastAsia="Verdana" w:cs="Verdana"/>
          <w:iCs/>
          <w:szCs w:val="18"/>
          <w:lang w:val="nl-NL"/>
        </w:rPr>
        <w:t xml:space="preserve">EEKELAAR, J., “The interests of the child and the child’s wishes: the role of dynamic self- determinism”, </w:t>
      </w:r>
      <w:r w:rsidRPr="00A33930">
        <w:rPr>
          <w:rFonts w:eastAsia="Verdana" w:cs="Verdana"/>
          <w:i/>
          <w:iCs/>
          <w:szCs w:val="18"/>
          <w:lang w:val="nl-NL"/>
        </w:rPr>
        <w:t>International Journal of Law and the Family</w:t>
      </w:r>
      <w:r w:rsidRPr="00A33930">
        <w:rPr>
          <w:rFonts w:eastAsia="Verdana" w:cs="Verdana"/>
          <w:iCs/>
          <w:szCs w:val="18"/>
          <w:lang w:val="nl-NL"/>
        </w:rPr>
        <w:t xml:space="preserve"> 1994, 42-61.</w:t>
      </w:r>
    </w:p>
    <w:p w14:paraId="689580D3" w14:textId="1CFD2AD4" w:rsidR="0077608D" w:rsidRPr="00A33930" w:rsidRDefault="0077608D" w:rsidP="0077608D">
      <w:pPr>
        <w:spacing w:before="120" w:after="120" w:line="360" w:lineRule="auto"/>
        <w:jc w:val="both"/>
        <w:rPr>
          <w:rFonts w:eastAsia="Verdana" w:cs="Verdana"/>
          <w:szCs w:val="18"/>
          <w:lang w:val="nl-NL"/>
        </w:rPr>
      </w:pPr>
      <w:r w:rsidRPr="00A33930">
        <w:rPr>
          <w:rFonts w:eastAsia="Verdana" w:cs="Verdana"/>
          <w:szCs w:val="18"/>
          <w:lang w:val="nl-NL"/>
        </w:rPr>
        <w:t xml:space="preserve">EEKELAAR, J., “The Role of the Best Interests Principle in Decisions Affecting Children and Decisions about Children”, </w:t>
      </w:r>
      <w:r w:rsidRPr="00A33930">
        <w:rPr>
          <w:rFonts w:eastAsia="Verdana" w:cs="Verdana"/>
          <w:i/>
          <w:iCs/>
          <w:szCs w:val="18"/>
          <w:lang w:val="nl-NL"/>
        </w:rPr>
        <w:t>The International Journal of Children’s Rights</w:t>
      </w:r>
      <w:r w:rsidRPr="00A33930">
        <w:rPr>
          <w:rFonts w:eastAsia="Verdana" w:cs="Verdana"/>
          <w:szCs w:val="18"/>
          <w:lang w:val="nl-NL"/>
        </w:rPr>
        <w:t xml:space="preserve"> 2015, vol. 23, 3-26.</w:t>
      </w:r>
    </w:p>
    <w:p w14:paraId="3760BCBD" w14:textId="5CD55CA8" w:rsidR="00EA236D" w:rsidRPr="00A33930" w:rsidRDefault="00EA236D" w:rsidP="0077608D">
      <w:pPr>
        <w:spacing w:before="120" w:after="120" w:line="360" w:lineRule="auto"/>
        <w:jc w:val="both"/>
        <w:rPr>
          <w:rFonts w:eastAsia="Verdana" w:cs="Verdana"/>
          <w:szCs w:val="18"/>
          <w:lang w:val="nl-NL"/>
        </w:rPr>
      </w:pPr>
      <w:r w:rsidRPr="00A33930">
        <w:rPr>
          <w:rFonts w:eastAsia="Verdana" w:cs="Verdana"/>
          <w:szCs w:val="18"/>
          <w:lang w:val="nl-NL"/>
        </w:rPr>
        <w:t xml:space="preserve">FERGUSON, L., “Not merely rights for children but children’s rights: The theory gap and the assumption of the importance of children’s rights”, </w:t>
      </w:r>
      <w:r w:rsidRPr="00A33930">
        <w:rPr>
          <w:rFonts w:eastAsia="Verdana" w:cs="Verdana"/>
          <w:i/>
          <w:szCs w:val="18"/>
          <w:lang w:val="nl-NL"/>
        </w:rPr>
        <w:t>The International Journal of Children’s Rights</w:t>
      </w:r>
      <w:r w:rsidRPr="00A33930">
        <w:rPr>
          <w:rFonts w:eastAsia="Verdana" w:cs="Verdana"/>
          <w:szCs w:val="18"/>
          <w:lang w:val="nl-NL"/>
        </w:rPr>
        <w:t xml:space="preserve"> 2013, afl. 21, 177-208.</w:t>
      </w:r>
    </w:p>
    <w:p w14:paraId="00506EAE" w14:textId="48D1C507" w:rsidR="00EA236D" w:rsidRPr="00A33930" w:rsidRDefault="00EA236D" w:rsidP="0077608D">
      <w:pPr>
        <w:spacing w:before="120" w:after="120" w:line="360" w:lineRule="auto"/>
        <w:jc w:val="both"/>
        <w:rPr>
          <w:rFonts w:eastAsia="Verdana" w:cs="Verdana"/>
          <w:szCs w:val="18"/>
          <w:lang w:val="nl-NL"/>
        </w:rPr>
      </w:pPr>
      <w:r w:rsidRPr="00A33930">
        <w:rPr>
          <w:rFonts w:eastAsia="Verdana" w:cs="Verdana"/>
          <w:szCs w:val="18"/>
          <w:lang w:val="nl-NL"/>
        </w:rPr>
        <w:t xml:space="preserve">JANSEN, S., “Europees Verdrag inzake de omgang van en met kinderen”, </w:t>
      </w:r>
      <w:r w:rsidRPr="00A33930">
        <w:rPr>
          <w:rFonts w:eastAsia="Verdana" w:cs="Verdana"/>
          <w:i/>
          <w:iCs/>
          <w:szCs w:val="18"/>
          <w:lang w:val="nl-NL"/>
        </w:rPr>
        <w:t>FJR</w:t>
      </w:r>
      <w:r w:rsidRPr="00A33930">
        <w:rPr>
          <w:rFonts w:eastAsia="Verdana" w:cs="Verdana"/>
          <w:szCs w:val="18"/>
          <w:lang w:val="nl-NL"/>
        </w:rPr>
        <w:t xml:space="preserve"> 2003, 138-146.</w:t>
      </w:r>
    </w:p>
    <w:p w14:paraId="650E2C0C" w14:textId="7EEE5B19" w:rsidR="0077608D" w:rsidRPr="00A33930" w:rsidRDefault="0077608D" w:rsidP="0077608D">
      <w:pPr>
        <w:spacing w:before="120" w:after="120" w:line="360" w:lineRule="auto"/>
        <w:jc w:val="both"/>
        <w:rPr>
          <w:rFonts w:eastAsia="Verdana" w:cs="Verdana"/>
          <w:szCs w:val="18"/>
          <w:lang w:val="nl-NL"/>
        </w:rPr>
      </w:pPr>
      <w:r w:rsidRPr="00A33930">
        <w:rPr>
          <w:rFonts w:eastAsia="Verdana" w:cs="Verdana"/>
          <w:szCs w:val="18"/>
          <w:lang w:val="nl-NL"/>
        </w:rPr>
        <w:t xml:space="preserve">KILKELLY, U., “The best of both worlds for children’s rights? Interpreting the European Convention on Human Rights in the light of the UN Convention on the Rights of the Child”, </w:t>
      </w:r>
      <w:r w:rsidRPr="00A33930">
        <w:rPr>
          <w:rFonts w:eastAsia="Verdana" w:cs="Verdana"/>
          <w:i/>
          <w:iCs/>
          <w:szCs w:val="18"/>
          <w:lang w:val="nl-NL"/>
        </w:rPr>
        <w:t>Human Rights Quarterly</w:t>
      </w:r>
      <w:r w:rsidRPr="00A33930">
        <w:rPr>
          <w:rFonts w:eastAsia="Verdana" w:cs="Verdana"/>
          <w:szCs w:val="18"/>
          <w:lang w:val="nl-NL"/>
        </w:rPr>
        <w:t xml:space="preserve"> 2001, 308-326.</w:t>
      </w:r>
    </w:p>
    <w:p w14:paraId="1929D195" w14:textId="5A26E1C6" w:rsidR="00A564FE" w:rsidRPr="00A33930" w:rsidRDefault="00A564FE" w:rsidP="0077608D">
      <w:pPr>
        <w:spacing w:before="120" w:after="120" w:line="360" w:lineRule="auto"/>
        <w:jc w:val="both"/>
        <w:rPr>
          <w:rFonts w:eastAsia="Verdana" w:cs="Verdana"/>
          <w:szCs w:val="18"/>
          <w:lang w:val="nl-NL"/>
        </w:rPr>
      </w:pPr>
      <w:r w:rsidRPr="00A33930">
        <w:rPr>
          <w:rFonts w:eastAsia="Verdana" w:cs="Verdana"/>
          <w:szCs w:val="18"/>
          <w:lang w:val="nl-NL"/>
        </w:rPr>
        <w:t xml:space="preserve">MCGLYNN, C., “Rights for children?: the potential impact of the European Union Charter of Fundamental Rights”, </w:t>
      </w:r>
      <w:r w:rsidRPr="00A33930">
        <w:rPr>
          <w:rFonts w:eastAsia="Verdana" w:cs="Verdana"/>
          <w:i/>
          <w:iCs/>
          <w:szCs w:val="18"/>
          <w:lang w:val="nl-NL"/>
        </w:rPr>
        <w:t>European Public Law</w:t>
      </w:r>
      <w:r w:rsidRPr="00A33930">
        <w:rPr>
          <w:rFonts w:eastAsia="Verdana" w:cs="Verdana"/>
          <w:szCs w:val="18"/>
          <w:lang w:val="nl-NL"/>
        </w:rPr>
        <w:t>, vol. 8, nr. 3, 387-400.</w:t>
      </w:r>
    </w:p>
    <w:p w14:paraId="311B56AD" w14:textId="3AB24BAE" w:rsidR="007A4C05" w:rsidRPr="00A33930" w:rsidRDefault="007A4C05" w:rsidP="00611390">
      <w:pPr>
        <w:spacing w:before="120" w:after="120" w:line="360" w:lineRule="auto"/>
        <w:jc w:val="both"/>
        <w:rPr>
          <w:rFonts w:eastAsia="Verdana" w:cs="Verdana"/>
          <w:szCs w:val="18"/>
          <w:lang w:val="nl-NL"/>
        </w:rPr>
      </w:pPr>
      <w:r w:rsidRPr="00A33930">
        <w:rPr>
          <w:rFonts w:eastAsia="Verdana" w:cs="Verdana"/>
          <w:szCs w:val="18"/>
          <w:lang w:val="nl-NL"/>
        </w:rPr>
        <w:t xml:space="preserve">MOL, C., “Het mensenrechtelijke kader inzake de procespositie van de minderjarige: normen voortvloeiend uit het IVRK, het EVRM en andere Europese bronnen”, </w:t>
      </w:r>
      <w:r w:rsidRPr="00A33930">
        <w:rPr>
          <w:rFonts w:eastAsia="Verdana" w:cs="Verdana"/>
          <w:i/>
          <w:szCs w:val="18"/>
          <w:lang w:val="nl-NL"/>
        </w:rPr>
        <w:t>T.Fam.</w:t>
      </w:r>
      <w:r w:rsidRPr="00A33930">
        <w:rPr>
          <w:rFonts w:eastAsia="Verdana" w:cs="Verdana"/>
          <w:szCs w:val="18"/>
          <w:lang w:val="nl-NL"/>
        </w:rPr>
        <w:t xml:space="preserve"> 2022, nr. 5-6, 124-131.</w:t>
      </w:r>
    </w:p>
    <w:p w14:paraId="00D8E825" w14:textId="77777777" w:rsidR="007A4C05" w:rsidRPr="00A33930" w:rsidRDefault="007A4C05" w:rsidP="00611390">
      <w:pPr>
        <w:spacing w:before="120" w:after="120" w:line="360" w:lineRule="auto"/>
        <w:jc w:val="both"/>
        <w:rPr>
          <w:rFonts w:eastAsia="Verdana" w:cs="Verdana"/>
          <w:szCs w:val="18"/>
          <w:lang w:val="nl-NL"/>
        </w:rPr>
      </w:pPr>
      <w:r w:rsidRPr="00A33930">
        <w:rPr>
          <w:rFonts w:eastAsia="Verdana" w:cs="Verdana"/>
          <w:szCs w:val="18"/>
          <w:lang w:val="nl-NL"/>
        </w:rPr>
        <w:lastRenderedPageBreak/>
        <w:t>REYNAERT, D., BOUVERNE-DE BIE, M., VANDEVELDE, S., “A review of children’s rights literature since the adoption of the United Nations Convention on the Rights of the Child”, Childhood 2009, vol. 16(4), 518-534.</w:t>
      </w:r>
    </w:p>
    <w:p w14:paraId="244A681C" w14:textId="757D8D33" w:rsidR="0077608D" w:rsidRPr="00A33930" w:rsidRDefault="0077608D" w:rsidP="00611390">
      <w:pPr>
        <w:spacing w:before="120" w:after="120" w:line="360" w:lineRule="auto"/>
        <w:jc w:val="both"/>
        <w:rPr>
          <w:rFonts w:eastAsia="Verdana" w:cs="Verdana"/>
          <w:szCs w:val="18"/>
          <w:lang w:val="nl-NL"/>
        </w:rPr>
      </w:pPr>
      <w:r w:rsidRPr="00A33930">
        <w:rPr>
          <w:rFonts w:eastAsia="Verdana" w:cs="Verdana"/>
          <w:szCs w:val="18"/>
          <w:lang w:val="nl-NL"/>
        </w:rPr>
        <w:t>ROOSE, R. en BOUVERNE-DE BIE, M., “Do children have rights or do their rights have to be realized? The United Nations Convention on the Rights of the Child as a frame of reference for pedagogical action”</w:t>
      </w:r>
      <w:r w:rsidRPr="00A33930">
        <w:rPr>
          <w:rFonts w:eastAsia="Verdana" w:cs="Verdana"/>
          <w:i/>
          <w:iCs/>
          <w:szCs w:val="18"/>
          <w:lang w:val="nl-NL"/>
        </w:rPr>
        <w:t>, Journal of Philosophy of Education</w:t>
      </w:r>
      <w:r w:rsidRPr="00A33930">
        <w:rPr>
          <w:rFonts w:eastAsia="Verdana" w:cs="Verdana"/>
          <w:szCs w:val="18"/>
          <w:lang w:val="nl-NL"/>
        </w:rPr>
        <w:t>, vol. 41, no. 3, 2007, 431-443.</w:t>
      </w:r>
    </w:p>
    <w:p w14:paraId="1C4E76E3" w14:textId="5E6A04E3" w:rsidR="007A4C05" w:rsidRPr="00A33930" w:rsidRDefault="007A4C05" w:rsidP="00611390">
      <w:pPr>
        <w:spacing w:before="120" w:after="120" w:line="360" w:lineRule="auto"/>
        <w:jc w:val="both"/>
        <w:rPr>
          <w:rFonts w:eastAsia="Verdana" w:cs="Verdana"/>
          <w:szCs w:val="18"/>
          <w:lang w:val="nl-NL"/>
        </w:rPr>
      </w:pPr>
      <w:r w:rsidRPr="00A33930">
        <w:rPr>
          <w:rFonts w:eastAsia="Verdana" w:cs="Verdana"/>
          <w:szCs w:val="18"/>
          <w:lang w:val="nl-NL"/>
        </w:rPr>
        <w:t xml:space="preserve">SMETS, S., “De doorwerking van het Kinderrechtenverdrag in de rechtspraak van het EHRM”, </w:t>
      </w:r>
      <w:r w:rsidRPr="00A33930">
        <w:rPr>
          <w:rFonts w:eastAsia="Verdana" w:cs="Verdana"/>
          <w:i/>
          <w:iCs/>
          <w:szCs w:val="18"/>
          <w:lang w:val="nl-NL"/>
        </w:rPr>
        <w:t>TJK</w:t>
      </w:r>
      <w:r w:rsidRPr="00A33930">
        <w:rPr>
          <w:rFonts w:eastAsia="Verdana" w:cs="Verdana"/>
          <w:szCs w:val="18"/>
          <w:lang w:val="nl-NL"/>
        </w:rPr>
        <w:t xml:space="preserve"> 2013, 82-90.</w:t>
      </w:r>
    </w:p>
    <w:p w14:paraId="4F98D460" w14:textId="33BB0F5D" w:rsidR="00AE65F8" w:rsidRPr="00A33930" w:rsidRDefault="007A4C05" w:rsidP="001D6547">
      <w:pPr>
        <w:spacing w:before="120" w:after="120" w:line="360" w:lineRule="auto"/>
        <w:jc w:val="both"/>
        <w:rPr>
          <w:szCs w:val="18"/>
          <w:lang w:val="nl-NL"/>
        </w:rPr>
      </w:pPr>
      <w:r w:rsidRPr="00A33930">
        <w:rPr>
          <w:szCs w:val="18"/>
          <w:lang w:val="nl-NL"/>
        </w:rPr>
        <w:t xml:space="preserve">VARADAN, S., “The Principle of Evolving Capacities under the UN Convention on the Rights of the Child”, </w:t>
      </w:r>
      <w:r w:rsidRPr="00A33930">
        <w:rPr>
          <w:i/>
          <w:iCs/>
          <w:szCs w:val="18"/>
          <w:lang w:val="nl-NL"/>
        </w:rPr>
        <w:t>The International Journal of Children’s Rights</w:t>
      </w:r>
      <w:r w:rsidRPr="00A33930">
        <w:rPr>
          <w:szCs w:val="18"/>
          <w:lang w:val="nl-NL"/>
        </w:rPr>
        <w:t xml:space="preserve"> 2019, vol. 27, 306-338.</w:t>
      </w:r>
    </w:p>
    <w:p w14:paraId="6C431160" w14:textId="0F4694E5" w:rsidR="002073E7" w:rsidRPr="00A33930" w:rsidRDefault="002073E7" w:rsidP="001D6547">
      <w:pPr>
        <w:spacing w:before="120" w:after="120" w:line="360" w:lineRule="auto"/>
        <w:jc w:val="both"/>
        <w:rPr>
          <w:szCs w:val="18"/>
          <w:lang w:val="nl-NL"/>
        </w:rPr>
      </w:pPr>
      <w:r w:rsidRPr="00A33930">
        <w:rPr>
          <w:szCs w:val="18"/>
          <w:lang w:val="nl-NL"/>
        </w:rPr>
        <w:t xml:space="preserve">ZERMATTEN, J., “The Best Interests of the Child Principle: Literal Analysis and Function”, </w:t>
      </w:r>
      <w:r w:rsidRPr="00A33930">
        <w:rPr>
          <w:i/>
          <w:iCs/>
          <w:szCs w:val="18"/>
          <w:lang w:val="nl-NL"/>
        </w:rPr>
        <w:t>International Journal of Children’s Rights</w:t>
      </w:r>
      <w:r w:rsidRPr="00A33930">
        <w:rPr>
          <w:szCs w:val="18"/>
          <w:lang w:val="nl-NL"/>
        </w:rPr>
        <w:t xml:space="preserve"> 2010, 483-499.</w:t>
      </w:r>
    </w:p>
    <w:p w14:paraId="35184E47" w14:textId="77777777" w:rsidR="00AE65F8" w:rsidRPr="00A33930" w:rsidRDefault="00AE65F8" w:rsidP="001D6547">
      <w:pPr>
        <w:spacing w:before="360" w:after="120" w:line="360" w:lineRule="auto"/>
        <w:jc w:val="both"/>
        <w:rPr>
          <w:rFonts w:eastAsia="Verdana" w:cs="Verdana"/>
          <w:i/>
          <w:sz w:val="19"/>
          <w:szCs w:val="19"/>
          <w:u w:val="single"/>
          <w:lang w:val="nl-NL"/>
        </w:rPr>
      </w:pPr>
      <w:r w:rsidRPr="00A33930">
        <w:rPr>
          <w:rFonts w:eastAsia="Verdana" w:cs="Verdana"/>
          <w:i/>
          <w:sz w:val="19"/>
          <w:szCs w:val="19"/>
          <w:u w:val="single"/>
          <w:lang w:val="nl-NL"/>
        </w:rPr>
        <w:t>§4. Andere:</w:t>
      </w:r>
    </w:p>
    <w:p w14:paraId="68752170" w14:textId="5116FD01" w:rsidR="007A4C05" w:rsidRPr="00A33930" w:rsidRDefault="007A4C05" w:rsidP="007A4C05">
      <w:pPr>
        <w:spacing w:before="140" w:line="360" w:lineRule="auto"/>
        <w:jc w:val="both"/>
        <w:rPr>
          <w:rFonts w:eastAsia="Verdana" w:cs="Verdana"/>
          <w:szCs w:val="18"/>
          <w:lang w:val="nl-NL"/>
        </w:rPr>
      </w:pPr>
      <w:r w:rsidRPr="00A33930">
        <w:rPr>
          <w:rFonts w:eastAsia="Verdana" w:cs="Verdana"/>
          <w:szCs w:val="18"/>
          <w:lang w:val="nl-NL"/>
        </w:rPr>
        <w:t>COMMITTEE ON THE RIGHTS OF THE CHILD, “Report on the seventh session”, September/Oktober 1994, CRC/C/34.</w:t>
      </w:r>
    </w:p>
    <w:p w14:paraId="79F50034" w14:textId="416D50DB" w:rsidR="0077608D" w:rsidRPr="00A33930" w:rsidRDefault="0077608D" w:rsidP="007A4C05">
      <w:pPr>
        <w:spacing w:before="140" w:line="360" w:lineRule="auto"/>
        <w:jc w:val="both"/>
        <w:rPr>
          <w:rFonts w:eastAsia="Verdana" w:cs="Verdana"/>
          <w:szCs w:val="18"/>
          <w:lang w:val="nl-NL"/>
        </w:rPr>
      </w:pPr>
      <w:r w:rsidRPr="00A33930">
        <w:rPr>
          <w:rFonts w:eastAsia="Verdana" w:cs="Verdana"/>
          <w:szCs w:val="18"/>
          <w:lang w:val="nl-NL"/>
        </w:rPr>
        <w:t xml:space="preserve">COUNCIL OF EUROPE, </w:t>
      </w:r>
      <w:r w:rsidRPr="00A33930">
        <w:rPr>
          <w:rFonts w:eastAsia="Verdana" w:cs="Verdana"/>
          <w:i/>
          <w:iCs/>
          <w:szCs w:val="18"/>
          <w:lang w:val="nl-NL"/>
        </w:rPr>
        <w:t>Guide on Article 8 of the European Convention on Human Rights (CoE) on the right to respect for private and family life, home and correspondence</w:t>
      </w:r>
      <w:r w:rsidRPr="00A33930">
        <w:rPr>
          <w:rFonts w:eastAsia="Verdana" w:cs="Verdana"/>
          <w:szCs w:val="18"/>
          <w:lang w:val="nl-NL"/>
        </w:rPr>
        <w:t xml:space="preserve">, 31 augustus 2020, </w:t>
      </w:r>
      <w:hyperlink r:id="rId18" w:history="1">
        <w:r w:rsidRPr="00A33930">
          <w:rPr>
            <w:rStyle w:val="Hyperlink"/>
            <w:rFonts w:eastAsia="Verdana" w:cs="Verdana"/>
            <w:color w:val="4472C4" w:themeColor="accent1"/>
            <w:szCs w:val="18"/>
            <w:lang w:val="nl-NL"/>
          </w:rPr>
          <w:t>www.echr.coe.int/documents/guide_art_8_eng.pdf</w:t>
        </w:r>
      </w:hyperlink>
      <w:r w:rsidRPr="00A33930">
        <w:rPr>
          <w:rFonts w:eastAsia="Verdana" w:cs="Verdana"/>
          <w:color w:val="4472C4" w:themeColor="accent1"/>
          <w:szCs w:val="18"/>
          <w:lang w:val="nl-NL"/>
        </w:rPr>
        <w:t xml:space="preserve"> </w:t>
      </w:r>
      <w:r w:rsidRPr="00A33930">
        <w:rPr>
          <w:rFonts w:eastAsia="Verdana" w:cs="Verdana"/>
          <w:szCs w:val="18"/>
          <w:lang w:val="nl-NL"/>
        </w:rPr>
        <w:t xml:space="preserve">(laatste consultatie </w:t>
      </w:r>
      <w:r w:rsidR="00DC6CBE" w:rsidRPr="00A33930">
        <w:rPr>
          <w:rFonts w:eastAsia="Verdana" w:cs="Verdana"/>
          <w:szCs w:val="18"/>
          <w:lang w:val="nl-NL"/>
        </w:rPr>
        <w:t>13</w:t>
      </w:r>
      <w:r w:rsidRPr="00A33930">
        <w:rPr>
          <w:rFonts w:eastAsia="Verdana" w:cs="Verdana"/>
          <w:szCs w:val="18"/>
          <w:lang w:val="nl-NL"/>
        </w:rPr>
        <w:t>.0</w:t>
      </w:r>
      <w:r w:rsidR="00DC6CBE" w:rsidRPr="00A33930">
        <w:rPr>
          <w:rFonts w:eastAsia="Verdana" w:cs="Verdana"/>
          <w:szCs w:val="18"/>
          <w:lang w:val="nl-NL"/>
        </w:rPr>
        <w:t>5</w:t>
      </w:r>
      <w:r w:rsidRPr="00A33930">
        <w:rPr>
          <w:rFonts w:eastAsia="Verdana" w:cs="Verdana"/>
          <w:szCs w:val="18"/>
          <w:lang w:val="nl-NL"/>
        </w:rPr>
        <w:t>.2023).</w:t>
      </w:r>
    </w:p>
    <w:p w14:paraId="2FC6BCA5" w14:textId="218666EE" w:rsidR="0077608D" w:rsidRPr="00A33930" w:rsidRDefault="0077608D" w:rsidP="007A4C05">
      <w:pPr>
        <w:spacing w:before="200" w:line="360" w:lineRule="auto"/>
        <w:jc w:val="both"/>
        <w:rPr>
          <w:rFonts w:eastAsia="Verdana" w:cs="Verdana"/>
          <w:szCs w:val="18"/>
          <w:lang w:val="nl-NL"/>
        </w:rPr>
      </w:pPr>
      <w:r w:rsidRPr="00A33930">
        <w:rPr>
          <w:rFonts w:eastAsia="Verdana" w:cs="Verdana"/>
          <w:szCs w:val="18"/>
          <w:lang w:val="nl-NL"/>
        </w:rPr>
        <w:t xml:space="preserve">EUROPEAN COURT OF HUMAN RIGHTS, “Practical Guide on Admissibility Criteria”, 31 augustus 2022, </w:t>
      </w:r>
      <w:hyperlink r:id="rId19" w:history="1">
        <w:r w:rsidRPr="00A33930">
          <w:rPr>
            <w:rStyle w:val="Hyperlink"/>
            <w:rFonts w:eastAsia="Verdana" w:cs="Verdana"/>
            <w:color w:val="4472C4" w:themeColor="accent1"/>
            <w:szCs w:val="18"/>
            <w:lang w:val="nl-NL"/>
          </w:rPr>
          <w:t>www.echr.coe.int/documents/admissibility_guide_eng.pdf</w:t>
        </w:r>
      </w:hyperlink>
      <w:r w:rsidRPr="00A33930">
        <w:rPr>
          <w:rFonts w:eastAsia="Verdana" w:cs="Verdana"/>
          <w:color w:val="4472C4" w:themeColor="accent1"/>
          <w:szCs w:val="18"/>
          <w:lang w:val="nl-NL"/>
        </w:rPr>
        <w:t xml:space="preserve"> </w:t>
      </w:r>
      <w:r w:rsidRPr="00A33930">
        <w:rPr>
          <w:rFonts w:eastAsia="Verdana" w:cs="Verdana"/>
          <w:szCs w:val="18"/>
          <w:lang w:val="nl-NL"/>
        </w:rPr>
        <w:t xml:space="preserve">(laatste consultatie </w:t>
      </w:r>
      <w:r w:rsidR="00DC6CBE" w:rsidRPr="00A33930">
        <w:rPr>
          <w:rFonts w:eastAsia="Verdana" w:cs="Verdana"/>
          <w:szCs w:val="18"/>
          <w:lang w:val="nl-NL"/>
        </w:rPr>
        <w:t>13</w:t>
      </w:r>
      <w:r w:rsidRPr="00A33930">
        <w:rPr>
          <w:rFonts w:eastAsia="Verdana" w:cs="Verdana"/>
          <w:szCs w:val="18"/>
          <w:lang w:val="nl-NL"/>
        </w:rPr>
        <w:t>.0</w:t>
      </w:r>
      <w:r w:rsidR="00DC6CBE" w:rsidRPr="00A33930">
        <w:rPr>
          <w:rFonts w:eastAsia="Verdana" w:cs="Verdana"/>
          <w:szCs w:val="18"/>
          <w:lang w:val="nl-NL"/>
        </w:rPr>
        <w:t>5</w:t>
      </w:r>
      <w:r w:rsidRPr="00A33930">
        <w:rPr>
          <w:rFonts w:eastAsia="Verdana" w:cs="Verdana"/>
          <w:szCs w:val="18"/>
          <w:lang w:val="nl-NL"/>
        </w:rPr>
        <w:t>.2023).</w:t>
      </w:r>
    </w:p>
    <w:p w14:paraId="7C9A3248" w14:textId="2514F34E" w:rsidR="007A4C05" w:rsidRPr="00A33930" w:rsidRDefault="007A4C05" w:rsidP="007A4C05">
      <w:pPr>
        <w:spacing w:before="200" w:line="360" w:lineRule="auto"/>
        <w:jc w:val="both"/>
        <w:rPr>
          <w:rFonts w:eastAsia="Verdana" w:cs="Verdana"/>
          <w:szCs w:val="18"/>
          <w:lang w:val="nl-NL"/>
        </w:rPr>
      </w:pPr>
      <w:r w:rsidRPr="00A33930">
        <w:rPr>
          <w:rFonts w:eastAsia="Verdana" w:cs="Verdana"/>
          <w:szCs w:val="18"/>
          <w:lang w:val="nl-NL"/>
        </w:rPr>
        <w:t>EUROPEAN UNION AGENCY FOR FUNDAMENTAL RIGHTS AND COUNCIL OF EUROPE</w:t>
      </w:r>
      <w:r w:rsidRPr="00A33930">
        <w:rPr>
          <w:rFonts w:eastAsia="Verdana" w:cs="Verdana"/>
          <w:i/>
          <w:szCs w:val="18"/>
          <w:lang w:val="nl-NL"/>
        </w:rPr>
        <w:t>, Handbook on European law relating to the rights of the child</w:t>
      </w:r>
      <w:r w:rsidRPr="00A33930">
        <w:rPr>
          <w:rFonts w:eastAsia="Verdana" w:cs="Verdana"/>
          <w:szCs w:val="18"/>
          <w:lang w:val="nl-NL"/>
        </w:rPr>
        <w:t>, Luxemburg, Bureau voor publicaties van de Europese Unie, 2022, 309 p.</w:t>
      </w:r>
    </w:p>
    <w:p w14:paraId="4287F303" w14:textId="2496B15A" w:rsidR="007A4C05" w:rsidRPr="00A33930" w:rsidRDefault="007A4C05" w:rsidP="007A4C05">
      <w:pPr>
        <w:spacing w:before="200" w:line="360" w:lineRule="auto"/>
        <w:jc w:val="both"/>
        <w:rPr>
          <w:rFonts w:eastAsia="Verdana" w:cs="Verdana"/>
          <w:szCs w:val="18"/>
          <w:lang w:val="nl-NL"/>
        </w:rPr>
      </w:pPr>
      <w:r w:rsidRPr="00A33930">
        <w:rPr>
          <w:rFonts w:eastAsia="Verdana" w:cs="Verdana"/>
          <w:szCs w:val="18"/>
          <w:lang w:val="nl-NL"/>
        </w:rPr>
        <w:t xml:space="preserve">KINDERRECHTENCOALITIE, “Wat zijn kinderrechten?”, 17 oktober 2022, </w:t>
      </w:r>
      <w:hyperlink r:id="rId20" w:history="1">
        <w:r w:rsidRPr="00A33930">
          <w:rPr>
            <w:rStyle w:val="Hyperlink"/>
            <w:rFonts w:eastAsia="Verdana" w:cs="Verdana"/>
            <w:color w:val="4472C4" w:themeColor="accent1"/>
            <w:szCs w:val="18"/>
            <w:lang w:val="nl-NL"/>
          </w:rPr>
          <w:t>www.kinderrechtencoalitie.be/kinderrechten/</w:t>
        </w:r>
      </w:hyperlink>
      <w:r w:rsidRPr="00A33930">
        <w:rPr>
          <w:rFonts w:eastAsia="Verdana" w:cs="Verdana"/>
          <w:color w:val="4472C4" w:themeColor="accent1"/>
          <w:szCs w:val="18"/>
          <w:lang w:val="nl-NL"/>
        </w:rPr>
        <w:t xml:space="preserve"> </w:t>
      </w:r>
      <w:r w:rsidRPr="00A33930">
        <w:rPr>
          <w:rFonts w:eastAsia="Verdana" w:cs="Verdana"/>
          <w:szCs w:val="18"/>
          <w:lang w:val="nl-NL"/>
        </w:rPr>
        <w:t xml:space="preserve">(laatste consultatie </w:t>
      </w:r>
      <w:r w:rsidR="00DC6CBE" w:rsidRPr="00A33930">
        <w:rPr>
          <w:rFonts w:eastAsia="Verdana" w:cs="Verdana"/>
          <w:szCs w:val="18"/>
          <w:lang w:val="nl-NL"/>
        </w:rPr>
        <w:t>13</w:t>
      </w:r>
      <w:r w:rsidRPr="00A33930">
        <w:rPr>
          <w:rFonts w:eastAsia="Verdana" w:cs="Verdana"/>
          <w:szCs w:val="18"/>
          <w:lang w:val="nl-NL"/>
        </w:rPr>
        <w:t>.0</w:t>
      </w:r>
      <w:r w:rsidR="00DC6CBE" w:rsidRPr="00A33930">
        <w:rPr>
          <w:rFonts w:eastAsia="Verdana" w:cs="Verdana"/>
          <w:szCs w:val="18"/>
          <w:lang w:val="nl-NL"/>
        </w:rPr>
        <w:t>5</w:t>
      </w:r>
      <w:r w:rsidRPr="00A33930">
        <w:rPr>
          <w:rFonts w:eastAsia="Verdana" w:cs="Verdana"/>
          <w:szCs w:val="18"/>
          <w:lang w:val="nl-NL"/>
        </w:rPr>
        <w:t>.2023).</w:t>
      </w:r>
    </w:p>
    <w:p w14:paraId="7482817E" w14:textId="67893C95" w:rsidR="007A4C05" w:rsidRPr="00A33930" w:rsidRDefault="007A4C05" w:rsidP="007A4C05">
      <w:pPr>
        <w:spacing w:before="140" w:line="360" w:lineRule="auto"/>
        <w:jc w:val="both"/>
        <w:rPr>
          <w:rFonts w:eastAsia="Verdana" w:cs="Verdana"/>
          <w:szCs w:val="18"/>
          <w:lang w:val="nl-NL"/>
        </w:rPr>
      </w:pPr>
      <w:r w:rsidRPr="00A33930">
        <w:rPr>
          <w:rFonts w:eastAsia="Verdana" w:cs="Verdana"/>
          <w:szCs w:val="18"/>
          <w:lang w:val="nl-NL"/>
        </w:rPr>
        <w:t xml:space="preserve">UNICEF, “Implementation handbook for the Convention on the Rights of the Child”, 2007, </w:t>
      </w:r>
      <w:hyperlink r:id="rId21" w:history="1">
        <w:r w:rsidRPr="00A33930">
          <w:rPr>
            <w:rFonts w:eastAsia="Verdana" w:cs="Verdana"/>
            <w:color w:val="4472C4" w:themeColor="accent1"/>
            <w:szCs w:val="18"/>
            <w:u w:val="single"/>
            <w:lang w:val="nl-NL"/>
          </w:rPr>
          <w:t>www.unicef.org/lac/media/22071/file/Implementation%20Handbook%20for%20the%20CRC.pdf</w:t>
        </w:r>
      </w:hyperlink>
      <w:r w:rsidRPr="00A33930">
        <w:rPr>
          <w:rFonts w:eastAsia="Verdana" w:cs="Verdana"/>
          <w:color w:val="4472C4" w:themeColor="accent1"/>
          <w:szCs w:val="18"/>
          <w:lang w:val="nl-NL"/>
        </w:rPr>
        <w:t xml:space="preserve"> </w:t>
      </w:r>
      <w:r w:rsidRPr="00A33930">
        <w:rPr>
          <w:rFonts w:eastAsia="Verdana" w:cs="Verdana"/>
          <w:szCs w:val="18"/>
          <w:lang w:val="nl-NL"/>
        </w:rPr>
        <w:t xml:space="preserve">(laatste consultatie </w:t>
      </w:r>
      <w:r w:rsidR="00DC6CBE" w:rsidRPr="00A33930">
        <w:rPr>
          <w:rFonts w:eastAsia="Verdana" w:cs="Verdana"/>
          <w:szCs w:val="18"/>
          <w:lang w:val="nl-NL"/>
        </w:rPr>
        <w:t>13</w:t>
      </w:r>
      <w:r w:rsidRPr="00A33930">
        <w:rPr>
          <w:rFonts w:eastAsia="Verdana" w:cs="Verdana"/>
          <w:szCs w:val="18"/>
          <w:lang w:val="nl-NL"/>
        </w:rPr>
        <w:t>.0</w:t>
      </w:r>
      <w:r w:rsidR="00DC6CBE" w:rsidRPr="00A33930">
        <w:rPr>
          <w:rFonts w:eastAsia="Verdana" w:cs="Verdana"/>
          <w:szCs w:val="18"/>
          <w:lang w:val="nl-NL"/>
        </w:rPr>
        <w:t>5</w:t>
      </w:r>
      <w:r w:rsidRPr="00A33930">
        <w:rPr>
          <w:rFonts w:eastAsia="Verdana" w:cs="Verdana"/>
          <w:szCs w:val="18"/>
          <w:lang w:val="nl-NL"/>
        </w:rPr>
        <w:t>.2023).</w:t>
      </w:r>
    </w:p>
    <w:p w14:paraId="4E1DEF1D" w14:textId="77777777" w:rsidR="00AE65F8" w:rsidRPr="00A33930" w:rsidRDefault="00AE65F8" w:rsidP="00DA3ECE">
      <w:pPr>
        <w:spacing w:before="120" w:after="120" w:line="360" w:lineRule="auto"/>
        <w:jc w:val="both"/>
        <w:rPr>
          <w:rFonts w:eastAsia="Verdana" w:cs="Verdana"/>
          <w:b/>
          <w:bCs/>
          <w:i/>
          <w:lang w:val="nl-NL"/>
        </w:rPr>
      </w:pPr>
    </w:p>
    <w:p w14:paraId="64A417BF" w14:textId="77777777" w:rsidR="001D6547" w:rsidRPr="00A33930" w:rsidRDefault="001D6547">
      <w:pPr>
        <w:spacing w:after="160" w:line="259" w:lineRule="auto"/>
        <w:rPr>
          <w:rFonts w:eastAsia="Verdana" w:cs="Verdana"/>
          <w:b/>
          <w:bCs/>
          <w:i/>
          <w:lang w:val="nl-NL"/>
        </w:rPr>
      </w:pPr>
      <w:r w:rsidRPr="00A33930">
        <w:rPr>
          <w:rFonts w:eastAsia="Verdana" w:cs="Verdana"/>
          <w:b/>
          <w:bCs/>
          <w:i/>
          <w:lang w:val="nl-NL"/>
        </w:rPr>
        <w:br w:type="page"/>
      </w:r>
    </w:p>
    <w:p w14:paraId="5A0ACFFA" w14:textId="7CBC7366" w:rsidR="00DA3ECE" w:rsidRPr="00A33930" w:rsidRDefault="00DA3ECE" w:rsidP="00DA3ECE">
      <w:pPr>
        <w:spacing w:before="120" w:after="120" w:line="360" w:lineRule="auto"/>
        <w:jc w:val="both"/>
        <w:rPr>
          <w:rFonts w:eastAsia="Verdana" w:cs="Verdana"/>
          <w:b/>
          <w:bCs/>
          <w:i/>
          <w:lang w:val="nl-NL"/>
        </w:rPr>
      </w:pPr>
      <w:r w:rsidRPr="00A33930">
        <w:rPr>
          <w:rFonts w:eastAsia="Verdana" w:cs="Verdana"/>
          <w:b/>
          <w:bCs/>
          <w:i/>
          <w:lang w:val="nl-NL"/>
        </w:rPr>
        <w:lastRenderedPageBreak/>
        <w:t>België</w:t>
      </w:r>
      <w:r w:rsidR="008354CD" w:rsidRPr="00A33930">
        <w:rPr>
          <w:rFonts w:eastAsia="Verdana" w:cs="Verdana"/>
          <w:b/>
          <w:bCs/>
          <w:i/>
          <w:lang w:val="nl-NL"/>
        </w:rPr>
        <w:t>:</w:t>
      </w:r>
    </w:p>
    <w:p w14:paraId="6BD99E55" w14:textId="77777777" w:rsidR="00DA3ECE" w:rsidRPr="00A33930" w:rsidRDefault="00DA3ECE" w:rsidP="001D6547">
      <w:pPr>
        <w:spacing w:before="360" w:after="120" w:line="360" w:lineRule="auto"/>
        <w:jc w:val="both"/>
        <w:rPr>
          <w:rFonts w:eastAsia="Verdana" w:cs="Verdana"/>
          <w:i/>
          <w:sz w:val="19"/>
          <w:szCs w:val="19"/>
          <w:u w:val="single"/>
          <w:lang w:val="nl-NL"/>
        </w:rPr>
      </w:pPr>
      <w:r w:rsidRPr="00A33930">
        <w:rPr>
          <w:rFonts w:eastAsia="Verdana" w:cs="Verdana"/>
          <w:i/>
          <w:sz w:val="19"/>
          <w:szCs w:val="19"/>
          <w:u w:val="single"/>
          <w:lang w:val="nl-NL"/>
        </w:rPr>
        <w:t>§1. Boeken:</w:t>
      </w:r>
    </w:p>
    <w:p w14:paraId="1C7BA5B1" w14:textId="77777777" w:rsidR="00092F10" w:rsidRPr="00A33930" w:rsidRDefault="00092F10" w:rsidP="00092F10">
      <w:pPr>
        <w:spacing w:before="200" w:line="360" w:lineRule="auto"/>
        <w:jc w:val="both"/>
        <w:rPr>
          <w:rFonts w:eastAsia="Verdana" w:cs="Verdana"/>
          <w:szCs w:val="18"/>
          <w:lang w:val="nl-NL"/>
        </w:rPr>
      </w:pPr>
      <w:r w:rsidRPr="00A33930">
        <w:rPr>
          <w:rFonts w:eastAsia="Verdana" w:cs="Verdana"/>
          <w:szCs w:val="18"/>
          <w:lang w:val="nl-NL"/>
        </w:rPr>
        <w:t xml:space="preserve">BOURGEOIS, G., </w:t>
      </w:r>
      <w:r w:rsidRPr="00A33930">
        <w:rPr>
          <w:rFonts w:eastAsia="Verdana" w:cs="Verdana"/>
          <w:i/>
          <w:iCs/>
          <w:szCs w:val="18"/>
          <w:lang w:val="nl-NL"/>
        </w:rPr>
        <w:t>Inleiding tot de rechtsvergelijking</w:t>
      </w:r>
      <w:r w:rsidRPr="00A33930">
        <w:rPr>
          <w:rFonts w:eastAsia="Verdana" w:cs="Verdana"/>
          <w:szCs w:val="18"/>
          <w:lang w:val="nl-NL"/>
        </w:rPr>
        <w:t>, Antwerpen, Kluwer, 1998.</w:t>
      </w:r>
    </w:p>
    <w:p w14:paraId="4E90424E" w14:textId="77777777" w:rsidR="00092F10" w:rsidRPr="00A33930" w:rsidRDefault="00092F10" w:rsidP="00092F10">
      <w:pPr>
        <w:spacing w:before="200" w:line="360" w:lineRule="auto"/>
        <w:jc w:val="both"/>
        <w:rPr>
          <w:rFonts w:eastAsia="Verdana" w:cs="Verdana"/>
          <w:szCs w:val="18"/>
          <w:lang w:val="nl-NL"/>
        </w:rPr>
      </w:pPr>
      <w:r w:rsidRPr="00A33930">
        <w:rPr>
          <w:rFonts w:eastAsia="Verdana" w:cs="Verdana"/>
          <w:szCs w:val="18"/>
          <w:lang w:val="nl-NL"/>
        </w:rPr>
        <w:t xml:space="preserve">CERULUS, U., </w:t>
      </w:r>
      <w:r w:rsidRPr="00A33930">
        <w:rPr>
          <w:rFonts w:eastAsia="Verdana" w:cs="Verdana"/>
          <w:i/>
          <w:iCs/>
          <w:szCs w:val="18"/>
          <w:lang w:val="nl-NL"/>
        </w:rPr>
        <w:t>Een statuut voor de zorgouder in het licht van de grondrechtenbescherming</w:t>
      </w:r>
      <w:r w:rsidRPr="00A33930">
        <w:rPr>
          <w:rFonts w:eastAsia="Verdana" w:cs="Verdana"/>
          <w:szCs w:val="18"/>
          <w:lang w:val="nl-NL"/>
        </w:rPr>
        <w:t>, Brugge, die Keure, 2019, 560 p.</w:t>
      </w:r>
    </w:p>
    <w:p w14:paraId="0471EFCB" w14:textId="77777777" w:rsidR="00092F10" w:rsidRPr="00A33930" w:rsidRDefault="00092F10" w:rsidP="00092F10">
      <w:pPr>
        <w:spacing w:before="200" w:line="360" w:lineRule="auto"/>
        <w:jc w:val="both"/>
        <w:rPr>
          <w:rFonts w:eastAsia="Verdana" w:cs="Verdana"/>
          <w:szCs w:val="18"/>
          <w:lang w:val="nl-NL"/>
        </w:rPr>
      </w:pPr>
      <w:r w:rsidRPr="00A33930">
        <w:rPr>
          <w:rFonts w:eastAsia="Verdana" w:cs="Verdana"/>
          <w:szCs w:val="18"/>
          <w:lang w:val="nl-NL"/>
        </w:rPr>
        <w:t xml:space="preserve">DELNOY, P., </w:t>
      </w:r>
      <w:r w:rsidRPr="00A33930">
        <w:rPr>
          <w:rFonts w:eastAsia="Verdana" w:cs="Verdana"/>
          <w:i/>
          <w:iCs/>
          <w:szCs w:val="18"/>
          <w:lang w:val="nl-NL"/>
        </w:rPr>
        <w:t>Eléments de méthodologie juridique</w:t>
      </w:r>
      <w:r w:rsidRPr="00A33930">
        <w:rPr>
          <w:rFonts w:eastAsia="Verdana" w:cs="Verdana"/>
          <w:szCs w:val="18"/>
          <w:lang w:val="nl-NL"/>
        </w:rPr>
        <w:t xml:space="preserve">, Brussel, Larcier, 2006, 450 p. </w:t>
      </w:r>
    </w:p>
    <w:p w14:paraId="2208E928" w14:textId="77777777" w:rsidR="00092F10" w:rsidRPr="00A33930" w:rsidRDefault="00092F10" w:rsidP="00092F10">
      <w:pPr>
        <w:spacing w:before="200" w:line="360" w:lineRule="auto"/>
        <w:jc w:val="both"/>
        <w:rPr>
          <w:rFonts w:eastAsia="Verdana" w:cs="Verdana"/>
          <w:szCs w:val="18"/>
          <w:lang w:val="nl-NL"/>
        </w:rPr>
      </w:pPr>
      <w:r w:rsidRPr="00A33930">
        <w:rPr>
          <w:rFonts w:eastAsia="Verdana" w:cs="Verdana"/>
          <w:szCs w:val="18"/>
          <w:lang w:val="nl-NL"/>
        </w:rPr>
        <w:t xml:space="preserve">EGGERMONT, F., GEUENS, M., GINIS, B., GOWIE, F. en TIMBERMONT, E., </w:t>
      </w:r>
      <w:r w:rsidRPr="00A33930">
        <w:rPr>
          <w:rFonts w:eastAsia="Verdana" w:cs="Verdana"/>
          <w:i/>
          <w:iCs/>
          <w:szCs w:val="18"/>
          <w:lang w:val="nl-NL"/>
        </w:rPr>
        <w:t>Het juridisch verwerkingsproces</w:t>
      </w:r>
      <w:r w:rsidRPr="00A33930">
        <w:rPr>
          <w:rFonts w:eastAsia="Verdana" w:cs="Verdana"/>
          <w:szCs w:val="18"/>
          <w:lang w:val="nl-NL"/>
        </w:rPr>
        <w:t>, Brugge, die Keure, 2017, 240 p.</w:t>
      </w:r>
    </w:p>
    <w:p w14:paraId="4AE57607" w14:textId="77777777" w:rsidR="00092F10" w:rsidRPr="00A33930" w:rsidRDefault="00092F10" w:rsidP="00092F10">
      <w:pPr>
        <w:spacing w:before="200" w:line="360" w:lineRule="auto"/>
        <w:jc w:val="both"/>
        <w:rPr>
          <w:rFonts w:eastAsia="Verdana" w:cs="Verdana"/>
          <w:szCs w:val="18"/>
          <w:lang w:val="nl-NL"/>
        </w:rPr>
      </w:pPr>
      <w:r w:rsidRPr="00A33930">
        <w:rPr>
          <w:rFonts w:eastAsia="Verdana" w:cs="Verdana"/>
          <w:szCs w:val="18"/>
          <w:lang w:val="nl-NL"/>
        </w:rPr>
        <w:t xml:space="preserve">GLENN, H.P., </w:t>
      </w:r>
      <w:r w:rsidRPr="00A33930">
        <w:rPr>
          <w:rFonts w:eastAsia="Verdana" w:cs="Verdana"/>
          <w:i/>
          <w:iCs/>
          <w:szCs w:val="18"/>
          <w:lang w:val="nl-NL"/>
        </w:rPr>
        <w:t>Legal traditions of the World: sustainable diversity in law</w:t>
      </w:r>
      <w:r w:rsidRPr="00A33930">
        <w:rPr>
          <w:rFonts w:eastAsia="Verdana" w:cs="Verdana"/>
          <w:szCs w:val="18"/>
          <w:lang w:val="nl-NL"/>
        </w:rPr>
        <w:t>, Oxford, Oxford University Press, 2014, 456 p.</w:t>
      </w:r>
    </w:p>
    <w:p w14:paraId="5FEDC3DB" w14:textId="77777777" w:rsidR="00092F10" w:rsidRPr="00A33930" w:rsidRDefault="00092F10" w:rsidP="00092F10">
      <w:pPr>
        <w:spacing w:before="200" w:line="360" w:lineRule="auto"/>
        <w:jc w:val="both"/>
        <w:rPr>
          <w:rFonts w:eastAsia="Verdana" w:cs="Verdana"/>
          <w:szCs w:val="18"/>
          <w:lang w:val="nl-NL"/>
        </w:rPr>
      </w:pPr>
      <w:r w:rsidRPr="00A33930">
        <w:rPr>
          <w:rFonts w:eastAsia="Verdana" w:cs="Verdana"/>
          <w:szCs w:val="18"/>
          <w:lang w:val="nl-NL"/>
        </w:rPr>
        <w:t xml:space="preserve">KESTEMONT, L., SCHOUKENS, P., HENDRICKX, K. en TERRYN, E. (eds.), </w:t>
      </w:r>
      <w:r w:rsidRPr="00A33930">
        <w:rPr>
          <w:rFonts w:eastAsia="Verdana" w:cs="Verdana"/>
          <w:i/>
          <w:szCs w:val="18"/>
          <w:lang w:val="nl-NL"/>
        </w:rPr>
        <w:t>Rechtswetenschappelijk schrijven</w:t>
      </w:r>
      <w:r w:rsidRPr="00A33930">
        <w:rPr>
          <w:rFonts w:eastAsia="Verdana" w:cs="Verdana"/>
          <w:szCs w:val="18"/>
          <w:lang w:val="nl-NL"/>
        </w:rPr>
        <w:t xml:space="preserve">, Leuven, Acco, 2020, 144 p. </w:t>
      </w:r>
    </w:p>
    <w:p w14:paraId="3F7F962E" w14:textId="77777777" w:rsidR="00092F10" w:rsidRPr="00A33930" w:rsidRDefault="00092F10" w:rsidP="00092F10">
      <w:pPr>
        <w:spacing w:before="200" w:line="360" w:lineRule="auto"/>
        <w:jc w:val="both"/>
        <w:rPr>
          <w:rFonts w:eastAsia="Verdana" w:cs="Verdana"/>
          <w:szCs w:val="18"/>
          <w:lang w:val="nl-NL"/>
        </w:rPr>
      </w:pPr>
      <w:r w:rsidRPr="00A33930">
        <w:rPr>
          <w:rFonts w:eastAsia="Verdana" w:cs="Verdana"/>
          <w:szCs w:val="18"/>
          <w:lang w:val="nl-NL"/>
        </w:rPr>
        <w:t xml:space="preserve">MALLIEN, M., </w:t>
      </w:r>
      <w:r w:rsidRPr="00A33930">
        <w:rPr>
          <w:rFonts w:eastAsia="Verdana" w:cs="Verdana"/>
          <w:i/>
          <w:szCs w:val="18"/>
          <w:lang w:val="nl-NL"/>
        </w:rPr>
        <w:t>Le contentieux judiciaire parental à propos de l’éducation de l’enfant. Hiérarchie et inventaire des principaux critères d’appréciation retenus par les juges</w:t>
      </w:r>
      <w:r w:rsidRPr="00A33930">
        <w:rPr>
          <w:rFonts w:eastAsia="Verdana" w:cs="Verdana"/>
          <w:szCs w:val="18"/>
          <w:lang w:val="nl-NL"/>
        </w:rPr>
        <w:t>, Brussel, Larcier, 2017, 917 p.</w:t>
      </w:r>
    </w:p>
    <w:p w14:paraId="1CB13296" w14:textId="77777777" w:rsidR="00092F10" w:rsidRPr="00A33930" w:rsidRDefault="00092F10" w:rsidP="00092F10">
      <w:pPr>
        <w:spacing w:before="200" w:line="360" w:lineRule="auto"/>
        <w:jc w:val="both"/>
        <w:rPr>
          <w:rFonts w:eastAsia="Verdana" w:cs="Verdana"/>
          <w:szCs w:val="18"/>
          <w:lang w:val="nl-NL"/>
        </w:rPr>
      </w:pPr>
      <w:r w:rsidRPr="00A33930">
        <w:rPr>
          <w:rFonts w:eastAsia="Verdana" w:cs="Verdana"/>
          <w:szCs w:val="18"/>
          <w:lang w:val="nl-NL"/>
        </w:rPr>
        <w:t xml:space="preserve">PINTENS, W., </w:t>
      </w:r>
      <w:r w:rsidRPr="00A33930">
        <w:rPr>
          <w:rFonts w:eastAsia="Verdana" w:cs="Verdana"/>
          <w:i/>
          <w:iCs/>
          <w:szCs w:val="18"/>
          <w:lang w:val="nl-NL"/>
        </w:rPr>
        <w:t>Inleiding tot de rechtsvergelijking</w:t>
      </w:r>
      <w:r w:rsidRPr="00A33930">
        <w:rPr>
          <w:rFonts w:eastAsia="Verdana" w:cs="Verdana"/>
          <w:szCs w:val="18"/>
          <w:lang w:val="nl-NL"/>
        </w:rPr>
        <w:t>, Leuven, Universitaire Pers Leuven, 2003, 266 p.</w:t>
      </w:r>
    </w:p>
    <w:p w14:paraId="54EE7018" w14:textId="77777777" w:rsidR="00092F10" w:rsidRPr="00A33930" w:rsidRDefault="00092F10" w:rsidP="00092F10">
      <w:pPr>
        <w:spacing w:before="200" w:line="360" w:lineRule="auto"/>
        <w:jc w:val="both"/>
        <w:rPr>
          <w:rFonts w:eastAsia="Verdana" w:cs="Verdana"/>
          <w:szCs w:val="18"/>
          <w:lang w:val="nl-NL"/>
        </w:rPr>
      </w:pPr>
      <w:r w:rsidRPr="00A33930">
        <w:rPr>
          <w:rFonts w:eastAsia="Verdana" w:cs="Verdana"/>
          <w:szCs w:val="18"/>
          <w:lang w:val="nl-NL"/>
        </w:rPr>
        <w:t xml:space="preserve">PUT, J., </w:t>
      </w:r>
      <w:r w:rsidRPr="00A33930">
        <w:rPr>
          <w:rFonts w:eastAsia="Verdana" w:cs="Verdana"/>
          <w:i/>
          <w:szCs w:val="18"/>
          <w:lang w:val="nl-NL"/>
        </w:rPr>
        <w:t>Handboek Jeugdbeschermingsrecht</w:t>
      </w:r>
      <w:r w:rsidRPr="00A33930">
        <w:rPr>
          <w:rFonts w:eastAsia="Verdana" w:cs="Verdana"/>
          <w:szCs w:val="18"/>
          <w:lang w:val="nl-NL"/>
        </w:rPr>
        <w:t>, Brugge, die Keure, 2021, 744 p.</w:t>
      </w:r>
    </w:p>
    <w:p w14:paraId="5A4F2D1F" w14:textId="77777777" w:rsidR="00092F10" w:rsidRPr="00A33930" w:rsidRDefault="00092F10" w:rsidP="00092F10">
      <w:pPr>
        <w:spacing w:before="200" w:line="360" w:lineRule="auto"/>
        <w:jc w:val="both"/>
        <w:rPr>
          <w:rFonts w:eastAsia="Verdana" w:cs="Verdana"/>
          <w:szCs w:val="18"/>
          <w:lang w:val="nl-NL"/>
        </w:rPr>
      </w:pPr>
      <w:r w:rsidRPr="00A33930">
        <w:rPr>
          <w:rFonts w:eastAsia="Verdana" w:cs="Verdana"/>
          <w:szCs w:val="18"/>
          <w:lang w:val="nl-NL"/>
        </w:rPr>
        <w:t xml:space="preserve">ROOSE, H. en MEULEMAN, B., </w:t>
      </w:r>
      <w:r w:rsidRPr="00A33930">
        <w:rPr>
          <w:rFonts w:eastAsia="Verdana" w:cs="Verdana"/>
          <w:i/>
          <w:szCs w:val="18"/>
          <w:lang w:val="nl-NL"/>
        </w:rPr>
        <w:t>Kennis maken. Methodologie voor sociale wetenschappers</w:t>
      </w:r>
      <w:r w:rsidRPr="00A33930">
        <w:rPr>
          <w:rFonts w:eastAsia="Verdana" w:cs="Verdana"/>
          <w:szCs w:val="18"/>
          <w:lang w:val="nl-NL"/>
        </w:rPr>
        <w:t>, Gent, Kresko, 2021, 388 p.</w:t>
      </w:r>
    </w:p>
    <w:p w14:paraId="2A82E763" w14:textId="77777777" w:rsidR="00092F10" w:rsidRPr="00A33930" w:rsidRDefault="00092F10" w:rsidP="00092F10">
      <w:pPr>
        <w:spacing w:before="200" w:line="360" w:lineRule="auto"/>
        <w:jc w:val="both"/>
        <w:rPr>
          <w:rFonts w:eastAsia="Verdana" w:cs="Verdana"/>
          <w:szCs w:val="18"/>
          <w:lang w:val="nl-NL"/>
        </w:rPr>
      </w:pPr>
      <w:r w:rsidRPr="00A33930">
        <w:rPr>
          <w:rFonts w:eastAsia="Verdana" w:cs="Verdana"/>
          <w:szCs w:val="18"/>
          <w:lang w:val="nl-NL"/>
        </w:rPr>
        <w:t xml:space="preserve">SCHOUKENS, P., HENDRICKX, K. en TERRYN, E. (eds.), </w:t>
      </w:r>
      <w:r w:rsidRPr="00A33930">
        <w:rPr>
          <w:rFonts w:eastAsia="Verdana" w:cs="Verdana"/>
          <w:i/>
          <w:szCs w:val="18"/>
          <w:lang w:val="nl-NL"/>
        </w:rPr>
        <w:t>Juridisch schrijven in de praktijk</w:t>
      </w:r>
      <w:r w:rsidRPr="00A33930">
        <w:rPr>
          <w:rFonts w:eastAsia="Verdana" w:cs="Verdana"/>
          <w:szCs w:val="18"/>
          <w:lang w:val="nl-NL"/>
        </w:rPr>
        <w:t>, Leuven, Acco, 2018, 194 p.</w:t>
      </w:r>
    </w:p>
    <w:p w14:paraId="7AF394BB" w14:textId="77777777" w:rsidR="00092F10" w:rsidRPr="00A33930" w:rsidRDefault="00092F10" w:rsidP="00092F10">
      <w:pPr>
        <w:spacing w:before="240" w:after="240" w:line="360" w:lineRule="auto"/>
        <w:jc w:val="both"/>
        <w:rPr>
          <w:rFonts w:eastAsia="Verdana" w:cs="Verdana"/>
          <w:szCs w:val="18"/>
          <w:lang w:val="nl-NL"/>
        </w:rPr>
      </w:pPr>
      <w:r w:rsidRPr="00A33930">
        <w:rPr>
          <w:rFonts w:eastAsia="Verdana" w:cs="Verdana"/>
          <w:szCs w:val="18"/>
          <w:lang w:val="nl-NL"/>
        </w:rPr>
        <w:t xml:space="preserve">SENAEVE, P. en DECLERCK, C., </w:t>
      </w:r>
      <w:r w:rsidRPr="00A33930">
        <w:rPr>
          <w:rFonts w:eastAsia="Verdana" w:cs="Verdana"/>
          <w:i/>
          <w:szCs w:val="18"/>
          <w:lang w:val="nl-NL"/>
        </w:rPr>
        <w:t>Compendium van het personen- en familierecht</w:t>
      </w:r>
      <w:r w:rsidRPr="00A33930">
        <w:rPr>
          <w:rFonts w:eastAsia="Verdana" w:cs="Verdana"/>
          <w:szCs w:val="18"/>
          <w:lang w:val="nl-NL"/>
        </w:rPr>
        <w:t>, Leuven, Acco, 2020, 728 p.</w:t>
      </w:r>
    </w:p>
    <w:p w14:paraId="6D9DCCFB" w14:textId="77777777" w:rsidR="00092F10" w:rsidRPr="00A33930" w:rsidRDefault="00092F10" w:rsidP="00092F10">
      <w:pPr>
        <w:spacing w:before="200" w:line="360" w:lineRule="auto"/>
        <w:jc w:val="both"/>
        <w:rPr>
          <w:rFonts w:eastAsia="Verdana" w:cs="Verdana"/>
          <w:szCs w:val="18"/>
          <w:lang w:val="nl-NL"/>
        </w:rPr>
      </w:pPr>
      <w:r w:rsidRPr="00A33930">
        <w:rPr>
          <w:rFonts w:eastAsia="Verdana" w:cs="Verdana"/>
          <w:szCs w:val="18"/>
          <w:lang w:val="nl-NL"/>
        </w:rPr>
        <w:t xml:space="preserve">SENAEVE, P. en LEMMENS, P., </w:t>
      </w:r>
      <w:r w:rsidRPr="00A33930">
        <w:rPr>
          <w:rFonts w:eastAsia="Verdana" w:cs="Verdana"/>
          <w:i/>
          <w:iCs/>
          <w:szCs w:val="18"/>
          <w:lang w:val="nl-NL"/>
        </w:rPr>
        <w:t>De betekenis van de mensenrechten voor het personen-en familierecht</w:t>
      </w:r>
      <w:r w:rsidRPr="00A33930">
        <w:rPr>
          <w:rFonts w:eastAsia="Verdana" w:cs="Verdana"/>
          <w:szCs w:val="18"/>
          <w:lang w:val="nl-NL"/>
        </w:rPr>
        <w:t xml:space="preserve">, Antwerpen, Intersentia, 2003, 201 p. </w:t>
      </w:r>
    </w:p>
    <w:p w14:paraId="59CDAD8C" w14:textId="77777777" w:rsidR="00092F10" w:rsidRPr="00A33930" w:rsidRDefault="00092F10" w:rsidP="00092F10">
      <w:pPr>
        <w:spacing w:before="200" w:line="360" w:lineRule="auto"/>
        <w:jc w:val="both"/>
        <w:rPr>
          <w:rFonts w:eastAsia="Verdana" w:cs="Verdana"/>
          <w:szCs w:val="18"/>
          <w:lang w:val="nl-NL"/>
        </w:rPr>
      </w:pPr>
      <w:r w:rsidRPr="00A33930">
        <w:rPr>
          <w:rFonts w:eastAsia="Verdana" w:cs="Verdana"/>
          <w:szCs w:val="18"/>
          <w:lang w:val="nl-NL"/>
        </w:rPr>
        <w:t xml:space="preserve">SENAEVE, P., SWENNEN, F. en VERSCHELDEN, G., </w:t>
      </w:r>
      <w:r w:rsidRPr="00A33930">
        <w:rPr>
          <w:rFonts w:eastAsia="Verdana" w:cs="Verdana"/>
          <w:i/>
          <w:szCs w:val="18"/>
          <w:lang w:val="nl-NL"/>
        </w:rPr>
        <w:t>Ouders en Kinderen</w:t>
      </w:r>
      <w:r w:rsidRPr="00A33930">
        <w:rPr>
          <w:rFonts w:eastAsia="Verdana" w:cs="Verdana"/>
          <w:szCs w:val="18"/>
          <w:lang w:val="nl-NL"/>
        </w:rPr>
        <w:t>, Antwerpen, Intersentia, 2013, 310 p.</w:t>
      </w:r>
    </w:p>
    <w:p w14:paraId="66AB455C" w14:textId="77777777" w:rsidR="00454FAC" w:rsidRPr="00A33930" w:rsidRDefault="00454FAC" w:rsidP="00454FAC">
      <w:pPr>
        <w:spacing w:before="240" w:after="240" w:line="360" w:lineRule="auto"/>
        <w:jc w:val="both"/>
        <w:rPr>
          <w:rFonts w:eastAsia="Verdana" w:cs="Verdana"/>
          <w:szCs w:val="18"/>
          <w:lang w:val="nl-NL"/>
        </w:rPr>
      </w:pPr>
      <w:r w:rsidRPr="00A33930">
        <w:rPr>
          <w:rFonts w:eastAsia="Verdana" w:cs="Verdana"/>
          <w:szCs w:val="18"/>
          <w:lang w:val="nl-NL"/>
        </w:rPr>
        <w:t xml:space="preserve">SWENNEN, F., </w:t>
      </w:r>
      <w:r w:rsidRPr="00A33930">
        <w:rPr>
          <w:rFonts w:eastAsia="Verdana" w:cs="Verdana"/>
          <w:i/>
          <w:iCs/>
          <w:szCs w:val="18"/>
          <w:lang w:val="nl-NL"/>
        </w:rPr>
        <w:t>Het personen- en familierecht</w:t>
      </w:r>
      <w:r w:rsidRPr="00A33930">
        <w:rPr>
          <w:rFonts w:eastAsia="Verdana" w:cs="Verdana"/>
          <w:szCs w:val="18"/>
          <w:lang w:val="nl-NL"/>
        </w:rPr>
        <w:t>, Mortsel, Intersentia, 2021, 626 p.</w:t>
      </w:r>
    </w:p>
    <w:p w14:paraId="4287B125" w14:textId="77777777" w:rsidR="00092F10" w:rsidRPr="00A33930" w:rsidRDefault="00092F10" w:rsidP="00092F10">
      <w:pPr>
        <w:spacing w:before="200" w:line="360" w:lineRule="auto"/>
        <w:jc w:val="both"/>
        <w:rPr>
          <w:rFonts w:eastAsia="Verdana" w:cs="Verdana"/>
          <w:szCs w:val="18"/>
          <w:lang w:val="nl-NL"/>
        </w:rPr>
      </w:pPr>
      <w:r w:rsidRPr="00A33930">
        <w:rPr>
          <w:rFonts w:eastAsia="Verdana" w:cs="Verdana"/>
          <w:szCs w:val="18"/>
          <w:lang w:val="nl-NL"/>
        </w:rPr>
        <w:t xml:space="preserve">SWENNEN, F., </w:t>
      </w:r>
      <w:r w:rsidRPr="00A33930">
        <w:rPr>
          <w:rFonts w:eastAsia="Verdana" w:cs="Verdana"/>
          <w:i/>
          <w:iCs/>
          <w:szCs w:val="18"/>
          <w:lang w:val="nl-NL"/>
        </w:rPr>
        <w:t>Het personen- en familierecht (achtste, herziene uitgave)</w:t>
      </w:r>
      <w:r w:rsidRPr="00A33930">
        <w:rPr>
          <w:rFonts w:eastAsia="Verdana" w:cs="Verdana"/>
          <w:szCs w:val="18"/>
          <w:lang w:val="nl-NL"/>
        </w:rPr>
        <w:t>, Mortsel, Intersentia, 2023, 642 p.</w:t>
      </w:r>
    </w:p>
    <w:p w14:paraId="25CD1C64" w14:textId="77777777" w:rsidR="00092F10" w:rsidRPr="00A33930" w:rsidRDefault="00092F10" w:rsidP="00092F10">
      <w:pPr>
        <w:spacing w:before="200" w:line="360" w:lineRule="auto"/>
        <w:jc w:val="both"/>
        <w:rPr>
          <w:rFonts w:eastAsia="Verdana" w:cs="Verdana"/>
          <w:szCs w:val="18"/>
          <w:lang w:val="nl-NL"/>
        </w:rPr>
      </w:pPr>
      <w:r w:rsidRPr="00A33930">
        <w:rPr>
          <w:rFonts w:eastAsia="Verdana" w:cs="Verdana"/>
          <w:szCs w:val="18"/>
          <w:lang w:val="nl-NL"/>
        </w:rPr>
        <w:t xml:space="preserve">VAN GRUNDERBEECK, D., </w:t>
      </w:r>
      <w:r w:rsidRPr="00A33930">
        <w:rPr>
          <w:rFonts w:eastAsia="Verdana" w:cs="Verdana"/>
          <w:i/>
          <w:szCs w:val="18"/>
          <w:lang w:val="nl-NL"/>
        </w:rPr>
        <w:t>Beginselen van personen- en familierecht: een mensenrechtelijke benadering</w:t>
      </w:r>
      <w:r w:rsidRPr="00A33930">
        <w:rPr>
          <w:rFonts w:eastAsia="Verdana" w:cs="Verdana"/>
          <w:szCs w:val="18"/>
          <w:lang w:val="nl-NL"/>
        </w:rPr>
        <w:t>, Antwerpen, Intersentia, 2003, 520 p.</w:t>
      </w:r>
    </w:p>
    <w:p w14:paraId="48C6E16C" w14:textId="77777777" w:rsidR="00092F10" w:rsidRPr="00A33930" w:rsidRDefault="00092F10" w:rsidP="00092F10">
      <w:pPr>
        <w:spacing w:before="120" w:after="120" w:line="360" w:lineRule="auto"/>
        <w:jc w:val="both"/>
        <w:rPr>
          <w:rFonts w:eastAsia="Verdana" w:cs="Verdana"/>
          <w:szCs w:val="18"/>
          <w:lang w:val="nl-NL"/>
        </w:rPr>
      </w:pPr>
      <w:r w:rsidRPr="00A33930">
        <w:rPr>
          <w:rFonts w:eastAsia="Verdana" w:cs="Verdana"/>
          <w:szCs w:val="18"/>
          <w:lang w:val="nl-NL"/>
        </w:rPr>
        <w:lastRenderedPageBreak/>
        <w:t xml:space="preserve">VAN ROY, C., </w:t>
      </w:r>
      <w:r w:rsidRPr="00A33930">
        <w:rPr>
          <w:rFonts w:eastAsia="Verdana" w:cs="Verdana"/>
          <w:i/>
          <w:szCs w:val="18"/>
          <w:lang w:val="nl-NL"/>
        </w:rPr>
        <w:t>De (on)deelbaarheid van het kind</w:t>
      </w:r>
      <w:r w:rsidRPr="00A33930">
        <w:rPr>
          <w:rFonts w:eastAsia="Verdana" w:cs="Verdana"/>
          <w:szCs w:val="18"/>
          <w:lang w:val="nl-NL"/>
        </w:rPr>
        <w:t>, Antwerpen, Intersentia, 2021, 311 p.</w:t>
      </w:r>
    </w:p>
    <w:p w14:paraId="10C2D5D0" w14:textId="77777777" w:rsidR="00092F10" w:rsidRPr="00A33930" w:rsidRDefault="00092F10" w:rsidP="00092F10">
      <w:pPr>
        <w:spacing w:before="200" w:line="360" w:lineRule="auto"/>
        <w:jc w:val="both"/>
        <w:rPr>
          <w:rFonts w:eastAsia="Verdana" w:cs="Verdana"/>
          <w:szCs w:val="18"/>
          <w:lang w:val="nl-NL"/>
        </w:rPr>
      </w:pPr>
      <w:r w:rsidRPr="00A33930">
        <w:rPr>
          <w:rFonts w:eastAsia="Verdana" w:cs="Verdana"/>
          <w:szCs w:val="18"/>
          <w:lang w:val="nl-NL"/>
        </w:rPr>
        <w:t xml:space="preserve">VEERMAN, P., </w:t>
      </w:r>
      <w:r w:rsidRPr="00A33930">
        <w:rPr>
          <w:rFonts w:eastAsia="Verdana" w:cs="Verdana"/>
          <w:i/>
          <w:iCs/>
          <w:szCs w:val="18"/>
          <w:lang w:val="nl-NL"/>
        </w:rPr>
        <w:t>The Rights of the Child and the Changing image of Childhood</w:t>
      </w:r>
      <w:r w:rsidRPr="00A33930">
        <w:rPr>
          <w:rFonts w:eastAsia="Verdana" w:cs="Verdana"/>
          <w:szCs w:val="18"/>
          <w:lang w:val="nl-NL"/>
        </w:rPr>
        <w:t>, Dordrecht, Nijhoff, 1992, 655 p.</w:t>
      </w:r>
    </w:p>
    <w:p w14:paraId="1D913D6B" w14:textId="77777777" w:rsidR="00092F10" w:rsidRPr="00A33930" w:rsidRDefault="00092F10" w:rsidP="00092F10">
      <w:pPr>
        <w:spacing w:before="200" w:line="360" w:lineRule="auto"/>
        <w:jc w:val="both"/>
        <w:rPr>
          <w:rFonts w:eastAsia="Verdana" w:cs="Verdana"/>
          <w:szCs w:val="18"/>
          <w:lang w:val="nl-NL"/>
        </w:rPr>
      </w:pPr>
      <w:r w:rsidRPr="00A33930">
        <w:rPr>
          <w:rFonts w:eastAsia="Verdana" w:cs="Verdana"/>
          <w:szCs w:val="18"/>
          <w:lang w:val="nl-NL"/>
        </w:rPr>
        <w:t xml:space="preserve">VERSCHELDEN, G., </w:t>
      </w:r>
      <w:r w:rsidRPr="00A33930">
        <w:rPr>
          <w:rFonts w:eastAsia="Verdana" w:cs="Verdana"/>
          <w:i/>
          <w:iCs/>
          <w:szCs w:val="18"/>
          <w:lang w:val="nl-NL"/>
        </w:rPr>
        <w:t>Handboek Belgisch Personen-, familie- en relatievermogensrecht</w:t>
      </w:r>
      <w:r w:rsidRPr="00A33930">
        <w:rPr>
          <w:rFonts w:eastAsia="Verdana" w:cs="Verdana"/>
          <w:szCs w:val="18"/>
          <w:lang w:val="nl-NL"/>
        </w:rPr>
        <w:t>, Brugge, die Keure, 2021, 1207 p.</w:t>
      </w:r>
    </w:p>
    <w:p w14:paraId="482D38BE" w14:textId="2A492446" w:rsidR="0077608D" w:rsidRPr="00A33930" w:rsidRDefault="00092F10" w:rsidP="001D6547">
      <w:pPr>
        <w:spacing w:before="200" w:line="360" w:lineRule="auto"/>
        <w:jc w:val="both"/>
        <w:rPr>
          <w:rFonts w:eastAsia="Verdana" w:cs="Verdana"/>
          <w:szCs w:val="18"/>
          <w:lang w:val="nl-NL"/>
        </w:rPr>
      </w:pPr>
      <w:r w:rsidRPr="00A33930">
        <w:rPr>
          <w:rFonts w:eastAsia="Verdana" w:cs="Verdana"/>
          <w:szCs w:val="18"/>
          <w:lang w:val="nl-NL"/>
        </w:rPr>
        <w:t xml:space="preserve">WUYTS, T., </w:t>
      </w:r>
      <w:r w:rsidRPr="00A33930">
        <w:rPr>
          <w:rFonts w:eastAsia="Verdana" w:cs="Verdana"/>
          <w:i/>
          <w:szCs w:val="18"/>
          <w:lang w:val="nl-NL"/>
        </w:rPr>
        <w:t>Ouderlijk gezag</w:t>
      </w:r>
      <w:r w:rsidRPr="00A33930">
        <w:rPr>
          <w:rFonts w:eastAsia="Verdana" w:cs="Verdana"/>
          <w:szCs w:val="18"/>
          <w:lang w:val="nl-NL"/>
        </w:rPr>
        <w:t>, Antwerpen, Intersentia, 2013, 990 p.</w:t>
      </w:r>
    </w:p>
    <w:p w14:paraId="268B1113" w14:textId="77777777" w:rsidR="00DA3ECE" w:rsidRPr="00A33930" w:rsidRDefault="00DA3ECE" w:rsidP="001D6547">
      <w:pPr>
        <w:spacing w:before="360" w:after="120" w:line="360" w:lineRule="auto"/>
        <w:jc w:val="both"/>
        <w:rPr>
          <w:rFonts w:eastAsia="Verdana" w:cs="Verdana"/>
          <w:i/>
          <w:sz w:val="19"/>
          <w:szCs w:val="19"/>
          <w:u w:val="single"/>
          <w:lang w:val="nl-NL"/>
        </w:rPr>
      </w:pPr>
      <w:r w:rsidRPr="00A33930">
        <w:rPr>
          <w:rFonts w:eastAsia="Verdana" w:cs="Verdana"/>
          <w:i/>
          <w:sz w:val="19"/>
          <w:szCs w:val="19"/>
          <w:u w:val="single"/>
          <w:lang w:val="nl-NL"/>
        </w:rPr>
        <w:t>§2. Bijdragen in verzamelwerken:</w:t>
      </w:r>
    </w:p>
    <w:p w14:paraId="47261823" w14:textId="77777777" w:rsidR="00092F10" w:rsidRPr="00A33930" w:rsidRDefault="00092F10" w:rsidP="00092F10">
      <w:pPr>
        <w:spacing w:before="200" w:line="360" w:lineRule="auto"/>
        <w:jc w:val="both"/>
        <w:rPr>
          <w:rFonts w:eastAsia="Verdana" w:cs="Verdana"/>
          <w:szCs w:val="18"/>
          <w:lang w:val="nl-NL"/>
        </w:rPr>
      </w:pPr>
      <w:r w:rsidRPr="00A33930">
        <w:rPr>
          <w:rFonts w:eastAsia="Verdana" w:cs="Verdana"/>
          <w:szCs w:val="18"/>
          <w:lang w:val="nl-NL"/>
        </w:rPr>
        <w:t xml:space="preserve">ABOAF, M., “L’incapacité du mineur: un équilibre délicat entre autonomie et protection” in PREUMONT, H. en STEVENS, I., </w:t>
      </w:r>
      <w:r w:rsidRPr="00A33930">
        <w:rPr>
          <w:rFonts w:eastAsia="Verdana" w:cs="Verdana"/>
          <w:i/>
          <w:szCs w:val="18"/>
          <w:lang w:val="nl-NL"/>
        </w:rPr>
        <w:t>Les jeunes et le droit</w:t>
      </w:r>
      <w:r w:rsidRPr="00A33930">
        <w:rPr>
          <w:rFonts w:eastAsia="Verdana" w:cs="Verdana"/>
          <w:szCs w:val="18"/>
          <w:lang w:val="nl-NL"/>
        </w:rPr>
        <w:t>, Limal, Anthemis, 2017, 105-127.</w:t>
      </w:r>
    </w:p>
    <w:p w14:paraId="1B78C6F7" w14:textId="77777777" w:rsidR="00092F10" w:rsidRPr="00A33930" w:rsidRDefault="00092F10" w:rsidP="00092F10">
      <w:pPr>
        <w:spacing w:before="120" w:after="120" w:line="360" w:lineRule="auto"/>
        <w:jc w:val="both"/>
        <w:rPr>
          <w:rFonts w:eastAsia="Verdana" w:cs="Verdana"/>
          <w:szCs w:val="18"/>
          <w:lang w:val="nl-NL"/>
        </w:rPr>
      </w:pPr>
      <w:r w:rsidRPr="00A33930">
        <w:rPr>
          <w:rFonts w:eastAsia="Verdana" w:cs="Verdana"/>
          <w:szCs w:val="18"/>
          <w:lang w:val="nl-NL"/>
        </w:rPr>
        <w:t xml:space="preserve">ALEN, A. en PAS, W., “De directe werking van het VN-Verdrag inzake de rechten van het kind” in VERHELLEN, E., </w:t>
      </w:r>
      <w:r w:rsidRPr="00A33930">
        <w:rPr>
          <w:rFonts w:eastAsia="Verdana" w:cs="Verdana"/>
          <w:i/>
          <w:szCs w:val="18"/>
          <w:lang w:val="nl-NL"/>
        </w:rPr>
        <w:t>Kinderrechtengids</w:t>
      </w:r>
      <w:r w:rsidRPr="00A33930">
        <w:rPr>
          <w:rFonts w:eastAsia="Verdana" w:cs="Verdana"/>
          <w:szCs w:val="18"/>
          <w:lang w:val="nl-NL"/>
        </w:rPr>
        <w:t xml:space="preserve">, Gent, Mys en Breesch, 1994, 1-25. </w:t>
      </w:r>
    </w:p>
    <w:p w14:paraId="0375B9D1" w14:textId="77777777" w:rsidR="00092F10" w:rsidRPr="00A33930" w:rsidRDefault="00092F10" w:rsidP="00092F10">
      <w:pPr>
        <w:spacing w:before="200" w:line="360" w:lineRule="auto"/>
        <w:jc w:val="both"/>
        <w:rPr>
          <w:rFonts w:eastAsia="Verdana" w:cs="Verdana"/>
          <w:szCs w:val="18"/>
          <w:lang w:val="nl-NL"/>
        </w:rPr>
      </w:pPr>
      <w:r w:rsidRPr="00A33930">
        <w:rPr>
          <w:rFonts w:eastAsia="Verdana" w:cs="Verdana"/>
          <w:szCs w:val="18"/>
          <w:lang w:val="nl-NL"/>
        </w:rPr>
        <w:t xml:space="preserve">BOONE, I. en VERTOMMEN, E., “Recente ontwikkelingen inzake het ouderlijk gezag, de verblijfsregeling en het recht op persoonlijk contact” in BOONE, I. en DECLERCK, C. (eds.), </w:t>
      </w:r>
      <w:r w:rsidRPr="00A33930">
        <w:rPr>
          <w:rFonts w:eastAsia="Verdana" w:cs="Verdana"/>
          <w:i/>
          <w:iCs/>
          <w:szCs w:val="18"/>
          <w:lang w:val="nl-NL"/>
        </w:rPr>
        <w:t>Themis 2022-2023</w:t>
      </w:r>
      <w:r w:rsidRPr="00A33930">
        <w:rPr>
          <w:rFonts w:eastAsia="Verdana" w:cs="Verdana"/>
          <w:szCs w:val="18"/>
          <w:lang w:val="nl-NL"/>
        </w:rPr>
        <w:t>, Antwerpen, Intersentia, 2023, 45-86.</w:t>
      </w:r>
    </w:p>
    <w:p w14:paraId="5666305C" w14:textId="77777777" w:rsidR="00092F10" w:rsidRPr="00A33930" w:rsidRDefault="00092F10" w:rsidP="00092F10">
      <w:pPr>
        <w:spacing w:before="200" w:line="360" w:lineRule="auto"/>
        <w:jc w:val="both"/>
        <w:rPr>
          <w:rFonts w:eastAsia="Verdana" w:cs="Verdana"/>
          <w:szCs w:val="18"/>
          <w:lang w:val="nl-NL"/>
        </w:rPr>
      </w:pPr>
      <w:r w:rsidRPr="00A33930">
        <w:rPr>
          <w:rFonts w:eastAsia="Verdana" w:cs="Verdana"/>
          <w:szCs w:val="18"/>
          <w:lang w:val="nl-NL"/>
        </w:rPr>
        <w:t xml:space="preserve">BOONE, I., “Hoofdstuk IV. Recht op persoonlijk contact” in VERSCHELDEN, G. (e.a.), </w:t>
      </w:r>
      <w:r w:rsidRPr="00A33930">
        <w:rPr>
          <w:rFonts w:eastAsia="Verdana" w:cs="Verdana"/>
          <w:i/>
          <w:szCs w:val="18"/>
          <w:lang w:val="nl-NL"/>
        </w:rPr>
        <w:t>Overzicht van rechtspraak familierecht (2012-2016)</w:t>
      </w:r>
      <w:r w:rsidRPr="00A33930">
        <w:rPr>
          <w:rFonts w:eastAsia="Verdana" w:cs="Verdana"/>
          <w:szCs w:val="18"/>
          <w:lang w:val="nl-NL"/>
        </w:rPr>
        <w:t xml:space="preserve">, </w:t>
      </w:r>
      <w:r w:rsidRPr="00A33930">
        <w:rPr>
          <w:rFonts w:eastAsia="Verdana" w:cs="Verdana"/>
          <w:i/>
          <w:szCs w:val="18"/>
          <w:lang w:val="nl-NL"/>
        </w:rPr>
        <w:t>TPR</w:t>
      </w:r>
      <w:r w:rsidRPr="00A33930">
        <w:rPr>
          <w:rFonts w:eastAsia="Verdana" w:cs="Verdana"/>
          <w:szCs w:val="18"/>
          <w:lang w:val="nl-NL"/>
        </w:rPr>
        <w:t xml:space="preserve"> 2017, afl. 2-3, 1031-1108.</w:t>
      </w:r>
    </w:p>
    <w:p w14:paraId="295A246C" w14:textId="77777777" w:rsidR="00092F10" w:rsidRPr="00A33930" w:rsidRDefault="00092F10" w:rsidP="00092F10">
      <w:pPr>
        <w:spacing w:before="200" w:line="360" w:lineRule="auto"/>
        <w:jc w:val="both"/>
        <w:rPr>
          <w:rFonts w:eastAsia="Verdana" w:cs="Verdana"/>
          <w:szCs w:val="18"/>
          <w:lang w:val="nl-NL"/>
        </w:rPr>
      </w:pPr>
      <w:r w:rsidRPr="00A33930">
        <w:rPr>
          <w:rFonts w:eastAsia="Verdana" w:cs="Verdana"/>
          <w:szCs w:val="18"/>
          <w:lang w:val="nl-NL"/>
        </w:rPr>
        <w:t xml:space="preserve">DE WOLF, A., “De nieuwe regeling van het omgangsrecht” in SENAEVE, P. (ed.), </w:t>
      </w:r>
      <w:r w:rsidRPr="00A33930">
        <w:rPr>
          <w:rFonts w:eastAsia="Verdana" w:cs="Verdana"/>
          <w:i/>
          <w:iCs/>
          <w:szCs w:val="18"/>
          <w:lang w:val="nl-NL"/>
        </w:rPr>
        <w:t>Co-ouderschap en omgangsrecht: commentaar op de wet van 13 april 1995</w:t>
      </w:r>
      <w:r w:rsidRPr="00A33930">
        <w:rPr>
          <w:rFonts w:eastAsia="Verdana" w:cs="Verdana"/>
          <w:szCs w:val="18"/>
          <w:lang w:val="nl-NL"/>
        </w:rPr>
        <w:t>, Antwerpen, Maklu, 1995, 187-258.</w:t>
      </w:r>
    </w:p>
    <w:p w14:paraId="02340566" w14:textId="77777777" w:rsidR="00092F10" w:rsidRPr="00A33930" w:rsidRDefault="00092F10" w:rsidP="00092F10">
      <w:pPr>
        <w:spacing w:before="200" w:line="360" w:lineRule="auto"/>
        <w:jc w:val="both"/>
        <w:rPr>
          <w:rFonts w:eastAsia="Verdana" w:cs="Verdana"/>
          <w:szCs w:val="18"/>
          <w:lang w:val="nl-NL"/>
        </w:rPr>
      </w:pPr>
      <w:r w:rsidRPr="00A33930">
        <w:rPr>
          <w:rFonts w:eastAsia="Verdana" w:cs="Verdana"/>
          <w:szCs w:val="18"/>
          <w:lang w:val="nl-NL"/>
        </w:rPr>
        <w:t xml:space="preserve">FIERENS, J. en MATHIEU, G., “L’impact du droit international des droits de l’homme sur le statut du jeune et sur le droit de la famille” in PREUMONT, H. en STEVENS, I., </w:t>
      </w:r>
      <w:r w:rsidRPr="00A33930">
        <w:rPr>
          <w:rFonts w:eastAsia="Verdana" w:cs="Verdana"/>
          <w:i/>
          <w:szCs w:val="18"/>
          <w:lang w:val="nl-NL"/>
        </w:rPr>
        <w:t>Les jeunes et le droit</w:t>
      </w:r>
      <w:r w:rsidRPr="00A33930">
        <w:rPr>
          <w:rFonts w:eastAsia="Verdana" w:cs="Verdana"/>
          <w:szCs w:val="18"/>
          <w:lang w:val="nl-NL"/>
        </w:rPr>
        <w:t>, Limal, Anthemis, 2017, 77-104.</w:t>
      </w:r>
    </w:p>
    <w:p w14:paraId="20BFDC72" w14:textId="77777777" w:rsidR="00092F10" w:rsidRPr="00A33930" w:rsidRDefault="00092F10" w:rsidP="00092F10">
      <w:pPr>
        <w:spacing w:before="200" w:line="360" w:lineRule="auto"/>
        <w:jc w:val="both"/>
        <w:rPr>
          <w:rFonts w:eastAsia="Verdana" w:cs="Verdana"/>
          <w:szCs w:val="18"/>
          <w:lang w:val="nl-NL"/>
        </w:rPr>
      </w:pPr>
      <w:r w:rsidRPr="00A33930">
        <w:rPr>
          <w:rFonts w:eastAsia="Verdana" w:cs="Verdana"/>
          <w:szCs w:val="18"/>
          <w:lang w:val="nl-NL"/>
        </w:rPr>
        <w:t xml:space="preserve">GALLUS, N. en CARRE, D., “Les consequences de la separation de fait” in BOLIAU, G. (ed.), </w:t>
      </w:r>
      <w:r w:rsidRPr="00A33930">
        <w:rPr>
          <w:rFonts w:eastAsia="Verdana" w:cs="Verdana"/>
          <w:i/>
          <w:iCs/>
          <w:szCs w:val="18"/>
          <w:lang w:val="nl-NL"/>
        </w:rPr>
        <w:t xml:space="preserve">Familles: union et désunion. Commentaire practique, </w:t>
      </w:r>
      <w:r w:rsidRPr="00A33930">
        <w:rPr>
          <w:rFonts w:eastAsia="Verdana" w:cs="Verdana"/>
          <w:szCs w:val="18"/>
          <w:lang w:val="nl-NL"/>
        </w:rPr>
        <w:t>Waterloo, Kluwer, losbl., 213.</w:t>
      </w:r>
    </w:p>
    <w:p w14:paraId="2D5B4FFB" w14:textId="77777777" w:rsidR="00092F10" w:rsidRPr="00A33930" w:rsidRDefault="00092F10" w:rsidP="00092F10">
      <w:pPr>
        <w:spacing w:before="200" w:line="360" w:lineRule="auto"/>
        <w:jc w:val="both"/>
        <w:rPr>
          <w:rFonts w:eastAsia="Verdana" w:cs="Verdana"/>
          <w:szCs w:val="18"/>
          <w:lang w:val="nl-NL"/>
        </w:rPr>
      </w:pPr>
      <w:r w:rsidRPr="00A33930">
        <w:rPr>
          <w:rFonts w:eastAsia="Verdana" w:cs="Verdana"/>
          <w:szCs w:val="18"/>
          <w:lang w:val="nl-NL"/>
        </w:rPr>
        <w:t xml:space="preserve">LEMMENS, P., “De rechten van het kind als grondrechten in de Belgische rechtsorde” in VANDENHOLE, W. (ed.), </w:t>
      </w:r>
      <w:r w:rsidRPr="00A33930">
        <w:rPr>
          <w:rFonts w:eastAsia="Verdana" w:cs="Verdana"/>
          <w:i/>
          <w:iCs/>
          <w:szCs w:val="18"/>
          <w:lang w:val="nl-NL"/>
        </w:rPr>
        <w:t>Kinderrechten in België</w:t>
      </w:r>
      <w:r w:rsidRPr="00A33930">
        <w:rPr>
          <w:rFonts w:eastAsia="Verdana" w:cs="Verdana"/>
          <w:szCs w:val="18"/>
          <w:lang w:val="nl-NL"/>
        </w:rPr>
        <w:t>, Antwerpen, Intersentia, 2008, 37-60.</w:t>
      </w:r>
    </w:p>
    <w:p w14:paraId="23181977" w14:textId="77777777" w:rsidR="00092F10" w:rsidRPr="00A33930" w:rsidRDefault="00092F10" w:rsidP="00092F10">
      <w:pPr>
        <w:spacing w:before="200" w:line="360" w:lineRule="auto"/>
        <w:jc w:val="both"/>
        <w:rPr>
          <w:rFonts w:eastAsia="Verdana" w:cs="Verdana"/>
          <w:szCs w:val="18"/>
          <w:lang w:val="nl-NL"/>
        </w:rPr>
      </w:pPr>
      <w:r w:rsidRPr="00A33930">
        <w:rPr>
          <w:rFonts w:eastAsia="Verdana" w:cs="Verdana"/>
          <w:szCs w:val="18"/>
          <w:lang w:val="nl-NL"/>
        </w:rPr>
        <w:t xml:space="preserve">LLORENS, J.C., “Presentation of general comment no. 14: strengths and limitations, points of consensus and dissent emerging in its drafting” in COUNCIL OF EUROPE, </w:t>
      </w:r>
      <w:r w:rsidRPr="00A33930">
        <w:rPr>
          <w:rFonts w:eastAsia="Verdana" w:cs="Verdana"/>
          <w:i/>
          <w:szCs w:val="18"/>
          <w:lang w:val="nl-NL"/>
        </w:rPr>
        <w:t>The best interests of the child - a dialogue between theory and practice</w:t>
      </w:r>
      <w:r w:rsidRPr="00A33930">
        <w:rPr>
          <w:rFonts w:eastAsia="Verdana" w:cs="Verdana"/>
          <w:szCs w:val="18"/>
          <w:lang w:val="nl-NL"/>
        </w:rPr>
        <w:t>, Straatsburg, Council of Europe Publishing, 2016, 11-17.</w:t>
      </w:r>
    </w:p>
    <w:p w14:paraId="00848FC1" w14:textId="77777777" w:rsidR="00092F10" w:rsidRPr="00A33930" w:rsidRDefault="00092F10" w:rsidP="00092F10">
      <w:pPr>
        <w:spacing w:before="200" w:line="360" w:lineRule="auto"/>
        <w:jc w:val="both"/>
        <w:rPr>
          <w:rFonts w:eastAsia="Verdana" w:cs="Verdana"/>
          <w:szCs w:val="18"/>
          <w:lang w:val="nl-NL"/>
        </w:rPr>
      </w:pPr>
      <w:r w:rsidRPr="00A33930">
        <w:rPr>
          <w:rFonts w:eastAsia="Verdana" w:cs="Verdana"/>
          <w:szCs w:val="18"/>
          <w:lang w:val="nl-NL"/>
        </w:rPr>
        <w:t xml:space="preserve">NYMAN, J., “What is the input by children and young people in implementing their best interests?” in COUNCIL OF EUROPE, </w:t>
      </w:r>
      <w:r w:rsidRPr="00A33930">
        <w:rPr>
          <w:rFonts w:eastAsia="Verdana" w:cs="Verdana"/>
          <w:i/>
          <w:szCs w:val="18"/>
          <w:lang w:val="nl-NL"/>
        </w:rPr>
        <w:t>The best interests of the child – a dialogue between theory and practice</w:t>
      </w:r>
      <w:r w:rsidRPr="00A33930">
        <w:rPr>
          <w:rFonts w:eastAsia="Verdana" w:cs="Verdana"/>
          <w:szCs w:val="18"/>
          <w:lang w:val="nl-NL"/>
        </w:rPr>
        <w:t>, Straatsburg, Council of Europe Publishing, 2016, 93-95.</w:t>
      </w:r>
    </w:p>
    <w:p w14:paraId="788B80E7" w14:textId="77777777" w:rsidR="00092F10" w:rsidRPr="00A33930" w:rsidRDefault="00092F10" w:rsidP="00092F10">
      <w:pPr>
        <w:spacing w:before="200" w:line="360" w:lineRule="auto"/>
        <w:jc w:val="both"/>
        <w:rPr>
          <w:rFonts w:eastAsia="Verdana" w:cs="Verdana"/>
          <w:szCs w:val="18"/>
          <w:lang w:val="nl-NL"/>
        </w:rPr>
      </w:pPr>
      <w:r w:rsidRPr="00A33930">
        <w:rPr>
          <w:rFonts w:eastAsia="Verdana" w:cs="Verdana"/>
          <w:szCs w:val="18"/>
          <w:lang w:val="nl-NL"/>
        </w:rPr>
        <w:lastRenderedPageBreak/>
        <w:t xml:space="preserve">POELEMANS, B., “De nieuwe regeling van het ouderlijk gezag” in SENAEVE, P. (ed.), </w:t>
      </w:r>
      <w:r w:rsidRPr="00A33930">
        <w:rPr>
          <w:rFonts w:eastAsia="Verdana" w:cs="Verdana"/>
          <w:i/>
          <w:iCs/>
          <w:szCs w:val="18"/>
          <w:lang w:val="nl-NL"/>
        </w:rPr>
        <w:t>Co-ouderschap en omgangsrecht: commentaar op de wet van 13 april 1995</w:t>
      </w:r>
      <w:r w:rsidRPr="00A33930">
        <w:rPr>
          <w:rFonts w:eastAsia="Verdana" w:cs="Verdana"/>
          <w:szCs w:val="18"/>
          <w:lang w:val="nl-NL"/>
        </w:rPr>
        <w:t>, Antwerpen, Maklu, 1995, 65-168.</w:t>
      </w:r>
    </w:p>
    <w:p w14:paraId="1ADD1B0D" w14:textId="77777777" w:rsidR="00092F10" w:rsidRPr="00A33930" w:rsidRDefault="00092F10" w:rsidP="00092F10">
      <w:pPr>
        <w:spacing w:before="200" w:line="360" w:lineRule="auto"/>
        <w:jc w:val="both"/>
        <w:rPr>
          <w:rFonts w:eastAsia="Verdana" w:cs="Verdana"/>
          <w:szCs w:val="18"/>
          <w:lang w:val="nl-NL"/>
        </w:rPr>
      </w:pPr>
      <w:r w:rsidRPr="00A33930">
        <w:rPr>
          <w:rFonts w:eastAsia="Verdana" w:cs="Verdana"/>
          <w:szCs w:val="18"/>
          <w:lang w:val="nl-NL"/>
        </w:rPr>
        <w:t xml:space="preserve">SCHAIKO, G., LEMMENS, P. en LEMMENS, K., “Belgium” in GERARDS, J. en FLEUREN, J. (eds.), </w:t>
      </w:r>
      <w:r w:rsidRPr="00A33930">
        <w:rPr>
          <w:rFonts w:eastAsia="Verdana" w:cs="Verdana"/>
          <w:i/>
          <w:iCs/>
          <w:szCs w:val="18"/>
          <w:lang w:val="nl-NL"/>
        </w:rPr>
        <w:t>Implementation of the European Convention on Human Rights and of the judgements of the ECtHR in national case-law</w:t>
      </w:r>
      <w:r w:rsidRPr="00A33930">
        <w:rPr>
          <w:rFonts w:eastAsia="Verdana" w:cs="Verdana"/>
          <w:szCs w:val="18"/>
          <w:lang w:val="nl-NL"/>
        </w:rPr>
        <w:t>, Antwerpen, Intersentia, 2014, 95-144.</w:t>
      </w:r>
    </w:p>
    <w:p w14:paraId="2F638DC7" w14:textId="77777777" w:rsidR="00092F10" w:rsidRPr="00A33930" w:rsidRDefault="00092F10" w:rsidP="00092F10">
      <w:pPr>
        <w:spacing w:before="200" w:line="360" w:lineRule="auto"/>
        <w:jc w:val="both"/>
        <w:rPr>
          <w:rFonts w:eastAsia="Verdana" w:cs="Verdana"/>
          <w:szCs w:val="18"/>
          <w:lang w:val="nl-NL"/>
        </w:rPr>
      </w:pPr>
      <w:r w:rsidRPr="00A33930">
        <w:rPr>
          <w:rFonts w:eastAsia="Verdana" w:cs="Verdana"/>
          <w:szCs w:val="18"/>
          <w:lang w:val="nl-NL"/>
        </w:rPr>
        <w:t xml:space="preserve">SWENNEN, F., “Rechten van niet-ouders met betrekking tot minderjarigen” in SENAEVE, P., SWENNEN, F. en VERSCHELDEN, G. (eds.), </w:t>
      </w:r>
      <w:r w:rsidRPr="00A33930">
        <w:rPr>
          <w:rFonts w:eastAsia="Verdana" w:cs="Verdana"/>
          <w:i/>
          <w:szCs w:val="18"/>
          <w:lang w:val="nl-NL"/>
        </w:rPr>
        <w:t>Ouders en kinderen</w:t>
      </w:r>
      <w:r w:rsidRPr="00A33930">
        <w:rPr>
          <w:rFonts w:eastAsia="Verdana" w:cs="Verdana"/>
          <w:szCs w:val="18"/>
          <w:lang w:val="nl-NL"/>
        </w:rPr>
        <w:t>, Antwerpen, Intersentia, 2013, 257-310.</w:t>
      </w:r>
    </w:p>
    <w:p w14:paraId="2D7E201B" w14:textId="1940C0FC" w:rsidR="00092F10" w:rsidRPr="00A33930" w:rsidRDefault="00092F10" w:rsidP="00092F10">
      <w:pPr>
        <w:spacing w:before="200" w:line="360" w:lineRule="auto"/>
        <w:jc w:val="both"/>
        <w:rPr>
          <w:rFonts w:eastAsia="Verdana" w:cs="Verdana"/>
          <w:szCs w:val="18"/>
          <w:lang w:val="nl-NL"/>
        </w:rPr>
      </w:pPr>
      <w:r w:rsidRPr="00A33930">
        <w:rPr>
          <w:rFonts w:eastAsia="Verdana" w:cs="Verdana"/>
          <w:szCs w:val="18"/>
          <w:lang w:val="nl-NL"/>
        </w:rPr>
        <w:t xml:space="preserve">VANDAELE, A., “De directe werking van en capita selecta uit het Internationaal verdrag inzake de rechten van het kind” in VERHELLEN, E. (e.a.), </w:t>
      </w:r>
      <w:r w:rsidRPr="00A33930">
        <w:rPr>
          <w:rFonts w:eastAsia="Verdana" w:cs="Verdana"/>
          <w:i/>
          <w:iCs/>
          <w:szCs w:val="18"/>
          <w:lang w:val="nl-NL"/>
        </w:rPr>
        <w:t>Kinderrechtengids</w:t>
      </w:r>
      <w:r w:rsidRPr="00A33930">
        <w:rPr>
          <w:rFonts w:eastAsia="Verdana" w:cs="Verdana"/>
          <w:szCs w:val="18"/>
          <w:lang w:val="nl-NL"/>
        </w:rPr>
        <w:t>, Gent, Mys &amp; Breesch, 2003, Deel 1</w:t>
      </w:r>
      <w:r w:rsidR="00536BD7" w:rsidRPr="00A33930">
        <w:rPr>
          <w:rFonts w:eastAsia="Verdana" w:cs="Verdana"/>
          <w:szCs w:val="18"/>
          <w:lang w:val="nl-NL"/>
        </w:rPr>
        <w:t>.</w:t>
      </w:r>
    </w:p>
    <w:p w14:paraId="5AA2735D" w14:textId="77777777" w:rsidR="00092F10" w:rsidRPr="00A33930" w:rsidRDefault="00092F10" w:rsidP="00092F10">
      <w:pPr>
        <w:spacing w:before="200" w:line="360" w:lineRule="auto"/>
        <w:jc w:val="both"/>
        <w:rPr>
          <w:rFonts w:eastAsia="Verdana" w:cs="Verdana"/>
          <w:szCs w:val="18"/>
          <w:lang w:val="nl-NL"/>
        </w:rPr>
      </w:pPr>
      <w:r w:rsidRPr="00A33930">
        <w:rPr>
          <w:rFonts w:eastAsia="Verdana" w:cs="Verdana"/>
          <w:szCs w:val="18"/>
          <w:lang w:val="nl-NL"/>
        </w:rPr>
        <w:t xml:space="preserve">VANDENHOLE, W., “Belgium” in LIEFAARD, T. en DOEK, J.E. (eds.), </w:t>
      </w:r>
      <w:r w:rsidRPr="00A33930">
        <w:rPr>
          <w:rFonts w:eastAsia="Verdana" w:cs="Verdana"/>
          <w:i/>
          <w:szCs w:val="18"/>
          <w:lang w:val="nl-NL"/>
        </w:rPr>
        <w:t>Litigating the rights of the child, the UN Convention on the rights of the child in domestic and international jurisprudence</w:t>
      </w:r>
      <w:r w:rsidRPr="00A33930">
        <w:rPr>
          <w:rFonts w:eastAsia="Verdana" w:cs="Verdana"/>
          <w:szCs w:val="18"/>
          <w:lang w:val="nl-NL"/>
        </w:rPr>
        <w:t>, Dordrecht, Springer, 2015, 105-122.</w:t>
      </w:r>
    </w:p>
    <w:p w14:paraId="2530A289" w14:textId="77777777" w:rsidR="00092F10" w:rsidRPr="00A33930" w:rsidRDefault="00092F10" w:rsidP="00092F10">
      <w:pPr>
        <w:spacing w:before="200" w:line="360" w:lineRule="auto"/>
        <w:jc w:val="both"/>
        <w:rPr>
          <w:rFonts w:eastAsia="Verdana" w:cs="Verdana"/>
          <w:szCs w:val="18"/>
          <w:lang w:val="nl-NL"/>
        </w:rPr>
      </w:pPr>
      <w:r w:rsidRPr="00A33930">
        <w:rPr>
          <w:rFonts w:eastAsia="Verdana" w:cs="Verdana"/>
          <w:szCs w:val="18"/>
          <w:lang w:val="nl-NL"/>
        </w:rPr>
        <w:t xml:space="preserve">VANDENHOLE, W., “Kinderrechten in universele en Europese mensenrechtenverdragen” in VANDENHOLE, W. (ed.), </w:t>
      </w:r>
      <w:r w:rsidRPr="00A33930">
        <w:rPr>
          <w:rFonts w:eastAsia="Verdana" w:cs="Verdana"/>
          <w:i/>
          <w:iCs/>
          <w:szCs w:val="18"/>
          <w:lang w:val="nl-NL"/>
        </w:rPr>
        <w:t>Kinderrechten in België</w:t>
      </w:r>
      <w:r w:rsidRPr="00A33930">
        <w:rPr>
          <w:rFonts w:eastAsia="Verdana" w:cs="Verdana"/>
          <w:szCs w:val="18"/>
          <w:lang w:val="nl-NL"/>
        </w:rPr>
        <w:t>, Antwerpen, Intersentia, 2008, 3-15.</w:t>
      </w:r>
    </w:p>
    <w:p w14:paraId="55D81CE3" w14:textId="77777777" w:rsidR="00092F10" w:rsidRPr="00A33930" w:rsidRDefault="00092F10" w:rsidP="00092F10">
      <w:pPr>
        <w:spacing w:before="200" w:line="360" w:lineRule="auto"/>
        <w:jc w:val="both"/>
        <w:rPr>
          <w:rFonts w:eastAsia="Verdana" w:cstheme="minorHAnsi"/>
          <w:szCs w:val="18"/>
          <w:lang w:val="nl-NL"/>
        </w:rPr>
      </w:pPr>
      <w:r w:rsidRPr="00A33930">
        <w:rPr>
          <w:rFonts w:cstheme="minorHAnsi"/>
          <w:szCs w:val="18"/>
          <w:lang w:val="nl-NL"/>
        </w:rPr>
        <w:t xml:space="preserve">VERHELLEN, E., “Een inleiding tot het Verdrag inzake de Rechten van het Kind” in VANDENHOLE, W. (ed.), </w:t>
      </w:r>
      <w:r w:rsidRPr="00A33930">
        <w:rPr>
          <w:rFonts w:cstheme="minorHAnsi"/>
          <w:i/>
          <w:iCs/>
          <w:szCs w:val="18"/>
          <w:lang w:val="nl-NL"/>
        </w:rPr>
        <w:t>Kinderrechten in België</w:t>
      </w:r>
      <w:r w:rsidRPr="00A33930">
        <w:rPr>
          <w:rFonts w:cstheme="minorHAnsi"/>
          <w:szCs w:val="18"/>
          <w:lang w:val="nl-NL"/>
        </w:rPr>
        <w:t>, Antwerpen, Intersentia, 2008, 17-36.</w:t>
      </w:r>
    </w:p>
    <w:p w14:paraId="194F28A6" w14:textId="48C9A8E2" w:rsidR="00092F10" w:rsidRPr="00A33930" w:rsidRDefault="00092F10" w:rsidP="00DA3ECE">
      <w:pPr>
        <w:spacing w:before="200" w:line="360" w:lineRule="auto"/>
        <w:jc w:val="both"/>
        <w:rPr>
          <w:rFonts w:eastAsia="Verdana" w:cs="Verdana"/>
          <w:szCs w:val="18"/>
          <w:lang w:val="nl-NL"/>
        </w:rPr>
      </w:pPr>
      <w:r w:rsidRPr="00A33930">
        <w:rPr>
          <w:rFonts w:eastAsia="Verdana" w:cs="Verdana"/>
          <w:szCs w:val="18"/>
          <w:lang w:val="nl-NL"/>
        </w:rPr>
        <w:t xml:space="preserve">WHALEN, C., “Article 9: The Right Not to Be Separated from Parents” in VAGHRI, Z., ZERMATTEN, J., LANSDOWN, G. en RUGGIERO, R. (eds.), </w:t>
      </w:r>
      <w:r w:rsidRPr="00A33930">
        <w:rPr>
          <w:rFonts w:eastAsia="Verdana" w:cs="Verdana"/>
          <w:i/>
          <w:szCs w:val="18"/>
          <w:lang w:val="nl-NL"/>
        </w:rPr>
        <w:t>Monitoring State Compliance with the UN Convention on the Rights of the Child</w:t>
      </w:r>
      <w:r w:rsidRPr="00A33930">
        <w:rPr>
          <w:rFonts w:eastAsia="Verdana" w:cs="Verdana"/>
          <w:szCs w:val="18"/>
          <w:lang w:val="nl-NL"/>
        </w:rPr>
        <w:t>, Zwitserland, Springer, 2022, 125-135.</w:t>
      </w:r>
    </w:p>
    <w:p w14:paraId="514908E5" w14:textId="77777777" w:rsidR="00DA3ECE" w:rsidRPr="00A33930" w:rsidRDefault="00DA3ECE" w:rsidP="001D6547">
      <w:pPr>
        <w:spacing w:before="360" w:after="120" w:line="360" w:lineRule="auto"/>
        <w:jc w:val="both"/>
        <w:rPr>
          <w:rFonts w:eastAsia="Verdana" w:cs="Verdana"/>
          <w:i/>
          <w:sz w:val="19"/>
          <w:szCs w:val="19"/>
          <w:u w:val="single"/>
          <w:lang w:val="nl-NL"/>
        </w:rPr>
      </w:pPr>
      <w:r w:rsidRPr="00A33930">
        <w:rPr>
          <w:rFonts w:eastAsia="Verdana" w:cs="Verdana"/>
          <w:i/>
          <w:sz w:val="19"/>
          <w:szCs w:val="19"/>
          <w:u w:val="single"/>
          <w:lang w:val="nl-NL"/>
        </w:rPr>
        <w:t>§3. Tijdschriften:</w:t>
      </w:r>
    </w:p>
    <w:p w14:paraId="630A130E" w14:textId="77777777" w:rsidR="00092F10" w:rsidRPr="00A33930" w:rsidRDefault="00092F10" w:rsidP="00092F10">
      <w:pPr>
        <w:spacing w:before="140" w:line="360" w:lineRule="auto"/>
        <w:jc w:val="both"/>
        <w:rPr>
          <w:rFonts w:eastAsia="Verdana" w:cs="Verdana"/>
          <w:szCs w:val="18"/>
          <w:lang w:val="nl-NL"/>
        </w:rPr>
      </w:pPr>
      <w:r w:rsidRPr="00A33930">
        <w:rPr>
          <w:rFonts w:eastAsia="Verdana" w:cs="Verdana"/>
          <w:szCs w:val="18"/>
          <w:lang w:val="nl-NL"/>
        </w:rPr>
        <w:t xml:space="preserve">AUDOORE, S. “Overzicht van rechtspraak (2003-2011) – De uitoefening van het ouderlijk gezag”, </w:t>
      </w:r>
      <w:r w:rsidRPr="00A33930">
        <w:rPr>
          <w:rFonts w:eastAsia="Verdana" w:cs="Verdana"/>
          <w:i/>
          <w:iCs/>
          <w:szCs w:val="18"/>
          <w:lang w:val="nl-NL"/>
        </w:rPr>
        <w:t>T.Fam.</w:t>
      </w:r>
      <w:r w:rsidRPr="00A33930">
        <w:rPr>
          <w:rFonts w:eastAsia="Verdana" w:cs="Verdana"/>
          <w:szCs w:val="18"/>
          <w:lang w:val="nl-NL"/>
        </w:rPr>
        <w:t xml:space="preserve"> 2012, afl. 3, 55-72.</w:t>
      </w:r>
    </w:p>
    <w:p w14:paraId="1489FA72" w14:textId="77777777" w:rsidR="00092F10" w:rsidRPr="00A33930" w:rsidRDefault="00092F10" w:rsidP="00092F10">
      <w:pPr>
        <w:spacing w:before="120" w:after="120" w:line="360" w:lineRule="auto"/>
        <w:jc w:val="both"/>
        <w:rPr>
          <w:rFonts w:eastAsia="Verdana" w:cs="Verdana"/>
          <w:szCs w:val="18"/>
          <w:lang w:val="nl-NL"/>
        </w:rPr>
      </w:pPr>
      <w:r w:rsidRPr="00A33930">
        <w:rPr>
          <w:rFonts w:eastAsia="Verdana" w:cs="Verdana"/>
          <w:szCs w:val="18"/>
          <w:lang w:val="nl-NL"/>
        </w:rPr>
        <w:t xml:space="preserve">BOONE, I., “Gezag over de persoon van de minderjarige”, </w:t>
      </w:r>
      <w:r w:rsidRPr="00A33930">
        <w:rPr>
          <w:rFonts w:eastAsia="Verdana" w:cs="Verdana"/>
          <w:i/>
          <w:iCs/>
          <w:szCs w:val="18"/>
          <w:lang w:val="nl-NL"/>
        </w:rPr>
        <w:t>TPR</w:t>
      </w:r>
      <w:r w:rsidRPr="00A33930">
        <w:rPr>
          <w:rFonts w:eastAsia="Verdana" w:cs="Verdana"/>
          <w:szCs w:val="18"/>
          <w:lang w:val="nl-NL"/>
        </w:rPr>
        <w:t xml:space="preserve"> 2017, afl. 2-3, 1039-1084.</w:t>
      </w:r>
    </w:p>
    <w:p w14:paraId="3F518828" w14:textId="3389A5AD" w:rsidR="006B48B2" w:rsidRPr="00A33930" w:rsidRDefault="006B48B2" w:rsidP="00092F10">
      <w:pPr>
        <w:spacing w:before="120" w:after="120" w:line="360" w:lineRule="auto"/>
        <w:jc w:val="both"/>
        <w:rPr>
          <w:rFonts w:eastAsia="Verdana" w:cs="Verdana"/>
          <w:szCs w:val="18"/>
          <w:lang w:val="nl-NL"/>
        </w:rPr>
      </w:pPr>
      <w:r w:rsidRPr="00A33930">
        <w:rPr>
          <w:rFonts w:eastAsia="Verdana" w:cs="Verdana"/>
          <w:szCs w:val="18"/>
          <w:lang w:val="nl-NL"/>
        </w:rPr>
        <w:t xml:space="preserve">BOONE, R., “Pleidooi voor een echte kindvriendelijke justitie </w:t>
      </w:r>
      <w:r w:rsidRPr="00A33930">
        <w:rPr>
          <w:rFonts w:eastAsia="Verdana" w:cs="Verdana"/>
          <w:szCs w:val="18"/>
          <w:lang w:val="nl-NL"/>
        </w:rPr>
        <w:sym w:font="Symbol" w:char="F05B"/>
      </w:r>
      <w:r w:rsidRPr="00A33930">
        <w:rPr>
          <w:rFonts w:eastAsia="Verdana" w:cs="Verdana"/>
          <w:szCs w:val="18"/>
          <w:lang w:val="nl-NL"/>
        </w:rPr>
        <w:t>Interview met Evelyn Merckx</w:t>
      </w:r>
      <w:r w:rsidRPr="00A33930">
        <w:rPr>
          <w:rFonts w:eastAsia="Verdana" w:cs="Verdana"/>
          <w:szCs w:val="18"/>
          <w:lang w:val="nl-NL"/>
        </w:rPr>
        <w:sym w:font="Symbol" w:char="F05D"/>
      </w:r>
      <w:r w:rsidRPr="00A33930">
        <w:rPr>
          <w:rFonts w:eastAsia="Verdana" w:cs="Verdana"/>
          <w:szCs w:val="18"/>
          <w:lang w:val="nl-NL"/>
        </w:rPr>
        <w:t xml:space="preserve">”, </w:t>
      </w:r>
      <w:r w:rsidRPr="00A33930">
        <w:rPr>
          <w:rFonts w:eastAsia="Verdana" w:cs="Verdana"/>
          <w:i/>
          <w:iCs/>
          <w:szCs w:val="18"/>
          <w:lang w:val="nl-NL"/>
        </w:rPr>
        <w:t>Juristenkrant</w:t>
      </w:r>
      <w:r w:rsidRPr="00A33930">
        <w:rPr>
          <w:rFonts w:eastAsia="Verdana" w:cs="Verdana"/>
          <w:szCs w:val="18"/>
          <w:lang w:val="nl-NL"/>
        </w:rPr>
        <w:t xml:space="preserve"> 2023, nr. 461, 9.</w:t>
      </w:r>
    </w:p>
    <w:p w14:paraId="0C59B2A5" w14:textId="77777777" w:rsidR="00092F10" w:rsidRPr="00A33930" w:rsidRDefault="00092F10" w:rsidP="00092F10">
      <w:pPr>
        <w:spacing w:before="120" w:after="120" w:line="360" w:lineRule="auto"/>
        <w:jc w:val="both"/>
        <w:rPr>
          <w:rFonts w:eastAsia="Verdana" w:cs="Verdana"/>
          <w:szCs w:val="18"/>
          <w:lang w:val="nl-NL"/>
        </w:rPr>
      </w:pPr>
      <w:r w:rsidRPr="00A33930">
        <w:rPr>
          <w:rFonts w:eastAsia="Verdana" w:cs="Verdana"/>
          <w:szCs w:val="18"/>
          <w:lang w:val="nl-NL"/>
        </w:rPr>
        <w:t xml:space="preserve">BOSISIO, R. en RONFANI, P., “Les enfants comme sujets de droit. Enjeux et questions en débat”, </w:t>
      </w:r>
      <w:r w:rsidRPr="00A33930">
        <w:rPr>
          <w:rFonts w:eastAsia="Verdana" w:cs="Verdana"/>
          <w:i/>
          <w:szCs w:val="18"/>
          <w:lang w:val="nl-NL"/>
        </w:rPr>
        <w:t>Revue des sciences sociales</w:t>
      </w:r>
      <w:r w:rsidRPr="00A33930">
        <w:rPr>
          <w:rFonts w:eastAsia="Verdana" w:cs="Verdana"/>
          <w:szCs w:val="18"/>
          <w:lang w:val="nl-NL"/>
        </w:rPr>
        <w:t xml:space="preserve"> 2020, 28-35.</w:t>
      </w:r>
    </w:p>
    <w:p w14:paraId="68272580" w14:textId="77777777" w:rsidR="00092F10" w:rsidRPr="00A33930" w:rsidRDefault="00092F10" w:rsidP="00092F10">
      <w:pPr>
        <w:spacing w:before="120" w:after="120" w:line="360" w:lineRule="auto"/>
        <w:jc w:val="both"/>
        <w:rPr>
          <w:rFonts w:eastAsia="Verdana" w:cs="Verdana"/>
          <w:szCs w:val="18"/>
          <w:lang w:val="nl-NL"/>
        </w:rPr>
      </w:pPr>
      <w:r w:rsidRPr="00A33930">
        <w:rPr>
          <w:rFonts w:eastAsia="Verdana" w:cs="Verdana"/>
          <w:szCs w:val="18"/>
          <w:lang w:val="nl-NL"/>
        </w:rPr>
        <w:t xml:space="preserve">DE BOE, C., “La place de l’enfant dans le procès civil”, </w:t>
      </w:r>
      <w:r w:rsidRPr="00A33930">
        <w:rPr>
          <w:rFonts w:eastAsia="Verdana" w:cs="Verdana"/>
          <w:i/>
          <w:szCs w:val="18"/>
          <w:lang w:val="nl-NL"/>
        </w:rPr>
        <w:t>JTDE</w:t>
      </w:r>
      <w:r w:rsidRPr="00A33930">
        <w:rPr>
          <w:rFonts w:eastAsia="Verdana" w:cs="Verdana"/>
          <w:szCs w:val="18"/>
          <w:lang w:val="nl-NL"/>
        </w:rPr>
        <w:t xml:space="preserve"> 2009, 485-498.</w:t>
      </w:r>
    </w:p>
    <w:p w14:paraId="40D69D3B" w14:textId="77777777" w:rsidR="00092F10" w:rsidRPr="00A33930" w:rsidRDefault="00092F10" w:rsidP="00092F10">
      <w:pPr>
        <w:spacing w:before="140" w:line="360" w:lineRule="auto"/>
        <w:jc w:val="both"/>
        <w:rPr>
          <w:rFonts w:eastAsia="Verdana" w:cs="Verdana"/>
          <w:szCs w:val="18"/>
          <w:lang w:val="nl-NL"/>
        </w:rPr>
      </w:pPr>
      <w:r w:rsidRPr="00A33930">
        <w:rPr>
          <w:rFonts w:eastAsia="Verdana" w:cs="Verdana"/>
          <w:szCs w:val="18"/>
          <w:lang w:val="nl-NL"/>
        </w:rPr>
        <w:t xml:space="preserve">DE KEZEL, E., “Het begrip ‘Het belang van het kind’”, </w:t>
      </w:r>
      <w:r w:rsidRPr="00A33930">
        <w:rPr>
          <w:rFonts w:eastAsia="Verdana" w:cs="Verdana"/>
          <w:i/>
          <w:szCs w:val="18"/>
          <w:lang w:val="nl-NL"/>
        </w:rPr>
        <w:t>RW</w:t>
      </w:r>
      <w:r w:rsidRPr="00A33930">
        <w:rPr>
          <w:rFonts w:eastAsia="Verdana" w:cs="Verdana"/>
          <w:szCs w:val="18"/>
          <w:lang w:val="nl-NL"/>
        </w:rPr>
        <w:t xml:space="preserve"> 1998-99, nr. 32, 1163-1167.</w:t>
      </w:r>
    </w:p>
    <w:p w14:paraId="045AB256" w14:textId="77777777" w:rsidR="00092F10" w:rsidRPr="00A33930" w:rsidRDefault="00092F10" w:rsidP="00092F10">
      <w:pPr>
        <w:spacing w:before="120" w:after="120" w:line="360" w:lineRule="auto"/>
        <w:jc w:val="both"/>
        <w:rPr>
          <w:rFonts w:eastAsia="Verdana" w:cs="Verdana"/>
          <w:szCs w:val="18"/>
          <w:lang w:val="nl-NL"/>
        </w:rPr>
      </w:pPr>
      <w:r w:rsidRPr="00A33930">
        <w:rPr>
          <w:rFonts w:eastAsia="Verdana" w:cs="Verdana"/>
          <w:szCs w:val="18"/>
          <w:lang w:val="nl-NL"/>
        </w:rPr>
        <w:t xml:space="preserve">DE MAEYER, E. en VERGAUWEN, C., “Een recht op persoonlijk contact voor derden: de notie “bijzondere affectieve band” nader onderzocht” (noot onder Cass. 16 januari 2009), </w:t>
      </w:r>
      <w:r w:rsidRPr="00A33930">
        <w:rPr>
          <w:rFonts w:eastAsia="Verdana" w:cs="Verdana"/>
          <w:i/>
          <w:szCs w:val="18"/>
          <w:lang w:val="nl-NL"/>
        </w:rPr>
        <w:t xml:space="preserve">RABG </w:t>
      </w:r>
      <w:r w:rsidRPr="00A33930">
        <w:rPr>
          <w:rFonts w:eastAsia="Verdana" w:cs="Verdana"/>
          <w:szCs w:val="18"/>
          <w:lang w:val="nl-NL"/>
        </w:rPr>
        <w:t>2009, 863-865.</w:t>
      </w:r>
    </w:p>
    <w:p w14:paraId="26782ED0" w14:textId="318D81B9" w:rsidR="00092F10" w:rsidRPr="00A33930" w:rsidRDefault="00092F10" w:rsidP="00092F10">
      <w:pPr>
        <w:spacing w:before="120" w:after="120" w:line="360" w:lineRule="auto"/>
        <w:jc w:val="both"/>
        <w:rPr>
          <w:rFonts w:eastAsia="Verdana" w:cs="Verdana"/>
          <w:szCs w:val="18"/>
          <w:lang w:val="nl-NL"/>
        </w:rPr>
      </w:pPr>
      <w:r w:rsidRPr="00A33930">
        <w:rPr>
          <w:rFonts w:eastAsia="Verdana" w:cs="Verdana"/>
          <w:szCs w:val="18"/>
          <w:lang w:val="nl-NL"/>
        </w:rPr>
        <w:lastRenderedPageBreak/>
        <w:t>DE VISSCHER, S., REYNAERT, D. EN BOUVERNE-DE BIE, M., “Kinderrechten als referentiekader voor ‘kindvriendelijkheid’: opvattingen en discussies”, </w:t>
      </w:r>
      <w:r w:rsidRPr="00A33930">
        <w:rPr>
          <w:rFonts w:eastAsia="Verdana" w:cs="Verdana"/>
          <w:i/>
          <w:iCs/>
          <w:szCs w:val="18"/>
          <w:lang w:val="nl-NL"/>
        </w:rPr>
        <w:t>TJK</w:t>
      </w:r>
      <w:r w:rsidRPr="00A33930">
        <w:rPr>
          <w:rFonts w:eastAsia="Verdana" w:cs="Verdana"/>
          <w:szCs w:val="18"/>
          <w:lang w:val="nl-NL"/>
        </w:rPr>
        <w:t xml:space="preserve"> 2012</w:t>
      </w:r>
      <w:r w:rsidR="00536BD7" w:rsidRPr="00A33930">
        <w:rPr>
          <w:rFonts w:eastAsia="Verdana" w:cs="Verdana"/>
          <w:szCs w:val="18"/>
          <w:lang w:val="nl-NL"/>
        </w:rPr>
        <w:t xml:space="preserve">, afl. </w:t>
      </w:r>
      <w:r w:rsidRPr="00A33930">
        <w:rPr>
          <w:rFonts w:eastAsia="Verdana" w:cs="Verdana"/>
          <w:szCs w:val="18"/>
          <w:lang w:val="nl-NL"/>
        </w:rPr>
        <w:t>1, 40-52.</w:t>
      </w:r>
    </w:p>
    <w:p w14:paraId="6BA8A36C" w14:textId="77777777" w:rsidR="00092F10" w:rsidRPr="00A33930" w:rsidRDefault="00092F10" w:rsidP="00092F10">
      <w:pPr>
        <w:spacing w:before="120" w:after="120" w:line="360" w:lineRule="auto"/>
        <w:jc w:val="both"/>
        <w:rPr>
          <w:rFonts w:eastAsia="Verdana" w:cs="Verdana"/>
          <w:szCs w:val="18"/>
          <w:lang w:val="nl-NL"/>
        </w:rPr>
      </w:pPr>
      <w:r w:rsidRPr="00A33930">
        <w:rPr>
          <w:rFonts w:eastAsia="Verdana" w:cs="Verdana"/>
          <w:szCs w:val="18"/>
          <w:lang w:val="nl-NL"/>
        </w:rPr>
        <w:t xml:space="preserve">DECLERCK, C. en MATHIEU, G., “Schets van de procespositie van de niet-ontvoogde minderjarige in het Belgische personen- en familierecht”, </w:t>
      </w:r>
      <w:r w:rsidRPr="00A33930">
        <w:rPr>
          <w:rFonts w:eastAsia="Verdana" w:cs="Verdana"/>
          <w:i/>
          <w:szCs w:val="18"/>
          <w:lang w:val="nl-NL"/>
        </w:rPr>
        <w:t>T.Fam.</w:t>
      </w:r>
      <w:r w:rsidRPr="00A33930">
        <w:rPr>
          <w:rFonts w:eastAsia="Verdana" w:cs="Verdana"/>
          <w:szCs w:val="18"/>
          <w:lang w:val="nl-NL"/>
        </w:rPr>
        <w:t xml:space="preserve"> 2022, afl. 5-6, 138-144.</w:t>
      </w:r>
    </w:p>
    <w:p w14:paraId="3F925979" w14:textId="77777777" w:rsidR="00092F10" w:rsidRPr="00A33930" w:rsidRDefault="00092F10" w:rsidP="00092F10">
      <w:pPr>
        <w:spacing w:before="140" w:line="360" w:lineRule="auto"/>
        <w:jc w:val="both"/>
        <w:rPr>
          <w:rFonts w:eastAsia="Verdana" w:cs="Verdana"/>
          <w:szCs w:val="18"/>
          <w:lang w:val="nl-NL"/>
        </w:rPr>
      </w:pPr>
      <w:r w:rsidRPr="00A33930">
        <w:rPr>
          <w:rFonts w:eastAsia="Verdana" w:cs="Verdana"/>
          <w:szCs w:val="18"/>
          <w:lang w:val="nl-NL"/>
        </w:rPr>
        <w:t>DECLERCK, C., “Het recht op persoonlijk contact tussen broers en zussen in de zin van artikel 375</w:t>
      </w:r>
      <w:r w:rsidRPr="00A33930">
        <w:rPr>
          <w:rFonts w:eastAsia="Verdana" w:cs="Verdana"/>
          <w:i/>
          <w:iCs/>
          <w:szCs w:val="18"/>
          <w:lang w:val="nl-NL"/>
        </w:rPr>
        <w:t>bis</w:t>
      </w:r>
      <w:r w:rsidRPr="00A33930">
        <w:rPr>
          <w:rFonts w:eastAsia="Verdana" w:cs="Verdana"/>
          <w:szCs w:val="18"/>
          <w:lang w:val="nl-NL"/>
        </w:rPr>
        <w:t xml:space="preserve"> oud BW”, </w:t>
      </w:r>
      <w:r w:rsidRPr="00A33930">
        <w:rPr>
          <w:rFonts w:eastAsia="Verdana" w:cs="Verdana"/>
          <w:i/>
          <w:szCs w:val="18"/>
          <w:lang w:val="nl-NL"/>
        </w:rPr>
        <w:t>T.Fam.</w:t>
      </w:r>
      <w:r w:rsidRPr="00A33930">
        <w:rPr>
          <w:rFonts w:eastAsia="Verdana" w:cs="Verdana"/>
          <w:szCs w:val="18"/>
          <w:lang w:val="nl-NL"/>
        </w:rPr>
        <w:t xml:space="preserve"> 2021, nr. 10, 306-311.</w:t>
      </w:r>
    </w:p>
    <w:p w14:paraId="6C7F5EE1" w14:textId="77777777" w:rsidR="00092F10" w:rsidRPr="00A33930" w:rsidRDefault="00092F10" w:rsidP="00092F10">
      <w:pPr>
        <w:spacing w:before="120" w:after="120" w:line="360" w:lineRule="auto"/>
        <w:jc w:val="both"/>
        <w:rPr>
          <w:rFonts w:eastAsia="Verdana" w:cs="Verdana"/>
          <w:szCs w:val="18"/>
          <w:lang w:val="nl-NL"/>
        </w:rPr>
      </w:pPr>
      <w:r w:rsidRPr="00A33930">
        <w:rPr>
          <w:rFonts w:eastAsia="Verdana" w:cs="Verdana"/>
          <w:szCs w:val="18"/>
          <w:lang w:val="nl-NL"/>
        </w:rPr>
        <w:t xml:space="preserve">DEVRIENDT, S. en DECOCK, M., “De impact van mensenrechtelijke instrumenten op de procespositie van de minderjarige”, </w:t>
      </w:r>
      <w:r w:rsidRPr="00A33930">
        <w:rPr>
          <w:rFonts w:eastAsia="Verdana" w:cs="Verdana"/>
          <w:i/>
          <w:szCs w:val="18"/>
          <w:lang w:val="nl-NL"/>
        </w:rPr>
        <w:t>TJK</w:t>
      </w:r>
      <w:r w:rsidRPr="00A33930">
        <w:rPr>
          <w:rFonts w:eastAsia="Verdana" w:cs="Verdana"/>
          <w:szCs w:val="18"/>
          <w:lang w:val="nl-NL"/>
        </w:rPr>
        <w:t xml:space="preserve"> 2020, nr. 1, 7-20.</w:t>
      </w:r>
    </w:p>
    <w:p w14:paraId="6D67DB77" w14:textId="77777777" w:rsidR="00092F10" w:rsidRPr="00A33930" w:rsidRDefault="00092F10" w:rsidP="00092F10">
      <w:pPr>
        <w:spacing w:before="120" w:after="120" w:line="360" w:lineRule="auto"/>
        <w:jc w:val="both"/>
        <w:rPr>
          <w:rFonts w:eastAsia="Verdana" w:cs="Verdana"/>
          <w:szCs w:val="18"/>
          <w:lang w:val="nl-NL"/>
        </w:rPr>
      </w:pPr>
      <w:r w:rsidRPr="00A33930">
        <w:rPr>
          <w:rFonts w:eastAsia="Verdana" w:cs="Verdana"/>
          <w:szCs w:val="18"/>
          <w:lang w:val="nl-NL"/>
        </w:rPr>
        <w:t xml:space="preserve">DUPAN, M., “De ontstaansgeschiedenis van de wet van 20 mei 2021 betreffende de persoonlijke banden tussen broers en zussen”, </w:t>
      </w:r>
      <w:r w:rsidRPr="00A33930">
        <w:rPr>
          <w:rFonts w:eastAsia="Verdana" w:cs="Verdana"/>
          <w:i/>
          <w:szCs w:val="18"/>
          <w:lang w:val="nl-NL"/>
        </w:rPr>
        <w:t>T.Fam.</w:t>
      </w:r>
      <w:r w:rsidRPr="00A33930">
        <w:rPr>
          <w:rFonts w:eastAsia="Verdana" w:cs="Verdana"/>
          <w:szCs w:val="18"/>
          <w:lang w:val="nl-NL"/>
        </w:rPr>
        <w:t xml:space="preserve"> 2021, nr. 10, 279-281.</w:t>
      </w:r>
    </w:p>
    <w:p w14:paraId="445B5CA4" w14:textId="77777777" w:rsidR="00092F10" w:rsidRPr="00A33930" w:rsidRDefault="00092F10" w:rsidP="00092F10">
      <w:pPr>
        <w:spacing w:before="120" w:after="120" w:line="360" w:lineRule="auto"/>
        <w:jc w:val="both"/>
        <w:rPr>
          <w:rFonts w:eastAsia="Verdana" w:cs="Verdana"/>
          <w:szCs w:val="18"/>
          <w:lang w:val="nl-NL"/>
        </w:rPr>
      </w:pPr>
      <w:r w:rsidRPr="00A33930">
        <w:rPr>
          <w:rFonts w:eastAsia="Verdana" w:cs="Verdana"/>
          <w:szCs w:val="18"/>
          <w:lang w:val="nl-NL"/>
        </w:rPr>
        <w:t xml:space="preserve">FERMYN, L., “Recht op persoonlijk contact van grootouders: (on)splitsbaar van het conflict tussen ouders en grootouders?” (noot onder Brussel 7 juni 2016), </w:t>
      </w:r>
      <w:r w:rsidRPr="00A33930">
        <w:rPr>
          <w:rFonts w:eastAsia="Verdana" w:cs="Verdana"/>
          <w:i/>
          <w:szCs w:val="18"/>
          <w:lang w:val="nl-NL"/>
        </w:rPr>
        <w:t>T.Fam.</w:t>
      </w:r>
      <w:r w:rsidRPr="00A33930">
        <w:rPr>
          <w:rFonts w:eastAsia="Verdana" w:cs="Verdana"/>
          <w:szCs w:val="18"/>
          <w:lang w:val="nl-NL"/>
        </w:rPr>
        <w:t xml:space="preserve"> 2016, 195-197.</w:t>
      </w:r>
    </w:p>
    <w:p w14:paraId="78E7FF6D" w14:textId="201665EF" w:rsidR="00254C7E" w:rsidRPr="00A33930" w:rsidRDefault="00254C7E" w:rsidP="00092F10">
      <w:pPr>
        <w:spacing w:before="120" w:after="120" w:line="360" w:lineRule="auto"/>
        <w:jc w:val="both"/>
        <w:rPr>
          <w:rFonts w:eastAsia="Verdana" w:cs="Verdana"/>
          <w:szCs w:val="18"/>
          <w:lang w:val="nl-NL"/>
        </w:rPr>
      </w:pPr>
      <w:r w:rsidRPr="00A33930">
        <w:rPr>
          <w:lang w:val="nl-NL"/>
        </w:rPr>
        <w:t>GEENS, K., “De wisselwerking tussen personen- en familierecht en onderwijsrecht. Kinderen, ouders en scholen in de 21</w:t>
      </w:r>
      <w:r w:rsidRPr="00A33930">
        <w:rPr>
          <w:vertAlign w:val="superscript"/>
          <w:lang w:val="nl-NL"/>
        </w:rPr>
        <w:t>ste</w:t>
      </w:r>
      <w:r w:rsidRPr="00A33930">
        <w:rPr>
          <w:lang w:val="nl-NL"/>
        </w:rPr>
        <w:t xml:space="preserve"> eeuw”, </w:t>
      </w:r>
      <w:r w:rsidRPr="00A33930">
        <w:rPr>
          <w:i/>
          <w:iCs/>
          <w:lang w:val="nl-NL"/>
        </w:rPr>
        <w:t>TORB</w:t>
      </w:r>
      <w:r w:rsidRPr="00A33930">
        <w:rPr>
          <w:lang w:val="nl-NL"/>
        </w:rPr>
        <w:t xml:space="preserve"> 2017-18, nr. 4-5, 245-247.</w:t>
      </w:r>
    </w:p>
    <w:p w14:paraId="7FFDD584" w14:textId="77777777" w:rsidR="00092F10" w:rsidRPr="00A33930" w:rsidRDefault="00092F10" w:rsidP="00092F10">
      <w:pPr>
        <w:spacing w:before="140" w:line="360" w:lineRule="auto"/>
        <w:jc w:val="both"/>
        <w:rPr>
          <w:rFonts w:eastAsia="Verdana" w:cs="Verdana"/>
          <w:szCs w:val="18"/>
          <w:lang w:val="nl-NL"/>
        </w:rPr>
      </w:pPr>
      <w:r w:rsidRPr="00A33930">
        <w:rPr>
          <w:rFonts w:eastAsia="Verdana" w:cs="Verdana"/>
          <w:szCs w:val="18"/>
          <w:lang w:val="nl-NL"/>
        </w:rPr>
        <w:t xml:space="preserve">HANSON, K., “Directe werking van het IVRK en ‘het belang van het kind’”, </w:t>
      </w:r>
      <w:r w:rsidRPr="00A33930">
        <w:rPr>
          <w:rFonts w:eastAsia="Verdana" w:cs="Verdana"/>
          <w:i/>
          <w:szCs w:val="18"/>
          <w:lang w:val="nl-NL"/>
        </w:rPr>
        <w:t>TJK</w:t>
      </w:r>
      <w:r w:rsidRPr="00A33930">
        <w:rPr>
          <w:rFonts w:eastAsia="Verdana" w:cs="Verdana"/>
          <w:szCs w:val="18"/>
          <w:lang w:val="nl-NL"/>
        </w:rPr>
        <w:t xml:space="preserve"> 2000, 63-66.</w:t>
      </w:r>
    </w:p>
    <w:p w14:paraId="47F53645" w14:textId="77777777" w:rsidR="00092F10" w:rsidRPr="00A33930" w:rsidRDefault="00092F10" w:rsidP="00092F10">
      <w:pPr>
        <w:spacing w:before="120" w:after="120" w:line="360" w:lineRule="auto"/>
        <w:jc w:val="both"/>
        <w:rPr>
          <w:rFonts w:eastAsia="Verdana" w:cs="Verdana"/>
          <w:szCs w:val="18"/>
          <w:lang w:val="nl-NL"/>
        </w:rPr>
      </w:pPr>
      <w:r w:rsidRPr="00A33930">
        <w:rPr>
          <w:rFonts w:eastAsia="Verdana" w:cs="Verdana"/>
          <w:szCs w:val="18"/>
          <w:lang w:val="nl-NL"/>
        </w:rPr>
        <w:t xml:space="preserve">HENDRIKX, L., “Het recht op persoonlijk contact van grootouders”, </w:t>
      </w:r>
      <w:r w:rsidRPr="00A33930">
        <w:rPr>
          <w:rFonts w:eastAsia="Verdana" w:cs="Verdana"/>
          <w:i/>
          <w:szCs w:val="18"/>
          <w:lang w:val="nl-NL"/>
        </w:rPr>
        <w:t>RW</w:t>
      </w:r>
      <w:r w:rsidRPr="00A33930">
        <w:rPr>
          <w:rFonts w:eastAsia="Verdana" w:cs="Verdana"/>
          <w:szCs w:val="18"/>
          <w:lang w:val="nl-NL"/>
        </w:rPr>
        <w:t xml:space="preserve"> 2020-21, afl. 21, 831-835.</w:t>
      </w:r>
    </w:p>
    <w:p w14:paraId="0A3D791D" w14:textId="735BF4CB" w:rsidR="00EA0506" w:rsidRPr="00A33930" w:rsidRDefault="00092F10" w:rsidP="00092F10">
      <w:pPr>
        <w:spacing w:before="120" w:after="120" w:line="360" w:lineRule="auto"/>
        <w:jc w:val="both"/>
        <w:rPr>
          <w:rFonts w:eastAsia="Verdana" w:cs="Verdana"/>
          <w:szCs w:val="18"/>
          <w:lang w:val="nl-NL"/>
        </w:rPr>
      </w:pPr>
      <w:r w:rsidRPr="00A33930">
        <w:rPr>
          <w:rFonts w:eastAsia="Verdana" w:cs="Verdana"/>
          <w:szCs w:val="18"/>
          <w:lang w:val="nl-NL"/>
        </w:rPr>
        <w:t xml:space="preserve">HERBOTS, K., “Het nieuw Europees Verdrag inzake de uitoefening van de rechten van het kind en de situatie in België”, </w:t>
      </w:r>
      <w:r w:rsidRPr="00A33930">
        <w:rPr>
          <w:rFonts w:eastAsia="Verdana" w:cs="Verdana"/>
          <w:i/>
          <w:szCs w:val="18"/>
          <w:lang w:val="nl-NL"/>
        </w:rPr>
        <w:t>TPR</w:t>
      </w:r>
      <w:r w:rsidRPr="00A33930">
        <w:rPr>
          <w:rFonts w:eastAsia="Verdana" w:cs="Verdana"/>
          <w:szCs w:val="18"/>
          <w:lang w:val="nl-NL"/>
        </w:rPr>
        <w:t xml:space="preserve"> 1997, 1763-1816.</w:t>
      </w:r>
    </w:p>
    <w:p w14:paraId="6F382320" w14:textId="7BEC2822" w:rsidR="00EA0506" w:rsidRPr="00A33930" w:rsidRDefault="00EA0506" w:rsidP="00092F10">
      <w:pPr>
        <w:spacing w:before="120" w:after="120" w:line="360" w:lineRule="auto"/>
        <w:jc w:val="both"/>
        <w:rPr>
          <w:rFonts w:eastAsia="Verdana" w:cs="Verdana"/>
          <w:szCs w:val="18"/>
          <w:lang w:val="nl-NL"/>
        </w:rPr>
      </w:pPr>
      <w:r w:rsidRPr="00A33930">
        <w:rPr>
          <w:rFonts w:eastAsia="Verdana" w:cs="Verdana"/>
          <w:szCs w:val="18"/>
          <w:lang w:val="nl-NL"/>
        </w:rPr>
        <w:t>HERBOTS, K. en PUT, J., “De grondwettelijke verankering van kinderrechten”, TJK 2010, afl. 1, 9-19.</w:t>
      </w:r>
    </w:p>
    <w:p w14:paraId="33B487E3" w14:textId="77777777" w:rsidR="00092F10" w:rsidRPr="00A33930" w:rsidRDefault="00092F10" w:rsidP="00092F10">
      <w:pPr>
        <w:spacing w:before="140" w:line="360" w:lineRule="auto"/>
        <w:jc w:val="both"/>
        <w:rPr>
          <w:rFonts w:eastAsia="Verdana" w:cs="Verdana"/>
          <w:szCs w:val="18"/>
          <w:lang w:val="nl-NL"/>
        </w:rPr>
      </w:pPr>
      <w:r w:rsidRPr="00A33930">
        <w:rPr>
          <w:rFonts w:eastAsia="Verdana" w:cs="Verdana"/>
          <w:szCs w:val="18"/>
          <w:lang w:val="nl-NL"/>
        </w:rPr>
        <w:t xml:space="preserve">JACOBS, K., “Het omgangsrecht in België en Nederland”, </w:t>
      </w:r>
      <w:r w:rsidRPr="00A33930">
        <w:rPr>
          <w:rFonts w:eastAsia="Verdana" w:cs="Verdana"/>
          <w:i/>
          <w:szCs w:val="18"/>
          <w:lang w:val="nl-NL"/>
        </w:rPr>
        <w:t>TPR</w:t>
      </w:r>
      <w:r w:rsidRPr="00A33930">
        <w:rPr>
          <w:rFonts w:eastAsia="Verdana" w:cs="Verdana"/>
          <w:szCs w:val="18"/>
          <w:lang w:val="nl-NL"/>
        </w:rPr>
        <w:t xml:space="preserve"> 1996, 827-882.</w:t>
      </w:r>
    </w:p>
    <w:p w14:paraId="2FCDF0A6" w14:textId="77777777" w:rsidR="00092F10" w:rsidRPr="00A33930" w:rsidRDefault="00092F10" w:rsidP="00092F10">
      <w:pPr>
        <w:spacing w:before="120" w:after="120" w:line="360" w:lineRule="auto"/>
        <w:jc w:val="both"/>
        <w:rPr>
          <w:rFonts w:eastAsia="Verdana" w:cs="Verdana"/>
          <w:szCs w:val="18"/>
          <w:lang w:val="nl-NL"/>
        </w:rPr>
      </w:pPr>
      <w:r w:rsidRPr="00A33930">
        <w:rPr>
          <w:rFonts w:eastAsia="Verdana" w:cs="Verdana"/>
          <w:szCs w:val="18"/>
          <w:lang w:val="nl-NL"/>
        </w:rPr>
        <w:t xml:space="preserve">JACOBS, K., “Het omgangsrecht van de grootouders”, </w:t>
      </w:r>
      <w:r w:rsidRPr="00A33930">
        <w:rPr>
          <w:rFonts w:eastAsia="Verdana" w:cs="Verdana"/>
          <w:i/>
          <w:szCs w:val="18"/>
          <w:lang w:val="nl-NL"/>
        </w:rPr>
        <w:t>AJT</w:t>
      </w:r>
      <w:r w:rsidRPr="00A33930">
        <w:rPr>
          <w:rFonts w:eastAsia="Verdana" w:cs="Verdana"/>
          <w:szCs w:val="18"/>
          <w:lang w:val="nl-NL"/>
        </w:rPr>
        <w:t xml:space="preserve"> 2000-2001, 28-29.</w:t>
      </w:r>
    </w:p>
    <w:p w14:paraId="0A95DA56" w14:textId="77777777" w:rsidR="00092F10" w:rsidRPr="00A33930" w:rsidRDefault="00092F10" w:rsidP="00092F10">
      <w:pPr>
        <w:spacing w:before="140" w:line="360" w:lineRule="auto"/>
        <w:jc w:val="both"/>
        <w:rPr>
          <w:rFonts w:eastAsia="Verdana" w:cs="Verdana"/>
          <w:szCs w:val="18"/>
          <w:lang w:val="nl-NL"/>
        </w:rPr>
      </w:pPr>
      <w:r w:rsidRPr="00A33930">
        <w:rPr>
          <w:rFonts w:eastAsia="Verdana" w:cs="Verdana"/>
          <w:szCs w:val="18"/>
          <w:lang w:val="nl-NL"/>
        </w:rPr>
        <w:t xml:space="preserve">LIEFAARD, T. en DOEK, J.E., “Kinderrechten in de rechtspraak: een internationaal perspectief”, </w:t>
      </w:r>
      <w:r w:rsidRPr="00A33930">
        <w:rPr>
          <w:rFonts w:eastAsia="Verdana" w:cs="Verdana"/>
          <w:i/>
          <w:szCs w:val="18"/>
          <w:lang w:val="nl-NL"/>
        </w:rPr>
        <w:t xml:space="preserve">FJR </w:t>
      </w:r>
      <w:r w:rsidRPr="00A33930">
        <w:rPr>
          <w:rFonts w:eastAsia="Verdana" w:cs="Verdana"/>
          <w:szCs w:val="18"/>
          <w:lang w:val="nl-NL"/>
        </w:rPr>
        <w:t>2015, afl. 20, 82-87.</w:t>
      </w:r>
    </w:p>
    <w:p w14:paraId="31E5DA67" w14:textId="4ACF367B" w:rsidR="00092F10" w:rsidRPr="00A33930" w:rsidRDefault="00092F10" w:rsidP="00092F10">
      <w:pPr>
        <w:spacing w:before="120" w:after="120" w:line="360" w:lineRule="auto"/>
        <w:jc w:val="both"/>
        <w:rPr>
          <w:rFonts w:eastAsia="Verdana" w:cs="Verdana"/>
          <w:szCs w:val="18"/>
          <w:lang w:val="nl-NL"/>
        </w:rPr>
      </w:pPr>
      <w:r w:rsidRPr="00A33930">
        <w:rPr>
          <w:rFonts w:eastAsia="Verdana" w:cs="Verdana"/>
          <w:szCs w:val="18"/>
          <w:lang w:val="nl-NL"/>
        </w:rPr>
        <w:t xml:space="preserve">MAESEELE, T., REYNAERT, D., BOUVERNE-DE BIE, M., ROOSE, R. en BRADT, L., “Stromingen in de kinderrechtenbeweging”, </w:t>
      </w:r>
      <w:r w:rsidRPr="00A33930">
        <w:rPr>
          <w:rFonts w:eastAsia="Verdana" w:cs="Verdana"/>
          <w:i/>
          <w:iCs/>
          <w:szCs w:val="18"/>
          <w:lang w:val="nl-NL"/>
        </w:rPr>
        <w:t>TJK</w:t>
      </w:r>
      <w:r w:rsidRPr="00A33930">
        <w:rPr>
          <w:rFonts w:eastAsia="Verdana" w:cs="Verdana"/>
          <w:szCs w:val="18"/>
          <w:lang w:val="nl-NL"/>
        </w:rPr>
        <w:t xml:space="preserve"> 2008</w:t>
      </w:r>
      <w:r w:rsidR="00536BD7" w:rsidRPr="00A33930">
        <w:rPr>
          <w:rFonts w:eastAsia="Verdana" w:cs="Verdana"/>
          <w:szCs w:val="18"/>
          <w:lang w:val="nl-NL"/>
        </w:rPr>
        <w:t xml:space="preserve">, afl. </w:t>
      </w:r>
      <w:r w:rsidRPr="00A33930">
        <w:rPr>
          <w:rFonts w:eastAsia="Verdana" w:cs="Verdana"/>
          <w:szCs w:val="18"/>
          <w:lang w:val="nl-NL"/>
        </w:rPr>
        <w:t>1, 50-55.</w:t>
      </w:r>
    </w:p>
    <w:p w14:paraId="2AA09B8A" w14:textId="352A4369" w:rsidR="00092F10" w:rsidRPr="00A33930" w:rsidRDefault="00092F10" w:rsidP="00092F10">
      <w:pPr>
        <w:spacing w:before="120" w:after="120" w:line="360" w:lineRule="auto"/>
        <w:jc w:val="both"/>
        <w:rPr>
          <w:rFonts w:eastAsia="Verdana" w:cs="Verdana"/>
          <w:szCs w:val="18"/>
          <w:lang w:val="nl-NL"/>
        </w:rPr>
      </w:pPr>
      <w:r w:rsidRPr="00A33930">
        <w:rPr>
          <w:rFonts w:eastAsia="Verdana" w:cs="Verdana"/>
          <w:szCs w:val="18"/>
          <w:lang w:val="nl-NL"/>
        </w:rPr>
        <w:t>MALLIEN, M., “L’appréciation par le juge de l’intérêt de l’enfant et la volonté des parents: analyse de deu</w:t>
      </w:r>
      <w:r w:rsidR="008536D9" w:rsidRPr="00A33930">
        <w:rPr>
          <w:rFonts w:eastAsia="Verdana" w:cs="Verdana"/>
          <w:szCs w:val="18"/>
          <w:lang w:val="nl-NL"/>
        </w:rPr>
        <w:t>x</w:t>
      </w:r>
      <w:r w:rsidRPr="00A33930">
        <w:rPr>
          <w:rFonts w:eastAsia="Verdana" w:cs="Verdana"/>
          <w:szCs w:val="18"/>
          <w:lang w:val="nl-NL"/>
        </w:rPr>
        <w:t xml:space="preserve"> arrêts de la Cour de cassation” (noot onder Cass. 3 oktober 2014), </w:t>
      </w:r>
      <w:r w:rsidRPr="00A33930">
        <w:rPr>
          <w:rFonts w:eastAsia="Verdana" w:cs="Verdana"/>
          <w:i/>
          <w:iCs/>
          <w:szCs w:val="18"/>
          <w:lang w:val="nl-NL"/>
        </w:rPr>
        <w:t>Act.dr.fam.</w:t>
      </w:r>
      <w:r w:rsidRPr="00A33930">
        <w:rPr>
          <w:rFonts w:eastAsia="Verdana" w:cs="Verdana"/>
          <w:szCs w:val="18"/>
          <w:lang w:val="nl-NL"/>
        </w:rPr>
        <w:t xml:space="preserve"> 2015, 232.</w:t>
      </w:r>
    </w:p>
    <w:p w14:paraId="6E7BD70B" w14:textId="77777777" w:rsidR="00092F10" w:rsidRPr="00A33930" w:rsidRDefault="00092F10" w:rsidP="00092F10">
      <w:pPr>
        <w:spacing w:before="120" w:after="120" w:line="360" w:lineRule="auto"/>
        <w:jc w:val="both"/>
        <w:rPr>
          <w:rFonts w:eastAsia="Verdana" w:cs="Verdana"/>
          <w:szCs w:val="18"/>
          <w:lang w:val="nl-NL"/>
        </w:rPr>
      </w:pPr>
      <w:r w:rsidRPr="00A33930">
        <w:rPr>
          <w:rFonts w:eastAsia="Verdana" w:cs="Verdana"/>
          <w:szCs w:val="18"/>
          <w:lang w:val="nl-NL"/>
        </w:rPr>
        <w:t xml:space="preserve">MANSOURI, A., “Approche méthodologique et fonctionelle du droit comparé”, </w:t>
      </w:r>
      <w:r w:rsidRPr="00A33930">
        <w:rPr>
          <w:rFonts w:eastAsia="Verdana" w:cs="Verdana"/>
          <w:i/>
          <w:iCs/>
          <w:szCs w:val="18"/>
          <w:lang w:val="nl-NL"/>
        </w:rPr>
        <w:t>RIDC</w:t>
      </w:r>
      <w:r w:rsidRPr="00A33930">
        <w:rPr>
          <w:rFonts w:eastAsia="Verdana" w:cs="Verdana"/>
          <w:szCs w:val="18"/>
          <w:lang w:val="nl-NL"/>
        </w:rPr>
        <w:t xml:space="preserve"> 2006, 173-196.</w:t>
      </w:r>
    </w:p>
    <w:p w14:paraId="1FF5C000" w14:textId="77777777" w:rsidR="00092F10" w:rsidRPr="00A33930" w:rsidRDefault="00092F10" w:rsidP="00092F10">
      <w:pPr>
        <w:spacing w:before="120" w:after="120" w:line="360" w:lineRule="auto"/>
        <w:jc w:val="both"/>
        <w:rPr>
          <w:rFonts w:eastAsia="Verdana" w:cs="Verdana"/>
          <w:szCs w:val="18"/>
          <w:lang w:val="nl-NL"/>
        </w:rPr>
      </w:pPr>
      <w:r w:rsidRPr="00A33930">
        <w:rPr>
          <w:rFonts w:eastAsia="Verdana" w:cs="Verdana"/>
          <w:szCs w:val="18"/>
          <w:lang w:val="nl-NL"/>
        </w:rPr>
        <w:t xml:space="preserve">MERCKX, E., “Het EHRM over ouderlijk gezag en verblijf in het belang van het kind na relatiebreuk”, </w:t>
      </w:r>
      <w:r w:rsidRPr="00A33930">
        <w:rPr>
          <w:rFonts w:eastAsia="Verdana" w:cs="Verdana"/>
          <w:i/>
          <w:szCs w:val="18"/>
          <w:lang w:val="nl-NL"/>
        </w:rPr>
        <w:t>T.Fam.</w:t>
      </w:r>
      <w:r w:rsidRPr="00A33930">
        <w:rPr>
          <w:rFonts w:eastAsia="Verdana" w:cs="Verdana"/>
          <w:szCs w:val="18"/>
          <w:lang w:val="nl-NL"/>
        </w:rPr>
        <w:t xml:space="preserve"> 2017, nr. 9, 241-264.</w:t>
      </w:r>
    </w:p>
    <w:p w14:paraId="31D39558" w14:textId="77777777" w:rsidR="00092F10" w:rsidRPr="00A33930" w:rsidRDefault="00092F10" w:rsidP="00092F10">
      <w:pPr>
        <w:spacing w:before="120" w:after="120" w:line="360" w:lineRule="auto"/>
        <w:jc w:val="both"/>
        <w:rPr>
          <w:rFonts w:eastAsia="Verdana" w:cs="Verdana"/>
          <w:szCs w:val="18"/>
          <w:lang w:val="nl-NL"/>
        </w:rPr>
      </w:pPr>
      <w:r w:rsidRPr="00A33930">
        <w:rPr>
          <w:rFonts w:eastAsia="Verdana" w:cs="Verdana"/>
          <w:szCs w:val="18"/>
          <w:lang w:val="nl-NL"/>
        </w:rPr>
        <w:t xml:space="preserve">MOSSELMANS, S., “Een evolutie op het terrein van het ouderlijk gezag, het omgangsrecht, het hoorrecht van minderjarigen en het recht op informatie van ouders en hun minderjarige kinderen: het EVRM ‘The recommendations on parental responsibilities’ en het IVRK als leidraad?”, </w:t>
      </w:r>
      <w:r w:rsidRPr="00A33930">
        <w:rPr>
          <w:rFonts w:eastAsia="Verdana" w:cs="Verdana"/>
          <w:i/>
          <w:szCs w:val="18"/>
          <w:lang w:val="nl-NL"/>
        </w:rPr>
        <w:t>TPR</w:t>
      </w:r>
      <w:r w:rsidRPr="00A33930">
        <w:rPr>
          <w:rFonts w:eastAsia="Verdana" w:cs="Verdana"/>
          <w:szCs w:val="18"/>
          <w:lang w:val="nl-NL"/>
        </w:rPr>
        <w:t xml:space="preserve"> 1997, 543-646.</w:t>
      </w:r>
    </w:p>
    <w:p w14:paraId="4F74403E" w14:textId="77777777" w:rsidR="00092F10" w:rsidRPr="00A33930" w:rsidRDefault="00092F10" w:rsidP="00092F10">
      <w:pPr>
        <w:spacing w:before="120" w:after="120" w:line="360" w:lineRule="auto"/>
        <w:jc w:val="both"/>
        <w:rPr>
          <w:rFonts w:eastAsia="Verdana" w:cs="Verdana"/>
          <w:szCs w:val="18"/>
          <w:lang w:val="nl-NL"/>
        </w:rPr>
      </w:pPr>
      <w:r w:rsidRPr="00A33930">
        <w:rPr>
          <w:rFonts w:eastAsia="Verdana" w:cs="Verdana"/>
          <w:szCs w:val="18"/>
          <w:lang w:val="nl-NL"/>
        </w:rPr>
        <w:lastRenderedPageBreak/>
        <w:t xml:space="preserve">REYNAERT, D., “Het belang van het kind. Zoektocht naar een lading voor de vlag”, </w:t>
      </w:r>
      <w:r w:rsidRPr="00A33930">
        <w:rPr>
          <w:rFonts w:eastAsia="Verdana" w:cs="Verdana"/>
          <w:i/>
          <w:iCs/>
          <w:szCs w:val="18"/>
          <w:lang w:val="nl-NL"/>
        </w:rPr>
        <w:t>TJK</w:t>
      </w:r>
      <w:r w:rsidRPr="00A33930">
        <w:rPr>
          <w:rFonts w:eastAsia="Verdana" w:cs="Verdana"/>
          <w:szCs w:val="18"/>
          <w:lang w:val="nl-NL"/>
        </w:rPr>
        <w:t xml:space="preserve"> 2007, nr. 4, 203-205.</w:t>
      </w:r>
    </w:p>
    <w:p w14:paraId="39D168A2" w14:textId="77777777" w:rsidR="00092F10" w:rsidRPr="00A33930" w:rsidRDefault="00092F10" w:rsidP="00092F10">
      <w:pPr>
        <w:spacing w:before="120" w:after="120" w:line="360" w:lineRule="auto"/>
        <w:jc w:val="both"/>
        <w:rPr>
          <w:rFonts w:eastAsia="Verdana" w:cs="Verdana"/>
          <w:szCs w:val="18"/>
          <w:lang w:val="nl-NL"/>
        </w:rPr>
      </w:pPr>
      <w:r w:rsidRPr="00A33930">
        <w:rPr>
          <w:rFonts w:eastAsia="Verdana" w:cs="Verdana"/>
          <w:szCs w:val="18"/>
          <w:lang w:val="nl-NL"/>
        </w:rPr>
        <w:t xml:space="preserve">SANDBERG, K., “Grandparents’ and grandchildren’s right to contact under the European Convention on Human Rights”, </w:t>
      </w:r>
      <w:r w:rsidRPr="00A33930">
        <w:rPr>
          <w:rFonts w:eastAsia="Verdana" w:cs="Verdana"/>
          <w:i/>
          <w:szCs w:val="18"/>
          <w:lang w:val="nl-NL"/>
        </w:rPr>
        <w:t>Family &amp; Law</w:t>
      </w:r>
      <w:r w:rsidRPr="00A33930">
        <w:rPr>
          <w:rFonts w:eastAsia="Verdana" w:cs="Verdana"/>
          <w:szCs w:val="18"/>
          <w:lang w:val="nl-NL"/>
        </w:rPr>
        <w:t xml:space="preserve"> 2021, DOI:10.5553/FenR/.000050, 1-17.</w:t>
      </w:r>
    </w:p>
    <w:p w14:paraId="27147C10" w14:textId="53EDF1A6" w:rsidR="00256E34" w:rsidRPr="00A33930" w:rsidRDefault="00256E34" w:rsidP="00092F10">
      <w:pPr>
        <w:spacing w:before="120" w:after="120" w:line="360" w:lineRule="auto"/>
        <w:jc w:val="both"/>
        <w:rPr>
          <w:rFonts w:eastAsia="Verdana" w:cs="Verdana"/>
          <w:szCs w:val="18"/>
          <w:lang w:val="nl-NL"/>
        </w:rPr>
      </w:pPr>
      <w:r w:rsidRPr="00A33930">
        <w:rPr>
          <w:rFonts w:eastAsia="Verdana" w:cs="Verdana"/>
          <w:szCs w:val="18"/>
          <w:lang w:val="nl-NL"/>
        </w:rPr>
        <w:t xml:space="preserve">SWENNEN, F., “Privéleven is personenrecht is familierecht”, </w:t>
      </w:r>
      <w:r w:rsidRPr="00A33930">
        <w:rPr>
          <w:rFonts w:eastAsia="Verdana" w:cs="Verdana"/>
          <w:i/>
          <w:iCs/>
          <w:szCs w:val="18"/>
          <w:lang w:val="nl-NL"/>
        </w:rPr>
        <w:t>RW</w:t>
      </w:r>
      <w:r w:rsidRPr="00A33930">
        <w:rPr>
          <w:rFonts w:eastAsia="Verdana" w:cs="Verdana"/>
          <w:szCs w:val="18"/>
          <w:lang w:val="nl-NL"/>
        </w:rPr>
        <w:t xml:space="preserve"> 2011-12, nr. 1, 41-48.</w:t>
      </w:r>
    </w:p>
    <w:p w14:paraId="31A7EE16" w14:textId="77777777" w:rsidR="00092F10" w:rsidRPr="00A33930" w:rsidRDefault="00092F10" w:rsidP="00092F10">
      <w:pPr>
        <w:spacing w:before="120" w:after="120" w:line="360" w:lineRule="auto"/>
        <w:jc w:val="both"/>
        <w:rPr>
          <w:rFonts w:eastAsia="Verdana" w:cs="Verdana"/>
          <w:szCs w:val="18"/>
          <w:lang w:val="nl-NL"/>
        </w:rPr>
      </w:pPr>
      <w:r w:rsidRPr="00A33930">
        <w:rPr>
          <w:rFonts w:eastAsia="Verdana" w:cs="Verdana"/>
          <w:szCs w:val="18"/>
          <w:lang w:val="nl-NL"/>
        </w:rPr>
        <w:t xml:space="preserve">SWENNEN, F., “Wie zijn broers en zusters?”, </w:t>
      </w:r>
      <w:r w:rsidRPr="00A33930">
        <w:rPr>
          <w:rFonts w:eastAsia="Verdana" w:cs="Verdana"/>
          <w:i/>
          <w:szCs w:val="18"/>
          <w:lang w:val="nl-NL"/>
        </w:rPr>
        <w:t>T.Fam.</w:t>
      </w:r>
      <w:r w:rsidRPr="00A33930">
        <w:rPr>
          <w:rFonts w:eastAsia="Verdana" w:cs="Verdana"/>
          <w:szCs w:val="18"/>
          <w:lang w:val="nl-NL"/>
        </w:rPr>
        <w:t xml:space="preserve"> 2021, nr. 10, 292-295.</w:t>
      </w:r>
    </w:p>
    <w:p w14:paraId="126596AA" w14:textId="307ACB0F" w:rsidR="00092F10" w:rsidRPr="00A33930" w:rsidRDefault="00092F10" w:rsidP="00092F10">
      <w:pPr>
        <w:spacing w:before="140" w:line="360" w:lineRule="auto"/>
        <w:jc w:val="both"/>
        <w:rPr>
          <w:rFonts w:eastAsia="Verdana" w:cs="Verdana"/>
          <w:szCs w:val="18"/>
          <w:lang w:val="nl-NL"/>
        </w:rPr>
      </w:pPr>
      <w:r w:rsidRPr="00A33930">
        <w:rPr>
          <w:rFonts w:eastAsia="Verdana" w:cs="Verdana"/>
          <w:szCs w:val="18"/>
          <w:lang w:val="nl-NL"/>
        </w:rPr>
        <w:t>VAN DROOGHENBROECK, S., “Pour une mise à jour du droit constitutionnel belge des libertés publiques et des droits de l’homme. Réflexions au depart de l’article 22</w:t>
      </w:r>
      <w:r w:rsidRPr="00A33930">
        <w:rPr>
          <w:rFonts w:eastAsia="Verdana" w:cs="Verdana"/>
          <w:i/>
          <w:iCs/>
          <w:szCs w:val="18"/>
          <w:lang w:val="nl-NL"/>
        </w:rPr>
        <w:t>bis</w:t>
      </w:r>
      <w:r w:rsidRPr="00A33930">
        <w:rPr>
          <w:rFonts w:eastAsia="Verdana" w:cs="Verdana"/>
          <w:szCs w:val="18"/>
          <w:lang w:val="nl-NL"/>
        </w:rPr>
        <w:t xml:space="preserve"> de la Constituion garantissant le droit de l’enfant à l’intégrité morale, physique et sexuelle”, </w:t>
      </w:r>
      <w:r w:rsidRPr="00A33930">
        <w:rPr>
          <w:rFonts w:eastAsia="Verdana" w:cs="Verdana"/>
          <w:i/>
          <w:iCs/>
          <w:szCs w:val="18"/>
          <w:lang w:val="nl-NL"/>
        </w:rPr>
        <w:t>Administration Publique</w:t>
      </w:r>
      <w:r w:rsidRPr="00A33930">
        <w:rPr>
          <w:rFonts w:eastAsia="Verdana" w:cs="Verdana"/>
          <w:szCs w:val="18"/>
          <w:lang w:val="nl-NL"/>
        </w:rPr>
        <w:t xml:space="preserve"> 2001, nr. 3, 130-153.</w:t>
      </w:r>
    </w:p>
    <w:p w14:paraId="5E51B4F9" w14:textId="77777777" w:rsidR="00092F10" w:rsidRPr="00A33930" w:rsidRDefault="00092F10" w:rsidP="00092F10">
      <w:pPr>
        <w:spacing w:before="120" w:after="120" w:line="360" w:lineRule="auto"/>
        <w:jc w:val="both"/>
        <w:rPr>
          <w:rFonts w:eastAsia="Verdana" w:cs="Verdana"/>
          <w:szCs w:val="18"/>
          <w:lang w:val="nl-NL"/>
        </w:rPr>
      </w:pPr>
      <w:r w:rsidRPr="00A33930">
        <w:rPr>
          <w:rFonts w:eastAsia="Verdana" w:cs="Verdana"/>
          <w:szCs w:val="18"/>
          <w:lang w:val="nl-NL"/>
        </w:rPr>
        <w:t xml:space="preserve">VANDEKERCKHOVE, A., “Oog hebben voor kinderen bij scheiding? Nog niet voor vandaag?”, </w:t>
      </w:r>
      <w:r w:rsidRPr="00A33930">
        <w:rPr>
          <w:rFonts w:eastAsia="Verdana" w:cs="Verdana"/>
          <w:i/>
          <w:iCs/>
          <w:szCs w:val="18"/>
          <w:lang w:val="nl-NL"/>
        </w:rPr>
        <w:t>TJK</w:t>
      </w:r>
      <w:r w:rsidRPr="00A33930">
        <w:rPr>
          <w:rFonts w:eastAsia="Verdana" w:cs="Verdana"/>
          <w:szCs w:val="18"/>
          <w:lang w:val="nl-NL"/>
        </w:rPr>
        <w:t xml:space="preserve"> 2007, nr. 3, 142-146.</w:t>
      </w:r>
    </w:p>
    <w:p w14:paraId="7F989DA7" w14:textId="77777777" w:rsidR="00092F10" w:rsidRPr="00A33930" w:rsidRDefault="00092F10" w:rsidP="00092F10">
      <w:pPr>
        <w:spacing w:before="120" w:after="120" w:line="360" w:lineRule="auto"/>
        <w:jc w:val="both"/>
        <w:rPr>
          <w:rFonts w:eastAsia="Verdana" w:cs="Verdana"/>
          <w:szCs w:val="18"/>
          <w:lang w:val="nl-NL"/>
        </w:rPr>
      </w:pPr>
      <w:r w:rsidRPr="00A33930">
        <w:rPr>
          <w:rFonts w:eastAsia="Verdana" w:cs="Verdana"/>
          <w:szCs w:val="18"/>
          <w:lang w:val="nl-NL"/>
        </w:rPr>
        <w:t xml:space="preserve">VANDENHOLE, W., “Twintig jaar kinderrechtenverdrag (1989-2009): een Belgische stand van zaken”, </w:t>
      </w:r>
      <w:r w:rsidRPr="00A33930">
        <w:rPr>
          <w:rFonts w:eastAsia="Verdana" w:cs="Verdana"/>
          <w:i/>
          <w:szCs w:val="18"/>
          <w:lang w:val="nl-NL"/>
        </w:rPr>
        <w:t>RW</w:t>
      </w:r>
      <w:r w:rsidRPr="00A33930">
        <w:rPr>
          <w:rFonts w:eastAsia="Verdana" w:cs="Verdana"/>
          <w:szCs w:val="18"/>
          <w:lang w:val="nl-NL"/>
        </w:rPr>
        <w:t xml:space="preserve"> 2009-10, 386-404.</w:t>
      </w:r>
    </w:p>
    <w:p w14:paraId="1CE510C6" w14:textId="77777777" w:rsidR="00092F10" w:rsidRPr="00A33930" w:rsidRDefault="00092F10" w:rsidP="00092F10">
      <w:pPr>
        <w:spacing w:before="140" w:line="360" w:lineRule="auto"/>
        <w:jc w:val="both"/>
        <w:rPr>
          <w:rFonts w:eastAsia="Verdana" w:cs="Verdana"/>
          <w:szCs w:val="18"/>
          <w:lang w:val="nl-NL"/>
        </w:rPr>
      </w:pPr>
      <w:r w:rsidRPr="00A33930">
        <w:rPr>
          <w:rFonts w:eastAsia="Verdana" w:cs="Verdana"/>
          <w:szCs w:val="18"/>
          <w:lang w:val="nl-NL"/>
        </w:rPr>
        <w:t xml:space="preserve">VANOBBERGEN, B., “Naar een (nog meer) kindvriendelijke justitie”, </w:t>
      </w:r>
      <w:r w:rsidRPr="00A33930">
        <w:rPr>
          <w:rFonts w:eastAsia="Verdana" w:cs="Verdana"/>
          <w:i/>
          <w:szCs w:val="18"/>
          <w:lang w:val="nl-NL"/>
        </w:rPr>
        <w:t>T.Fam.</w:t>
      </w:r>
      <w:r w:rsidRPr="00A33930">
        <w:rPr>
          <w:rFonts w:eastAsia="Verdana" w:cs="Verdana"/>
          <w:szCs w:val="18"/>
          <w:lang w:val="nl-NL"/>
        </w:rPr>
        <w:t xml:space="preserve"> 2018, afl. 6, 146-147.</w:t>
      </w:r>
    </w:p>
    <w:p w14:paraId="1AC12E36" w14:textId="77777777" w:rsidR="00092F10" w:rsidRPr="00A33930" w:rsidRDefault="00092F10" w:rsidP="00092F10">
      <w:pPr>
        <w:spacing w:before="120" w:after="120" w:line="360" w:lineRule="auto"/>
        <w:jc w:val="both"/>
        <w:rPr>
          <w:rFonts w:eastAsia="Verdana" w:cs="Verdana"/>
          <w:szCs w:val="18"/>
          <w:lang w:val="nl-NL"/>
        </w:rPr>
      </w:pPr>
      <w:r w:rsidRPr="00A33930">
        <w:rPr>
          <w:rFonts w:eastAsia="Verdana" w:cs="Verdana"/>
          <w:szCs w:val="18"/>
          <w:lang w:val="nl-NL"/>
        </w:rPr>
        <w:t xml:space="preserve">VERENIGING VOOR FAMILIERECHT, “Naar een coherente rechtspositie van broers en zussen? Fundamentele bedenkingen bij wetsvoorstel nr. 55-780”, </w:t>
      </w:r>
      <w:r w:rsidRPr="00A33930">
        <w:rPr>
          <w:rFonts w:eastAsia="Verdana" w:cs="Verdana"/>
          <w:i/>
          <w:szCs w:val="18"/>
          <w:lang w:val="nl-NL"/>
        </w:rPr>
        <w:t>T.Fam.</w:t>
      </w:r>
      <w:r w:rsidRPr="00A33930">
        <w:rPr>
          <w:rFonts w:eastAsia="Verdana" w:cs="Verdana"/>
          <w:szCs w:val="18"/>
          <w:lang w:val="nl-NL"/>
        </w:rPr>
        <w:t xml:space="preserve"> 2021, 58-59.</w:t>
      </w:r>
    </w:p>
    <w:p w14:paraId="00167C87" w14:textId="77777777" w:rsidR="00092F10" w:rsidRPr="00A33930" w:rsidRDefault="00092F10" w:rsidP="00092F10">
      <w:pPr>
        <w:spacing w:before="120" w:after="120" w:line="360" w:lineRule="auto"/>
        <w:jc w:val="both"/>
        <w:rPr>
          <w:rFonts w:eastAsia="Verdana" w:cs="Verdana"/>
          <w:szCs w:val="18"/>
          <w:lang w:val="nl-NL"/>
        </w:rPr>
      </w:pPr>
      <w:r w:rsidRPr="00A33930">
        <w:rPr>
          <w:rFonts w:eastAsia="Verdana" w:cs="Verdana"/>
          <w:szCs w:val="18"/>
          <w:lang w:val="nl-NL"/>
        </w:rPr>
        <w:t xml:space="preserve">VERHELLEN, E., “Het Verdrag inzake de rechten van het kind meerderjarig. Enkele beschouwingen over de implementatie in België”, </w:t>
      </w:r>
      <w:r w:rsidRPr="00A33930">
        <w:rPr>
          <w:rFonts w:eastAsia="Verdana" w:cs="Verdana"/>
          <w:i/>
          <w:szCs w:val="18"/>
          <w:lang w:val="nl-NL"/>
        </w:rPr>
        <w:t>TJK</w:t>
      </w:r>
      <w:r w:rsidRPr="00A33930">
        <w:rPr>
          <w:rFonts w:eastAsia="Verdana" w:cs="Verdana"/>
          <w:szCs w:val="18"/>
          <w:lang w:val="nl-NL"/>
        </w:rPr>
        <w:t xml:space="preserve"> 2008, nr. 1, 11-40.</w:t>
      </w:r>
    </w:p>
    <w:p w14:paraId="2889BC29" w14:textId="1A03A08A" w:rsidR="00D11A0C" w:rsidRPr="00A33930" w:rsidRDefault="00D11A0C" w:rsidP="00092F10">
      <w:pPr>
        <w:spacing w:before="120" w:after="120" w:line="360" w:lineRule="auto"/>
        <w:jc w:val="both"/>
        <w:rPr>
          <w:rFonts w:eastAsia="Verdana" w:cs="Verdana"/>
          <w:szCs w:val="18"/>
          <w:lang w:val="nl-NL"/>
        </w:rPr>
      </w:pPr>
      <w:r w:rsidRPr="00A33930">
        <w:rPr>
          <w:rFonts w:eastAsia="Verdana" w:cs="Verdana"/>
          <w:szCs w:val="18"/>
          <w:lang w:val="nl-NL"/>
        </w:rPr>
        <w:t xml:space="preserve">VERHELLEN, E., “Kinder-Rechten zijn in beweging”, </w:t>
      </w:r>
      <w:r w:rsidRPr="00A33930">
        <w:rPr>
          <w:rFonts w:eastAsia="Verdana" w:cs="Verdana"/>
          <w:i/>
          <w:iCs/>
          <w:szCs w:val="18"/>
          <w:lang w:val="nl-NL"/>
        </w:rPr>
        <w:t>TJK</w:t>
      </w:r>
      <w:r w:rsidRPr="00A33930">
        <w:rPr>
          <w:rFonts w:eastAsia="Verdana" w:cs="Verdana"/>
          <w:szCs w:val="18"/>
          <w:lang w:val="nl-NL"/>
        </w:rPr>
        <w:t xml:space="preserve"> 2017, nr. 4, 277-286.</w:t>
      </w:r>
    </w:p>
    <w:p w14:paraId="3570A2AE" w14:textId="7B60B0E0" w:rsidR="00092F10" w:rsidRPr="00A33930" w:rsidRDefault="00092F10" w:rsidP="007A4C05">
      <w:pPr>
        <w:spacing w:before="120" w:after="120" w:line="360" w:lineRule="auto"/>
        <w:jc w:val="both"/>
        <w:rPr>
          <w:rFonts w:eastAsia="Verdana" w:cs="Verdana"/>
          <w:szCs w:val="18"/>
          <w:lang w:val="nl-NL"/>
        </w:rPr>
      </w:pPr>
      <w:r w:rsidRPr="00A33930">
        <w:rPr>
          <w:rFonts w:eastAsia="Verdana" w:cs="Verdana"/>
          <w:szCs w:val="18"/>
          <w:lang w:val="nl-NL"/>
        </w:rPr>
        <w:t xml:space="preserve">VERSTRAETE, K., “Ouderlijk gezag. Procedure”, </w:t>
      </w:r>
      <w:r w:rsidRPr="00A33930">
        <w:rPr>
          <w:rFonts w:eastAsia="Verdana" w:cs="Verdana"/>
          <w:i/>
          <w:iCs/>
          <w:szCs w:val="18"/>
          <w:lang w:val="nl-NL"/>
        </w:rPr>
        <w:t>TPR</w:t>
      </w:r>
      <w:r w:rsidRPr="00A33930">
        <w:rPr>
          <w:rFonts w:eastAsia="Verdana" w:cs="Verdana"/>
          <w:szCs w:val="18"/>
          <w:lang w:val="nl-NL"/>
        </w:rPr>
        <w:t xml:space="preserve"> 2007, afl. 1, 763-786.</w:t>
      </w:r>
    </w:p>
    <w:p w14:paraId="172915A7" w14:textId="7808E449" w:rsidR="00D11A0C" w:rsidRPr="00A33930" w:rsidRDefault="00D11A0C" w:rsidP="00D11A0C">
      <w:pPr>
        <w:spacing w:before="120" w:after="120" w:line="360" w:lineRule="auto"/>
        <w:jc w:val="both"/>
        <w:rPr>
          <w:rFonts w:eastAsia="Verdana" w:cs="Verdana"/>
          <w:szCs w:val="18"/>
          <w:lang w:val="nl-NL"/>
        </w:rPr>
      </w:pPr>
      <w:r w:rsidRPr="00A33930">
        <w:rPr>
          <w:rFonts w:eastAsia="Verdana" w:cs="Verdana"/>
          <w:szCs w:val="18"/>
          <w:lang w:val="nl-NL"/>
        </w:rPr>
        <w:t xml:space="preserve">WUYTS, T., “Ouderlijk gezag moet op maat van het gezin georganiseerd worden”, </w:t>
      </w:r>
      <w:r w:rsidRPr="00A33930">
        <w:rPr>
          <w:rFonts w:eastAsia="Verdana" w:cs="Verdana"/>
          <w:i/>
          <w:szCs w:val="18"/>
          <w:lang w:val="nl-NL"/>
        </w:rPr>
        <w:t>Juristenkrant</w:t>
      </w:r>
      <w:r w:rsidRPr="00A33930">
        <w:rPr>
          <w:rFonts w:eastAsia="Verdana" w:cs="Verdana"/>
          <w:szCs w:val="18"/>
          <w:lang w:val="nl-NL"/>
        </w:rPr>
        <w:t xml:space="preserve"> 2012, afl. 245, 14.</w:t>
      </w:r>
    </w:p>
    <w:p w14:paraId="75B4272B" w14:textId="77777777" w:rsidR="00D11A0C" w:rsidRPr="00A33930" w:rsidRDefault="00D11A0C" w:rsidP="007A4C05">
      <w:pPr>
        <w:spacing w:before="120" w:after="120" w:line="360" w:lineRule="auto"/>
        <w:jc w:val="both"/>
        <w:rPr>
          <w:rFonts w:eastAsia="Verdana" w:cs="Verdana"/>
          <w:szCs w:val="18"/>
          <w:lang w:val="nl-NL"/>
        </w:rPr>
      </w:pPr>
    </w:p>
    <w:p w14:paraId="2CF925EC" w14:textId="77777777" w:rsidR="00DA3ECE" w:rsidRPr="00A33930" w:rsidRDefault="00DA3ECE" w:rsidP="001D6547">
      <w:pPr>
        <w:spacing w:before="360" w:after="120" w:line="360" w:lineRule="auto"/>
        <w:jc w:val="both"/>
        <w:rPr>
          <w:rFonts w:eastAsia="Verdana" w:cs="Verdana"/>
          <w:i/>
          <w:sz w:val="19"/>
          <w:szCs w:val="19"/>
          <w:u w:val="single"/>
          <w:lang w:val="nl-NL"/>
        </w:rPr>
      </w:pPr>
      <w:r w:rsidRPr="00A33930">
        <w:rPr>
          <w:rFonts w:eastAsia="Verdana" w:cs="Verdana"/>
          <w:i/>
          <w:sz w:val="19"/>
          <w:szCs w:val="19"/>
          <w:u w:val="single"/>
          <w:lang w:val="nl-NL"/>
        </w:rPr>
        <w:t>§4. Andere:</w:t>
      </w:r>
    </w:p>
    <w:p w14:paraId="758598C7" w14:textId="60B79504" w:rsidR="00092F10" w:rsidRPr="00A33930" w:rsidRDefault="00092F10" w:rsidP="00092F10">
      <w:pPr>
        <w:spacing w:before="240" w:after="240" w:line="360" w:lineRule="auto"/>
        <w:jc w:val="both"/>
        <w:rPr>
          <w:rFonts w:eastAsia="Verdana" w:cs="Verdana"/>
          <w:szCs w:val="18"/>
          <w:lang w:val="nl-NL"/>
        </w:rPr>
      </w:pPr>
      <w:r w:rsidRPr="00A33930">
        <w:rPr>
          <w:rFonts w:eastAsia="Verdana" w:cs="Verdana"/>
          <w:szCs w:val="18"/>
          <w:lang w:val="nl-NL"/>
        </w:rPr>
        <w:t xml:space="preserve">COENE, E., “Hoog tijd om minderjarigen als volwaardige mensen te bekijken en te behandelen”, </w:t>
      </w:r>
      <w:r w:rsidRPr="00A33930">
        <w:rPr>
          <w:rFonts w:eastAsia="Verdana" w:cs="Verdana"/>
          <w:i/>
          <w:szCs w:val="18"/>
          <w:lang w:val="nl-NL"/>
        </w:rPr>
        <w:t>Knack</w:t>
      </w:r>
      <w:r w:rsidRPr="00A33930">
        <w:rPr>
          <w:rFonts w:eastAsia="Verdana" w:cs="Verdana"/>
          <w:szCs w:val="18"/>
          <w:lang w:val="nl-NL"/>
        </w:rPr>
        <w:t xml:space="preserve"> 2016, </w:t>
      </w:r>
      <w:hyperlink r:id="rId22" w:history="1">
        <w:r w:rsidRPr="00A33930">
          <w:rPr>
            <w:rFonts w:eastAsia="Verdana" w:cs="Verdana"/>
            <w:color w:val="4472C4" w:themeColor="accent1"/>
            <w:szCs w:val="18"/>
            <w:u w:val="single"/>
            <w:lang w:val="nl-NL"/>
          </w:rPr>
          <w:t>www.knack.be/nieuws/hoog-tijd-om-minderjarigen-als-volwaardige-mensen-te-bekijken-en-te-behandelen</w:t>
        </w:r>
      </w:hyperlink>
      <w:r w:rsidRPr="00A33930">
        <w:rPr>
          <w:rFonts w:eastAsia="Verdana" w:cs="Verdana"/>
          <w:szCs w:val="18"/>
          <w:lang w:val="nl-NL"/>
        </w:rPr>
        <w:t xml:space="preserve"> (laatste consultatie </w:t>
      </w:r>
      <w:r w:rsidR="00DC6CBE" w:rsidRPr="00A33930">
        <w:rPr>
          <w:rFonts w:eastAsia="Verdana" w:cs="Verdana"/>
          <w:szCs w:val="18"/>
          <w:lang w:val="nl-NL"/>
        </w:rPr>
        <w:t>13</w:t>
      </w:r>
      <w:r w:rsidRPr="00A33930">
        <w:rPr>
          <w:rFonts w:eastAsia="Verdana" w:cs="Verdana"/>
          <w:szCs w:val="18"/>
          <w:lang w:val="nl-NL"/>
        </w:rPr>
        <w:t>.</w:t>
      </w:r>
      <w:r w:rsidR="00DC6CBE" w:rsidRPr="00A33930">
        <w:rPr>
          <w:rFonts w:eastAsia="Verdana" w:cs="Verdana"/>
          <w:szCs w:val="18"/>
          <w:lang w:val="nl-NL"/>
        </w:rPr>
        <w:t>05</w:t>
      </w:r>
      <w:r w:rsidRPr="00A33930">
        <w:rPr>
          <w:rFonts w:eastAsia="Verdana" w:cs="Verdana"/>
          <w:szCs w:val="18"/>
          <w:lang w:val="nl-NL"/>
        </w:rPr>
        <w:t>.202</w:t>
      </w:r>
      <w:r w:rsidR="00DC6CBE" w:rsidRPr="00A33930">
        <w:rPr>
          <w:rFonts w:eastAsia="Verdana" w:cs="Verdana"/>
          <w:szCs w:val="18"/>
          <w:lang w:val="nl-NL"/>
        </w:rPr>
        <w:t>3</w:t>
      </w:r>
      <w:r w:rsidRPr="00A33930">
        <w:rPr>
          <w:rFonts w:eastAsia="Verdana" w:cs="Verdana"/>
          <w:szCs w:val="18"/>
          <w:lang w:val="nl-NL"/>
        </w:rPr>
        <w:t>).</w:t>
      </w:r>
    </w:p>
    <w:p w14:paraId="2142F4FE" w14:textId="77777777" w:rsidR="00092F10" w:rsidRPr="00A33930" w:rsidRDefault="00092F10" w:rsidP="00092F10">
      <w:pPr>
        <w:spacing w:before="140" w:line="360" w:lineRule="auto"/>
        <w:jc w:val="both"/>
        <w:rPr>
          <w:rFonts w:eastAsia="Verdana" w:cs="Verdana"/>
          <w:szCs w:val="18"/>
          <w:lang w:val="nl-NL"/>
        </w:rPr>
      </w:pPr>
      <w:r w:rsidRPr="00A33930">
        <w:rPr>
          <w:rFonts w:eastAsia="Verdana" w:cs="Verdana"/>
          <w:szCs w:val="18"/>
          <w:lang w:val="nl-NL"/>
        </w:rPr>
        <w:t>COMMITTEE ON THE RIGHTS OF THE CHILD, “Concluding observations on the combined fifth and sixth periodic reports of Belgium”, CRC/C/BEL/CO/5-6.</w:t>
      </w:r>
    </w:p>
    <w:p w14:paraId="20BD80ED" w14:textId="77777777" w:rsidR="00092F10" w:rsidRPr="00A33930" w:rsidRDefault="00092F10" w:rsidP="00092F10">
      <w:pPr>
        <w:spacing w:before="140" w:line="360" w:lineRule="auto"/>
        <w:jc w:val="both"/>
        <w:rPr>
          <w:rFonts w:eastAsia="Verdana" w:cs="Verdana"/>
          <w:szCs w:val="18"/>
          <w:lang w:val="nl-NL"/>
        </w:rPr>
      </w:pPr>
      <w:r w:rsidRPr="00A33930">
        <w:rPr>
          <w:rFonts w:eastAsia="Verdana" w:cs="Verdana"/>
          <w:szCs w:val="18"/>
          <w:lang w:val="nl-NL"/>
        </w:rPr>
        <w:t>COMMITTEE ON THE RIGHTS OF THE CHILD, “Considerations of reports submitted by States Parties under Article 44 of the Convention. Initial reports of States Parties due in 1994”, CRC/C/11/Add.4, 6 september 1994.</w:t>
      </w:r>
    </w:p>
    <w:p w14:paraId="2107D6F8" w14:textId="77777777" w:rsidR="00092F10" w:rsidRPr="00A33930" w:rsidRDefault="00092F10" w:rsidP="00092F10">
      <w:pPr>
        <w:spacing w:before="140" w:line="360" w:lineRule="auto"/>
        <w:jc w:val="both"/>
        <w:rPr>
          <w:rFonts w:eastAsia="Verdana" w:cs="Verdana"/>
          <w:szCs w:val="18"/>
          <w:lang w:val="nl-NL"/>
        </w:rPr>
      </w:pPr>
      <w:r w:rsidRPr="00A33930">
        <w:rPr>
          <w:rFonts w:eastAsia="Verdana" w:cs="Verdana"/>
          <w:szCs w:val="18"/>
          <w:lang w:val="nl-NL"/>
        </w:rPr>
        <w:lastRenderedPageBreak/>
        <w:t>COMMITTEE ON THE RIGHTS OF THE CHILD, “List of issues in relation to the combined fifth and sixth periodic reports of Belgium”, CRC/C/BEL/Q/5-6.</w:t>
      </w:r>
    </w:p>
    <w:p w14:paraId="44CEBDE3" w14:textId="404F9B2A" w:rsidR="00092F10" w:rsidRPr="00A33930" w:rsidRDefault="00092F10" w:rsidP="00092F10">
      <w:pPr>
        <w:spacing w:before="140" w:line="360" w:lineRule="auto"/>
        <w:jc w:val="both"/>
        <w:rPr>
          <w:rFonts w:eastAsia="Verdana" w:cs="Verdana"/>
          <w:szCs w:val="18"/>
          <w:lang w:val="nl-NL"/>
        </w:rPr>
      </w:pPr>
      <w:r w:rsidRPr="00A33930">
        <w:rPr>
          <w:rFonts w:eastAsia="Verdana" w:cs="Verdana"/>
          <w:szCs w:val="18"/>
          <w:lang w:val="nl-NL"/>
        </w:rPr>
        <w:t>COMMITTEE ON THE RIGHTS OF THE CHILD, “Report on the forty-third session, Day of General Discussion on the right of the child to be heard”,</w:t>
      </w:r>
      <w:r w:rsidRPr="00A33930">
        <w:rPr>
          <w:rFonts w:eastAsia="Verdana" w:cs="Verdana"/>
          <w:i/>
          <w:szCs w:val="18"/>
          <w:lang w:val="nl-NL"/>
        </w:rPr>
        <w:t xml:space="preserve"> </w:t>
      </w:r>
      <w:r w:rsidRPr="00A33930">
        <w:rPr>
          <w:rFonts w:eastAsia="Verdana" w:cs="Verdana"/>
          <w:szCs w:val="18"/>
          <w:lang w:val="nl-NL"/>
        </w:rPr>
        <w:t xml:space="preserve">29 september 2006, </w:t>
      </w:r>
      <w:hyperlink r:id="rId23" w:history="1">
        <w:r w:rsidRPr="00A33930">
          <w:rPr>
            <w:rFonts w:eastAsia="Verdana" w:cs="Verdana"/>
            <w:color w:val="4472C4" w:themeColor="accent1"/>
            <w:szCs w:val="18"/>
            <w:u w:val="single"/>
            <w:lang w:val="nl-NL"/>
          </w:rPr>
          <w:t>www.cypcs.org.uk/wpcypcs/wp-content/uploads/2021/02/Day-of-General-Discussion-Report-2006.pdf</w:t>
        </w:r>
      </w:hyperlink>
      <w:r w:rsidRPr="00A33930">
        <w:rPr>
          <w:rFonts w:eastAsia="Verdana" w:cs="Verdana"/>
          <w:color w:val="4472C4" w:themeColor="accent1"/>
          <w:szCs w:val="18"/>
          <w:lang w:val="nl-NL"/>
        </w:rPr>
        <w:t xml:space="preserve"> </w:t>
      </w:r>
      <w:r w:rsidRPr="00A33930">
        <w:rPr>
          <w:rFonts w:eastAsia="Verdana" w:cs="Verdana"/>
          <w:szCs w:val="18"/>
          <w:lang w:val="nl-NL"/>
        </w:rPr>
        <w:t xml:space="preserve">(laatste consultatie </w:t>
      </w:r>
      <w:r w:rsidR="00DC6CBE" w:rsidRPr="00A33930">
        <w:rPr>
          <w:rFonts w:eastAsia="Verdana" w:cs="Verdana"/>
          <w:szCs w:val="18"/>
          <w:lang w:val="nl-NL"/>
        </w:rPr>
        <w:t>13</w:t>
      </w:r>
      <w:r w:rsidRPr="00A33930">
        <w:rPr>
          <w:rFonts w:eastAsia="Verdana" w:cs="Verdana"/>
          <w:szCs w:val="18"/>
          <w:lang w:val="nl-NL"/>
        </w:rPr>
        <w:t>.</w:t>
      </w:r>
      <w:r w:rsidR="00DC6CBE" w:rsidRPr="00A33930">
        <w:rPr>
          <w:rFonts w:eastAsia="Verdana" w:cs="Verdana"/>
          <w:szCs w:val="18"/>
          <w:lang w:val="nl-NL"/>
        </w:rPr>
        <w:t>05</w:t>
      </w:r>
      <w:r w:rsidRPr="00A33930">
        <w:rPr>
          <w:rFonts w:eastAsia="Verdana" w:cs="Verdana"/>
          <w:szCs w:val="18"/>
          <w:lang w:val="nl-NL"/>
        </w:rPr>
        <w:t>.202</w:t>
      </w:r>
      <w:r w:rsidR="00DC6CBE" w:rsidRPr="00A33930">
        <w:rPr>
          <w:rFonts w:eastAsia="Verdana" w:cs="Verdana"/>
          <w:szCs w:val="18"/>
          <w:lang w:val="nl-NL"/>
        </w:rPr>
        <w:t>3</w:t>
      </w:r>
      <w:r w:rsidRPr="00A33930">
        <w:rPr>
          <w:rFonts w:eastAsia="Verdana" w:cs="Verdana"/>
          <w:szCs w:val="18"/>
          <w:lang w:val="nl-NL"/>
        </w:rPr>
        <w:t>).</w:t>
      </w:r>
    </w:p>
    <w:p w14:paraId="4A57867B" w14:textId="15432A98" w:rsidR="00092F10" w:rsidRPr="00A33930" w:rsidRDefault="00092F10" w:rsidP="00092F10">
      <w:pPr>
        <w:spacing w:before="120" w:after="120" w:line="360" w:lineRule="auto"/>
        <w:jc w:val="both"/>
        <w:rPr>
          <w:rFonts w:eastAsia="Verdana" w:cs="Verdana"/>
          <w:szCs w:val="18"/>
          <w:lang w:val="nl-NL"/>
        </w:rPr>
      </w:pPr>
      <w:r w:rsidRPr="00A33930">
        <w:rPr>
          <w:rFonts w:eastAsia="Verdana" w:cs="Verdana"/>
          <w:szCs w:val="18"/>
          <w:lang w:val="nl-NL"/>
        </w:rPr>
        <w:t xml:space="preserve">KINDERRECHTENCOMMISSARIAAT, “Advies van 10 juni 2007 betreffende een sterkere rechtspositie voor de minderjarige”, 2006-2007/8, </w:t>
      </w:r>
      <w:hyperlink r:id="rId24" w:history="1">
        <w:r w:rsidRPr="00A33930">
          <w:rPr>
            <w:rFonts w:eastAsia="Verdana" w:cs="Verdana"/>
            <w:color w:val="4472C4" w:themeColor="accent1"/>
            <w:szCs w:val="18"/>
            <w:u w:val="single"/>
            <w:lang w:val="nl-NL"/>
          </w:rPr>
          <w:t>www.kinderrechten.be/sites/default/files/2006_2007_8_advies_een_sterkere_rechtspositie_voor_de_minderjarige.pdf</w:t>
        </w:r>
      </w:hyperlink>
      <w:r w:rsidRPr="00A33930">
        <w:rPr>
          <w:rFonts w:eastAsia="Verdana" w:cs="Verdana"/>
          <w:szCs w:val="18"/>
          <w:lang w:val="nl-NL"/>
        </w:rPr>
        <w:t xml:space="preserve"> (laatste consultatie </w:t>
      </w:r>
      <w:r w:rsidR="00DC6CBE" w:rsidRPr="00A33930">
        <w:rPr>
          <w:rFonts w:eastAsia="Verdana" w:cs="Verdana"/>
          <w:szCs w:val="18"/>
          <w:lang w:val="nl-NL"/>
        </w:rPr>
        <w:t>13</w:t>
      </w:r>
      <w:r w:rsidRPr="00A33930">
        <w:rPr>
          <w:rFonts w:eastAsia="Verdana" w:cs="Verdana"/>
          <w:szCs w:val="18"/>
          <w:lang w:val="nl-NL"/>
        </w:rPr>
        <w:t>.0</w:t>
      </w:r>
      <w:r w:rsidR="00DC6CBE" w:rsidRPr="00A33930">
        <w:rPr>
          <w:rFonts w:eastAsia="Verdana" w:cs="Verdana"/>
          <w:szCs w:val="18"/>
          <w:lang w:val="nl-NL"/>
        </w:rPr>
        <w:t>5</w:t>
      </w:r>
      <w:r w:rsidRPr="00A33930">
        <w:rPr>
          <w:rFonts w:eastAsia="Verdana" w:cs="Verdana"/>
          <w:szCs w:val="18"/>
          <w:lang w:val="nl-NL"/>
        </w:rPr>
        <w:t>.2023).</w:t>
      </w:r>
    </w:p>
    <w:p w14:paraId="1ACEEE6F" w14:textId="35F753C1" w:rsidR="00092F10" w:rsidRPr="00A33930" w:rsidRDefault="00092F10" w:rsidP="00092F10">
      <w:pPr>
        <w:spacing w:before="120" w:after="120" w:line="360" w:lineRule="auto"/>
        <w:jc w:val="both"/>
        <w:rPr>
          <w:rFonts w:eastAsia="Verdana" w:cs="Verdana"/>
          <w:szCs w:val="18"/>
          <w:lang w:val="nl-NL"/>
        </w:rPr>
      </w:pPr>
      <w:r w:rsidRPr="00A33930">
        <w:rPr>
          <w:rFonts w:eastAsia="Verdana" w:cs="Verdana"/>
          <w:szCs w:val="18"/>
          <w:lang w:val="nl-NL"/>
        </w:rPr>
        <w:t xml:space="preserve">KINDERRECHTENCOMMISSARIAAT, “Advies van 20 juni 2006 betreffende het spreekrecht, zelfstandige rechtsingang en jeugdadvocaten”, 2005-2006/11, </w:t>
      </w:r>
      <w:hyperlink r:id="rId25" w:history="1">
        <w:r w:rsidRPr="00A33930">
          <w:rPr>
            <w:rStyle w:val="Hyperlink"/>
            <w:rFonts w:eastAsia="Verdana" w:cs="Verdana"/>
            <w:color w:val="4472C4" w:themeColor="accent1"/>
            <w:szCs w:val="18"/>
            <w:lang w:val="nl-NL"/>
          </w:rPr>
          <w:t>www.kinderrechten.be/sites/default/files/2005_2006_11_advies_spreekrecht_zelfstandigerechtsingang_jeugdavocaten.pdf</w:t>
        </w:r>
      </w:hyperlink>
      <w:r w:rsidRPr="00A33930">
        <w:rPr>
          <w:rFonts w:eastAsia="Verdana" w:cs="Verdana"/>
          <w:szCs w:val="18"/>
          <w:lang w:val="nl-NL"/>
        </w:rPr>
        <w:t xml:space="preserve"> (laatste consultatie </w:t>
      </w:r>
      <w:r w:rsidR="00DC6CBE" w:rsidRPr="00A33930">
        <w:rPr>
          <w:rFonts w:eastAsia="Verdana" w:cs="Verdana"/>
          <w:szCs w:val="18"/>
          <w:lang w:val="nl-NL"/>
        </w:rPr>
        <w:t>13</w:t>
      </w:r>
      <w:r w:rsidRPr="00A33930">
        <w:rPr>
          <w:rFonts w:eastAsia="Verdana" w:cs="Verdana"/>
          <w:szCs w:val="18"/>
          <w:lang w:val="nl-NL"/>
        </w:rPr>
        <w:t>.0</w:t>
      </w:r>
      <w:r w:rsidR="00DC6CBE" w:rsidRPr="00A33930">
        <w:rPr>
          <w:rFonts w:eastAsia="Verdana" w:cs="Verdana"/>
          <w:szCs w:val="18"/>
          <w:lang w:val="nl-NL"/>
        </w:rPr>
        <w:t>5</w:t>
      </w:r>
      <w:r w:rsidRPr="00A33930">
        <w:rPr>
          <w:rFonts w:eastAsia="Verdana" w:cs="Verdana"/>
          <w:szCs w:val="18"/>
          <w:lang w:val="nl-NL"/>
        </w:rPr>
        <w:t>.2023).</w:t>
      </w:r>
    </w:p>
    <w:p w14:paraId="1FA34388" w14:textId="4FF8425D" w:rsidR="00EA236D" w:rsidRPr="00A33930" w:rsidRDefault="00EA236D" w:rsidP="00092F10">
      <w:pPr>
        <w:spacing w:before="120" w:after="120" w:line="360" w:lineRule="auto"/>
        <w:jc w:val="both"/>
        <w:rPr>
          <w:rFonts w:eastAsia="Verdana" w:cs="Verdana"/>
          <w:iCs/>
          <w:szCs w:val="18"/>
          <w:lang w:val="nl-NL"/>
        </w:rPr>
      </w:pPr>
      <w:r w:rsidRPr="00A33930">
        <w:rPr>
          <w:rFonts w:eastAsia="Verdana" w:cs="Verdana"/>
          <w:iCs/>
          <w:szCs w:val="18"/>
          <w:lang w:val="nl-NL"/>
        </w:rPr>
        <w:t xml:space="preserve">KINDERRECHTENCOMMISSARIAAT, </w:t>
      </w:r>
      <w:r w:rsidRPr="00A33930">
        <w:rPr>
          <w:rFonts w:eastAsia="Verdana" w:cs="Verdana"/>
          <w:i/>
          <w:iCs/>
          <w:szCs w:val="18"/>
          <w:lang w:val="nl-NL"/>
        </w:rPr>
        <w:t>Dossier recht op recht</w:t>
      </w:r>
      <w:r w:rsidRPr="00A33930">
        <w:rPr>
          <w:rFonts w:eastAsia="Verdana" w:cs="Verdana"/>
          <w:iCs/>
          <w:szCs w:val="18"/>
          <w:lang w:val="nl-NL"/>
        </w:rPr>
        <w:t xml:space="preserve">, 2008, </w:t>
      </w:r>
      <w:hyperlink r:id="rId26" w:history="1">
        <w:r w:rsidRPr="00A33930">
          <w:rPr>
            <w:rStyle w:val="Hyperlink"/>
            <w:rFonts w:eastAsia="Verdana" w:cs="Verdana"/>
            <w:iCs/>
            <w:color w:val="4472C4" w:themeColor="accent1"/>
            <w:szCs w:val="18"/>
            <w:lang w:val="nl-NL"/>
          </w:rPr>
          <w:t>www.kinderrechtencommissariaat.be/advies/recht-op-recht</w:t>
        </w:r>
      </w:hyperlink>
      <w:r w:rsidRPr="00A33930">
        <w:rPr>
          <w:rFonts w:eastAsia="Verdana" w:cs="Verdana"/>
          <w:iCs/>
          <w:szCs w:val="18"/>
          <w:lang w:val="nl-NL"/>
        </w:rPr>
        <w:t xml:space="preserve"> (laatste consultatie </w:t>
      </w:r>
      <w:r w:rsidR="00DC6CBE" w:rsidRPr="00A33930">
        <w:rPr>
          <w:rFonts w:eastAsia="Verdana" w:cs="Verdana"/>
          <w:iCs/>
          <w:szCs w:val="18"/>
          <w:lang w:val="nl-NL"/>
        </w:rPr>
        <w:t>13</w:t>
      </w:r>
      <w:r w:rsidRPr="00A33930">
        <w:rPr>
          <w:rFonts w:eastAsia="Verdana" w:cs="Verdana"/>
          <w:iCs/>
          <w:szCs w:val="18"/>
          <w:lang w:val="nl-NL"/>
        </w:rPr>
        <w:t>.0</w:t>
      </w:r>
      <w:r w:rsidR="00DC6CBE" w:rsidRPr="00A33930">
        <w:rPr>
          <w:rFonts w:eastAsia="Verdana" w:cs="Verdana"/>
          <w:iCs/>
          <w:szCs w:val="18"/>
          <w:lang w:val="nl-NL"/>
        </w:rPr>
        <w:t>5</w:t>
      </w:r>
      <w:r w:rsidRPr="00A33930">
        <w:rPr>
          <w:rFonts w:eastAsia="Verdana" w:cs="Verdana"/>
          <w:iCs/>
          <w:szCs w:val="18"/>
          <w:lang w:val="nl-NL"/>
        </w:rPr>
        <w:t>.2023).</w:t>
      </w:r>
    </w:p>
    <w:p w14:paraId="0F9DD252" w14:textId="5983F301" w:rsidR="00092F10" w:rsidRPr="00A33930" w:rsidRDefault="00092F10" w:rsidP="00092F10">
      <w:pPr>
        <w:spacing w:before="120" w:after="120" w:line="360" w:lineRule="auto"/>
        <w:jc w:val="both"/>
        <w:rPr>
          <w:rFonts w:eastAsia="Verdana" w:cs="Verdana"/>
          <w:iCs/>
          <w:szCs w:val="18"/>
          <w:lang w:val="nl-NL"/>
        </w:rPr>
      </w:pPr>
      <w:r w:rsidRPr="00A33930">
        <w:rPr>
          <w:rFonts w:eastAsia="Verdana" w:cs="Verdana"/>
          <w:szCs w:val="18"/>
          <w:lang w:val="nl-NL"/>
        </w:rPr>
        <w:t xml:space="preserve">KINDERRECHTENCOMMISSARIAAT, “Advies van 29 januari 2021 betreffende het wetsvoorstel tot wijziging van het Burgerlijk Wetboek in verband met de persoonlijke banden tussen broers en zussen”, 2020-2021/7, </w:t>
      </w:r>
      <w:hyperlink r:id="rId27" w:history="1">
        <w:r w:rsidRPr="00A33930">
          <w:rPr>
            <w:rFonts w:eastAsia="Verdana" w:cs="Verdana"/>
            <w:color w:val="4472C4" w:themeColor="accent1"/>
            <w:szCs w:val="18"/>
            <w:u w:val="single"/>
            <w:lang w:val="nl-NL"/>
          </w:rPr>
          <w:t>www.kinderrechten.be/sites/default/files/standpunt_2020_2021_07_banden_tussen_broers_en_zussen.pdf</w:t>
        </w:r>
      </w:hyperlink>
      <w:r w:rsidRPr="00A33930">
        <w:rPr>
          <w:rFonts w:eastAsia="Verdana" w:cs="Verdana"/>
          <w:szCs w:val="18"/>
          <w:lang w:val="nl-NL"/>
        </w:rPr>
        <w:t xml:space="preserve"> (laatste consultatie </w:t>
      </w:r>
      <w:r w:rsidR="00DC6CBE" w:rsidRPr="00A33930">
        <w:rPr>
          <w:rFonts w:eastAsia="Verdana" w:cs="Verdana"/>
          <w:szCs w:val="18"/>
          <w:lang w:val="nl-NL"/>
        </w:rPr>
        <w:t>13</w:t>
      </w:r>
      <w:r w:rsidRPr="00A33930">
        <w:rPr>
          <w:rFonts w:eastAsia="Verdana" w:cs="Verdana"/>
          <w:szCs w:val="18"/>
          <w:lang w:val="nl-NL"/>
        </w:rPr>
        <w:t>.</w:t>
      </w:r>
      <w:r w:rsidR="00DC6CBE" w:rsidRPr="00A33930">
        <w:rPr>
          <w:rFonts w:eastAsia="Verdana" w:cs="Verdana"/>
          <w:szCs w:val="18"/>
          <w:lang w:val="nl-NL"/>
        </w:rPr>
        <w:t>05</w:t>
      </w:r>
      <w:r w:rsidRPr="00A33930">
        <w:rPr>
          <w:rFonts w:eastAsia="Verdana" w:cs="Verdana"/>
          <w:szCs w:val="18"/>
          <w:lang w:val="nl-NL"/>
        </w:rPr>
        <w:t>.202</w:t>
      </w:r>
      <w:r w:rsidR="00DC6CBE" w:rsidRPr="00A33930">
        <w:rPr>
          <w:rFonts w:eastAsia="Verdana" w:cs="Verdana"/>
          <w:szCs w:val="18"/>
          <w:lang w:val="nl-NL"/>
        </w:rPr>
        <w:t>3</w:t>
      </w:r>
      <w:r w:rsidRPr="00A33930">
        <w:rPr>
          <w:rFonts w:eastAsia="Verdana" w:cs="Verdana"/>
          <w:szCs w:val="18"/>
          <w:lang w:val="nl-NL"/>
        </w:rPr>
        <w:t>).</w:t>
      </w:r>
    </w:p>
    <w:p w14:paraId="349A5DE5" w14:textId="5C65701B" w:rsidR="00092F10" w:rsidRPr="00A33930" w:rsidRDefault="00092F10" w:rsidP="00092F10">
      <w:pPr>
        <w:spacing w:before="240" w:after="240" w:line="360" w:lineRule="auto"/>
        <w:jc w:val="both"/>
        <w:rPr>
          <w:rFonts w:eastAsia="Verdana" w:cs="Verdana"/>
          <w:szCs w:val="18"/>
          <w:lang w:val="nl-NL"/>
        </w:rPr>
      </w:pPr>
      <w:r w:rsidRPr="00A33930">
        <w:rPr>
          <w:rFonts w:eastAsia="Verdana" w:cs="Verdana"/>
          <w:szCs w:val="18"/>
          <w:lang w:val="nl-NL"/>
        </w:rPr>
        <w:t xml:space="preserve">KINDERRECHTENCOMMISSARIAAT, “Alternatief rapport aan het VN-kinderrechtencomité”, 28 februari 2018, </w:t>
      </w:r>
      <w:hyperlink r:id="rId28" w:history="1">
        <w:r w:rsidRPr="00A33930">
          <w:rPr>
            <w:rFonts w:eastAsia="Verdana" w:cs="Verdana"/>
            <w:color w:val="4472C4" w:themeColor="accent1"/>
            <w:szCs w:val="18"/>
            <w:u w:val="single"/>
            <w:lang w:val="nl-NL"/>
          </w:rPr>
          <w:t>www.kinderrechten.be/sites/default/files/alternatief_rapport_krc_dgde_2018_nl_def_cover_0.pdf</w:t>
        </w:r>
      </w:hyperlink>
      <w:r w:rsidRPr="00A33930">
        <w:rPr>
          <w:rFonts w:eastAsia="Verdana" w:cs="Verdana"/>
          <w:color w:val="4472C4" w:themeColor="accent1"/>
          <w:szCs w:val="18"/>
          <w:lang w:val="nl-NL"/>
        </w:rPr>
        <w:t xml:space="preserve"> </w:t>
      </w:r>
      <w:r w:rsidRPr="00A33930">
        <w:rPr>
          <w:rFonts w:eastAsia="Verdana" w:cs="Verdana"/>
          <w:szCs w:val="18"/>
          <w:lang w:val="nl-NL"/>
        </w:rPr>
        <w:t xml:space="preserve">(laatste consultatie </w:t>
      </w:r>
      <w:r w:rsidR="00DC6CBE" w:rsidRPr="00A33930">
        <w:rPr>
          <w:rFonts w:eastAsia="Verdana" w:cs="Verdana"/>
          <w:szCs w:val="18"/>
          <w:lang w:val="nl-NL"/>
        </w:rPr>
        <w:t>13</w:t>
      </w:r>
      <w:r w:rsidRPr="00A33930">
        <w:rPr>
          <w:rFonts w:eastAsia="Verdana" w:cs="Verdana"/>
          <w:szCs w:val="18"/>
          <w:lang w:val="nl-NL"/>
        </w:rPr>
        <w:t>.</w:t>
      </w:r>
      <w:r w:rsidR="00DC6CBE" w:rsidRPr="00A33930">
        <w:rPr>
          <w:rFonts w:eastAsia="Verdana" w:cs="Verdana"/>
          <w:szCs w:val="18"/>
          <w:lang w:val="nl-NL"/>
        </w:rPr>
        <w:t>05</w:t>
      </w:r>
      <w:r w:rsidRPr="00A33930">
        <w:rPr>
          <w:rFonts w:eastAsia="Verdana" w:cs="Verdana"/>
          <w:szCs w:val="18"/>
          <w:lang w:val="nl-NL"/>
        </w:rPr>
        <w:t>.202</w:t>
      </w:r>
      <w:r w:rsidR="00DC6CBE" w:rsidRPr="00A33930">
        <w:rPr>
          <w:rFonts w:eastAsia="Verdana" w:cs="Verdana"/>
          <w:szCs w:val="18"/>
          <w:lang w:val="nl-NL"/>
        </w:rPr>
        <w:t>3</w:t>
      </w:r>
      <w:r w:rsidRPr="00A33930">
        <w:rPr>
          <w:rFonts w:eastAsia="Verdana" w:cs="Verdana"/>
          <w:szCs w:val="18"/>
          <w:lang w:val="nl-NL"/>
        </w:rPr>
        <w:t>).</w:t>
      </w:r>
    </w:p>
    <w:p w14:paraId="252A37B5" w14:textId="77C3F4BB" w:rsidR="00EA236D" w:rsidRPr="00A33930" w:rsidRDefault="00092F10" w:rsidP="00092F10">
      <w:pPr>
        <w:spacing w:before="140" w:line="360" w:lineRule="auto"/>
        <w:jc w:val="both"/>
        <w:rPr>
          <w:rFonts w:eastAsia="Verdana" w:cs="Verdana"/>
          <w:szCs w:val="18"/>
          <w:lang w:val="nl-NL"/>
        </w:rPr>
      </w:pPr>
      <w:r w:rsidRPr="00A33930">
        <w:rPr>
          <w:rFonts w:eastAsia="Verdana" w:cs="Verdana"/>
          <w:szCs w:val="18"/>
          <w:lang w:val="nl-NL"/>
        </w:rPr>
        <w:t xml:space="preserve">KINDERRECHTENCOMMISSARIAAT, “Dossier Spreekrecht: het kind weegt te ligt”, 20 mei 2022, 1-35, </w:t>
      </w:r>
      <w:hyperlink r:id="rId29" w:history="1">
        <w:r w:rsidRPr="00A33930">
          <w:rPr>
            <w:rFonts w:eastAsia="Verdana" w:cs="Verdana"/>
            <w:color w:val="4472C4" w:themeColor="accent1"/>
            <w:szCs w:val="18"/>
            <w:u w:val="single"/>
            <w:lang w:val="nl-NL"/>
          </w:rPr>
          <w:t>www.kinderrechten.be/sites/default/files/2022-05/KRC_Dossier_spreekrecht_interactief.pdf</w:t>
        </w:r>
      </w:hyperlink>
      <w:r w:rsidRPr="00A33930">
        <w:rPr>
          <w:rFonts w:eastAsia="Verdana" w:cs="Verdana"/>
          <w:color w:val="4472C4" w:themeColor="accent1"/>
          <w:szCs w:val="18"/>
          <w:lang w:val="nl-NL"/>
        </w:rPr>
        <w:t xml:space="preserve"> </w:t>
      </w:r>
      <w:r w:rsidRPr="00A33930">
        <w:rPr>
          <w:rFonts w:eastAsia="Verdana" w:cs="Verdana"/>
          <w:szCs w:val="18"/>
          <w:lang w:val="nl-NL"/>
        </w:rPr>
        <w:t xml:space="preserve">(laatste consultatie </w:t>
      </w:r>
      <w:r w:rsidR="00DC6CBE" w:rsidRPr="00A33930">
        <w:rPr>
          <w:rFonts w:eastAsia="Verdana" w:cs="Verdana"/>
          <w:szCs w:val="18"/>
          <w:lang w:val="nl-NL"/>
        </w:rPr>
        <w:t>13</w:t>
      </w:r>
      <w:r w:rsidRPr="00A33930">
        <w:rPr>
          <w:rFonts w:eastAsia="Verdana" w:cs="Verdana"/>
          <w:szCs w:val="18"/>
          <w:lang w:val="nl-NL"/>
        </w:rPr>
        <w:t>.</w:t>
      </w:r>
      <w:r w:rsidR="00DC6CBE" w:rsidRPr="00A33930">
        <w:rPr>
          <w:rFonts w:eastAsia="Verdana" w:cs="Verdana"/>
          <w:szCs w:val="18"/>
          <w:lang w:val="nl-NL"/>
        </w:rPr>
        <w:t>05</w:t>
      </w:r>
      <w:r w:rsidRPr="00A33930">
        <w:rPr>
          <w:rFonts w:eastAsia="Verdana" w:cs="Verdana"/>
          <w:szCs w:val="18"/>
          <w:lang w:val="nl-NL"/>
        </w:rPr>
        <w:t>.202</w:t>
      </w:r>
      <w:r w:rsidR="00DC6CBE" w:rsidRPr="00A33930">
        <w:rPr>
          <w:rFonts w:eastAsia="Verdana" w:cs="Verdana"/>
          <w:szCs w:val="18"/>
          <w:lang w:val="nl-NL"/>
        </w:rPr>
        <w:t>3</w:t>
      </w:r>
      <w:r w:rsidRPr="00A33930">
        <w:rPr>
          <w:rFonts w:eastAsia="Verdana" w:cs="Verdana"/>
          <w:szCs w:val="18"/>
          <w:lang w:val="nl-NL"/>
        </w:rPr>
        <w:t>).</w:t>
      </w:r>
    </w:p>
    <w:p w14:paraId="35F05D2A" w14:textId="756DD3E0" w:rsidR="00092F10" w:rsidRPr="00A33930" w:rsidRDefault="00092F10" w:rsidP="00092F10">
      <w:pPr>
        <w:spacing w:before="140" w:line="360" w:lineRule="auto"/>
        <w:jc w:val="both"/>
        <w:rPr>
          <w:rFonts w:eastAsia="Verdana" w:cs="Verdana"/>
          <w:szCs w:val="18"/>
          <w:lang w:val="nl-NL"/>
        </w:rPr>
      </w:pPr>
      <w:r w:rsidRPr="00A33930">
        <w:rPr>
          <w:rFonts w:eastAsia="Verdana" w:cs="Verdana"/>
          <w:szCs w:val="18"/>
          <w:lang w:val="nl-NL"/>
        </w:rPr>
        <w:t xml:space="preserve">MAEREVOET, E., “Milieuactivisten gieten soep over ‘Zonnebloemen’ van </w:t>
      </w:r>
      <w:proofErr w:type="spellStart"/>
      <w:r w:rsidRPr="00A33930">
        <w:rPr>
          <w:rFonts w:eastAsia="Verdana" w:cs="Verdana"/>
          <w:szCs w:val="18"/>
          <w:lang w:val="nl-NL"/>
        </w:rPr>
        <w:t>Van</w:t>
      </w:r>
      <w:proofErr w:type="spellEnd"/>
      <w:r w:rsidRPr="00A33930">
        <w:rPr>
          <w:rFonts w:eastAsia="Verdana" w:cs="Verdana"/>
          <w:szCs w:val="18"/>
          <w:lang w:val="nl-NL"/>
        </w:rPr>
        <w:t xml:space="preserve"> Gogh in Londen, ‘schilderij is niet beschadigd’”, </w:t>
      </w:r>
      <w:r w:rsidRPr="00A33930">
        <w:rPr>
          <w:rFonts w:eastAsia="Verdana" w:cs="Verdana"/>
          <w:i/>
          <w:iCs/>
          <w:szCs w:val="18"/>
          <w:lang w:val="nl-NL"/>
        </w:rPr>
        <w:t>vrtnieuws</w:t>
      </w:r>
      <w:r w:rsidRPr="00A33930">
        <w:rPr>
          <w:rFonts w:eastAsia="Verdana" w:cs="Verdana"/>
          <w:szCs w:val="18"/>
          <w:lang w:val="nl-NL"/>
        </w:rPr>
        <w:t xml:space="preserve"> 14 oktober 2022, </w:t>
      </w:r>
      <w:hyperlink r:id="rId30" w:history="1">
        <w:r w:rsidRPr="00A33930">
          <w:rPr>
            <w:rStyle w:val="Hyperlink"/>
            <w:rFonts w:eastAsia="Verdana" w:cs="Verdana"/>
            <w:color w:val="4472C4" w:themeColor="accent1"/>
            <w:szCs w:val="18"/>
            <w:lang w:val="nl-NL"/>
          </w:rPr>
          <w:t>www.vrt.be/vrtnws/nl/2022/10/14/activisten-gooien-soep-over-zonnebloemen-van-van-gogh/</w:t>
        </w:r>
      </w:hyperlink>
      <w:r w:rsidRPr="00A33930">
        <w:rPr>
          <w:rFonts w:eastAsia="Verdana" w:cs="Verdana"/>
          <w:szCs w:val="18"/>
          <w:lang w:val="nl-NL"/>
        </w:rPr>
        <w:t xml:space="preserve"> (laatste consultatie </w:t>
      </w:r>
      <w:r w:rsidR="00DC6CBE" w:rsidRPr="00A33930">
        <w:rPr>
          <w:rFonts w:eastAsia="Verdana" w:cs="Verdana"/>
          <w:szCs w:val="18"/>
          <w:lang w:val="nl-NL"/>
        </w:rPr>
        <w:t>13</w:t>
      </w:r>
      <w:r w:rsidRPr="00A33930">
        <w:rPr>
          <w:rFonts w:eastAsia="Verdana" w:cs="Verdana"/>
          <w:szCs w:val="18"/>
          <w:lang w:val="nl-NL"/>
        </w:rPr>
        <w:t>.0</w:t>
      </w:r>
      <w:r w:rsidR="00DC6CBE" w:rsidRPr="00A33930">
        <w:rPr>
          <w:rFonts w:eastAsia="Verdana" w:cs="Verdana"/>
          <w:szCs w:val="18"/>
          <w:lang w:val="nl-NL"/>
        </w:rPr>
        <w:t>5</w:t>
      </w:r>
      <w:r w:rsidRPr="00A33930">
        <w:rPr>
          <w:rFonts w:eastAsia="Verdana" w:cs="Verdana"/>
          <w:szCs w:val="18"/>
          <w:lang w:val="nl-NL"/>
        </w:rPr>
        <w:t>.2023).</w:t>
      </w:r>
    </w:p>
    <w:p w14:paraId="6132EAA6" w14:textId="0673CDB8" w:rsidR="00092F10" w:rsidRPr="00A33930" w:rsidRDefault="00092F10" w:rsidP="00092F10">
      <w:pPr>
        <w:spacing w:before="140" w:line="360" w:lineRule="auto"/>
        <w:jc w:val="both"/>
        <w:rPr>
          <w:rFonts w:eastAsia="Verdana" w:cs="Verdana"/>
          <w:szCs w:val="18"/>
          <w:lang w:val="nl-NL"/>
        </w:rPr>
      </w:pPr>
      <w:r w:rsidRPr="00A33930">
        <w:rPr>
          <w:rFonts w:eastAsia="Verdana" w:cs="Verdana"/>
          <w:szCs w:val="18"/>
          <w:lang w:val="nl-NL"/>
        </w:rPr>
        <w:t xml:space="preserve">PLAN INTERNATIONAL BELGIË, “Aïssatou, de toekomstige magistraat voor gendergelijkheid”, </w:t>
      </w:r>
      <w:r w:rsidRPr="00A33930">
        <w:rPr>
          <w:rFonts w:eastAsia="Verdana" w:cs="Verdana"/>
          <w:i/>
          <w:iCs/>
          <w:szCs w:val="18"/>
          <w:lang w:val="nl-NL"/>
        </w:rPr>
        <w:t xml:space="preserve">Plan International </w:t>
      </w:r>
      <w:r w:rsidRPr="00A33930">
        <w:rPr>
          <w:rFonts w:eastAsia="Verdana" w:cs="Verdana"/>
          <w:szCs w:val="18"/>
          <w:lang w:val="nl-NL"/>
        </w:rPr>
        <w:t xml:space="preserve">15 juli 2022, </w:t>
      </w:r>
      <w:hyperlink r:id="rId31" w:history="1">
        <w:r w:rsidRPr="00A33930">
          <w:rPr>
            <w:rStyle w:val="Hyperlink"/>
            <w:rFonts w:eastAsia="Verdana" w:cs="Verdana"/>
            <w:color w:val="4472C4" w:themeColor="accent1"/>
            <w:szCs w:val="18"/>
            <w:lang w:val="nl-NL"/>
          </w:rPr>
          <w:t>www.planinternational.be/nl/blog/aissatou-de-toekomstige-magistraat-voor-gendergelijkheid</w:t>
        </w:r>
      </w:hyperlink>
      <w:r w:rsidRPr="00A33930">
        <w:rPr>
          <w:rFonts w:eastAsia="Verdana" w:cs="Verdana"/>
          <w:szCs w:val="18"/>
          <w:lang w:val="nl-NL"/>
        </w:rPr>
        <w:t xml:space="preserve"> (laatste consultatie </w:t>
      </w:r>
      <w:r w:rsidR="00DC6CBE" w:rsidRPr="00A33930">
        <w:rPr>
          <w:rFonts w:eastAsia="Verdana" w:cs="Verdana"/>
          <w:szCs w:val="18"/>
          <w:lang w:val="nl-NL"/>
        </w:rPr>
        <w:t>13</w:t>
      </w:r>
      <w:r w:rsidRPr="00A33930">
        <w:rPr>
          <w:rFonts w:eastAsia="Verdana" w:cs="Verdana"/>
          <w:szCs w:val="18"/>
          <w:lang w:val="nl-NL"/>
        </w:rPr>
        <w:t>.0</w:t>
      </w:r>
      <w:r w:rsidR="00DC6CBE" w:rsidRPr="00A33930">
        <w:rPr>
          <w:rFonts w:eastAsia="Verdana" w:cs="Verdana"/>
          <w:szCs w:val="18"/>
          <w:lang w:val="nl-NL"/>
        </w:rPr>
        <w:t>5</w:t>
      </w:r>
      <w:r w:rsidRPr="00A33930">
        <w:rPr>
          <w:rFonts w:eastAsia="Verdana" w:cs="Verdana"/>
          <w:szCs w:val="18"/>
          <w:lang w:val="nl-NL"/>
        </w:rPr>
        <w:t>.2023).</w:t>
      </w:r>
    </w:p>
    <w:p w14:paraId="7960CCB3" w14:textId="02F6C8B4" w:rsidR="00092F10" w:rsidRPr="00A33930" w:rsidRDefault="00092F10" w:rsidP="00092F10">
      <w:pPr>
        <w:spacing w:before="140" w:line="360" w:lineRule="auto"/>
        <w:jc w:val="both"/>
        <w:rPr>
          <w:rFonts w:eastAsia="Verdana" w:cs="Verdana"/>
          <w:szCs w:val="18"/>
          <w:lang w:val="nl-NL"/>
        </w:rPr>
      </w:pPr>
      <w:r w:rsidRPr="00A33930">
        <w:rPr>
          <w:rFonts w:eastAsia="Verdana" w:cs="Verdana"/>
          <w:szCs w:val="18"/>
          <w:lang w:val="nl-NL"/>
        </w:rPr>
        <w:t xml:space="preserve">PLAN INTERNATIONAL BELGIË, “Ayame voert campagne voor de vrijheid van elk meisje”, </w:t>
      </w:r>
      <w:r w:rsidRPr="00A33930">
        <w:rPr>
          <w:rFonts w:eastAsia="Verdana" w:cs="Verdana"/>
          <w:i/>
          <w:iCs/>
          <w:szCs w:val="18"/>
          <w:lang w:val="nl-NL"/>
        </w:rPr>
        <w:t>Plan International</w:t>
      </w:r>
      <w:r w:rsidRPr="00A33930">
        <w:rPr>
          <w:rFonts w:eastAsia="Verdana" w:cs="Verdana"/>
          <w:szCs w:val="18"/>
          <w:lang w:val="nl-NL"/>
        </w:rPr>
        <w:t xml:space="preserve"> 7 oktober 2022, </w:t>
      </w:r>
      <w:hyperlink r:id="rId32" w:history="1">
        <w:r w:rsidRPr="00A33930">
          <w:rPr>
            <w:rStyle w:val="Hyperlink"/>
            <w:rFonts w:eastAsia="Verdana" w:cs="Verdana"/>
            <w:color w:val="4472C4" w:themeColor="accent1"/>
            <w:szCs w:val="18"/>
            <w:lang w:val="nl-NL"/>
          </w:rPr>
          <w:t>www.planinternational.be/nl/blog/ayame-voert-campagne-voor-de-vrijheid-van-elk-meisje</w:t>
        </w:r>
      </w:hyperlink>
      <w:r w:rsidRPr="00A33930">
        <w:rPr>
          <w:rFonts w:eastAsia="Verdana" w:cs="Verdana"/>
          <w:szCs w:val="18"/>
          <w:lang w:val="nl-NL"/>
        </w:rPr>
        <w:t xml:space="preserve"> (laatste consultatie </w:t>
      </w:r>
      <w:r w:rsidR="00DC6CBE" w:rsidRPr="00A33930">
        <w:rPr>
          <w:rFonts w:eastAsia="Verdana" w:cs="Verdana"/>
          <w:szCs w:val="18"/>
          <w:lang w:val="nl-NL"/>
        </w:rPr>
        <w:t>13</w:t>
      </w:r>
      <w:r w:rsidRPr="00A33930">
        <w:rPr>
          <w:rFonts w:eastAsia="Verdana" w:cs="Verdana"/>
          <w:szCs w:val="18"/>
          <w:lang w:val="nl-NL"/>
        </w:rPr>
        <w:t>.0</w:t>
      </w:r>
      <w:r w:rsidR="00DC6CBE" w:rsidRPr="00A33930">
        <w:rPr>
          <w:rFonts w:eastAsia="Verdana" w:cs="Verdana"/>
          <w:szCs w:val="18"/>
          <w:lang w:val="nl-NL"/>
        </w:rPr>
        <w:t>5</w:t>
      </w:r>
      <w:r w:rsidRPr="00A33930">
        <w:rPr>
          <w:rFonts w:eastAsia="Verdana" w:cs="Verdana"/>
          <w:szCs w:val="18"/>
          <w:lang w:val="nl-NL"/>
        </w:rPr>
        <w:t>.2023).</w:t>
      </w:r>
    </w:p>
    <w:p w14:paraId="1199EC89" w14:textId="6EEFCCF5" w:rsidR="00092F10" w:rsidRPr="00A33930" w:rsidRDefault="00092F10" w:rsidP="00092F10">
      <w:pPr>
        <w:spacing w:before="140" w:line="360" w:lineRule="auto"/>
        <w:jc w:val="both"/>
        <w:rPr>
          <w:rFonts w:eastAsia="Verdana" w:cs="Verdana"/>
          <w:szCs w:val="18"/>
          <w:lang w:val="nl-NL"/>
        </w:rPr>
      </w:pPr>
      <w:r w:rsidRPr="00A33930">
        <w:rPr>
          <w:rFonts w:eastAsia="Verdana" w:cs="Verdana"/>
          <w:szCs w:val="18"/>
          <w:lang w:val="nl-NL"/>
        </w:rPr>
        <w:lastRenderedPageBreak/>
        <w:t xml:space="preserve">RAAD VAN EUROPA, “Explanatory Report to the Convention on Contact concerning Children”, </w:t>
      </w:r>
      <w:r w:rsidRPr="00A33930">
        <w:rPr>
          <w:rFonts w:eastAsia="Verdana" w:cs="Verdana"/>
          <w:i/>
          <w:iCs/>
          <w:szCs w:val="18"/>
          <w:lang w:val="nl-NL"/>
        </w:rPr>
        <w:t>European Treaty Series</w:t>
      </w:r>
      <w:r w:rsidRPr="00A33930">
        <w:rPr>
          <w:rFonts w:eastAsia="Verdana" w:cs="Verdana"/>
          <w:szCs w:val="18"/>
          <w:lang w:val="nl-NL"/>
        </w:rPr>
        <w:t xml:space="preserve"> 2003, no. 192, 28 p, </w:t>
      </w:r>
      <w:hyperlink r:id="rId33" w:history="1">
        <w:r w:rsidRPr="00A33930">
          <w:rPr>
            <w:rStyle w:val="Hyperlink"/>
            <w:rFonts w:eastAsia="Verdana" w:cs="Verdana"/>
            <w:color w:val="4472C4" w:themeColor="accent1"/>
            <w:szCs w:val="18"/>
            <w:lang w:val="nl-NL"/>
          </w:rPr>
          <w:t>www.rm.coe.int/16800d380d</w:t>
        </w:r>
      </w:hyperlink>
      <w:r w:rsidRPr="00A33930">
        <w:rPr>
          <w:rFonts w:eastAsia="Verdana" w:cs="Verdana"/>
          <w:color w:val="4472C4" w:themeColor="accent1"/>
          <w:szCs w:val="18"/>
          <w:lang w:val="nl-NL"/>
        </w:rPr>
        <w:t xml:space="preserve"> </w:t>
      </w:r>
      <w:r w:rsidRPr="00A33930">
        <w:rPr>
          <w:rFonts w:eastAsia="Verdana" w:cs="Verdana"/>
          <w:szCs w:val="18"/>
          <w:lang w:val="nl-NL"/>
        </w:rPr>
        <w:t xml:space="preserve">(laatste consultatie </w:t>
      </w:r>
      <w:r w:rsidR="00DC6CBE" w:rsidRPr="00A33930">
        <w:rPr>
          <w:rFonts w:eastAsia="Verdana" w:cs="Verdana"/>
          <w:szCs w:val="18"/>
          <w:lang w:val="nl-NL"/>
        </w:rPr>
        <w:t>13</w:t>
      </w:r>
      <w:r w:rsidRPr="00A33930">
        <w:rPr>
          <w:rFonts w:eastAsia="Verdana" w:cs="Verdana"/>
          <w:szCs w:val="18"/>
          <w:lang w:val="nl-NL"/>
        </w:rPr>
        <w:t>.0</w:t>
      </w:r>
      <w:r w:rsidR="00DC6CBE" w:rsidRPr="00A33930">
        <w:rPr>
          <w:rFonts w:eastAsia="Verdana" w:cs="Verdana"/>
          <w:szCs w:val="18"/>
          <w:lang w:val="nl-NL"/>
        </w:rPr>
        <w:t>5</w:t>
      </w:r>
      <w:r w:rsidRPr="00A33930">
        <w:rPr>
          <w:rFonts w:eastAsia="Verdana" w:cs="Verdana"/>
          <w:szCs w:val="18"/>
          <w:lang w:val="nl-NL"/>
        </w:rPr>
        <w:t>.2023).</w:t>
      </w:r>
    </w:p>
    <w:p w14:paraId="591400D6" w14:textId="4662A359" w:rsidR="00092F10" w:rsidRPr="00A33930" w:rsidRDefault="00092F10" w:rsidP="00092F10">
      <w:pPr>
        <w:spacing w:before="140" w:line="360" w:lineRule="auto"/>
        <w:jc w:val="both"/>
        <w:rPr>
          <w:rFonts w:eastAsia="Verdana" w:cs="Verdana"/>
          <w:szCs w:val="18"/>
          <w:lang w:val="nl-NL"/>
        </w:rPr>
      </w:pPr>
      <w:r w:rsidRPr="00A33930">
        <w:rPr>
          <w:rFonts w:eastAsia="Verdana" w:cs="Verdana"/>
          <w:szCs w:val="18"/>
          <w:lang w:val="nl-NL"/>
        </w:rPr>
        <w:t xml:space="preserve">RAAD VAN EUROPA, “Explanatory Report to the European Convention on the Exercise of Children’s Rights”, </w:t>
      </w:r>
      <w:r w:rsidRPr="00A33930">
        <w:rPr>
          <w:rFonts w:eastAsia="Verdana" w:cs="Verdana"/>
          <w:i/>
          <w:iCs/>
          <w:szCs w:val="18"/>
          <w:lang w:val="nl-NL"/>
        </w:rPr>
        <w:t>European Treaty Series</w:t>
      </w:r>
      <w:r w:rsidRPr="00A33930">
        <w:rPr>
          <w:rFonts w:eastAsia="Verdana" w:cs="Verdana"/>
          <w:szCs w:val="18"/>
          <w:lang w:val="nl-NL"/>
        </w:rPr>
        <w:t xml:space="preserve"> 1996, no. 160, 12 p, </w:t>
      </w:r>
      <w:hyperlink r:id="rId34" w:history="1">
        <w:r w:rsidRPr="00A33930">
          <w:rPr>
            <w:rStyle w:val="Hyperlink"/>
            <w:rFonts w:eastAsia="Verdana" w:cs="Verdana"/>
            <w:color w:val="4472C4" w:themeColor="accent1"/>
            <w:szCs w:val="18"/>
            <w:lang w:val="nl-NL"/>
          </w:rPr>
          <w:t>www.rm.coe.int/16800cb5ee</w:t>
        </w:r>
      </w:hyperlink>
      <w:r w:rsidRPr="00A33930">
        <w:rPr>
          <w:rFonts w:eastAsia="Verdana" w:cs="Verdana"/>
          <w:szCs w:val="18"/>
          <w:lang w:val="nl-NL"/>
        </w:rPr>
        <w:t xml:space="preserve"> (laatste consultatie </w:t>
      </w:r>
      <w:r w:rsidR="00DC6CBE" w:rsidRPr="00A33930">
        <w:rPr>
          <w:rFonts w:eastAsia="Verdana" w:cs="Verdana"/>
          <w:szCs w:val="18"/>
          <w:lang w:val="nl-NL"/>
        </w:rPr>
        <w:t>13</w:t>
      </w:r>
      <w:r w:rsidRPr="00A33930">
        <w:rPr>
          <w:rFonts w:eastAsia="Verdana" w:cs="Verdana"/>
          <w:szCs w:val="18"/>
          <w:lang w:val="nl-NL"/>
        </w:rPr>
        <w:t>.0</w:t>
      </w:r>
      <w:r w:rsidR="00DC6CBE" w:rsidRPr="00A33930">
        <w:rPr>
          <w:rFonts w:eastAsia="Verdana" w:cs="Verdana"/>
          <w:szCs w:val="18"/>
          <w:lang w:val="nl-NL"/>
        </w:rPr>
        <w:t>5</w:t>
      </w:r>
      <w:r w:rsidRPr="00A33930">
        <w:rPr>
          <w:rFonts w:eastAsia="Verdana" w:cs="Verdana"/>
          <w:szCs w:val="18"/>
          <w:lang w:val="nl-NL"/>
        </w:rPr>
        <w:t>.2023).</w:t>
      </w:r>
    </w:p>
    <w:p w14:paraId="0FCF61DD" w14:textId="44F73962" w:rsidR="00092F10" w:rsidRPr="00A33930" w:rsidRDefault="00092F10" w:rsidP="00092F10">
      <w:pPr>
        <w:spacing w:before="240" w:after="240" w:line="360" w:lineRule="auto"/>
        <w:jc w:val="both"/>
        <w:rPr>
          <w:rFonts w:eastAsia="Verdana" w:cs="Verdana"/>
          <w:szCs w:val="18"/>
          <w:lang w:val="nl-NL"/>
        </w:rPr>
      </w:pPr>
      <w:r w:rsidRPr="00A33930">
        <w:rPr>
          <w:rFonts w:eastAsia="Verdana" w:cs="Verdana"/>
          <w:szCs w:val="18"/>
          <w:lang w:val="nl-NL"/>
        </w:rPr>
        <w:t xml:space="preserve">VAN RUMST, S., “Kinderen in de familierechtbank: ‘We hebben een eigen mening’”, </w:t>
      </w:r>
      <w:r w:rsidRPr="00A33930">
        <w:rPr>
          <w:rFonts w:eastAsia="Verdana" w:cs="Verdana"/>
          <w:i/>
          <w:iCs/>
          <w:szCs w:val="18"/>
          <w:lang w:val="nl-NL"/>
        </w:rPr>
        <w:t>Sociaal.net</w:t>
      </w:r>
      <w:r w:rsidRPr="00A33930">
        <w:rPr>
          <w:rFonts w:eastAsia="Verdana" w:cs="Verdana"/>
          <w:szCs w:val="18"/>
          <w:lang w:val="nl-NL"/>
        </w:rPr>
        <w:t xml:space="preserve"> 1 maart 2023, </w:t>
      </w:r>
      <w:hyperlink r:id="rId35" w:history="1">
        <w:r w:rsidRPr="00A33930">
          <w:rPr>
            <w:rStyle w:val="Hyperlink"/>
            <w:rFonts w:eastAsia="Verdana" w:cs="Verdana"/>
            <w:color w:val="4472C4" w:themeColor="accent1"/>
            <w:szCs w:val="18"/>
            <w:lang w:val="nl-NL"/>
          </w:rPr>
          <w:t>www.sociaal.net/achtergrond/spreekrecht-kinderen-in-familierechtbank/</w:t>
        </w:r>
      </w:hyperlink>
      <w:r w:rsidRPr="00A33930">
        <w:rPr>
          <w:rFonts w:eastAsia="Verdana" w:cs="Verdana"/>
          <w:szCs w:val="18"/>
          <w:lang w:val="nl-NL"/>
        </w:rPr>
        <w:t xml:space="preserve"> (laatste consultatie </w:t>
      </w:r>
      <w:r w:rsidR="00DC6CBE" w:rsidRPr="00A33930">
        <w:rPr>
          <w:rFonts w:eastAsia="Verdana" w:cs="Verdana"/>
          <w:szCs w:val="18"/>
          <w:lang w:val="nl-NL"/>
        </w:rPr>
        <w:t>13</w:t>
      </w:r>
      <w:r w:rsidRPr="00A33930">
        <w:rPr>
          <w:rFonts w:eastAsia="Verdana" w:cs="Verdana"/>
          <w:szCs w:val="18"/>
          <w:lang w:val="nl-NL"/>
        </w:rPr>
        <w:t>.0</w:t>
      </w:r>
      <w:r w:rsidR="00DC6CBE" w:rsidRPr="00A33930">
        <w:rPr>
          <w:rFonts w:eastAsia="Verdana" w:cs="Verdana"/>
          <w:szCs w:val="18"/>
          <w:lang w:val="nl-NL"/>
        </w:rPr>
        <w:t>5</w:t>
      </w:r>
      <w:r w:rsidRPr="00A33930">
        <w:rPr>
          <w:rFonts w:eastAsia="Verdana" w:cs="Verdana"/>
          <w:szCs w:val="18"/>
          <w:lang w:val="nl-NL"/>
        </w:rPr>
        <w:t>.2023).</w:t>
      </w:r>
    </w:p>
    <w:p w14:paraId="6097CF8F" w14:textId="325818D9" w:rsidR="00DA3ECE" w:rsidRPr="00A33930" w:rsidRDefault="00092F10" w:rsidP="00092F10">
      <w:pPr>
        <w:spacing w:before="140" w:line="360" w:lineRule="auto"/>
        <w:jc w:val="both"/>
        <w:rPr>
          <w:rFonts w:eastAsia="Verdana" w:cs="Verdana"/>
          <w:szCs w:val="18"/>
          <w:lang w:val="nl-NL"/>
        </w:rPr>
      </w:pPr>
      <w:r w:rsidRPr="00A33930">
        <w:rPr>
          <w:rFonts w:eastAsia="Verdana" w:cs="Verdana"/>
          <w:szCs w:val="18"/>
          <w:lang w:val="nl-NL"/>
        </w:rPr>
        <w:t xml:space="preserve">X., “Dwing kinderen na scheiding niet beide ouders te blijven zien”, </w:t>
      </w:r>
      <w:r w:rsidRPr="00A33930">
        <w:rPr>
          <w:rFonts w:eastAsia="Verdana" w:cs="Verdana"/>
          <w:i/>
          <w:szCs w:val="18"/>
          <w:lang w:val="nl-NL"/>
        </w:rPr>
        <w:t>Trouw</w:t>
      </w:r>
      <w:r w:rsidRPr="00A33930">
        <w:rPr>
          <w:rFonts w:eastAsia="Verdana" w:cs="Verdana"/>
          <w:szCs w:val="18"/>
          <w:lang w:val="nl-NL"/>
        </w:rPr>
        <w:t xml:space="preserve"> 3 maart 2021, </w:t>
      </w:r>
      <w:hyperlink r:id="rId36" w:history="1">
        <w:r w:rsidRPr="00A33930">
          <w:rPr>
            <w:rFonts w:eastAsia="Verdana" w:cs="Verdana"/>
            <w:color w:val="4472C4" w:themeColor="accent1"/>
            <w:szCs w:val="18"/>
            <w:u w:val="single"/>
            <w:lang w:val="nl-NL"/>
          </w:rPr>
          <w:t>www.trouw.nl/opinie/dwing-kinderen-na-scheiding-niet-beide-ouders-te-blijven-zien~bac9225a/?referrer=https%3A%2F%2Fwww.google.com%2F</w:t>
        </w:r>
      </w:hyperlink>
      <w:r w:rsidRPr="00A33930">
        <w:rPr>
          <w:rFonts w:eastAsia="Verdana" w:cs="Verdana"/>
          <w:szCs w:val="18"/>
          <w:lang w:val="nl-NL"/>
        </w:rPr>
        <w:t xml:space="preserve"> (laatste consultatie </w:t>
      </w:r>
      <w:r w:rsidR="00DC6CBE" w:rsidRPr="00A33930">
        <w:rPr>
          <w:rFonts w:eastAsia="Verdana" w:cs="Verdana"/>
          <w:szCs w:val="18"/>
          <w:lang w:val="nl-NL"/>
        </w:rPr>
        <w:t>13</w:t>
      </w:r>
      <w:r w:rsidRPr="00A33930">
        <w:rPr>
          <w:rFonts w:eastAsia="Verdana" w:cs="Verdana"/>
          <w:szCs w:val="18"/>
          <w:lang w:val="nl-NL"/>
        </w:rPr>
        <w:t>.</w:t>
      </w:r>
      <w:r w:rsidR="00DC6CBE" w:rsidRPr="00A33930">
        <w:rPr>
          <w:rFonts w:eastAsia="Verdana" w:cs="Verdana"/>
          <w:szCs w:val="18"/>
          <w:lang w:val="nl-NL"/>
        </w:rPr>
        <w:t>05</w:t>
      </w:r>
      <w:r w:rsidRPr="00A33930">
        <w:rPr>
          <w:rFonts w:eastAsia="Verdana" w:cs="Verdana"/>
          <w:szCs w:val="18"/>
          <w:lang w:val="nl-NL"/>
        </w:rPr>
        <w:t>.202</w:t>
      </w:r>
      <w:r w:rsidR="006810D8" w:rsidRPr="00A33930">
        <w:rPr>
          <w:rFonts w:eastAsia="Verdana" w:cs="Verdana"/>
          <w:szCs w:val="18"/>
          <w:lang w:val="nl-NL"/>
        </w:rPr>
        <w:t>3</w:t>
      </w:r>
      <w:r w:rsidRPr="00A33930">
        <w:rPr>
          <w:rFonts w:eastAsia="Verdana" w:cs="Verdana"/>
          <w:szCs w:val="18"/>
          <w:lang w:val="nl-NL"/>
        </w:rPr>
        <w:t>).</w:t>
      </w:r>
    </w:p>
    <w:p w14:paraId="0E97B313" w14:textId="77777777" w:rsidR="00E72CFB" w:rsidRPr="00A33930" w:rsidRDefault="00E72CFB" w:rsidP="00DA3ECE">
      <w:pPr>
        <w:spacing w:before="140" w:line="360" w:lineRule="auto"/>
        <w:jc w:val="both"/>
        <w:rPr>
          <w:rFonts w:eastAsia="Verdana" w:cs="Verdana"/>
          <w:szCs w:val="18"/>
          <w:lang w:val="nl-NL"/>
        </w:rPr>
      </w:pPr>
    </w:p>
    <w:p w14:paraId="3B02940A" w14:textId="4A4B824F" w:rsidR="00DA3ECE" w:rsidRPr="00A33930" w:rsidRDefault="00DA3ECE" w:rsidP="00DA3ECE">
      <w:pPr>
        <w:spacing w:before="120" w:after="120" w:line="360" w:lineRule="auto"/>
        <w:jc w:val="both"/>
        <w:rPr>
          <w:rFonts w:eastAsia="Verdana" w:cs="Verdana"/>
          <w:b/>
          <w:bCs/>
          <w:i/>
          <w:lang w:val="nl-NL"/>
        </w:rPr>
      </w:pPr>
      <w:r w:rsidRPr="00A33930">
        <w:rPr>
          <w:rFonts w:eastAsia="Verdana" w:cs="Verdana"/>
          <w:b/>
          <w:bCs/>
          <w:i/>
          <w:lang w:val="nl-NL"/>
        </w:rPr>
        <w:t>Nederland</w:t>
      </w:r>
      <w:r w:rsidR="008354CD" w:rsidRPr="00A33930">
        <w:rPr>
          <w:rFonts w:eastAsia="Verdana" w:cs="Verdana"/>
          <w:b/>
          <w:bCs/>
          <w:i/>
          <w:lang w:val="nl-NL"/>
        </w:rPr>
        <w:t>:</w:t>
      </w:r>
    </w:p>
    <w:p w14:paraId="6CF61D78" w14:textId="77777777" w:rsidR="00DA3ECE" w:rsidRPr="00A33930" w:rsidRDefault="00DA3ECE" w:rsidP="001D6547">
      <w:pPr>
        <w:spacing w:before="360" w:after="120" w:line="360" w:lineRule="auto"/>
        <w:jc w:val="both"/>
        <w:rPr>
          <w:rFonts w:eastAsia="Verdana" w:cs="Verdana"/>
          <w:i/>
          <w:sz w:val="19"/>
          <w:szCs w:val="19"/>
          <w:u w:val="single"/>
          <w:lang w:val="nl-NL"/>
        </w:rPr>
      </w:pPr>
      <w:r w:rsidRPr="00A33930">
        <w:rPr>
          <w:rFonts w:eastAsia="Verdana" w:cs="Verdana"/>
          <w:i/>
          <w:sz w:val="19"/>
          <w:szCs w:val="19"/>
          <w:u w:val="single"/>
          <w:lang w:val="nl-NL"/>
        </w:rPr>
        <w:t>§1. Boeken:</w:t>
      </w:r>
    </w:p>
    <w:p w14:paraId="6927F321" w14:textId="0A69E7BA" w:rsidR="00EA236D" w:rsidRPr="00A33930" w:rsidRDefault="00EA236D" w:rsidP="00EA236D">
      <w:pPr>
        <w:spacing w:before="140" w:line="360" w:lineRule="auto"/>
        <w:jc w:val="both"/>
        <w:rPr>
          <w:rFonts w:eastAsia="Verdana" w:cs="Verdana"/>
          <w:szCs w:val="18"/>
          <w:lang w:val="nl-NL"/>
        </w:rPr>
      </w:pPr>
      <w:r w:rsidRPr="00A33930">
        <w:rPr>
          <w:rFonts w:eastAsia="Verdana" w:cs="Verdana"/>
          <w:szCs w:val="18"/>
          <w:lang w:val="nl-NL"/>
        </w:rPr>
        <w:t>BRUNING, M.R., SMEETS, D.J.H., BOLSCHER, K.G.A., PEPER</w:t>
      </w:r>
      <w:r w:rsidR="00536BD7" w:rsidRPr="00A33930">
        <w:rPr>
          <w:rFonts w:eastAsia="Verdana" w:cs="Verdana"/>
          <w:szCs w:val="18"/>
          <w:lang w:val="nl-NL"/>
        </w:rPr>
        <w:t>,</w:t>
      </w:r>
      <w:r w:rsidRPr="00A33930">
        <w:rPr>
          <w:rFonts w:eastAsia="Verdana" w:cs="Verdana"/>
          <w:szCs w:val="18"/>
          <w:lang w:val="nl-NL"/>
        </w:rPr>
        <w:t xml:space="preserve"> J.S., DE BOER, R., </w:t>
      </w:r>
      <w:r w:rsidRPr="00A33930">
        <w:rPr>
          <w:rFonts w:eastAsia="Verdana" w:cs="Verdana"/>
          <w:i/>
          <w:szCs w:val="18"/>
          <w:lang w:val="nl-NL"/>
        </w:rPr>
        <w:t xml:space="preserve">Kind in proces: van communicatie naar effectieve participatie. Het hoorrecht en de procespositie van minderjarigen in familie- en jeugdzaken, </w:t>
      </w:r>
      <w:r w:rsidRPr="00A33930">
        <w:rPr>
          <w:rFonts w:eastAsia="Verdana" w:cs="Verdana"/>
          <w:szCs w:val="18"/>
          <w:lang w:val="nl-NL"/>
        </w:rPr>
        <w:t xml:space="preserve">Nijmegen, Wolf Legal Publishers, 2020, 354 p </w:t>
      </w:r>
    </w:p>
    <w:p w14:paraId="754FC9B9" w14:textId="4FA94FA9" w:rsidR="00EA236D" w:rsidRPr="00A33930" w:rsidRDefault="00EA236D" w:rsidP="00EA236D">
      <w:pPr>
        <w:spacing w:before="140" w:line="360" w:lineRule="auto"/>
        <w:jc w:val="both"/>
        <w:rPr>
          <w:rFonts w:eastAsia="Verdana" w:cs="Verdana"/>
          <w:szCs w:val="18"/>
          <w:lang w:val="nl-NL"/>
        </w:rPr>
      </w:pPr>
      <w:r w:rsidRPr="00A33930">
        <w:rPr>
          <w:rFonts w:eastAsia="Verdana" w:cs="Verdana"/>
          <w:szCs w:val="18"/>
          <w:lang w:val="nl-NL"/>
        </w:rPr>
        <w:t xml:space="preserve">DE BOER, J., </w:t>
      </w:r>
      <w:r w:rsidRPr="00A33930">
        <w:rPr>
          <w:rFonts w:eastAsia="Verdana" w:cs="Verdana"/>
          <w:i/>
          <w:iCs/>
          <w:szCs w:val="18"/>
          <w:lang w:val="nl-NL"/>
        </w:rPr>
        <w:t>Mr. C. Assers. Handleiding tot de beoefening van het Nederlands Burgerlijk recht. I. Personen- en familierecht</w:t>
      </w:r>
      <w:r w:rsidRPr="00A33930">
        <w:rPr>
          <w:rFonts w:eastAsia="Verdana" w:cs="Verdana"/>
          <w:szCs w:val="18"/>
          <w:lang w:val="nl-NL"/>
        </w:rPr>
        <w:t>, Deventer, Wolters Kluwer, 2010, 1144 p.</w:t>
      </w:r>
    </w:p>
    <w:p w14:paraId="2D61F357" w14:textId="0B21621B" w:rsidR="007E0E8F" w:rsidRPr="00A33930" w:rsidRDefault="007E0E8F" w:rsidP="00EA236D">
      <w:pPr>
        <w:spacing w:before="140" w:line="360" w:lineRule="auto"/>
        <w:jc w:val="both"/>
        <w:rPr>
          <w:rFonts w:eastAsia="Verdana" w:cs="Verdana"/>
          <w:szCs w:val="18"/>
          <w:lang w:val="nl-NL"/>
        </w:rPr>
      </w:pPr>
      <w:r w:rsidRPr="00A33930">
        <w:rPr>
          <w:rFonts w:eastAsia="Verdana" w:cs="Verdana"/>
          <w:szCs w:val="18"/>
          <w:lang w:val="nl-NL"/>
        </w:rPr>
        <w:t xml:space="preserve">FIEGE, M., </w:t>
      </w:r>
      <w:r w:rsidRPr="00A33930">
        <w:rPr>
          <w:rFonts w:eastAsia="Verdana" w:cs="Verdana"/>
          <w:i/>
          <w:iCs/>
          <w:szCs w:val="18"/>
          <w:lang w:val="nl-NL"/>
        </w:rPr>
        <w:t>De autonomie van de minderjarige in het recht</w:t>
      </w:r>
      <w:r w:rsidRPr="00A33930">
        <w:rPr>
          <w:rFonts w:eastAsia="Verdana" w:cs="Verdana"/>
          <w:szCs w:val="18"/>
          <w:lang w:val="nl-NL"/>
        </w:rPr>
        <w:t>, Arnhem, Gouda Quint bv, 1993, 206 p.</w:t>
      </w:r>
    </w:p>
    <w:p w14:paraId="10FAA4DD" w14:textId="77777777" w:rsidR="00EA236D" w:rsidRPr="00A33930" w:rsidRDefault="00EA236D" w:rsidP="00EA236D">
      <w:pPr>
        <w:spacing w:before="140" w:line="360" w:lineRule="auto"/>
        <w:jc w:val="both"/>
        <w:rPr>
          <w:rFonts w:eastAsia="Verdana" w:cs="Verdana"/>
          <w:szCs w:val="18"/>
          <w:lang w:val="nl-NL"/>
        </w:rPr>
      </w:pPr>
      <w:r w:rsidRPr="00A33930">
        <w:rPr>
          <w:rFonts w:eastAsia="Verdana" w:cs="Verdana"/>
          <w:szCs w:val="18"/>
          <w:lang w:val="nl-NL"/>
        </w:rPr>
        <w:t xml:space="preserve">KOEKKOEK, A.K., </w:t>
      </w:r>
      <w:r w:rsidRPr="00A33930">
        <w:rPr>
          <w:rFonts w:eastAsia="Verdana" w:cs="Verdana"/>
          <w:i/>
          <w:iCs/>
          <w:szCs w:val="18"/>
          <w:lang w:val="nl-NL"/>
        </w:rPr>
        <w:t>De Grondwet: een systematisch en artikelsgewijs commentaar</w:t>
      </w:r>
      <w:r w:rsidRPr="00A33930">
        <w:rPr>
          <w:rFonts w:eastAsia="Verdana" w:cs="Verdana"/>
          <w:szCs w:val="18"/>
          <w:lang w:val="nl-NL"/>
        </w:rPr>
        <w:t>, Zwolle, W.E.J. Tjeenk Willink, 2000, 658 p.</w:t>
      </w:r>
    </w:p>
    <w:p w14:paraId="7A936010" w14:textId="77777777" w:rsidR="00EA236D" w:rsidRPr="00A33930" w:rsidRDefault="00EA236D" w:rsidP="00EA236D">
      <w:pPr>
        <w:spacing w:before="140" w:line="360" w:lineRule="auto"/>
        <w:jc w:val="both"/>
        <w:rPr>
          <w:rFonts w:eastAsia="Verdana" w:cs="Verdana"/>
          <w:szCs w:val="18"/>
          <w:lang w:val="nl-NL"/>
        </w:rPr>
      </w:pPr>
      <w:r w:rsidRPr="00A33930">
        <w:rPr>
          <w:rFonts w:eastAsia="Verdana" w:cs="Verdana"/>
          <w:szCs w:val="18"/>
          <w:lang w:val="nl-NL"/>
        </w:rPr>
        <w:t xml:space="preserve">MEUWESE, S., BLAAK, M. en KAANDROP, M. (eds.), </w:t>
      </w:r>
      <w:r w:rsidRPr="00A33930">
        <w:rPr>
          <w:rFonts w:eastAsia="Verdana" w:cs="Verdana"/>
          <w:i/>
          <w:iCs/>
          <w:szCs w:val="18"/>
          <w:lang w:val="nl-NL"/>
        </w:rPr>
        <w:t>Handboek Internationaal Jeugdrecht. Een toelichting voor rechtspraak en jeugdbeleid op het Verdrag inzake de Rechten van het Kind en andere internationale regelgeving over de rechtspositie van minderjarigen</w:t>
      </w:r>
      <w:r w:rsidRPr="00A33930">
        <w:rPr>
          <w:rFonts w:eastAsia="Verdana" w:cs="Verdana"/>
          <w:szCs w:val="18"/>
          <w:lang w:val="nl-NL"/>
        </w:rPr>
        <w:t>, Nijmegen, Ars Aequi Libri, 2005, 756 p.</w:t>
      </w:r>
    </w:p>
    <w:p w14:paraId="02D94558" w14:textId="77777777" w:rsidR="00EA236D" w:rsidRPr="00A33930" w:rsidRDefault="00EA236D" w:rsidP="00EA236D">
      <w:pPr>
        <w:spacing w:before="140" w:line="360" w:lineRule="auto"/>
        <w:jc w:val="both"/>
        <w:rPr>
          <w:rFonts w:eastAsia="Verdana" w:cs="Verdana"/>
          <w:szCs w:val="18"/>
          <w:lang w:val="nl-NL"/>
        </w:rPr>
      </w:pPr>
      <w:r w:rsidRPr="00A33930">
        <w:rPr>
          <w:rFonts w:eastAsia="Verdana" w:cs="Verdana"/>
          <w:szCs w:val="18"/>
          <w:lang w:val="nl-NL"/>
        </w:rPr>
        <w:t xml:space="preserve">PULLES, G.J., </w:t>
      </w:r>
      <w:r w:rsidRPr="00A33930">
        <w:rPr>
          <w:rFonts w:eastAsia="Verdana" w:cs="Verdana"/>
          <w:i/>
          <w:iCs/>
          <w:szCs w:val="18"/>
          <w:lang w:val="nl-NL"/>
        </w:rPr>
        <w:t>Vijfentwintig jaar IVRK en de Nederlandse Rechter. Beschouwingen over de toepassing van het Internationale Verdrag voor de Rechten van het Kind</w:t>
      </w:r>
      <w:r w:rsidRPr="00A33930">
        <w:rPr>
          <w:rFonts w:eastAsia="Verdana" w:cs="Verdana"/>
          <w:szCs w:val="18"/>
          <w:lang w:val="nl-NL"/>
        </w:rPr>
        <w:t>, Oisterwijk, Wolf Legal Publishers, 2014, 98 p.</w:t>
      </w:r>
    </w:p>
    <w:p w14:paraId="6BA580BD" w14:textId="77777777" w:rsidR="00EA236D" w:rsidRPr="00A33930" w:rsidRDefault="00EA236D" w:rsidP="00EA236D">
      <w:pPr>
        <w:spacing w:before="140" w:line="360" w:lineRule="auto"/>
        <w:jc w:val="both"/>
        <w:rPr>
          <w:rFonts w:eastAsia="Verdana" w:cs="Verdana"/>
          <w:szCs w:val="18"/>
          <w:lang w:val="nl-NL"/>
        </w:rPr>
      </w:pPr>
      <w:r w:rsidRPr="00A33930">
        <w:rPr>
          <w:rFonts w:eastAsia="Verdana" w:cs="Verdana"/>
          <w:szCs w:val="18"/>
          <w:lang w:val="nl-NL"/>
        </w:rPr>
        <w:t xml:space="preserve">VLAARDINGERBROEK, P., BLANKMAN, K., VAN DER LINDEN, A.P., PUNSELIE, E.C.C., SCHRAMA, W.M., </w:t>
      </w:r>
      <w:r w:rsidRPr="00A33930">
        <w:rPr>
          <w:rFonts w:eastAsia="Verdana" w:cs="Verdana"/>
          <w:i/>
          <w:iCs/>
          <w:szCs w:val="18"/>
          <w:lang w:val="nl-NL"/>
        </w:rPr>
        <w:t>Het hedendaagse personen- en familierecht</w:t>
      </w:r>
      <w:r w:rsidRPr="00A33930">
        <w:rPr>
          <w:rFonts w:eastAsia="Verdana" w:cs="Verdana"/>
          <w:szCs w:val="18"/>
          <w:lang w:val="nl-NL"/>
        </w:rPr>
        <w:t>, Deventer, Wolters Kluwer, 2020, 755 p.</w:t>
      </w:r>
    </w:p>
    <w:p w14:paraId="34C316B5" w14:textId="476E8C38" w:rsidR="00DA3ECE" w:rsidRPr="00A33930" w:rsidRDefault="00EA236D" w:rsidP="00DA3ECE">
      <w:pPr>
        <w:spacing w:before="140" w:line="360" w:lineRule="auto"/>
        <w:jc w:val="both"/>
        <w:rPr>
          <w:rFonts w:eastAsia="Verdana" w:cs="Verdana"/>
          <w:szCs w:val="18"/>
          <w:lang w:val="nl-NL"/>
        </w:rPr>
      </w:pPr>
      <w:r w:rsidRPr="00A33930">
        <w:rPr>
          <w:rFonts w:eastAsia="Verdana" w:cs="Verdana"/>
          <w:szCs w:val="18"/>
          <w:lang w:val="nl-NL"/>
        </w:rPr>
        <w:t xml:space="preserve">WORTMANN, S.F.M. en VAN DUIJVENDIJK-BRAND, J., </w:t>
      </w:r>
      <w:r w:rsidRPr="00A33930">
        <w:rPr>
          <w:rFonts w:eastAsia="Verdana" w:cs="Verdana"/>
          <w:i/>
          <w:iCs/>
          <w:szCs w:val="18"/>
          <w:lang w:val="nl-NL"/>
        </w:rPr>
        <w:t>Compendium van het personen- en familierecht</w:t>
      </w:r>
      <w:r w:rsidRPr="00A33930">
        <w:rPr>
          <w:rFonts w:eastAsia="Verdana" w:cs="Verdana"/>
          <w:szCs w:val="18"/>
          <w:lang w:val="nl-NL"/>
        </w:rPr>
        <w:t>, Deventer, Wolters Kluwer, 2021, 464 p.</w:t>
      </w:r>
    </w:p>
    <w:p w14:paraId="3B4AE16A" w14:textId="77777777" w:rsidR="00DA3ECE" w:rsidRPr="00A33930" w:rsidRDefault="00DA3ECE" w:rsidP="001D6547">
      <w:pPr>
        <w:spacing w:before="360" w:after="120" w:line="360" w:lineRule="auto"/>
        <w:jc w:val="both"/>
        <w:rPr>
          <w:rFonts w:eastAsia="Verdana" w:cs="Verdana"/>
          <w:i/>
          <w:sz w:val="19"/>
          <w:szCs w:val="19"/>
          <w:u w:val="single"/>
          <w:lang w:val="nl-NL"/>
        </w:rPr>
      </w:pPr>
      <w:r w:rsidRPr="00A33930">
        <w:rPr>
          <w:rFonts w:eastAsia="Verdana" w:cs="Verdana"/>
          <w:i/>
          <w:sz w:val="19"/>
          <w:szCs w:val="19"/>
          <w:u w:val="single"/>
          <w:lang w:val="nl-NL"/>
        </w:rPr>
        <w:lastRenderedPageBreak/>
        <w:t>§2. Bijdragen in verzamelwerken:</w:t>
      </w:r>
    </w:p>
    <w:p w14:paraId="19283F38" w14:textId="77777777" w:rsidR="007E0E8F" w:rsidRPr="00A33930" w:rsidRDefault="007E0E8F" w:rsidP="007E0E8F">
      <w:pPr>
        <w:spacing w:before="140" w:line="360" w:lineRule="auto"/>
        <w:jc w:val="both"/>
        <w:rPr>
          <w:rFonts w:eastAsia="Verdana" w:cs="Verdana"/>
          <w:szCs w:val="18"/>
          <w:lang w:val="nl-NL"/>
        </w:rPr>
      </w:pPr>
      <w:r w:rsidRPr="00A33930">
        <w:rPr>
          <w:rFonts w:eastAsia="Verdana" w:cs="Verdana"/>
          <w:szCs w:val="18"/>
          <w:lang w:val="nl-NL"/>
        </w:rPr>
        <w:t xml:space="preserve">ANTOKOLSKAIA, M.V. en VERSCHELDEN, G., “Kinderen: gezag, verblijf en alimentatie naar Nederlands en Belgisch recht” in BOELE-WOELKI, K. en SWENNEN, F. (red.), </w:t>
      </w:r>
      <w:r w:rsidRPr="00A33930">
        <w:rPr>
          <w:rFonts w:eastAsia="Verdana" w:cs="Verdana"/>
          <w:i/>
          <w:iCs/>
          <w:szCs w:val="18"/>
          <w:lang w:val="nl-NL"/>
        </w:rPr>
        <w:t>Vergelijkenderwijs. Actuele ontwikkelingen in het Belgische en Nederlandse familierecht</w:t>
      </w:r>
      <w:r w:rsidRPr="00A33930">
        <w:rPr>
          <w:rFonts w:eastAsia="Verdana" w:cs="Verdana"/>
          <w:szCs w:val="18"/>
          <w:lang w:val="nl-NL"/>
        </w:rPr>
        <w:t>, Den Haag, Boom Juridische Uitgevers, 2012, 163-228.</w:t>
      </w:r>
    </w:p>
    <w:p w14:paraId="380E0469" w14:textId="77777777" w:rsidR="007E0E8F" w:rsidRPr="00A33930" w:rsidRDefault="007E0E8F" w:rsidP="007E0E8F">
      <w:pPr>
        <w:spacing w:before="140" w:line="360" w:lineRule="auto"/>
        <w:jc w:val="both"/>
        <w:rPr>
          <w:rFonts w:eastAsia="Verdana" w:cs="Verdana"/>
          <w:szCs w:val="18"/>
          <w:lang w:val="nl-NL"/>
        </w:rPr>
      </w:pPr>
      <w:r w:rsidRPr="00A33930">
        <w:rPr>
          <w:rFonts w:eastAsia="Verdana" w:cs="Verdana"/>
          <w:szCs w:val="18"/>
          <w:lang w:val="nl-NL"/>
        </w:rPr>
        <w:t xml:space="preserve">GERARDS, J. en FLEUREN, J., “The Netherlands” in GERARDS, J. en FLEUREN, J. (eds.), </w:t>
      </w:r>
      <w:r w:rsidRPr="00A33930">
        <w:rPr>
          <w:rFonts w:eastAsia="Verdana" w:cs="Verdana"/>
          <w:i/>
          <w:iCs/>
          <w:szCs w:val="18"/>
          <w:lang w:val="nl-NL"/>
        </w:rPr>
        <w:t>Implementation of the European Convention on Human Rights and of the judgments of the ECtHR in national case-law</w:t>
      </w:r>
      <w:r w:rsidRPr="00A33930">
        <w:rPr>
          <w:rFonts w:eastAsia="Verdana" w:cs="Verdana"/>
          <w:szCs w:val="18"/>
          <w:lang w:val="nl-NL"/>
        </w:rPr>
        <w:t>, Antwerpen, Intersentia, 2014, 217-260.</w:t>
      </w:r>
    </w:p>
    <w:p w14:paraId="38B30ABF" w14:textId="77060A25" w:rsidR="00663683" w:rsidRPr="00A33930" w:rsidRDefault="007E0E8F" w:rsidP="00DA3ECE">
      <w:pPr>
        <w:spacing w:before="140" w:line="360" w:lineRule="auto"/>
        <w:jc w:val="both"/>
        <w:rPr>
          <w:rFonts w:eastAsia="Verdana" w:cs="Verdana"/>
          <w:szCs w:val="18"/>
          <w:lang w:val="nl-NL"/>
        </w:rPr>
      </w:pPr>
      <w:r w:rsidRPr="00A33930">
        <w:rPr>
          <w:rFonts w:eastAsia="Verdana" w:cs="Verdana"/>
          <w:szCs w:val="18"/>
          <w:lang w:val="nl-NL"/>
        </w:rPr>
        <w:t xml:space="preserve">WORTMANN, S.F.M., </w:t>
      </w:r>
      <w:r w:rsidRPr="00A33930">
        <w:rPr>
          <w:rFonts w:eastAsia="Verdana" w:cs="Verdana"/>
          <w:i/>
          <w:iCs/>
          <w:szCs w:val="18"/>
          <w:lang w:val="nl-NL"/>
        </w:rPr>
        <w:t>“</w:t>
      </w:r>
      <w:r w:rsidRPr="00A33930">
        <w:rPr>
          <w:rFonts w:eastAsia="Verdana" w:cs="Verdana"/>
          <w:szCs w:val="18"/>
          <w:lang w:val="nl-NL"/>
        </w:rPr>
        <w:t xml:space="preserve">Commentaar op art. 1:377a BW” in WORTMANN, S.F.M. (red.), </w:t>
      </w:r>
      <w:r w:rsidRPr="00A33930">
        <w:rPr>
          <w:rFonts w:eastAsia="Verdana" w:cs="Verdana"/>
          <w:i/>
          <w:iCs/>
          <w:szCs w:val="18"/>
          <w:lang w:val="nl-NL"/>
        </w:rPr>
        <w:t>Groene Serie Personen- en familierecht</w:t>
      </w:r>
      <w:r w:rsidRPr="00A33930">
        <w:rPr>
          <w:rFonts w:eastAsia="Verdana" w:cs="Verdana"/>
          <w:szCs w:val="18"/>
          <w:lang w:val="nl-NL"/>
        </w:rPr>
        <w:t>, Deventer, Wolters Kluwer, bijgewerkt t.e.m. 01.01.2023.</w:t>
      </w:r>
    </w:p>
    <w:p w14:paraId="7AA9707D" w14:textId="77777777" w:rsidR="00DA3ECE" w:rsidRPr="00A33930" w:rsidRDefault="00DA3ECE" w:rsidP="001D6547">
      <w:pPr>
        <w:spacing w:before="360" w:after="120" w:line="360" w:lineRule="auto"/>
        <w:jc w:val="both"/>
        <w:rPr>
          <w:rFonts w:eastAsia="Verdana" w:cs="Verdana"/>
          <w:i/>
          <w:sz w:val="19"/>
          <w:szCs w:val="19"/>
          <w:u w:val="single"/>
          <w:lang w:val="nl-NL"/>
        </w:rPr>
      </w:pPr>
      <w:r w:rsidRPr="00A33930">
        <w:rPr>
          <w:rFonts w:eastAsia="Verdana" w:cs="Verdana"/>
          <w:i/>
          <w:sz w:val="19"/>
          <w:szCs w:val="19"/>
          <w:u w:val="single"/>
          <w:lang w:val="nl-NL"/>
        </w:rPr>
        <w:t>§3. Tijdschriften</w:t>
      </w:r>
    </w:p>
    <w:p w14:paraId="589148E3" w14:textId="77777777" w:rsidR="007E0E8F" w:rsidRPr="00A33930" w:rsidRDefault="007E0E8F" w:rsidP="007E0E8F">
      <w:pPr>
        <w:spacing w:before="140" w:line="360" w:lineRule="auto"/>
        <w:jc w:val="both"/>
        <w:rPr>
          <w:rFonts w:eastAsia="Verdana" w:cs="Verdana"/>
          <w:szCs w:val="18"/>
          <w:lang w:val="nl-NL"/>
        </w:rPr>
      </w:pPr>
      <w:r w:rsidRPr="00A33930">
        <w:rPr>
          <w:rFonts w:eastAsia="Verdana" w:cs="Verdana"/>
          <w:szCs w:val="18"/>
          <w:lang w:val="nl-NL"/>
        </w:rPr>
        <w:t xml:space="preserve">BONGERS, E. en GERRITSE, H.A., “De kinderrechter en omgangsprocedures: oplossings- en interventiemogelijkheden, beperkingen en knelpunten”, </w:t>
      </w:r>
      <w:r w:rsidRPr="00A33930">
        <w:rPr>
          <w:rFonts w:eastAsia="Verdana" w:cs="Verdana"/>
          <w:i/>
          <w:iCs/>
          <w:szCs w:val="18"/>
          <w:lang w:val="nl-NL"/>
        </w:rPr>
        <w:t>FJR</w:t>
      </w:r>
      <w:r w:rsidRPr="00A33930">
        <w:rPr>
          <w:rFonts w:eastAsia="Verdana" w:cs="Verdana"/>
          <w:szCs w:val="18"/>
          <w:lang w:val="nl-NL"/>
        </w:rPr>
        <w:t xml:space="preserve"> 2009, afl. 9, 206-211.</w:t>
      </w:r>
    </w:p>
    <w:p w14:paraId="58A60AF3" w14:textId="77777777" w:rsidR="007E0E8F" w:rsidRPr="00A33930" w:rsidRDefault="007E0E8F" w:rsidP="007E0E8F">
      <w:pPr>
        <w:spacing w:before="140" w:line="360" w:lineRule="auto"/>
        <w:jc w:val="both"/>
        <w:rPr>
          <w:rFonts w:eastAsia="Verdana" w:cs="Verdana"/>
          <w:szCs w:val="18"/>
          <w:lang w:val="nl-NL"/>
        </w:rPr>
      </w:pPr>
      <w:r w:rsidRPr="00A33930">
        <w:rPr>
          <w:rFonts w:eastAsia="Verdana" w:cs="Verdana"/>
          <w:szCs w:val="18"/>
          <w:lang w:val="nl-NL"/>
        </w:rPr>
        <w:t xml:space="preserve">BROUWER-VAN DE PUT, C.J.M. en VERBRUGGEN-VAN HEIJST, N.W., “Ambtshalve dwangsom bij niet-nakoming omgangsregeling”, </w:t>
      </w:r>
      <w:r w:rsidRPr="00A33930">
        <w:rPr>
          <w:rFonts w:eastAsia="Verdana" w:cs="Verdana"/>
          <w:i/>
          <w:iCs/>
          <w:szCs w:val="18"/>
          <w:lang w:val="nl-NL"/>
        </w:rPr>
        <w:t>EB</w:t>
      </w:r>
      <w:r w:rsidRPr="00A33930">
        <w:rPr>
          <w:rFonts w:eastAsia="Verdana" w:cs="Verdana"/>
          <w:szCs w:val="18"/>
          <w:lang w:val="nl-NL"/>
        </w:rPr>
        <w:t xml:space="preserve"> 2022/31, afl. 5, 85-88.</w:t>
      </w:r>
    </w:p>
    <w:p w14:paraId="74FEE7FD" w14:textId="77777777" w:rsidR="007E0E8F" w:rsidRPr="00A33930" w:rsidRDefault="007E0E8F" w:rsidP="007E0E8F">
      <w:pPr>
        <w:spacing w:before="140" w:line="360" w:lineRule="auto"/>
        <w:jc w:val="both"/>
        <w:rPr>
          <w:rFonts w:eastAsia="Verdana" w:cs="Verdana"/>
          <w:szCs w:val="18"/>
          <w:lang w:val="nl-NL"/>
        </w:rPr>
      </w:pPr>
      <w:r w:rsidRPr="00A33930">
        <w:rPr>
          <w:rFonts w:eastAsia="Verdana" w:cs="Verdana"/>
          <w:szCs w:val="18"/>
          <w:lang w:val="nl-NL"/>
        </w:rPr>
        <w:t xml:space="preserve">JANSEN, E., “De eigen(aardige) procesbevoegdheid van de minderjarige”, </w:t>
      </w:r>
      <w:r w:rsidRPr="00A33930">
        <w:rPr>
          <w:rFonts w:eastAsia="Verdana" w:cs="Verdana"/>
          <w:i/>
          <w:szCs w:val="18"/>
          <w:lang w:val="nl-NL"/>
        </w:rPr>
        <w:t>NJB</w:t>
      </w:r>
      <w:r w:rsidRPr="00A33930">
        <w:rPr>
          <w:rFonts w:eastAsia="Verdana" w:cs="Verdana"/>
          <w:szCs w:val="18"/>
          <w:lang w:val="nl-NL"/>
        </w:rPr>
        <w:t xml:space="preserve"> 2016, afl. 30, 2177-2183.</w:t>
      </w:r>
    </w:p>
    <w:p w14:paraId="7216BB56" w14:textId="77777777" w:rsidR="007E0E8F" w:rsidRPr="00A33930" w:rsidRDefault="007E0E8F" w:rsidP="007E0E8F">
      <w:pPr>
        <w:spacing w:before="140" w:line="360" w:lineRule="auto"/>
        <w:jc w:val="both"/>
        <w:rPr>
          <w:rFonts w:eastAsia="Verdana" w:cs="Verdana"/>
          <w:szCs w:val="18"/>
          <w:lang w:val="nl-NL"/>
        </w:rPr>
      </w:pPr>
      <w:r w:rsidRPr="00A33930">
        <w:rPr>
          <w:rFonts w:eastAsia="Verdana" w:cs="Verdana"/>
          <w:szCs w:val="18"/>
          <w:lang w:val="nl-NL"/>
        </w:rPr>
        <w:t xml:space="preserve">PULLES, G.J.W. en WÖRST, L.C.J.M., “Doorwerking van het IVRK: de wetgever geeft het voorbeeld”, </w:t>
      </w:r>
      <w:r w:rsidRPr="00A33930">
        <w:rPr>
          <w:rFonts w:eastAsia="Verdana" w:cs="Verdana"/>
          <w:i/>
          <w:iCs/>
          <w:szCs w:val="18"/>
          <w:lang w:val="nl-NL"/>
        </w:rPr>
        <w:t>FJR</w:t>
      </w:r>
      <w:r w:rsidRPr="00A33930">
        <w:rPr>
          <w:rFonts w:eastAsia="Verdana" w:cs="Verdana"/>
          <w:szCs w:val="18"/>
          <w:lang w:val="nl-NL"/>
        </w:rPr>
        <w:t xml:space="preserve"> 2012, afl. 7, 184-189. </w:t>
      </w:r>
    </w:p>
    <w:p w14:paraId="6D1DB7C5" w14:textId="77777777" w:rsidR="007E0E8F" w:rsidRPr="00A33930" w:rsidRDefault="007E0E8F" w:rsidP="007E0E8F">
      <w:pPr>
        <w:spacing w:before="140" w:line="360" w:lineRule="auto"/>
        <w:jc w:val="both"/>
        <w:rPr>
          <w:rFonts w:eastAsia="Verdana" w:cs="Verdana"/>
          <w:szCs w:val="18"/>
          <w:lang w:val="nl-NL"/>
        </w:rPr>
      </w:pPr>
      <w:r w:rsidRPr="00A33930">
        <w:rPr>
          <w:rFonts w:eastAsia="Verdana" w:cs="Verdana"/>
          <w:szCs w:val="18"/>
          <w:lang w:val="nl-NL"/>
        </w:rPr>
        <w:t xml:space="preserve">PULLES, G.J.W., “Onduidelijkheid over de rechtstreekse werking van kernbepalingen van het VN-kinderrechtenverdrag”, </w:t>
      </w:r>
      <w:r w:rsidRPr="00A33930">
        <w:rPr>
          <w:rFonts w:eastAsia="Verdana" w:cs="Verdana"/>
          <w:i/>
          <w:iCs/>
          <w:szCs w:val="18"/>
          <w:lang w:val="nl-NL"/>
        </w:rPr>
        <w:t>NJB</w:t>
      </w:r>
      <w:r w:rsidRPr="00A33930">
        <w:rPr>
          <w:rFonts w:eastAsia="Verdana" w:cs="Verdana"/>
          <w:szCs w:val="18"/>
          <w:lang w:val="nl-NL"/>
        </w:rPr>
        <w:t xml:space="preserve"> 2011, afl. 4, 231-324.</w:t>
      </w:r>
    </w:p>
    <w:p w14:paraId="281FDF34" w14:textId="77777777" w:rsidR="007E0E8F" w:rsidRPr="00A33930" w:rsidRDefault="007E0E8F" w:rsidP="007E0E8F">
      <w:pPr>
        <w:spacing w:before="140" w:line="360" w:lineRule="auto"/>
        <w:jc w:val="both"/>
        <w:rPr>
          <w:rFonts w:eastAsia="Verdana" w:cs="Verdana"/>
          <w:szCs w:val="18"/>
          <w:lang w:val="nl-NL"/>
        </w:rPr>
      </w:pPr>
      <w:r w:rsidRPr="00A33930">
        <w:rPr>
          <w:rFonts w:eastAsia="Verdana" w:cs="Verdana"/>
          <w:szCs w:val="18"/>
          <w:lang w:val="nl-NL"/>
        </w:rPr>
        <w:t xml:space="preserve">RUITENBERG, G.C.A.M., “De uitdaging van het kinderrechtenverdrag voor de Nederlandse rechtspraak”, </w:t>
      </w:r>
      <w:r w:rsidRPr="00A33930">
        <w:rPr>
          <w:rFonts w:eastAsia="Verdana" w:cs="Verdana"/>
          <w:i/>
          <w:iCs/>
          <w:szCs w:val="18"/>
          <w:lang w:val="nl-NL"/>
        </w:rPr>
        <w:t>FJR</w:t>
      </w:r>
      <w:r w:rsidRPr="00A33930">
        <w:rPr>
          <w:rFonts w:eastAsia="Verdana" w:cs="Verdana"/>
          <w:szCs w:val="18"/>
          <w:lang w:val="nl-NL"/>
        </w:rPr>
        <w:t xml:space="preserve"> 2004, 30-35.</w:t>
      </w:r>
    </w:p>
    <w:p w14:paraId="69C29140" w14:textId="77777777" w:rsidR="007E0E8F" w:rsidRPr="00A33930" w:rsidRDefault="007E0E8F" w:rsidP="007E0E8F">
      <w:pPr>
        <w:spacing w:before="140" w:line="360" w:lineRule="auto"/>
        <w:jc w:val="both"/>
        <w:rPr>
          <w:rFonts w:eastAsia="Verdana" w:cs="Verdana"/>
          <w:szCs w:val="18"/>
          <w:lang w:val="nl-NL"/>
        </w:rPr>
      </w:pPr>
      <w:r w:rsidRPr="00A33930">
        <w:rPr>
          <w:rFonts w:eastAsia="Verdana" w:cs="Verdana"/>
          <w:szCs w:val="18"/>
          <w:lang w:val="nl-NL"/>
        </w:rPr>
        <w:t xml:space="preserve">SCHRAMA, W. en MOL, C., “Een rechtsvergelijkende blik op kinderparticipatie en enkele reflecties”, </w:t>
      </w:r>
      <w:r w:rsidRPr="00A33930">
        <w:rPr>
          <w:rFonts w:eastAsia="Verdana" w:cs="Verdana"/>
          <w:i/>
          <w:szCs w:val="18"/>
          <w:lang w:val="nl-NL"/>
        </w:rPr>
        <w:t>T.Fam.</w:t>
      </w:r>
      <w:r w:rsidRPr="00A33930">
        <w:rPr>
          <w:rFonts w:eastAsia="Verdana" w:cs="Verdana"/>
          <w:szCs w:val="18"/>
          <w:lang w:val="nl-NL"/>
        </w:rPr>
        <w:t xml:space="preserve"> 2022, nr. 5-6, 132-137.</w:t>
      </w:r>
    </w:p>
    <w:p w14:paraId="684B2967" w14:textId="77777777" w:rsidR="007E0E8F" w:rsidRPr="00A33930" w:rsidRDefault="007E0E8F" w:rsidP="007E0E8F">
      <w:pPr>
        <w:spacing w:before="140" w:line="360" w:lineRule="auto"/>
        <w:jc w:val="both"/>
        <w:rPr>
          <w:rFonts w:eastAsia="Verdana" w:cs="Verdana"/>
          <w:szCs w:val="18"/>
          <w:lang w:val="nl-NL"/>
        </w:rPr>
      </w:pPr>
      <w:r w:rsidRPr="00A33930">
        <w:rPr>
          <w:rFonts w:eastAsia="Verdana" w:cs="Verdana"/>
          <w:szCs w:val="18"/>
          <w:lang w:val="nl-NL"/>
        </w:rPr>
        <w:t>STEKETEE, M.J., OVERGAAG, A.M. en LÜNNEMANN, K.D., “Minderjarigen als procespartij? Een onderzoek naar de bijzondere curator en een formele rechtsingang voor minderjarigen</w:t>
      </w:r>
      <w:r w:rsidRPr="00A33930">
        <w:rPr>
          <w:rFonts w:eastAsia="Verdana" w:cs="Verdana"/>
          <w:i/>
          <w:iCs/>
          <w:szCs w:val="18"/>
          <w:lang w:val="nl-NL"/>
        </w:rPr>
        <w:t>”</w:t>
      </w:r>
      <w:r w:rsidRPr="00A33930">
        <w:rPr>
          <w:rFonts w:eastAsia="Verdana" w:cs="Verdana"/>
          <w:szCs w:val="18"/>
          <w:lang w:val="nl-NL"/>
        </w:rPr>
        <w:t xml:space="preserve">, </w:t>
      </w:r>
      <w:r w:rsidRPr="00A33930">
        <w:rPr>
          <w:rFonts w:eastAsia="Verdana" w:cs="Verdana"/>
          <w:i/>
          <w:iCs/>
          <w:szCs w:val="18"/>
          <w:lang w:val="nl-NL"/>
        </w:rPr>
        <w:t>Verwey-Jonker</w:t>
      </w:r>
      <w:r w:rsidRPr="00A33930">
        <w:rPr>
          <w:rFonts w:eastAsia="Verdana" w:cs="Verdana"/>
          <w:szCs w:val="18"/>
          <w:lang w:val="nl-NL"/>
        </w:rPr>
        <w:t>, oktober 2003.</w:t>
      </w:r>
    </w:p>
    <w:p w14:paraId="26803680" w14:textId="77777777" w:rsidR="007E0E8F" w:rsidRPr="00A33930" w:rsidRDefault="007E0E8F" w:rsidP="007E0E8F">
      <w:pPr>
        <w:spacing w:before="140" w:line="360" w:lineRule="auto"/>
        <w:jc w:val="both"/>
        <w:rPr>
          <w:rFonts w:eastAsia="Verdana" w:cs="Verdana"/>
          <w:szCs w:val="18"/>
          <w:lang w:val="nl-NL"/>
        </w:rPr>
      </w:pPr>
      <w:r w:rsidRPr="00A33930">
        <w:rPr>
          <w:rFonts w:eastAsia="Verdana" w:cs="Verdana"/>
          <w:szCs w:val="18"/>
          <w:lang w:val="nl-NL"/>
        </w:rPr>
        <w:t xml:space="preserve">TAVECCHIO, L. en VANOBBERGEN, B., “In het belang van het kind </w:t>
      </w:r>
      <w:r w:rsidRPr="00A33930">
        <w:rPr>
          <w:rFonts w:eastAsia="Verdana" w:cs="Verdana"/>
          <w:i/>
          <w:iCs/>
          <w:szCs w:val="18"/>
          <w:lang w:val="nl-NL"/>
        </w:rPr>
        <w:t>of</w:t>
      </w:r>
      <w:r w:rsidRPr="00A33930">
        <w:rPr>
          <w:rFonts w:eastAsia="Verdana" w:cs="Verdana"/>
          <w:szCs w:val="18"/>
          <w:lang w:val="nl-NL"/>
        </w:rPr>
        <w:t xml:space="preserve"> in het belang van het kind en de ouders?”, </w:t>
      </w:r>
      <w:r w:rsidRPr="00A33930">
        <w:rPr>
          <w:rFonts w:eastAsia="Verdana" w:cs="Verdana"/>
          <w:i/>
          <w:iCs/>
          <w:szCs w:val="18"/>
          <w:lang w:val="nl-NL"/>
        </w:rPr>
        <w:t>Pedagogiek</w:t>
      </w:r>
      <w:r w:rsidRPr="00A33930">
        <w:rPr>
          <w:rFonts w:eastAsia="Verdana" w:cs="Verdana"/>
          <w:szCs w:val="18"/>
          <w:lang w:val="nl-NL"/>
        </w:rPr>
        <w:t xml:space="preserve"> 2020, vol. 40, nr. 2, 167-173.</w:t>
      </w:r>
    </w:p>
    <w:p w14:paraId="1FB79D6D" w14:textId="77777777" w:rsidR="007E0E8F" w:rsidRPr="00A33930" w:rsidRDefault="007E0E8F" w:rsidP="007E0E8F">
      <w:pPr>
        <w:spacing w:before="140" w:line="360" w:lineRule="auto"/>
        <w:jc w:val="both"/>
        <w:rPr>
          <w:rFonts w:eastAsia="Verdana" w:cs="Verdana"/>
          <w:szCs w:val="18"/>
          <w:lang w:val="nl-NL"/>
        </w:rPr>
      </w:pPr>
      <w:r w:rsidRPr="00A33930">
        <w:rPr>
          <w:rFonts w:eastAsia="Verdana" w:cs="Verdana"/>
          <w:szCs w:val="18"/>
          <w:lang w:val="nl-NL"/>
        </w:rPr>
        <w:t xml:space="preserve">TER HAAR, J.H.M., “De processuele handelingsonbekwaamheid van de minderjarige”, </w:t>
      </w:r>
      <w:r w:rsidRPr="00A33930">
        <w:rPr>
          <w:rFonts w:eastAsia="Verdana" w:cs="Verdana"/>
          <w:i/>
          <w:szCs w:val="18"/>
          <w:lang w:val="nl-NL"/>
        </w:rPr>
        <w:t>EB</w:t>
      </w:r>
      <w:r w:rsidRPr="00A33930">
        <w:rPr>
          <w:rFonts w:eastAsia="Verdana" w:cs="Verdana"/>
          <w:szCs w:val="18"/>
          <w:lang w:val="nl-NL"/>
        </w:rPr>
        <w:t xml:space="preserve"> 2015, afl. 3, 47-50.</w:t>
      </w:r>
    </w:p>
    <w:p w14:paraId="621F18AA" w14:textId="77777777" w:rsidR="007E0E8F" w:rsidRPr="00A33930" w:rsidRDefault="007E0E8F" w:rsidP="007E0E8F">
      <w:pPr>
        <w:spacing w:before="140" w:line="360" w:lineRule="auto"/>
        <w:jc w:val="both"/>
        <w:rPr>
          <w:rFonts w:eastAsia="Verdana" w:cs="Verdana"/>
          <w:szCs w:val="18"/>
          <w:lang w:val="nl-NL"/>
        </w:rPr>
      </w:pPr>
      <w:r w:rsidRPr="00A33930">
        <w:rPr>
          <w:rFonts w:eastAsia="Verdana" w:cs="Verdana"/>
          <w:szCs w:val="18"/>
          <w:lang w:val="nl-NL"/>
        </w:rPr>
        <w:t xml:space="preserve">VAN EMMERIK, M., “Toepassing van het kinderrechtenverdrag in de Nederlandse rechtspraak”, </w:t>
      </w:r>
      <w:r w:rsidRPr="00A33930">
        <w:rPr>
          <w:rFonts w:eastAsia="Verdana" w:cs="Verdana"/>
          <w:i/>
          <w:iCs/>
          <w:szCs w:val="18"/>
          <w:lang w:val="nl-NL"/>
        </w:rPr>
        <w:t>NJCM-Bulletin</w:t>
      </w:r>
      <w:r w:rsidRPr="00A33930">
        <w:rPr>
          <w:rFonts w:eastAsia="Verdana" w:cs="Verdana"/>
          <w:szCs w:val="18"/>
          <w:lang w:val="nl-NL"/>
        </w:rPr>
        <w:t xml:space="preserve"> 2005, nr. 6, 700-716.</w:t>
      </w:r>
    </w:p>
    <w:p w14:paraId="5E022931" w14:textId="77777777" w:rsidR="007E0E8F" w:rsidRPr="00A33930" w:rsidRDefault="007E0E8F" w:rsidP="007E0E8F">
      <w:pPr>
        <w:spacing w:before="140" w:line="360" w:lineRule="auto"/>
        <w:jc w:val="both"/>
        <w:rPr>
          <w:rFonts w:eastAsia="Verdana" w:cs="Verdana"/>
          <w:szCs w:val="18"/>
          <w:lang w:val="nl-NL"/>
        </w:rPr>
      </w:pPr>
      <w:r w:rsidRPr="00A33930">
        <w:rPr>
          <w:rFonts w:eastAsia="Verdana" w:cs="Verdana"/>
          <w:szCs w:val="18"/>
          <w:lang w:val="nl-NL"/>
        </w:rPr>
        <w:t xml:space="preserve">VERHELLEN, E., “Kinder-Rechten zijn in beweging”, </w:t>
      </w:r>
      <w:r w:rsidRPr="00A33930">
        <w:rPr>
          <w:rFonts w:eastAsia="Verdana" w:cs="Verdana"/>
          <w:i/>
          <w:iCs/>
          <w:szCs w:val="18"/>
          <w:lang w:val="nl-NL"/>
        </w:rPr>
        <w:t>TJK</w:t>
      </w:r>
      <w:r w:rsidRPr="00A33930">
        <w:rPr>
          <w:rFonts w:eastAsia="Verdana" w:cs="Verdana"/>
          <w:szCs w:val="18"/>
          <w:lang w:val="nl-NL"/>
        </w:rPr>
        <w:t xml:space="preserve"> 2017, nr. 4, 277-286.</w:t>
      </w:r>
    </w:p>
    <w:p w14:paraId="796847A1" w14:textId="5C7011A0" w:rsidR="001D6547" w:rsidRPr="00A33930" w:rsidRDefault="007E0E8F" w:rsidP="00DA3ECE">
      <w:pPr>
        <w:spacing w:before="140" w:line="360" w:lineRule="auto"/>
        <w:jc w:val="both"/>
        <w:rPr>
          <w:rFonts w:eastAsia="Verdana" w:cs="Verdana"/>
          <w:szCs w:val="18"/>
          <w:lang w:val="nl-NL"/>
        </w:rPr>
      </w:pPr>
      <w:r w:rsidRPr="00A33930">
        <w:rPr>
          <w:rFonts w:eastAsia="Verdana" w:cs="Verdana"/>
          <w:szCs w:val="18"/>
          <w:lang w:val="nl-NL"/>
        </w:rPr>
        <w:lastRenderedPageBreak/>
        <w:t xml:space="preserve">VLAARDINGERBROEK, P., “De wetgever laat Jeroen (en vele andere kinderen) niet in de koud staan”, </w:t>
      </w:r>
      <w:r w:rsidRPr="00A33930">
        <w:rPr>
          <w:rFonts w:eastAsia="Verdana" w:cs="Verdana"/>
          <w:i/>
          <w:iCs/>
          <w:szCs w:val="18"/>
          <w:lang w:val="nl-NL"/>
        </w:rPr>
        <w:t>FJR (NL)</w:t>
      </w:r>
      <w:r w:rsidRPr="00A33930">
        <w:rPr>
          <w:rFonts w:eastAsia="Verdana" w:cs="Verdana"/>
          <w:szCs w:val="18"/>
          <w:lang w:val="nl-NL"/>
        </w:rPr>
        <w:t xml:space="preserve"> 2009, 228-233.</w:t>
      </w:r>
    </w:p>
    <w:p w14:paraId="520DCD4D" w14:textId="77777777" w:rsidR="00DA3ECE" w:rsidRPr="00A33930" w:rsidRDefault="00DA3ECE" w:rsidP="001D6547">
      <w:pPr>
        <w:spacing w:before="360" w:after="120" w:line="360" w:lineRule="auto"/>
        <w:jc w:val="both"/>
        <w:rPr>
          <w:rFonts w:eastAsia="Verdana" w:cs="Verdana"/>
          <w:i/>
          <w:sz w:val="19"/>
          <w:szCs w:val="19"/>
          <w:u w:val="single"/>
          <w:lang w:val="nl-NL"/>
        </w:rPr>
      </w:pPr>
      <w:r w:rsidRPr="00A33930">
        <w:rPr>
          <w:rFonts w:eastAsia="Verdana" w:cs="Verdana"/>
          <w:i/>
          <w:sz w:val="19"/>
          <w:szCs w:val="19"/>
          <w:u w:val="single"/>
          <w:lang w:val="nl-NL"/>
        </w:rPr>
        <w:t>§4. Andere:</w:t>
      </w:r>
    </w:p>
    <w:p w14:paraId="40384C44" w14:textId="26B6CDE1" w:rsidR="007E0E8F" w:rsidRPr="00A33930" w:rsidRDefault="007E0E8F" w:rsidP="007E0E8F">
      <w:pPr>
        <w:spacing w:before="140" w:line="360" w:lineRule="auto"/>
        <w:jc w:val="both"/>
        <w:rPr>
          <w:rFonts w:eastAsia="Verdana" w:cs="Verdana"/>
          <w:szCs w:val="18"/>
          <w:lang w:val="nl-NL"/>
        </w:rPr>
      </w:pPr>
      <w:r w:rsidRPr="00A33930">
        <w:rPr>
          <w:rFonts w:eastAsia="Verdana" w:cs="Verdana"/>
          <w:szCs w:val="18"/>
          <w:lang w:val="nl-NL"/>
        </w:rPr>
        <w:t xml:space="preserve">VAN DER BIJL, N., VAN DEN DONGEN, M.E. en VREEBURG-VAN DER LAAN, E.J.M., </w:t>
      </w:r>
      <w:r w:rsidRPr="00A33930">
        <w:rPr>
          <w:rFonts w:eastAsia="Verdana" w:cs="Verdana"/>
          <w:i/>
          <w:iCs/>
          <w:szCs w:val="18"/>
          <w:lang w:val="nl-NL"/>
        </w:rPr>
        <w:t>De bijzondere curator, een lot uit de loterij? Adviesrapport over waarborging van de stem en de belangen van kinderen in de praktijk</w:t>
      </w:r>
      <w:r w:rsidRPr="00A33930">
        <w:rPr>
          <w:rFonts w:eastAsia="Verdana" w:cs="Verdana"/>
          <w:szCs w:val="18"/>
          <w:lang w:val="nl-NL"/>
        </w:rPr>
        <w:t xml:space="preserve">, 5 juli 2012, 14, </w:t>
      </w:r>
      <w:hyperlink r:id="rId37" w:history="1">
        <w:r w:rsidRPr="00A33930">
          <w:rPr>
            <w:rStyle w:val="Hyperlink"/>
            <w:rFonts w:eastAsia="Verdana" w:cs="Verdana"/>
            <w:color w:val="4472C4" w:themeColor="accent1"/>
            <w:szCs w:val="18"/>
            <w:lang w:val="nl-NL"/>
          </w:rPr>
          <w:t>www.yumpu.com/nl/document/read/20419352/de-bijzondere-curator-een-lot-uit-de-loterij-de-kinderombudsman</w:t>
        </w:r>
      </w:hyperlink>
      <w:r w:rsidRPr="00A33930">
        <w:rPr>
          <w:rFonts w:eastAsia="Verdana" w:cs="Verdana"/>
          <w:szCs w:val="18"/>
          <w:lang w:val="nl-NL"/>
        </w:rPr>
        <w:t xml:space="preserve"> (laatste consultatie </w:t>
      </w:r>
      <w:r w:rsidR="00DC6CBE" w:rsidRPr="00A33930">
        <w:rPr>
          <w:rFonts w:eastAsia="Verdana" w:cs="Verdana"/>
          <w:szCs w:val="18"/>
          <w:lang w:val="nl-NL"/>
        </w:rPr>
        <w:t>13</w:t>
      </w:r>
      <w:r w:rsidRPr="00A33930">
        <w:rPr>
          <w:rFonts w:eastAsia="Verdana" w:cs="Verdana"/>
          <w:szCs w:val="18"/>
          <w:lang w:val="nl-NL"/>
        </w:rPr>
        <w:t>.0</w:t>
      </w:r>
      <w:r w:rsidR="00DC6CBE" w:rsidRPr="00A33930">
        <w:rPr>
          <w:rFonts w:eastAsia="Verdana" w:cs="Verdana"/>
          <w:szCs w:val="18"/>
          <w:lang w:val="nl-NL"/>
        </w:rPr>
        <w:t>5</w:t>
      </w:r>
      <w:r w:rsidRPr="00A33930">
        <w:rPr>
          <w:rFonts w:eastAsia="Verdana" w:cs="Verdana"/>
          <w:szCs w:val="18"/>
          <w:lang w:val="nl-NL"/>
        </w:rPr>
        <w:t>.2023).</w:t>
      </w:r>
    </w:p>
    <w:p w14:paraId="538B4217" w14:textId="77777777" w:rsidR="00DA3ECE" w:rsidRPr="00A33930" w:rsidRDefault="00DA3ECE" w:rsidP="00DA3ECE">
      <w:pPr>
        <w:spacing w:before="140" w:line="360" w:lineRule="auto"/>
        <w:jc w:val="both"/>
        <w:rPr>
          <w:rFonts w:eastAsia="Verdana" w:cs="Verdana"/>
          <w:szCs w:val="18"/>
          <w:lang w:val="nl-NL"/>
        </w:rPr>
      </w:pPr>
    </w:p>
    <w:p w14:paraId="20734081" w14:textId="4DD2F028" w:rsidR="00DA3ECE" w:rsidRPr="00A33930" w:rsidRDefault="00DA3ECE" w:rsidP="00DA3ECE">
      <w:pPr>
        <w:spacing w:before="120" w:after="120" w:line="360" w:lineRule="auto"/>
        <w:jc w:val="both"/>
        <w:rPr>
          <w:rFonts w:eastAsia="Verdana" w:cs="Verdana"/>
          <w:b/>
          <w:bCs/>
          <w:i/>
          <w:lang w:val="nl-NL"/>
        </w:rPr>
      </w:pPr>
      <w:r w:rsidRPr="00A33930">
        <w:rPr>
          <w:rFonts w:eastAsia="Verdana" w:cs="Verdana"/>
          <w:b/>
          <w:bCs/>
          <w:i/>
          <w:lang w:val="nl-NL"/>
        </w:rPr>
        <w:t>Duitsland</w:t>
      </w:r>
      <w:r w:rsidR="008354CD" w:rsidRPr="00A33930">
        <w:rPr>
          <w:rFonts w:eastAsia="Verdana" w:cs="Verdana"/>
          <w:b/>
          <w:bCs/>
          <w:i/>
          <w:lang w:val="nl-NL"/>
        </w:rPr>
        <w:t>:</w:t>
      </w:r>
    </w:p>
    <w:p w14:paraId="007FC6C0" w14:textId="77777777" w:rsidR="00AE65F8" w:rsidRPr="00A33930" w:rsidRDefault="00AE65F8" w:rsidP="001D6547">
      <w:pPr>
        <w:spacing w:before="360" w:after="120" w:line="360" w:lineRule="auto"/>
        <w:jc w:val="both"/>
        <w:rPr>
          <w:rFonts w:eastAsia="Verdana" w:cs="Verdana"/>
          <w:i/>
          <w:sz w:val="19"/>
          <w:szCs w:val="19"/>
          <w:u w:val="single"/>
          <w:lang w:val="nl-NL"/>
        </w:rPr>
      </w:pPr>
      <w:r w:rsidRPr="00A33930">
        <w:rPr>
          <w:rFonts w:eastAsia="Verdana" w:cs="Verdana"/>
          <w:i/>
          <w:sz w:val="19"/>
          <w:szCs w:val="19"/>
          <w:u w:val="single"/>
          <w:lang w:val="nl-NL"/>
        </w:rPr>
        <w:t>§1. Boeken:</w:t>
      </w:r>
    </w:p>
    <w:p w14:paraId="5AA78832" w14:textId="77777777" w:rsidR="007E0E8F" w:rsidRPr="00A33930" w:rsidRDefault="007E0E8F" w:rsidP="007E0E8F">
      <w:pPr>
        <w:spacing w:before="140" w:line="360" w:lineRule="auto"/>
        <w:jc w:val="both"/>
        <w:rPr>
          <w:rFonts w:eastAsia="Verdana" w:cs="Verdana"/>
          <w:szCs w:val="18"/>
          <w:lang w:val="nl-NL"/>
        </w:rPr>
      </w:pPr>
      <w:r w:rsidRPr="00A33930">
        <w:rPr>
          <w:rFonts w:eastAsia="Verdana" w:cs="Verdana"/>
          <w:szCs w:val="18"/>
          <w:lang w:val="nl-NL"/>
        </w:rPr>
        <w:t xml:space="preserve">BALOFF, R., </w:t>
      </w:r>
      <w:r w:rsidRPr="00A33930">
        <w:rPr>
          <w:rFonts w:eastAsia="Verdana" w:cs="Verdana"/>
          <w:i/>
          <w:iCs/>
          <w:szCs w:val="18"/>
          <w:lang w:val="nl-NL"/>
        </w:rPr>
        <w:t>Das Kind vor dem Familiengericht bei Trennung und Scheidung</w:t>
      </w:r>
      <w:r w:rsidRPr="00A33930">
        <w:rPr>
          <w:rFonts w:eastAsia="Verdana" w:cs="Verdana"/>
          <w:szCs w:val="18"/>
          <w:lang w:val="nl-NL"/>
        </w:rPr>
        <w:t>, Baden-Baden, Nomos, 2022, 514 p.</w:t>
      </w:r>
    </w:p>
    <w:p w14:paraId="6820CA0B" w14:textId="1BEB7249" w:rsidR="007E0E8F" w:rsidRPr="00A33930" w:rsidRDefault="007E0E8F" w:rsidP="007E0E8F">
      <w:pPr>
        <w:spacing w:before="140" w:line="360" w:lineRule="auto"/>
        <w:jc w:val="both"/>
        <w:rPr>
          <w:rFonts w:eastAsia="Verdana" w:cs="Verdana"/>
          <w:szCs w:val="18"/>
          <w:lang w:val="nl-NL"/>
        </w:rPr>
      </w:pPr>
      <w:r w:rsidRPr="00A33930">
        <w:rPr>
          <w:rFonts w:eastAsia="Verdana" w:cs="Verdana"/>
          <w:szCs w:val="18"/>
          <w:lang w:val="nl-NL"/>
        </w:rPr>
        <w:t xml:space="preserve">BUDZIKIEWICZ, C., </w:t>
      </w:r>
      <w:r w:rsidRPr="00A33930">
        <w:rPr>
          <w:rFonts w:eastAsia="Verdana" w:cs="Verdana"/>
          <w:i/>
          <w:iCs/>
          <w:szCs w:val="18"/>
          <w:lang w:val="nl-NL"/>
        </w:rPr>
        <w:t>Münchener Kommentar zum Bürgerlichen Gesetzbuch</w:t>
      </w:r>
      <w:r w:rsidRPr="00A33930">
        <w:rPr>
          <w:rFonts w:eastAsia="Verdana" w:cs="Verdana"/>
          <w:szCs w:val="18"/>
          <w:lang w:val="nl-NL"/>
        </w:rPr>
        <w:t>, München, Verlag, 2021, 3011 p.</w:t>
      </w:r>
    </w:p>
    <w:p w14:paraId="4CF3E6B4" w14:textId="77777777" w:rsidR="007E0E8F" w:rsidRPr="00A33930" w:rsidRDefault="007E0E8F" w:rsidP="007E0E8F">
      <w:pPr>
        <w:spacing w:before="140" w:line="360" w:lineRule="auto"/>
        <w:jc w:val="both"/>
        <w:rPr>
          <w:rFonts w:eastAsia="Verdana" w:cs="Verdana"/>
          <w:szCs w:val="18"/>
          <w:lang w:val="nl-NL"/>
        </w:rPr>
      </w:pPr>
      <w:r w:rsidRPr="00A33930">
        <w:rPr>
          <w:rFonts w:eastAsia="Verdana" w:cs="Verdana"/>
          <w:szCs w:val="18"/>
          <w:lang w:val="nl-NL"/>
        </w:rPr>
        <w:t xml:space="preserve">FRÖSCHLE, T., </w:t>
      </w:r>
      <w:r w:rsidRPr="00A33930">
        <w:rPr>
          <w:rFonts w:eastAsia="Verdana" w:cs="Verdana"/>
          <w:i/>
          <w:iCs/>
          <w:szCs w:val="18"/>
          <w:lang w:val="nl-NL"/>
        </w:rPr>
        <w:t>Sorge und Umgang: Elternverantwortung in der Rechtspraxis</w:t>
      </w:r>
      <w:r w:rsidRPr="00A33930">
        <w:rPr>
          <w:rFonts w:eastAsia="Verdana" w:cs="Verdana"/>
          <w:szCs w:val="18"/>
          <w:lang w:val="nl-NL"/>
        </w:rPr>
        <w:t>, Bielefeld, Verlag, 2013, 290 p.</w:t>
      </w:r>
    </w:p>
    <w:p w14:paraId="43E67802" w14:textId="77777777" w:rsidR="007E0E8F" w:rsidRPr="00A33930" w:rsidRDefault="007E0E8F" w:rsidP="007E0E8F">
      <w:pPr>
        <w:spacing w:before="140" w:line="360" w:lineRule="auto"/>
        <w:jc w:val="both"/>
        <w:rPr>
          <w:rFonts w:eastAsia="Verdana" w:cs="Verdana"/>
          <w:szCs w:val="18"/>
          <w:lang w:val="nl-NL"/>
        </w:rPr>
      </w:pPr>
      <w:r w:rsidRPr="00A33930">
        <w:rPr>
          <w:rFonts w:eastAsia="Verdana" w:cs="Verdana"/>
          <w:szCs w:val="18"/>
          <w:lang w:val="nl-NL"/>
        </w:rPr>
        <w:t xml:space="preserve">LETTMAIER, S. en SCHULZ, M.-P., </w:t>
      </w:r>
      <w:r w:rsidRPr="00A33930">
        <w:rPr>
          <w:rFonts w:eastAsia="Verdana" w:cs="Verdana"/>
          <w:i/>
          <w:iCs/>
          <w:szCs w:val="18"/>
          <w:lang w:val="nl-NL"/>
        </w:rPr>
        <w:t>Family and Succession Law in Germany, fourth edition</w:t>
      </w:r>
      <w:r w:rsidRPr="00A33930">
        <w:rPr>
          <w:rFonts w:eastAsia="Verdana" w:cs="Verdana"/>
          <w:szCs w:val="18"/>
          <w:lang w:val="nl-NL"/>
        </w:rPr>
        <w:t>, Alphen Aan den Rijn, Kluwer, 2022, 216 p.</w:t>
      </w:r>
    </w:p>
    <w:p w14:paraId="7B96BEC9" w14:textId="7943C169" w:rsidR="007E0E8F" w:rsidRPr="00A33930" w:rsidRDefault="007E0E8F" w:rsidP="007E0E8F">
      <w:pPr>
        <w:spacing w:before="200" w:line="360" w:lineRule="auto"/>
        <w:jc w:val="both"/>
        <w:rPr>
          <w:rFonts w:eastAsia="Verdana" w:cs="Verdana"/>
          <w:szCs w:val="18"/>
          <w:lang w:val="nl-NL"/>
        </w:rPr>
      </w:pPr>
      <w:r w:rsidRPr="00A33930">
        <w:rPr>
          <w:rFonts w:eastAsia="Verdana" w:cs="Verdana"/>
          <w:szCs w:val="18"/>
          <w:lang w:val="nl-NL"/>
        </w:rPr>
        <w:t>NATIONAL COALITION GERMANY</w:t>
      </w:r>
      <w:r w:rsidRPr="00A33930">
        <w:rPr>
          <w:rFonts w:eastAsia="Verdana" w:cs="Verdana"/>
          <w:i/>
          <w:iCs/>
          <w:szCs w:val="18"/>
          <w:lang w:val="nl-NL"/>
        </w:rPr>
        <w:t>, Implementation of the UN Convention on the Rights of the Child in Germany</w:t>
      </w:r>
      <w:r w:rsidRPr="00A33930">
        <w:rPr>
          <w:rFonts w:eastAsia="Verdana" w:cs="Verdana"/>
          <w:szCs w:val="18"/>
          <w:lang w:val="nl-NL"/>
        </w:rPr>
        <w:t xml:space="preserve">, 2019, 101 p, </w:t>
      </w:r>
      <w:hyperlink r:id="rId38" w:history="1">
        <w:r w:rsidRPr="00A33930">
          <w:rPr>
            <w:rStyle w:val="Hyperlink"/>
            <w:rFonts w:eastAsia="Verdana" w:cs="Verdana"/>
            <w:color w:val="auto"/>
            <w:szCs w:val="18"/>
            <w:lang w:val="nl-NL"/>
          </w:rPr>
          <w:t>www.netzwerk-kinderrechte.de</w:t>
        </w:r>
      </w:hyperlink>
      <w:r w:rsidRPr="00A33930">
        <w:rPr>
          <w:rFonts w:eastAsia="Verdana" w:cs="Verdana"/>
          <w:szCs w:val="18"/>
          <w:lang w:val="nl-NL"/>
        </w:rPr>
        <w:t xml:space="preserve"> (laatste consultatie </w:t>
      </w:r>
      <w:r w:rsidR="00DC6CBE" w:rsidRPr="00A33930">
        <w:rPr>
          <w:rFonts w:eastAsia="Verdana" w:cs="Verdana"/>
          <w:szCs w:val="18"/>
          <w:lang w:val="nl-NL"/>
        </w:rPr>
        <w:t>13</w:t>
      </w:r>
      <w:r w:rsidRPr="00A33930">
        <w:rPr>
          <w:rFonts w:eastAsia="Verdana" w:cs="Verdana"/>
          <w:szCs w:val="18"/>
          <w:lang w:val="nl-NL"/>
        </w:rPr>
        <w:t>.0</w:t>
      </w:r>
      <w:r w:rsidR="00DC6CBE" w:rsidRPr="00A33930">
        <w:rPr>
          <w:rFonts w:eastAsia="Verdana" w:cs="Verdana"/>
          <w:szCs w:val="18"/>
          <w:lang w:val="nl-NL"/>
        </w:rPr>
        <w:t>5</w:t>
      </w:r>
      <w:r w:rsidRPr="00A33930">
        <w:rPr>
          <w:rFonts w:eastAsia="Verdana" w:cs="Verdana"/>
          <w:szCs w:val="18"/>
          <w:lang w:val="nl-NL"/>
        </w:rPr>
        <w:t>.2023).</w:t>
      </w:r>
    </w:p>
    <w:p w14:paraId="612231F5" w14:textId="77777777" w:rsidR="007E0E8F" w:rsidRPr="00A33930" w:rsidRDefault="007E0E8F" w:rsidP="007E0E8F">
      <w:pPr>
        <w:spacing w:before="140" w:line="360" w:lineRule="auto"/>
        <w:jc w:val="both"/>
        <w:rPr>
          <w:rFonts w:eastAsia="Verdana" w:cs="Verdana"/>
          <w:szCs w:val="18"/>
          <w:lang w:val="nl-NL"/>
        </w:rPr>
      </w:pPr>
      <w:r w:rsidRPr="00A33930">
        <w:rPr>
          <w:rFonts w:eastAsia="Verdana" w:cs="Verdana"/>
          <w:szCs w:val="18"/>
          <w:lang w:val="nl-NL"/>
        </w:rPr>
        <w:t>SCHLU</w:t>
      </w:r>
      <w:r w:rsidRPr="00A33930">
        <w:rPr>
          <w:rFonts w:ascii="Arial" w:eastAsia="Verdana" w:hAnsi="Arial" w:cs="Arial"/>
          <w:szCs w:val="18"/>
          <w:lang w:val="nl-NL"/>
        </w:rPr>
        <w:t>̈</w:t>
      </w:r>
      <w:r w:rsidRPr="00A33930">
        <w:rPr>
          <w:rFonts w:eastAsia="Verdana" w:cs="Verdana"/>
          <w:szCs w:val="18"/>
          <w:lang w:val="nl-NL"/>
        </w:rPr>
        <w:t xml:space="preserve">TER, W., </w:t>
      </w:r>
      <w:r w:rsidRPr="00A33930">
        <w:rPr>
          <w:rFonts w:eastAsia="Verdana" w:cs="Verdana"/>
          <w:i/>
          <w:iCs/>
          <w:szCs w:val="18"/>
          <w:lang w:val="nl-NL"/>
        </w:rPr>
        <w:t>BGB – Familienrecht</w:t>
      </w:r>
      <w:r w:rsidRPr="00A33930">
        <w:rPr>
          <w:rFonts w:eastAsia="Verdana" w:cs="Verdana"/>
          <w:szCs w:val="18"/>
          <w:lang w:val="nl-NL"/>
        </w:rPr>
        <w:t>, Heidelberg, C.F. Mu</w:t>
      </w:r>
      <w:r w:rsidRPr="00A33930">
        <w:rPr>
          <w:rFonts w:ascii="Arial" w:eastAsia="Verdana" w:hAnsi="Arial" w:cs="Arial"/>
          <w:szCs w:val="18"/>
          <w:lang w:val="nl-NL"/>
        </w:rPr>
        <w:t>̈</w:t>
      </w:r>
      <w:r w:rsidRPr="00A33930">
        <w:rPr>
          <w:rFonts w:eastAsia="Verdana" w:cs="Verdana"/>
          <w:szCs w:val="18"/>
          <w:lang w:val="nl-NL"/>
        </w:rPr>
        <w:t>ller Verlag, 2009, 276-277.</w:t>
      </w:r>
    </w:p>
    <w:p w14:paraId="77E37777" w14:textId="77777777" w:rsidR="007E0E8F" w:rsidRPr="00A33930" w:rsidRDefault="007E0E8F" w:rsidP="007E0E8F">
      <w:pPr>
        <w:spacing w:before="140" w:line="360" w:lineRule="auto"/>
        <w:jc w:val="both"/>
        <w:rPr>
          <w:rFonts w:eastAsia="Verdana" w:cs="Verdana"/>
          <w:szCs w:val="18"/>
          <w:lang w:val="nl-NL"/>
        </w:rPr>
      </w:pPr>
      <w:r w:rsidRPr="00A33930">
        <w:rPr>
          <w:rFonts w:eastAsia="Verdana" w:cs="Verdana"/>
          <w:szCs w:val="18"/>
          <w:lang w:val="nl-NL"/>
        </w:rPr>
        <w:t xml:space="preserve">SCHWAB, D., </w:t>
      </w:r>
      <w:r w:rsidRPr="00A33930">
        <w:rPr>
          <w:rFonts w:eastAsia="Verdana" w:cs="Verdana"/>
          <w:i/>
          <w:iCs/>
          <w:szCs w:val="18"/>
          <w:lang w:val="nl-NL"/>
        </w:rPr>
        <w:t>Familienrecht</w:t>
      </w:r>
      <w:r w:rsidRPr="00A33930">
        <w:rPr>
          <w:rFonts w:eastAsia="Verdana" w:cs="Verdana"/>
          <w:szCs w:val="18"/>
          <w:lang w:val="nl-NL"/>
        </w:rPr>
        <w:t>, München, Beck, 2017, 514 p.</w:t>
      </w:r>
    </w:p>
    <w:p w14:paraId="6C6B0CE9" w14:textId="77777777" w:rsidR="007E0E8F" w:rsidRPr="00A33930" w:rsidRDefault="007E0E8F" w:rsidP="007E0E8F">
      <w:pPr>
        <w:spacing w:before="140" w:line="360" w:lineRule="auto"/>
        <w:jc w:val="both"/>
        <w:rPr>
          <w:rFonts w:eastAsia="Verdana" w:cs="Verdana"/>
          <w:szCs w:val="18"/>
          <w:lang w:val="nl-NL"/>
        </w:rPr>
      </w:pPr>
      <w:r w:rsidRPr="00A33930">
        <w:rPr>
          <w:rFonts w:eastAsia="Verdana" w:cs="Verdana"/>
          <w:szCs w:val="18"/>
          <w:lang w:val="nl-NL"/>
        </w:rPr>
        <w:t xml:space="preserve">VEIT, R.-D., </w:t>
      </w:r>
      <w:r w:rsidRPr="00A33930">
        <w:rPr>
          <w:rFonts w:eastAsia="Verdana" w:cs="Verdana"/>
          <w:i/>
          <w:iCs/>
          <w:szCs w:val="18"/>
          <w:lang w:val="nl-NL"/>
        </w:rPr>
        <w:t>Beck’sche Online-Kommentare</w:t>
      </w:r>
      <w:r w:rsidRPr="00A33930">
        <w:rPr>
          <w:rFonts w:eastAsia="Verdana" w:cs="Verdana"/>
          <w:szCs w:val="18"/>
          <w:lang w:val="nl-NL"/>
        </w:rPr>
        <w:t>, München, Verlag Beck, editie 01.01. 2023.</w:t>
      </w:r>
    </w:p>
    <w:p w14:paraId="61DB2A13" w14:textId="77777777" w:rsidR="007E0E8F" w:rsidRPr="00A33930" w:rsidRDefault="007E0E8F" w:rsidP="007E0E8F">
      <w:pPr>
        <w:spacing w:before="140" w:line="360" w:lineRule="auto"/>
        <w:jc w:val="both"/>
        <w:rPr>
          <w:rFonts w:eastAsia="Verdana" w:cs="Verdana"/>
          <w:szCs w:val="18"/>
          <w:lang w:val="nl-NL"/>
        </w:rPr>
      </w:pPr>
      <w:r w:rsidRPr="00A33930">
        <w:rPr>
          <w:rFonts w:eastAsia="Verdana" w:cs="Verdana"/>
          <w:szCs w:val="18"/>
          <w:lang w:val="nl-NL"/>
        </w:rPr>
        <w:t xml:space="preserve">VON STAUDINGER, J. en GUTZEIT, L.M.P. (ed.), </w:t>
      </w:r>
      <w:r w:rsidRPr="00A33930">
        <w:rPr>
          <w:rFonts w:eastAsia="Verdana" w:cs="Verdana"/>
          <w:i/>
          <w:iCs/>
          <w:szCs w:val="18"/>
          <w:lang w:val="nl-NL"/>
        </w:rPr>
        <w:t>Kommentar zum Bürgerlichen Gesetzbuch mit Einführungsgesets und Nebengesetzen. §§ 1684-1717. Elterliche Sorge 3 - Umgangsrecht</w:t>
      </w:r>
      <w:r w:rsidRPr="00A33930">
        <w:rPr>
          <w:rFonts w:eastAsia="Verdana" w:cs="Verdana"/>
          <w:szCs w:val="18"/>
          <w:lang w:val="nl-NL"/>
        </w:rPr>
        <w:t>, Otto Schmidt/De Gruyter, 2019, 652 p.</w:t>
      </w:r>
    </w:p>
    <w:p w14:paraId="09184C36" w14:textId="04305D5B" w:rsidR="001D6547" w:rsidRPr="00A33930" w:rsidRDefault="007E0E8F" w:rsidP="001D6547">
      <w:pPr>
        <w:spacing w:before="200" w:line="360" w:lineRule="auto"/>
        <w:jc w:val="both"/>
        <w:rPr>
          <w:rFonts w:eastAsia="Verdana" w:cs="Verdana"/>
          <w:szCs w:val="18"/>
          <w:lang w:val="nl-NL"/>
        </w:rPr>
      </w:pPr>
      <w:r w:rsidRPr="00A33930">
        <w:rPr>
          <w:rFonts w:eastAsia="Verdana" w:cs="Verdana"/>
          <w:szCs w:val="18"/>
          <w:lang w:val="nl-NL"/>
        </w:rPr>
        <w:t xml:space="preserve">ZWEIGERT, K. en KÖTZ, H., </w:t>
      </w:r>
      <w:r w:rsidRPr="00A33930">
        <w:rPr>
          <w:rFonts w:eastAsia="Verdana" w:cs="Verdana"/>
          <w:i/>
          <w:iCs/>
          <w:szCs w:val="18"/>
          <w:lang w:val="nl-NL"/>
        </w:rPr>
        <w:t>Einführung in die Rechtsvergleichung</w:t>
      </w:r>
      <w:r w:rsidRPr="00A33930">
        <w:rPr>
          <w:rFonts w:eastAsia="Verdana" w:cs="Verdana"/>
          <w:szCs w:val="18"/>
          <w:lang w:val="nl-NL"/>
        </w:rPr>
        <w:t>, Tübingen, Mohr, 1996, 746 p.</w:t>
      </w:r>
    </w:p>
    <w:p w14:paraId="11FF2BE1" w14:textId="77777777" w:rsidR="00AE65F8" w:rsidRPr="00A33930" w:rsidRDefault="00AE65F8" w:rsidP="001D6547">
      <w:pPr>
        <w:spacing w:before="360" w:after="120" w:line="360" w:lineRule="auto"/>
        <w:jc w:val="both"/>
        <w:rPr>
          <w:rFonts w:eastAsia="Verdana" w:cs="Verdana"/>
          <w:i/>
          <w:sz w:val="19"/>
          <w:szCs w:val="19"/>
          <w:u w:val="single"/>
          <w:lang w:val="nl-NL"/>
        </w:rPr>
      </w:pPr>
      <w:r w:rsidRPr="00A33930">
        <w:rPr>
          <w:rFonts w:eastAsia="Verdana" w:cs="Verdana"/>
          <w:i/>
          <w:sz w:val="19"/>
          <w:szCs w:val="19"/>
          <w:u w:val="single"/>
          <w:lang w:val="nl-NL"/>
        </w:rPr>
        <w:t>§2. Bijdragen in verzamelwerken:</w:t>
      </w:r>
    </w:p>
    <w:p w14:paraId="2A14682F" w14:textId="6BED898B" w:rsidR="001D6547" w:rsidRPr="00A33930" w:rsidRDefault="007E0E8F" w:rsidP="00AE65F8">
      <w:pPr>
        <w:spacing w:before="200" w:line="360" w:lineRule="auto"/>
        <w:jc w:val="both"/>
        <w:rPr>
          <w:rFonts w:eastAsia="Verdana" w:cs="Verdana"/>
          <w:szCs w:val="18"/>
          <w:highlight w:val="white"/>
          <w:lang w:val="nl-NL"/>
        </w:rPr>
      </w:pPr>
      <w:r w:rsidRPr="00A33930">
        <w:rPr>
          <w:rFonts w:eastAsia="Verdana" w:cs="Verdana"/>
          <w:szCs w:val="18"/>
          <w:highlight w:val="white"/>
          <w:lang w:val="nl-NL"/>
        </w:rPr>
        <w:t xml:space="preserve">KLEIN,  E., “Germany” in GERARDS, J. en FLEUREN, J. (eds.), </w:t>
      </w:r>
      <w:r w:rsidRPr="00A33930">
        <w:rPr>
          <w:rFonts w:eastAsia="Verdana" w:cs="Verdana"/>
          <w:i/>
          <w:iCs/>
          <w:szCs w:val="18"/>
          <w:highlight w:val="white"/>
          <w:lang w:val="nl-NL"/>
        </w:rPr>
        <w:t>Implementation of the European Convention on Human Rights and of the judgments of the ECtHR in national case-law</w:t>
      </w:r>
      <w:r w:rsidRPr="00A33930">
        <w:rPr>
          <w:rFonts w:eastAsia="Verdana" w:cs="Verdana"/>
          <w:szCs w:val="18"/>
          <w:highlight w:val="white"/>
          <w:lang w:val="nl-NL"/>
        </w:rPr>
        <w:t>, Antwerpen, Intersentia, 2014, 185-216.</w:t>
      </w:r>
    </w:p>
    <w:p w14:paraId="79BD5CB3" w14:textId="77777777" w:rsidR="00AE65F8" w:rsidRPr="00A33930" w:rsidRDefault="00AE65F8" w:rsidP="001D6547">
      <w:pPr>
        <w:spacing w:before="360" w:after="120" w:line="360" w:lineRule="auto"/>
        <w:jc w:val="both"/>
        <w:rPr>
          <w:rFonts w:eastAsia="Verdana" w:cs="Verdana"/>
          <w:i/>
          <w:sz w:val="19"/>
          <w:szCs w:val="19"/>
          <w:u w:val="single"/>
          <w:lang w:val="nl-NL"/>
        </w:rPr>
      </w:pPr>
      <w:r w:rsidRPr="00A33930">
        <w:rPr>
          <w:rFonts w:eastAsia="Verdana" w:cs="Verdana"/>
          <w:i/>
          <w:sz w:val="19"/>
          <w:szCs w:val="19"/>
          <w:u w:val="single"/>
          <w:lang w:val="nl-NL"/>
        </w:rPr>
        <w:lastRenderedPageBreak/>
        <w:t>§3. Tijdschriften:</w:t>
      </w:r>
    </w:p>
    <w:p w14:paraId="7CBA533A" w14:textId="77777777" w:rsidR="007E0E8F" w:rsidRPr="00A33930" w:rsidRDefault="007E0E8F" w:rsidP="007E0E8F">
      <w:pPr>
        <w:spacing w:before="140" w:line="360" w:lineRule="auto"/>
        <w:jc w:val="both"/>
        <w:rPr>
          <w:rFonts w:eastAsia="Verdana" w:cs="Verdana"/>
          <w:szCs w:val="18"/>
          <w:highlight w:val="white"/>
          <w:lang w:val="nl-NL"/>
        </w:rPr>
      </w:pPr>
      <w:r w:rsidRPr="00A33930">
        <w:rPr>
          <w:rFonts w:eastAsia="Verdana" w:cs="Verdana"/>
          <w:szCs w:val="18"/>
          <w:highlight w:val="white"/>
          <w:lang w:val="nl-NL"/>
        </w:rPr>
        <w:t xml:space="preserve">ALTROGGE, A., “Das Urteil des BverfG zur zwangsweisen Durchsetzung der Umgangspflicht und die Ordnungsmittel des FamFG”, </w:t>
      </w:r>
      <w:r w:rsidRPr="00A33930">
        <w:rPr>
          <w:rFonts w:eastAsia="Verdana" w:cs="Verdana"/>
          <w:i/>
          <w:iCs/>
          <w:szCs w:val="18"/>
          <w:highlight w:val="white"/>
          <w:lang w:val="nl-NL"/>
        </w:rPr>
        <w:t>FPR</w:t>
      </w:r>
      <w:r w:rsidRPr="00A33930">
        <w:rPr>
          <w:rFonts w:eastAsia="Verdana" w:cs="Verdana"/>
          <w:szCs w:val="18"/>
          <w:highlight w:val="white"/>
          <w:lang w:val="nl-NL"/>
        </w:rPr>
        <w:t xml:space="preserve"> 2009, 34-38.</w:t>
      </w:r>
    </w:p>
    <w:p w14:paraId="1317D953" w14:textId="77777777" w:rsidR="007E0E8F" w:rsidRPr="00A33930" w:rsidRDefault="007E0E8F" w:rsidP="007E0E8F">
      <w:pPr>
        <w:spacing w:before="140" w:line="360" w:lineRule="auto"/>
        <w:jc w:val="both"/>
        <w:rPr>
          <w:rFonts w:eastAsia="Verdana" w:cs="Verdana"/>
          <w:szCs w:val="18"/>
          <w:highlight w:val="white"/>
          <w:lang w:val="nl-NL"/>
        </w:rPr>
      </w:pPr>
      <w:r w:rsidRPr="00A33930">
        <w:rPr>
          <w:rFonts w:eastAsia="Verdana" w:cs="Verdana"/>
          <w:szCs w:val="18"/>
          <w:highlight w:val="white"/>
          <w:lang w:val="nl-NL"/>
        </w:rPr>
        <w:t xml:space="preserve">ALTROGGE, A., “Recht das Kindes aug Umgang mit dem Umgangsunwilligen Elternteil”, </w:t>
      </w:r>
      <w:r w:rsidRPr="00A33930">
        <w:rPr>
          <w:rFonts w:eastAsia="Verdana" w:cs="Verdana"/>
          <w:i/>
          <w:szCs w:val="18"/>
          <w:highlight w:val="white"/>
          <w:lang w:val="nl-NL"/>
        </w:rPr>
        <w:t>FPR</w:t>
      </w:r>
      <w:r w:rsidRPr="00A33930">
        <w:rPr>
          <w:rFonts w:eastAsia="Verdana" w:cs="Verdana"/>
          <w:szCs w:val="18"/>
          <w:highlight w:val="white"/>
          <w:lang w:val="nl-NL"/>
        </w:rPr>
        <w:t xml:space="preserve"> 2008, 410-413.</w:t>
      </w:r>
    </w:p>
    <w:p w14:paraId="14F9055E" w14:textId="77777777" w:rsidR="007E0E8F" w:rsidRPr="00A33930" w:rsidRDefault="007E0E8F" w:rsidP="007E0E8F">
      <w:pPr>
        <w:spacing w:before="140" w:line="360" w:lineRule="auto"/>
        <w:jc w:val="both"/>
        <w:rPr>
          <w:rFonts w:eastAsia="Verdana" w:cs="Verdana"/>
          <w:szCs w:val="18"/>
          <w:highlight w:val="white"/>
          <w:lang w:val="nl-NL"/>
        </w:rPr>
      </w:pPr>
      <w:r w:rsidRPr="00A33930">
        <w:rPr>
          <w:rFonts w:eastAsia="Verdana" w:cs="Verdana"/>
          <w:szCs w:val="18"/>
          <w:highlight w:val="white"/>
          <w:lang w:val="nl-NL"/>
        </w:rPr>
        <w:t xml:space="preserve">HORNDASH, K.P., “Das Recht des Kindes auf Umgang”, </w:t>
      </w:r>
      <w:r w:rsidRPr="00A33930">
        <w:rPr>
          <w:rFonts w:eastAsia="Verdana" w:cs="Verdana"/>
          <w:i/>
          <w:szCs w:val="18"/>
          <w:highlight w:val="white"/>
          <w:lang w:val="nl-NL"/>
        </w:rPr>
        <w:t>FPR</w:t>
      </w:r>
      <w:r w:rsidRPr="00A33930">
        <w:rPr>
          <w:rFonts w:eastAsia="Verdana" w:cs="Verdana"/>
          <w:szCs w:val="18"/>
          <w:highlight w:val="white"/>
          <w:lang w:val="nl-NL"/>
        </w:rPr>
        <w:t xml:space="preserve"> 2012, 208-212.</w:t>
      </w:r>
    </w:p>
    <w:p w14:paraId="304FB42D" w14:textId="77777777" w:rsidR="007E0E8F" w:rsidRPr="00A33930" w:rsidRDefault="007E0E8F" w:rsidP="007E0E8F">
      <w:pPr>
        <w:spacing w:before="140" w:line="360" w:lineRule="auto"/>
        <w:jc w:val="both"/>
        <w:rPr>
          <w:rFonts w:eastAsia="Verdana" w:cs="Verdana"/>
          <w:szCs w:val="18"/>
          <w:highlight w:val="white"/>
          <w:lang w:val="nl-NL"/>
        </w:rPr>
      </w:pPr>
      <w:r w:rsidRPr="00A33930">
        <w:rPr>
          <w:rFonts w:eastAsia="Verdana" w:cs="Verdana"/>
          <w:szCs w:val="18"/>
          <w:highlight w:val="white"/>
          <w:lang w:val="nl-NL"/>
        </w:rPr>
        <w:t xml:space="preserve">VAN ELS, H., “Zwangsweise Durchsetzung der Umgangspflicht”, </w:t>
      </w:r>
      <w:r w:rsidRPr="00A33930">
        <w:rPr>
          <w:rFonts w:eastAsia="Verdana" w:cs="Verdana"/>
          <w:i/>
          <w:iCs/>
          <w:szCs w:val="18"/>
          <w:highlight w:val="white"/>
          <w:lang w:val="nl-NL"/>
        </w:rPr>
        <w:t>FPR</w:t>
      </w:r>
      <w:r w:rsidRPr="00A33930">
        <w:rPr>
          <w:rFonts w:eastAsia="Verdana" w:cs="Verdana"/>
          <w:szCs w:val="18"/>
          <w:highlight w:val="white"/>
          <w:lang w:val="nl-NL"/>
        </w:rPr>
        <w:t xml:space="preserve"> 2009, 161-165.</w:t>
      </w:r>
    </w:p>
    <w:p w14:paraId="76021E7E" w14:textId="0E5A86D8" w:rsidR="007E0E8F" w:rsidRPr="00A33930" w:rsidRDefault="007E0E8F" w:rsidP="00AE65F8">
      <w:pPr>
        <w:spacing w:before="140" w:line="360" w:lineRule="auto"/>
        <w:jc w:val="both"/>
        <w:rPr>
          <w:rFonts w:eastAsia="Verdana" w:cs="Verdana"/>
          <w:color w:val="4472C4" w:themeColor="accent1"/>
          <w:szCs w:val="18"/>
          <w:highlight w:val="white"/>
          <w:lang w:val="nl-NL"/>
        </w:rPr>
      </w:pPr>
      <w:r w:rsidRPr="00A33930">
        <w:rPr>
          <w:rFonts w:eastAsia="Verdana" w:cs="Verdana"/>
          <w:szCs w:val="18"/>
          <w:highlight w:val="white"/>
          <w:lang w:val="nl-NL"/>
        </w:rPr>
        <w:t xml:space="preserve">VON ECKARDSTEIN, O.L., NIESEL, R. en SALZGEBER, J., “Eltern bleiben Eltern”, </w:t>
      </w:r>
      <w:r w:rsidRPr="00A33930">
        <w:rPr>
          <w:rFonts w:eastAsia="Verdana" w:cs="Verdana"/>
          <w:i/>
          <w:iCs/>
          <w:szCs w:val="18"/>
          <w:highlight w:val="white"/>
          <w:lang w:val="nl-NL"/>
        </w:rPr>
        <w:t>DAJEB</w:t>
      </w:r>
      <w:r w:rsidRPr="00A33930">
        <w:rPr>
          <w:rFonts w:eastAsia="Verdana" w:cs="Verdana"/>
          <w:szCs w:val="18"/>
          <w:highlight w:val="white"/>
          <w:lang w:val="nl-NL"/>
        </w:rPr>
        <w:t xml:space="preserve"> 2015, </w:t>
      </w:r>
      <w:r w:rsidR="00A33930">
        <w:rPr>
          <w:rFonts w:eastAsia="Verdana" w:cs="Verdana"/>
          <w:color w:val="4472C4" w:themeColor="accent1"/>
          <w:szCs w:val="18"/>
          <w:highlight w:val="white"/>
          <w:lang w:val="nl-NL"/>
        </w:rPr>
        <w:fldChar w:fldCharType="begin"/>
      </w:r>
      <w:r w:rsidR="00A33930">
        <w:rPr>
          <w:rFonts w:eastAsia="Verdana" w:cs="Verdana"/>
          <w:color w:val="4472C4" w:themeColor="accent1"/>
          <w:szCs w:val="18"/>
          <w:highlight w:val="white"/>
          <w:lang w:val="nl-NL"/>
        </w:rPr>
        <w:instrText xml:space="preserve"> HYPERLINK "http://</w:instrText>
      </w:r>
      <w:r w:rsidR="00A33930" w:rsidRPr="00A33930">
        <w:rPr>
          <w:rFonts w:eastAsia="Verdana" w:cs="Verdana"/>
          <w:color w:val="4472C4" w:themeColor="accent1"/>
          <w:szCs w:val="18"/>
          <w:highlight w:val="white"/>
          <w:lang w:val="nl-NL"/>
        </w:rPr>
        <w:instrText>www.bmfsfj.de/resource/blob/93594/3b5e159e1c43754d35ba76b8bbfdc146/eltern-bleiben-eltern-data.pdf</w:instrText>
      </w:r>
      <w:r w:rsidR="00A33930">
        <w:rPr>
          <w:rFonts w:eastAsia="Verdana" w:cs="Verdana"/>
          <w:color w:val="4472C4" w:themeColor="accent1"/>
          <w:szCs w:val="18"/>
          <w:highlight w:val="white"/>
          <w:lang w:val="nl-NL"/>
        </w:rPr>
        <w:instrText xml:space="preserve">" </w:instrText>
      </w:r>
      <w:r w:rsidR="00A33930">
        <w:rPr>
          <w:rFonts w:eastAsia="Verdana" w:cs="Verdana"/>
          <w:color w:val="4472C4" w:themeColor="accent1"/>
          <w:szCs w:val="18"/>
          <w:highlight w:val="white"/>
          <w:lang w:val="nl-NL"/>
        </w:rPr>
        <w:fldChar w:fldCharType="separate"/>
      </w:r>
      <w:r w:rsidR="00A33930" w:rsidRPr="00044AE8">
        <w:rPr>
          <w:rStyle w:val="Hyperlink"/>
          <w:rFonts w:eastAsia="Verdana" w:cs="Verdana"/>
          <w:szCs w:val="18"/>
          <w:highlight w:val="white"/>
          <w:lang w:val="nl-NL"/>
        </w:rPr>
        <w:t>www.bmfsfj.de/resource/blob/93594/3b5e159e1c43754d35ba76b8bbfdc146/eltern-bleiben-eltern-data.pdf</w:t>
      </w:r>
      <w:r w:rsidR="00A33930">
        <w:rPr>
          <w:rFonts w:eastAsia="Verdana" w:cs="Verdana"/>
          <w:color w:val="4472C4" w:themeColor="accent1"/>
          <w:szCs w:val="18"/>
          <w:highlight w:val="white"/>
          <w:lang w:val="nl-NL"/>
        </w:rPr>
        <w:fldChar w:fldCharType="end"/>
      </w:r>
      <w:r w:rsidRPr="00A33930">
        <w:rPr>
          <w:rFonts w:eastAsia="Verdana" w:cs="Verdana"/>
          <w:color w:val="4472C4" w:themeColor="accent1"/>
          <w:szCs w:val="18"/>
          <w:highlight w:val="white"/>
          <w:lang w:val="nl-NL"/>
        </w:rPr>
        <w:t xml:space="preserve"> </w:t>
      </w:r>
      <w:r w:rsidRPr="00A33930">
        <w:rPr>
          <w:rFonts w:eastAsia="Verdana" w:cs="Verdana"/>
          <w:szCs w:val="18"/>
          <w:highlight w:val="white"/>
          <w:lang w:val="nl-NL"/>
        </w:rPr>
        <w:t xml:space="preserve">(laatste consultatie </w:t>
      </w:r>
      <w:r w:rsidR="00DC6CBE" w:rsidRPr="00A33930">
        <w:rPr>
          <w:rFonts w:eastAsia="Verdana" w:cs="Verdana"/>
          <w:szCs w:val="18"/>
          <w:highlight w:val="white"/>
          <w:lang w:val="nl-NL"/>
        </w:rPr>
        <w:t>13</w:t>
      </w:r>
      <w:r w:rsidRPr="00A33930">
        <w:rPr>
          <w:rFonts w:eastAsia="Verdana" w:cs="Verdana"/>
          <w:szCs w:val="18"/>
          <w:highlight w:val="white"/>
          <w:lang w:val="nl-NL"/>
        </w:rPr>
        <w:t>.</w:t>
      </w:r>
      <w:r w:rsidR="00DC6CBE" w:rsidRPr="00A33930">
        <w:rPr>
          <w:rFonts w:eastAsia="Verdana" w:cs="Verdana"/>
          <w:szCs w:val="18"/>
          <w:highlight w:val="white"/>
          <w:lang w:val="nl-NL"/>
        </w:rPr>
        <w:t>05</w:t>
      </w:r>
      <w:r w:rsidRPr="00A33930">
        <w:rPr>
          <w:rFonts w:eastAsia="Verdana" w:cs="Verdana"/>
          <w:szCs w:val="18"/>
          <w:highlight w:val="white"/>
          <w:lang w:val="nl-NL"/>
        </w:rPr>
        <w:t>.2023).</w:t>
      </w:r>
    </w:p>
    <w:p w14:paraId="66172798" w14:textId="0B6894DF" w:rsidR="00AE65F8" w:rsidRPr="00A33930" w:rsidRDefault="00AE65F8" w:rsidP="001D6547">
      <w:pPr>
        <w:spacing w:before="360" w:after="120" w:line="360" w:lineRule="auto"/>
        <w:jc w:val="both"/>
        <w:rPr>
          <w:rFonts w:eastAsia="Verdana" w:cs="Verdana"/>
          <w:i/>
          <w:sz w:val="19"/>
          <w:szCs w:val="19"/>
          <w:u w:val="single"/>
          <w:lang w:val="nl-NL"/>
        </w:rPr>
      </w:pPr>
      <w:r w:rsidRPr="00A33930">
        <w:rPr>
          <w:rFonts w:eastAsia="Verdana" w:cs="Verdana"/>
          <w:i/>
          <w:sz w:val="19"/>
          <w:szCs w:val="19"/>
          <w:u w:val="single"/>
          <w:lang w:val="nl-NL"/>
        </w:rPr>
        <w:t>§4. Andere:</w:t>
      </w:r>
    </w:p>
    <w:p w14:paraId="6B80404F" w14:textId="64C1E95B" w:rsidR="00AB562B" w:rsidRPr="00A33930" w:rsidRDefault="00AB562B" w:rsidP="00AB562B">
      <w:pPr>
        <w:spacing w:before="200" w:line="360" w:lineRule="auto"/>
        <w:jc w:val="both"/>
        <w:rPr>
          <w:rFonts w:eastAsia="Verdana" w:cs="Verdana"/>
          <w:szCs w:val="18"/>
          <w:lang w:val="nl-NL"/>
        </w:rPr>
      </w:pPr>
      <w:r w:rsidRPr="00A33930">
        <w:rPr>
          <w:rFonts w:eastAsia="Verdana" w:cs="Verdana"/>
          <w:szCs w:val="18"/>
          <w:lang w:val="nl-NL"/>
        </w:rPr>
        <w:t xml:space="preserve">BUNDESMINISTERIUM DER JUSTIZ, “Das Kindschaftsrecht. Fragen und Antworten zu Abstammung, elterlicher Sorge, Umgang und Unterhalt”, </w:t>
      </w:r>
      <w:r w:rsidRPr="00A33930">
        <w:rPr>
          <w:rFonts w:eastAsia="Verdana" w:cs="Verdana"/>
          <w:i/>
          <w:iCs/>
          <w:szCs w:val="18"/>
          <w:lang w:val="nl-NL"/>
        </w:rPr>
        <w:t>Familie und Geselschaft</w:t>
      </w:r>
      <w:r w:rsidRPr="00A33930">
        <w:rPr>
          <w:rFonts w:eastAsia="Verdana" w:cs="Verdana"/>
          <w:szCs w:val="18"/>
          <w:lang w:val="nl-NL"/>
        </w:rPr>
        <w:t xml:space="preserve"> januari 2023, </w:t>
      </w:r>
      <w:hyperlink r:id="rId39" w:history="1">
        <w:r w:rsidR="00A33930" w:rsidRPr="00044AE8">
          <w:rPr>
            <w:rStyle w:val="Hyperlink"/>
            <w:rFonts w:eastAsia="Verdana" w:cs="Verdana"/>
            <w:szCs w:val="18"/>
            <w:lang w:val="nl-NL"/>
          </w:rPr>
          <w:t>www.bmj.de/SharedDocs/Publikationen/DE/Kindschaftsrecht.pdf;jsessionid=20B8061F5339F0139E35C1506B64C3DC.2_cid334?__blob=publicationFile&amp;v=24</w:t>
        </w:r>
      </w:hyperlink>
      <w:r w:rsidR="00A33930">
        <w:rPr>
          <w:rFonts w:eastAsia="Verdana" w:cs="Verdana"/>
          <w:szCs w:val="18"/>
          <w:lang w:val="nl-NL"/>
        </w:rPr>
        <w:t xml:space="preserve"> </w:t>
      </w:r>
      <w:r w:rsidRPr="00A33930">
        <w:rPr>
          <w:rFonts w:eastAsia="Verdana" w:cs="Verdana"/>
          <w:szCs w:val="18"/>
          <w:lang w:val="nl-NL"/>
        </w:rPr>
        <w:t xml:space="preserve">(laatste consultatie </w:t>
      </w:r>
      <w:r w:rsidR="00DC6CBE" w:rsidRPr="00A33930">
        <w:rPr>
          <w:rFonts w:eastAsia="Verdana" w:cs="Verdana"/>
          <w:szCs w:val="18"/>
          <w:lang w:val="nl-NL"/>
        </w:rPr>
        <w:t>13</w:t>
      </w:r>
      <w:r w:rsidRPr="00A33930">
        <w:rPr>
          <w:rFonts w:eastAsia="Verdana" w:cs="Verdana"/>
          <w:szCs w:val="18"/>
          <w:lang w:val="nl-NL"/>
        </w:rPr>
        <w:t>.</w:t>
      </w:r>
      <w:r w:rsidR="00DC6CBE" w:rsidRPr="00A33930">
        <w:rPr>
          <w:rFonts w:eastAsia="Verdana" w:cs="Verdana"/>
          <w:szCs w:val="18"/>
          <w:lang w:val="nl-NL"/>
        </w:rPr>
        <w:t>05</w:t>
      </w:r>
      <w:r w:rsidRPr="00A33930">
        <w:rPr>
          <w:rFonts w:eastAsia="Verdana" w:cs="Verdana"/>
          <w:szCs w:val="18"/>
          <w:lang w:val="nl-NL"/>
        </w:rPr>
        <w:t>.2023).</w:t>
      </w:r>
    </w:p>
    <w:p w14:paraId="2F9671E0" w14:textId="77777777" w:rsidR="006D7007" w:rsidRPr="00A33930" w:rsidRDefault="006D7007" w:rsidP="00AB562B">
      <w:pPr>
        <w:spacing w:before="200" w:line="360" w:lineRule="auto"/>
        <w:jc w:val="both"/>
        <w:rPr>
          <w:rFonts w:eastAsia="Verdana" w:cs="Verdana"/>
          <w:szCs w:val="18"/>
          <w:lang w:val="nl-NL"/>
        </w:rPr>
      </w:pPr>
    </w:p>
    <w:p w14:paraId="1B73F242" w14:textId="4A21A006" w:rsidR="006D7007" w:rsidRPr="00A33930" w:rsidRDefault="006D7007">
      <w:pPr>
        <w:spacing w:after="160" w:line="259" w:lineRule="auto"/>
        <w:rPr>
          <w:rFonts w:eastAsia="Verdana" w:cs="Verdana"/>
          <w:szCs w:val="18"/>
          <w:lang w:val="nl-NL"/>
        </w:rPr>
      </w:pPr>
      <w:r w:rsidRPr="00A33930">
        <w:rPr>
          <w:rFonts w:eastAsia="Verdana" w:cs="Verdana"/>
          <w:szCs w:val="18"/>
          <w:lang w:val="nl-NL"/>
        </w:rPr>
        <w:br w:type="page"/>
      </w:r>
    </w:p>
    <w:p w14:paraId="607A9857" w14:textId="77777777" w:rsidR="006D7007" w:rsidRPr="00A33930" w:rsidRDefault="006D7007" w:rsidP="006D7007">
      <w:pPr>
        <w:pStyle w:val="Kop1"/>
        <w:jc w:val="both"/>
        <w:rPr>
          <w:sz w:val="22"/>
          <w:szCs w:val="28"/>
          <w:lang w:val="nl-NL"/>
        </w:rPr>
      </w:pPr>
      <w:bookmarkStart w:id="47" w:name="_Toc134621206"/>
      <w:r w:rsidRPr="00A33930">
        <w:rPr>
          <w:sz w:val="22"/>
          <w:szCs w:val="28"/>
          <w:lang w:val="nl-NL"/>
        </w:rPr>
        <w:lastRenderedPageBreak/>
        <w:t>BIJLAGE 1: SCHETS OVERIGE MENSENRECHTELIJKE VERDRAGEN</w:t>
      </w:r>
      <w:bookmarkEnd w:id="47"/>
    </w:p>
    <w:p w14:paraId="5A333598" w14:textId="77777777" w:rsidR="006D7007" w:rsidRPr="00A33930" w:rsidRDefault="006D7007" w:rsidP="006D7007">
      <w:pPr>
        <w:spacing w:before="240" w:after="240"/>
        <w:jc w:val="both"/>
        <w:rPr>
          <w:b/>
          <w:bCs/>
          <w:lang w:val="nl-NL"/>
        </w:rPr>
      </w:pPr>
      <w:r w:rsidRPr="00A33930">
        <w:rPr>
          <w:b/>
          <w:bCs/>
          <w:lang w:val="nl-NL"/>
        </w:rPr>
        <w:t>I.</w:t>
      </w:r>
      <w:r w:rsidRPr="00A33930">
        <w:rPr>
          <w:b/>
          <w:bCs/>
          <w:lang w:val="nl-NL"/>
        </w:rPr>
        <w:tab/>
        <w:t>Europees Verdrag inzake de Uitoefening van de Rechten van het Kind</w:t>
      </w:r>
    </w:p>
    <w:p w14:paraId="799BE8F3" w14:textId="1B4F219A" w:rsidR="006D7007" w:rsidRPr="00A33930" w:rsidRDefault="006D7007" w:rsidP="006D7007">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Op Europees niveau werd binnen de RvE al langere tijd gesproken over een toekomstig Europees Verdrag inzake de Rechten van het Kind.</w:t>
      </w:r>
      <w:r w:rsidRPr="00A33930">
        <w:rPr>
          <w:rStyle w:val="Voetnootmarkering"/>
          <w:rFonts w:eastAsia="Verdana" w:cs="Verdana"/>
          <w:szCs w:val="18"/>
          <w:lang w:val="nl-NL"/>
        </w:rPr>
        <w:footnoteReference w:id="563"/>
      </w:r>
      <w:r w:rsidRPr="00A33930">
        <w:rPr>
          <w:rFonts w:eastAsia="Verdana" w:cs="Verdana"/>
          <w:szCs w:val="18"/>
          <w:lang w:val="nl-NL"/>
        </w:rPr>
        <w:t xml:space="preserve"> Met verschillende Aanbevelingen benadrukt de RvE dat het Europees recht, net zoals het internationaal recht</w:t>
      </w:r>
      <w:r w:rsidR="00F861CD" w:rsidRPr="00A33930">
        <w:rPr>
          <w:rFonts w:eastAsia="Verdana" w:cs="Verdana"/>
          <w:szCs w:val="18"/>
          <w:lang w:val="nl-NL"/>
        </w:rPr>
        <w:t>,</w:t>
      </w:r>
      <w:r w:rsidRPr="00A33930">
        <w:rPr>
          <w:rFonts w:eastAsia="Verdana" w:cs="Verdana"/>
          <w:szCs w:val="18"/>
          <w:lang w:val="nl-NL"/>
        </w:rPr>
        <w:t xml:space="preserve"> een sterke juridische basis nodig heeft ter bescherming van kinderrechten.</w:t>
      </w:r>
      <w:r w:rsidRPr="00A33930">
        <w:rPr>
          <w:rStyle w:val="Voetnootmarkering"/>
          <w:rFonts w:eastAsia="Verdana" w:cs="Verdana"/>
          <w:szCs w:val="18"/>
          <w:lang w:val="nl-NL"/>
        </w:rPr>
        <w:footnoteReference w:id="564"/>
      </w:r>
      <w:r w:rsidRPr="00A33930">
        <w:rPr>
          <w:rFonts w:eastAsia="Verdana" w:cs="Verdana"/>
          <w:szCs w:val="18"/>
          <w:lang w:val="nl-NL"/>
        </w:rPr>
        <w:t xml:space="preserve"> Een echt Europees Kinderrechtenverdrag blijft tot op heden </w:t>
      </w:r>
      <w:r w:rsidR="00F861CD" w:rsidRPr="00A33930">
        <w:rPr>
          <w:rFonts w:eastAsia="Verdana" w:cs="Verdana"/>
          <w:szCs w:val="18"/>
          <w:lang w:val="nl-NL"/>
        </w:rPr>
        <w:t>echter enkel</w:t>
      </w:r>
      <w:r w:rsidRPr="00A33930">
        <w:rPr>
          <w:rFonts w:eastAsia="Verdana" w:cs="Verdana"/>
          <w:szCs w:val="18"/>
          <w:lang w:val="nl-NL"/>
        </w:rPr>
        <w:t xml:space="preserve"> een toekomstvisie. Wel werd in 1990 besloten om een juridisch instrument uit te werken met aanvullende werking ten opzichte van het IVRK.</w:t>
      </w:r>
      <w:r w:rsidRPr="00A33930">
        <w:rPr>
          <w:rStyle w:val="Voetnootmarkering"/>
          <w:rFonts w:eastAsia="Verdana" w:cs="Verdana"/>
          <w:szCs w:val="18"/>
          <w:lang w:val="nl-NL"/>
        </w:rPr>
        <w:footnoteReference w:id="565"/>
      </w:r>
      <w:r w:rsidRPr="00A33930">
        <w:rPr>
          <w:rFonts w:eastAsia="Verdana" w:cs="Verdana"/>
          <w:szCs w:val="18"/>
          <w:lang w:val="nl-NL"/>
        </w:rPr>
        <w:t xml:space="preserve"> Op 25 januari 1996 trad het EVURK</w:t>
      </w:r>
      <w:r w:rsidRPr="00A33930">
        <w:rPr>
          <w:rStyle w:val="Voetnootmarkering"/>
          <w:rFonts w:eastAsia="Verdana" w:cs="Verdana"/>
          <w:szCs w:val="18"/>
          <w:lang w:val="nl-NL"/>
        </w:rPr>
        <w:footnoteReference w:id="566"/>
      </w:r>
      <w:r w:rsidRPr="00A33930">
        <w:rPr>
          <w:rFonts w:eastAsia="Verdana" w:cs="Verdana"/>
          <w:szCs w:val="18"/>
          <w:lang w:val="nl-NL"/>
        </w:rPr>
        <w:t xml:space="preserve"> in werking. Het EVURK is echter niet zo ruim opgevat als door Aanbeveling 1121 werd voorzien.</w:t>
      </w:r>
      <w:r w:rsidRPr="00A33930">
        <w:rPr>
          <w:rStyle w:val="Voetnootmarkering"/>
          <w:rFonts w:eastAsia="Verdana" w:cs="Verdana"/>
          <w:szCs w:val="18"/>
          <w:lang w:val="nl-NL"/>
        </w:rPr>
        <w:footnoteReference w:id="567"/>
      </w:r>
      <w:r w:rsidRPr="00A33930">
        <w:rPr>
          <w:rFonts w:eastAsia="Verdana" w:cs="Verdana"/>
          <w:szCs w:val="18"/>
          <w:lang w:val="nl-NL"/>
        </w:rPr>
        <w:t xml:space="preserve"> Het beoogt slechts de uitoefening van kinderrechten te garanderen via procedurele rechten, zonder invoering van nieuwe materiële rechten.</w:t>
      </w:r>
      <w:r w:rsidRPr="00A33930">
        <w:rPr>
          <w:rStyle w:val="Voetnootmarkering"/>
          <w:rFonts w:eastAsia="Verdana" w:cs="Verdana"/>
          <w:szCs w:val="18"/>
          <w:lang w:val="nl-NL"/>
        </w:rPr>
        <w:footnoteReference w:id="568"/>
      </w:r>
      <w:r w:rsidRPr="00A33930">
        <w:rPr>
          <w:rFonts w:eastAsia="Verdana" w:cs="Verdana"/>
          <w:szCs w:val="18"/>
          <w:lang w:val="nl-NL"/>
        </w:rPr>
        <w:t xml:space="preserve"> Deze werden namelijk in 1989 reeds opgenomen in het IVRK. Het EVURK is complementair aan het IVRK doordat artikel 4 IVRK de lidstaten een positieve verplichting oplegt in passende wettelijke, bestuurlijke en administratieve maatregelen te voorzien ter verwezenlijking van de kinderrechten.</w:t>
      </w:r>
      <w:r w:rsidRPr="00A33930">
        <w:rPr>
          <w:rStyle w:val="Voetnootmarkering"/>
          <w:rFonts w:eastAsia="Verdana" w:cs="Verdana"/>
          <w:szCs w:val="18"/>
          <w:lang w:val="nl-NL"/>
        </w:rPr>
        <w:footnoteReference w:id="569"/>
      </w:r>
    </w:p>
    <w:p w14:paraId="6D449F38" w14:textId="77777777" w:rsidR="006D7007" w:rsidRPr="00A33930" w:rsidRDefault="006D7007" w:rsidP="006D7007">
      <w:pPr>
        <w:pStyle w:val="Lijstalinea"/>
        <w:spacing w:before="200" w:after="0"/>
        <w:ind w:left="0"/>
        <w:jc w:val="both"/>
        <w:rPr>
          <w:rFonts w:eastAsia="Verdana" w:cs="Verdana"/>
          <w:szCs w:val="18"/>
          <w:lang w:val="nl-NL"/>
        </w:rPr>
      </w:pPr>
    </w:p>
    <w:p w14:paraId="7C9D2BBD" w14:textId="705885D7" w:rsidR="006D7007" w:rsidRPr="00A33930" w:rsidRDefault="006D7007" w:rsidP="006D7007">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Doordat het een Verdrag betreft dat reeds door 20 Europese landen werd geratificeerd, mag de invloed ervan op de uitoefening van kinderrechten niet verwaarloosd worden. Het EVURK is een bindend Europees verdrag maar (nog) niet door België of Nederland ondertekend.</w:t>
      </w:r>
      <w:r w:rsidRPr="00A33930">
        <w:rPr>
          <w:rStyle w:val="Voetnootmarkering"/>
          <w:rFonts w:eastAsia="Verdana" w:cs="Verdana"/>
          <w:szCs w:val="18"/>
          <w:lang w:val="nl-NL"/>
        </w:rPr>
        <w:footnoteReference w:id="570"/>
      </w:r>
      <w:r w:rsidRPr="00A33930">
        <w:rPr>
          <w:rFonts w:eastAsia="Verdana" w:cs="Verdana"/>
          <w:szCs w:val="18"/>
          <w:lang w:val="nl-NL"/>
        </w:rPr>
        <w:t xml:space="preserve"> Duitsland ondertekende het EVURK op 25 december 2000, waarna het in werking is getreden op 1 augustus 2002.</w:t>
      </w:r>
      <w:r w:rsidRPr="00A33930">
        <w:rPr>
          <w:rStyle w:val="Voetnootmarkering"/>
          <w:rFonts w:eastAsia="Verdana" w:cs="Verdana"/>
          <w:szCs w:val="18"/>
          <w:lang w:val="nl-NL"/>
        </w:rPr>
        <w:footnoteReference w:id="571"/>
      </w:r>
      <w:r w:rsidRPr="00A33930">
        <w:rPr>
          <w:rFonts w:eastAsia="Verdana" w:cs="Verdana"/>
          <w:szCs w:val="18"/>
          <w:lang w:val="nl-NL"/>
        </w:rPr>
        <w:t xml:space="preserve"> Duitsland is echter niet verplicht gevolg te geven aan het EVURK. De uitwerking en toepassing van de bepalingen wordt overgelaten aan de interne wetgever. Zij moeten de wenselijkheid van de bepalingen enkel onderzoeken en overwegen in hun eigen rechtsstelsel.</w:t>
      </w:r>
      <w:r w:rsidRPr="00A33930">
        <w:rPr>
          <w:rStyle w:val="Voetnootmarkering"/>
          <w:rFonts w:eastAsia="Verdana" w:cs="Verdana"/>
          <w:szCs w:val="18"/>
          <w:lang w:val="nl-NL"/>
        </w:rPr>
        <w:footnoteReference w:id="572"/>
      </w:r>
      <w:r w:rsidRPr="00A33930">
        <w:rPr>
          <w:rFonts w:eastAsia="Verdana" w:cs="Verdana"/>
          <w:szCs w:val="18"/>
          <w:lang w:val="nl-NL"/>
        </w:rPr>
        <w:t xml:space="preserve"> Bovendien heeft het EVURK slechts een beperkt belang door de gelimiteerde toepassing in drie, </w:t>
      </w:r>
      <w:r w:rsidR="00F861CD" w:rsidRPr="00A33930">
        <w:rPr>
          <w:rFonts w:eastAsia="Verdana" w:cs="Verdana"/>
          <w:szCs w:val="18"/>
          <w:lang w:val="nl-NL"/>
        </w:rPr>
        <w:t xml:space="preserve">door </w:t>
      </w:r>
      <w:r w:rsidR="00F861CD" w:rsidRPr="00A33930">
        <w:rPr>
          <w:rFonts w:eastAsia="Verdana" w:cs="Verdana"/>
          <w:szCs w:val="18"/>
          <w:lang w:val="nl-NL"/>
        </w:rPr>
        <w:lastRenderedPageBreak/>
        <w:t>de Staat gekozen</w:t>
      </w:r>
      <w:r w:rsidRPr="00A33930">
        <w:rPr>
          <w:rFonts w:eastAsia="Verdana" w:cs="Verdana"/>
          <w:szCs w:val="18"/>
          <w:lang w:val="nl-NL"/>
        </w:rPr>
        <w:t>, familierechtelijke procedures die het kind aanbelangen.</w:t>
      </w:r>
      <w:r w:rsidRPr="00A33930">
        <w:rPr>
          <w:rStyle w:val="Voetnootmarkering"/>
          <w:rFonts w:eastAsia="Verdana" w:cs="Verdana"/>
          <w:szCs w:val="18"/>
          <w:lang w:val="nl-NL"/>
        </w:rPr>
        <w:footnoteReference w:id="573"/>
      </w:r>
      <w:r w:rsidRPr="00A33930">
        <w:rPr>
          <w:rFonts w:eastAsia="Verdana" w:cs="Verdana"/>
          <w:szCs w:val="18"/>
          <w:lang w:val="nl-NL"/>
        </w:rPr>
        <w:t xml:space="preserve"> Het kiezen van slechts drie familierechtelijke onderwerpen kan onmogelijk tot een positieve toepassing van het EVURK leiden. De verscheidenheid van interne wetgeving en het groot aantal familiale aangelegenheden zorgen voor een versplinterde bescherming van de kinderrechten. Het kind wordt hierdoor in de drie gekozen procedure</w:t>
      </w:r>
      <w:r w:rsidR="00F861CD" w:rsidRPr="00A33930">
        <w:rPr>
          <w:rFonts w:eastAsia="Verdana" w:cs="Verdana"/>
          <w:szCs w:val="18"/>
          <w:lang w:val="nl-NL"/>
        </w:rPr>
        <w:t>s</w:t>
      </w:r>
      <w:r w:rsidRPr="00A33930">
        <w:rPr>
          <w:rFonts w:eastAsia="Verdana" w:cs="Verdana"/>
          <w:szCs w:val="18"/>
          <w:lang w:val="nl-NL"/>
        </w:rPr>
        <w:t xml:space="preserve"> gezien als volwaardig rechtssubject, terwijl het in andere procedures terug in de vroegere “not-yet” benadering terechtkomt. </w:t>
      </w:r>
    </w:p>
    <w:p w14:paraId="34A3F05D" w14:textId="77777777" w:rsidR="006D7007" w:rsidRPr="00A33930" w:rsidRDefault="006D7007" w:rsidP="006D7007">
      <w:pPr>
        <w:pStyle w:val="Lijstalinea"/>
        <w:spacing w:before="200" w:after="0"/>
        <w:ind w:left="0"/>
        <w:jc w:val="both"/>
        <w:rPr>
          <w:rFonts w:eastAsia="Verdana" w:cs="Verdana"/>
          <w:szCs w:val="18"/>
          <w:lang w:val="nl-NL"/>
        </w:rPr>
      </w:pPr>
    </w:p>
    <w:p w14:paraId="5B833673" w14:textId="03F331DE" w:rsidR="006D7007" w:rsidRPr="00A33930" w:rsidRDefault="006D7007" w:rsidP="006D7007">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In zijn preambule maakt het EVURK een expliciete vermelding van het IVRK.</w:t>
      </w:r>
      <w:r w:rsidRPr="00A33930">
        <w:rPr>
          <w:rStyle w:val="Voetnootmarkering"/>
          <w:rFonts w:eastAsia="Verdana" w:cs="Verdana"/>
          <w:szCs w:val="18"/>
          <w:lang w:val="nl-NL"/>
        </w:rPr>
        <w:footnoteReference w:id="574"/>
      </w:r>
      <w:r w:rsidRPr="00A33930">
        <w:rPr>
          <w:rFonts w:eastAsia="Verdana" w:cs="Verdana"/>
          <w:szCs w:val="18"/>
          <w:lang w:val="nl-NL"/>
        </w:rPr>
        <w:t xml:space="preserve"> Enerzijds verleent het EVURK aan het kind procedurele rechten om zijn rechtsingang te vergemakkelijken, anderzijds legt het ook bepaalde verplichtingen op aan andere personen.</w:t>
      </w:r>
      <w:r w:rsidRPr="00A33930">
        <w:rPr>
          <w:rStyle w:val="Voetnootmarkering"/>
          <w:rFonts w:eastAsia="Verdana" w:cs="Verdana"/>
          <w:szCs w:val="18"/>
          <w:lang w:val="nl-NL"/>
        </w:rPr>
        <w:footnoteReference w:id="575"/>
      </w:r>
      <w:r w:rsidRPr="00A33930">
        <w:rPr>
          <w:rFonts w:eastAsia="Verdana" w:cs="Verdana"/>
          <w:szCs w:val="18"/>
          <w:lang w:val="nl-NL"/>
        </w:rPr>
        <w:t xml:space="preserve"> De nadruk ligt voornamelijk op de promotie en de uitoefening van de kinderrechten.</w:t>
      </w:r>
      <w:r w:rsidRPr="00A33930">
        <w:rPr>
          <w:rStyle w:val="Voetnootmarkering"/>
          <w:rFonts w:eastAsia="Verdana" w:cs="Verdana"/>
          <w:szCs w:val="18"/>
          <w:lang w:val="nl-NL"/>
        </w:rPr>
        <w:footnoteReference w:id="576"/>
      </w:r>
      <w:r w:rsidRPr="00A33930">
        <w:rPr>
          <w:rFonts w:eastAsia="Verdana" w:cs="Verdana"/>
          <w:szCs w:val="18"/>
          <w:lang w:val="nl-NL"/>
        </w:rPr>
        <w:t xml:space="preserve"> Echter benadrukt het EVURK hierbij tevens de functionele rol van het ouderlijk gezag.</w:t>
      </w:r>
      <w:r w:rsidRPr="00A33930">
        <w:rPr>
          <w:rStyle w:val="Voetnootmarkering"/>
          <w:rFonts w:eastAsia="Verdana" w:cs="Verdana"/>
          <w:szCs w:val="18"/>
          <w:lang w:val="nl-NL"/>
        </w:rPr>
        <w:footnoteReference w:id="577"/>
      </w:r>
      <w:r w:rsidRPr="00A33930">
        <w:rPr>
          <w:rFonts w:eastAsia="Verdana" w:cs="Verdana"/>
          <w:szCs w:val="18"/>
          <w:lang w:val="nl-NL"/>
        </w:rPr>
        <w:t xml:space="preserve"> Opgemerkt dient te worden dat de door het EVURK erkende rechten niet rechtstreeks aan het kind worden toegekend, dan wel onrechtstreeks via verplichtingen aan de overheden en bevoegde vertegenwoordigers zoals (pleeg)ouders. Het gaat om procedurele rechten die slechts in bepaalde situaties en ten aanzien van een beperkt aantal personen en instanties gelden.</w:t>
      </w:r>
      <w:r w:rsidRPr="00A33930">
        <w:rPr>
          <w:rStyle w:val="Voetnootmarkering"/>
          <w:rFonts w:eastAsia="Verdana" w:cs="Verdana"/>
          <w:szCs w:val="18"/>
          <w:lang w:val="nl-NL"/>
        </w:rPr>
        <w:footnoteReference w:id="578"/>
      </w:r>
      <w:r w:rsidRPr="00A33930">
        <w:rPr>
          <w:rFonts w:eastAsia="Verdana" w:cs="Verdana"/>
          <w:szCs w:val="18"/>
          <w:lang w:val="nl-NL"/>
        </w:rPr>
        <w:t xml:space="preserve"> Ondanks de eerder restrictieve benadering in het EVURK, werkt het wel mee aan de </w:t>
      </w:r>
      <w:r w:rsidRPr="00A33930">
        <w:rPr>
          <w:rFonts w:eastAsia="Verdana" w:cs="Verdana"/>
          <w:i/>
          <w:iCs/>
          <w:szCs w:val="18"/>
          <w:lang w:val="nl-NL"/>
        </w:rPr>
        <w:t>ratio legis</w:t>
      </w:r>
      <w:r w:rsidRPr="00A33930">
        <w:rPr>
          <w:rFonts w:eastAsia="Verdana" w:cs="Verdana"/>
          <w:szCs w:val="18"/>
          <w:lang w:val="nl-NL"/>
        </w:rPr>
        <w:t xml:space="preserve"> van het IVRK ter verbetering van de positie van het kind in samenhang met de huidige maatschappelijke opvattingen.</w:t>
      </w:r>
      <w:r w:rsidRPr="00A33930">
        <w:rPr>
          <w:rStyle w:val="Voetnootmarkering"/>
          <w:rFonts w:eastAsia="Verdana" w:cs="Verdana"/>
          <w:szCs w:val="18"/>
          <w:lang w:val="nl-NL"/>
        </w:rPr>
        <w:footnoteReference w:id="579"/>
      </w:r>
    </w:p>
    <w:p w14:paraId="027C6540" w14:textId="77777777" w:rsidR="006D7007" w:rsidRPr="00A33930" w:rsidRDefault="006D7007" w:rsidP="006D7007">
      <w:pPr>
        <w:pStyle w:val="Lijstalinea"/>
        <w:spacing w:before="200" w:after="0"/>
        <w:ind w:left="0"/>
        <w:jc w:val="both"/>
        <w:rPr>
          <w:rFonts w:eastAsia="Verdana" w:cs="Verdana"/>
          <w:szCs w:val="18"/>
          <w:lang w:val="nl-NL"/>
        </w:rPr>
      </w:pPr>
    </w:p>
    <w:p w14:paraId="53CCC2C0" w14:textId="77777777" w:rsidR="006D7007" w:rsidRPr="00A33930" w:rsidRDefault="006D7007" w:rsidP="006D7007">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Opmerkelijk is dat artikel 5 EVURK het kind expliciet aanduidt als rechtssubject.</w:t>
      </w:r>
      <w:r w:rsidRPr="00A33930">
        <w:rPr>
          <w:rStyle w:val="Voetnootmarkering"/>
          <w:rFonts w:eastAsia="Verdana" w:cs="Verdana"/>
          <w:szCs w:val="18"/>
          <w:lang w:val="nl-NL"/>
        </w:rPr>
        <w:footnoteReference w:id="580"/>
      </w:r>
      <w:r w:rsidRPr="00A33930">
        <w:rPr>
          <w:rFonts w:eastAsia="Verdana" w:cs="Verdana"/>
          <w:szCs w:val="18"/>
          <w:lang w:val="nl-NL"/>
        </w:rPr>
        <w:t xml:space="preserve"> Met artikel 5.d en c. EVURK heeft het kind het recht zijn eigen vertegenwoordiger aan te duiden in procedures die hem aanbelangen, ongeacht of er al dan niet sprake is van een belangenconflict.</w:t>
      </w:r>
      <w:r w:rsidRPr="00A33930">
        <w:rPr>
          <w:rStyle w:val="Voetnootmarkering"/>
          <w:rFonts w:eastAsia="Verdana" w:cs="Verdana"/>
          <w:szCs w:val="18"/>
          <w:lang w:val="nl-NL"/>
        </w:rPr>
        <w:footnoteReference w:id="581"/>
      </w:r>
      <w:r w:rsidRPr="00A33930">
        <w:rPr>
          <w:rFonts w:eastAsia="Verdana" w:cs="Verdana"/>
          <w:szCs w:val="18"/>
          <w:lang w:val="nl-NL"/>
        </w:rPr>
        <w:t xml:space="preserve"> Het EVURK benadrukt in samenhang met 5.d. EVURK de toenemende procesbekwaamheid van het kind, rekening houdend met de aanwezigheid van voldoende onderscheidingsvermogen.</w:t>
      </w:r>
      <w:r w:rsidRPr="00A33930">
        <w:rPr>
          <w:rStyle w:val="Voetnootmarkering"/>
          <w:rFonts w:eastAsia="Verdana" w:cs="Verdana"/>
          <w:szCs w:val="18"/>
          <w:lang w:val="nl-NL"/>
        </w:rPr>
        <w:footnoteReference w:id="582"/>
      </w:r>
      <w:r w:rsidRPr="00A33930">
        <w:rPr>
          <w:rFonts w:eastAsia="Verdana" w:cs="Verdana"/>
          <w:szCs w:val="18"/>
          <w:lang w:val="nl-NL"/>
        </w:rPr>
        <w:t xml:space="preserve"> </w:t>
      </w:r>
    </w:p>
    <w:p w14:paraId="71582BF2" w14:textId="77777777" w:rsidR="006D7007" w:rsidRPr="00A33930" w:rsidRDefault="006D7007" w:rsidP="006D7007">
      <w:pPr>
        <w:rPr>
          <w:rFonts w:eastAsia="Verdana" w:cs="Verdana"/>
          <w:szCs w:val="18"/>
          <w:lang w:val="nl-NL"/>
        </w:rPr>
      </w:pPr>
    </w:p>
    <w:p w14:paraId="5E9AC7D7" w14:textId="77777777" w:rsidR="006D7007" w:rsidRPr="00A33930" w:rsidRDefault="006D7007" w:rsidP="006D7007">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lastRenderedPageBreak/>
        <w:t>Indien Duitsland uitwerking geeft aan artikel 5 EVURK heeft dit gevolgen voor de uitoefening van de rechten door</w:t>
      </w:r>
      <w:r w:rsidRPr="00A33930">
        <w:rPr>
          <w:rFonts w:eastAsia="Verdana" w:cs="Verdana"/>
          <w:i/>
          <w:iCs/>
          <w:szCs w:val="18"/>
          <w:lang w:val="nl-NL"/>
        </w:rPr>
        <w:t xml:space="preserve"> </w:t>
      </w:r>
      <w:r w:rsidRPr="00A33930">
        <w:rPr>
          <w:rFonts w:eastAsia="Verdana" w:cs="Verdana"/>
          <w:szCs w:val="18"/>
          <w:lang w:val="nl-NL"/>
        </w:rPr>
        <w:t>het kind. Er blijft wel steeds enige beoordelingsmarge weggelegd voor de Verdragsstaat.</w:t>
      </w:r>
      <w:r w:rsidRPr="00A33930">
        <w:rPr>
          <w:rStyle w:val="Voetnootmarkering"/>
          <w:rFonts w:eastAsia="Verdana" w:cs="Verdana"/>
          <w:szCs w:val="18"/>
          <w:lang w:val="nl-NL"/>
        </w:rPr>
        <w:footnoteReference w:id="583"/>
      </w:r>
      <w:r w:rsidRPr="00A33930">
        <w:rPr>
          <w:rFonts w:eastAsia="Verdana" w:cs="Verdana"/>
          <w:szCs w:val="18"/>
          <w:lang w:val="nl-NL"/>
        </w:rPr>
        <w:t xml:space="preserve"> Dit valt te betreuren. Ondanks dat aan het kind verregaande rechten worden toegekend middels artikel 5 EVURK, waarbij het zelfs zover gaat als het toekennen van een soort zelfstandige procesbekwaamheid door de keuzevrijheid in vertegenwoordiging, is het mogelijk dat het kind zijn rechten in Duitsland niet volgens de bedoeling van het EVURK kan uitoefenen. Het EVURK verplicht zijn Verdragsstaten er enkel toe om de uitwerking en gevolgen van dit artikel te </w:t>
      </w:r>
      <w:r w:rsidRPr="00A33930">
        <w:rPr>
          <w:rFonts w:eastAsia="Verdana" w:cs="Verdana"/>
          <w:i/>
          <w:iCs/>
          <w:szCs w:val="18"/>
          <w:lang w:val="nl-NL"/>
        </w:rPr>
        <w:t>overwegen</w:t>
      </w:r>
      <w:r w:rsidRPr="00A33930">
        <w:rPr>
          <w:rFonts w:eastAsia="Verdana" w:cs="Verdana"/>
          <w:szCs w:val="18"/>
          <w:lang w:val="nl-NL"/>
        </w:rPr>
        <w:t>.</w:t>
      </w:r>
      <w:r w:rsidRPr="00A33930">
        <w:rPr>
          <w:rStyle w:val="Voetnootmarkering"/>
          <w:rFonts w:eastAsia="Verdana" w:cs="Verdana"/>
          <w:szCs w:val="18"/>
          <w:lang w:val="nl-NL"/>
        </w:rPr>
        <w:footnoteReference w:id="584"/>
      </w:r>
    </w:p>
    <w:p w14:paraId="72F176B8" w14:textId="77777777" w:rsidR="006D7007" w:rsidRPr="00A33930" w:rsidRDefault="006D7007" w:rsidP="006D7007">
      <w:pPr>
        <w:pStyle w:val="Lijstalinea"/>
        <w:rPr>
          <w:rFonts w:eastAsia="Verdana" w:cs="Verdana"/>
          <w:szCs w:val="18"/>
          <w:lang w:val="nl-NL"/>
        </w:rPr>
      </w:pPr>
    </w:p>
    <w:p w14:paraId="34645519" w14:textId="659FCA2A" w:rsidR="006D7007" w:rsidRPr="00A33930" w:rsidRDefault="006D7007" w:rsidP="006D7007">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 xml:space="preserve">Ondanks dat het EVURK de indruk wekt een vrij revolutionair instrument te zijn waarin rechten rechtstreeks worden toegekend aan het kind, heeft het Verdrag weinig meerwaarde in de praktijk. Het grootste belang van het EVURK is </w:t>
      </w:r>
      <w:r w:rsidR="00F861CD" w:rsidRPr="00A33930">
        <w:rPr>
          <w:rFonts w:eastAsia="Verdana" w:cs="Verdana"/>
          <w:szCs w:val="18"/>
          <w:lang w:val="nl-NL"/>
        </w:rPr>
        <w:t xml:space="preserve">dan ook </w:t>
      </w:r>
      <w:r w:rsidRPr="00A33930">
        <w:rPr>
          <w:rFonts w:eastAsia="Verdana" w:cs="Verdana"/>
          <w:szCs w:val="18"/>
          <w:lang w:val="nl-NL"/>
        </w:rPr>
        <w:t xml:space="preserve">weggelegd voor het gebruik ervan </w:t>
      </w:r>
      <w:r w:rsidR="00F861CD" w:rsidRPr="00A33930">
        <w:rPr>
          <w:rFonts w:eastAsia="Verdana" w:cs="Verdana"/>
          <w:szCs w:val="18"/>
          <w:lang w:val="nl-NL"/>
        </w:rPr>
        <w:t>binnen</w:t>
      </w:r>
      <w:r w:rsidRPr="00A33930">
        <w:rPr>
          <w:rFonts w:eastAsia="Verdana" w:cs="Verdana"/>
          <w:szCs w:val="18"/>
          <w:lang w:val="nl-NL"/>
        </w:rPr>
        <w:t xml:space="preserve"> het academisch debat.</w:t>
      </w:r>
    </w:p>
    <w:p w14:paraId="08217B6C" w14:textId="77777777" w:rsidR="006D7007" w:rsidRPr="00A33930" w:rsidRDefault="006D7007" w:rsidP="00F861CD">
      <w:pPr>
        <w:spacing w:before="360" w:after="240"/>
        <w:jc w:val="both"/>
        <w:rPr>
          <w:b/>
          <w:bCs/>
          <w:lang w:val="nl-NL"/>
        </w:rPr>
      </w:pPr>
      <w:r w:rsidRPr="00A33930">
        <w:rPr>
          <w:b/>
          <w:bCs/>
          <w:lang w:val="nl-NL"/>
        </w:rPr>
        <w:t>II.</w:t>
      </w:r>
      <w:r w:rsidRPr="00A33930">
        <w:rPr>
          <w:b/>
          <w:bCs/>
          <w:lang w:val="nl-NL"/>
        </w:rPr>
        <w:tab/>
        <w:t>Europees Verdrag inzake Contact met Kinderen</w:t>
      </w:r>
    </w:p>
    <w:p w14:paraId="0788A1D3" w14:textId="77777777" w:rsidR="006D7007" w:rsidRPr="00A33930" w:rsidRDefault="006D7007" w:rsidP="006D7007">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Op 15 mei 2003 werd binnen de RvE het Europees Verdrag inzake Contact met Kinderen aangenomen.</w:t>
      </w:r>
      <w:r w:rsidRPr="00A33930">
        <w:rPr>
          <w:vertAlign w:val="superscript"/>
          <w:lang w:val="nl-NL"/>
        </w:rPr>
        <w:footnoteReference w:id="585"/>
      </w:r>
      <w:r w:rsidRPr="00A33930">
        <w:rPr>
          <w:rFonts w:eastAsia="Verdana" w:cs="Verdana"/>
          <w:szCs w:val="18"/>
          <w:lang w:val="nl-NL"/>
        </w:rPr>
        <w:t xml:space="preserve"> Het Verdrag wordt opgesteld ter versterking van het recht op regelmatig persoonlijk contact van het kind, de ouders en andere familieleden.</w:t>
      </w:r>
      <w:r w:rsidRPr="00A33930">
        <w:rPr>
          <w:rStyle w:val="Voetnootmarkering"/>
          <w:rFonts w:eastAsia="Verdana" w:cs="Verdana"/>
          <w:szCs w:val="18"/>
          <w:lang w:val="nl-NL"/>
        </w:rPr>
        <w:footnoteReference w:id="586"/>
      </w:r>
      <w:r w:rsidRPr="00A33930">
        <w:rPr>
          <w:rFonts w:eastAsia="Verdana" w:cs="Verdana"/>
          <w:szCs w:val="18"/>
          <w:lang w:val="nl-NL"/>
        </w:rPr>
        <w:t xml:space="preserve"> Dit “contact” gaat verder dan enkel omgang en omvat bijvoorbeeld ook iedere vorm van communicatie met het kind.</w:t>
      </w:r>
      <w:r w:rsidRPr="00A33930">
        <w:rPr>
          <w:rStyle w:val="Voetnootmarkering"/>
          <w:rFonts w:eastAsia="Verdana" w:cs="Verdana"/>
          <w:szCs w:val="18"/>
          <w:lang w:val="nl-NL"/>
        </w:rPr>
        <w:footnoteReference w:id="587"/>
      </w:r>
      <w:r w:rsidRPr="00A33930">
        <w:rPr>
          <w:rFonts w:eastAsia="Verdana" w:cs="Verdana"/>
          <w:szCs w:val="18"/>
          <w:lang w:val="nl-NL"/>
        </w:rPr>
        <w:t xml:space="preserve"> De uniforme toepassing van de rechten uit internationale instrumenten wordt via dit Verdrag op Europees niveau bevorderd door een regeling te treffen die de lokale en transnationale geschillen overstijgt. Het Verdrag voorziet in algemene principes die van toepassing zijn op contactovereenkomsten. Dat verklaart de grote overeenstemming met de bepalingen uit het IVRK.</w:t>
      </w:r>
    </w:p>
    <w:p w14:paraId="1FB4C8FC" w14:textId="77777777" w:rsidR="006D7007" w:rsidRPr="00A33930" w:rsidRDefault="006D7007" w:rsidP="006D7007">
      <w:pPr>
        <w:pStyle w:val="Lijstalinea"/>
        <w:spacing w:before="200" w:after="0"/>
        <w:ind w:left="0"/>
        <w:jc w:val="both"/>
        <w:rPr>
          <w:rFonts w:eastAsia="Verdana" w:cs="Verdana"/>
          <w:szCs w:val="18"/>
          <w:lang w:val="nl-NL"/>
        </w:rPr>
      </w:pPr>
    </w:p>
    <w:p w14:paraId="758F4143" w14:textId="77777777" w:rsidR="006D7007" w:rsidRPr="00A33930" w:rsidRDefault="006D7007" w:rsidP="006D7007">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Het Verdrag is door 19 lidstaten ondertekend, waarvan slechts 9 Staten effectief overgingen tot ratificatie. Nederland en Duitsland gingen nog niet over tot ondertekening van dit Verdrag. België ondertekende het Verdrag in 2003, maar het is nog steeds niet geratificeerd.</w:t>
      </w:r>
      <w:r w:rsidRPr="00A33930">
        <w:rPr>
          <w:vertAlign w:val="superscript"/>
          <w:lang w:val="nl-NL"/>
        </w:rPr>
        <w:footnoteReference w:id="588"/>
      </w:r>
      <w:r w:rsidRPr="00A33930">
        <w:rPr>
          <w:rFonts w:eastAsia="Verdana" w:cs="Verdana"/>
          <w:szCs w:val="18"/>
          <w:lang w:val="nl-NL"/>
        </w:rPr>
        <w:t xml:space="preserve"> Het positieve hieraan is dat België zo wel laat zien dat het nieuw Verdrag enig belang heeft.</w:t>
      </w:r>
    </w:p>
    <w:p w14:paraId="13C79FC1" w14:textId="77777777" w:rsidR="006D7007" w:rsidRPr="00A33930" w:rsidRDefault="006D7007" w:rsidP="006D7007">
      <w:pPr>
        <w:pStyle w:val="Lijstalinea"/>
        <w:spacing w:before="200" w:after="0"/>
        <w:ind w:left="0"/>
        <w:jc w:val="both"/>
        <w:rPr>
          <w:rFonts w:eastAsia="Verdana" w:cs="Verdana"/>
          <w:szCs w:val="18"/>
          <w:lang w:val="nl-NL"/>
        </w:rPr>
      </w:pPr>
    </w:p>
    <w:p w14:paraId="2F659341" w14:textId="79754078" w:rsidR="006D7007" w:rsidRPr="00A33930" w:rsidRDefault="006D7007" w:rsidP="006D7007">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Rekening houdend met artikel 9 IVRK wordt het kind in dit Verdrag beschouwd als titularis van eigen rechten, als rechtssubject.</w:t>
      </w:r>
      <w:r w:rsidRPr="00A33930">
        <w:rPr>
          <w:rStyle w:val="Voetnootmarkering"/>
          <w:rFonts w:eastAsia="Verdana" w:cs="Verdana"/>
          <w:szCs w:val="18"/>
          <w:lang w:val="nl-NL"/>
        </w:rPr>
        <w:footnoteReference w:id="589"/>
      </w:r>
      <w:r w:rsidRPr="00A33930">
        <w:rPr>
          <w:rFonts w:eastAsia="Verdana" w:cs="Verdana"/>
          <w:szCs w:val="18"/>
          <w:lang w:val="nl-NL"/>
        </w:rPr>
        <w:t xml:space="preserve"> Het beoogt in (grensoverschrijdende) gevallen de rechten </w:t>
      </w:r>
      <w:r w:rsidRPr="00A33930">
        <w:rPr>
          <w:rFonts w:eastAsia="Verdana" w:cs="Verdana"/>
          <w:szCs w:val="18"/>
          <w:lang w:val="nl-NL"/>
        </w:rPr>
        <w:lastRenderedPageBreak/>
        <w:t>van het kind op regelmatig contact te versterken door het invoeren van basisprincipes.</w:t>
      </w:r>
      <w:r w:rsidRPr="00A33930">
        <w:rPr>
          <w:rStyle w:val="Voetnootmarkering"/>
          <w:rFonts w:eastAsia="Verdana" w:cs="Verdana"/>
          <w:szCs w:val="18"/>
          <w:lang w:val="nl-NL"/>
        </w:rPr>
        <w:footnoteReference w:id="590"/>
      </w:r>
      <w:r w:rsidRPr="00A33930">
        <w:rPr>
          <w:rFonts w:eastAsia="Verdana" w:cs="Verdana"/>
          <w:szCs w:val="18"/>
          <w:lang w:val="nl-NL"/>
        </w:rPr>
        <w:t xml:space="preserve"> In het Verdrag wordt niet langer gekozen voor de bewoording “omgang ten aanzien van een kind”</w:t>
      </w:r>
      <w:r w:rsidRPr="00A33930">
        <w:rPr>
          <w:rStyle w:val="Voetnootmarkering"/>
          <w:rFonts w:eastAsia="Verdana" w:cs="Verdana"/>
          <w:szCs w:val="18"/>
          <w:lang w:val="nl-NL"/>
        </w:rPr>
        <w:footnoteReference w:id="591"/>
      </w:r>
      <w:r w:rsidRPr="00A33930">
        <w:rPr>
          <w:rFonts w:eastAsia="Verdana" w:cs="Verdana"/>
          <w:szCs w:val="18"/>
          <w:lang w:val="nl-NL"/>
        </w:rPr>
        <w:t xml:space="preserve"> maar wel “contact aangaande kinderen”</w:t>
      </w:r>
      <w:r w:rsidRPr="00A33930">
        <w:rPr>
          <w:rStyle w:val="Voetnootmarkering"/>
          <w:rFonts w:eastAsia="Verdana" w:cs="Verdana"/>
          <w:szCs w:val="18"/>
          <w:lang w:val="nl-NL"/>
        </w:rPr>
        <w:footnoteReference w:id="592"/>
      </w:r>
      <w:r w:rsidRPr="00A33930">
        <w:rPr>
          <w:rFonts w:eastAsia="Verdana" w:cs="Verdana"/>
          <w:szCs w:val="18"/>
          <w:lang w:val="nl-NL"/>
        </w:rPr>
        <w:t xml:space="preserve"> waarmee extra aandacht wordt gevestigd op de subjectgedachte bij de toepassing van het Verdrag.</w:t>
      </w:r>
      <w:r w:rsidRPr="00A33930">
        <w:rPr>
          <w:rStyle w:val="Voetnootmarkering"/>
          <w:rFonts w:eastAsia="Verdana" w:cs="Verdana"/>
          <w:szCs w:val="18"/>
          <w:lang w:val="nl-NL"/>
        </w:rPr>
        <w:footnoteReference w:id="593"/>
      </w:r>
      <w:r w:rsidRPr="00A33930">
        <w:rPr>
          <w:rFonts w:eastAsia="Verdana" w:cs="Verdana"/>
          <w:szCs w:val="18"/>
          <w:lang w:val="nl-NL"/>
        </w:rPr>
        <w:t xml:space="preserve"> Bovendien worden procedurele rechten van het kind</w:t>
      </w:r>
      <w:r w:rsidR="00F861CD" w:rsidRPr="00A33930">
        <w:rPr>
          <w:rFonts w:eastAsia="Verdana" w:cs="Verdana"/>
          <w:szCs w:val="18"/>
          <w:lang w:val="nl-NL"/>
        </w:rPr>
        <w:t xml:space="preserve">, </w:t>
      </w:r>
      <w:r w:rsidRPr="00A33930">
        <w:rPr>
          <w:rFonts w:eastAsia="Verdana" w:cs="Verdana"/>
          <w:szCs w:val="18"/>
          <w:lang w:val="nl-NL"/>
        </w:rPr>
        <w:t>reeds vervat in het EVURK</w:t>
      </w:r>
      <w:r w:rsidR="00F861CD" w:rsidRPr="00A33930">
        <w:rPr>
          <w:rFonts w:eastAsia="Verdana" w:cs="Verdana"/>
          <w:szCs w:val="18"/>
          <w:lang w:val="nl-NL"/>
        </w:rPr>
        <w:t>,</w:t>
      </w:r>
      <w:r w:rsidRPr="00A33930">
        <w:rPr>
          <w:rFonts w:eastAsia="Verdana" w:cs="Verdana"/>
          <w:szCs w:val="18"/>
          <w:lang w:val="nl-NL"/>
        </w:rPr>
        <w:t xml:space="preserve"> bevestigd. </w:t>
      </w:r>
    </w:p>
    <w:p w14:paraId="10A59A88" w14:textId="77777777" w:rsidR="006D7007" w:rsidRPr="00A33930" w:rsidRDefault="006D7007" w:rsidP="006D7007">
      <w:pPr>
        <w:pStyle w:val="Lijstalinea"/>
        <w:spacing w:before="200" w:after="0"/>
        <w:ind w:left="0"/>
        <w:jc w:val="both"/>
        <w:rPr>
          <w:rFonts w:eastAsia="Verdana" w:cs="Verdana"/>
          <w:szCs w:val="18"/>
          <w:lang w:val="nl-NL"/>
        </w:rPr>
      </w:pPr>
    </w:p>
    <w:p w14:paraId="5A06F036" w14:textId="77777777" w:rsidR="00F861CD" w:rsidRPr="00A33930" w:rsidRDefault="006D7007" w:rsidP="006D7007">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Inzake het recht op persoonlijk contact gaat artikel 4.1 uit van een wederkerig, regelmatig recht op persoonlijk contact tussen kind en ouders.</w:t>
      </w:r>
      <w:r w:rsidRPr="00A33930">
        <w:rPr>
          <w:rStyle w:val="Voetnootmarkering"/>
          <w:rFonts w:eastAsia="Verdana" w:cs="Verdana"/>
          <w:szCs w:val="18"/>
          <w:lang w:val="nl-NL"/>
        </w:rPr>
        <w:footnoteReference w:id="594"/>
      </w:r>
      <w:r w:rsidRPr="00A33930">
        <w:rPr>
          <w:rFonts w:eastAsia="Verdana" w:cs="Verdana"/>
          <w:szCs w:val="18"/>
          <w:lang w:val="nl-NL"/>
        </w:rPr>
        <w:t xml:space="preserve"> Merk hierbij op dat de toelichting dit recht bestempelt als een fundamenteel recht.</w:t>
      </w:r>
      <w:r w:rsidRPr="00A33930">
        <w:rPr>
          <w:rStyle w:val="Voetnootmarkering"/>
          <w:rFonts w:eastAsia="Verdana" w:cs="Verdana"/>
          <w:szCs w:val="18"/>
          <w:lang w:val="nl-NL"/>
        </w:rPr>
        <w:footnoteReference w:id="595"/>
      </w:r>
      <w:r w:rsidRPr="00A33930">
        <w:rPr>
          <w:rFonts w:eastAsia="Verdana" w:cs="Verdana"/>
          <w:szCs w:val="18"/>
          <w:lang w:val="nl-NL"/>
        </w:rPr>
        <w:t xml:space="preserve"> Er wordt door artikel 4.1 bepaal</w:t>
      </w:r>
      <w:r w:rsidR="00F861CD" w:rsidRPr="00A33930">
        <w:rPr>
          <w:rFonts w:eastAsia="Verdana" w:cs="Verdana"/>
          <w:szCs w:val="18"/>
          <w:lang w:val="nl-NL"/>
        </w:rPr>
        <w:t>d</w:t>
      </w:r>
      <w:r w:rsidRPr="00A33930">
        <w:rPr>
          <w:rFonts w:eastAsia="Verdana" w:cs="Verdana"/>
          <w:szCs w:val="18"/>
          <w:lang w:val="nl-NL"/>
        </w:rPr>
        <w:t xml:space="preserve"> dat een kind en zijn of haar ouders het recht hebben om regelmatig contact met elkaar te onderhouden. Weigering van dit contactrecht is enkel toegestaan indien dit in het belang van het kind is.</w:t>
      </w:r>
      <w:r w:rsidRPr="00A33930">
        <w:rPr>
          <w:rStyle w:val="Voetnootmarkering"/>
          <w:rFonts w:eastAsia="Verdana" w:cs="Verdana"/>
          <w:szCs w:val="18"/>
          <w:lang w:val="nl-NL"/>
        </w:rPr>
        <w:footnoteReference w:id="596"/>
      </w:r>
      <w:r w:rsidRPr="00A33930">
        <w:rPr>
          <w:rFonts w:eastAsia="Verdana" w:cs="Verdana"/>
          <w:szCs w:val="18"/>
          <w:lang w:val="nl-NL"/>
        </w:rPr>
        <w:t xml:space="preserve"> De artikelen 4.1 en 4.2 lijken te impliceren dat gedwongen contact met het kind mogelijk is.</w:t>
      </w:r>
      <w:r w:rsidRPr="00A33930">
        <w:rPr>
          <w:rStyle w:val="Voetnootmarkering"/>
          <w:rFonts w:eastAsia="Verdana" w:cs="Verdana"/>
          <w:szCs w:val="18"/>
          <w:lang w:val="nl-NL"/>
        </w:rPr>
        <w:footnoteReference w:id="597"/>
      </w:r>
      <w:r w:rsidRPr="00A33930">
        <w:rPr>
          <w:rFonts w:eastAsia="Verdana" w:cs="Verdana"/>
          <w:szCs w:val="18"/>
          <w:lang w:val="nl-NL"/>
        </w:rPr>
        <w:t xml:space="preserve"> </w:t>
      </w:r>
    </w:p>
    <w:p w14:paraId="573A3071" w14:textId="77777777" w:rsidR="00F861CD" w:rsidRPr="00A33930" w:rsidRDefault="00F861CD" w:rsidP="00F861CD">
      <w:pPr>
        <w:pStyle w:val="Lijstalinea"/>
        <w:rPr>
          <w:rFonts w:eastAsia="Verdana" w:cs="Verdana"/>
          <w:szCs w:val="18"/>
          <w:lang w:val="nl-NL"/>
        </w:rPr>
      </w:pPr>
    </w:p>
    <w:p w14:paraId="2B9795C0" w14:textId="6F9C4B70" w:rsidR="006D7007" w:rsidRPr="00A33930" w:rsidRDefault="006D7007" w:rsidP="00F861CD">
      <w:pPr>
        <w:pStyle w:val="Lijstalinea"/>
        <w:spacing w:before="200" w:after="0"/>
        <w:ind w:left="0"/>
        <w:jc w:val="both"/>
        <w:rPr>
          <w:rFonts w:eastAsia="Verdana" w:cs="Verdana"/>
          <w:szCs w:val="18"/>
          <w:lang w:val="nl-NL"/>
        </w:rPr>
      </w:pPr>
      <w:r w:rsidRPr="00A33930">
        <w:rPr>
          <w:rFonts w:eastAsia="Verdana" w:cs="Verdana"/>
          <w:szCs w:val="18"/>
          <w:lang w:val="nl-NL"/>
        </w:rPr>
        <w:t>Met artikel 5 wordt eveneens bepaald dat het recht op persoonlijk contact niet enkel gegarandeerd moet worden ten opzichte van de ouders maar ook ten opzichte derden waarmee het kind een familiale band heeft.</w:t>
      </w:r>
      <w:r w:rsidRPr="00A33930">
        <w:rPr>
          <w:rStyle w:val="Voetnootmarkering"/>
          <w:rFonts w:eastAsia="Verdana" w:cs="Verdana"/>
          <w:szCs w:val="18"/>
          <w:lang w:val="nl-NL"/>
        </w:rPr>
        <w:footnoteReference w:id="598"/>
      </w:r>
      <w:r w:rsidRPr="00A33930">
        <w:rPr>
          <w:rFonts w:eastAsia="Verdana" w:cs="Verdana"/>
          <w:szCs w:val="18"/>
          <w:lang w:val="nl-NL"/>
        </w:rPr>
        <w:t xml:space="preserve"> Hiermee wordt het recht op persoonlijk contact ten aanzien van bijvoorbeeld grootouders, pleegouders, stiefouders, broers en zussen nogmaals op Europees niveau bevestigd. De familiale band wordt in dit Verdrag begrepen zoals bepaald in artikel 8.1 EVRM en de toepassing door het EHRM. </w:t>
      </w:r>
    </w:p>
    <w:p w14:paraId="13C96C05" w14:textId="77777777" w:rsidR="006D7007" w:rsidRPr="00A33930" w:rsidRDefault="006D7007" w:rsidP="006D7007">
      <w:pPr>
        <w:pStyle w:val="Lijstalinea"/>
        <w:spacing w:before="200" w:after="0"/>
        <w:ind w:left="0"/>
        <w:jc w:val="both"/>
        <w:rPr>
          <w:rFonts w:eastAsia="Verdana" w:cs="Verdana"/>
          <w:szCs w:val="18"/>
          <w:lang w:val="nl-NL"/>
        </w:rPr>
      </w:pPr>
    </w:p>
    <w:p w14:paraId="7158A191" w14:textId="77777777" w:rsidR="006D7007" w:rsidRPr="00A33930" w:rsidRDefault="006D7007" w:rsidP="006D7007">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Het Verdrag is van toepassing op iedere minderjarige tot een leeftijd van 18 jaar.</w:t>
      </w:r>
      <w:r w:rsidRPr="00A33930">
        <w:rPr>
          <w:rStyle w:val="Voetnootmarkering"/>
          <w:rFonts w:eastAsia="Verdana" w:cs="Verdana"/>
          <w:szCs w:val="18"/>
          <w:lang w:val="nl-NL"/>
        </w:rPr>
        <w:footnoteReference w:id="599"/>
      </w:r>
      <w:r w:rsidRPr="00A33930">
        <w:rPr>
          <w:rFonts w:eastAsia="Verdana" w:cs="Verdana"/>
          <w:szCs w:val="18"/>
          <w:lang w:val="nl-NL"/>
        </w:rPr>
        <w:t xml:space="preserve"> Vanwege de toepassing van dit Verdrag tot het bereiken van een volwassen leeftijd, zijn Verdragsstaten vrij te beslissen hoe binnen het eigen rechtsstelsel het belang van het kind en zijn ontwikkelende </w:t>
      </w:r>
      <w:r w:rsidRPr="00A33930">
        <w:rPr>
          <w:rFonts w:eastAsia="Verdana" w:cs="Verdana"/>
          <w:szCs w:val="18"/>
          <w:lang w:val="nl-NL"/>
        </w:rPr>
        <w:lastRenderedPageBreak/>
        <w:t>vermogens moeten worden beoordeeld.</w:t>
      </w:r>
      <w:r w:rsidRPr="00A33930">
        <w:rPr>
          <w:rStyle w:val="Voetnootmarkering"/>
          <w:rFonts w:eastAsia="Verdana" w:cs="Verdana"/>
          <w:szCs w:val="18"/>
          <w:lang w:val="nl-NL"/>
        </w:rPr>
        <w:footnoteReference w:id="600"/>
      </w:r>
      <w:r w:rsidRPr="00A33930">
        <w:rPr>
          <w:rFonts w:eastAsia="Verdana" w:cs="Verdana"/>
          <w:szCs w:val="18"/>
          <w:lang w:val="nl-NL"/>
        </w:rPr>
        <w:t xml:space="preserve"> Er is dus een zekere appreciatiemarge weggelegd voor de Verdragstaten.</w:t>
      </w:r>
      <w:r w:rsidRPr="00A33930">
        <w:rPr>
          <w:rStyle w:val="Voetnootmarkering"/>
          <w:rFonts w:eastAsia="Verdana" w:cs="Verdana"/>
          <w:szCs w:val="18"/>
          <w:lang w:val="nl-NL"/>
        </w:rPr>
        <w:footnoteReference w:id="601"/>
      </w:r>
      <w:r w:rsidRPr="00A33930">
        <w:rPr>
          <w:rFonts w:eastAsia="Verdana" w:cs="Verdana"/>
          <w:szCs w:val="18"/>
          <w:lang w:val="nl-NL"/>
        </w:rPr>
        <w:t xml:space="preserve"> Zij blijven wel gebonden door de uitspraken van het EHRM met betrekking tot artikel 8.1 EVRM.</w:t>
      </w:r>
      <w:r w:rsidRPr="00A33930">
        <w:rPr>
          <w:rStyle w:val="Voetnootmarkering"/>
          <w:rFonts w:eastAsia="Verdana" w:cs="Verdana"/>
          <w:szCs w:val="18"/>
          <w:lang w:val="nl-NL"/>
        </w:rPr>
        <w:footnoteReference w:id="602"/>
      </w:r>
      <w:r w:rsidRPr="00A33930">
        <w:rPr>
          <w:rFonts w:eastAsia="Verdana" w:cs="Verdana"/>
          <w:szCs w:val="18"/>
          <w:lang w:val="nl-NL"/>
        </w:rPr>
        <w:t xml:space="preserve"> In de Toelichting wordt eveneens melding gemaakt van een aantal beoordelingselementen die de Verdragsstaten moeten gebruiken om een weigering te rechtvaardigen, zijnde het niet-voorhanden hebben van een minder restrictieve oplossing, de proportionaliteit en noodzakelijkheid.</w:t>
      </w:r>
      <w:r w:rsidRPr="00A33930">
        <w:rPr>
          <w:rStyle w:val="Voetnootmarkering"/>
          <w:rFonts w:eastAsia="Verdana" w:cs="Verdana"/>
          <w:szCs w:val="18"/>
          <w:lang w:val="nl-NL"/>
        </w:rPr>
        <w:footnoteReference w:id="603"/>
      </w:r>
      <w:r w:rsidRPr="00A33930">
        <w:rPr>
          <w:rFonts w:eastAsia="Verdana" w:cs="Verdana"/>
          <w:szCs w:val="18"/>
          <w:lang w:val="nl-NL"/>
        </w:rPr>
        <w:t xml:space="preserve"> </w:t>
      </w:r>
    </w:p>
    <w:p w14:paraId="703B2811" w14:textId="77777777" w:rsidR="006D7007" w:rsidRPr="00A33930" w:rsidRDefault="006D7007" w:rsidP="006D7007">
      <w:pPr>
        <w:pStyle w:val="Lijstalinea"/>
        <w:spacing w:before="200" w:after="0"/>
        <w:ind w:left="0"/>
        <w:jc w:val="both"/>
        <w:rPr>
          <w:rFonts w:eastAsia="Verdana" w:cs="Verdana"/>
          <w:szCs w:val="18"/>
          <w:lang w:val="nl-NL"/>
        </w:rPr>
      </w:pPr>
    </w:p>
    <w:p w14:paraId="04F8481A" w14:textId="6BC2E153" w:rsidR="00F861CD" w:rsidRPr="00A33930" w:rsidRDefault="006D7007" w:rsidP="006D7007">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Dit Verdrag, waarin afstand wordt gedaan van de objectgedachte van het kind, vindt tot op heden geen rechtsingang in het Belgisch, Nederlands of Duits recht. Dit is m</w:t>
      </w:r>
      <w:r w:rsidR="00387759" w:rsidRPr="00A33930">
        <w:rPr>
          <w:rFonts w:eastAsia="Verdana" w:cs="Verdana"/>
          <w:szCs w:val="18"/>
          <w:lang w:val="nl-NL"/>
        </w:rPr>
        <w:t>ijns inziens</w:t>
      </w:r>
      <w:r w:rsidRPr="00A33930">
        <w:rPr>
          <w:rFonts w:eastAsia="Verdana" w:cs="Verdana"/>
          <w:szCs w:val="18"/>
          <w:lang w:val="nl-NL"/>
        </w:rPr>
        <w:t xml:space="preserve"> aanvaardbaar. Het volledig Europees Contactverdrag steunt duidelijk op het IVRK door de grote overeenstemming met de visie en bepalingen. In de toelichting wordt er tevens op gewezen dat dit Verdrag niet raakt aan de verplichtingen van de Verdragsstaten onder andere internationale instrumenten.</w:t>
      </w:r>
      <w:r w:rsidRPr="00A33930">
        <w:rPr>
          <w:rStyle w:val="Voetnootmarkering"/>
          <w:rFonts w:eastAsia="Verdana" w:cs="Verdana"/>
          <w:szCs w:val="18"/>
          <w:lang w:val="nl-NL"/>
        </w:rPr>
        <w:footnoteReference w:id="604"/>
      </w:r>
      <w:r w:rsidRPr="00A33930">
        <w:rPr>
          <w:rFonts w:eastAsia="Verdana" w:cs="Verdana"/>
          <w:szCs w:val="18"/>
          <w:lang w:val="nl-NL"/>
        </w:rPr>
        <w:t xml:space="preserve"> Zij moeten de verplichtingen uit het IVRK en het EVRM dus blijven naleven. </w:t>
      </w:r>
    </w:p>
    <w:p w14:paraId="43F2B455" w14:textId="77777777" w:rsidR="00F861CD" w:rsidRPr="00A33930" w:rsidRDefault="00F861CD" w:rsidP="00F861CD">
      <w:pPr>
        <w:pStyle w:val="Lijstalinea"/>
        <w:rPr>
          <w:rFonts w:eastAsia="Verdana" w:cs="Verdana"/>
          <w:szCs w:val="18"/>
          <w:lang w:val="nl-NL"/>
        </w:rPr>
      </w:pPr>
    </w:p>
    <w:p w14:paraId="287CFFB3" w14:textId="4FD6F816" w:rsidR="006D7007" w:rsidRPr="00A33930" w:rsidRDefault="006D7007" w:rsidP="00F861CD">
      <w:pPr>
        <w:pStyle w:val="Lijstalinea"/>
        <w:spacing w:before="200" w:after="0"/>
        <w:ind w:left="0"/>
        <w:jc w:val="both"/>
        <w:rPr>
          <w:rFonts w:eastAsia="Verdana" w:cs="Verdana"/>
          <w:szCs w:val="18"/>
          <w:lang w:val="nl-NL"/>
        </w:rPr>
      </w:pPr>
      <w:r w:rsidRPr="00A33930">
        <w:rPr>
          <w:rFonts w:eastAsia="Verdana" w:cs="Verdana"/>
          <w:szCs w:val="18"/>
          <w:lang w:val="nl-NL"/>
        </w:rPr>
        <w:t>De ondertekening van dit Contactverdrag door België geeft m</w:t>
      </w:r>
      <w:r w:rsidR="00F861CD" w:rsidRPr="00A33930">
        <w:rPr>
          <w:rFonts w:eastAsia="Verdana" w:cs="Verdana"/>
          <w:szCs w:val="18"/>
          <w:lang w:val="nl-NL"/>
        </w:rPr>
        <w:t xml:space="preserve">ijns inziens </w:t>
      </w:r>
      <w:r w:rsidRPr="00A33930">
        <w:rPr>
          <w:rFonts w:eastAsia="Verdana" w:cs="Verdana"/>
          <w:szCs w:val="18"/>
          <w:lang w:val="nl-NL"/>
        </w:rPr>
        <w:t>voornamelijk weer dat België (opnieuw) bevestigt akkoord te gaan met de subjectgedachte omschreven in dit Verdrag. Het ondertekenen van dit Verdrag betreft m</w:t>
      </w:r>
      <w:r w:rsidR="00F861CD" w:rsidRPr="00A33930">
        <w:rPr>
          <w:rFonts w:eastAsia="Verdana" w:cs="Verdana"/>
          <w:szCs w:val="18"/>
          <w:lang w:val="nl-NL"/>
        </w:rPr>
        <w:t>ijns inziens</w:t>
      </w:r>
      <w:r w:rsidRPr="00A33930">
        <w:rPr>
          <w:rFonts w:eastAsia="Verdana" w:cs="Verdana"/>
          <w:szCs w:val="18"/>
          <w:lang w:val="nl-NL"/>
        </w:rPr>
        <w:t xml:space="preserve"> dus een politiek statement en geeft een blijk van inzet voor kinderrechten.</w:t>
      </w:r>
    </w:p>
    <w:p w14:paraId="5E6A42AD" w14:textId="77777777" w:rsidR="006D7007" w:rsidRPr="00A33930" w:rsidRDefault="006D7007" w:rsidP="00F861CD">
      <w:pPr>
        <w:spacing w:before="360" w:after="240"/>
        <w:jc w:val="both"/>
        <w:rPr>
          <w:b/>
          <w:bCs/>
          <w:lang w:val="nl-NL"/>
        </w:rPr>
      </w:pPr>
      <w:r w:rsidRPr="00A33930">
        <w:rPr>
          <w:b/>
          <w:bCs/>
          <w:lang w:val="nl-NL"/>
        </w:rPr>
        <w:t>III.</w:t>
      </w:r>
      <w:r w:rsidRPr="00A33930">
        <w:rPr>
          <w:b/>
          <w:bCs/>
          <w:lang w:val="nl-NL"/>
        </w:rPr>
        <w:tab/>
        <w:t>Handvest van de Grondrechten van de Europese Unie</w:t>
      </w:r>
    </w:p>
    <w:p w14:paraId="2D8CE015" w14:textId="77777777" w:rsidR="006D7007" w:rsidRPr="00A33930" w:rsidRDefault="006D7007" w:rsidP="006D7007">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Het Handvest van de Grondrechten van de Europese Unie</w:t>
      </w:r>
      <w:r w:rsidRPr="00A33930">
        <w:rPr>
          <w:rFonts w:eastAsia="Verdana" w:cs="Verdana"/>
          <w:szCs w:val="18"/>
          <w:vertAlign w:val="superscript"/>
          <w:lang w:val="nl-NL"/>
        </w:rPr>
        <w:footnoteReference w:id="605"/>
      </w:r>
      <w:r w:rsidRPr="00A33930">
        <w:rPr>
          <w:rFonts w:eastAsia="Verdana" w:cs="Verdana"/>
          <w:szCs w:val="18"/>
          <w:lang w:val="nl-NL"/>
        </w:rPr>
        <w:t xml:space="preserve"> waarborgt sinds 2000, mits aanpassing op 12 december 2007, een brede waaier aan kinderrechten voor alle EU-lidstaten.</w:t>
      </w:r>
      <w:r w:rsidRPr="00A33930">
        <w:rPr>
          <w:rFonts w:eastAsia="Verdana" w:cs="Verdana"/>
          <w:szCs w:val="18"/>
          <w:vertAlign w:val="superscript"/>
          <w:lang w:val="nl-NL"/>
        </w:rPr>
        <w:footnoteReference w:id="606"/>
      </w:r>
      <w:r w:rsidRPr="00A33930">
        <w:rPr>
          <w:rFonts w:eastAsia="Verdana" w:cs="Verdana"/>
          <w:szCs w:val="18"/>
          <w:lang w:val="nl-NL"/>
        </w:rPr>
        <w:t xml:space="preserve"> Het HvEU schrijft rechten neer die voortvloeien uit de gemeenschappelijke constitutionele tradities en de internationale verplichtingen van de lidstaten, zoals het EVRM en IVRK.</w:t>
      </w:r>
      <w:r w:rsidRPr="00A33930">
        <w:rPr>
          <w:rStyle w:val="Voetnootmarkering"/>
          <w:rFonts w:eastAsia="Verdana" w:cs="Verdana"/>
          <w:szCs w:val="18"/>
          <w:lang w:val="nl-NL"/>
        </w:rPr>
        <w:footnoteReference w:id="607"/>
      </w:r>
      <w:r w:rsidRPr="00A33930">
        <w:rPr>
          <w:rFonts w:eastAsia="Verdana" w:cs="Verdana"/>
          <w:szCs w:val="18"/>
          <w:lang w:val="nl-NL"/>
        </w:rPr>
        <w:t xml:space="preserve"> De rechten in dit Handvest kunnen door eenieder worden ingeroepen. Met artikel 3 VEU wordt tevens vastgelegd dat de EU de bescherming van de rechten van het kind moet bevorderen.</w:t>
      </w:r>
    </w:p>
    <w:p w14:paraId="107D5B6D" w14:textId="77777777" w:rsidR="006D7007" w:rsidRPr="00A33930" w:rsidRDefault="006D7007" w:rsidP="006D7007">
      <w:pPr>
        <w:pStyle w:val="Lijstalinea"/>
        <w:spacing w:before="200" w:after="0"/>
        <w:ind w:left="0"/>
        <w:jc w:val="both"/>
        <w:rPr>
          <w:rFonts w:eastAsia="Verdana" w:cs="Verdana"/>
          <w:szCs w:val="18"/>
          <w:lang w:val="nl-NL"/>
        </w:rPr>
      </w:pPr>
    </w:p>
    <w:p w14:paraId="276DC400" w14:textId="7AF298B5" w:rsidR="006D7007" w:rsidRPr="00A33930" w:rsidRDefault="006D7007" w:rsidP="006D7007">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De eerste jaren na de inwerkingtreding was er nog veel onduidelijkheid over de rechtskracht van dit HvEU. Het werd echter wel sinds 2000 reeds als een gezaghebbende grondrechtencataloog gezien.</w:t>
      </w:r>
      <w:r w:rsidRPr="00A33930">
        <w:rPr>
          <w:rStyle w:val="Voetnootmarkering"/>
          <w:rFonts w:eastAsia="Verdana" w:cs="Verdana"/>
          <w:szCs w:val="18"/>
          <w:lang w:val="nl-NL"/>
        </w:rPr>
        <w:footnoteReference w:id="608"/>
      </w:r>
      <w:r w:rsidRPr="00A33930">
        <w:rPr>
          <w:rFonts w:eastAsia="Verdana" w:cs="Verdana"/>
          <w:szCs w:val="18"/>
          <w:lang w:val="nl-NL"/>
        </w:rPr>
        <w:t xml:space="preserve"> Sedert het Verdrag van Lissabon heeft het HvEU een juridisch bindend karakter.</w:t>
      </w:r>
      <w:r w:rsidRPr="00A33930">
        <w:rPr>
          <w:rStyle w:val="Voetnootmarkering"/>
          <w:rFonts w:eastAsia="Verdana" w:cs="Verdana"/>
          <w:szCs w:val="18"/>
          <w:lang w:val="nl-NL"/>
        </w:rPr>
        <w:footnoteReference w:id="609"/>
      </w:r>
      <w:r w:rsidRPr="00A33930">
        <w:rPr>
          <w:rFonts w:eastAsia="Verdana" w:cs="Verdana"/>
          <w:szCs w:val="18"/>
          <w:lang w:val="nl-NL"/>
        </w:rPr>
        <w:t xml:space="preserve"> Het HvEU is een bindend Verdrag met dezelfde juridische waarde als de Verdragen, zowel voor de </w:t>
      </w:r>
      <w:r w:rsidRPr="00A33930">
        <w:rPr>
          <w:rFonts w:eastAsia="Verdana" w:cs="Verdana"/>
          <w:szCs w:val="18"/>
          <w:lang w:val="nl-NL"/>
        </w:rPr>
        <w:lastRenderedPageBreak/>
        <w:t>instellingen van de EU als voor de lidstaten bij de toepassing van het EU-recht.</w:t>
      </w:r>
      <w:r w:rsidRPr="00A33930">
        <w:rPr>
          <w:rStyle w:val="Voetnootmarkering"/>
          <w:rFonts w:eastAsia="Verdana" w:cs="Verdana"/>
          <w:szCs w:val="18"/>
          <w:lang w:val="nl-NL"/>
        </w:rPr>
        <w:footnoteReference w:id="610"/>
      </w:r>
      <w:r w:rsidRPr="00A33930">
        <w:rPr>
          <w:rFonts w:eastAsia="Verdana" w:cs="Verdana"/>
          <w:szCs w:val="18"/>
          <w:lang w:val="nl-NL"/>
        </w:rPr>
        <w:t xml:space="preserve"> De Opstellers van het Verdrag van Lissabon omschreven dat de bepalingen van het Handvest “geenszins een verruiming inhouden van de bevoegdheden van de Unie zoals bepaald bij de Verdragen”.</w:t>
      </w:r>
      <w:r w:rsidRPr="00A33930">
        <w:rPr>
          <w:rStyle w:val="Voetnootmarkering"/>
          <w:rFonts w:eastAsia="Verdana" w:cs="Verdana"/>
          <w:szCs w:val="18"/>
          <w:lang w:val="nl-NL"/>
        </w:rPr>
        <w:footnoteReference w:id="611"/>
      </w:r>
    </w:p>
    <w:p w14:paraId="76107AC5" w14:textId="77777777" w:rsidR="00F861CD" w:rsidRPr="00A33930" w:rsidRDefault="00F861CD" w:rsidP="00F861CD">
      <w:pPr>
        <w:pStyle w:val="Lijstalinea"/>
        <w:spacing w:before="200" w:after="0"/>
        <w:ind w:left="0"/>
        <w:jc w:val="both"/>
        <w:rPr>
          <w:rFonts w:eastAsia="Verdana" w:cs="Verdana"/>
          <w:szCs w:val="18"/>
          <w:lang w:val="nl-NL"/>
        </w:rPr>
      </w:pPr>
    </w:p>
    <w:p w14:paraId="0D2B19BF" w14:textId="0E5A1553" w:rsidR="006D7007" w:rsidRPr="00A33930" w:rsidRDefault="006D7007" w:rsidP="006D7007">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België, Nederland en Duitsland moeten dit Unierecht ten uitvoer brengen en zodus de bepalingen toepassen in het nationaal recht.</w:t>
      </w:r>
      <w:r w:rsidRPr="00A33930">
        <w:rPr>
          <w:rStyle w:val="Voetnootmarkering"/>
          <w:rFonts w:eastAsia="Verdana" w:cs="Verdana"/>
          <w:szCs w:val="18"/>
          <w:lang w:val="nl-NL"/>
        </w:rPr>
        <w:footnoteReference w:id="612"/>
      </w:r>
      <w:r w:rsidRPr="00A33930">
        <w:rPr>
          <w:rFonts w:eastAsia="Verdana" w:cs="Verdana"/>
          <w:szCs w:val="18"/>
          <w:lang w:val="nl-NL"/>
        </w:rPr>
        <w:t xml:space="preserve"> Voor zover het HvEU rechten bevat die gelijkaardig zijn aan deze bepaald door het EVRM, zullen deze rechten dezelfde inhoud en draagwijdte worden toegekend.</w:t>
      </w:r>
      <w:r w:rsidRPr="00A33930">
        <w:rPr>
          <w:rStyle w:val="Voetnootmarkering"/>
          <w:rFonts w:eastAsia="Verdana" w:cs="Verdana"/>
          <w:szCs w:val="18"/>
          <w:lang w:val="nl-NL"/>
        </w:rPr>
        <w:footnoteReference w:id="613"/>
      </w:r>
      <w:r w:rsidRPr="00A33930">
        <w:rPr>
          <w:rFonts w:eastAsia="Verdana" w:cs="Verdana"/>
          <w:szCs w:val="18"/>
          <w:lang w:val="nl-NL"/>
        </w:rPr>
        <w:t xml:space="preserve"> Indien het Unierecht een ruimere bescherming biedt, zal deze bescherming tevens gelden.</w:t>
      </w:r>
      <w:r w:rsidRPr="00A33930">
        <w:rPr>
          <w:rStyle w:val="Voetnootmarkering"/>
          <w:rFonts w:eastAsia="Verdana" w:cs="Verdana"/>
          <w:szCs w:val="18"/>
          <w:lang w:val="nl-NL"/>
        </w:rPr>
        <w:footnoteReference w:id="614"/>
      </w:r>
      <w:r w:rsidRPr="00A33930">
        <w:rPr>
          <w:rFonts w:eastAsia="Verdana" w:cs="Verdana"/>
          <w:szCs w:val="18"/>
          <w:lang w:val="nl-NL"/>
        </w:rPr>
        <w:t xml:space="preserve"> Het EHRM beschikt hierbij over de mogelijkheid om het HvEU onrechtstreeks te betrekken in zijn beoordeling.</w:t>
      </w:r>
      <w:r w:rsidRPr="00A33930">
        <w:rPr>
          <w:rStyle w:val="Voetnootmarkering"/>
          <w:rFonts w:eastAsia="Verdana" w:cs="Verdana"/>
          <w:szCs w:val="18"/>
          <w:lang w:val="nl-NL"/>
        </w:rPr>
        <w:footnoteReference w:id="615"/>
      </w:r>
      <w:r w:rsidRPr="00A33930">
        <w:rPr>
          <w:rFonts w:eastAsia="Verdana" w:cs="Verdana"/>
          <w:szCs w:val="18"/>
          <w:lang w:val="nl-NL"/>
        </w:rPr>
        <w:t xml:space="preserve"> Dit is een goede zaak voor de kinderrechten: het HvEU maakt veel vermeldingen van kinderrechten en ook hier wordt het kind gezien als rechtssubject.</w:t>
      </w:r>
      <w:r w:rsidRPr="00A33930">
        <w:rPr>
          <w:rFonts w:eastAsia="Verdana" w:cs="Verdana"/>
          <w:szCs w:val="18"/>
          <w:vertAlign w:val="superscript"/>
          <w:lang w:val="nl-NL"/>
        </w:rPr>
        <w:footnoteReference w:id="616"/>
      </w:r>
      <w:r w:rsidRPr="00A33930">
        <w:rPr>
          <w:rFonts w:eastAsia="Verdana" w:cs="Verdana"/>
          <w:szCs w:val="18"/>
          <w:lang w:val="nl-NL"/>
        </w:rPr>
        <w:t xml:space="preserve">  </w:t>
      </w:r>
    </w:p>
    <w:p w14:paraId="2071DDA0" w14:textId="77777777" w:rsidR="006D7007" w:rsidRPr="00A33930" w:rsidRDefault="006D7007" w:rsidP="006D7007">
      <w:pPr>
        <w:pStyle w:val="Lijstalinea"/>
        <w:spacing w:before="200" w:after="0"/>
        <w:ind w:left="0"/>
        <w:jc w:val="both"/>
        <w:rPr>
          <w:rFonts w:eastAsia="Verdana" w:cs="Verdana"/>
          <w:szCs w:val="18"/>
          <w:lang w:val="nl-NL"/>
        </w:rPr>
      </w:pPr>
    </w:p>
    <w:p w14:paraId="0DADBB64" w14:textId="77777777" w:rsidR="00F861CD" w:rsidRPr="00A33930" w:rsidRDefault="006D7007" w:rsidP="006D7007">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Aangaande het recht op persoonlijk contact dient hier vermelding te worden gemaakt van artikel 24 HvEU. Meer specifiek verleent artikel 24.3 HvEU het recht op persoonlijk contact aan het kind, tenzij dit niet in zijn belang is. De tekst van deze bepaling is rechtstreeks gebaseerd op artikel 3.1, artikel 12 en artikel 9.3 IVRK.</w:t>
      </w:r>
      <w:r w:rsidRPr="00A33930">
        <w:rPr>
          <w:rStyle w:val="Voetnootmarkering"/>
          <w:rFonts w:eastAsia="Verdana" w:cs="Verdana"/>
          <w:szCs w:val="18"/>
          <w:lang w:val="nl-NL"/>
        </w:rPr>
        <w:footnoteReference w:id="617"/>
      </w:r>
      <w:r w:rsidRPr="00A33930">
        <w:rPr>
          <w:rFonts w:eastAsia="Verdana" w:cs="Verdana"/>
          <w:szCs w:val="18"/>
          <w:lang w:val="nl-NL"/>
        </w:rPr>
        <w:t xml:space="preserve"> </w:t>
      </w:r>
    </w:p>
    <w:p w14:paraId="5CFA96DC" w14:textId="77777777" w:rsidR="00F861CD" w:rsidRPr="00A33930" w:rsidRDefault="00F861CD" w:rsidP="00F861CD">
      <w:pPr>
        <w:pStyle w:val="Lijstalinea"/>
        <w:rPr>
          <w:rFonts w:eastAsia="Verdana" w:cs="Verdana"/>
          <w:szCs w:val="18"/>
          <w:lang w:val="nl-NL"/>
        </w:rPr>
      </w:pPr>
    </w:p>
    <w:p w14:paraId="504DDBB1" w14:textId="55F1FBCD" w:rsidR="00386B0D" w:rsidRPr="00A33930" w:rsidRDefault="006D7007" w:rsidP="00F861CD">
      <w:pPr>
        <w:pStyle w:val="Lijstalinea"/>
        <w:spacing w:before="200" w:after="0"/>
        <w:ind w:left="0"/>
        <w:jc w:val="both"/>
        <w:rPr>
          <w:lang w:val="nl-NL"/>
        </w:rPr>
      </w:pPr>
      <w:r w:rsidRPr="00A33930">
        <w:rPr>
          <w:rFonts w:eastAsia="Verdana" w:cs="Verdana"/>
          <w:szCs w:val="18"/>
          <w:lang w:val="nl-NL"/>
        </w:rPr>
        <w:t xml:space="preserve">Met artikel 24.3 HvEU schrijft het EU-recht uitdrukkelijk het recht </w:t>
      </w:r>
      <w:r w:rsidRPr="00A33930">
        <w:rPr>
          <w:rFonts w:eastAsia="Verdana" w:cs="Verdana"/>
          <w:i/>
          <w:iCs/>
          <w:szCs w:val="18"/>
          <w:lang w:val="nl-NL"/>
        </w:rPr>
        <w:t>van</w:t>
      </w:r>
      <w:r w:rsidRPr="00A33930">
        <w:rPr>
          <w:rFonts w:eastAsia="Verdana" w:cs="Verdana"/>
          <w:szCs w:val="18"/>
          <w:lang w:val="nl-NL"/>
        </w:rPr>
        <w:t xml:space="preserve"> het kind op persoonlijk contact met </w:t>
      </w:r>
      <w:r w:rsidRPr="00A33930">
        <w:rPr>
          <w:rFonts w:eastAsia="Verdana" w:cs="Verdana"/>
          <w:i/>
          <w:iCs/>
          <w:szCs w:val="18"/>
          <w:lang w:val="nl-NL"/>
        </w:rPr>
        <w:t>beide</w:t>
      </w:r>
      <w:r w:rsidRPr="00A33930">
        <w:rPr>
          <w:rFonts w:eastAsia="Verdana" w:cs="Verdana"/>
          <w:szCs w:val="18"/>
          <w:lang w:val="nl-NL"/>
        </w:rPr>
        <w:t xml:space="preserve"> ouders in.</w:t>
      </w:r>
      <w:r w:rsidRPr="00A33930">
        <w:rPr>
          <w:rStyle w:val="Voetnootmarkering"/>
          <w:rFonts w:eastAsia="Verdana" w:cs="Verdana"/>
          <w:szCs w:val="18"/>
          <w:lang w:val="nl-NL"/>
        </w:rPr>
        <w:footnoteReference w:id="618"/>
      </w:r>
      <w:r w:rsidRPr="00A33930">
        <w:rPr>
          <w:rFonts w:eastAsia="Verdana" w:cs="Verdana"/>
          <w:szCs w:val="18"/>
          <w:lang w:val="nl-NL"/>
        </w:rPr>
        <w:t xml:space="preserve"> </w:t>
      </w:r>
      <w:r w:rsidRPr="00A33930">
        <w:rPr>
          <w:lang w:val="nl-NL"/>
        </w:rPr>
        <w:t>Het contact moet op regelmatige wijze plaatsvinden, de ontwikkeling van persoonlijke betrekkingen mogelijk maken en het contact moet rechtstreeks zijn.</w:t>
      </w:r>
      <w:r w:rsidRPr="00A33930">
        <w:rPr>
          <w:rStyle w:val="Voetnootmarkering"/>
          <w:lang w:val="nl-NL"/>
        </w:rPr>
        <w:footnoteReference w:id="619"/>
      </w:r>
      <w:r w:rsidRPr="00A33930">
        <w:rPr>
          <w:lang w:val="nl-NL"/>
        </w:rPr>
        <w:t xml:space="preserve"> Dit contact mag geweigerd worden indien het niet in het belang van het kind is, conform artikel 9.3 IVRK.</w:t>
      </w:r>
      <w:r w:rsidRPr="00A33930">
        <w:rPr>
          <w:rStyle w:val="Voetnootmarkering"/>
          <w:lang w:val="nl-NL"/>
        </w:rPr>
        <w:footnoteReference w:id="620"/>
      </w:r>
      <w:r w:rsidRPr="00A33930">
        <w:rPr>
          <w:lang w:val="nl-NL"/>
        </w:rPr>
        <w:t xml:space="preserve"> Met dit derde lid wordt de directe impact van het IVRK op Europees niveau duidelijk.</w:t>
      </w:r>
      <w:r w:rsidRPr="00A33930">
        <w:rPr>
          <w:rStyle w:val="Voetnootmarkering"/>
          <w:lang w:val="nl-NL"/>
        </w:rPr>
        <w:footnoteReference w:id="621"/>
      </w:r>
      <w:r w:rsidRPr="00A33930">
        <w:rPr>
          <w:lang w:val="nl-NL"/>
        </w:rPr>
        <w:t xml:space="preserve"> Het belang van het kind uit artikel 24.3 HvEU is hierbij gebaseerd op artikel 3 IVRK, net zoals het recht op persoonlijk contact een spiegelbeeld is van artikel 9 IVRK. </w:t>
      </w:r>
      <w:r w:rsidRPr="00A33930">
        <w:rPr>
          <w:rFonts w:eastAsia="Verdana" w:cs="Verdana"/>
          <w:szCs w:val="18"/>
          <w:lang w:val="nl-NL"/>
        </w:rPr>
        <w:t xml:space="preserve">Het recht op persoonlijk contact kan in dezelfde zin beperkt worden als in artikel 8.2 EVRM, voor zover dit voldoet aan de vereisten van legaliteit, </w:t>
      </w:r>
      <w:r w:rsidRPr="00A33930">
        <w:rPr>
          <w:rFonts w:eastAsia="Verdana" w:cs="Verdana"/>
          <w:szCs w:val="18"/>
          <w:lang w:val="nl-NL"/>
        </w:rPr>
        <w:lastRenderedPageBreak/>
        <w:t>legitimiteit en proportionaliteit.</w:t>
      </w:r>
      <w:r w:rsidRPr="00A33930">
        <w:rPr>
          <w:rStyle w:val="Voetnootmarkering"/>
          <w:rFonts w:eastAsia="Verdana" w:cs="Verdana"/>
          <w:szCs w:val="18"/>
          <w:lang w:val="nl-NL"/>
        </w:rPr>
        <w:footnoteReference w:id="622"/>
      </w:r>
      <w:r w:rsidRPr="00A33930">
        <w:rPr>
          <w:rFonts w:eastAsia="Verdana" w:cs="Verdana"/>
          <w:szCs w:val="18"/>
          <w:lang w:val="nl-NL"/>
        </w:rPr>
        <w:t xml:space="preserve"> </w:t>
      </w:r>
      <w:r w:rsidRPr="00A33930">
        <w:rPr>
          <w:lang w:val="nl-NL"/>
        </w:rPr>
        <w:t>Volgens het EU-recht is het recht op persoonlijk contact met beide ouders een grondrecht van het kind en kan het alleen gerechtvaardigd worden door een ander belang van het kind dat zo sterk is dat het voorrang heeft.</w:t>
      </w:r>
      <w:r w:rsidRPr="00A33930">
        <w:rPr>
          <w:rStyle w:val="Voetnootmarkering"/>
          <w:lang w:val="nl-NL"/>
        </w:rPr>
        <w:footnoteReference w:id="623"/>
      </w:r>
      <w:r w:rsidRPr="00A33930">
        <w:rPr>
          <w:lang w:val="nl-NL"/>
        </w:rPr>
        <w:t xml:space="preserve"> Middels artikel 7 HvEU bevestigt dit instrument tevens het recht op de eerbiediging van het privé-, familie- en gezinsleven in de zin van artikel 8 EVRM.</w:t>
      </w:r>
    </w:p>
    <w:p w14:paraId="5AAECBA9" w14:textId="77777777" w:rsidR="00386B0D" w:rsidRPr="00A33930" w:rsidRDefault="00386B0D" w:rsidP="00F861CD">
      <w:pPr>
        <w:pStyle w:val="Lijstalinea"/>
        <w:spacing w:before="200" w:after="0"/>
        <w:ind w:left="0"/>
        <w:jc w:val="both"/>
        <w:rPr>
          <w:lang w:val="nl-NL"/>
        </w:rPr>
      </w:pPr>
    </w:p>
    <w:p w14:paraId="03609068" w14:textId="77777777" w:rsidR="006D7007" w:rsidRPr="00A33930" w:rsidRDefault="006D7007" w:rsidP="006D7007">
      <w:pPr>
        <w:pStyle w:val="Lijstalinea"/>
        <w:numPr>
          <w:ilvl w:val="0"/>
          <w:numId w:val="4"/>
        </w:numPr>
        <w:spacing w:before="200" w:after="0"/>
        <w:ind w:left="0" w:firstLine="0"/>
        <w:jc w:val="both"/>
        <w:rPr>
          <w:rFonts w:eastAsia="Verdana" w:cs="Verdana"/>
          <w:szCs w:val="18"/>
          <w:lang w:val="nl-NL"/>
        </w:rPr>
      </w:pPr>
      <w:r w:rsidRPr="00A33930">
        <w:rPr>
          <w:rFonts w:eastAsia="Verdana" w:cs="Verdana"/>
          <w:szCs w:val="18"/>
          <w:lang w:val="nl-NL"/>
        </w:rPr>
        <w:t>Zoals reeds eerder aangehaald wint het IVRK op Europees niveau aan slagkracht. Doordat alle partijen bij het IVRK tevens lid zijn van de RvE en de EU, wordt de plicht tot naleving van de in het IVRK bepaalde beginselen versterkt.</w:t>
      </w:r>
      <w:r w:rsidRPr="00A33930">
        <w:rPr>
          <w:rStyle w:val="Voetnootmarkering"/>
          <w:rFonts w:eastAsia="Verdana" w:cs="Verdana"/>
          <w:szCs w:val="18"/>
          <w:lang w:val="nl-NL"/>
        </w:rPr>
        <w:footnoteReference w:id="624"/>
      </w:r>
      <w:r w:rsidRPr="00A33930">
        <w:rPr>
          <w:rFonts w:eastAsia="Verdana" w:cs="Verdana"/>
          <w:szCs w:val="18"/>
          <w:lang w:val="nl-NL"/>
        </w:rPr>
        <w:t xml:space="preserve"> Het domino-effect van het IVRK wordt steeds groter: het HvEU versterkt deze verplichtingen door zijn bepalingen rechtstreeks te inspireren op deze van het IVRK. Het kind is niet langer </w:t>
      </w:r>
      <w:r w:rsidRPr="00A33930">
        <w:rPr>
          <w:rFonts w:eastAsia="Verdana" w:cs="Verdana"/>
          <w:i/>
          <w:iCs/>
          <w:szCs w:val="18"/>
          <w:lang w:val="nl-NL"/>
        </w:rPr>
        <w:t>invisible</w:t>
      </w:r>
      <w:r w:rsidRPr="00A33930">
        <w:rPr>
          <w:rFonts w:eastAsia="Verdana" w:cs="Verdana"/>
          <w:szCs w:val="18"/>
          <w:lang w:val="nl-NL"/>
        </w:rPr>
        <w:t xml:space="preserve"> in Europa.</w:t>
      </w:r>
      <w:r w:rsidRPr="00A33930">
        <w:rPr>
          <w:rStyle w:val="Voetnootmarkering"/>
          <w:rFonts w:eastAsia="Verdana" w:cs="Verdana"/>
          <w:szCs w:val="18"/>
          <w:lang w:val="nl-NL"/>
        </w:rPr>
        <w:footnoteReference w:id="625"/>
      </w:r>
      <w:r w:rsidRPr="00A33930">
        <w:rPr>
          <w:rFonts w:eastAsia="Verdana" w:cs="Verdana"/>
          <w:szCs w:val="18"/>
          <w:lang w:val="nl-NL"/>
        </w:rPr>
        <w:t xml:space="preserve"> </w:t>
      </w:r>
      <w:r w:rsidRPr="00A33930">
        <w:rPr>
          <w:lang w:val="nl-NL"/>
        </w:rPr>
        <w:t>Een belangrijke tekortkoming aan het HvEU blijft echter de zeer selectieve en restrictieve aard van de kinderrechten opgenomen in het Handvest.</w:t>
      </w:r>
      <w:r w:rsidRPr="00A33930">
        <w:rPr>
          <w:rStyle w:val="Voetnootmarkering"/>
          <w:lang w:val="nl-NL"/>
        </w:rPr>
        <w:footnoteReference w:id="626"/>
      </w:r>
      <w:r w:rsidRPr="00A33930">
        <w:rPr>
          <w:lang w:val="nl-NL"/>
        </w:rPr>
        <w:t xml:space="preserve"> Desalniettemin zijn ook de bepalingen van het HvEU een grote stap vooruit in de toepassing van de kinderrechten en de visie van het kind als rechtssubject in Europa.</w:t>
      </w:r>
    </w:p>
    <w:p w14:paraId="1A97808D" w14:textId="0250D8BF" w:rsidR="00BE2CE1" w:rsidRPr="00A33930" w:rsidRDefault="00BE2CE1" w:rsidP="00E47D14">
      <w:pPr>
        <w:spacing w:after="160" w:line="259" w:lineRule="auto"/>
        <w:rPr>
          <w:rFonts w:eastAsia="Verdana" w:cs="Verdana"/>
          <w:szCs w:val="18"/>
          <w:highlight w:val="white"/>
          <w:lang w:val="nl-NL"/>
        </w:rPr>
      </w:pPr>
    </w:p>
    <w:p w14:paraId="555F789F" w14:textId="77777777" w:rsidR="00BE2CE1" w:rsidRPr="00A33930" w:rsidRDefault="00BE2CE1" w:rsidP="00DA3ECE">
      <w:pPr>
        <w:spacing w:before="120" w:after="120" w:line="360" w:lineRule="auto"/>
        <w:jc w:val="both"/>
        <w:rPr>
          <w:b/>
          <w:bCs/>
          <w:szCs w:val="18"/>
          <w:lang w:val="nl-NL"/>
        </w:rPr>
        <w:sectPr w:rsidR="00BE2CE1" w:rsidRPr="00A33930" w:rsidSect="00710FDA">
          <w:pgSz w:w="11906" w:h="16838"/>
          <w:pgMar w:top="1417" w:right="1417" w:bottom="1417" w:left="1417" w:header="708" w:footer="708" w:gutter="0"/>
          <w:pgNumType w:start="1"/>
          <w:cols w:space="708"/>
          <w:docGrid w:linePitch="360"/>
        </w:sectPr>
      </w:pPr>
    </w:p>
    <w:p w14:paraId="67EA7CE0" w14:textId="622493B7" w:rsidR="00BE2CE1" w:rsidRPr="00A33930" w:rsidRDefault="00BE2CE1" w:rsidP="00BE2CE1">
      <w:pPr>
        <w:pStyle w:val="Kop1"/>
        <w:jc w:val="both"/>
        <w:rPr>
          <w:sz w:val="22"/>
          <w:szCs w:val="28"/>
          <w:lang w:val="nl-NL"/>
        </w:rPr>
      </w:pPr>
      <w:bookmarkStart w:id="48" w:name="_Toc134621207"/>
      <w:r w:rsidRPr="00A33930">
        <w:rPr>
          <w:sz w:val="22"/>
          <w:szCs w:val="28"/>
          <w:lang w:val="nl-NL"/>
        </w:rPr>
        <w:lastRenderedPageBreak/>
        <w:t xml:space="preserve">BIJLAGE </w:t>
      </w:r>
      <w:r w:rsidR="006D7007" w:rsidRPr="00A33930">
        <w:rPr>
          <w:sz w:val="22"/>
          <w:szCs w:val="28"/>
          <w:lang w:val="nl-NL"/>
        </w:rPr>
        <w:t>2</w:t>
      </w:r>
      <w:r w:rsidRPr="00A33930">
        <w:rPr>
          <w:sz w:val="22"/>
          <w:szCs w:val="28"/>
          <w:lang w:val="nl-NL"/>
        </w:rPr>
        <w:t>: OVERZICHTSTABEL RECHTSVERGELIJKING</w:t>
      </w:r>
      <w:bookmarkEnd w:id="48"/>
    </w:p>
    <w:tbl>
      <w:tblPr>
        <w:tblStyle w:val="Onopgemaaktetabel5"/>
        <w:tblpPr w:leftFromText="141" w:rightFromText="141" w:vertAnchor="text" w:tblpY="1"/>
        <w:tblW w:w="13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551"/>
        <w:gridCol w:w="2552"/>
        <w:gridCol w:w="2693"/>
        <w:gridCol w:w="2880"/>
      </w:tblGrid>
      <w:tr w:rsidR="003A37B3" w:rsidRPr="00A33930" w14:paraId="5093709B" w14:textId="77777777" w:rsidTr="000A0C4C">
        <w:trPr>
          <w:cnfStyle w:val="100000000000" w:firstRow="1" w:lastRow="0" w:firstColumn="0" w:lastColumn="0" w:oddVBand="0" w:evenVBand="0" w:oddHBand="0" w:evenHBand="0" w:firstRowFirstColumn="0" w:firstRowLastColumn="0" w:lastRowFirstColumn="0" w:lastRowLastColumn="0"/>
          <w:trHeight w:val="416"/>
        </w:trPr>
        <w:tc>
          <w:tcPr>
            <w:cnfStyle w:val="001000000100" w:firstRow="0" w:lastRow="0" w:firstColumn="1" w:lastColumn="0" w:oddVBand="0" w:evenVBand="0" w:oddHBand="0" w:evenHBand="0" w:firstRowFirstColumn="1" w:firstRowLastColumn="0" w:lastRowFirstColumn="0" w:lastRowLastColumn="0"/>
            <w:tcW w:w="3256" w:type="dxa"/>
            <w:shd w:val="clear" w:color="auto" w:fill="auto"/>
          </w:tcPr>
          <w:p w14:paraId="34F36A10" w14:textId="77777777" w:rsidR="008E72AF" w:rsidRPr="00A33930" w:rsidRDefault="008E72AF" w:rsidP="000A0C4C">
            <w:pPr>
              <w:jc w:val="left"/>
              <w:rPr>
                <w:b/>
                <w:bCs/>
                <w:i w:val="0"/>
                <w:iCs w:val="0"/>
                <w:szCs w:val="18"/>
                <w:lang w:val="nl-NL"/>
              </w:rPr>
            </w:pPr>
          </w:p>
        </w:tc>
        <w:tc>
          <w:tcPr>
            <w:tcW w:w="2551" w:type="dxa"/>
            <w:shd w:val="clear" w:color="auto" w:fill="auto"/>
            <w:vAlign w:val="center"/>
          </w:tcPr>
          <w:p w14:paraId="7938C0F9" w14:textId="77777777" w:rsidR="008E72AF" w:rsidRPr="00A33930" w:rsidRDefault="008E72AF" w:rsidP="000A0C4C">
            <w:pPr>
              <w:jc w:val="center"/>
              <w:cnfStyle w:val="100000000000" w:firstRow="1" w:lastRow="0" w:firstColumn="0" w:lastColumn="0" w:oddVBand="0" w:evenVBand="0" w:oddHBand="0" w:evenHBand="0" w:firstRowFirstColumn="0" w:firstRowLastColumn="0" w:lastRowFirstColumn="0" w:lastRowLastColumn="0"/>
              <w:rPr>
                <w:b/>
                <w:bCs/>
                <w:i w:val="0"/>
                <w:iCs w:val="0"/>
                <w:szCs w:val="18"/>
                <w:lang w:val="nl-NL"/>
              </w:rPr>
            </w:pPr>
            <w:r w:rsidRPr="00A33930">
              <w:rPr>
                <w:b/>
                <w:bCs/>
                <w:i w:val="0"/>
                <w:iCs w:val="0"/>
                <w:szCs w:val="18"/>
                <w:lang w:val="nl-NL"/>
              </w:rPr>
              <w:t>MENSENRECHTELIJK</w:t>
            </w:r>
          </w:p>
        </w:tc>
        <w:tc>
          <w:tcPr>
            <w:tcW w:w="2552" w:type="dxa"/>
            <w:shd w:val="clear" w:color="auto" w:fill="auto"/>
            <w:vAlign w:val="center"/>
          </w:tcPr>
          <w:p w14:paraId="11501682" w14:textId="77777777" w:rsidR="008E72AF" w:rsidRPr="00A33930" w:rsidRDefault="008E72AF" w:rsidP="000A0C4C">
            <w:pPr>
              <w:jc w:val="center"/>
              <w:cnfStyle w:val="100000000000" w:firstRow="1" w:lastRow="0" w:firstColumn="0" w:lastColumn="0" w:oddVBand="0" w:evenVBand="0" w:oddHBand="0" w:evenHBand="0" w:firstRowFirstColumn="0" w:firstRowLastColumn="0" w:lastRowFirstColumn="0" w:lastRowLastColumn="0"/>
              <w:rPr>
                <w:b/>
                <w:bCs/>
                <w:i w:val="0"/>
                <w:iCs w:val="0"/>
                <w:szCs w:val="18"/>
                <w:lang w:val="nl-NL"/>
              </w:rPr>
            </w:pPr>
            <w:r w:rsidRPr="00A33930">
              <w:rPr>
                <w:b/>
                <w:bCs/>
                <w:i w:val="0"/>
                <w:iCs w:val="0"/>
                <w:szCs w:val="18"/>
                <w:lang w:val="nl-NL"/>
              </w:rPr>
              <w:t>BELGIË</w:t>
            </w:r>
          </w:p>
        </w:tc>
        <w:tc>
          <w:tcPr>
            <w:tcW w:w="2693" w:type="dxa"/>
            <w:shd w:val="clear" w:color="auto" w:fill="auto"/>
            <w:vAlign w:val="center"/>
          </w:tcPr>
          <w:p w14:paraId="487C2B0E" w14:textId="77777777" w:rsidR="008E72AF" w:rsidRPr="00A33930" w:rsidRDefault="008E72AF" w:rsidP="000A0C4C">
            <w:pPr>
              <w:jc w:val="center"/>
              <w:cnfStyle w:val="100000000000" w:firstRow="1" w:lastRow="0" w:firstColumn="0" w:lastColumn="0" w:oddVBand="0" w:evenVBand="0" w:oddHBand="0" w:evenHBand="0" w:firstRowFirstColumn="0" w:firstRowLastColumn="0" w:lastRowFirstColumn="0" w:lastRowLastColumn="0"/>
              <w:rPr>
                <w:b/>
                <w:bCs/>
                <w:i w:val="0"/>
                <w:iCs w:val="0"/>
                <w:szCs w:val="18"/>
                <w:lang w:val="nl-NL"/>
              </w:rPr>
            </w:pPr>
            <w:r w:rsidRPr="00A33930">
              <w:rPr>
                <w:b/>
                <w:bCs/>
                <w:i w:val="0"/>
                <w:iCs w:val="0"/>
                <w:szCs w:val="18"/>
                <w:lang w:val="nl-NL"/>
              </w:rPr>
              <w:t>NEDERLAND</w:t>
            </w:r>
          </w:p>
        </w:tc>
        <w:tc>
          <w:tcPr>
            <w:tcW w:w="2880" w:type="dxa"/>
            <w:shd w:val="clear" w:color="auto" w:fill="auto"/>
            <w:vAlign w:val="center"/>
          </w:tcPr>
          <w:p w14:paraId="5E8C89E8" w14:textId="77777777" w:rsidR="008E72AF" w:rsidRPr="00A33930" w:rsidRDefault="008E72AF" w:rsidP="000A0C4C">
            <w:pPr>
              <w:jc w:val="center"/>
              <w:cnfStyle w:val="100000000000" w:firstRow="1" w:lastRow="0" w:firstColumn="0" w:lastColumn="0" w:oddVBand="0" w:evenVBand="0" w:oddHBand="0" w:evenHBand="0" w:firstRowFirstColumn="0" w:firstRowLastColumn="0" w:lastRowFirstColumn="0" w:lastRowLastColumn="0"/>
              <w:rPr>
                <w:b/>
                <w:bCs/>
                <w:i w:val="0"/>
                <w:iCs w:val="0"/>
                <w:szCs w:val="18"/>
                <w:lang w:val="nl-NL"/>
              </w:rPr>
            </w:pPr>
            <w:r w:rsidRPr="00A33930">
              <w:rPr>
                <w:b/>
                <w:bCs/>
                <w:i w:val="0"/>
                <w:iCs w:val="0"/>
                <w:szCs w:val="18"/>
                <w:lang w:val="nl-NL"/>
              </w:rPr>
              <w:t>DUITSLAND</w:t>
            </w:r>
          </w:p>
        </w:tc>
      </w:tr>
      <w:tr w:rsidR="003A37B3" w:rsidRPr="00A33930" w14:paraId="025EB78A" w14:textId="77777777" w:rsidTr="000A0C4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32" w:type="dxa"/>
            <w:gridSpan w:val="5"/>
            <w:shd w:val="clear" w:color="auto" w:fill="E7E6E6" w:themeFill="background2"/>
            <w:vAlign w:val="center"/>
          </w:tcPr>
          <w:p w14:paraId="4353D6A8" w14:textId="77777777" w:rsidR="008E72AF" w:rsidRPr="00A33930" w:rsidRDefault="008E72AF" w:rsidP="000A0C4C">
            <w:pPr>
              <w:jc w:val="left"/>
              <w:rPr>
                <w:b/>
                <w:bCs/>
                <w:szCs w:val="18"/>
                <w:lang w:val="nl-NL"/>
              </w:rPr>
            </w:pPr>
            <w:r w:rsidRPr="00A33930">
              <w:rPr>
                <w:b/>
                <w:bCs/>
                <w:szCs w:val="18"/>
                <w:lang w:val="nl-NL"/>
              </w:rPr>
              <w:t>INLEIDENDE BESCHOUWINGEN</w:t>
            </w:r>
          </w:p>
        </w:tc>
      </w:tr>
      <w:tr w:rsidR="003A37B3" w:rsidRPr="00A33930" w14:paraId="4937130B" w14:textId="77777777" w:rsidTr="008E72AF">
        <w:trPr>
          <w:trHeight w:val="572"/>
        </w:trPr>
        <w:tc>
          <w:tcPr>
            <w:cnfStyle w:val="001000000000" w:firstRow="0" w:lastRow="0" w:firstColumn="1" w:lastColumn="0" w:oddVBand="0" w:evenVBand="0" w:oddHBand="0" w:evenHBand="0" w:firstRowFirstColumn="0" w:firstRowLastColumn="0" w:lastRowFirstColumn="0" w:lastRowLastColumn="0"/>
            <w:tcW w:w="3256" w:type="dxa"/>
            <w:shd w:val="clear" w:color="auto" w:fill="auto"/>
          </w:tcPr>
          <w:p w14:paraId="06B3C7B5" w14:textId="353E85DC" w:rsidR="008E72AF" w:rsidRPr="00A33930" w:rsidRDefault="00E57778" w:rsidP="000A0C4C">
            <w:pPr>
              <w:jc w:val="left"/>
              <w:rPr>
                <w:szCs w:val="18"/>
                <w:lang w:val="nl-NL"/>
              </w:rPr>
            </w:pPr>
            <w:r w:rsidRPr="00A33930">
              <w:rPr>
                <w:rFonts w:eastAsia="Verdana" w:cs="Verdana"/>
                <w:szCs w:val="18"/>
                <w:lang w:val="nl-NL"/>
              </w:rPr>
              <w:t>Kindperspectief</w:t>
            </w:r>
          </w:p>
        </w:tc>
        <w:tc>
          <w:tcPr>
            <w:tcW w:w="2551" w:type="dxa"/>
            <w:shd w:val="clear" w:color="auto" w:fill="auto"/>
          </w:tcPr>
          <w:p w14:paraId="3A01226E" w14:textId="77777777" w:rsidR="008E72AF" w:rsidRPr="00A33930" w:rsidRDefault="008E72AF" w:rsidP="000A0C4C">
            <w:pPr>
              <w:cnfStyle w:val="000000000000" w:firstRow="0" w:lastRow="0" w:firstColumn="0" w:lastColumn="0" w:oddVBand="0" w:evenVBand="0" w:oddHBand="0" w:evenHBand="0" w:firstRowFirstColumn="0" w:firstRowLastColumn="0" w:lastRowFirstColumn="0" w:lastRowLastColumn="0"/>
              <w:rPr>
                <w:szCs w:val="18"/>
                <w:lang w:val="nl-NL"/>
              </w:rPr>
            </w:pPr>
            <w:r w:rsidRPr="00A33930">
              <w:rPr>
                <w:szCs w:val="18"/>
                <w:lang w:val="nl-NL"/>
              </w:rPr>
              <w:t>Rechtssubject</w:t>
            </w:r>
          </w:p>
        </w:tc>
        <w:tc>
          <w:tcPr>
            <w:tcW w:w="2552" w:type="dxa"/>
            <w:shd w:val="clear" w:color="auto" w:fill="auto"/>
          </w:tcPr>
          <w:p w14:paraId="58929EDB" w14:textId="77777777" w:rsidR="008E72AF" w:rsidRPr="00A33930" w:rsidRDefault="008E72AF" w:rsidP="000A0C4C">
            <w:pPr>
              <w:cnfStyle w:val="000000000000" w:firstRow="0" w:lastRow="0" w:firstColumn="0" w:lastColumn="0" w:oddVBand="0" w:evenVBand="0" w:oddHBand="0" w:evenHBand="0" w:firstRowFirstColumn="0" w:firstRowLastColumn="0" w:lastRowFirstColumn="0" w:lastRowLastColumn="0"/>
              <w:rPr>
                <w:szCs w:val="18"/>
                <w:lang w:val="nl-NL"/>
              </w:rPr>
            </w:pPr>
            <w:r w:rsidRPr="00A33930">
              <w:rPr>
                <w:szCs w:val="18"/>
                <w:lang w:val="nl-NL"/>
              </w:rPr>
              <w:t>Rechtsobject</w:t>
            </w:r>
          </w:p>
        </w:tc>
        <w:tc>
          <w:tcPr>
            <w:tcW w:w="2693" w:type="dxa"/>
            <w:shd w:val="clear" w:color="auto" w:fill="auto"/>
          </w:tcPr>
          <w:p w14:paraId="0BE51E5D" w14:textId="77777777" w:rsidR="008E72AF" w:rsidRPr="00A33930" w:rsidRDefault="008E72AF" w:rsidP="000A0C4C">
            <w:pPr>
              <w:cnfStyle w:val="000000000000" w:firstRow="0" w:lastRow="0" w:firstColumn="0" w:lastColumn="0" w:oddVBand="0" w:evenVBand="0" w:oddHBand="0" w:evenHBand="0" w:firstRowFirstColumn="0" w:firstRowLastColumn="0" w:lastRowFirstColumn="0" w:lastRowLastColumn="0"/>
              <w:rPr>
                <w:szCs w:val="18"/>
                <w:lang w:val="nl-NL"/>
              </w:rPr>
            </w:pPr>
            <w:r w:rsidRPr="00A33930">
              <w:rPr>
                <w:szCs w:val="18"/>
                <w:lang w:val="nl-NL"/>
              </w:rPr>
              <w:t>Rechtssubject</w:t>
            </w:r>
          </w:p>
        </w:tc>
        <w:tc>
          <w:tcPr>
            <w:tcW w:w="2880" w:type="dxa"/>
            <w:shd w:val="clear" w:color="auto" w:fill="auto"/>
          </w:tcPr>
          <w:p w14:paraId="6FCA915A" w14:textId="77777777" w:rsidR="008E72AF" w:rsidRPr="00A33930" w:rsidRDefault="008E72AF" w:rsidP="000A0C4C">
            <w:pPr>
              <w:cnfStyle w:val="000000000000" w:firstRow="0" w:lastRow="0" w:firstColumn="0" w:lastColumn="0" w:oddVBand="0" w:evenVBand="0" w:oddHBand="0" w:evenHBand="0" w:firstRowFirstColumn="0" w:firstRowLastColumn="0" w:lastRowFirstColumn="0" w:lastRowLastColumn="0"/>
              <w:rPr>
                <w:szCs w:val="18"/>
                <w:lang w:val="nl-NL"/>
              </w:rPr>
            </w:pPr>
            <w:r w:rsidRPr="00A33930">
              <w:rPr>
                <w:szCs w:val="18"/>
                <w:lang w:val="nl-NL"/>
              </w:rPr>
              <w:t>Rechtssubject</w:t>
            </w:r>
          </w:p>
        </w:tc>
      </w:tr>
      <w:tr w:rsidR="003A37B3" w:rsidRPr="00A33930" w14:paraId="0C19004E" w14:textId="77777777" w:rsidTr="000A0C4C">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5807" w:type="dxa"/>
            <w:gridSpan w:val="2"/>
            <w:shd w:val="clear" w:color="auto" w:fill="auto"/>
          </w:tcPr>
          <w:p w14:paraId="60E275D2" w14:textId="10225F41" w:rsidR="008E72AF" w:rsidRPr="00A33930" w:rsidRDefault="008E72AF" w:rsidP="000A0C4C">
            <w:pPr>
              <w:jc w:val="left"/>
              <w:rPr>
                <w:szCs w:val="18"/>
                <w:lang w:val="nl-NL"/>
              </w:rPr>
            </w:pPr>
            <w:r w:rsidRPr="00A33930">
              <w:rPr>
                <w:szCs w:val="18"/>
                <w:lang w:val="nl-NL"/>
              </w:rPr>
              <w:t>Directe werking</w:t>
            </w:r>
          </w:p>
        </w:tc>
        <w:tc>
          <w:tcPr>
            <w:tcW w:w="2552" w:type="dxa"/>
            <w:shd w:val="clear" w:color="auto" w:fill="auto"/>
          </w:tcPr>
          <w:p w14:paraId="6ACED78C" w14:textId="5EA6202C" w:rsidR="008E72AF" w:rsidRPr="00A33930" w:rsidRDefault="00CE6871" w:rsidP="000A0C4C">
            <w:pPr>
              <w:cnfStyle w:val="000000100000" w:firstRow="0" w:lastRow="0" w:firstColumn="0" w:lastColumn="0" w:oddVBand="0" w:evenVBand="0" w:oddHBand="1" w:evenHBand="0" w:firstRowFirstColumn="0" w:firstRowLastColumn="0" w:lastRowFirstColumn="0" w:lastRowLastColumn="0"/>
              <w:rPr>
                <w:szCs w:val="18"/>
                <w:lang w:val="nl-NL"/>
              </w:rPr>
            </w:pPr>
            <w:r w:rsidRPr="00A33930">
              <w:rPr>
                <w:szCs w:val="18"/>
                <w:lang w:val="nl-NL"/>
              </w:rPr>
              <w:t>WEL</w:t>
            </w:r>
            <w:r w:rsidR="008E72AF" w:rsidRPr="00A33930">
              <w:rPr>
                <w:szCs w:val="18"/>
                <w:lang w:val="nl-NL"/>
              </w:rPr>
              <w:t>: art. 8 EVRM en 9.3 IVRK</w:t>
            </w:r>
          </w:p>
          <w:p w14:paraId="1C300308" w14:textId="0FF5A986" w:rsidR="008E72AF" w:rsidRPr="00A33930" w:rsidRDefault="00CE6871" w:rsidP="000A0C4C">
            <w:pPr>
              <w:cnfStyle w:val="000000100000" w:firstRow="0" w:lastRow="0" w:firstColumn="0" w:lastColumn="0" w:oddVBand="0" w:evenVBand="0" w:oddHBand="1" w:evenHBand="0" w:firstRowFirstColumn="0" w:firstRowLastColumn="0" w:lastRowFirstColumn="0" w:lastRowLastColumn="0"/>
              <w:rPr>
                <w:szCs w:val="18"/>
                <w:lang w:val="nl-NL"/>
              </w:rPr>
            </w:pPr>
            <w:r w:rsidRPr="00A33930">
              <w:rPr>
                <w:szCs w:val="18"/>
                <w:lang w:val="nl-NL"/>
              </w:rPr>
              <w:t>NIET</w:t>
            </w:r>
            <w:r w:rsidR="008E72AF" w:rsidRPr="00A33930">
              <w:rPr>
                <w:szCs w:val="18"/>
                <w:lang w:val="nl-NL"/>
              </w:rPr>
              <w:t>: art. 3.1 IVRK</w:t>
            </w:r>
          </w:p>
        </w:tc>
        <w:tc>
          <w:tcPr>
            <w:tcW w:w="2693" w:type="dxa"/>
            <w:shd w:val="clear" w:color="auto" w:fill="auto"/>
          </w:tcPr>
          <w:p w14:paraId="78F11668" w14:textId="0CB6DC26" w:rsidR="008E72AF" w:rsidRPr="00A33930" w:rsidRDefault="00CE6871" w:rsidP="000A0C4C">
            <w:pPr>
              <w:cnfStyle w:val="000000100000" w:firstRow="0" w:lastRow="0" w:firstColumn="0" w:lastColumn="0" w:oddVBand="0" w:evenVBand="0" w:oddHBand="1" w:evenHBand="0" w:firstRowFirstColumn="0" w:firstRowLastColumn="0" w:lastRowFirstColumn="0" w:lastRowLastColumn="0"/>
              <w:rPr>
                <w:szCs w:val="18"/>
                <w:lang w:val="nl-NL"/>
              </w:rPr>
            </w:pPr>
            <w:r w:rsidRPr="00A33930">
              <w:rPr>
                <w:szCs w:val="18"/>
                <w:lang w:val="nl-NL"/>
              </w:rPr>
              <w:t>A</w:t>
            </w:r>
            <w:r w:rsidR="008E72AF" w:rsidRPr="00A33930">
              <w:rPr>
                <w:szCs w:val="18"/>
                <w:lang w:val="nl-NL"/>
              </w:rPr>
              <w:t>rt. 8 EVRM, art. 3 IVRK en 9.3 IVRK</w:t>
            </w:r>
          </w:p>
        </w:tc>
        <w:tc>
          <w:tcPr>
            <w:tcW w:w="2880" w:type="dxa"/>
            <w:shd w:val="clear" w:color="auto" w:fill="auto"/>
          </w:tcPr>
          <w:p w14:paraId="53F57F14" w14:textId="5CBE248E" w:rsidR="008E72AF" w:rsidRPr="00A33930" w:rsidRDefault="00CE6871" w:rsidP="000A0C4C">
            <w:pPr>
              <w:cnfStyle w:val="000000100000" w:firstRow="0" w:lastRow="0" w:firstColumn="0" w:lastColumn="0" w:oddVBand="0" w:evenVBand="0" w:oddHBand="1" w:evenHBand="0" w:firstRowFirstColumn="0" w:firstRowLastColumn="0" w:lastRowFirstColumn="0" w:lastRowLastColumn="0"/>
              <w:rPr>
                <w:szCs w:val="18"/>
                <w:lang w:val="nl-NL"/>
              </w:rPr>
            </w:pPr>
            <w:r w:rsidRPr="00A33930">
              <w:rPr>
                <w:szCs w:val="18"/>
                <w:lang w:val="nl-NL"/>
              </w:rPr>
              <w:t>V</w:t>
            </w:r>
            <w:r w:rsidR="008E72AF" w:rsidRPr="00A33930">
              <w:rPr>
                <w:szCs w:val="18"/>
                <w:lang w:val="nl-NL"/>
              </w:rPr>
              <w:t>olledig EVRM en IVRK, want omzetting in Duitse wet (dualisme)</w:t>
            </w:r>
          </w:p>
        </w:tc>
      </w:tr>
      <w:tr w:rsidR="003A37B3" w:rsidRPr="00A33930" w14:paraId="061E96F4" w14:textId="77777777" w:rsidTr="000A0C4C">
        <w:trPr>
          <w:trHeight w:val="397"/>
        </w:trPr>
        <w:tc>
          <w:tcPr>
            <w:cnfStyle w:val="001000000000" w:firstRow="0" w:lastRow="0" w:firstColumn="1" w:lastColumn="0" w:oddVBand="0" w:evenVBand="0" w:oddHBand="0" w:evenHBand="0" w:firstRowFirstColumn="0" w:firstRowLastColumn="0" w:lastRowFirstColumn="0" w:lastRowLastColumn="0"/>
            <w:tcW w:w="13932" w:type="dxa"/>
            <w:gridSpan w:val="5"/>
            <w:shd w:val="clear" w:color="auto" w:fill="E7E6E6" w:themeFill="background2"/>
            <w:vAlign w:val="center"/>
          </w:tcPr>
          <w:p w14:paraId="362D623D" w14:textId="77777777" w:rsidR="008E72AF" w:rsidRPr="00A33930" w:rsidRDefault="008E72AF" w:rsidP="000A0C4C">
            <w:pPr>
              <w:jc w:val="left"/>
              <w:rPr>
                <w:b/>
                <w:bCs/>
                <w:szCs w:val="18"/>
                <w:lang w:val="nl-NL"/>
              </w:rPr>
            </w:pPr>
            <w:r w:rsidRPr="00A33930">
              <w:rPr>
                <w:b/>
                <w:bCs/>
                <w:szCs w:val="18"/>
                <w:lang w:val="nl-NL"/>
              </w:rPr>
              <w:t>RECHT OP PERSOONLIJK CONTACT</w:t>
            </w:r>
          </w:p>
        </w:tc>
      </w:tr>
      <w:tr w:rsidR="003A37B3" w:rsidRPr="00A33930" w14:paraId="1A381A68" w14:textId="77777777" w:rsidTr="000A0C4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932" w:type="dxa"/>
            <w:gridSpan w:val="5"/>
            <w:shd w:val="clear" w:color="auto" w:fill="F2F2F2" w:themeFill="background1" w:themeFillShade="F2"/>
            <w:vAlign w:val="center"/>
          </w:tcPr>
          <w:p w14:paraId="5E91CB7B" w14:textId="77777777" w:rsidR="008E72AF" w:rsidRPr="00A33930" w:rsidRDefault="008E72AF" w:rsidP="000A0C4C">
            <w:pPr>
              <w:jc w:val="left"/>
              <w:rPr>
                <w:b/>
                <w:bCs/>
                <w:szCs w:val="18"/>
                <w:lang w:val="nl-NL"/>
              </w:rPr>
            </w:pPr>
            <w:r w:rsidRPr="00A33930">
              <w:rPr>
                <w:b/>
                <w:bCs/>
                <w:szCs w:val="18"/>
                <w:lang w:val="nl-NL"/>
              </w:rPr>
              <w:t>In de wet</w:t>
            </w:r>
          </w:p>
        </w:tc>
      </w:tr>
      <w:tr w:rsidR="003A37B3" w:rsidRPr="00A33930" w14:paraId="4D0F07A8" w14:textId="77777777" w:rsidTr="008E72AF">
        <w:trPr>
          <w:trHeight w:val="1014"/>
        </w:trPr>
        <w:tc>
          <w:tcPr>
            <w:cnfStyle w:val="001000000000" w:firstRow="0" w:lastRow="0" w:firstColumn="1" w:lastColumn="0" w:oddVBand="0" w:evenVBand="0" w:oddHBand="0" w:evenHBand="0" w:firstRowFirstColumn="0" w:firstRowLastColumn="0" w:lastRowFirstColumn="0" w:lastRowLastColumn="0"/>
            <w:tcW w:w="3256" w:type="dxa"/>
            <w:shd w:val="clear" w:color="auto" w:fill="auto"/>
          </w:tcPr>
          <w:p w14:paraId="7559D0C2" w14:textId="77777777" w:rsidR="008E72AF" w:rsidRPr="00A33930" w:rsidRDefault="008E72AF" w:rsidP="000A0C4C">
            <w:pPr>
              <w:jc w:val="left"/>
              <w:rPr>
                <w:szCs w:val="18"/>
                <w:lang w:val="nl-NL"/>
              </w:rPr>
            </w:pPr>
            <w:r w:rsidRPr="00A33930">
              <w:rPr>
                <w:szCs w:val="18"/>
                <w:lang w:val="nl-NL"/>
              </w:rPr>
              <w:t>Grondslag</w:t>
            </w:r>
          </w:p>
        </w:tc>
        <w:tc>
          <w:tcPr>
            <w:tcW w:w="2551" w:type="dxa"/>
            <w:shd w:val="clear" w:color="auto" w:fill="auto"/>
          </w:tcPr>
          <w:p w14:paraId="11AA9F89" w14:textId="77777777" w:rsidR="008E72AF" w:rsidRPr="00A33930" w:rsidRDefault="008E72AF" w:rsidP="000A0C4C">
            <w:pPr>
              <w:cnfStyle w:val="000000000000" w:firstRow="0" w:lastRow="0" w:firstColumn="0" w:lastColumn="0" w:oddVBand="0" w:evenVBand="0" w:oddHBand="0" w:evenHBand="0" w:firstRowFirstColumn="0" w:firstRowLastColumn="0" w:lastRowFirstColumn="0" w:lastRowLastColumn="0"/>
              <w:rPr>
                <w:szCs w:val="18"/>
                <w:lang w:val="nl-NL"/>
              </w:rPr>
            </w:pPr>
            <w:r w:rsidRPr="00A33930">
              <w:rPr>
                <w:szCs w:val="18"/>
                <w:lang w:val="nl-NL"/>
              </w:rPr>
              <w:t xml:space="preserve">Art. 9.3 IVRK </w:t>
            </w:r>
            <w:r w:rsidRPr="00A33930">
              <w:rPr>
                <w:i/>
                <w:iCs/>
                <w:szCs w:val="18"/>
                <w:lang w:val="nl-NL"/>
              </w:rPr>
              <w:t>juncto</w:t>
            </w:r>
            <w:r w:rsidRPr="00A33930">
              <w:rPr>
                <w:szCs w:val="18"/>
                <w:lang w:val="nl-NL"/>
              </w:rPr>
              <w:t xml:space="preserve"> art. 8.1 EVRM</w:t>
            </w:r>
          </w:p>
        </w:tc>
        <w:tc>
          <w:tcPr>
            <w:tcW w:w="2552" w:type="dxa"/>
            <w:shd w:val="clear" w:color="auto" w:fill="auto"/>
          </w:tcPr>
          <w:p w14:paraId="59B70463" w14:textId="77777777" w:rsidR="008E72AF" w:rsidRPr="00A33930" w:rsidRDefault="008E72AF" w:rsidP="000A0C4C">
            <w:pPr>
              <w:cnfStyle w:val="000000000000" w:firstRow="0" w:lastRow="0" w:firstColumn="0" w:lastColumn="0" w:oddVBand="0" w:evenVBand="0" w:oddHBand="0" w:evenHBand="0" w:firstRowFirstColumn="0" w:firstRowLastColumn="0" w:lastRowFirstColumn="0" w:lastRowLastColumn="0"/>
              <w:rPr>
                <w:szCs w:val="18"/>
                <w:lang w:val="nl-NL"/>
              </w:rPr>
            </w:pPr>
            <w:r w:rsidRPr="00A33930">
              <w:rPr>
                <w:szCs w:val="18"/>
                <w:lang w:val="nl-NL"/>
              </w:rPr>
              <w:t xml:space="preserve">Art. 374, §1, vierde lid oud BW </w:t>
            </w:r>
            <w:r w:rsidRPr="00A33930">
              <w:rPr>
                <w:i/>
                <w:iCs/>
                <w:szCs w:val="18"/>
                <w:lang w:val="nl-NL"/>
              </w:rPr>
              <w:t>juncto</w:t>
            </w:r>
            <w:r w:rsidRPr="00A33930">
              <w:rPr>
                <w:szCs w:val="18"/>
                <w:lang w:val="nl-NL"/>
              </w:rPr>
              <w:t xml:space="preserve"> artikel 375</w:t>
            </w:r>
            <w:r w:rsidRPr="00A33930">
              <w:rPr>
                <w:i/>
                <w:iCs/>
                <w:szCs w:val="18"/>
                <w:lang w:val="nl-NL"/>
              </w:rPr>
              <w:t>bis</w:t>
            </w:r>
            <w:r w:rsidRPr="00A33930">
              <w:rPr>
                <w:szCs w:val="18"/>
                <w:lang w:val="nl-NL"/>
              </w:rPr>
              <w:t xml:space="preserve"> oud BW</w:t>
            </w:r>
          </w:p>
        </w:tc>
        <w:tc>
          <w:tcPr>
            <w:tcW w:w="2693" w:type="dxa"/>
            <w:shd w:val="clear" w:color="auto" w:fill="auto"/>
          </w:tcPr>
          <w:p w14:paraId="5D303DF4" w14:textId="77777777" w:rsidR="008E72AF" w:rsidRPr="00A33930" w:rsidRDefault="008E72AF" w:rsidP="000A0C4C">
            <w:pPr>
              <w:cnfStyle w:val="000000000000" w:firstRow="0" w:lastRow="0" w:firstColumn="0" w:lastColumn="0" w:oddVBand="0" w:evenVBand="0" w:oddHBand="0" w:evenHBand="0" w:firstRowFirstColumn="0" w:firstRowLastColumn="0" w:lastRowFirstColumn="0" w:lastRowLastColumn="0"/>
              <w:rPr>
                <w:szCs w:val="18"/>
                <w:lang w:val="nl-NL"/>
              </w:rPr>
            </w:pPr>
            <w:r w:rsidRPr="00A33930">
              <w:rPr>
                <w:szCs w:val="18"/>
                <w:lang w:val="nl-NL"/>
              </w:rPr>
              <w:t>Art. 1:377a, eerste lid NBW</w:t>
            </w:r>
          </w:p>
        </w:tc>
        <w:tc>
          <w:tcPr>
            <w:tcW w:w="2880" w:type="dxa"/>
            <w:shd w:val="clear" w:color="auto" w:fill="auto"/>
          </w:tcPr>
          <w:p w14:paraId="1EC59A60" w14:textId="77777777" w:rsidR="008E72AF" w:rsidRPr="00A33930" w:rsidRDefault="008E72AF" w:rsidP="000A0C4C">
            <w:pPr>
              <w:cnfStyle w:val="000000000000" w:firstRow="0" w:lastRow="0" w:firstColumn="0" w:lastColumn="0" w:oddVBand="0" w:evenVBand="0" w:oddHBand="0" w:evenHBand="0" w:firstRowFirstColumn="0" w:firstRowLastColumn="0" w:lastRowFirstColumn="0" w:lastRowLastColumn="0"/>
              <w:rPr>
                <w:szCs w:val="18"/>
                <w:lang w:val="nl-NL"/>
              </w:rPr>
            </w:pPr>
            <w:r w:rsidRPr="00A33930">
              <w:rPr>
                <w:szCs w:val="18"/>
                <w:lang w:val="nl-NL"/>
              </w:rPr>
              <w:t xml:space="preserve">Art. 1684 BGB </w:t>
            </w:r>
            <w:r w:rsidRPr="00A33930">
              <w:rPr>
                <w:i/>
                <w:iCs/>
                <w:szCs w:val="18"/>
                <w:lang w:val="nl-NL"/>
              </w:rPr>
              <w:t>juncto</w:t>
            </w:r>
            <w:r w:rsidRPr="00A33930">
              <w:rPr>
                <w:szCs w:val="18"/>
                <w:lang w:val="nl-NL"/>
              </w:rPr>
              <w:t xml:space="preserve"> art. 6 GG </w:t>
            </w:r>
          </w:p>
          <w:p w14:paraId="1DC01B76" w14:textId="77777777" w:rsidR="008E72AF" w:rsidRPr="00A33930" w:rsidRDefault="008E72AF" w:rsidP="000A0C4C">
            <w:pPr>
              <w:cnfStyle w:val="000000000000" w:firstRow="0" w:lastRow="0" w:firstColumn="0" w:lastColumn="0" w:oddVBand="0" w:evenVBand="0" w:oddHBand="0" w:evenHBand="0" w:firstRowFirstColumn="0" w:firstRowLastColumn="0" w:lastRowFirstColumn="0" w:lastRowLastColumn="0"/>
              <w:rPr>
                <w:szCs w:val="18"/>
                <w:lang w:val="nl-NL"/>
              </w:rPr>
            </w:pPr>
          </w:p>
          <w:p w14:paraId="6DEA3563" w14:textId="058D37FA" w:rsidR="008E72AF" w:rsidRPr="00A33930" w:rsidRDefault="008E72AF" w:rsidP="000A0C4C">
            <w:pPr>
              <w:cnfStyle w:val="000000000000" w:firstRow="0" w:lastRow="0" w:firstColumn="0" w:lastColumn="0" w:oddVBand="0" w:evenVBand="0" w:oddHBand="0" w:evenHBand="0" w:firstRowFirstColumn="0" w:firstRowLastColumn="0" w:lastRowFirstColumn="0" w:lastRowLastColumn="0"/>
              <w:rPr>
                <w:szCs w:val="18"/>
                <w:lang w:val="nl-NL"/>
              </w:rPr>
            </w:pPr>
            <w:r w:rsidRPr="00A33930">
              <w:rPr>
                <w:szCs w:val="18"/>
                <w:lang w:val="nl-NL"/>
              </w:rPr>
              <w:t>! fundamenteel grondrecht</w:t>
            </w:r>
          </w:p>
        </w:tc>
      </w:tr>
      <w:tr w:rsidR="003A37B3" w:rsidRPr="00A33930" w14:paraId="1E72D60E" w14:textId="77777777" w:rsidTr="008E72AF">
        <w:trPr>
          <w:cnfStyle w:val="000000100000" w:firstRow="0" w:lastRow="0" w:firstColumn="0" w:lastColumn="0" w:oddVBand="0" w:evenVBand="0" w:oddHBand="1" w:evenHBand="0" w:firstRowFirstColumn="0" w:firstRowLastColumn="0" w:lastRowFirstColumn="0" w:lastRowLastColumn="0"/>
          <w:trHeight w:val="1694"/>
        </w:trPr>
        <w:tc>
          <w:tcPr>
            <w:cnfStyle w:val="001000000000" w:firstRow="0" w:lastRow="0" w:firstColumn="1" w:lastColumn="0" w:oddVBand="0" w:evenVBand="0" w:oddHBand="0" w:evenHBand="0" w:firstRowFirstColumn="0" w:firstRowLastColumn="0" w:lastRowFirstColumn="0" w:lastRowLastColumn="0"/>
            <w:tcW w:w="3256" w:type="dxa"/>
            <w:shd w:val="clear" w:color="auto" w:fill="auto"/>
          </w:tcPr>
          <w:p w14:paraId="54A59910" w14:textId="77777777" w:rsidR="008E72AF" w:rsidRPr="00A33930" w:rsidRDefault="008E72AF" w:rsidP="000A0C4C">
            <w:pPr>
              <w:jc w:val="left"/>
              <w:rPr>
                <w:szCs w:val="18"/>
                <w:lang w:val="nl-NL"/>
              </w:rPr>
            </w:pPr>
            <w:r w:rsidRPr="00A33930">
              <w:rPr>
                <w:szCs w:val="18"/>
                <w:lang w:val="nl-NL"/>
              </w:rPr>
              <w:t>Handelings- en procesbekwaamheid kind?</w:t>
            </w:r>
          </w:p>
        </w:tc>
        <w:tc>
          <w:tcPr>
            <w:tcW w:w="2551" w:type="dxa"/>
            <w:shd w:val="clear" w:color="auto" w:fill="auto"/>
          </w:tcPr>
          <w:p w14:paraId="6FEDDD44" w14:textId="77777777" w:rsidR="008E72AF" w:rsidRPr="00A33930" w:rsidRDefault="008E72AF" w:rsidP="000A0C4C">
            <w:pPr>
              <w:cnfStyle w:val="000000100000" w:firstRow="0" w:lastRow="0" w:firstColumn="0" w:lastColumn="0" w:oddVBand="0" w:evenVBand="0" w:oddHBand="1" w:evenHBand="0" w:firstRowFirstColumn="0" w:firstRowLastColumn="0" w:lastRowFirstColumn="0" w:lastRowLastColumn="0"/>
              <w:rPr>
                <w:szCs w:val="18"/>
                <w:lang w:val="nl-NL"/>
              </w:rPr>
            </w:pPr>
            <w:r w:rsidRPr="00A33930">
              <w:rPr>
                <w:szCs w:val="18"/>
                <w:lang w:val="nl-NL"/>
              </w:rPr>
              <w:t xml:space="preserve">JA: art. 9.2 IVRK </w:t>
            </w:r>
            <w:r w:rsidRPr="00A33930">
              <w:rPr>
                <w:i/>
                <w:iCs/>
                <w:szCs w:val="18"/>
                <w:lang w:val="nl-NL"/>
              </w:rPr>
              <w:t>juncto</w:t>
            </w:r>
            <w:r w:rsidRPr="00A33930">
              <w:rPr>
                <w:szCs w:val="18"/>
                <w:lang w:val="nl-NL"/>
              </w:rPr>
              <w:t xml:space="preserve"> 12 IVRK</w:t>
            </w:r>
          </w:p>
          <w:p w14:paraId="134E6D78" w14:textId="77777777" w:rsidR="008E72AF" w:rsidRPr="00A33930" w:rsidRDefault="008E72AF" w:rsidP="000A0C4C">
            <w:pPr>
              <w:cnfStyle w:val="000000100000" w:firstRow="0" w:lastRow="0" w:firstColumn="0" w:lastColumn="0" w:oddVBand="0" w:evenVBand="0" w:oddHBand="1" w:evenHBand="0" w:firstRowFirstColumn="0" w:firstRowLastColumn="0" w:lastRowFirstColumn="0" w:lastRowLastColumn="0"/>
              <w:rPr>
                <w:szCs w:val="18"/>
                <w:lang w:val="nl-NL"/>
              </w:rPr>
            </w:pPr>
            <w:r w:rsidRPr="00A33930">
              <w:rPr>
                <w:szCs w:val="18"/>
                <w:lang w:val="nl-NL"/>
              </w:rPr>
              <w:t>+ in theorie gaat kind in eigen naam en zonder vertegenwoordiging naar EHRM (</w:t>
            </w:r>
            <w:r w:rsidRPr="00A33930">
              <w:rPr>
                <w:szCs w:val="18"/>
                <w:lang w:val="nl-NL"/>
              </w:rPr>
              <w:sym w:font="Symbol" w:char="F0DB"/>
            </w:r>
            <w:r w:rsidRPr="00A33930">
              <w:rPr>
                <w:szCs w:val="18"/>
                <w:lang w:val="nl-NL"/>
              </w:rPr>
              <w:t xml:space="preserve"> praktijk)</w:t>
            </w:r>
          </w:p>
        </w:tc>
        <w:tc>
          <w:tcPr>
            <w:tcW w:w="2552" w:type="dxa"/>
            <w:shd w:val="clear" w:color="auto" w:fill="auto"/>
          </w:tcPr>
          <w:p w14:paraId="42CA607F" w14:textId="77777777" w:rsidR="008E72AF" w:rsidRPr="00A33930" w:rsidRDefault="008E72AF" w:rsidP="000A0C4C">
            <w:pPr>
              <w:cnfStyle w:val="000000100000" w:firstRow="0" w:lastRow="0" w:firstColumn="0" w:lastColumn="0" w:oddVBand="0" w:evenVBand="0" w:oddHBand="1" w:evenHBand="0" w:firstRowFirstColumn="0" w:firstRowLastColumn="0" w:lastRowFirstColumn="0" w:lastRowLastColumn="0"/>
              <w:rPr>
                <w:szCs w:val="18"/>
                <w:lang w:val="nl-NL"/>
              </w:rPr>
            </w:pPr>
            <w:r w:rsidRPr="00A33930">
              <w:rPr>
                <w:szCs w:val="18"/>
                <w:lang w:val="nl-NL"/>
              </w:rPr>
              <w:t>Algemeen handelingsonbekwaam + principieel procesonbekwaam behoudens uitzonderingen (≠ persoonlijk contact)</w:t>
            </w:r>
          </w:p>
        </w:tc>
        <w:tc>
          <w:tcPr>
            <w:tcW w:w="2693" w:type="dxa"/>
            <w:shd w:val="clear" w:color="auto" w:fill="auto"/>
          </w:tcPr>
          <w:p w14:paraId="68E4C20C" w14:textId="77777777" w:rsidR="008E72AF" w:rsidRPr="00A33930" w:rsidRDefault="008E72AF" w:rsidP="000A0C4C">
            <w:pPr>
              <w:cnfStyle w:val="000000100000" w:firstRow="0" w:lastRow="0" w:firstColumn="0" w:lastColumn="0" w:oddVBand="0" w:evenVBand="0" w:oddHBand="1" w:evenHBand="0" w:firstRowFirstColumn="0" w:firstRowLastColumn="0" w:lastRowFirstColumn="0" w:lastRowLastColumn="0"/>
              <w:rPr>
                <w:szCs w:val="18"/>
                <w:lang w:val="nl-NL"/>
              </w:rPr>
            </w:pPr>
            <w:r w:rsidRPr="00A33930">
              <w:rPr>
                <w:szCs w:val="18"/>
                <w:lang w:val="nl-NL"/>
              </w:rPr>
              <w:t xml:space="preserve">Partieel handelingsbekwaam + procesonbekwaam, tenzij informele rechtsingang omgangsregelingen: </w:t>
            </w:r>
            <w:r w:rsidRPr="00A33930">
              <w:rPr>
                <w:rFonts w:eastAsia="Verdana" w:cs="Verdana"/>
                <w:szCs w:val="18"/>
                <w:lang w:val="nl-NL"/>
              </w:rPr>
              <w:t xml:space="preserve"> </w:t>
            </w:r>
            <w:r w:rsidRPr="00A33930">
              <w:rPr>
                <w:rFonts w:eastAsia="Verdana"/>
                <w:szCs w:val="18"/>
                <w:lang w:val="nl-NL"/>
              </w:rPr>
              <w:t>artikel 1:377g NBW</w:t>
            </w:r>
          </w:p>
        </w:tc>
        <w:tc>
          <w:tcPr>
            <w:tcW w:w="2880" w:type="dxa"/>
            <w:shd w:val="clear" w:color="auto" w:fill="auto"/>
          </w:tcPr>
          <w:p w14:paraId="2AF5455D" w14:textId="77777777" w:rsidR="008E72AF" w:rsidRPr="00A33930" w:rsidRDefault="008E72AF" w:rsidP="000A0C4C">
            <w:pPr>
              <w:cnfStyle w:val="000000100000" w:firstRow="0" w:lastRow="0" w:firstColumn="0" w:lastColumn="0" w:oddVBand="0" w:evenVBand="0" w:oddHBand="1" w:evenHBand="0" w:firstRowFirstColumn="0" w:firstRowLastColumn="0" w:lastRowFirstColumn="0" w:lastRowLastColumn="0"/>
              <w:rPr>
                <w:szCs w:val="18"/>
                <w:lang w:val="nl-NL"/>
              </w:rPr>
            </w:pPr>
            <w:r w:rsidRPr="00A33930">
              <w:rPr>
                <w:szCs w:val="18"/>
                <w:lang w:val="nl-NL"/>
              </w:rPr>
              <w:t>Handelingsonbekwaam tot 7j + procesonbekwaam, tenzij vertegenwoordiging</w:t>
            </w:r>
          </w:p>
        </w:tc>
      </w:tr>
      <w:tr w:rsidR="003A37B3" w:rsidRPr="00A33930" w14:paraId="39ECF08D" w14:textId="77777777" w:rsidTr="008E72AF">
        <w:trPr>
          <w:trHeight w:val="981"/>
        </w:trPr>
        <w:tc>
          <w:tcPr>
            <w:cnfStyle w:val="001000000000" w:firstRow="0" w:lastRow="0" w:firstColumn="1" w:lastColumn="0" w:oddVBand="0" w:evenVBand="0" w:oddHBand="0" w:evenHBand="0" w:firstRowFirstColumn="0" w:firstRowLastColumn="0" w:lastRowFirstColumn="0" w:lastRowLastColumn="0"/>
            <w:tcW w:w="3256" w:type="dxa"/>
            <w:shd w:val="clear" w:color="auto" w:fill="auto"/>
          </w:tcPr>
          <w:p w14:paraId="368AA5B0" w14:textId="77777777" w:rsidR="008E72AF" w:rsidRPr="00A33930" w:rsidRDefault="008E72AF" w:rsidP="000A0C4C">
            <w:pPr>
              <w:jc w:val="left"/>
              <w:rPr>
                <w:szCs w:val="18"/>
                <w:lang w:val="nl-NL"/>
              </w:rPr>
            </w:pPr>
            <w:r w:rsidRPr="00A33930">
              <w:rPr>
                <w:szCs w:val="18"/>
                <w:lang w:val="nl-NL"/>
              </w:rPr>
              <w:t>Doel ouderlijke verantwoordelijkheden</w:t>
            </w:r>
          </w:p>
        </w:tc>
        <w:tc>
          <w:tcPr>
            <w:tcW w:w="2551" w:type="dxa"/>
            <w:shd w:val="clear" w:color="auto" w:fill="auto"/>
          </w:tcPr>
          <w:p w14:paraId="0003192C" w14:textId="77777777" w:rsidR="008E72AF" w:rsidRPr="00A33930" w:rsidRDefault="008E72AF" w:rsidP="000A0C4C">
            <w:pPr>
              <w:cnfStyle w:val="000000000000" w:firstRow="0" w:lastRow="0" w:firstColumn="0" w:lastColumn="0" w:oddVBand="0" w:evenVBand="0" w:oddHBand="0" w:evenHBand="0" w:firstRowFirstColumn="0" w:firstRowLastColumn="0" w:lastRowFirstColumn="0" w:lastRowLastColumn="0"/>
              <w:rPr>
                <w:szCs w:val="18"/>
                <w:lang w:val="nl-NL"/>
              </w:rPr>
            </w:pPr>
            <w:r w:rsidRPr="00A33930">
              <w:rPr>
                <w:szCs w:val="18"/>
                <w:lang w:val="nl-NL"/>
              </w:rPr>
              <w:t>Art. 5 IVRK: leiden en begeleiden kind</w:t>
            </w:r>
          </w:p>
        </w:tc>
        <w:tc>
          <w:tcPr>
            <w:tcW w:w="2552" w:type="dxa"/>
            <w:shd w:val="clear" w:color="auto" w:fill="auto"/>
          </w:tcPr>
          <w:p w14:paraId="11E9645C" w14:textId="77777777" w:rsidR="008E72AF" w:rsidRPr="00A33930" w:rsidRDefault="008E72AF" w:rsidP="000A0C4C">
            <w:pPr>
              <w:cnfStyle w:val="000000000000" w:firstRow="0" w:lastRow="0" w:firstColumn="0" w:lastColumn="0" w:oddVBand="0" w:evenVBand="0" w:oddHBand="0" w:evenHBand="0" w:firstRowFirstColumn="0" w:firstRowLastColumn="0" w:lastRowFirstColumn="0" w:lastRowLastColumn="0"/>
              <w:rPr>
                <w:szCs w:val="18"/>
                <w:lang w:val="nl-NL"/>
              </w:rPr>
            </w:pPr>
            <w:r w:rsidRPr="00A33930">
              <w:rPr>
                <w:szCs w:val="18"/>
                <w:lang w:val="nl-NL"/>
              </w:rPr>
              <w:t>Leiden en begeleiden kind tot zelfstandig rechtssubject, maar kind blijft rechtsobject</w:t>
            </w:r>
          </w:p>
        </w:tc>
        <w:tc>
          <w:tcPr>
            <w:tcW w:w="2693" w:type="dxa"/>
            <w:shd w:val="clear" w:color="auto" w:fill="auto"/>
          </w:tcPr>
          <w:p w14:paraId="41BBD9D1" w14:textId="77777777" w:rsidR="008E72AF" w:rsidRPr="00A33930" w:rsidRDefault="008E72AF" w:rsidP="000A0C4C">
            <w:pPr>
              <w:cnfStyle w:val="000000000000" w:firstRow="0" w:lastRow="0" w:firstColumn="0" w:lastColumn="0" w:oddVBand="0" w:evenVBand="0" w:oddHBand="0" w:evenHBand="0" w:firstRowFirstColumn="0" w:firstRowLastColumn="0" w:lastRowFirstColumn="0" w:lastRowLastColumn="0"/>
              <w:rPr>
                <w:szCs w:val="18"/>
                <w:lang w:val="nl-NL"/>
              </w:rPr>
            </w:pPr>
            <w:r w:rsidRPr="00A33930">
              <w:rPr>
                <w:szCs w:val="18"/>
                <w:lang w:val="nl-NL"/>
              </w:rPr>
              <w:t>Verzorgen en opvoeden; zowel een recht als een plicht</w:t>
            </w:r>
          </w:p>
        </w:tc>
        <w:tc>
          <w:tcPr>
            <w:tcW w:w="2880" w:type="dxa"/>
            <w:shd w:val="clear" w:color="auto" w:fill="auto"/>
          </w:tcPr>
          <w:p w14:paraId="5E9FF7A9" w14:textId="77777777" w:rsidR="008E72AF" w:rsidRPr="00A33930" w:rsidRDefault="008E72AF" w:rsidP="000A0C4C">
            <w:pPr>
              <w:cnfStyle w:val="000000000000" w:firstRow="0" w:lastRow="0" w:firstColumn="0" w:lastColumn="0" w:oddVBand="0" w:evenVBand="0" w:oddHBand="0" w:evenHBand="0" w:firstRowFirstColumn="0" w:firstRowLastColumn="0" w:lastRowFirstColumn="0" w:lastRowLastColumn="0"/>
              <w:rPr>
                <w:szCs w:val="18"/>
                <w:lang w:val="nl-NL"/>
              </w:rPr>
            </w:pPr>
            <w:r w:rsidRPr="00A33930">
              <w:rPr>
                <w:szCs w:val="18"/>
                <w:lang w:val="nl-NL"/>
              </w:rPr>
              <w:t>Verzorgen en opvoeden; zowel een recht als een plicht</w:t>
            </w:r>
          </w:p>
        </w:tc>
      </w:tr>
      <w:tr w:rsidR="003A37B3" w:rsidRPr="00A33930" w14:paraId="14183125" w14:textId="77777777" w:rsidTr="000A0C4C">
        <w:trPr>
          <w:cnfStyle w:val="000000100000" w:firstRow="0" w:lastRow="0" w:firstColumn="0" w:lastColumn="0" w:oddVBand="0" w:evenVBand="0" w:oddHBand="1" w:evenHBand="0"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3256" w:type="dxa"/>
            <w:shd w:val="clear" w:color="auto" w:fill="auto"/>
          </w:tcPr>
          <w:p w14:paraId="51D5291D" w14:textId="77777777" w:rsidR="008E72AF" w:rsidRPr="00A33930" w:rsidRDefault="008E72AF" w:rsidP="000A0C4C">
            <w:pPr>
              <w:jc w:val="left"/>
              <w:rPr>
                <w:i w:val="0"/>
                <w:iCs w:val="0"/>
                <w:szCs w:val="18"/>
                <w:lang w:val="nl-NL"/>
              </w:rPr>
            </w:pPr>
            <w:r w:rsidRPr="00A33930">
              <w:rPr>
                <w:szCs w:val="18"/>
                <w:lang w:val="nl-NL"/>
              </w:rPr>
              <w:t>Recht van…</w:t>
            </w:r>
          </w:p>
        </w:tc>
        <w:tc>
          <w:tcPr>
            <w:tcW w:w="2551" w:type="dxa"/>
            <w:shd w:val="clear" w:color="auto" w:fill="auto"/>
          </w:tcPr>
          <w:p w14:paraId="799719D8" w14:textId="77777777" w:rsidR="008E72AF" w:rsidRPr="00A33930" w:rsidRDefault="008E72AF" w:rsidP="000A0C4C">
            <w:pPr>
              <w:cnfStyle w:val="000000100000" w:firstRow="0" w:lastRow="0" w:firstColumn="0" w:lastColumn="0" w:oddVBand="0" w:evenVBand="0" w:oddHBand="1" w:evenHBand="0" w:firstRowFirstColumn="0" w:firstRowLastColumn="0" w:lastRowFirstColumn="0" w:lastRowLastColumn="0"/>
              <w:rPr>
                <w:szCs w:val="18"/>
                <w:lang w:val="nl-NL"/>
              </w:rPr>
            </w:pPr>
            <w:r w:rsidRPr="00A33930">
              <w:rPr>
                <w:szCs w:val="18"/>
                <w:lang w:val="nl-NL"/>
              </w:rPr>
              <w:t>Kind (wederkerig)</w:t>
            </w:r>
          </w:p>
        </w:tc>
        <w:tc>
          <w:tcPr>
            <w:tcW w:w="2552" w:type="dxa"/>
            <w:shd w:val="clear" w:color="auto" w:fill="auto"/>
          </w:tcPr>
          <w:p w14:paraId="34C76B48" w14:textId="77777777" w:rsidR="008E72AF" w:rsidRPr="00A33930" w:rsidRDefault="008E72AF" w:rsidP="000A0C4C">
            <w:pPr>
              <w:cnfStyle w:val="000000100000" w:firstRow="0" w:lastRow="0" w:firstColumn="0" w:lastColumn="0" w:oddVBand="0" w:evenVBand="0" w:oddHBand="1" w:evenHBand="0" w:firstRowFirstColumn="0" w:firstRowLastColumn="0" w:lastRowFirstColumn="0" w:lastRowLastColumn="0"/>
              <w:rPr>
                <w:szCs w:val="18"/>
                <w:lang w:val="nl-NL"/>
              </w:rPr>
            </w:pPr>
            <w:r w:rsidRPr="00A33930">
              <w:rPr>
                <w:szCs w:val="18"/>
                <w:lang w:val="nl-NL"/>
              </w:rPr>
              <w:t>Ouder(s), grootouders, derden met een bijzonder affectieve band, broers en zussen = recht van volwassenen op kind</w:t>
            </w:r>
          </w:p>
        </w:tc>
        <w:tc>
          <w:tcPr>
            <w:tcW w:w="2693" w:type="dxa"/>
            <w:shd w:val="clear" w:color="auto" w:fill="auto"/>
          </w:tcPr>
          <w:p w14:paraId="616B6DB7" w14:textId="77777777" w:rsidR="008E72AF" w:rsidRPr="00A33930" w:rsidRDefault="008E72AF" w:rsidP="000A0C4C">
            <w:pPr>
              <w:cnfStyle w:val="000000100000" w:firstRow="0" w:lastRow="0" w:firstColumn="0" w:lastColumn="0" w:oddVBand="0" w:evenVBand="0" w:oddHBand="1" w:evenHBand="0" w:firstRowFirstColumn="0" w:firstRowLastColumn="0" w:lastRowFirstColumn="0" w:lastRowLastColumn="0"/>
              <w:rPr>
                <w:szCs w:val="18"/>
                <w:lang w:val="nl-NL"/>
              </w:rPr>
            </w:pPr>
            <w:r w:rsidRPr="00A33930">
              <w:rPr>
                <w:szCs w:val="18"/>
                <w:lang w:val="nl-NL"/>
              </w:rPr>
              <w:t>Kind (wederkerig)</w:t>
            </w:r>
          </w:p>
        </w:tc>
        <w:tc>
          <w:tcPr>
            <w:tcW w:w="2880" w:type="dxa"/>
            <w:shd w:val="clear" w:color="auto" w:fill="auto"/>
          </w:tcPr>
          <w:p w14:paraId="715CE709" w14:textId="77777777" w:rsidR="008E72AF" w:rsidRPr="00A33930" w:rsidRDefault="008E72AF" w:rsidP="000A0C4C">
            <w:pPr>
              <w:cnfStyle w:val="000000100000" w:firstRow="0" w:lastRow="0" w:firstColumn="0" w:lastColumn="0" w:oddVBand="0" w:evenVBand="0" w:oddHBand="1" w:evenHBand="0" w:firstRowFirstColumn="0" w:firstRowLastColumn="0" w:lastRowFirstColumn="0" w:lastRowLastColumn="0"/>
              <w:rPr>
                <w:szCs w:val="18"/>
                <w:lang w:val="nl-NL"/>
              </w:rPr>
            </w:pPr>
            <w:r w:rsidRPr="00A33930">
              <w:rPr>
                <w:szCs w:val="18"/>
                <w:lang w:val="nl-NL"/>
              </w:rPr>
              <w:t>Kind (wederkerig)</w:t>
            </w:r>
          </w:p>
        </w:tc>
      </w:tr>
      <w:tr w:rsidR="003A37B3" w:rsidRPr="00A33930" w14:paraId="57C2CCF5" w14:textId="77777777" w:rsidTr="000A0C4C">
        <w:trPr>
          <w:trHeight w:val="340"/>
        </w:trPr>
        <w:tc>
          <w:tcPr>
            <w:cnfStyle w:val="001000000000" w:firstRow="0" w:lastRow="0" w:firstColumn="1" w:lastColumn="0" w:oddVBand="0" w:evenVBand="0" w:oddHBand="0" w:evenHBand="0" w:firstRowFirstColumn="0" w:firstRowLastColumn="0" w:lastRowFirstColumn="0" w:lastRowLastColumn="0"/>
            <w:tcW w:w="13932" w:type="dxa"/>
            <w:gridSpan w:val="5"/>
            <w:shd w:val="clear" w:color="auto" w:fill="F2F2F2" w:themeFill="background1" w:themeFillShade="F2"/>
            <w:vAlign w:val="center"/>
          </w:tcPr>
          <w:p w14:paraId="7F220911" w14:textId="77777777" w:rsidR="008E72AF" w:rsidRPr="00A33930" w:rsidRDefault="008E72AF" w:rsidP="000A0C4C">
            <w:pPr>
              <w:jc w:val="left"/>
              <w:rPr>
                <w:b/>
                <w:bCs/>
                <w:szCs w:val="18"/>
                <w:lang w:val="nl-NL"/>
              </w:rPr>
            </w:pPr>
            <w:r w:rsidRPr="00A33930">
              <w:rPr>
                <w:b/>
                <w:bCs/>
                <w:szCs w:val="18"/>
                <w:lang w:val="nl-NL"/>
              </w:rPr>
              <w:lastRenderedPageBreak/>
              <w:t>In de praktijk</w:t>
            </w:r>
          </w:p>
        </w:tc>
      </w:tr>
      <w:tr w:rsidR="003A37B3" w:rsidRPr="00A33930" w14:paraId="6EA55BBD" w14:textId="77777777" w:rsidTr="008E72AF">
        <w:trPr>
          <w:cnfStyle w:val="000000100000" w:firstRow="0" w:lastRow="0" w:firstColumn="0" w:lastColumn="0" w:oddVBand="0" w:evenVBand="0" w:oddHBand="1"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3256" w:type="dxa"/>
            <w:shd w:val="clear" w:color="auto" w:fill="auto"/>
          </w:tcPr>
          <w:p w14:paraId="673DAF8A" w14:textId="77777777" w:rsidR="008E72AF" w:rsidRPr="00A33930" w:rsidRDefault="008E72AF" w:rsidP="000A0C4C">
            <w:pPr>
              <w:jc w:val="left"/>
              <w:rPr>
                <w:i w:val="0"/>
                <w:iCs w:val="0"/>
                <w:szCs w:val="18"/>
                <w:lang w:val="nl-NL"/>
              </w:rPr>
            </w:pPr>
            <w:r w:rsidRPr="00A33930">
              <w:rPr>
                <w:szCs w:val="18"/>
                <w:lang w:val="nl-NL"/>
              </w:rPr>
              <w:t>Beoordelingselementen</w:t>
            </w:r>
          </w:p>
        </w:tc>
        <w:tc>
          <w:tcPr>
            <w:tcW w:w="2551" w:type="dxa"/>
            <w:shd w:val="clear" w:color="auto" w:fill="auto"/>
          </w:tcPr>
          <w:p w14:paraId="4484277C" w14:textId="77777777" w:rsidR="008E72AF" w:rsidRPr="00A33930" w:rsidRDefault="008E72AF" w:rsidP="000A0C4C">
            <w:pPr>
              <w:cnfStyle w:val="000000100000" w:firstRow="0" w:lastRow="0" w:firstColumn="0" w:lastColumn="0" w:oddVBand="0" w:evenVBand="0" w:oddHBand="1" w:evenHBand="0" w:firstRowFirstColumn="0" w:firstRowLastColumn="0" w:lastRowFirstColumn="0" w:lastRowLastColumn="0"/>
              <w:rPr>
                <w:szCs w:val="18"/>
                <w:lang w:val="nl-NL"/>
              </w:rPr>
            </w:pPr>
            <w:r w:rsidRPr="00A33930">
              <w:rPr>
                <w:szCs w:val="18"/>
                <w:lang w:val="nl-NL"/>
              </w:rPr>
              <w:t>Belang van het kind: art. 3.1 IVRK</w:t>
            </w:r>
          </w:p>
          <w:p w14:paraId="1CEB9E89" w14:textId="77777777" w:rsidR="008E72AF" w:rsidRPr="00A33930" w:rsidRDefault="008E72AF" w:rsidP="000A0C4C">
            <w:pPr>
              <w:cnfStyle w:val="000000100000" w:firstRow="0" w:lastRow="0" w:firstColumn="0" w:lastColumn="0" w:oddVBand="0" w:evenVBand="0" w:oddHBand="1" w:evenHBand="0" w:firstRowFirstColumn="0" w:firstRowLastColumn="0" w:lastRowFirstColumn="0" w:lastRowLastColumn="0"/>
              <w:rPr>
                <w:szCs w:val="18"/>
                <w:lang w:val="nl-NL"/>
              </w:rPr>
            </w:pPr>
            <w:r w:rsidRPr="00A33930">
              <w:rPr>
                <w:szCs w:val="18"/>
                <w:lang w:val="nl-NL"/>
              </w:rPr>
              <w:t>Mening van het kind: art. 12 IVRK</w:t>
            </w:r>
          </w:p>
        </w:tc>
        <w:tc>
          <w:tcPr>
            <w:tcW w:w="2552" w:type="dxa"/>
            <w:shd w:val="clear" w:color="auto" w:fill="auto"/>
          </w:tcPr>
          <w:p w14:paraId="162DA31F" w14:textId="77777777" w:rsidR="008E72AF" w:rsidRPr="00A33930" w:rsidRDefault="008E72AF" w:rsidP="000A0C4C">
            <w:pPr>
              <w:cnfStyle w:val="000000100000" w:firstRow="0" w:lastRow="0" w:firstColumn="0" w:lastColumn="0" w:oddVBand="0" w:evenVBand="0" w:oddHBand="1" w:evenHBand="0" w:firstRowFirstColumn="0" w:firstRowLastColumn="0" w:lastRowFirstColumn="0" w:lastRowLastColumn="0"/>
              <w:rPr>
                <w:szCs w:val="18"/>
                <w:lang w:val="nl-NL"/>
              </w:rPr>
            </w:pPr>
            <w:r w:rsidRPr="00A33930">
              <w:rPr>
                <w:szCs w:val="18"/>
                <w:lang w:val="nl-NL"/>
              </w:rPr>
              <w:t>Belang van het kind: art. 22</w:t>
            </w:r>
            <w:r w:rsidRPr="00A33930">
              <w:rPr>
                <w:i/>
                <w:iCs/>
                <w:szCs w:val="18"/>
                <w:lang w:val="nl-NL"/>
              </w:rPr>
              <w:t>bis</w:t>
            </w:r>
            <w:r w:rsidRPr="00A33930">
              <w:rPr>
                <w:szCs w:val="18"/>
                <w:lang w:val="nl-NL"/>
              </w:rPr>
              <w:t>, vierde lid Gw.</w:t>
            </w:r>
          </w:p>
          <w:p w14:paraId="6FD79C53" w14:textId="77777777" w:rsidR="008E72AF" w:rsidRPr="00A33930" w:rsidRDefault="008E72AF" w:rsidP="000A0C4C">
            <w:pPr>
              <w:cnfStyle w:val="000000100000" w:firstRow="0" w:lastRow="0" w:firstColumn="0" w:lastColumn="0" w:oddVBand="0" w:evenVBand="0" w:oddHBand="1" w:evenHBand="0" w:firstRowFirstColumn="0" w:firstRowLastColumn="0" w:lastRowFirstColumn="0" w:lastRowLastColumn="0"/>
              <w:rPr>
                <w:szCs w:val="18"/>
                <w:lang w:val="nl-NL"/>
              </w:rPr>
            </w:pPr>
            <w:r w:rsidRPr="00A33930">
              <w:rPr>
                <w:szCs w:val="18"/>
                <w:lang w:val="nl-NL"/>
              </w:rPr>
              <w:t>Mening van het kind: art. 1004/1 en /2 Ger.W.</w:t>
            </w:r>
          </w:p>
        </w:tc>
        <w:tc>
          <w:tcPr>
            <w:tcW w:w="2693" w:type="dxa"/>
            <w:shd w:val="clear" w:color="auto" w:fill="auto"/>
          </w:tcPr>
          <w:p w14:paraId="3D95019B" w14:textId="77777777" w:rsidR="008E72AF" w:rsidRPr="00A33930" w:rsidRDefault="008E72AF" w:rsidP="000A0C4C">
            <w:pPr>
              <w:cnfStyle w:val="000000100000" w:firstRow="0" w:lastRow="0" w:firstColumn="0" w:lastColumn="0" w:oddVBand="0" w:evenVBand="0" w:oddHBand="1" w:evenHBand="0" w:firstRowFirstColumn="0" w:firstRowLastColumn="0" w:lastRowFirstColumn="0" w:lastRowLastColumn="0"/>
              <w:rPr>
                <w:szCs w:val="18"/>
                <w:lang w:val="nl-NL"/>
              </w:rPr>
            </w:pPr>
            <w:r w:rsidRPr="00A33930">
              <w:rPr>
                <w:szCs w:val="18"/>
                <w:lang w:val="nl-NL"/>
              </w:rPr>
              <w:t>Belang van het kind</w:t>
            </w:r>
          </w:p>
          <w:p w14:paraId="186B6F0D" w14:textId="77777777" w:rsidR="008E72AF" w:rsidRPr="00A33930" w:rsidRDefault="008E72AF" w:rsidP="000A0C4C">
            <w:pPr>
              <w:cnfStyle w:val="000000100000" w:firstRow="0" w:lastRow="0" w:firstColumn="0" w:lastColumn="0" w:oddVBand="0" w:evenVBand="0" w:oddHBand="1" w:evenHBand="0" w:firstRowFirstColumn="0" w:firstRowLastColumn="0" w:lastRowFirstColumn="0" w:lastRowLastColumn="0"/>
              <w:rPr>
                <w:szCs w:val="18"/>
                <w:lang w:val="nl-NL"/>
              </w:rPr>
            </w:pPr>
            <w:r w:rsidRPr="00A33930">
              <w:rPr>
                <w:szCs w:val="18"/>
                <w:lang w:val="nl-NL"/>
              </w:rPr>
              <w:t>Mening van het kind</w:t>
            </w:r>
          </w:p>
        </w:tc>
        <w:tc>
          <w:tcPr>
            <w:tcW w:w="2880" w:type="dxa"/>
            <w:shd w:val="clear" w:color="auto" w:fill="auto"/>
          </w:tcPr>
          <w:p w14:paraId="6C901418" w14:textId="77777777" w:rsidR="008E72AF" w:rsidRPr="00A33930" w:rsidRDefault="008E72AF" w:rsidP="000A0C4C">
            <w:pPr>
              <w:cnfStyle w:val="000000100000" w:firstRow="0" w:lastRow="0" w:firstColumn="0" w:lastColumn="0" w:oddVBand="0" w:evenVBand="0" w:oddHBand="1" w:evenHBand="0" w:firstRowFirstColumn="0" w:firstRowLastColumn="0" w:lastRowFirstColumn="0" w:lastRowLastColumn="0"/>
              <w:rPr>
                <w:szCs w:val="18"/>
                <w:lang w:val="nl-NL"/>
              </w:rPr>
            </w:pPr>
            <w:r w:rsidRPr="00A33930">
              <w:rPr>
                <w:szCs w:val="18"/>
                <w:lang w:val="nl-NL"/>
              </w:rPr>
              <w:t>Belang van het kind</w:t>
            </w:r>
          </w:p>
          <w:p w14:paraId="6E5FDCC5" w14:textId="77777777" w:rsidR="008E72AF" w:rsidRPr="00A33930" w:rsidRDefault="008E72AF" w:rsidP="000A0C4C">
            <w:pPr>
              <w:cnfStyle w:val="000000100000" w:firstRow="0" w:lastRow="0" w:firstColumn="0" w:lastColumn="0" w:oddVBand="0" w:evenVBand="0" w:oddHBand="1" w:evenHBand="0" w:firstRowFirstColumn="0" w:firstRowLastColumn="0" w:lastRowFirstColumn="0" w:lastRowLastColumn="0"/>
              <w:rPr>
                <w:szCs w:val="18"/>
                <w:lang w:val="nl-NL"/>
              </w:rPr>
            </w:pPr>
            <w:r w:rsidRPr="00A33930">
              <w:rPr>
                <w:szCs w:val="18"/>
                <w:lang w:val="nl-NL"/>
              </w:rPr>
              <w:t>Mening van het kind</w:t>
            </w:r>
          </w:p>
        </w:tc>
      </w:tr>
      <w:tr w:rsidR="003A37B3" w:rsidRPr="00A33930" w14:paraId="72F6A17F" w14:textId="77777777" w:rsidTr="008E72AF">
        <w:trPr>
          <w:trHeight w:val="1123"/>
        </w:trPr>
        <w:tc>
          <w:tcPr>
            <w:cnfStyle w:val="001000000000" w:firstRow="0" w:lastRow="0" w:firstColumn="1" w:lastColumn="0" w:oddVBand="0" w:evenVBand="0" w:oddHBand="0" w:evenHBand="0" w:firstRowFirstColumn="0" w:firstRowLastColumn="0" w:lastRowFirstColumn="0" w:lastRowLastColumn="0"/>
            <w:tcW w:w="3256" w:type="dxa"/>
            <w:shd w:val="clear" w:color="auto" w:fill="auto"/>
          </w:tcPr>
          <w:p w14:paraId="58BD4A55" w14:textId="77777777" w:rsidR="008E72AF" w:rsidRPr="00A33930" w:rsidRDefault="008E72AF" w:rsidP="000A0C4C">
            <w:pPr>
              <w:jc w:val="left"/>
              <w:rPr>
                <w:szCs w:val="18"/>
                <w:lang w:val="nl-NL"/>
              </w:rPr>
            </w:pPr>
            <w:r w:rsidRPr="00A33930">
              <w:rPr>
                <w:szCs w:val="18"/>
                <w:lang w:val="nl-NL"/>
              </w:rPr>
              <w:t>Kan het kind naar de rechtbank?</w:t>
            </w:r>
          </w:p>
        </w:tc>
        <w:tc>
          <w:tcPr>
            <w:tcW w:w="2551" w:type="dxa"/>
            <w:shd w:val="clear" w:color="auto" w:fill="auto"/>
          </w:tcPr>
          <w:p w14:paraId="70D995A3" w14:textId="77777777" w:rsidR="008E72AF" w:rsidRPr="00A33930" w:rsidRDefault="008E72AF" w:rsidP="000A0C4C">
            <w:pPr>
              <w:cnfStyle w:val="000000000000" w:firstRow="0" w:lastRow="0" w:firstColumn="0" w:lastColumn="0" w:oddVBand="0" w:evenVBand="0" w:oddHBand="0" w:evenHBand="0" w:firstRowFirstColumn="0" w:firstRowLastColumn="0" w:lastRowFirstColumn="0" w:lastRowLastColumn="0"/>
              <w:rPr>
                <w:szCs w:val="18"/>
                <w:lang w:val="nl-NL"/>
              </w:rPr>
            </w:pPr>
            <w:r w:rsidRPr="00A33930">
              <w:rPr>
                <w:szCs w:val="18"/>
                <w:lang w:val="nl-NL"/>
              </w:rPr>
              <w:t>Kind is voor het EHRM procesbekwaam, mits vertegenwoordiging</w:t>
            </w:r>
          </w:p>
        </w:tc>
        <w:tc>
          <w:tcPr>
            <w:tcW w:w="2552" w:type="dxa"/>
            <w:shd w:val="clear" w:color="auto" w:fill="auto"/>
          </w:tcPr>
          <w:p w14:paraId="664E8A98" w14:textId="77777777" w:rsidR="008E72AF" w:rsidRPr="00A33930" w:rsidRDefault="008E72AF" w:rsidP="000A0C4C">
            <w:pPr>
              <w:cnfStyle w:val="000000000000" w:firstRow="0" w:lastRow="0" w:firstColumn="0" w:lastColumn="0" w:oddVBand="0" w:evenVBand="0" w:oddHBand="0" w:evenHBand="0" w:firstRowFirstColumn="0" w:firstRowLastColumn="0" w:lastRowFirstColumn="0" w:lastRowLastColumn="0"/>
              <w:rPr>
                <w:szCs w:val="18"/>
                <w:lang w:val="nl-NL"/>
              </w:rPr>
            </w:pPr>
            <w:r w:rsidRPr="00A33930">
              <w:rPr>
                <w:szCs w:val="18"/>
                <w:lang w:val="nl-NL"/>
              </w:rPr>
              <w:t>Enkel mogelijk voor volwassenen, niet voor kind wegens procesonbekwaamheid</w:t>
            </w:r>
          </w:p>
        </w:tc>
        <w:tc>
          <w:tcPr>
            <w:tcW w:w="2693" w:type="dxa"/>
            <w:shd w:val="clear" w:color="auto" w:fill="auto"/>
          </w:tcPr>
          <w:p w14:paraId="6E27D723" w14:textId="77777777" w:rsidR="008E72AF" w:rsidRPr="00A33930" w:rsidRDefault="008E72AF" w:rsidP="000A0C4C">
            <w:pPr>
              <w:cnfStyle w:val="000000000000" w:firstRow="0" w:lastRow="0" w:firstColumn="0" w:lastColumn="0" w:oddVBand="0" w:evenVBand="0" w:oddHBand="0" w:evenHBand="0" w:firstRowFirstColumn="0" w:firstRowLastColumn="0" w:lastRowFirstColumn="0" w:lastRowLastColumn="0"/>
              <w:rPr>
                <w:szCs w:val="18"/>
                <w:lang w:val="nl-NL"/>
              </w:rPr>
            </w:pPr>
            <w:r w:rsidRPr="00A33930">
              <w:rPr>
                <w:szCs w:val="18"/>
                <w:lang w:val="nl-NL"/>
              </w:rPr>
              <w:t>Kind is procesonbekwaam maar informele rechtsingang mogelijk voor omgangsregelingen</w:t>
            </w:r>
          </w:p>
        </w:tc>
        <w:tc>
          <w:tcPr>
            <w:tcW w:w="2880" w:type="dxa"/>
            <w:shd w:val="clear" w:color="auto" w:fill="auto"/>
          </w:tcPr>
          <w:p w14:paraId="09754577" w14:textId="77777777" w:rsidR="008E72AF" w:rsidRPr="00A33930" w:rsidRDefault="008E72AF" w:rsidP="000A0C4C">
            <w:pPr>
              <w:cnfStyle w:val="000000000000" w:firstRow="0" w:lastRow="0" w:firstColumn="0" w:lastColumn="0" w:oddVBand="0" w:evenVBand="0" w:oddHBand="0" w:evenHBand="0" w:firstRowFirstColumn="0" w:firstRowLastColumn="0" w:lastRowFirstColumn="0" w:lastRowLastColumn="0"/>
              <w:rPr>
                <w:szCs w:val="18"/>
                <w:lang w:val="nl-NL"/>
              </w:rPr>
            </w:pPr>
            <w:r w:rsidRPr="00A33930">
              <w:rPr>
                <w:szCs w:val="18"/>
                <w:lang w:val="nl-NL"/>
              </w:rPr>
              <w:t>In naam van het kind, via vertegenwoordiging</w:t>
            </w:r>
          </w:p>
        </w:tc>
      </w:tr>
      <w:tr w:rsidR="003A37B3" w:rsidRPr="00A33930" w14:paraId="2C93E1C4" w14:textId="77777777" w:rsidTr="000A0C4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932" w:type="dxa"/>
            <w:gridSpan w:val="5"/>
            <w:shd w:val="clear" w:color="auto" w:fill="F2F2F2" w:themeFill="background1" w:themeFillShade="F2"/>
            <w:vAlign w:val="center"/>
          </w:tcPr>
          <w:p w14:paraId="7A9E78F9" w14:textId="77777777" w:rsidR="008E72AF" w:rsidRPr="00A33930" w:rsidRDefault="008E72AF" w:rsidP="000A0C4C">
            <w:pPr>
              <w:jc w:val="left"/>
              <w:rPr>
                <w:szCs w:val="18"/>
                <w:lang w:val="nl-NL"/>
              </w:rPr>
            </w:pPr>
            <w:r w:rsidRPr="00A33930">
              <w:rPr>
                <w:b/>
                <w:bCs/>
                <w:szCs w:val="18"/>
                <w:lang w:val="nl-NL"/>
              </w:rPr>
              <w:t>Afdwingbaarheid</w:t>
            </w:r>
          </w:p>
        </w:tc>
      </w:tr>
      <w:tr w:rsidR="003A37B3" w:rsidRPr="00A33930" w14:paraId="4C0C4585" w14:textId="77777777" w:rsidTr="008E72AF">
        <w:trPr>
          <w:trHeight w:val="1342"/>
        </w:trPr>
        <w:tc>
          <w:tcPr>
            <w:cnfStyle w:val="001000000000" w:firstRow="0" w:lastRow="0" w:firstColumn="1" w:lastColumn="0" w:oddVBand="0" w:evenVBand="0" w:oddHBand="0" w:evenHBand="0" w:firstRowFirstColumn="0" w:firstRowLastColumn="0" w:lastRowFirstColumn="0" w:lastRowLastColumn="0"/>
            <w:tcW w:w="3256" w:type="dxa"/>
            <w:shd w:val="clear" w:color="auto" w:fill="auto"/>
          </w:tcPr>
          <w:p w14:paraId="4048F90A" w14:textId="1FAF14DA" w:rsidR="008E72AF" w:rsidRPr="00A33930" w:rsidRDefault="008E72AF" w:rsidP="000A0C4C">
            <w:pPr>
              <w:jc w:val="left"/>
              <w:rPr>
                <w:szCs w:val="18"/>
                <w:lang w:val="nl-NL"/>
              </w:rPr>
            </w:pPr>
            <w:r w:rsidRPr="00A33930">
              <w:rPr>
                <w:szCs w:val="18"/>
                <w:lang w:val="nl-NL"/>
              </w:rPr>
              <w:t>Wat indien niet-nakoming</w:t>
            </w:r>
            <w:r w:rsidR="00CE6871" w:rsidRPr="00A33930">
              <w:rPr>
                <w:szCs w:val="18"/>
                <w:lang w:val="nl-NL"/>
              </w:rPr>
              <w:t xml:space="preserve"> contactregeling</w:t>
            </w:r>
            <w:r w:rsidRPr="00A33930">
              <w:rPr>
                <w:szCs w:val="18"/>
                <w:lang w:val="nl-NL"/>
              </w:rPr>
              <w:t>?</w:t>
            </w:r>
          </w:p>
        </w:tc>
        <w:tc>
          <w:tcPr>
            <w:tcW w:w="2551" w:type="dxa"/>
            <w:shd w:val="clear" w:color="auto" w:fill="auto"/>
          </w:tcPr>
          <w:p w14:paraId="4A86D07F" w14:textId="77777777" w:rsidR="008E72AF" w:rsidRPr="00A33930" w:rsidRDefault="008E72AF" w:rsidP="000A0C4C">
            <w:pPr>
              <w:cnfStyle w:val="000000000000" w:firstRow="0" w:lastRow="0" w:firstColumn="0" w:lastColumn="0" w:oddVBand="0" w:evenVBand="0" w:oddHBand="0" w:evenHBand="0" w:firstRowFirstColumn="0" w:firstRowLastColumn="0" w:lastRowFirstColumn="0" w:lastRowLastColumn="0"/>
              <w:rPr>
                <w:szCs w:val="18"/>
                <w:lang w:val="nl-NL"/>
              </w:rPr>
            </w:pPr>
            <w:r w:rsidRPr="00A33930">
              <w:rPr>
                <w:szCs w:val="18"/>
                <w:lang w:val="nl-NL"/>
              </w:rPr>
              <w:t>Beoordeling EHRM</w:t>
            </w:r>
          </w:p>
        </w:tc>
        <w:tc>
          <w:tcPr>
            <w:tcW w:w="2552" w:type="dxa"/>
            <w:shd w:val="clear" w:color="auto" w:fill="auto"/>
          </w:tcPr>
          <w:p w14:paraId="30F96623" w14:textId="77777777" w:rsidR="008E72AF" w:rsidRPr="00A33930" w:rsidRDefault="008E72AF" w:rsidP="000A0C4C">
            <w:pPr>
              <w:cnfStyle w:val="000000000000" w:firstRow="0" w:lastRow="0" w:firstColumn="0" w:lastColumn="0" w:oddVBand="0" w:evenVBand="0" w:oddHBand="0" w:evenHBand="0" w:firstRowFirstColumn="0" w:firstRowLastColumn="0" w:lastRowFirstColumn="0" w:lastRowLastColumn="0"/>
              <w:rPr>
                <w:szCs w:val="18"/>
                <w:lang w:val="nl-NL"/>
              </w:rPr>
            </w:pPr>
            <w:r w:rsidRPr="00A33930">
              <w:rPr>
                <w:szCs w:val="18"/>
                <w:lang w:val="nl-NL"/>
              </w:rPr>
              <w:t>Afdwingbaar door volwassenen, niet door kind wegens procesonbekwaamheid</w:t>
            </w:r>
          </w:p>
        </w:tc>
        <w:tc>
          <w:tcPr>
            <w:tcW w:w="2693" w:type="dxa"/>
            <w:shd w:val="clear" w:color="auto" w:fill="auto"/>
          </w:tcPr>
          <w:p w14:paraId="6AD029EC" w14:textId="77777777" w:rsidR="008E72AF" w:rsidRPr="00A33930" w:rsidRDefault="008E72AF" w:rsidP="000A0C4C">
            <w:pPr>
              <w:cnfStyle w:val="000000000000" w:firstRow="0" w:lastRow="0" w:firstColumn="0" w:lastColumn="0" w:oddVBand="0" w:evenVBand="0" w:oddHBand="0" w:evenHBand="0" w:firstRowFirstColumn="0" w:firstRowLastColumn="0" w:lastRowFirstColumn="0" w:lastRowLastColumn="0"/>
              <w:rPr>
                <w:szCs w:val="18"/>
                <w:lang w:val="nl-NL"/>
              </w:rPr>
            </w:pPr>
            <w:r w:rsidRPr="00A33930">
              <w:rPr>
                <w:szCs w:val="18"/>
                <w:lang w:val="nl-NL"/>
              </w:rPr>
              <w:t>Afdwingbaar door ouders/derden; opleggen dwangsom volgens sommige RS mogelijk tenzij belang kind</w:t>
            </w:r>
          </w:p>
        </w:tc>
        <w:tc>
          <w:tcPr>
            <w:tcW w:w="2880" w:type="dxa"/>
            <w:shd w:val="clear" w:color="auto" w:fill="auto"/>
          </w:tcPr>
          <w:p w14:paraId="4EE54170" w14:textId="75BE2523" w:rsidR="008E72AF" w:rsidRPr="00A33930" w:rsidRDefault="008E72AF" w:rsidP="000A0C4C">
            <w:pPr>
              <w:cnfStyle w:val="000000000000" w:firstRow="0" w:lastRow="0" w:firstColumn="0" w:lastColumn="0" w:oddVBand="0" w:evenVBand="0" w:oddHBand="0" w:evenHBand="0" w:firstRowFirstColumn="0" w:firstRowLastColumn="0" w:lastRowFirstColumn="0" w:lastRowLastColumn="0"/>
              <w:rPr>
                <w:szCs w:val="18"/>
                <w:lang w:val="nl-NL"/>
              </w:rPr>
            </w:pPr>
            <w:r w:rsidRPr="00A33930">
              <w:rPr>
                <w:szCs w:val="18"/>
                <w:lang w:val="nl-NL"/>
              </w:rPr>
              <w:t xml:space="preserve">Weigeren contact is plichtsverzuim; opleggen dwangmaatregelen volgens sommige RS/RL mogelijk </w:t>
            </w:r>
            <w:r w:rsidR="0086280A" w:rsidRPr="00A33930">
              <w:rPr>
                <w:szCs w:val="18"/>
                <w:lang w:val="nl-NL"/>
              </w:rPr>
              <w:t>tenzij</w:t>
            </w:r>
            <w:r w:rsidRPr="00A33930">
              <w:rPr>
                <w:szCs w:val="18"/>
                <w:lang w:val="nl-NL"/>
              </w:rPr>
              <w:t xml:space="preserve"> belang kind</w:t>
            </w:r>
          </w:p>
        </w:tc>
      </w:tr>
      <w:tr w:rsidR="003A37B3" w:rsidRPr="00A33930" w14:paraId="1841F8CA" w14:textId="77777777" w:rsidTr="008E72AF">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3256" w:type="dxa"/>
            <w:shd w:val="clear" w:color="auto" w:fill="auto"/>
          </w:tcPr>
          <w:p w14:paraId="0DD3E55F" w14:textId="77777777" w:rsidR="008E72AF" w:rsidRPr="00A33930" w:rsidRDefault="008E72AF" w:rsidP="000A0C4C">
            <w:pPr>
              <w:jc w:val="left"/>
              <w:rPr>
                <w:szCs w:val="18"/>
                <w:lang w:val="nl-NL"/>
              </w:rPr>
            </w:pPr>
            <w:r w:rsidRPr="00A33930">
              <w:rPr>
                <w:szCs w:val="18"/>
                <w:lang w:val="nl-NL"/>
              </w:rPr>
              <w:t>Begeleidende maatregelen</w:t>
            </w:r>
          </w:p>
        </w:tc>
        <w:tc>
          <w:tcPr>
            <w:tcW w:w="2551" w:type="dxa"/>
            <w:shd w:val="clear" w:color="auto" w:fill="auto"/>
          </w:tcPr>
          <w:p w14:paraId="15133020" w14:textId="77777777" w:rsidR="008E72AF" w:rsidRPr="00A33930" w:rsidRDefault="008E72AF" w:rsidP="000A0C4C">
            <w:pPr>
              <w:cnfStyle w:val="000000100000" w:firstRow="0" w:lastRow="0" w:firstColumn="0" w:lastColumn="0" w:oddVBand="0" w:evenVBand="0" w:oddHBand="1" w:evenHBand="0" w:firstRowFirstColumn="0" w:firstRowLastColumn="0" w:lastRowFirstColumn="0" w:lastRowLastColumn="0"/>
              <w:rPr>
                <w:szCs w:val="18"/>
                <w:lang w:val="nl-NL"/>
              </w:rPr>
            </w:pPr>
            <w:r w:rsidRPr="00A33930">
              <w:rPr>
                <w:szCs w:val="18"/>
                <w:lang w:val="nl-NL"/>
              </w:rPr>
              <w:t>/</w:t>
            </w:r>
          </w:p>
        </w:tc>
        <w:tc>
          <w:tcPr>
            <w:tcW w:w="2552" w:type="dxa"/>
            <w:shd w:val="clear" w:color="auto" w:fill="auto"/>
          </w:tcPr>
          <w:p w14:paraId="1C2A0176" w14:textId="77777777" w:rsidR="008E72AF" w:rsidRPr="00A33930" w:rsidRDefault="008E72AF" w:rsidP="000A0C4C">
            <w:pPr>
              <w:cnfStyle w:val="000000100000" w:firstRow="0" w:lastRow="0" w:firstColumn="0" w:lastColumn="0" w:oddVBand="0" w:evenVBand="0" w:oddHBand="1" w:evenHBand="0" w:firstRowFirstColumn="0" w:firstRowLastColumn="0" w:lastRowFirstColumn="0" w:lastRowLastColumn="0"/>
              <w:rPr>
                <w:szCs w:val="18"/>
                <w:lang w:val="nl-NL"/>
              </w:rPr>
            </w:pPr>
            <w:r w:rsidRPr="00A33930">
              <w:rPr>
                <w:szCs w:val="18"/>
                <w:lang w:val="nl-NL"/>
              </w:rPr>
              <w:t>/</w:t>
            </w:r>
          </w:p>
        </w:tc>
        <w:tc>
          <w:tcPr>
            <w:tcW w:w="2693" w:type="dxa"/>
            <w:shd w:val="clear" w:color="auto" w:fill="auto"/>
          </w:tcPr>
          <w:p w14:paraId="1286CA6F" w14:textId="77777777" w:rsidR="008E72AF" w:rsidRPr="00A33930" w:rsidRDefault="008E72AF" w:rsidP="000A0C4C">
            <w:pPr>
              <w:cnfStyle w:val="000000100000" w:firstRow="0" w:lastRow="0" w:firstColumn="0" w:lastColumn="0" w:oddVBand="0" w:evenVBand="0" w:oddHBand="1" w:evenHBand="0" w:firstRowFirstColumn="0" w:firstRowLastColumn="0" w:lastRowFirstColumn="0" w:lastRowLastColumn="0"/>
              <w:rPr>
                <w:szCs w:val="18"/>
                <w:lang w:val="nl-NL"/>
              </w:rPr>
            </w:pPr>
            <w:r w:rsidRPr="00A33930">
              <w:rPr>
                <w:szCs w:val="18"/>
                <w:lang w:val="nl-NL"/>
              </w:rPr>
              <w:t>Omgangscurator</w:t>
            </w:r>
          </w:p>
        </w:tc>
        <w:tc>
          <w:tcPr>
            <w:tcW w:w="2880" w:type="dxa"/>
            <w:shd w:val="clear" w:color="auto" w:fill="auto"/>
          </w:tcPr>
          <w:p w14:paraId="5810D180" w14:textId="77777777" w:rsidR="008E72AF" w:rsidRPr="00A33930" w:rsidRDefault="008E72AF" w:rsidP="000A0C4C">
            <w:pPr>
              <w:cnfStyle w:val="000000100000" w:firstRow="0" w:lastRow="0" w:firstColumn="0" w:lastColumn="0" w:oddVBand="0" w:evenVBand="0" w:oddHBand="1" w:evenHBand="0" w:firstRowFirstColumn="0" w:firstRowLastColumn="0" w:lastRowFirstColumn="0" w:lastRowLastColumn="0"/>
              <w:rPr>
                <w:szCs w:val="18"/>
                <w:lang w:val="nl-NL"/>
              </w:rPr>
            </w:pPr>
            <w:r w:rsidRPr="00A33930">
              <w:rPr>
                <w:szCs w:val="18"/>
                <w:lang w:val="nl-NL"/>
              </w:rPr>
              <w:t>Umgangspfleger</w:t>
            </w:r>
          </w:p>
        </w:tc>
      </w:tr>
      <w:tr w:rsidR="003A37B3" w:rsidRPr="00A33930" w14:paraId="098834DA" w14:textId="77777777" w:rsidTr="000A0C4C">
        <w:trPr>
          <w:trHeight w:val="693"/>
        </w:trPr>
        <w:tc>
          <w:tcPr>
            <w:cnfStyle w:val="001000000000" w:firstRow="0" w:lastRow="0" w:firstColumn="1" w:lastColumn="0" w:oddVBand="0" w:evenVBand="0" w:oddHBand="0" w:evenHBand="0" w:firstRowFirstColumn="0" w:firstRowLastColumn="0" w:lastRowFirstColumn="0" w:lastRowLastColumn="0"/>
            <w:tcW w:w="3256" w:type="dxa"/>
            <w:shd w:val="clear" w:color="auto" w:fill="auto"/>
          </w:tcPr>
          <w:p w14:paraId="35F21654" w14:textId="77777777" w:rsidR="008E72AF" w:rsidRPr="00A33930" w:rsidRDefault="008E72AF" w:rsidP="000A0C4C">
            <w:pPr>
              <w:jc w:val="left"/>
              <w:rPr>
                <w:szCs w:val="18"/>
                <w:lang w:val="nl-NL"/>
              </w:rPr>
            </w:pPr>
            <w:r w:rsidRPr="00A33930">
              <w:rPr>
                <w:szCs w:val="18"/>
                <w:lang w:val="nl-NL"/>
              </w:rPr>
              <w:t>Gevolg?</w:t>
            </w:r>
          </w:p>
        </w:tc>
        <w:tc>
          <w:tcPr>
            <w:tcW w:w="2551" w:type="dxa"/>
            <w:shd w:val="clear" w:color="auto" w:fill="auto"/>
          </w:tcPr>
          <w:p w14:paraId="234F7028" w14:textId="77777777" w:rsidR="008E72AF" w:rsidRPr="00A33930" w:rsidRDefault="008E72AF" w:rsidP="000A0C4C">
            <w:pPr>
              <w:cnfStyle w:val="000000000000" w:firstRow="0" w:lastRow="0" w:firstColumn="0" w:lastColumn="0" w:oddVBand="0" w:evenVBand="0" w:oddHBand="0" w:evenHBand="0" w:firstRowFirstColumn="0" w:firstRowLastColumn="0" w:lastRowFirstColumn="0" w:lastRowLastColumn="0"/>
              <w:rPr>
                <w:szCs w:val="18"/>
                <w:lang w:val="nl-NL"/>
              </w:rPr>
            </w:pPr>
            <w:r w:rsidRPr="00A33930">
              <w:rPr>
                <w:szCs w:val="18"/>
                <w:lang w:val="nl-NL"/>
              </w:rPr>
              <w:t>Contact</w:t>
            </w:r>
            <w:r w:rsidRPr="00A33930">
              <w:rPr>
                <w:i/>
                <w:iCs/>
                <w:szCs w:val="18"/>
                <w:lang w:val="nl-NL"/>
              </w:rPr>
              <w:t>plicht</w:t>
            </w:r>
            <w:r w:rsidRPr="00A33930">
              <w:rPr>
                <w:szCs w:val="18"/>
                <w:lang w:val="nl-NL"/>
              </w:rPr>
              <w:t xml:space="preserve"> mogelijk, tenzij belang kind</w:t>
            </w:r>
          </w:p>
        </w:tc>
        <w:tc>
          <w:tcPr>
            <w:tcW w:w="2552" w:type="dxa"/>
            <w:shd w:val="clear" w:color="auto" w:fill="auto"/>
          </w:tcPr>
          <w:p w14:paraId="398E67A1" w14:textId="77777777" w:rsidR="008E72AF" w:rsidRPr="00A33930" w:rsidRDefault="008E72AF" w:rsidP="000A0C4C">
            <w:pPr>
              <w:cnfStyle w:val="000000000000" w:firstRow="0" w:lastRow="0" w:firstColumn="0" w:lastColumn="0" w:oddVBand="0" w:evenVBand="0" w:oddHBand="0" w:evenHBand="0" w:firstRowFirstColumn="0" w:firstRowLastColumn="0" w:lastRowFirstColumn="0" w:lastRowLastColumn="0"/>
              <w:rPr>
                <w:szCs w:val="18"/>
                <w:lang w:val="nl-NL"/>
              </w:rPr>
            </w:pPr>
            <w:r w:rsidRPr="00A33930">
              <w:rPr>
                <w:szCs w:val="18"/>
                <w:lang w:val="nl-NL"/>
              </w:rPr>
              <w:t>Mag geen contact</w:t>
            </w:r>
            <w:r w:rsidRPr="00A33930">
              <w:rPr>
                <w:i/>
                <w:iCs/>
                <w:szCs w:val="18"/>
                <w:lang w:val="nl-NL"/>
              </w:rPr>
              <w:t>plicht</w:t>
            </w:r>
            <w:r w:rsidRPr="00A33930">
              <w:rPr>
                <w:szCs w:val="18"/>
                <w:lang w:val="nl-NL"/>
              </w:rPr>
              <w:t xml:space="preserve"> uitmaken</w:t>
            </w:r>
          </w:p>
        </w:tc>
        <w:tc>
          <w:tcPr>
            <w:tcW w:w="2693" w:type="dxa"/>
            <w:shd w:val="clear" w:color="auto" w:fill="auto"/>
          </w:tcPr>
          <w:p w14:paraId="272A4EB3" w14:textId="77777777" w:rsidR="008E72AF" w:rsidRPr="00A33930" w:rsidRDefault="008E72AF" w:rsidP="000A0C4C">
            <w:pPr>
              <w:cnfStyle w:val="000000000000" w:firstRow="0" w:lastRow="0" w:firstColumn="0" w:lastColumn="0" w:oddVBand="0" w:evenVBand="0" w:oddHBand="0" w:evenHBand="0" w:firstRowFirstColumn="0" w:firstRowLastColumn="0" w:lastRowFirstColumn="0" w:lastRowLastColumn="0"/>
              <w:rPr>
                <w:szCs w:val="18"/>
                <w:lang w:val="nl-NL"/>
              </w:rPr>
            </w:pPr>
            <w:r w:rsidRPr="00A33930">
              <w:rPr>
                <w:szCs w:val="18"/>
                <w:lang w:val="nl-NL"/>
              </w:rPr>
              <w:t>Contact</w:t>
            </w:r>
            <w:r w:rsidRPr="00A33930">
              <w:rPr>
                <w:i/>
                <w:iCs/>
                <w:szCs w:val="18"/>
                <w:lang w:val="nl-NL"/>
              </w:rPr>
              <w:t>plicht</w:t>
            </w:r>
            <w:r w:rsidRPr="00A33930">
              <w:rPr>
                <w:szCs w:val="18"/>
                <w:lang w:val="nl-NL"/>
              </w:rPr>
              <w:t xml:space="preserve"> mogelijk, tenzij belang kind</w:t>
            </w:r>
          </w:p>
        </w:tc>
        <w:tc>
          <w:tcPr>
            <w:tcW w:w="2880" w:type="dxa"/>
            <w:shd w:val="clear" w:color="auto" w:fill="auto"/>
          </w:tcPr>
          <w:p w14:paraId="1D1A003F" w14:textId="77777777" w:rsidR="008E72AF" w:rsidRPr="00A33930" w:rsidRDefault="008E72AF" w:rsidP="000A0C4C">
            <w:pPr>
              <w:cnfStyle w:val="000000000000" w:firstRow="0" w:lastRow="0" w:firstColumn="0" w:lastColumn="0" w:oddVBand="0" w:evenVBand="0" w:oddHBand="0" w:evenHBand="0" w:firstRowFirstColumn="0" w:firstRowLastColumn="0" w:lastRowFirstColumn="0" w:lastRowLastColumn="0"/>
              <w:rPr>
                <w:szCs w:val="18"/>
                <w:lang w:val="nl-NL"/>
              </w:rPr>
            </w:pPr>
            <w:r w:rsidRPr="00A33930">
              <w:rPr>
                <w:szCs w:val="18"/>
                <w:lang w:val="nl-NL"/>
              </w:rPr>
              <w:t>Contact</w:t>
            </w:r>
            <w:r w:rsidRPr="00A33930">
              <w:rPr>
                <w:i/>
                <w:iCs/>
                <w:szCs w:val="18"/>
                <w:lang w:val="nl-NL"/>
              </w:rPr>
              <w:t>plicht</w:t>
            </w:r>
            <w:r w:rsidRPr="00A33930">
              <w:rPr>
                <w:szCs w:val="18"/>
                <w:lang w:val="nl-NL"/>
              </w:rPr>
              <w:t xml:space="preserve"> mogelijk, tenzij belang kind</w:t>
            </w:r>
          </w:p>
        </w:tc>
      </w:tr>
    </w:tbl>
    <w:p w14:paraId="43D1F4AF" w14:textId="77777777" w:rsidR="002A644C" w:rsidRPr="00A33930" w:rsidRDefault="002A644C" w:rsidP="002A644C">
      <w:pPr>
        <w:rPr>
          <w:b/>
          <w:bCs/>
          <w:szCs w:val="18"/>
          <w:lang w:val="nl-NL"/>
        </w:rPr>
      </w:pPr>
    </w:p>
    <w:p w14:paraId="5124B9AE" w14:textId="77777777" w:rsidR="00CE6871" w:rsidRPr="00A33930" w:rsidRDefault="00CE6871" w:rsidP="002A644C">
      <w:pPr>
        <w:rPr>
          <w:b/>
          <w:bCs/>
          <w:szCs w:val="18"/>
          <w:lang w:val="nl-NL"/>
        </w:rPr>
      </w:pPr>
    </w:p>
    <w:p w14:paraId="651D9624" w14:textId="77777777" w:rsidR="00995E5D" w:rsidRPr="00A33930" w:rsidRDefault="00995E5D" w:rsidP="002A644C">
      <w:pPr>
        <w:rPr>
          <w:b/>
          <w:bCs/>
          <w:szCs w:val="18"/>
          <w:lang w:val="nl-NL"/>
        </w:rPr>
        <w:sectPr w:rsidR="00995E5D" w:rsidRPr="00A33930" w:rsidSect="00CE6871">
          <w:pgSz w:w="16838" w:h="11906" w:orient="landscape"/>
          <w:pgMar w:top="1417" w:right="1417" w:bottom="1417" w:left="1417" w:header="708" w:footer="708" w:gutter="0"/>
          <w:cols w:space="708"/>
          <w:docGrid w:linePitch="360"/>
        </w:sectPr>
      </w:pPr>
    </w:p>
    <w:p w14:paraId="28E8F4B6" w14:textId="77777777" w:rsidR="00CE6871" w:rsidRPr="00A33930" w:rsidRDefault="00CE6871" w:rsidP="00CE6871">
      <w:pPr>
        <w:rPr>
          <w:lang w:val="nl-NL"/>
        </w:rPr>
      </w:pPr>
    </w:p>
    <w:sectPr w:rsidR="00CE6871" w:rsidRPr="00A33930" w:rsidSect="00856E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7A3DA" w14:textId="77777777" w:rsidR="00AD6A18" w:rsidRDefault="00AD6A18" w:rsidP="00E1141A">
      <w:r>
        <w:separator/>
      </w:r>
    </w:p>
  </w:endnote>
  <w:endnote w:type="continuationSeparator" w:id="0">
    <w:p w14:paraId="64344650" w14:textId="77777777" w:rsidR="00AD6A18" w:rsidRDefault="00AD6A18" w:rsidP="00E11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736428627"/>
      <w:docPartObj>
        <w:docPartGallery w:val="Page Numbers (Bottom of Page)"/>
        <w:docPartUnique/>
      </w:docPartObj>
    </w:sdtPr>
    <w:sdtContent>
      <w:p w14:paraId="3DF0D6DF" w14:textId="628BD225" w:rsidR="003B4F7C" w:rsidRDefault="003B4F7C" w:rsidP="008329A0">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3</w:t>
        </w:r>
        <w:r>
          <w:rPr>
            <w:rStyle w:val="Paginanummer"/>
          </w:rPr>
          <w:fldChar w:fldCharType="end"/>
        </w:r>
      </w:p>
    </w:sdtContent>
  </w:sdt>
  <w:p w14:paraId="4EA36CB6" w14:textId="77777777" w:rsidR="003B4F7C" w:rsidRDefault="003B4F7C" w:rsidP="00EA2789">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50F4" w14:textId="6204E633" w:rsidR="00C57AF9" w:rsidRDefault="00C57AF9" w:rsidP="008329A0">
    <w:pPr>
      <w:pStyle w:val="Voettekst"/>
      <w:framePr w:wrap="none" w:vAnchor="text" w:hAnchor="margin" w:xAlign="center" w:y="1"/>
      <w:rPr>
        <w:rStyle w:val="Paginanummer"/>
      </w:rPr>
    </w:pPr>
  </w:p>
  <w:p w14:paraId="4D88863E" w14:textId="77777777" w:rsidR="00C57AF9" w:rsidRDefault="00C57AF9" w:rsidP="00EA2789">
    <w:pPr>
      <w:pStyle w:val="Voettekst"/>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F3DE2" w14:textId="59337C0C" w:rsidR="007C7390" w:rsidRDefault="007C7390" w:rsidP="00044AE8">
    <w:pPr>
      <w:pStyle w:val="Voettekst"/>
      <w:framePr w:wrap="none" w:vAnchor="text" w:hAnchor="margin" w:xAlign="center" w:y="1"/>
      <w:rPr>
        <w:rStyle w:val="Paginanummer"/>
      </w:rPr>
    </w:pPr>
  </w:p>
  <w:p w14:paraId="0BC8078D" w14:textId="77777777" w:rsidR="007C7390" w:rsidRDefault="007C7390">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724950328"/>
      <w:docPartObj>
        <w:docPartGallery w:val="Page Numbers (Bottom of Page)"/>
        <w:docPartUnique/>
      </w:docPartObj>
    </w:sdtPr>
    <w:sdtContent>
      <w:p w14:paraId="5AA2FA48" w14:textId="7A43C99F" w:rsidR="007C7390" w:rsidRDefault="007C7390" w:rsidP="00044AE8">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A1A8F53" w14:textId="77777777" w:rsidR="007C7390" w:rsidRDefault="007C7390">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998967681"/>
      <w:docPartObj>
        <w:docPartGallery w:val="Page Numbers (Bottom of Page)"/>
        <w:docPartUnique/>
      </w:docPartObj>
    </w:sdtPr>
    <w:sdtContent>
      <w:p w14:paraId="056A1A08" w14:textId="023B357C" w:rsidR="007C7390" w:rsidRDefault="007C7390" w:rsidP="00044AE8">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II</w:t>
        </w:r>
        <w:r>
          <w:rPr>
            <w:rStyle w:val="Paginanummer"/>
          </w:rPr>
          <w:fldChar w:fldCharType="end"/>
        </w:r>
      </w:p>
    </w:sdtContent>
  </w:sdt>
  <w:p w14:paraId="684522E9" w14:textId="77777777" w:rsidR="007C7390" w:rsidRDefault="007C7390">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042629825"/>
      <w:docPartObj>
        <w:docPartGallery w:val="Page Numbers (Bottom of Page)"/>
        <w:docPartUnique/>
      </w:docPartObj>
    </w:sdtPr>
    <w:sdtContent>
      <w:p w14:paraId="22D7BB8C" w14:textId="77777777" w:rsidR="007C7390" w:rsidRDefault="007C7390" w:rsidP="007C7390">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I</w:t>
        </w:r>
        <w:r>
          <w:rPr>
            <w:rStyle w:val="Paginanummer"/>
          </w:rPr>
          <w:fldChar w:fldCharType="end"/>
        </w:r>
      </w:p>
    </w:sdtContent>
  </w:sdt>
  <w:p w14:paraId="4942B875" w14:textId="77777777" w:rsidR="007C7390" w:rsidRDefault="007C73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D5347" w14:textId="77777777" w:rsidR="00AD6A18" w:rsidRDefault="00AD6A18" w:rsidP="00E1141A">
      <w:r>
        <w:separator/>
      </w:r>
    </w:p>
  </w:footnote>
  <w:footnote w:type="continuationSeparator" w:id="0">
    <w:p w14:paraId="48BFA57D" w14:textId="77777777" w:rsidR="00AD6A18" w:rsidRDefault="00AD6A18" w:rsidP="00E1141A">
      <w:r>
        <w:continuationSeparator/>
      </w:r>
    </w:p>
  </w:footnote>
  <w:footnote w:id="1">
    <w:p w14:paraId="6A1C4F8A" w14:textId="4B23F976" w:rsidR="00C57AF9" w:rsidRPr="009F35BF" w:rsidRDefault="00C57AF9" w:rsidP="005C4D5C">
      <w:pPr>
        <w:pStyle w:val="Voetnoottekst"/>
        <w:jc w:val="both"/>
        <w:rPr>
          <w:sz w:val="16"/>
          <w:szCs w:val="16"/>
          <w:lang w:val="en-US"/>
        </w:rPr>
      </w:pPr>
      <w:r w:rsidRPr="009F35BF">
        <w:rPr>
          <w:rStyle w:val="Voetnootmarkering"/>
          <w:sz w:val="16"/>
          <w:szCs w:val="16"/>
          <w:lang w:val="nl-NL"/>
        </w:rPr>
        <w:footnoteRef/>
      </w:r>
      <w:r w:rsidRPr="009F35BF">
        <w:rPr>
          <w:sz w:val="16"/>
          <w:szCs w:val="16"/>
          <w:lang w:val="en-US"/>
        </w:rPr>
        <w:t xml:space="preserve"> COMMITTEE ON THE RIGHTS OF THE CHILD, “Report on the seventh session”, September/Oktober 1994, CRC/C/34, §183 ev.; </w:t>
      </w:r>
      <w:r w:rsidRPr="009F35BF">
        <w:rPr>
          <w:rFonts w:eastAsia="Verdana" w:cs="Verdana"/>
          <w:sz w:val="16"/>
          <w:szCs w:val="16"/>
          <w:lang w:val="en-US" w:eastAsia="nl-NL"/>
        </w:rPr>
        <w:t xml:space="preserve">UNICEF, “Implementation handbook for the Convention on the Rights of the Child”, 2007, </w:t>
      </w:r>
      <w:hyperlink r:id="rId1" w:history="1">
        <w:r w:rsidRPr="009F35BF">
          <w:rPr>
            <w:rFonts w:eastAsia="Verdana" w:cs="Verdana"/>
            <w:color w:val="0563C1"/>
            <w:sz w:val="16"/>
            <w:szCs w:val="16"/>
            <w:u w:val="single"/>
            <w:lang w:val="en-US" w:eastAsia="nl-NL"/>
          </w:rPr>
          <w:t>www.unicef.org/lac/media/22071/file/Implementation%20Handbook%20for%20the%20CRC.pdf</w:t>
        </w:r>
      </w:hyperlink>
      <w:r w:rsidRPr="009F35BF">
        <w:rPr>
          <w:rFonts w:eastAsia="Verdana" w:cs="Verdana"/>
          <w:sz w:val="16"/>
          <w:szCs w:val="16"/>
          <w:lang w:val="en-US"/>
        </w:rPr>
        <w:t xml:space="preserve">, 79 </w:t>
      </w:r>
      <w:r w:rsidRPr="009F35BF">
        <w:rPr>
          <w:rFonts w:eastAsia="Verdana" w:cs="Verdana"/>
          <w:sz w:val="16"/>
          <w:szCs w:val="16"/>
          <w:lang w:val="en-US" w:eastAsia="nl-NL"/>
        </w:rPr>
        <w:t xml:space="preserve">(laatste consultatie </w:t>
      </w:r>
      <w:r w:rsidR="0095737D" w:rsidRPr="009F35BF">
        <w:rPr>
          <w:rFonts w:eastAsia="Verdana" w:cs="Verdana"/>
          <w:sz w:val="16"/>
          <w:szCs w:val="16"/>
          <w:lang w:val="en-US"/>
        </w:rPr>
        <w:t>13</w:t>
      </w:r>
      <w:r w:rsidRPr="009F35BF">
        <w:rPr>
          <w:rFonts w:eastAsia="Verdana" w:cs="Verdana"/>
          <w:sz w:val="16"/>
          <w:szCs w:val="16"/>
          <w:lang w:val="en-US" w:eastAsia="nl-NL"/>
        </w:rPr>
        <w:t>.</w:t>
      </w:r>
      <w:r w:rsidRPr="009F35BF">
        <w:rPr>
          <w:rFonts w:eastAsia="Verdana" w:cs="Verdana"/>
          <w:sz w:val="16"/>
          <w:szCs w:val="16"/>
          <w:lang w:val="en-US"/>
        </w:rPr>
        <w:t>0</w:t>
      </w:r>
      <w:r w:rsidR="0095737D" w:rsidRPr="009F35BF">
        <w:rPr>
          <w:rFonts w:eastAsia="Verdana" w:cs="Verdana"/>
          <w:sz w:val="16"/>
          <w:szCs w:val="16"/>
          <w:lang w:val="en-US"/>
        </w:rPr>
        <w:t>5</w:t>
      </w:r>
      <w:r w:rsidRPr="009F35BF">
        <w:rPr>
          <w:rFonts w:eastAsia="Verdana" w:cs="Verdana"/>
          <w:sz w:val="16"/>
          <w:szCs w:val="16"/>
          <w:lang w:val="en-US" w:eastAsia="nl-NL"/>
        </w:rPr>
        <w:t>.</w:t>
      </w:r>
      <w:r w:rsidRPr="009F35BF">
        <w:rPr>
          <w:rFonts w:eastAsia="Verdana" w:cs="Verdana"/>
          <w:sz w:val="16"/>
          <w:szCs w:val="16"/>
          <w:lang w:val="en-US"/>
        </w:rPr>
        <w:t>2023</w:t>
      </w:r>
      <w:r w:rsidRPr="009F35BF">
        <w:rPr>
          <w:rFonts w:eastAsia="Verdana" w:cs="Verdana"/>
          <w:sz w:val="16"/>
          <w:szCs w:val="16"/>
          <w:lang w:val="en-US" w:eastAsia="nl-NL"/>
        </w:rPr>
        <w:t>).</w:t>
      </w:r>
    </w:p>
  </w:footnote>
  <w:footnote w:id="2">
    <w:p w14:paraId="4B1A13B5" w14:textId="3BA2744B" w:rsidR="00C57AF9" w:rsidRPr="009F35BF" w:rsidRDefault="00C57AF9" w:rsidP="005C4D5C">
      <w:pPr>
        <w:pStyle w:val="Voetnoottekst"/>
        <w:jc w:val="both"/>
        <w:rPr>
          <w:sz w:val="16"/>
          <w:szCs w:val="16"/>
          <w:lang w:val="nl-NL"/>
        </w:rPr>
      </w:pPr>
      <w:r w:rsidRPr="009F35BF">
        <w:rPr>
          <w:rStyle w:val="Voetnootmarkering"/>
          <w:sz w:val="16"/>
          <w:szCs w:val="16"/>
          <w:lang w:val="nl-NL"/>
        </w:rPr>
        <w:footnoteRef/>
      </w:r>
      <w:r w:rsidRPr="009F35BF">
        <w:rPr>
          <w:sz w:val="16"/>
          <w:szCs w:val="16"/>
          <w:lang w:val="nl-NL"/>
        </w:rPr>
        <w:t xml:space="preserve"> Zie Wetsontwerp om justitie menselijker, sneller en straffer te maken II, </w:t>
      </w:r>
      <w:r w:rsidRPr="009F35BF">
        <w:rPr>
          <w:i/>
          <w:iCs/>
          <w:sz w:val="16"/>
          <w:szCs w:val="16"/>
          <w:lang w:val="nl-NL"/>
        </w:rPr>
        <w:t>Parl.St.</w:t>
      </w:r>
      <w:r w:rsidRPr="009F35BF">
        <w:rPr>
          <w:sz w:val="16"/>
          <w:szCs w:val="16"/>
          <w:lang w:val="nl-NL"/>
        </w:rPr>
        <w:t xml:space="preserve"> Kamer 2021-22, nr. 55-2774/001.</w:t>
      </w:r>
    </w:p>
  </w:footnote>
  <w:footnote w:id="3">
    <w:p w14:paraId="132089E9" w14:textId="60022D31" w:rsidR="00C57AF9" w:rsidRPr="009F35BF" w:rsidRDefault="00C57AF9" w:rsidP="005C4D5C">
      <w:pPr>
        <w:pStyle w:val="Voetnoottekst"/>
        <w:jc w:val="both"/>
        <w:rPr>
          <w:sz w:val="16"/>
          <w:szCs w:val="16"/>
          <w:lang w:val="en-US"/>
        </w:rPr>
      </w:pPr>
      <w:r w:rsidRPr="009F35BF">
        <w:rPr>
          <w:rStyle w:val="Voetnootmarkering"/>
          <w:sz w:val="16"/>
          <w:szCs w:val="16"/>
          <w:lang w:val="nl-NL"/>
        </w:rPr>
        <w:footnoteRef/>
      </w:r>
      <w:r w:rsidRPr="009F35BF">
        <w:rPr>
          <w:sz w:val="16"/>
          <w:szCs w:val="16"/>
          <w:lang w:val="en-US"/>
        </w:rPr>
        <w:t xml:space="preserve"> </w:t>
      </w:r>
      <w:proofErr w:type="spellStart"/>
      <w:r w:rsidRPr="009F35BF">
        <w:rPr>
          <w:sz w:val="16"/>
          <w:szCs w:val="16"/>
          <w:lang w:val="en-US"/>
        </w:rPr>
        <w:t>Verdrag</w:t>
      </w:r>
      <w:proofErr w:type="spellEnd"/>
      <w:r w:rsidRPr="009F35BF">
        <w:rPr>
          <w:sz w:val="16"/>
          <w:szCs w:val="16"/>
          <w:lang w:val="en-US"/>
        </w:rPr>
        <w:t xml:space="preserve"> 20 </w:t>
      </w:r>
      <w:proofErr w:type="spellStart"/>
      <w:r w:rsidRPr="009F35BF">
        <w:rPr>
          <w:sz w:val="16"/>
          <w:szCs w:val="16"/>
          <w:lang w:val="en-US"/>
        </w:rPr>
        <w:t>november</w:t>
      </w:r>
      <w:proofErr w:type="spellEnd"/>
      <w:r w:rsidRPr="009F35BF">
        <w:rPr>
          <w:sz w:val="16"/>
          <w:szCs w:val="16"/>
          <w:lang w:val="en-US"/>
        </w:rPr>
        <w:t xml:space="preserve"> 1989 </w:t>
      </w:r>
      <w:proofErr w:type="spellStart"/>
      <w:r w:rsidRPr="009F35BF">
        <w:rPr>
          <w:sz w:val="16"/>
          <w:szCs w:val="16"/>
          <w:lang w:val="en-US"/>
        </w:rPr>
        <w:t>inzake</w:t>
      </w:r>
      <w:proofErr w:type="spellEnd"/>
      <w:r w:rsidRPr="009F35BF">
        <w:rPr>
          <w:sz w:val="16"/>
          <w:szCs w:val="16"/>
          <w:lang w:val="en-US"/>
        </w:rPr>
        <w:t xml:space="preserve"> de </w:t>
      </w:r>
      <w:proofErr w:type="spellStart"/>
      <w:r w:rsidRPr="009F35BF">
        <w:rPr>
          <w:sz w:val="16"/>
          <w:szCs w:val="16"/>
          <w:lang w:val="en-US"/>
        </w:rPr>
        <w:t>Rechten</w:t>
      </w:r>
      <w:proofErr w:type="spellEnd"/>
      <w:r w:rsidRPr="009F35BF">
        <w:rPr>
          <w:sz w:val="16"/>
          <w:szCs w:val="16"/>
          <w:lang w:val="en-US"/>
        </w:rPr>
        <w:t xml:space="preserve"> van het Kind, </w:t>
      </w:r>
      <w:r w:rsidRPr="009F35BF">
        <w:rPr>
          <w:i/>
          <w:sz w:val="16"/>
          <w:szCs w:val="16"/>
          <w:lang w:val="en-US"/>
        </w:rPr>
        <w:t>BS</w:t>
      </w:r>
      <w:r w:rsidRPr="009F35BF">
        <w:rPr>
          <w:sz w:val="16"/>
          <w:szCs w:val="16"/>
          <w:lang w:val="en-US"/>
        </w:rPr>
        <w:t xml:space="preserve"> 17 </w:t>
      </w:r>
      <w:proofErr w:type="spellStart"/>
      <w:r w:rsidRPr="009F35BF">
        <w:rPr>
          <w:sz w:val="16"/>
          <w:szCs w:val="16"/>
          <w:lang w:val="en-US"/>
        </w:rPr>
        <w:t>januari</w:t>
      </w:r>
      <w:proofErr w:type="spellEnd"/>
      <w:r w:rsidRPr="009F35BF">
        <w:rPr>
          <w:sz w:val="16"/>
          <w:szCs w:val="16"/>
          <w:lang w:val="en-US"/>
        </w:rPr>
        <w:t xml:space="preserve"> 1992; COMMITTEE ON THE RIGHTS OF THE CHILD, “Report on the seventh session”, September/Oktober 1994, CRC/C/34.</w:t>
      </w:r>
    </w:p>
  </w:footnote>
  <w:footnote w:id="4">
    <w:p w14:paraId="60CBF44E" w14:textId="2C9EB049" w:rsidR="00C57AF9" w:rsidRPr="009F35BF" w:rsidRDefault="00C57AF9" w:rsidP="005C4D5C">
      <w:pPr>
        <w:pStyle w:val="Voetnoottekst"/>
        <w:jc w:val="both"/>
        <w:rPr>
          <w:sz w:val="16"/>
          <w:szCs w:val="16"/>
          <w:lang w:val="nl-NL"/>
        </w:rPr>
      </w:pPr>
      <w:r w:rsidRPr="009F35BF">
        <w:rPr>
          <w:rStyle w:val="Voetnootmarkering"/>
          <w:sz w:val="16"/>
          <w:szCs w:val="16"/>
          <w:lang w:val="nl-NL"/>
        </w:rPr>
        <w:footnoteRef/>
      </w:r>
      <w:r w:rsidRPr="009F35BF">
        <w:rPr>
          <w:sz w:val="16"/>
          <w:szCs w:val="16"/>
          <w:lang w:val="nl-NL"/>
        </w:rPr>
        <w:t xml:space="preserve"> Artikel 375, §1, tweede lid en vijfde lid oud BW.</w:t>
      </w:r>
    </w:p>
  </w:footnote>
  <w:footnote w:id="5">
    <w:p w14:paraId="57E12DBF" w14:textId="47565FFB" w:rsidR="00C57AF9" w:rsidRPr="0086280A" w:rsidRDefault="00C57AF9" w:rsidP="005C4D5C">
      <w:pPr>
        <w:pStyle w:val="Voetnoottekst"/>
        <w:jc w:val="both"/>
        <w:rPr>
          <w:sz w:val="16"/>
          <w:szCs w:val="16"/>
          <w:lang w:val="nl-NL"/>
        </w:rPr>
      </w:pPr>
      <w:r w:rsidRPr="009F35BF">
        <w:rPr>
          <w:rStyle w:val="Voetnootmarkering"/>
          <w:sz w:val="16"/>
          <w:szCs w:val="16"/>
          <w:lang w:val="nl-NL"/>
        </w:rPr>
        <w:footnoteRef/>
      </w:r>
      <w:r w:rsidRPr="009F35BF">
        <w:rPr>
          <w:sz w:val="16"/>
          <w:szCs w:val="16"/>
          <w:lang w:val="nl-NL"/>
        </w:rPr>
        <w:t xml:space="preserve"> Artikel 374, §1, vierde lid oud BW; P. SENAEVE en C. DECLERCK, </w:t>
      </w:r>
      <w:r w:rsidRPr="009F35BF">
        <w:rPr>
          <w:i/>
          <w:sz w:val="16"/>
          <w:szCs w:val="16"/>
          <w:lang w:val="nl-NL"/>
        </w:rPr>
        <w:t>Compendium van het personen- en familierecht</w:t>
      </w:r>
      <w:r w:rsidRPr="009F35BF">
        <w:rPr>
          <w:sz w:val="16"/>
          <w:szCs w:val="16"/>
          <w:lang w:val="nl-NL"/>
        </w:rPr>
        <w:t>, Leuven, Acco, 2020, 355-357.</w:t>
      </w:r>
    </w:p>
  </w:footnote>
  <w:footnote w:id="6">
    <w:p w14:paraId="0827FEA3" w14:textId="27AAE6EA" w:rsidR="00C57AF9" w:rsidRPr="0086280A" w:rsidRDefault="00C57AF9" w:rsidP="005C4D5C">
      <w:pPr>
        <w:jc w:val="both"/>
        <w:rPr>
          <w:sz w:val="16"/>
          <w:szCs w:val="16"/>
          <w:lang w:val="nl-NL"/>
        </w:rPr>
      </w:pPr>
      <w:r w:rsidRPr="0086280A">
        <w:rPr>
          <w:rStyle w:val="Voetnootmarkering"/>
          <w:sz w:val="16"/>
          <w:szCs w:val="16"/>
          <w:lang w:val="nl-NL"/>
        </w:rPr>
        <w:footnoteRef/>
      </w:r>
      <w:r w:rsidRPr="0086280A">
        <w:rPr>
          <w:sz w:val="16"/>
          <w:szCs w:val="16"/>
          <w:lang w:val="nl-NL"/>
        </w:rPr>
        <w:t xml:space="preserve"> </w:t>
      </w:r>
      <w:r w:rsidRPr="0086280A">
        <w:rPr>
          <w:rFonts w:eastAsiaTheme="minorHAnsi" w:cstheme="minorBidi"/>
          <w:sz w:val="16"/>
          <w:szCs w:val="16"/>
          <w:lang w:val="nl-NL" w:eastAsia="en-US"/>
        </w:rPr>
        <w:t xml:space="preserve">PLAN INTERNATIONAL BELGIË, “Aïssatou, de toekomstige magistraat voor gendergelijkheid”, </w:t>
      </w:r>
      <w:r w:rsidRPr="0086280A">
        <w:rPr>
          <w:rFonts w:eastAsiaTheme="minorHAnsi" w:cstheme="minorBidi"/>
          <w:i/>
          <w:iCs/>
          <w:sz w:val="16"/>
          <w:szCs w:val="16"/>
          <w:lang w:val="nl-NL" w:eastAsia="en-US"/>
        </w:rPr>
        <w:t xml:space="preserve">Plan International </w:t>
      </w:r>
      <w:r w:rsidRPr="0086280A">
        <w:rPr>
          <w:rFonts w:eastAsiaTheme="minorHAnsi" w:cstheme="minorBidi"/>
          <w:sz w:val="16"/>
          <w:szCs w:val="16"/>
          <w:lang w:val="nl-NL" w:eastAsia="en-US"/>
        </w:rPr>
        <w:t xml:space="preserve">15 juli 2022, </w:t>
      </w:r>
      <w:hyperlink r:id="rId2" w:history="1">
        <w:r w:rsidRPr="0086280A">
          <w:rPr>
            <w:rStyle w:val="Hyperlink"/>
            <w:sz w:val="16"/>
            <w:szCs w:val="16"/>
            <w:lang w:val="nl-NL" w:eastAsia="en-US"/>
          </w:rPr>
          <w:t>www.planinternational.be/nl/blog/aissatou-de-toekomstige-magistraat-voor-gendergelijkheid</w:t>
        </w:r>
      </w:hyperlink>
      <w:r w:rsidRPr="0086280A">
        <w:rPr>
          <w:rFonts w:eastAsiaTheme="minorHAnsi" w:cstheme="minorBidi"/>
          <w:sz w:val="16"/>
          <w:szCs w:val="16"/>
          <w:lang w:val="nl-NL" w:eastAsia="en-US"/>
        </w:rPr>
        <w:t xml:space="preserve"> (laatste consultatie </w:t>
      </w:r>
      <w:r w:rsidR="00767053" w:rsidRPr="0086280A">
        <w:rPr>
          <w:rFonts w:eastAsiaTheme="minorHAnsi" w:cstheme="minorBidi"/>
          <w:sz w:val="16"/>
          <w:szCs w:val="16"/>
          <w:lang w:val="nl-NL" w:eastAsia="en-US"/>
        </w:rPr>
        <w:t>13</w:t>
      </w:r>
      <w:r w:rsidRPr="0086280A">
        <w:rPr>
          <w:rFonts w:eastAsiaTheme="minorHAnsi" w:cstheme="minorBidi"/>
          <w:sz w:val="16"/>
          <w:szCs w:val="16"/>
          <w:lang w:val="nl-NL" w:eastAsia="en-US"/>
        </w:rPr>
        <w:t>.0</w:t>
      </w:r>
      <w:r w:rsidR="00767053" w:rsidRPr="0086280A">
        <w:rPr>
          <w:rFonts w:eastAsiaTheme="minorHAnsi" w:cstheme="minorBidi"/>
          <w:sz w:val="16"/>
          <w:szCs w:val="16"/>
          <w:lang w:val="nl-NL" w:eastAsia="en-US"/>
        </w:rPr>
        <w:t>5</w:t>
      </w:r>
      <w:r w:rsidRPr="0086280A">
        <w:rPr>
          <w:rFonts w:eastAsiaTheme="minorHAnsi" w:cstheme="minorBidi"/>
          <w:sz w:val="16"/>
          <w:szCs w:val="16"/>
          <w:lang w:val="nl-NL" w:eastAsia="en-US"/>
        </w:rPr>
        <w:t>.2023)</w:t>
      </w:r>
      <w:r w:rsidRPr="0086280A">
        <w:rPr>
          <w:sz w:val="16"/>
          <w:szCs w:val="16"/>
          <w:lang w:val="nl-NL"/>
        </w:rPr>
        <w:t xml:space="preserve">; </w:t>
      </w:r>
      <w:r w:rsidRPr="0086280A">
        <w:rPr>
          <w:rFonts w:eastAsiaTheme="minorHAnsi" w:cstheme="minorBidi"/>
          <w:sz w:val="16"/>
          <w:szCs w:val="16"/>
          <w:lang w:val="nl-NL" w:eastAsia="en-US"/>
        </w:rPr>
        <w:t xml:space="preserve">PLAN INTERNATIONAL BELGIË, “Ayame voert campagne voor de vrijheid van elk meisje”, </w:t>
      </w:r>
      <w:r w:rsidRPr="0086280A">
        <w:rPr>
          <w:rFonts w:eastAsiaTheme="minorHAnsi" w:cstheme="minorBidi"/>
          <w:i/>
          <w:iCs/>
          <w:sz w:val="16"/>
          <w:szCs w:val="16"/>
          <w:lang w:val="nl-NL" w:eastAsia="en-US"/>
        </w:rPr>
        <w:t>Plan International</w:t>
      </w:r>
      <w:r w:rsidRPr="0086280A">
        <w:rPr>
          <w:rFonts w:eastAsiaTheme="minorHAnsi" w:cstheme="minorBidi"/>
          <w:sz w:val="16"/>
          <w:szCs w:val="16"/>
          <w:lang w:val="nl-NL" w:eastAsia="en-US"/>
        </w:rPr>
        <w:t xml:space="preserve"> 7 oktober 2022, </w:t>
      </w:r>
      <w:hyperlink r:id="rId3" w:history="1">
        <w:r w:rsidRPr="0086280A">
          <w:rPr>
            <w:rStyle w:val="Hyperlink"/>
            <w:sz w:val="16"/>
            <w:szCs w:val="16"/>
            <w:lang w:val="nl-NL" w:eastAsia="en-US"/>
          </w:rPr>
          <w:t>www.planinternational.be/nl/blog/ayame-voert-campagne-voor-de-vrijheid-van-elk-meisje</w:t>
        </w:r>
      </w:hyperlink>
      <w:r w:rsidRPr="0086280A">
        <w:rPr>
          <w:rFonts w:eastAsiaTheme="minorHAnsi" w:cstheme="minorBidi"/>
          <w:sz w:val="16"/>
          <w:szCs w:val="16"/>
          <w:lang w:val="nl-NL" w:eastAsia="en-US"/>
        </w:rPr>
        <w:t xml:space="preserve"> (laatste consultatie </w:t>
      </w:r>
      <w:r w:rsidR="00767053" w:rsidRPr="0086280A">
        <w:rPr>
          <w:rFonts w:eastAsiaTheme="minorHAnsi" w:cstheme="minorBidi"/>
          <w:sz w:val="16"/>
          <w:szCs w:val="16"/>
          <w:lang w:val="nl-NL" w:eastAsia="en-US"/>
        </w:rPr>
        <w:t>13.</w:t>
      </w:r>
      <w:r w:rsidRPr="0086280A">
        <w:rPr>
          <w:rFonts w:eastAsiaTheme="minorHAnsi" w:cstheme="minorBidi"/>
          <w:sz w:val="16"/>
          <w:szCs w:val="16"/>
          <w:lang w:val="nl-NL" w:eastAsia="en-US"/>
        </w:rPr>
        <w:t>0</w:t>
      </w:r>
      <w:r w:rsidR="00767053" w:rsidRPr="0086280A">
        <w:rPr>
          <w:rFonts w:eastAsiaTheme="minorHAnsi" w:cstheme="minorBidi"/>
          <w:sz w:val="16"/>
          <w:szCs w:val="16"/>
          <w:lang w:val="nl-NL" w:eastAsia="en-US"/>
        </w:rPr>
        <w:t>5</w:t>
      </w:r>
      <w:r w:rsidRPr="0086280A">
        <w:rPr>
          <w:rFonts w:eastAsiaTheme="minorHAnsi" w:cstheme="minorBidi"/>
          <w:sz w:val="16"/>
          <w:szCs w:val="16"/>
          <w:lang w:val="nl-NL" w:eastAsia="en-US"/>
        </w:rPr>
        <w:t>.2023)</w:t>
      </w:r>
      <w:r w:rsidRPr="0086280A">
        <w:rPr>
          <w:sz w:val="16"/>
          <w:szCs w:val="16"/>
          <w:lang w:val="nl-NL"/>
        </w:rPr>
        <w:t xml:space="preserve">; E. </w:t>
      </w:r>
      <w:r w:rsidRPr="0086280A">
        <w:rPr>
          <w:rFonts w:eastAsia="Verdana" w:cs="Verdana"/>
          <w:sz w:val="16"/>
          <w:szCs w:val="16"/>
          <w:lang w:val="nl-NL"/>
        </w:rPr>
        <w:t xml:space="preserve">MAEREVOET, “Milieuactivisten gieten soep over ‘Zonnebloemen’ van </w:t>
      </w:r>
      <w:proofErr w:type="spellStart"/>
      <w:r w:rsidRPr="0086280A">
        <w:rPr>
          <w:rFonts w:eastAsia="Verdana" w:cs="Verdana"/>
          <w:sz w:val="16"/>
          <w:szCs w:val="16"/>
          <w:lang w:val="nl-NL"/>
        </w:rPr>
        <w:t>Van</w:t>
      </w:r>
      <w:proofErr w:type="spellEnd"/>
      <w:r w:rsidRPr="0086280A">
        <w:rPr>
          <w:rFonts w:eastAsia="Verdana" w:cs="Verdana"/>
          <w:sz w:val="16"/>
          <w:szCs w:val="16"/>
          <w:lang w:val="nl-NL"/>
        </w:rPr>
        <w:t xml:space="preserve"> Gogh in Londen, ‘schilderij is niet beschadigd’”, </w:t>
      </w:r>
      <w:r w:rsidRPr="0086280A">
        <w:rPr>
          <w:rFonts w:eastAsia="Verdana" w:cs="Verdana"/>
          <w:i/>
          <w:iCs/>
          <w:sz w:val="16"/>
          <w:szCs w:val="16"/>
          <w:lang w:val="nl-NL"/>
        </w:rPr>
        <w:t>vrtnieuws</w:t>
      </w:r>
      <w:r w:rsidRPr="0086280A">
        <w:rPr>
          <w:rFonts w:eastAsia="Verdana" w:cs="Verdana"/>
          <w:sz w:val="16"/>
          <w:szCs w:val="16"/>
          <w:lang w:val="nl-NL"/>
        </w:rPr>
        <w:t xml:space="preserve"> 14 oktober 2022, </w:t>
      </w:r>
      <w:hyperlink r:id="rId4" w:history="1">
        <w:r w:rsidRPr="0086280A">
          <w:rPr>
            <w:rStyle w:val="Hyperlink"/>
            <w:rFonts w:eastAsia="Verdana" w:cs="Verdana"/>
            <w:sz w:val="16"/>
            <w:szCs w:val="16"/>
            <w:lang w:val="nl-NL"/>
          </w:rPr>
          <w:t>www.vrt.be/vrtnws/nl/2022/10/14/activisten-gooien-soep-over-zonnebloemen-van-van-gogh/</w:t>
        </w:r>
      </w:hyperlink>
      <w:r w:rsidRPr="0086280A">
        <w:rPr>
          <w:rFonts w:eastAsia="Verdana" w:cs="Verdana"/>
          <w:sz w:val="16"/>
          <w:szCs w:val="16"/>
          <w:lang w:val="nl-NL"/>
        </w:rPr>
        <w:t xml:space="preserve"> (laatste consultatie </w:t>
      </w:r>
      <w:r w:rsidR="00767053" w:rsidRPr="0086280A">
        <w:rPr>
          <w:rFonts w:eastAsia="Verdana" w:cs="Verdana"/>
          <w:sz w:val="16"/>
          <w:szCs w:val="16"/>
          <w:lang w:val="nl-NL"/>
        </w:rPr>
        <w:t>13</w:t>
      </w:r>
      <w:r w:rsidRPr="0086280A">
        <w:rPr>
          <w:rFonts w:eastAsia="Verdana" w:cs="Verdana"/>
          <w:sz w:val="16"/>
          <w:szCs w:val="16"/>
          <w:lang w:val="nl-NL"/>
        </w:rPr>
        <w:t>.</w:t>
      </w:r>
      <w:r w:rsidR="00767053" w:rsidRPr="0086280A">
        <w:rPr>
          <w:rFonts w:eastAsia="Verdana" w:cs="Verdana"/>
          <w:sz w:val="16"/>
          <w:szCs w:val="16"/>
          <w:lang w:val="nl-NL"/>
        </w:rPr>
        <w:t>05</w:t>
      </w:r>
      <w:r w:rsidRPr="0086280A">
        <w:rPr>
          <w:rFonts w:eastAsia="Verdana" w:cs="Verdana"/>
          <w:sz w:val="16"/>
          <w:szCs w:val="16"/>
          <w:lang w:val="nl-NL"/>
        </w:rPr>
        <w:t xml:space="preserve">.2023); </w:t>
      </w:r>
      <w:r w:rsidRPr="0086280A">
        <w:rPr>
          <w:sz w:val="16"/>
          <w:szCs w:val="16"/>
          <w:lang w:val="nl-NL"/>
        </w:rPr>
        <w:t xml:space="preserve">S. VAN RUMST, “Kinderen in de familierechtbank: ‘We hebben een eigen mening’”, </w:t>
      </w:r>
      <w:r w:rsidRPr="0086280A">
        <w:rPr>
          <w:i/>
          <w:iCs/>
          <w:sz w:val="16"/>
          <w:szCs w:val="16"/>
          <w:lang w:val="nl-NL"/>
        </w:rPr>
        <w:t>Sociaal.net</w:t>
      </w:r>
      <w:r w:rsidRPr="0086280A">
        <w:rPr>
          <w:sz w:val="16"/>
          <w:szCs w:val="16"/>
          <w:lang w:val="nl-NL"/>
        </w:rPr>
        <w:t xml:space="preserve"> 1 maart 2023, </w:t>
      </w:r>
      <w:hyperlink r:id="rId5" w:history="1">
        <w:r w:rsidRPr="0086280A">
          <w:rPr>
            <w:rStyle w:val="Hyperlink"/>
            <w:sz w:val="16"/>
            <w:szCs w:val="16"/>
            <w:lang w:val="nl-NL"/>
          </w:rPr>
          <w:t>www.sociaal.net/achtergrond/spreekrecht-kinderen-in-familierechtbank/</w:t>
        </w:r>
      </w:hyperlink>
      <w:r w:rsidRPr="0086280A">
        <w:rPr>
          <w:sz w:val="16"/>
          <w:szCs w:val="16"/>
          <w:lang w:val="nl-NL"/>
        </w:rPr>
        <w:t xml:space="preserve"> (laatste consultatie </w:t>
      </w:r>
      <w:r w:rsidR="00767053" w:rsidRPr="0086280A">
        <w:rPr>
          <w:sz w:val="16"/>
          <w:szCs w:val="16"/>
          <w:lang w:val="nl-NL"/>
        </w:rPr>
        <w:t>13</w:t>
      </w:r>
      <w:r w:rsidRPr="0086280A">
        <w:rPr>
          <w:sz w:val="16"/>
          <w:szCs w:val="16"/>
          <w:lang w:val="nl-NL"/>
        </w:rPr>
        <w:t>.</w:t>
      </w:r>
      <w:r w:rsidR="00767053" w:rsidRPr="0086280A">
        <w:rPr>
          <w:sz w:val="16"/>
          <w:szCs w:val="16"/>
          <w:lang w:val="nl-NL"/>
        </w:rPr>
        <w:t>05</w:t>
      </w:r>
      <w:r w:rsidRPr="0086280A">
        <w:rPr>
          <w:sz w:val="16"/>
          <w:szCs w:val="16"/>
          <w:lang w:val="nl-NL"/>
        </w:rPr>
        <w:t>.2023).</w:t>
      </w:r>
    </w:p>
  </w:footnote>
  <w:footnote w:id="7">
    <w:p w14:paraId="5BF69620" w14:textId="5D472169" w:rsidR="00C57AF9" w:rsidRPr="0086280A" w:rsidRDefault="00C57AF9" w:rsidP="00521592">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KINDERRECHTENCOMMISSARIAAT, “Advies van 20 juni 2006 betreffende het spreekrecht, zelfstandige rechtsingang en jeugdadvocaten”, nr. 2005-2006/11, </w:t>
      </w:r>
      <w:hyperlink r:id="rId6" w:history="1">
        <w:r w:rsidRPr="0086280A">
          <w:rPr>
            <w:rStyle w:val="Hyperlink"/>
            <w:sz w:val="16"/>
            <w:szCs w:val="16"/>
            <w:lang w:val="nl-NL"/>
          </w:rPr>
          <w:t>www.kinderrechten.be/sites/default/files/2005_2006_11_advies_spreekrecht_zelfstandigerechtsingang_jeugdavocaten.pdf</w:t>
        </w:r>
      </w:hyperlink>
      <w:r w:rsidRPr="0086280A">
        <w:rPr>
          <w:sz w:val="16"/>
          <w:szCs w:val="16"/>
          <w:lang w:val="nl-NL"/>
        </w:rPr>
        <w:t xml:space="preserve"> (laatste consultatie </w:t>
      </w:r>
      <w:r w:rsidR="00767053" w:rsidRPr="0086280A">
        <w:rPr>
          <w:sz w:val="16"/>
          <w:szCs w:val="16"/>
          <w:lang w:val="nl-NL"/>
        </w:rPr>
        <w:t>13</w:t>
      </w:r>
      <w:r w:rsidRPr="0086280A">
        <w:rPr>
          <w:sz w:val="16"/>
          <w:szCs w:val="16"/>
          <w:lang w:val="nl-NL"/>
        </w:rPr>
        <w:t>.</w:t>
      </w:r>
      <w:r w:rsidR="00767053" w:rsidRPr="0086280A">
        <w:rPr>
          <w:sz w:val="16"/>
          <w:szCs w:val="16"/>
          <w:lang w:val="nl-NL"/>
        </w:rPr>
        <w:t>05</w:t>
      </w:r>
      <w:r w:rsidRPr="0086280A">
        <w:rPr>
          <w:sz w:val="16"/>
          <w:szCs w:val="16"/>
          <w:lang w:val="nl-NL"/>
        </w:rPr>
        <w:t>.2023).</w:t>
      </w:r>
    </w:p>
  </w:footnote>
  <w:footnote w:id="8">
    <w:p w14:paraId="000DB382" w14:textId="133C9966" w:rsidR="00C57AF9" w:rsidRPr="004F6728" w:rsidRDefault="00C57AF9" w:rsidP="005C4D5C">
      <w:pPr>
        <w:jc w:val="both"/>
        <w:rPr>
          <w:rFonts w:eastAsia="Verdana" w:cs="Verdana"/>
          <w:sz w:val="16"/>
          <w:szCs w:val="16"/>
          <w:highlight w:val="white"/>
          <w:lang w:val="en-US"/>
        </w:rPr>
      </w:pPr>
      <w:r w:rsidRPr="0086280A">
        <w:rPr>
          <w:rStyle w:val="Voetnootmarkering"/>
          <w:sz w:val="16"/>
          <w:szCs w:val="16"/>
          <w:lang w:val="nl-NL"/>
        </w:rPr>
        <w:footnoteRef/>
      </w:r>
      <w:r w:rsidRPr="004F6728">
        <w:rPr>
          <w:sz w:val="16"/>
          <w:szCs w:val="16"/>
          <w:lang w:val="en-US"/>
        </w:rPr>
        <w:t xml:space="preserve"> Zie </w:t>
      </w:r>
      <w:r w:rsidRPr="004F6728">
        <w:rPr>
          <w:rFonts w:eastAsia="Verdana" w:cs="Verdana"/>
          <w:sz w:val="16"/>
          <w:szCs w:val="16"/>
          <w:highlight w:val="white"/>
          <w:lang w:val="en-US"/>
        </w:rPr>
        <w:t xml:space="preserve">J.M. SCHERPE, </w:t>
      </w:r>
      <w:r w:rsidRPr="004F6728">
        <w:rPr>
          <w:rFonts w:eastAsia="Verdana" w:cs="Verdana"/>
          <w:i/>
          <w:sz w:val="16"/>
          <w:szCs w:val="16"/>
          <w:highlight w:val="white"/>
          <w:lang w:val="en-US"/>
        </w:rPr>
        <w:t xml:space="preserve">European Family Law Volume III: family law in a European perspective, </w:t>
      </w:r>
      <w:r w:rsidRPr="004F6728">
        <w:rPr>
          <w:rFonts w:eastAsia="Verdana" w:cs="Verdana"/>
          <w:sz w:val="16"/>
          <w:szCs w:val="16"/>
          <w:highlight w:val="white"/>
          <w:lang w:val="en-US"/>
        </w:rPr>
        <w:t>Cheltenham, Edward Elgar Publishing,</w:t>
      </w:r>
      <w:r w:rsidRPr="004F6728">
        <w:rPr>
          <w:rFonts w:eastAsia="Verdana" w:cs="Verdana"/>
          <w:i/>
          <w:sz w:val="16"/>
          <w:szCs w:val="16"/>
          <w:highlight w:val="white"/>
          <w:lang w:val="en-US"/>
        </w:rPr>
        <w:t xml:space="preserve"> </w:t>
      </w:r>
      <w:r w:rsidRPr="004F6728">
        <w:rPr>
          <w:rFonts w:eastAsia="Verdana" w:cs="Verdana"/>
          <w:sz w:val="16"/>
          <w:szCs w:val="16"/>
          <w:highlight w:val="white"/>
          <w:lang w:val="en-US"/>
        </w:rPr>
        <w:t>2016, 416 p</w:t>
      </w:r>
      <w:r w:rsidR="00521592">
        <w:rPr>
          <w:rFonts w:eastAsia="Verdana" w:cs="Verdana"/>
          <w:sz w:val="16"/>
          <w:szCs w:val="16"/>
          <w:highlight w:val="white"/>
          <w:lang w:val="en-US"/>
        </w:rPr>
        <w:t>.</w:t>
      </w:r>
      <w:r w:rsidRPr="004F6728">
        <w:rPr>
          <w:rFonts w:eastAsia="Verdana" w:cs="Verdana"/>
          <w:sz w:val="16"/>
          <w:szCs w:val="16"/>
          <w:highlight w:val="white"/>
          <w:lang w:val="en-US"/>
        </w:rPr>
        <w:t>; RAAD VAN EUROPA</w:t>
      </w:r>
      <w:r w:rsidRPr="004F6728">
        <w:rPr>
          <w:rFonts w:eastAsia="Verdana" w:cs="Verdana"/>
          <w:i/>
          <w:sz w:val="16"/>
          <w:szCs w:val="16"/>
          <w:highlight w:val="white"/>
          <w:lang w:val="en-US"/>
        </w:rPr>
        <w:t>, Handbook on European law relating to the rights of the child</w:t>
      </w:r>
      <w:r w:rsidRPr="004F6728">
        <w:rPr>
          <w:rFonts w:eastAsia="Verdana" w:cs="Verdana"/>
          <w:sz w:val="16"/>
          <w:szCs w:val="16"/>
          <w:highlight w:val="white"/>
          <w:lang w:val="en-US"/>
        </w:rPr>
        <w:t xml:space="preserve">, Luxemburg, Bureau </w:t>
      </w:r>
      <w:proofErr w:type="spellStart"/>
      <w:r w:rsidRPr="004F6728">
        <w:rPr>
          <w:rFonts w:eastAsia="Verdana" w:cs="Verdana"/>
          <w:sz w:val="16"/>
          <w:szCs w:val="16"/>
          <w:highlight w:val="white"/>
          <w:lang w:val="en-US"/>
        </w:rPr>
        <w:t>voor</w:t>
      </w:r>
      <w:proofErr w:type="spellEnd"/>
      <w:r w:rsidRPr="004F6728">
        <w:rPr>
          <w:rFonts w:eastAsia="Verdana" w:cs="Verdana"/>
          <w:sz w:val="16"/>
          <w:szCs w:val="16"/>
          <w:highlight w:val="white"/>
          <w:lang w:val="en-US"/>
        </w:rPr>
        <w:t xml:space="preserve"> </w:t>
      </w:r>
      <w:proofErr w:type="spellStart"/>
      <w:r w:rsidRPr="004F6728">
        <w:rPr>
          <w:rFonts w:eastAsia="Verdana" w:cs="Verdana"/>
          <w:sz w:val="16"/>
          <w:szCs w:val="16"/>
          <w:highlight w:val="white"/>
          <w:lang w:val="en-US"/>
        </w:rPr>
        <w:t>publicaties</w:t>
      </w:r>
      <w:proofErr w:type="spellEnd"/>
      <w:r w:rsidRPr="004F6728">
        <w:rPr>
          <w:rFonts w:eastAsia="Verdana" w:cs="Verdana"/>
          <w:sz w:val="16"/>
          <w:szCs w:val="16"/>
          <w:highlight w:val="white"/>
          <w:lang w:val="en-US"/>
        </w:rPr>
        <w:t xml:space="preserve"> van de </w:t>
      </w:r>
      <w:proofErr w:type="spellStart"/>
      <w:r w:rsidRPr="004F6728">
        <w:rPr>
          <w:rFonts w:eastAsia="Verdana" w:cs="Verdana"/>
          <w:sz w:val="16"/>
          <w:szCs w:val="16"/>
          <w:highlight w:val="white"/>
          <w:lang w:val="en-US"/>
        </w:rPr>
        <w:t>Europese</w:t>
      </w:r>
      <w:proofErr w:type="spellEnd"/>
      <w:r w:rsidRPr="004F6728">
        <w:rPr>
          <w:rFonts w:eastAsia="Verdana" w:cs="Verdana"/>
          <w:sz w:val="16"/>
          <w:szCs w:val="16"/>
          <w:highlight w:val="white"/>
          <w:lang w:val="en-US"/>
        </w:rPr>
        <w:t xml:space="preserve"> </w:t>
      </w:r>
      <w:proofErr w:type="spellStart"/>
      <w:r w:rsidRPr="004F6728">
        <w:rPr>
          <w:rFonts w:eastAsia="Verdana" w:cs="Verdana"/>
          <w:sz w:val="16"/>
          <w:szCs w:val="16"/>
          <w:highlight w:val="white"/>
          <w:lang w:val="en-US"/>
        </w:rPr>
        <w:t>Unie</w:t>
      </w:r>
      <w:proofErr w:type="spellEnd"/>
      <w:r w:rsidRPr="004F6728">
        <w:rPr>
          <w:rFonts w:eastAsia="Verdana" w:cs="Verdana"/>
          <w:sz w:val="16"/>
          <w:szCs w:val="16"/>
          <w:highlight w:val="white"/>
          <w:lang w:val="en-US"/>
        </w:rPr>
        <w:t xml:space="preserve">, 2022, 309 p. </w:t>
      </w:r>
    </w:p>
  </w:footnote>
  <w:footnote w:id="9">
    <w:p w14:paraId="0D951D88" w14:textId="1FDF3761" w:rsidR="00C57AF9" w:rsidRPr="0086280A" w:rsidRDefault="00C57AF9" w:rsidP="005C4D5C">
      <w:pPr>
        <w:pStyle w:val="Voetnoottekst"/>
        <w:jc w:val="both"/>
        <w:rPr>
          <w:iCs/>
          <w:sz w:val="16"/>
          <w:szCs w:val="16"/>
          <w:lang w:val="nl-NL"/>
        </w:rPr>
      </w:pPr>
      <w:r w:rsidRPr="0086280A">
        <w:rPr>
          <w:rStyle w:val="Voetnootmarkering"/>
          <w:sz w:val="16"/>
          <w:szCs w:val="16"/>
          <w:lang w:val="nl-NL"/>
        </w:rPr>
        <w:footnoteRef/>
      </w:r>
      <w:r w:rsidRPr="0086280A">
        <w:rPr>
          <w:sz w:val="16"/>
          <w:szCs w:val="16"/>
          <w:lang w:val="nl-NL"/>
        </w:rPr>
        <w:t xml:space="preserve"> Artikel 387quinquiesdecies-387septiesdecies oud BW; Artikel 3 wet 20 mei 2021 tot wijziging van het oud Burgerlijk Wetboek, betreffende de persoonlijke banden tussen broers en zussen, </w:t>
      </w:r>
      <w:r w:rsidRPr="0086280A">
        <w:rPr>
          <w:i/>
          <w:sz w:val="16"/>
          <w:szCs w:val="16"/>
          <w:lang w:val="nl-NL"/>
        </w:rPr>
        <w:t>BS</w:t>
      </w:r>
      <w:r w:rsidRPr="0086280A">
        <w:rPr>
          <w:sz w:val="16"/>
          <w:szCs w:val="16"/>
          <w:lang w:val="nl-NL"/>
        </w:rPr>
        <w:t xml:space="preserve"> 9 juni 2021; Denk hierbij </w:t>
      </w:r>
      <w:r w:rsidR="00521592">
        <w:rPr>
          <w:sz w:val="16"/>
          <w:szCs w:val="16"/>
          <w:lang w:val="nl-NL"/>
        </w:rPr>
        <w:t xml:space="preserve">tevens </w:t>
      </w:r>
      <w:r w:rsidRPr="0086280A">
        <w:rPr>
          <w:sz w:val="16"/>
          <w:szCs w:val="16"/>
          <w:lang w:val="nl-NL"/>
        </w:rPr>
        <w:t xml:space="preserve">aan de recentste wetswijziging over het recht op persoonlijk contact tussen broers en zussen waarbij de rechten rechtstreeks aan de kinderen worden toegekend: Wetsvoorstel tot wijziging van het Burgerlijk Wetboek, betreffende de persoonlijke banden tussen broers en zussen, </w:t>
      </w:r>
      <w:r w:rsidRPr="0086280A">
        <w:rPr>
          <w:i/>
          <w:sz w:val="16"/>
          <w:szCs w:val="16"/>
          <w:lang w:val="nl-NL"/>
        </w:rPr>
        <w:t>Parl.St.</w:t>
      </w:r>
      <w:r w:rsidRPr="0086280A">
        <w:rPr>
          <w:sz w:val="16"/>
          <w:szCs w:val="16"/>
          <w:lang w:val="nl-NL"/>
        </w:rPr>
        <w:t xml:space="preserve"> Kamer 2020-21, nr. 55-780/11.</w:t>
      </w:r>
    </w:p>
  </w:footnote>
  <w:footnote w:id="10">
    <w:p w14:paraId="7DF45AAC" w14:textId="2C39DB88" w:rsidR="00C57AF9" w:rsidRPr="00521592"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KINDERRECHTENCOMMISSARIAAT, “Dossier Spreekrecht: het kind weegt te ligt”, 20 mei 2022, 1-35, </w:t>
      </w:r>
      <w:hyperlink r:id="rId7" w:history="1">
        <w:r w:rsidRPr="00521592">
          <w:rPr>
            <w:rStyle w:val="Hyperlink"/>
            <w:sz w:val="16"/>
            <w:szCs w:val="16"/>
            <w:lang w:val="nl-NL"/>
          </w:rPr>
          <w:t>www.kinderrechten.be/sites/default/files/2022-05/KRC_Dossier_spreekrecht_interactief.pdf</w:t>
        </w:r>
      </w:hyperlink>
      <w:r w:rsidRPr="00521592">
        <w:rPr>
          <w:sz w:val="16"/>
          <w:szCs w:val="16"/>
          <w:lang w:val="nl-NL"/>
        </w:rPr>
        <w:t xml:space="preserve"> (laatste consultatie </w:t>
      </w:r>
      <w:r w:rsidR="00767053" w:rsidRPr="00521592">
        <w:rPr>
          <w:sz w:val="16"/>
          <w:szCs w:val="16"/>
          <w:lang w:val="nl-NL"/>
        </w:rPr>
        <w:t>13</w:t>
      </w:r>
      <w:r w:rsidRPr="00521592">
        <w:rPr>
          <w:sz w:val="16"/>
          <w:szCs w:val="16"/>
          <w:lang w:val="nl-NL"/>
        </w:rPr>
        <w:t>.0</w:t>
      </w:r>
      <w:r w:rsidR="00767053" w:rsidRPr="00521592">
        <w:rPr>
          <w:sz w:val="16"/>
          <w:szCs w:val="16"/>
          <w:lang w:val="nl-NL"/>
        </w:rPr>
        <w:t>5.</w:t>
      </w:r>
      <w:r w:rsidRPr="00521592">
        <w:rPr>
          <w:sz w:val="16"/>
          <w:szCs w:val="16"/>
          <w:lang w:val="nl-NL"/>
        </w:rPr>
        <w:t>202</w:t>
      </w:r>
      <w:r w:rsidR="006810D8" w:rsidRPr="00521592">
        <w:rPr>
          <w:sz w:val="16"/>
          <w:szCs w:val="16"/>
          <w:lang w:val="nl-NL"/>
        </w:rPr>
        <w:t>3</w:t>
      </w:r>
      <w:r w:rsidRPr="00521592">
        <w:rPr>
          <w:sz w:val="16"/>
          <w:szCs w:val="16"/>
          <w:lang w:val="nl-NL"/>
        </w:rPr>
        <w:t>).</w:t>
      </w:r>
    </w:p>
  </w:footnote>
  <w:footnote w:id="11">
    <w:p w14:paraId="22478055" w14:textId="6BBD61C3" w:rsidR="00C57AF9" w:rsidRPr="00521592" w:rsidRDefault="00C57AF9" w:rsidP="005C4D5C">
      <w:pPr>
        <w:pStyle w:val="Voetnoottekst"/>
        <w:jc w:val="both"/>
        <w:rPr>
          <w:sz w:val="16"/>
          <w:szCs w:val="16"/>
          <w:lang w:val="nl-NL"/>
        </w:rPr>
      </w:pPr>
      <w:r w:rsidRPr="00521592">
        <w:rPr>
          <w:rStyle w:val="Voetnootmarkering"/>
          <w:sz w:val="16"/>
          <w:szCs w:val="16"/>
          <w:lang w:val="nl-NL"/>
        </w:rPr>
        <w:footnoteRef/>
      </w:r>
      <w:r w:rsidRPr="00521592">
        <w:rPr>
          <w:sz w:val="16"/>
          <w:szCs w:val="16"/>
          <w:lang w:val="nl-NL"/>
        </w:rPr>
        <w:t xml:space="preserve"> </w:t>
      </w:r>
      <w:r w:rsidR="00521592" w:rsidRPr="00521592">
        <w:rPr>
          <w:sz w:val="16"/>
          <w:szCs w:val="16"/>
          <w:lang w:val="nl-NL"/>
        </w:rPr>
        <w:t xml:space="preserve">J. PUT, </w:t>
      </w:r>
      <w:r w:rsidR="00521592" w:rsidRPr="00521592">
        <w:rPr>
          <w:i/>
          <w:sz w:val="16"/>
          <w:szCs w:val="16"/>
          <w:lang w:val="nl-NL"/>
        </w:rPr>
        <w:t>Handboek Jeugdbeschermingsrecht</w:t>
      </w:r>
      <w:r w:rsidR="00521592" w:rsidRPr="00521592">
        <w:rPr>
          <w:sz w:val="16"/>
          <w:szCs w:val="16"/>
          <w:lang w:val="nl-NL"/>
        </w:rPr>
        <w:t xml:space="preserve">, Brugge, die Keure, 2021, 625-628; </w:t>
      </w:r>
      <w:r w:rsidRPr="00521592">
        <w:rPr>
          <w:sz w:val="16"/>
          <w:szCs w:val="16"/>
          <w:lang w:val="nl-NL"/>
        </w:rPr>
        <w:t xml:space="preserve">K. JACOBS, “Het omgangsrecht in België en in Nederland”, </w:t>
      </w:r>
      <w:r w:rsidRPr="00521592">
        <w:rPr>
          <w:i/>
          <w:sz w:val="16"/>
          <w:szCs w:val="16"/>
          <w:lang w:val="nl-NL"/>
        </w:rPr>
        <w:t>TPR</w:t>
      </w:r>
      <w:r w:rsidRPr="00521592">
        <w:rPr>
          <w:sz w:val="16"/>
          <w:szCs w:val="16"/>
          <w:lang w:val="nl-NL"/>
        </w:rPr>
        <w:t xml:space="preserve"> 1996, 876</w:t>
      </w:r>
      <w:r w:rsidR="00521592" w:rsidRPr="00521592">
        <w:rPr>
          <w:sz w:val="16"/>
          <w:szCs w:val="16"/>
          <w:lang w:val="nl-NL"/>
        </w:rPr>
        <w:t>.</w:t>
      </w:r>
    </w:p>
  </w:footnote>
  <w:footnote w:id="12">
    <w:p w14:paraId="50EC995A" w14:textId="3A3A623B" w:rsidR="00C57AF9" w:rsidRPr="0086280A" w:rsidRDefault="00C57AF9" w:rsidP="005C4D5C">
      <w:pPr>
        <w:pStyle w:val="Voetnoottekst"/>
        <w:jc w:val="both"/>
        <w:rPr>
          <w:sz w:val="16"/>
          <w:szCs w:val="16"/>
          <w:lang w:val="nl-NL"/>
        </w:rPr>
      </w:pPr>
      <w:r w:rsidRPr="00521592">
        <w:rPr>
          <w:rStyle w:val="Voetnootmarkering"/>
          <w:sz w:val="16"/>
          <w:szCs w:val="16"/>
          <w:lang w:val="nl-NL"/>
        </w:rPr>
        <w:footnoteRef/>
      </w:r>
      <w:r w:rsidRPr="00521592">
        <w:rPr>
          <w:sz w:val="16"/>
          <w:szCs w:val="16"/>
          <w:lang w:val="nl-NL"/>
        </w:rPr>
        <w:t xml:space="preserve"> X., “Dwing kinderen na scheiding niet beide ouders te blijven zien”, </w:t>
      </w:r>
      <w:r w:rsidRPr="00521592">
        <w:rPr>
          <w:i/>
          <w:sz w:val="16"/>
          <w:szCs w:val="16"/>
          <w:lang w:val="nl-NL"/>
        </w:rPr>
        <w:t>Trouw</w:t>
      </w:r>
      <w:r w:rsidRPr="00521592">
        <w:rPr>
          <w:sz w:val="16"/>
          <w:szCs w:val="16"/>
          <w:lang w:val="nl-NL"/>
        </w:rPr>
        <w:t xml:space="preserve"> 3 maart 2021, </w:t>
      </w:r>
      <w:hyperlink r:id="rId8" w:history="1">
        <w:r w:rsidRPr="00521592">
          <w:rPr>
            <w:rStyle w:val="Hyperlink"/>
            <w:sz w:val="16"/>
            <w:szCs w:val="16"/>
            <w:lang w:val="nl-NL"/>
          </w:rPr>
          <w:t>www.trouw.nl/opinie/dwing-kinderen-na-scheiding-niet-beide-ouders-te-blijven-zien~bac9225a/?referrer=https%3A%2F%2Fwww.google.com%2F</w:t>
        </w:r>
      </w:hyperlink>
      <w:r w:rsidRPr="00521592">
        <w:rPr>
          <w:sz w:val="16"/>
          <w:szCs w:val="16"/>
          <w:lang w:val="nl-NL"/>
        </w:rPr>
        <w:t xml:space="preserve"> (laatste consultatie </w:t>
      </w:r>
      <w:r w:rsidR="00767053" w:rsidRPr="00521592">
        <w:rPr>
          <w:sz w:val="16"/>
          <w:szCs w:val="16"/>
          <w:lang w:val="nl-NL"/>
        </w:rPr>
        <w:t>13</w:t>
      </w:r>
      <w:r w:rsidRPr="00521592">
        <w:rPr>
          <w:sz w:val="16"/>
          <w:szCs w:val="16"/>
          <w:lang w:val="nl-NL"/>
        </w:rPr>
        <w:t>.</w:t>
      </w:r>
      <w:r w:rsidR="00767053" w:rsidRPr="00521592">
        <w:rPr>
          <w:sz w:val="16"/>
          <w:szCs w:val="16"/>
          <w:lang w:val="nl-NL"/>
        </w:rPr>
        <w:t>05</w:t>
      </w:r>
      <w:r w:rsidRPr="00521592">
        <w:rPr>
          <w:sz w:val="16"/>
          <w:szCs w:val="16"/>
          <w:lang w:val="nl-NL"/>
        </w:rPr>
        <w:t>.202</w:t>
      </w:r>
      <w:r w:rsidR="006810D8" w:rsidRPr="00521592">
        <w:rPr>
          <w:sz w:val="16"/>
          <w:szCs w:val="16"/>
          <w:lang w:val="nl-NL"/>
        </w:rPr>
        <w:t>3</w:t>
      </w:r>
      <w:r w:rsidRPr="00521592">
        <w:rPr>
          <w:sz w:val="16"/>
          <w:szCs w:val="16"/>
          <w:lang w:val="nl-NL"/>
        </w:rPr>
        <w:t>).</w:t>
      </w:r>
    </w:p>
  </w:footnote>
  <w:footnote w:id="13">
    <w:p w14:paraId="263F25D0" w14:textId="77777777" w:rsidR="00C57AF9" w:rsidRPr="00521592" w:rsidRDefault="00C57AF9" w:rsidP="005C4D5C">
      <w:pPr>
        <w:pStyle w:val="Voetnoottekst"/>
        <w:jc w:val="both"/>
        <w:rPr>
          <w:sz w:val="16"/>
          <w:szCs w:val="16"/>
          <w:lang w:val="nl-NL"/>
        </w:rPr>
      </w:pPr>
      <w:r w:rsidRPr="00521592">
        <w:rPr>
          <w:rStyle w:val="Voetnootmarkering"/>
          <w:sz w:val="16"/>
          <w:szCs w:val="16"/>
          <w:lang w:val="nl-NL"/>
        </w:rPr>
        <w:footnoteRef/>
      </w:r>
      <w:r w:rsidRPr="00521592">
        <w:rPr>
          <w:sz w:val="16"/>
          <w:szCs w:val="16"/>
          <w:lang w:val="nl-NL"/>
        </w:rPr>
        <w:t xml:space="preserve"> G. VERSCHELDEN, </w:t>
      </w:r>
      <w:r w:rsidRPr="00521592">
        <w:rPr>
          <w:i/>
          <w:sz w:val="16"/>
          <w:szCs w:val="16"/>
          <w:lang w:val="nl-NL"/>
        </w:rPr>
        <w:t>Handboek Belgisch Personen-, familie- en relatievermogensrecht</w:t>
      </w:r>
      <w:r w:rsidRPr="00521592">
        <w:rPr>
          <w:sz w:val="16"/>
          <w:szCs w:val="16"/>
          <w:lang w:val="nl-NL"/>
        </w:rPr>
        <w:t>, Brugge, die Keure, 2021, 453.</w:t>
      </w:r>
    </w:p>
  </w:footnote>
  <w:footnote w:id="14">
    <w:p w14:paraId="4F9A759C" w14:textId="66093C24" w:rsidR="00C57AF9" w:rsidRPr="00521592" w:rsidRDefault="00C57AF9" w:rsidP="005C4D5C">
      <w:pPr>
        <w:pStyle w:val="Voetnoottekst"/>
        <w:jc w:val="both"/>
        <w:rPr>
          <w:sz w:val="16"/>
          <w:szCs w:val="16"/>
          <w:lang w:val="nl-NL"/>
        </w:rPr>
      </w:pPr>
      <w:r w:rsidRPr="00521592">
        <w:rPr>
          <w:rStyle w:val="Voetnootmarkering"/>
          <w:sz w:val="16"/>
          <w:szCs w:val="16"/>
          <w:lang w:val="nl-NL"/>
        </w:rPr>
        <w:footnoteRef/>
      </w:r>
      <w:r w:rsidRPr="00521592">
        <w:rPr>
          <w:sz w:val="16"/>
          <w:szCs w:val="16"/>
          <w:lang w:val="nl-NL"/>
        </w:rPr>
        <w:t xml:space="preserve"> E. COENE, “Hoog tijd om minderjarigen als volwaardige mensen te bekijken en te behandelen”, </w:t>
      </w:r>
      <w:r w:rsidRPr="00521592">
        <w:rPr>
          <w:i/>
          <w:sz w:val="16"/>
          <w:szCs w:val="16"/>
          <w:lang w:val="nl-NL"/>
        </w:rPr>
        <w:t>Knack</w:t>
      </w:r>
      <w:r w:rsidRPr="00521592">
        <w:rPr>
          <w:sz w:val="16"/>
          <w:szCs w:val="16"/>
          <w:lang w:val="nl-NL"/>
        </w:rPr>
        <w:t xml:space="preserve"> 2016, </w:t>
      </w:r>
      <w:hyperlink r:id="rId9" w:history="1">
        <w:r w:rsidRPr="00521592">
          <w:rPr>
            <w:rStyle w:val="Hyperlink"/>
            <w:sz w:val="16"/>
            <w:szCs w:val="16"/>
            <w:lang w:val="nl-NL"/>
          </w:rPr>
          <w:t>www.knack.be/nieuws/hoog-tijd-om-minderjarigen-als-volwaardige-mensen-te-bekijken-en-te-behandelen</w:t>
        </w:r>
      </w:hyperlink>
      <w:r w:rsidRPr="00521592">
        <w:rPr>
          <w:sz w:val="16"/>
          <w:szCs w:val="16"/>
          <w:lang w:val="nl-NL"/>
        </w:rPr>
        <w:t xml:space="preserve"> (laatste consultatie </w:t>
      </w:r>
      <w:r w:rsidR="00767053" w:rsidRPr="00521592">
        <w:rPr>
          <w:sz w:val="16"/>
          <w:szCs w:val="16"/>
          <w:lang w:val="nl-NL"/>
        </w:rPr>
        <w:t>13</w:t>
      </w:r>
      <w:r w:rsidRPr="00521592">
        <w:rPr>
          <w:sz w:val="16"/>
          <w:szCs w:val="16"/>
          <w:lang w:val="nl-NL"/>
        </w:rPr>
        <w:t>.0</w:t>
      </w:r>
      <w:r w:rsidR="00767053" w:rsidRPr="00521592">
        <w:rPr>
          <w:sz w:val="16"/>
          <w:szCs w:val="16"/>
          <w:lang w:val="nl-NL"/>
        </w:rPr>
        <w:t>5</w:t>
      </w:r>
      <w:r w:rsidRPr="00521592">
        <w:rPr>
          <w:sz w:val="16"/>
          <w:szCs w:val="16"/>
          <w:lang w:val="nl-NL"/>
        </w:rPr>
        <w:t>.2023).</w:t>
      </w:r>
    </w:p>
  </w:footnote>
  <w:footnote w:id="15">
    <w:p w14:paraId="739EC64C" w14:textId="77777777" w:rsidR="00C57AF9" w:rsidRPr="00521592" w:rsidRDefault="00C57AF9" w:rsidP="005C4D5C">
      <w:pPr>
        <w:pStyle w:val="Voetnoottekst"/>
        <w:jc w:val="both"/>
        <w:rPr>
          <w:sz w:val="16"/>
          <w:szCs w:val="16"/>
          <w:lang w:val="nl-NL"/>
        </w:rPr>
      </w:pPr>
      <w:r w:rsidRPr="00521592">
        <w:rPr>
          <w:rStyle w:val="Voetnootmarkering"/>
          <w:sz w:val="16"/>
          <w:szCs w:val="16"/>
          <w:lang w:val="nl-NL"/>
        </w:rPr>
        <w:footnoteRef/>
      </w:r>
      <w:r w:rsidRPr="00521592">
        <w:rPr>
          <w:sz w:val="16"/>
          <w:szCs w:val="16"/>
          <w:lang w:val="nl-NL"/>
        </w:rPr>
        <w:t xml:space="preserve"> T. WUYTS, “Ouderlijk gezag moet op maat van het gezin georganiseerd worden”, </w:t>
      </w:r>
      <w:r w:rsidRPr="00521592">
        <w:rPr>
          <w:i/>
          <w:sz w:val="16"/>
          <w:szCs w:val="16"/>
          <w:lang w:val="nl-NL"/>
        </w:rPr>
        <w:t>Juristenkrant</w:t>
      </w:r>
      <w:r w:rsidRPr="00521592">
        <w:rPr>
          <w:sz w:val="16"/>
          <w:szCs w:val="16"/>
          <w:lang w:val="nl-NL"/>
        </w:rPr>
        <w:t xml:space="preserve"> 2012, afl. 245, 14.</w:t>
      </w:r>
    </w:p>
  </w:footnote>
  <w:footnote w:id="16">
    <w:p w14:paraId="408B69B6" w14:textId="3F9D67A0" w:rsidR="00C57AF9" w:rsidRPr="004F6728" w:rsidRDefault="00C57AF9" w:rsidP="005C4D5C">
      <w:pPr>
        <w:pStyle w:val="Voetnoottekst"/>
        <w:jc w:val="both"/>
        <w:rPr>
          <w:sz w:val="16"/>
          <w:szCs w:val="16"/>
          <w:lang w:val="en-US"/>
        </w:rPr>
      </w:pPr>
      <w:r w:rsidRPr="00521592">
        <w:rPr>
          <w:rStyle w:val="Voetnootmarkering"/>
          <w:sz w:val="16"/>
          <w:szCs w:val="16"/>
          <w:lang w:val="nl-NL"/>
        </w:rPr>
        <w:footnoteRef/>
      </w:r>
      <w:r w:rsidRPr="00521592">
        <w:rPr>
          <w:sz w:val="16"/>
          <w:szCs w:val="16"/>
          <w:lang w:val="en-US"/>
        </w:rPr>
        <w:t xml:space="preserve"> P. ALSTON en J. TOBIN, </w:t>
      </w:r>
      <w:r w:rsidRPr="00521592">
        <w:rPr>
          <w:i/>
          <w:iCs/>
          <w:sz w:val="16"/>
          <w:szCs w:val="16"/>
          <w:lang w:val="en-US"/>
        </w:rPr>
        <w:t>Laying the Foundations for Children’s Rights: An Independent Study of Some Key Legal and Institutional Aspects of the Impact of the Convention on the Rights of the Child</w:t>
      </w:r>
      <w:r w:rsidRPr="00521592">
        <w:rPr>
          <w:sz w:val="16"/>
          <w:szCs w:val="16"/>
          <w:lang w:val="en-US"/>
        </w:rPr>
        <w:t xml:space="preserve">, UNICEF </w:t>
      </w:r>
      <w:proofErr w:type="spellStart"/>
      <w:r w:rsidRPr="00521592">
        <w:rPr>
          <w:sz w:val="16"/>
          <w:szCs w:val="16"/>
          <w:lang w:val="en-US"/>
        </w:rPr>
        <w:t>Innocenti</w:t>
      </w:r>
      <w:proofErr w:type="spellEnd"/>
      <w:r w:rsidRPr="00521592">
        <w:rPr>
          <w:sz w:val="16"/>
          <w:szCs w:val="16"/>
          <w:lang w:val="en-US"/>
        </w:rPr>
        <w:t xml:space="preserve"> Research Centre 3, 2005, 12-16; I. BANTEKAS en L. OETTE, </w:t>
      </w:r>
      <w:r w:rsidRPr="00521592">
        <w:rPr>
          <w:i/>
          <w:iCs/>
          <w:sz w:val="16"/>
          <w:szCs w:val="16"/>
          <w:lang w:val="en-US"/>
        </w:rPr>
        <w:t>International Human Rights Law and Practice</w:t>
      </w:r>
      <w:r w:rsidRPr="00521592">
        <w:rPr>
          <w:sz w:val="16"/>
          <w:szCs w:val="16"/>
          <w:lang w:val="en-US"/>
        </w:rPr>
        <w:t>, Cambridge, Cambridge University Press, third edition, 2022, 239-241.</w:t>
      </w:r>
    </w:p>
  </w:footnote>
  <w:footnote w:id="17">
    <w:p w14:paraId="57969903" w14:textId="77777777"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L. KESTEMONT, P. SCHOUKENS, K. HENDRICKX en E. TERRYN (eds.), </w:t>
      </w:r>
      <w:r w:rsidRPr="0086280A">
        <w:rPr>
          <w:i/>
          <w:sz w:val="16"/>
          <w:szCs w:val="16"/>
          <w:lang w:val="nl-NL"/>
        </w:rPr>
        <w:t>Rechtswetenschappelijk schrijven</w:t>
      </w:r>
      <w:r w:rsidRPr="0086280A">
        <w:rPr>
          <w:sz w:val="16"/>
          <w:szCs w:val="16"/>
          <w:lang w:val="nl-NL"/>
        </w:rPr>
        <w:t>, Leuven, Acco, 2020, 30.</w:t>
      </w:r>
    </w:p>
  </w:footnote>
  <w:footnote w:id="18">
    <w:p w14:paraId="4778E946" w14:textId="77777777"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t>
      </w:r>
      <w:r w:rsidRPr="0086280A">
        <w:rPr>
          <w:i/>
          <w:sz w:val="16"/>
          <w:szCs w:val="16"/>
          <w:lang w:val="nl-NL"/>
        </w:rPr>
        <w:t>Ibid.,</w:t>
      </w:r>
      <w:r w:rsidRPr="0086280A">
        <w:rPr>
          <w:sz w:val="16"/>
          <w:szCs w:val="16"/>
          <w:lang w:val="nl-NL"/>
        </w:rPr>
        <w:t xml:space="preserve"> 32.</w:t>
      </w:r>
    </w:p>
  </w:footnote>
  <w:footnote w:id="19">
    <w:p w14:paraId="7DDA4302" w14:textId="45BD29E8"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P. DELNOY, </w:t>
      </w:r>
      <w:r w:rsidRPr="0086280A">
        <w:rPr>
          <w:i/>
          <w:iCs/>
          <w:sz w:val="16"/>
          <w:szCs w:val="16"/>
          <w:lang w:val="nl-NL"/>
        </w:rPr>
        <w:t>Eléments de méthodologie juridique</w:t>
      </w:r>
      <w:r w:rsidRPr="0086280A">
        <w:rPr>
          <w:sz w:val="16"/>
          <w:szCs w:val="16"/>
          <w:lang w:val="nl-NL"/>
        </w:rPr>
        <w:t xml:space="preserve">, Brussel, Larcier, 2006, 169-171; F. EGGERMONT, M. GEUENS, B. GINIS, F. GOWIE en F. TIMBERMONT, E., </w:t>
      </w:r>
      <w:r w:rsidRPr="0086280A">
        <w:rPr>
          <w:i/>
          <w:iCs/>
          <w:sz w:val="16"/>
          <w:szCs w:val="16"/>
          <w:lang w:val="nl-NL"/>
        </w:rPr>
        <w:t>Het juridisch verwerkingsproces</w:t>
      </w:r>
      <w:r w:rsidRPr="0086280A">
        <w:rPr>
          <w:sz w:val="16"/>
          <w:szCs w:val="16"/>
          <w:lang w:val="nl-NL"/>
        </w:rPr>
        <w:t>, Brugge, die Keure, 2017, 136-139.</w:t>
      </w:r>
    </w:p>
  </w:footnote>
  <w:footnote w:id="20">
    <w:p w14:paraId="0499EC76" w14:textId="77777777"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L. KESTEMONT, P. SCHOUKENS, K. HENDRICKX en E. TERRYN (eds.), </w:t>
      </w:r>
      <w:r w:rsidRPr="0086280A">
        <w:rPr>
          <w:i/>
          <w:sz w:val="16"/>
          <w:szCs w:val="16"/>
          <w:lang w:val="nl-NL"/>
        </w:rPr>
        <w:t>Rechtswetenschappelijk schrijven</w:t>
      </w:r>
      <w:r w:rsidRPr="0086280A">
        <w:rPr>
          <w:sz w:val="16"/>
          <w:szCs w:val="16"/>
          <w:lang w:val="nl-NL"/>
        </w:rPr>
        <w:t>, Leuven, Acco, 2020, 32.</w:t>
      </w:r>
    </w:p>
  </w:footnote>
  <w:footnote w:id="21">
    <w:p w14:paraId="259EB4FB" w14:textId="77432B08"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 PINTENS, </w:t>
      </w:r>
      <w:r w:rsidRPr="0086280A">
        <w:rPr>
          <w:i/>
          <w:iCs/>
          <w:sz w:val="16"/>
          <w:szCs w:val="16"/>
          <w:lang w:val="nl-NL"/>
        </w:rPr>
        <w:t>Inleiding tot de rechtsvergelijking</w:t>
      </w:r>
      <w:r w:rsidRPr="0086280A">
        <w:rPr>
          <w:sz w:val="16"/>
          <w:szCs w:val="16"/>
          <w:lang w:val="nl-NL"/>
        </w:rPr>
        <w:t xml:space="preserve">, Leuven, Universitaire Pers Leuven, 2003, nr. 29; F. EGGERMONT, M. GEUENS, B. GINIS, F. GOWIE en F. TIMBERMONT, E., </w:t>
      </w:r>
      <w:r w:rsidRPr="0086280A">
        <w:rPr>
          <w:i/>
          <w:iCs/>
          <w:sz w:val="16"/>
          <w:szCs w:val="16"/>
          <w:lang w:val="nl-NL"/>
        </w:rPr>
        <w:t>Het juridisch verwerkingsproces</w:t>
      </w:r>
      <w:r w:rsidRPr="0086280A">
        <w:rPr>
          <w:sz w:val="16"/>
          <w:szCs w:val="16"/>
          <w:lang w:val="nl-NL"/>
        </w:rPr>
        <w:t>, Brugge, die Keure, 2017, 138.</w:t>
      </w:r>
    </w:p>
  </w:footnote>
  <w:footnote w:id="22">
    <w:p w14:paraId="20113007" w14:textId="653D4245"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L. KESTEMONT, P. SCHOUKENS, K. HENDRICKX en E. TERRYN (eds.), </w:t>
      </w:r>
      <w:r w:rsidRPr="0086280A">
        <w:rPr>
          <w:i/>
          <w:sz w:val="16"/>
          <w:szCs w:val="16"/>
          <w:lang w:val="nl-NL"/>
        </w:rPr>
        <w:t>Rechtswetenschappelijk schrijven</w:t>
      </w:r>
      <w:r w:rsidRPr="0086280A">
        <w:rPr>
          <w:sz w:val="16"/>
          <w:szCs w:val="16"/>
          <w:lang w:val="nl-NL"/>
        </w:rPr>
        <w:t>, Leuven, Acco, 2020, 31 en 51-54.</w:t>
      </w:r>
    </w:p>
  </w:footnote>
  <w:footnote w:id="23">
    <w:p w14:paraId="08C824D6" w14:textId="147EF565"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K. ZWEIGERT en H. KÖTZ, </w:t>
      </w:r>
      <w:r w:rsidRPr="0086280A">
        <w:rPr>
          <w:i/>
          <w:iCs/>
          <w:sz w:val="16"/>
          <w:szCs w:val="16"/>
          <w:lang w:val="nl-NL"/>
        </w:rPr>
        <w:t>Einführung in die Rechtsvergleichung</w:t>
      </w:r>
      <w:r w:rsidRPr="0086280A">
        <w:rPr>
          <w:sz w:val="16"/>
          <w:szCs w:val="16"/>
          <w:lang w:val="nl-NL"/>
        </w:rPr>
        <w:t xml:space="preserve">, Tübingen, Mohr, 1996, 33; W. PINTENS, </w:t>
      </w:r>
      <w:r w:rsidRPr="0086280A">
        <w:rPr>
          <w:i/>
          <w:iCs/>
          <w:sz w:val="16"/>
          <w:szCs w:val="16"/>
          <w:lang w:val="nl-NL"/>
        </w:rPr>
        <w:t>Inleiding tot de rechtsvergelijking</w:t>
      </w:r>
      <w:r w:rsidRPr="0086280A">
        <w:rPr>
          <w:sz w:val="16"/>
          <w:szCs w:val="16"/>
          <w:lang w:val="nl-NL"/>
        </w:rPr>
        <w:t xml:space="preserve">, Leuven, Universitaire Pers Leuven, 2003, 85-87; </w:t>
      </w:r>
      <w:r w:rsidR="00D11A0C">
        <w:rPr>
          <w:sz w:val="16"/>
          <w:szCs w:val="16"/>
          <w:lang w:val="nl-NL"/>
        </w:rPr>
        <w:t xml:space="preserve">zie </w:t>
      </w:r>
      <w:r w:rsidRPr="0086280A">
        <w:rPr>
          <w:sz w:val="16"/>
          <w:szCs w:val="16"/>
          <w:lang w:val="nl-NL"/>
        </w:rPr>
        <w:t xml:space="preserve">A. MANSOURI, “Approche méthodologique et fonctionelle du droit comparé”, </w:t>
      </w:r>
      <w:r w:rsidRPr="0086280A">
        <w:rPr>
          <w:i/>
          <w:iCs/>
          <w:sz w:val="16"/>
          <w:szCs w:val="16"/>
          <w:lang w:val="nl-NL"/>
        </w:rPr>
        <w:t>RIDC</w:t>
      </w:r>
      <w:r w:rsidRPr="0086280A">
        <w:rPr>
          <w:sz w:val="16"/>
          <w:szCs w:val="16"/>
          <w:lang w:val="nl-NL"/>
        </w:rPr>
        <w:t xml:space="preserve"> 2006,</w:t>
      </w:r>
      <w:r w:rsidR="00D11A0C">
        <w:rPr>
          <w:sz w:val="16"/>
          <w:szCs w:val="16"/>
          <w:lang w:val="nl-NL"/>
        </w:rPr>
        <w:t xml:space="preserve"> </w:t>
      </w:r>
      <w:r w:rsidRPr="0086280A">
        <w:rPr>
          <w:sz w:val="16"/>
          <w:szCs w:val="16"/>
          <w:lang w:val="nl-NL"/>
        </w:rPr>
        <w:t>17</w:t>
      </w:r>
      <w:r w:rsidR="00D11A0C">
        <w:rPr>
          <w:sz w:val="16"/>
          <w:szCs w:val="16"/>
          <w:lang w:val="nl-NL"/>
        </w:rPr>
        <w:t>4</w:t>
      </w:r>
      <w:r w:rsidRPr="0086280A">
        <w:rPr>
          <w:sz w:val="16"/>
          <w:szCs w:val="16"/>
          <w:lang w:val="nl-NL"/>
        </w:rPr>
        <w:t>-196.</w:t>
      </w:r>
    </w:p>
  </w:footnote>
  <w:footnote w:id="24">
    <w:p w14:paraId="3C52D653" w14:textId="1227476D"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K. ZWEIGERT en H. KÖTZ, </w:t>
      </w:r>
      <w:r w:rsidRPr="0086280A">
        <w:rPr>
          <w:i/>
          <w:iCs/>
          <w:sz w:val="16"/>
          <w:szCs w:val="16"/>
          <w:lang w:val="nl-NL"/>
        </w:rPr>
        <w:t>Einführung in die Rechtsvergleichung</w:t>
      </w:r>
      <w:r w:rsidRPr="0086280A">
        <w:rPr>
          <w:sz w:val="16"/>
          <w:szCs w:val="16"/>
          <w:lang w:val="nl-NL"/>
        </w:rPr>
        <w:t xml:space="preserve">, Tübingen, Mohr, 1996, 33; G. BOURGEOIS, </w:t>
      </w:r>
      <w:r w:rsidRPr="0086280A">
        <w:rPr>
          <w:i/>
          <w:iCs/>
          <w:sz w:val="16"/>
          <w:szCs w:val="16"/>
          <w:lang w:val="nl-NL"/>
        </w:rPr>
        <w:t>Inleiding tot de rechtsvergelijking</w:t>
      </w:r>
      <w:r w:rsidRPr="0086280A">
        <w:rPr>
          <w:sz w:val="16"/>
          <w:szCs w:val="16"/>
          <w:lang w:val="nl-NL"/>
        </w:rPr>
        <w:t xml:space="preserve">, Antwerpen, Kluwer, 1998, 13; W. PINTENS, </w:t>
      </w:r>
      <w:r w:rsidRPr="0086280A">
        <w:rPr>
          <w:i/>
          <w:iCs/>
          <w:sz w:val="16"/>
          <w:szCs w:val="16"/>
          <w:lang w:val="nl-NL"/>
        </w:rPr>
        <w:t>Inleiding tot de rechtsvergelijking</w:t>
      </w:r>
      <w:r w:rsidRPr="0086280A">
        <w:rPr>
          <w:sz w:val="16"/>
          <w:szCs w:val="16"/>
          <w:lang w:val="nl-NL"/>
        </w:rPr>
        <w:t xml:space="preserve">, Leuven, Universitaire Pers Leuven, 2003, 85-86; </w:t>
      </w:r>
      <w:r w:rsidR="00D11A0C">
        <w:rPr>
          <w:sz w:val="16"/>
          <w:szCs w:val="16"/>
          <w:lang w:val="nl-NL"/>
        </w:rPr>
        <w:t xml:space="preserve">zie </w:t>
      </w:r>
      <w:r w:rsidRPr="0086280A">
        <w:rPr>
          <w:sz w:val="16"/>
          <w:szCs w:val="16"/>
          <w:lang w:val="nl-NL"/>
        </w:rPr>
        <w:t xml:space="preserve">A. MANSOURI, “Approche méthodologique et fonctionelle du droit comparé”, </w:t>
      </w:r>
      <w:r w:rsidRPr="0086280A">
        <w:rPr>
          <w:i/>
          <w:iCs/>
          <w:sz w:val="16"/>
          <w:szCs w:val="16"/>
          <w:lang w:val="nl-NL"/>
        </w:rPr>
        <w:t>RIDC</w:t>
      </w:r>
      <w:r w:rsidRPr="0086280A">
        <w:rPr>
          <w:sz w:val="16"/>
          <w:szCs w:val="16"/>
          <w:lang w:val="nl-NL"/>
        </w:rPr>
        <w:t xml:space="preserve"> 2006, 173-196.</w:t>
      </w:r>
    </w:p>
  </w:footnote>
  <w:footnote w:id="25">
    <w:p w14:paraId="4E6C491E" w14:textId="2CFAFE4C"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L. KESTEMONT, P. SCHOUKENS, K. HENDRICKX en E. TERRYN (eds.), </w:t>
      </w:r>
      <w:r w:rsidRPr="0086280A">
        <w:rPr>
          <w:i/>
          <w:sz w:val="16"/>
          <w:szCs w:val="16"/>
          <w:lang w:val="nl-NL"/>
        </w:rPr>
        <w:t>Rechtswetenschappelijk schrijven</w:t>
      </w:r>
      <w:r w:rsidRPr="0086280A">
        <w:rPr>
          <w:sz w:val="16"/>
          <w:szCs w:val="16"/>
          <w:lang w:val="nl-NL"/>
        </w:rPr>
        <w:t>, Leuven, Acco, 2020, 55.</w:t>
      </w:r>
    </w:p>
  </w:footnote>
  <w:footnote w:id="26">
    <w:p w14:paraId="0CACEC77" w14:textId="47131042" w:rsidR="00C106C3" w:rsidRPr="0086280A" w:rsidRDefault="00C106C3" w:rsidP="00C106C3">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t>
      </w:r>
      <w:r w:rsidRPr="0086280A">
        <w:rPr>
          <w:rFonts w:eastAsia="Verdana" w:cs="Verdana"/>
          <w:sz w:val="16"/>
          <w:szCs w:val="15"/>
          <w:lang w:val="nl-NL"/>
        </w:rPr>
        <w:t xml:space="preserve">Artikel 1:247 </w:t>
      </w:r>
      <w:r w:rsidRPr="0086280A">
        <w:rPr>
          <w:rFonts w:eastAsia="Verdana" w:cs="Verdana"/>
          <w:i/>
          <w:iCs/>
          <w:sz w:val="16"/>
          <w:szCs w:val="15"/>
          <w:lang w:val="nl-NL"/>
        </w:rPr>
        <w:t>juncto</w:t>
      </w:r>
      <w:r w:rsidRPr="0086280A">
        <w:rPr>
          <w:rFonts w:eastAsia="Verdana" w:cs="Verdana"/>
          <w:sz w:val="16"/>
          <w:szCs w:val="15"/>
          <w:lang w:val="nl-NL"/>
        </w:rPr>
        <w:t xml:space="preserve"> artikel 1:377a NBW en artikel 1684, eerste lid BGB.</w:t>
      </w:r>
    </w:p>
  </w:footnote>
  <w:footnote w:id="27">
    <w:p w14:paraId="2D94BFDD" w14:textId="30E540BA"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W. PINTENS, </w:t>
      </w:r>
      <w:proofErr w:type="spellStart"/>
      <w:r w:rsidRPr="004F6728">
        <w:rPr>
          <w:i/>
          <w:iCs/>
          <w:sz w:val="16"/>
          <w:szCs w:val="16"/>
          <w:lang w:val="en-US"/>
        </w:rPr>
        <w:t>Inleiding</w:t>
      </w:r>
      <w:proofErr w:type="spellEnd"/>
      <w:r w:rsidRPr="004F6728">
        <w:rPr>
          <w:i/>
          <w:iCs/>
          <w:sz w:val="16"/>
          <w:szCs w:val="16"/>
          <w:lang w:val="en-US"/>
        </w:rPr>
        <w:t xml:space="preserve"> tot de </w:t>
      </w:r>
      <w:proofErr w:type="spellStart"/>
      <w:r w:rsidRPr="004F6728">
        <w:rPr>
          <w:i/>
          <w:iCs/>
          <w:sz w:val="16"/>
          <w:szCs w:val="16"/>
          <w:lang w:val="en-US"/>
        </w:rPr>
        <w:t>rechtsvergelijking</w:t>
      </w:r>
      <w:proofErr w:type="spellEnd"/>
      <w:r w:rsidRPr="004F6728">
        <w:rPr>
          <w:sz w:val="16"/>
          <w:szCs w:val="16"/>
          <w:lang w:val="en-US"/>
        </w:rPr>
        <w:t xml:space="preserve">, Leuven, </w:t>
      </w:r>
      <w:proofErr w:type="spellStart"/>
      <w:r w:rsidRPr="004F6728">
        <w:rPr>
          <w:sz w:val="16"/>
          <w:szCs w:val="16"/>
          <w:lang w:val="en-US"/>
        </w:rPr>
        <w:t>Universitaire</w:t>
      </w:r>
      <w:proofErr w:type="spellEnd"/>
      <w:r w:rsidRPr="004F6728">
        <w:rPr>
          <w:sz w:val="16"/>
          <w:szCs w:val="16"/>
          <w:lang w:val="en-US"/>
        </w:rPr>
        <w:t xml:space="preserve"> Pers Leuven, 2003, 153-181; H.P. GLENN, </w:t>
      </w:r>
      <w:r w:rsidRPr="004F6728">
        <w:rPr>
          <w:i/>
          <w:iCs/>
          <w:sz w:val="16"/>
          <w:szCs w:val="16"/>
          <w:lang w:val="en-US"/>
        </w:rPr>
        <w:t>Legal traditions of the World: sustainable diversity in law</w:t>
      </w:r>
      <w:r w:rsidRPr="004F6728">
        <w:rPr>
          <w:sz w:val="16"/>
          <w:szCs w:val="16"/>
          <w:lang w:val="en-US"/>
        </w:rPr>
        <w:t>, Oxford, Oxford University Press, 2014, 132-179 (civil law) en 236-286 (common law).</w:t>
      </w:r>
    </w:p>
  </w:footnote>
  <w:footnote w:id="28">
    <w:p w14:paraId="55582AF0" w14:textId="02E8FDDB" w:rsidR="00C106C3" w:rsidRPr="0086280A" w:rsidRDefault="00C106C3" w:rsidP="00C106C3">
      <w:pPr>
        <w:pStyle w:val="Voetnoottekst"/>
        <w:jc w:val="both"/>
        <w:rPr>
          <w:lang w:val="nl-NL"/>
        </w:rPr>
      </w:pPr>
      <w:r w:rsidRPr="0086280A">
        <w:rPr>
          <w:rStyle w:val="Voetnootmarkering"/>
          <w:sz w:val="16"/>
          <w:szCs w:val="16"/>
          <w:lang w:val="nl-NL"/>
        </w:rPr>
        <w:footnoteRef/>
      </w:r>
      <w:r w:rsidRPr="0086280A">
        <w:rPr>
          <w:sz w:val="16"/>
          <w:szCs w:val="16"/>
          <w:lang w:val="nl-NL"/>
        </w:rPr>
        <w:t xml:space="preserve"> Het Engels recht, dat een </w:t>
      </w:r>
      <w:r w:rsidRPr="0086280A">
        <w:rPr>
          <w:i/>
          <w:iCs/>
          <w:sz w:val="16"/>
          <w:szCs w:val="16"/>
          <w:lang w:val="nl-NL"/>
        </w:rPr>
        <w:t>common law</w:t>
      </w:r>
      <w:r w:rsidRPr="0086280A">
        <w:rPr>
          <w:sz w:val="16"/>
          <w:szCs w:val="16"/>
          <w:lang w:val="nl-NL"/>
        </w:rPr>
        <w:t xml:space="preserve"> traditie volgt, wordt in dit onderzoek niet besproken maar kan voor toekomstig onderzoek een belangrijke nuance bieden aan de invulling van het recht op persoonlijk contact van het kind.</w:t>
      </w:r>
    </w:p>
  </w:footnote>
  <w:footnote w:id="29">
    <w:p w14:paraId="0D7C3864" w14:textId="196EFBA8" w:rsidR="00D65F4B" w:rsidRPr="0086280A" w:rsidRDefault="00D65F4B" w:rsidP="006A14DD">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Verdrag 25 januari 1996 inzake de Uitoefening van de Rechten van het Kind, </w:t>
      </w:r>
      <w:r w:rsidRPr="0086280A">
        <w:rPr>
          <w:i/>
          <w:sz w:val="16"/>
          <w:szCs w:val="16"/>
          <w:lang w:val="nl-NL"/>
        </w:rPr>
        <w:t xml:space="preserve">European Treaty Series </w:t>
      </w:r>
      <w:r w:rsidRPr="0086280A">
        <w:rPr>
          <w:sz w:val="16"/>
          <w:szCs w:val="16"/>
          <w:lang w:val="nl-NL"/>
        </w:rPr>
        <w:t>1996, nr. 160.</w:t>
      </w:r>
    </w:p>
  </w:footnote>
  <w:footnote w:id="30">
    <w:p w14:paraId="1D356FAD" w14:textId="35DFD9F5" w:rsidR="00532598" w:rsidRPr="0086280A" w:rsidRDefault="00532598" w:rsidP="006A14DD">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Verdrag 15 mei 2003 inzake contact met kinderen, </w:t>
      </w:r>
      <w:r w:rsidRPr="0086280A">
        <w:rPr>
          <w:i/>
          <w:sz w:val="16"/>
          <w:szCs w:val="16"/>
          <w:lang w:val="nl-NL"/>
        </w:rPr>
        <w:t>European Treaty Series</w:t>
      </w:r>
      <w:r w:rsidRPr="0086280A">
        <w:rPr>
          <w:sz w:val="16"/>
          <w:szCs w:val="16"/>
          <w:lang w:val="nl-NL"/>
        </w:rPr>
        <w:t>, nr. 192.</w:t>
      </w:r>
    </w:p>
  </w:footnote>
  <w:footnote w:id="31">
    <w:p w14:paraId="3291C0D7" w14:textId="65783E68" w:rsidR="00532598" w:rsidRPr="0086280A" w:rsidRDefault="00532598" w:rsidP="006A14DD">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Handvest van de Grondrechten van de Europese Unie van 12 december 2007, </w:t>
      </w:r>
      <w:r w:rsidRPr="0086280A">
        <w:rPr>
          <w:i/>
          <w:sz w:val="16"/>
          <w:szCs w:val="16"/>
          <w:lang w:val="nl-NL"/>
        </w:rPr>
        <w:t>Pb.C.</w:t>
      </w:r>
      <w:r w:rsidRPr="0086280A">
        <w:rPr>
          <w:sz w:val="16"/>
          <w:szCs w:val="16"/>
          <w:lang w:val="nl-NL"/>
        </w:rPr>
        <w:t xml:space="preserve"> 20 maart 2010.</w:t>
      </w:r>
    </w:p>
  </w:footnote>
  <w:footnote w:id="32">
    <w:p w14:paraId="344DA267" w14:textId="2294BA0A" w:rsidR="00532598" w:rsidRPr="004F6728" w:rsidRDefault="00532598" w:rsidP="006A14DD">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C. MCGLYNN, “Rights for children?: the potential impact of the European Union Charter of Fundamental Rights”, </w:t>
      </w:r>
      <w:r w:rsidRPr="004F6728">
        <w:rPr>
          <w:i/>
          <w:iCs/>
          <w:sz w:val="16"/>
          <w:szCs w:val="16"/>
          <w:lang w:val="en-US"/>
        </w:rPr>
        <w:t>European Public Law</w:t>
      </w:r>
      <w:r w:rsidRPr="004F6728">
        <w:rPr>
          <w:sz w:val="16"/>
          <w:szCs w:val="16"/>
          <w:lang w:val="en-US"/>
        </w:rPr>
        <w:t xml:space="preserve">, vol. 8, nr. 3, </w:t>
      </w:r>
      <w:r w:rsidR="001A149B">
        <w:rPr>
          <w:sz w:val="16"/>
          <w:szCs w:val="16"/>
          <w:lang w:val="en-US"/>
        </w:rPr>
        <w:t xml:space="preserve">(387) </w:t>
      </w:r>
      <w:r w:rsidRPr="004F6728">
        <w:rPr>
          <w:sz w:val="16"/>
          <w:szCs w:val="16"/>
          <w:lang w:val="en-US"/>
        </w:rPr>
        <w:t>400.</w:t>
      </w:r>
    </w:p>
  </w:footnote>
  <w:footnote w:id="33">
    <w:p w14:paraId="0BEAEE8B" w14:textId="337B8B7D"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w:t>
      </w:r>
      <w:r w:rsidRPr="00432C26">
        <w:rPr>
          <w:sz w:val="16"/>
          <w:szCs w:val="16"/>
          <w:lang w:val="en-US"/>
        </w:rPr>
        <w:t xml:space="preserve">Zie </w:t>
      </w:r>
      <w:proofErr w:type="spellStart"/>
      <w:r w:rsidRPr="00432C26">
        <w:rPr>
          <w:sz w:val="16"/>
          <w:szCs w:val="16"/>
          <w:lang w:val="en-US"/>
        </w:rPr>
        <w:t>voor</w:t>
      </w:r>
      <w:proofErr w:type="spellEnd"/>
      <w:r w:rsidRPr="00432C26">
        <w:rPr>
          <w:sz w:val="16"/>
          <w:szCs w:val="16"/>
          <w:lang w:val="en-US"/>
        </w:rPr>
        <w:t xml:space="preserve"> </w:t>
      </w:r>
      <w:proofErr w:type="spellStart"/>
      <w:r w:rsidRPr="00432C26">
        <w:rPr>
          <w:sz w:val="16"/>
          <w:szCs w:val="16"/>
          <w:lang w:val="en-US"/>
        </w:rPr>
        <w:t>een</w:t>
      </w:r>
      <w:proofErr w:type="spellEnd"/>
      <w:r w:rsidRPr="00432C26">
        <w:rPr>
          <w:sz w:val="16"/>
          <w:szCs w:val="16"/>
          <w:lang w:val="en-US"/>
        </w:rPr>
        <w:t xml:space="preserve"> </w:t>
      </w:r>
      <w:proofErr w:type="spellStart"/>
      <w:r w:rsidRPr="00432C26">
        <w:rPr>
          <w:sz w:val="16"/>
          <w:szCs w:val="16"/>
          <w:lang w:val="en-US"/>
        </w:rPr>
        <w:t>volledige</w:t>
      </w:r>
      <w:proofErr w:type="spellEnd"/>
      <w:r w:rsidRPr="00432C26">
        <w:rPr>
          <w:sz w:val="16"/>
          <w:szCs w:val="16"/>
          <w:lang w:val="en-US"/>
        </w:rPr>
        <w:t xml:space="preserve"> </w:t>
      </w:r>
      <w:proofErr w:type="spellStart"/>
      <w:r w:rsidRPr="00432C26">
        <w:rPr>
          <w:sz w:val="16"/>
          <w:szCs w:val="16"/>
          <w:lang w:val="en-US"/>
        </w:rPr>
        <w:t>omschrijving</w:t>
      </w:r>
      <w:proofErr w:type="spellEnd"/>
      <w:r w:rsidRPr="00432C26">
        <w:rPr>
          <w:sz w:val="16"/>
          <w:szCs w:val="16"/>
          <w:lang w:val="en-US"/>
        </w:rPr>
        <w:t xml:space="preserve"> over het </w:t>
      </w:r>
      <w:proofErr w:type="spellStart"/>
      <w:r w:rsidRPr="00432C26">
        <w:rPr>
          <w:sz w:val="16"/>
          <w:szCs w:val="16"/>
          <w:lang w:val="en-US"/>
        </w:rPr>
        <w:t>ontstaan</w:t>
      </w:r>
      <w:proofErr w:type="spellEnd"/>
      <w:r w:rsidRPr="00432C26">
        <w:rPr>
          <w:sz w:val="16"/>
          <w:szCs w:val="16"/>
          <w:lang w:val="en-US"/>
        </w:rPr>
        <w:t xml:space="preserve"> van </w:t>
      </w:r>
      <w:proofErr w:type="spellStart"/>
      <w:r w:rsidRPr="00432C26">
        <w:rPr>
          <w:sz w:val="16"/>
          <w:szCs w:val="16"/>
          <w:lang w:val="en-US"/>
        </w:rPr>
        <w:t>kinderrechten</w:t>
      </w:r>
      <w:proofErr w:type="spellEnd"/>
      <w:r w:rsidRPr="00432C26">
        <w:rPr>
          <w:sz w:val="16"/>
          <w:szCs w:val="16"/>
          <w:lang w:val="en-US"/>
        </w:rPr>
        <w:t>:</w:t>
      </w:r>
      <w:r w:rsidRPr="004F6728">
        <w:rPr>
          <w:sz w:val="16"/>
          <w:szCs w:val="16"/>
          <w:lang w:val="en-US"/>
        </w:rPr>
        <w:t xml:space="preserve"> P. ALSTON en J. TOBIN, </w:t>
      </w:r>
      <w:r w:rsidRPr="004F6728">
        <w:rPr>
          <w:i/>
          <w:iCs/>
          <w:sz w:val="16"/>
          <w:szCs w:val="16"/>
          <w:lang w:val="en-US"/>
        </w:rPr>
        <w:t>Laying the Foundations for Children’s Rights: An Independent Study of Some Key Legal and Institutional Aspects of the Impact of the Convention on the Rights of the Child</w:t>
      </w:r>
      <w:r w:rsidRPr="004F6728">
        <w:rPr>
          <w:sz w:val="16"/>
          <w:szCs w:val="16"/>
          <w:lang w:val="en-US"/>
        </w:rPr>
        <w:t xml:space="preserve">, UNICEF </w:t>
      </w:r>
      <w:proofErr w:type="spellStart"/>
      <w:r w:rsidRPr="004F6728">
        <w:rPr>
          <w:sz w:val="16"/>
          <w:szCs w:val="16"/>
          <w:lang w:val="en-US"/>
        </w:rPr>
        <w:t>Innocenti</w:t>
      </w:r>
      <w:proofErr w:type="spellEnd"/>
      <w:r w:rsidRPr="004F6728">
        <w:rPr>
          <w:sz w:val="16"/>
          <w:szCs w:val="16"/>
          <w:lang w:val="en-US"/>
        </w:rPr>
        <w:t xml:space="preserve"> Research Centre 3, 2005, 3-9.</w:t>
      </w:r>
    </w:p>
  </w:footnote>
  <w:footnote w:id="34">
    <w:p w14:paraId="4455A3BB" w14:textId="7A203841"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D873C8">
        <w:rPr>
          <w:sz w:val="16"/>
          <w:szCs w:val="16"/>
        </w:rPr>
        <w:t xml:space="preserve"> </w:t>
      </w:r>
      <w:r w:rsidR="00D873C8" w:rsidRPr="00D873C8">
        <w:rPr>
          <w:sz w:val="16"/>
          <w:szCs w:val="16"/>
        </w:rPr>
        <w:t xml:space="preserve">T. WUYTS, </w:t>
      </w:r>
      <w:r w:rsidR="00D873C8" w:rsidRPr="00D873C8">
        <w:rPr>
          <w:i/>
          <w:sz w:val="16"/>
          <w:szCs w:val="16"/>
        </w:rPr>
        <w:t>Ouderlijk gezag</w:t>
      </w:r>
      <w:r w:rsidR="00D873C8" w:rsidRPr="00D873C8">
        <w:rPr>
          <w:sz w:val="16"/>
          <w:szCs w:val="16"/>
        </w:rPr>
        <w:t xml:space="preserve">, Antwerpen, Intersentia, 2013, 608; B. STARK, </w:t>
      </w:r>
      <w:r w:rsidR="00D873C8" w:rsidRPr="00D873C8">
        <w:rPr>
          <w:i/>
          <w:iCs/>
          <w:sz w:val="16"/>
          <w:szCs w:val="16"/>
        </w:rPr>
        <w:t>Human rights and children: an Edward Elgar research review</w:t>
      </w:r>
      <w:r w:rsidR="00D873C8" w:rsidRPr="00D873C8">
        <w:rPr>
          <w:sz w:val="16"/>
          <w:szCs w:val="16"/>
        </w:rPr>
        <w:t xml:space="preserve">, Cheltenham, Edward Elgar Publishers, 2017, 40; </w:t>
      </w:r>
      <w:r w:rsidRPr="00D873C8">
        <w:rPr>
          <w:sz w:val="16"/>
          <w:szCs w:val="16"/>
        </w:rPr>
        <w:t xml:space="preserve">E. </w:t>
      </w:r>
      <w:r w:rsidRPr="0086280A">
        <w:rPr>
          <w:sz w:val="16"/>
          <w:szCs w:val="16"/>
          <w:lang w:val="nl-NL"/>
        </w:rPr>
        <w:t xml:space="preserve">VERHELLEN, “Het Verdrag inzake de rechten van het kind meerderjarig. Enkele beschouwingen over de implementatie in België”, </w:t>
      </w:r>
      <w:r w:rsidRPr="0086280A">
        <w:rPr>
          <w:i/>
          <w:sz w:val="16"/>
          <w:szCs w:val="16"/>
          <w:lang w:val="nl-NL"/>
        </w:rPr>
        <w:t>TJK</w:t>
      </w:r>
      <w:r w:rsidRPr="0086280A">
        <w:rPr>
          <w:sz w:val="16"/>
          <w:szCs w:val="16"/>
          <w:lang w:val="nl-NL"/>
        </w:rPr>
        <w:t xml:space="preserve"> 2008, afl. 1, </w:t>
      </w:r>
      <w:r w:rsidR="001A149B">
        <w:rPr>
          <w:sz w:val="16"/>
          <w:szCs w:val="16"/>
          <w:lang w:val="nl-NL"/>
        </w:rPr>
        <w:t xml:space="preserve">(11) </w:t>
      </w:r>
      <w:r w:rsidRPr="0086280A">
        <w:rPr>
          <w:sz w:val="16"/>
          <w:szCs w:val="16"/>
          <w:lang w:val="nl-NL"/>
        </w:rPr>
        <w:t xml:space="preserve">16; E. VERHELLEN, “Kinder-Rechten zijn in beweging”, </w:t>
      </w:r>
      <w:r w:rsidRPr="0086280A">
        <w:rPr>
          <w:i/>
          <w:iCs/>
          <w:sz w:val="16"/>
          <w:szCs w:val="16"/>
          <w:lang w:val="nl-NL"/>
        </w:rPr>
        <w:t>TJK</w:t>
      </w:r>
      <w:r w:rsidRPr="0086280A">
        <w:rPr>
          <w:sz w:val="16"/>
          <w:szCs w:val="16"/>
          <w:lang w:val="nl-NL"/>
        </w:rPr>
        <w:t xml:space="preserve"> 2017, nr. 4, </w:t>
      </w:r>
      <w:r w:rsidR="001A149B">
        <w:rPr>
          <w:sz w:val="16"/>
          <w:szCs w:val="16"/>
          <w:lang w:val="nl-NL"/>
        </w:rPr>
        <w:t xml:space="preserve">(277) </w:t>
      </w:r>
      <w:r w:rsidRPr="0086280A">
        <w:rPr>
          <w:sz w:val="16"/>
          <w:szCs w:val="16"/>
          <w:lang w:val="nl-NL"/>
        </w:rPr>
        <w:t>280.</w:t>
      </w:r>
    </w:p>
  </w:footnote>
  <w:footnote w:id="35">
    <w:p w14:paraId="2B74F611" w14:textId="1C8607D3"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T. BUCK, </w:t>
      </w:r>
      <w:r w:rsidRPr="004F6728">
        <w:rPr>
          <w:i/>
          <w:sz w:val="16"/>
          <w:szCs w:val="16"/>
          <w:lang w:val="en-US"/>
        </w:rPr>
        <w:t xml:space="preserve">International child law, </w:t>
      </w:r>
      <w:r w:rsidRPr="004F6728">
        <w:rPr>
          <w:sz w:val="16"/>
          <w:szCs w:val="16"/>
          <w:lang w:val="en-US"/>
        </w:rPr>
        <w:t xml:space="preserve">New York, Routledge, 2014, 20-21; I. BANTEKAS en L. OETTE, </w:t>
      </w:r>
      <w:r w:rsidRPr="004F6728">
        <w:rPr>
          <w:i/>
          <w:iCs/>
          <w:sz w:val="16"/>
          <w:szCs w:val="16"/>
          <w:lang w:val="en-US"/>
        </w:rPr>
        <w:t>International Human Rights Law and Practice</w:t>
      </w:r>
      <w:r w:rsidRPr="004F6728">
        <w:rPr>
          <w:sz w:val="16"/>
          <w:szCs w:val="16"/>
          <w:lang w:val="en-US"/>
        </w:rPr>
        <w:t>, Cambridge, Cambridge University Press, third edition, 2022, 545.</w:t>
      </w:r>
    </w:p>
  </w:footnote>
  <w:footnote w:id="36">
    <w:p w14:paraId="6D6C4AD1" w14:textId="77777777"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artikel 25.2, artikel 26.1 of artikel 2 Universele Verklaring van 10 december 1948 van de Rechten van de Mens, </w:t>
      </w:r>
      <w:r w:rsidRPr="0086280A">
        <w:rPr>
          <w:i/>
          <w:iCs/>
          <w:sz w:val="16"/>
          <w:szCs w:val="16"/>
          <w:lang w:val="nl-NL"/>
        </w:rPr>
        <w:t>BS</w:t>
      </w:r>
      <w:r w:rsidRPr="0086280A">
        <w:rPr>
          <w:sz w:val="16"/>
          <w:szCs w:val="16"/>
          <w:lang w:val="nl-NL"/>
        </w:rPr>
        <w:t xml:space="preserve"> 31 maart 1949.</w:t>
      </w:r>
    </w:p>
  </w:footnote>
  <w:footnote w:id="37">
    <w:p w14:paraId="5F491A1E" w14:textId="6ECE9CAC"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E. VERHELLEN, “Inleiding tot het Verdrag inzake de Rechten van het Kind” in W. VANDENHOLE (ed.), </w:t>
      </w:r>
      <w:r w:rsidRPr="0086280A">
        <w:rPr>
          <w:i/>
          <w:iCs/>
          <w:sz w:val="16"/>
          <w:szCs w:val="16"/>
          <w:lang w:val="nl-NL"/>
        </w:rPr>
        <w:t>Kinderrechten in België</w:t>
      </w:r>
      <w:r w:rsidRPr="0086280A">
        <w:rPr>
          <w:sz w:val="16"/>
          <w:szCs w:val="16"/>
          <w:lang w:val="nl-NL"/>
        </w:rPr>
        <w:t xml:space="preserve">, Antwerpen, Intersentia, 2008, 18-23; T. WUYTS, </w:t>
      </w:r>
      <w:r w:rsidRPr="0086280A">
        <w:rPr>
          <w:i/>
          <w:iCs/>
          <w:sz w:val="16"/>
          <w:szCs w:val="16"/>
          <w:lang w:val="nl-NL"/>
        </w:rPr>
        <w:t>Ouderlijk gezag</w:t>
      </w:r>
      <w:r w:rsidRPr="0086280A">
        <w:rPr>
          <w:sz w:val="16"/>
          <w:szCs w:val="16"/>
          <w:lang w:val="nl-NL"/>
        </w:rPr>
        <w:t>, Antwerpen, Intersentia, 2013, 608.</w:t>
      </w:r>
    </w:p>
  </w:footnote>
  <w:footnote w:id="38">
    <w:p w14:paraId="0C4E84CE" w14:textId="77777777"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t>
      </w:r>
      <w:r w:rsidRPr="0086280A">
        <w:rPr>
          <w:rFonts w:eastAsia="Verdana" w:cs="Verdana"/>
          <w:sz w:val="16"/>
          <w:szCs w:val="16"/>
          <w:lang w:val="nl-NL"/>
        </w:rPr>
        <w:t xml:space="preserve">Verdrag 20 november 1989 inzake de Rechten van het Kind, </w:t>
      </w:r>
      <w:r w:rsidRPr="0086280A">
        <w:rPr>
          <w:rFonts w:eastAsia="Verdana" w:cs="Verdana"/>
          <w:i/>
          <w:sz w:val="16"/>
          <w:szCs w:val="16"/>
          <w:lang w:val="nl-NL"/>
        </w:rPr>
        <w:t>BS</w:t>
      </w:r>
      <w:r w:rsidRPr="0086280A">
        <w:rPr>
          <w:rFonts w:eastAsia="Verdana" w:cs="Verdana"/>
          <w:sz w:val="16"/>
          <w:szCs w:val="16"/>
          <w:lang w:val="nl-NL"/>
        </w:rPr>
        <w:t xml:space="preserve"> 17 januari 1992.</w:t>
      </w:r>
    </w:p>
  </w:footnote>
  <w:footnote w:id="39">
    <w:p w14:paraId="23709FAA" w14:textId="0A37BD97" w:rsidR="00C57AF9" w:rsidRPr="00D873C8" w:rsidRDefault="00C57AF9" w:rsidP="005C4D5C">
      <w:pPr>
        <w:pStyle w:val="Voetnoottekst"/>
        <w:jc w:val="both"/>
        <w:rPr>
          <w:sz w:val="16"/>
          <w:szCs w:val="16"/>
          <w:lang w:val="en-US"/>
        </w:rPr>
      </w:pPr>
      <w:r w:rsidRPr="00D873C8">
        <w:rPr>
          <w:rStyle w:val="Voetnootmarkering"/>
          <w:sz w:val="16"/>
          <w:szCs w:val="16"/>
          <w:lang w:val="nl-NL"/>
        </w:rPr>
        <w:footnoteRef/>
      </w:r>
      <w:r w:rsidRPr="00D873C8">
        <w:rPr>
          <w:sz w:val="16"/>
          <w:szCs w:val="16"/>
          <w:lang w:val="en-US"/>
        </w:rPr>
        <w:t xml:space="preserve"> Preambule IVRK: “Recalling that, in the Universal Declaration of Human Rights, the United Nations has proclaimed that childhood is entitled to special care and assistance” en “Bearing in mind that, as indicated in the Declaration of the Rights of the Child ‘the child, by reason of his physical and mental immaturity, needs special safeguards and care, including appropriate legal protection, before as well as after birth’”; zie </w:t>
      </w:r>
      <w:proofErr w:type="spellStart"/>
      <w:r w:rsidRPr="00D873C8">
        <w:rPr>
          <w:sz w:val="16"/>
          <w:szCs w:val="16"/>
          <w:lang w:val="en-US"/>
        </w:rPr>
        <w:t>ook</w:t>
      </w:r>
      <w:proofErr w:type="spellEnd"/>
      <w:r w:rsidRPr="00D873C8">
        <w:rPr>
          <w:sz w:val="16"/>
          <w:szCs w:val="16"/>
          <w:lang w:val="en-US"/>
        </w:rPr>
        <w:t xml:space="preserve"> </w:t>
      </w:r>
      <w:proofErr w:type="spellStart"/>
      <w:r w:rsidRPr="00D873C8">
        <w:rPr>
          <w:sz w:val="16"/>
          <w:szCs w:val="16"/>
          <w:lang w:val="en-US"/>
        </w:rPr>
        <w:t>introductie</w:t>
      </w:r>
      <w:proofErr w:type="spellEnd"/>
      <w:r w:rsidRPr="00D873C8">
        <w:rPr>
          <w:sz w:val="16"/>
          <w:szCs w:val="16"/>
          <w:lang w:val="en-US"/>
        </w:rPr>
        <w:t xml:space="preserve"> en §3 van General Comment no. 7 of the UN Committee on the Rights of the Child on implementing child rights in early childhood, 20 september 2006, CRC/C/GC/7/Rev.1: “</w:t>
      </w:r>
      <w:r w:rsidR="00D873C8" w:rsidRPr="00D873C8">
        <w:rPr>
          <w:sz w:val="16"/>
          <w:szCs w:val="16"/>
          <w:lang w:val="en-US"/>
        </w:rPr>
        <w:t>Y</w:t>
      </w:r>
      <w:r w:rsidRPr="00D873C8">
        <w:rPr>
          <w:sz w:val="16"/>
          <w:szCs w:val="16"/>
          <w:lang w:val="en-US"/>
        </w:rPr>
        <w:t xml:space="preserve">oung children are holders of all rights enshrined in the Convention. They are entitled to special protection measures and, in accordance with their evolving capacities, the progressive exercise of their rights”; </w:t>
      </w:r>
      <w:r w:rsidRPr="00D873C8">
        <w:rPr>
          <w:rFonts w:eastAsia="Verdana" w:cs="Verdana"/>
          <w:sz w:val="16"/>
          <w:szCs w:val="16"/>
          <w:lang w:val="en-US"/>
        </w:rPr>
        <w:t xml:space="preserve">COMMITTEE ON THE RIGHTS OF THE CHILD, </w:t>
      </w:r>
      <w:r w:rsidRPr="00D873C8">
        <w:rPr>
          <w:rFonts w:eastAsia="Verdana" w:cs="Verdana"/>
          <w:i/>
          <w:sz w:val="16"/>
          <w:szCs w:val="16"/>
          <w:lang w:val="en-US"/>
        </w:rPr>
        <w:t>Report on the forty-third session, Day of General Discussion on the right of the child to be heard</w:t>
      </w:r>
      <w:r w:rsidRPr="00D873C8">
        <w:rPr>
          <w:rFonts w:eastAsia="Verdana" w:cs="Verdana"/>
          <w:sz w:val="16"/>
          <w:szCs w:val="16"/>
          <w:lang w:val="en-US"/>
        </w:rPr>
        <w:t>,</w:t>
      </w:r>
      <w:r w:rsidRPr="00D873C8">
        <w:rPr>
          <w:rFonts w:eastAsia="Verdana" w:cs="Verdana"/>
          <w:i/>
          <w:sz w:val="16"/>
          <w:szCs w:val="16"/>
          <w:lang w:val="en-US"/>
        </w:rPr>
        <w:t xml:space="preserve"> </w:t>
      </w:r>
      <w:r w:rsidRPr="00D873C8">
        <w:rPr>
          <w:rFonts w:eastAsia="Verdana" w:cs="Verdana"/>
          <w:sz w:val="16"/>
          <w:szCs w:val="16"/>
          <w:lang w:val="en-US"/>
        </w:rPr>
        <w:t xml:space="preserve">29 september 2006, </w:t>
      </w:r>
      <w:hyperlink r:id="rId10" w:history="1">
        <w:r w:rsidRPr="00D873C8">
          <w:rPr>
            <w:rStyle w:val="Hyperlink"/>
            <w:rFonts w:eastAsia="Verdana" w:cs="Verdana"/>
            <w:sz w:val="16"/>
            <w:szCs w:val="16"/>
            <w:lang w:val="en-US"/>
          </w:rPr>
          <w:t>www.cypcs.org.uk/wpcypcs/wp-content/uploads/2021/02/Day-of-General-Discussion-Report-2006.pdf</w:t>
        </w:r>
      </w:hyperlink>
      <w:r w:rsidRPr="00D873C8">
        <w:rPr>
          <w:rFonts w:eastAsia="Verdana" w:cs="Verdana"/>
          <w:sz w:val="16"/>
          <w:szCs w:val="16"/>
          <w:lang w:val="en-US"/>
        </w:rPr>
        <w:t xml:space="preserve"> (laatste consultatie </w:t>
      </w:r>
      <w:r w:rsidR="00095EB4" w:rsidRPr="00D873C8">
        <w:rPr>
          <w:rFonts w:eastAsia="Verdana" w:cs="Verdana"/>
          <w:sz w:val="16"/>
          <w:szCs w:val="16"/>
          <w:lang w:val="en-US"/>
        </w:rPr>
        <w:t>13</w:t>
      </w:r>
      <w:r w:rsidRPr="00D873C8">
        <w:rPr>
          <w:rFonts w:eastAsia="Verdana" w:cs="Verdana"/>
          <w:sz w:val="16"/>
          <w:szCs w:val="16"/>
          <w:lang w:val="en-US"/>
        </w:rPr>
        <w:t>.0</w:t>
      </w:r>
      <w:r w:rsidR="00095EB4" w:rsidRPr="00D873C8">
        <w:rPr>
          <w:rFonts w:eastAsia="Verdana" w:cs="Verdana"/>
          <w:sz w:val="16"/>
          <w:szCs w:val="16"/>
          <w:lang w:val="en-US"/>
        </w:rPr>
        <w:t>5</w:t>
      </w:r>
      <w:r w:rsidRPr="00D873C8">
        <w:rPr>
          <w:rFonts w:eastAsia="Verdana" w:cs="Verdana"/>
          <w:sz w:val="16"/>
          <w:szCs w:val="16"/>
          <w:lang w:val="en-US"/>
        </w:rPr>
        <w:t>.2023): “Children are fully recognized as rights-holders who are not only entitled to receive protection but also have the right to participate in all matters affecting them, a right which can be considered as the symbol for their recognition as rights holders. This implies, in the long term, changes in political, social, institutional and cultural structures.”.</w:t>
      </w:r>
    </w:p>
  </w:footnote>
  <w:footnote w:id="40">
    <w:p w14:paraId="5B068A8D" w14:textId="1F15C8CA"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D873C8">
        <w:rPr>
          <w:sz w:val="16"/>
          <w:szCs w:val="16"/>
        </w:rPr>
        <w:t xml:space="preserve"> </w:t>
      </w:r>
      <w:r w:rsidR="00D873C8" w:rsidRPr="00D873C8">
        <w:rPr>
          <w:sz w:val="16"/>
          <w:szCs w:val="16"/>
        </w:rPr>
        <w:t xml:space="preserve">J. PUT, </w:t>
      </w:r>
      <w:r w:rsidR="00D873C8" w:rsidRPr="00D873C8">
        <w:rPr>
          <w:i/>
          <w:sz w:val="16"/>
          <w:szCs w:val="16"/>
        </w:rPr>
        <w:t>Handboek Jeugdbeschermingsrecht</w:t>
      </w:r>
      <w:r w:rsidR="00D873C8" w:rsidRPr="00D873C8">
        <w:rPr>
          <w:sz w:val="16"/>
          <w:szCs w:val="16"/>
        </w:rPr>
        <w:t xml:space="preserve">, Brugge, die Keure, 2021, 63; E. VERHELLEN, “Een inleiding tot het Verdrag inzake de Rechten van het Kind” in W. VANDENHOLE (ed.), </w:t>
      </w:r>
      <w:r w:rsidR="00D873C8" w:rsidRPr="00D873C8">
        <w:rPr>
          <w:i/>
          <w:iCs/>
          <w:sz w:val="16"/>
          <w:szCs w:val="16"/>
        </w:rPr>
        <w:t>Kinderrechten in België</w:t>
      </w:r>
      <w:r w:rsidR="00D873C8" w:rsidRPr="00D873C8">
        <w:rPr>
          <w:sz w:val="16"/>
          <w:szCs w:val="16"/>
        </w:rPr>
        <w:t>, Antwerpen, Intersentia, 2008, 29</w:t>
      </w:r>
      <w:r w:rsidR="00D873C8">
        <w:rPr>
          <w:sz w:val="16"/>
          <w:szCs w:val="16"/>
        </w:rPr>
        <w:t xml:space="preserve">; </w:t>
      </w:r>
      <w:r w:rsidRPr="00D873C8">
        <w:rPr>
          <w:sz w:val="16"/>
          <w:szCs w:val="16"/>
        </w:rPr>
        <w:t xml:space="preserve">U. KILKELLY, “The best of both worlds for children’s rights? </w:t>
      </w:r>
      <w:r w:rsidRPr="004F6728">
        <w:rPr>
          <w:sz w:val="16"/>
          <w:szCs w:val="16"/>
          <w:lang w:val="en-US"/>
        </w:rPr>
        <w:t xml:space="preserve">Interpreting the European Convention on Human Rights in the light of the UN Convention on the Rights of the Child”, </w:t>
      </w:r>
      <w:r w:rsidRPr="004F6728">
        <w:rPr>
          <w:i/>
          <w:iCs/>
          <w:sz w:val="16"/>
          <w:szCs w:val="16"/>
          <w:lang w:val="en-US"/>
        </w:rPr>
        <w:t>Human Rights Quarterly</w:t>
      </w:r>
      <w:r w:rsidRPr="004F6728">
        <w:rPr>
          <w:sz w:val="16"/>
          <w:szCs w:val="16"/>
          <w:lang w:val="en-US"/>
        </w:rPr>
        <w:t xml:space="preserve"> 2001, </w:t>
      </w:r>
      <w:r w:rsidR="002073E7">
        <w:rPr>
          <w:sz w:val="16"/>
          <w:szCs w:val="16"/>
          <w:lang w:val="en-US"/>
        </w:rPr>
        <w:t xml:space="preserve">(308) </w:t>
      </w:r>
      <w:r w:rsidRPr="004F6728">
        <w:rPr>
          <w:sz w:val="16"/>
          <w:szCs w:val="16"/>
          <w:lang w:val="en-US"/>
        </w:rPr>
        <w:t>310.</w:t>
      </w:r>
    </w:p>
  </w:footnote>
  <w:footnote w:id="41">
    <w:p w14:paraId="24FE22AF" w14:textId="1C7C03E8"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86280A">
        <w:rPr>
          <w:sz w:val="16"/>
          <w:szCs w:val="16"/>
          <w:lang w:val="nl-NL"/>
        </w:rPr>
        <w:t xml:space="preserve"> E. VERHELLEN, “Het Verdrag inzake de rechten van het kind meerderjarig. </w:t>
      </w:r>
      <w:proofErr w:type="spellStart"/>
      <w:r w:rsidRPr="004F6728">
        <w:rPr>
          <w:sz w:val="16"/>
          <w:szCs w:val="16"/>
          <w:lang w:val="en-US"/>
        </w:rPr>
        <w:t>Enkele</w:t>
      </w:r>
      <w:proofErr w:type="spellEnd"/>
      <w:r w:rsidRPr="004F6728">
        <w:rPr>
          <w:sz w:val="16"/>
          <w:szCs w:val="16"/>
          <w:lang w:val="en-US"/>
        </w:rPr>
        <w:t xml:space="preserve"> </w:t>
      </w:r>
      <w:proofErr w:type="spellStart"/>
      <w:r w:rsidRPr="004F6728">
        <w:rPr>
          <w:sz w:val="16"/>
          <w:szCs w:val="16"/>
          <w:lang w:val="en-US"/>
        </w:rPr>
        <w:t>beschouwingen</w:t>
      </w:r>
      <w:proofErr w:type="spellEnd"/>
      <w:r w:rsidRPr="004F6728">
        <w:rPr>
          <w:sz w:val="16"/>
          <w:szCs w:val="16"/>
          <w:lang w:val="en-US"/>
        </w:rPr>
        <w:t xml:space="preserve"> over de </w:t>
      </w:r>
      <w:proofErr w:type="spellStart"/>
      <w:r w:rsidRPr="004F6728">
        <w:rPr>
          <w:sz w:val="16"/>
          <w:szCs w:val="16"/>
          <w:lang w:val="en-US"/>
        </w:rPr>
        <w:t>implementatie</w:t>
      </w:r>
      <w:proofErr w:type="spellEnd"/>
      <w:r w:rsidRPr="004F6728">
        <w:rPr>
          <w:sz w:val="16"/>
          <w:szCs w:val="16"/>
          <w:lang w:val="en-US"/>
        </w:rPr>
        <w:t xml:space="preserve"> in </w:t>
      </w:r>
      <w:proofErr w:type="spellStart"/>
      <w:r w:rsidRPr="004F6728">
        <w:rPr>
          <w:sz w:val="16"/>
          <w:szCs w:val="16"/>
          <w:lang w:val="en-US"/>
        </w:rPr>
        <w:t>België</w:t>
      </w:r>
      <w:proofErr w:type="spellEnd"/>
      <w:r w:rsidRPr="004F6728">
        <w:rPr>
          <w:sz w:val="16"/>
          <w:szCs w:val="16"/>
          <w:lang w:val="en-US"/>
        </w:rPr>
        <w:t xml:space="preserve">”, </w:t>
      </w:r>
      <w:r w:rsidRPr="004F6728">
        <w:rPr>
          <w:i/>
          <w:sz w:val="16"/>
          <w:szCs w:val="16"/>
          <w:lang w:val="en-US"/>
        </w:rPr>
        <w:t>TJK</w:t>
      </w:r>
      <w:r w:rsidRPr="004F6728">
        <w:rPr>
          <w:sz w:val="16"/>
          <w:szCs w:val="16"/>
          <w:lang w:val="en-US"/>
        </w:rPr>
        <w:t xml:space="preserve"> 2008, </w:t>
      </w:r>
      <w:proofErr w:type="spellStart"/>
      <w:r w:rsidRPr="004F6728">
        <w:rPr>
          <w:sz w:val="16"/>
          <w:szCs w:val="16"/>
          <w:lang w:val="en-US"/>
        </w:rPr>
        <w:t>afl</w:t>
      </w:r>
      <w:proofErr w:type="spellEnd"/>
      <w:r w:rsidRPr="004F6728">
        <w:rPr>
          <w:sz w:val="16"/>
          <w:szCs w:val="16"/>
          <w:lang w:val="en-US"/>
        </w:rPr>
        <w:t xml:space="preserve">. 1, </w:t>
      </w:r>
      <w:r w:rsidR="001A149B">
        <w:rPr>
          <w:sz w:val="16"/>
          <w:szCs w:val="16"/>
          <w:lang w:val="en-US"/>
        </w:rPr>
        <w:t xml:space="preserve">(11) </w:t>
      </w:r>
      <w:r w:rsidRPr="004F6728">
        <w:rPr>
          <w:sz w:val="16"/>
          <w:szCs w:val="16"/>
          <w:lang w:val="en-US"/>
        </w:rPr>
        <w:t>12.</w:t>
      </w:r>
    </w:p>
  </w:footnote>
  <w:footnote w:id="42">
    <w:p w14:paraId="39C9D938" w14:textId="0B78526B"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Z. VAGHRI, J. ZERMATTEN, G. LANSDOWN en R. RUGGIERO (eds.), </w:t>
      </w:r>
      <w:r w:rsidRPr="004F6728">
        <w:rPr>
          <w:i/>
          <w:iCs/>
          <w:sz w:val="16"/>
          <w:szCs w:val="16"/>
          <w:lang w:val="en-US"/>
        </w:rPr>
        <w:t>Monitoring state compliance with the UN Convention on the Rights of the Child: an analysis of attributes</w:t>
      </w:r>
      <w:r w:rsidRPr="004F6728">
        <w:rPr>
          <w:sz w:val="16"/>
          <w:szCs w:val="16"/>
          <w:lang w:val="en-US"/>
        </w:rPr>
        <w:t xml:space="preserve">, </w:t>
      </w:r>
      <w:proofErr w:type="spellStart"/>
      <w:r w:rsidRPr="00432C26">
        <w:rPr>
          <w:sz w:val="16"/>
          <w:szCs w:val="16"/>
          <w:lang w:val="en-US"/>
        </w:rPr>
        <w:t>Zwitserland</w:t>
      </w:r>
      <w:proofErr w:type="spellEnd"/>
      <w:r w:rsidRPr="004F6728">
        <w:rPr>
          <w:sz w:val="16"/>
          <w:szCs w:val="16"/>
          <w:lang w:val="en-US"/>
        </w:rPr>
        <w:t>, Springer, 2022, 407-408.</w:t>
      </w:r>
    </w:p>
  </w:footnote>
  <w:footnote w:id="43">
    <w:p w14:paraId="2F77A1A9" w14:textId="260326BE"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Zie </w:t>
      </w:r>
      <w:proofErr w:type="spellStart"/>
      <w:r w:rsidRPr="004F6728">
        <w:rPr>
          <w:sz w:val="16"/>
          <w:szCs w:val="16"/>
          <w:lang w:val="en-US"/>
        </w:rPr>
        <w:t>art</w:t>
      </w:r>
      <w:r w:rsidR="00240A28" w:rsidRPr="004F6728">
        <w:rPr>
          <w:sz w:val="16"/>
          <w:szCs w:val="16"/>
          <w:lang w:val="en-US"/>
        </w:rPr>
        <w:t>ikel</w:t>
      </w:r>
      <w:proofErr w:type="spellEnd"/>
      <w:r w:rsidRPr="004F6728">
        <w:rPr>
          <w:sz w:val="16"/>
          <w:szCs w:val="16"/>
          <w:lang w:val="en-US"/>
        </w:rPr>
        <w:t xml:space="preserve"> 1 IVRK; General Comment no. 4 of the UN Committee on the Rights of the Child on adolescent health and development in the context of the Convention on the Rights of the Child, 1 </w:t>
      </w:r>
      <w:proofErr w:type="spellStart"/>
      <w:r w:rsidRPr="004F6728">
        <w:rPr>
          <w:sz w:val="16"/>
          <w:szCs w:val="16"/>
          <w:lang w:val="en-US"/>
        </w:rPr>
        <w:t>Juli</w:t>
      </w:r>
      <w:proofErr w:type="spellEnd"/>
      <w:r w:rsidRPr="004F6728">
        <w:rPr>
          <w:sz w:val="16"/>
          <w:szCs w:val="16"/>
          <w:lang w:val="en-US"/>
        </w:rPr>
        <w:t xml:space="preserve"> 2003, CRC/GC/2003/4, §1.</w:t>
      </w:r>
    </w:p>
  </w:footnote>
  <w:footnote w:id="44">
    <w:p w14:paraId="1A6ABE89" w14:textId="47A611E6" w:rsidR="00C57AF9" w:rsidRPr="004F6728" w:rsidRDefault="00C57AF9" w:rsidP="005C4D5C">
      <w:pPr>
        <w:jc w:val="both"/>
        <w:rPr>
          <w:rFonts w:eastAsia="Verdana" w:cs="Verdana"/>
          <w:sz w:val="16"/>
          <w:szCs w:val="16"/>
          <w:lang w:val="en-US"/>
        </w:rPr>
      </w:pPr>
      <w:r w:rsidRPr="0086280A">
        <w:rPr>
          <w:rStyle w:val="Voetnootmarkering"/>
          <w:sz w:val="16"/>
          <w:szCs w:val="16"/>
          <w:lang w:val="nl-NL"/>
        </w:rPr>
        <w:footnoteRef/>
      </w:r>
      <w:r w:rsidRPr="004F6728">
        <w:rPr>
          <w:sz w:val="16"/>
          <w:szCs w:val="16"/>
          <w:lang w:val="en-US"/>
        </w:rPr>
        <w:t xml:space="preserve"> </w:t>
      </w:r>
      <w:r w:rsidRPr="004F6728">
        <w:rPr>
          <w:rFonts w:eastAsia="Verdana" w:cs="Verdana"/>
          <w:sz w:val="16"/>
          <w:szCs w:val="16"/>
          <w:lang w:val="en-US"/>
        </w:rPr>
        <w:t xml:space="preserve">UNICEF, “Implementation handbook for the Convention on the Rights of the Child”, 2007, </w:t>
      </w:r>
      <w:hyperlink r:id="rId11" w:history="1">
        <w:r w:rsidRPr="004F6728">
          <w:rPr>
            <w:rFonts w:eastAsia="Verdana" w:cs="Verdana"/>
            <w:color w:val="0563C1"/>
            <w:sz w:val="16"/>
            <w:szCs w:val="16"/>
            <w:u w:val="single"/>
            <w:lang w:val="en-US"/>
          </w:rPr>
          <w:t>www.unicef.org/lac/media/22071/file/Implementation%20Handbook%20for%20the%20CRC.pdf</w:t>
        </w:r>
      </w:hyperlink>
      <w:r w:rsidRPr="004F6728">
        <w:rPr>
          <w:rFonts w:eastAsia="Verdana" w:cs="Verdana"/>
          <w:sz w:val="16"/>
          <w:szCs w:val="16"/>
          <w:lang w:val="en-US"/>
        </w:rPr>
        <w:t xml:space="preserve">, 1 (laatste consultatie </w:t>
      </w:r>
      <w:r w:rsidR="00240A28" w:rsidRPr="004F6728">
        <w:rPr>
          <w:rFonts w:eastAsia="Verdana" w:cs="Verdana"/>
          <w:sz w:val="16"/>
          <w:szCs w:val="16"/>
          <w:lang w:val="en-US"/>
        </w:rPr>
        <w:t>13</w:t>
      </w:r>
      <w:r w:rsidRPr="004F6728">
        <w:rPr>
          <w:rFonts w:eastAsia="Verdana" w:cs="Verdana"/>
          <w:sz w:val="16"/>
          <w:szCs w:val="16"/>
          <w:lang w:val="en-US"/>
        </w:rPr>
        <w:t>.0</w:t>
      </w:r>
      <w:r w:rsidR="00240A28" w:rsidRPr="004F6728">
        <w:rPr>
          <w:rFonts w:eastAsia="Verdana" w:cs="Verdana"/>
          <w:sz w:val="16"/>
          <w:szCs w:val="16"/>
          <w:lang w:val="en-US"/>
        </w:rPr>
        <w:t>5</w:t>
      </w:r>
      <w:r w:rsidRPr="004F6728">
        <w:rPr>
          <w:rFonts w:eastAsia="Verdana" w:cs="Verdana"/>
          <w:sz w:val="16"/>
          <w:szCs w:val="16"/>
          <w:lang w:val="en-US"/>
        </w:rPr>
        <w:t>.2023).</w:t>
      </w:r>
    </w:p>
  </w:footnote>
  <w:footnote w:id="45">
    <w:p w14:paraId="14E7B4C6" w14:textId="2CA4566C" w:rsidR="00C57AF9" w:rsidRPr="00D873C8" w:rsidRDefault="00C57AF9" w:rsidP="005C4D5C">
      <w:pPr>
        <w:pStyle w:val="Voetnoottekst"/>
        <w:jc w:val="both"/>
        <w:rPr>
          <w:sz w:val="16"/>
          <w:szCs w:val="16"/>
          <w:lang w:val="nl-NL"/>
        </w:rPr>
      </w:pPr>
      <w:r w:rsidRPr="00D873C8">
        <w:rPr>
          <w:rStyle w:val="Voetnootmarkering"/>
          <w:sz w:val="16"/>
          <w:szCs w:val="16"/>
          <w:lang w:val="nl-NL"/>
        </w:rPr>
        <w:footnoteRef/>
      </w:r>
      <w:r w:rsidRPr="00D873C8">
        <w:rPr>
          <w:sz w:val="16"/>
          <w:szCs w:val="16"/>
          <w:lang w:val="nl-NL"/>
        </w:rPr>
        <w:t xml:space="preserve"> Zie art</w:t>
      </w:r>
      <w:r w:rsidR="00240A28" w:rsidRPr="00D873C8">
        <w:rPr>
          <w:sz w:val="16"/>
          <w:szCs w:val="16"/>
          <w:lang w:val="nl-NL"/>
        </w:rPr>
        <w:t>ikel</w:t>
      </w:r>
      <w:r w:rsidRPr="00D873C8">
        <w:rPr>
          <w:sz w:val="16"/>
          <w:szCs w:val="16"/>
          <w:lang w:val="nl-NL"/>
        </w:rPr>
        <w:t xml:space="preserve"> 2.1 IVRK</w:t>
      </w:r>
      <w:r w:rsidR="00330705" w:rsidRPr="00D873C8">
        <w:rPr>
          <w:sz w:val="16"/>
          <w:szCs w:val="16"/>
          <w:lang w:val="nl-NL"/>
        </w:rPr>
        <w:t>: “(…) ongeacht ras, huidskleur, geslacht, taal, godsdienst, politieke of andere overtuiging, nationale, etnische of maatschappelijke afkomst, vermogen, handicap en geboorte.”</w:t>
      </w:r>
    </w:p>
  </w:footnote>
  <w:footnote w:id="46">
    <w:p w14:paraId="7045ACDE" w14:textId="6D3D04B9" w:rsidR="00C57AF9" w:rsidRPr="00D873C8" w:rsidRDefault="00C57AF9" w:rsidP="00B87A65">
      <w:pPr>
        <w:pStyle w:val="Voetnoottekst"/>
        <w:jc w:val="both"/>
        <w:rPr>
          <w:sz w:val="16"/>
          <w:szCs w:val="16"/>
          <w:lang w:val="en-US"/>
        </w:rPr>
      </w:pPr>
      <w:r w:rsidRPr="00D873C8">
        <w:rPr>
          <w:rStyle w:val="Voetnootmarkering"/>
          <w:sz w:val="16"/>
          <w:szCs w:val="16"/>
          <w:lang w:val="nl-NL"/>
        </w:rPr>
        <w:footnoteRef/>
      </w:r>
      <w:r w:rsidRPr="00D873C8">
        <w:rPr>
          <w:sz w:val="16"/>
          <w:szCs w:val="16"/>
          <w:lang w:val="en-US"/>
        </w:rPr>
        <w:t xml:space="preserve"> Zie UN Treaty Body Database, “Ratifications UNCRC”, </w:t>
      </w:r>
      <w:hyperlink r:id="rId12" w:history="1">
        <w:r w:rsidRPr="00D873C8">
          <w:rPr>
            <w:rStyle w:val="Hyperlink"/>
            <w:sz w:val="16"/>
            <w:szCs w:val="16"/>
            <w:lang w:val="en-US"/>
          </w:rPr>
          <w:t>www.ohchr.org</w:t>
        </w:r>
      </w:hyperlink>
      <w:r w:rsidRPr="00D873C8">
        <w:rPr>
          <w:sz w:val="16"/>
          <w:szCs w:val="16"/>
          <w:lang w:val="en-US"/>
        </w:rPr>
        <w:t xml:space="preserve"> (laatste consultatie </w:t>
      </w:r>
      <w:r w:rsidR="0012267F" w:rsidRPr="00D873C8">
        <w:rPr>
          <w:sz w:val="16"/>
          <w:szCs w:val="16"/>
          <w:lang w:val="en-US"/>
        </w:rPr>
        <w:t>13</w:t>
      </w:r>
      <w:r w:rsidRPr="00D873C8">
        <w:rPr>
          <w:sz w:val="16"/>
          <w:szCs w:val="16"/>
          <w:lang w:val="en-US"/>
        </w:rPr>
        <w:t>.0</w:t>
      </w:r>
      <w:r w:rsidR="0012267F" w:rsidRPr="00D873C8">
        <w:rPr>
          <w:sz w:val="16"/>
          <w:szCs w:val="16"/>
          <w:lang w:val="en-US"/>
        </w:rPr>
        <w:t>5</w:t>
      </w:r>
      <w:r w:rsidRPr="00D873C8">
        <w:rPr>
          <w:sz w:val="16"/>
          <w:szCs w:val="16"/>
          <w:lang w:val="en-US"/>
        </w:rPr>
        <w:t>.2023).</w:t>
      </w:r>
    </w:p>
  </w:footnote>
  <w:footnote w:id="47">
    <w:p w14:paraId="3C05C054" w14:textId="43AE6434" w:rsidR="00C57AF9" w:rsidRPr="00D873C8" w:rsidRDefault="00C57AF9" w:rsidP="005C4D5C">
      <w:pPr>
        <w:pStyle w:val="Voetnoottekst"/>
        <w:jc w:val="both"/>
        <w:rPr>
          <w:sz w:val="16"/>
          <w:szCs w:val="16"/>
          <w:lang w:val="nl-NL"/>
        </w:rPr>
      </w:pPr>
      <w:r w:rsidRPr="00D873C8">
        <w:rPr>
          <w:rStyle w:val="Voetnootmarkering"/>
          <w:sz w:val="16"/>
          <w:szCs w:val="16"/>
          <w:lang w:val="nl-NL"/>
        </w:rPr>
        <w:footnoteRef/>
      </w:r>
      <w:r w:rsidRPr="00D873C8">
        <w:rPr>
          <w:sz w:val="16"/>
          <w:szCs w:val="16"/>
          <w:lang w:val="nl-NL"/>
        </w:rPr>
        <w:t xml:space="preserve"> </w:t>
      </w:r>
      <w:r w:rsidR="00D873C8" w:rsidRPr="00D873C8">
        <w:rPr>
          <w:sz w:val="16"/>
          <w:szCs w:val="16"/>
          <w:lang w:val="nl-NL"/>
        </w:rPr>
        <w:t xml:space="preserve">Wet 25 november 1991 houdende goedkeuring van het Verdrag inzake de rechten van het kind aangenomen te New York op 20 november 1989, </w:t>
      </w:r>
      <w:r w:rsidR="00D873C8" w:rsidRPr="00D873C8">
        <w:rPr>
          <w:i/>
          <w:iCs/>
          <w:sz w:val="16"/>
          <w:szCs w:val="16"/>
          <w:lang w:val="nl-NL"/>
        </w:rPr>
        <w:t>BS</w:t>
      </w:r>
      <w:r w:rsidR="00D873C8" w:rsidRPr="00D873C8">
        <w:rPr>
          <w:sz w:val="16"/>
          <w:szCs w:val="16"/>
          <w:lang w:val="nl-NL"/>
        </w:rPr>
        <w:t xml:space="preserve"> 17 januari 1992; </w:t>
      </w:r>
      <w:r w:rsidRPr="00D873C8">
        <w:rPr>
          <w:sz w:val="16"/>
          <w:szCs w:val="16"/>
          <w:lang w:val="nl-NL"/>
        </w:rPr>
        <w:t xml:space="preserve">Decr.Vl. R. 15 mei 1991 houdende goedkeuring van het Verdrag inzake de Rechten van het Kind, aangenomen te New York op 20 november 1989, </w:t>
      </w:r>
      <w:r w:rsidRPr="00D873C8">
        <w:rPr>
          <w:i/>
          <w:iCs/>
          <w:sz w:val="16"/>
          <w:szCs w:val="16"/>
          <w:lang w:val="nl-NL"/>
        </w:rPr>
        <w:t>BS</w:t>
      </w:r>
      <w:r w:rsidRPr="00D873C8">
        <w:rPr>
          <w:sz w:val="16"/>
          <w:szCs w:val="16"/>
          <w:lang w:val="nl-NL"/>
        </w:rPr>
        <w:t xml:space="preserve"> 13 juli 1991.</w:t>
      </w:r>
    </w:p>
  </w:footnote>
  <w:footnote w:id="48">
    <w:p w14:paraId="43B01DC6" w14:textId="77777777" w:rsidR="00C57AF9" w:rsidRPr="00D873C8" w:rsidRDefault="00C57AF9" w:rsidP="005C4D5C">
      <w:pPr>
        <w:pStyle w:val="Voetnoottekst"/>
        <w:jc w:val="both"/>
        <w:rPr>
          <w:sz w:val="16"/>
          <w:szCs w:val="16"/>
          <w:lang w:val="nl-NL"/>
        </w:rPr>
      </w:pPr>
      <w:r w:rsidRPr="00D873C8">
        <w:rPr>
          <w:rStyle w:val="Voetnootmarkering"/>
          <w:sz w:val="16"/>
          <w:szCs w:val="16"/>
          <w:lang w:val="nl-NL"/>
        </w:rPr>
        <w:footnoteRef/>
      </w:r>
      <w:r w:rsidRPr="00D873C8">
        <w:rPr>
          <w:sz w:val="16"/>
          <w:szCs w:val="16"/>
          <w:lang w:val="nl-NL"/>
        </w:rPr>
        <w:t xml:space="preserve"> Decreet betreffende de oprichting van een Kinderrechtencommissariaat en instelling van de ambt van Kinderrechtencommissaris van 15 juli 1997, </w:t>
      </w:r>
      <w:r w:rsidRPr="00D873C8">
        <w:rPr>
          <w:i/>
          <w:iCs/>
          <w:sz w:val="16"/>
          <w:szCs w:val="16"/>
          <w:lang w:val="nl-NL"/>
        </w:rPr>
        <w:t>BS</w:t>
      </w:r>
      <w:r w:rsidRPr="00D873C8">
        <w:rPr>
          <w:sz w:val="16"/>
          <w:szCs w:val="16"/>
          <w:lang w:val="nl-NL"/>
        </w:rPr>
        <w:t xml:space="preserve"> 7 oktober 1997; Decreet betreffende de instelling van het kindeffectrapport en de toetsing van het regeringsbeleid aan de naleving van de rechten van het kind van 15 juli 1997, </w:t>
      </w:r>
      <w:r w:rsidRPr="00D873C8">
        <w:rPr>
          <w:i/>
          <w:iCs/>
          <w:sz w:val="16"/>
          <w:szCs w:val="16"/>
          <w:lang w:val="nl-NL"/>
        </w:rPr>
        <w:t>BS</w:t>
      </w:r>
      <w:r w:rsidRPr="00D873C8">
        <w:rPr>
          <w:sz w:val="16"/>
          <w:szCs w:val="16"/>
          <w:lang w:val="nl-NL"/>
        </w:rPr>
        <w:t xml:space="preserve"> 7 oktober 1997.</w:t>
      </w:r>
    </w:p>
  </w:footnote>
  <w:footnote w:id="49">
    <w:p w14:paraId="4361864E" w14:textId="3B53607C" w:rsidR="00C57AF9" w:rsidRPr="00D873C8" w:rsidRDefault="00C57AF9" w:rsidP="005C4D5C">
      <w:pPr>
        <w:pStyle w:val="Voetnoottekst"/>
        <w:jc w:val="both"/>
        <w:rPr>
          <w:sz w:val="16"/>
          <w:szCs w:val="16"/>
          <w:lang w:val="nl-NL"/>
        </w:rPr>
      </w:pPr>
      <w:r w:rsidRPr="00D873C8">
        <w:rPr>
          <w:rStyle w:val="Voetnootmarkering"/>
          <w:sz w:val="16"/>
          <w:szCs w:val="16"/>
          <w:lang w:val="nl-NL"/>
        </w:rPr>
        <w:footnoteRef/>
      </w:r>
      <w:r w:rsidRPr="00D873C8">
        <w:rPr>
          <w:sz w:val="16"/>
          <w:szCs w:val="16"/>
          <w:lang w:val="nl-NL"/>
        </w:rPr>
        <w:t xml:space="preserve"> Dit na goedkeuring door de </w:t>
      </w:r>
      <w:r w:rsidRPr="00D873C8">
        <w:rPr>
          <w:i/>
          <w:iCs/>
          <w:sz w:val="16"/>
          <w:szCs w:val="16"/>
          <w:lang w:val="nl-NL"/>
        </w:rPr>
        <w:t>Bundestag</w:t>
      </w:r>
      <w:r w:rsidRPr="00D873C8">
        <w:rPr>
          <w:sz w:val="16"/>
          <w:szCs w:val="16"/>
          <w:lang w:val="nl-NL"/>
        </w:rPr>
        <w:t xml:space="preserve"> en </w:t>
      </w:r>
      <w:r w:rsidRPr="00D873C8">
        <w:rPr>
          <w:i/>
          <w:iCs/>
          <w:sz w:val="16"/>
          <w:szCs w:val="16"/>
          <w:lang w:val="nl-NL"/>
        </w:rPr>
        <w:t>Bundesrat</w:t>
      </w:r>
      <w:r w:rsidRPr="00D873C8">
        <w:rPr>
          <w:sz w:val="16"/>
          <w:szCs w:val="16"/>
          <w:lang w:val="nl-NL"/>
        </w:rPr>
        <w:t>.</w:t>
      </w:r>
    </w:p>
  </w:footnote>
  <w:footnote w:id="50">
    <w:p w14:paraId="567304CD" w14:textId="50730F1D" w:rsidR="00C57AF9" w:rsidRPr="0086280A" w:rsidRDefault="00C57AF9" w:rsidP="005C4D5C">
      <w:pPr>
        <w:pStyle w:val="Voetnoottekst"/>
        <w:jc w:val="both"/>
        <w:rPr>
          <w:sz w:val="16"/>
          <w:szCs w:val="16"/>
          <w:lang w:val="nl-NL"/>
        </w:rPr>
      </w:pPr>
      <w:r w:rsidRPr="00D873C8">
        <w:rPr>
          <w:rStyle w:val="Voetnootmarkering"/>
          <w:sz w:val="16"/>
          <w:szCs w:val="16"/>
          <w:lang w:val="nl-NL"/>
        </w:rPr>
        <w:footnoteRef/>
      </w:r>
      <w:r w:rsidRPr="00D873C8">
        <w:rPr>
          <w:sz w:val="16"/>
          <w:szCs w:val="16"/>
          <w:lang w:val="nl-NL"/>
        </w:rPr>
        <w:t xml:space="preserve"> Zie voor de laatste stand van zaken de website van de UN Treaty Body Database: </w:t>
      </w:r>
      <w:hyperlink r:id="rId13" w:history="1">
        <w:r w:rsidRPr="00D873C8">
          <w:rPr>
            <w:rStyle w:val="Hyperlink"/>
            <w:sz w:val="16"/>
            <w:szCs w:val="16"/>
            <w:lang w:val="nl-NL"/>
          </w:rPr>
          <w:t>www.ohchr.org</w:t>
        </w:r>
      </w:hyperlink>
      <w:r w:rsidRPr="00D873C8">
        <w:rPr>
          <w:sz w:val="16"/>
          <w:szCs w:val="16"/>
          <w:lang w:val="nl-NL"/>
        </w:rPr>
        <w:t xml:space="preserve"> (laatste consultatie </w:t>
      </w:r>
      <w:r w:rsidR="0012267F" w:rsidRPr="00D873C8">
        <w:rPr>
          <w:sz w:val="16"/>
          <w:szCs w:val="16"/>
          <w:lang w:val="nl-NL"/>
        </w:rPr>
        <w:t>13</w:t>
      </w:r>
      <w:r w:rsidRPr="00D873C8">
        <w:rPr>
          <w:sz w:val="16"/>
          <w:szCs w:val="16"/>
          <w:lang w:val="nl-NL"/>
        </w:rPr>
        <w:t>.0</w:t>
      </w:r>
      <w:r w:rsidR="0012267F" w:rsidRPr="00D873C8">
        <w:rPr>
          <w:sz w:val="16"/>
          <w:szCs w:val="16"/>
          <w:lang w:val="nl-NL"/>
        </w:rPr>
        <w:t>5</w:t>
      </w:r>
      <w:r w:rsidRPr="00D873C8">
        <w:rPr>
          <w:sz w:val="16"/>
          <w:szCs w:val="16"/>
          <w:lang w:val="nl-NL"/>
        </w:rPr>
        <w:t xml:space="preserve">.2023). Enkel de Verenigde Staten ontbreken nog. Zij hebben het verdrag voorlopig goedgekeurd en onderzoeken/overwegen een eventuele ratificatie (“Signatory State”). Zie </w:t>
      </w:r>
      <w:hyperlink r:id="rId14" w:history="1">
        <w:r w:rsidRPr="00D873C8">
          <w:rPr>
            <w:rStyle w:val="Hyperlink"/>
            <w:sz w:val="16"/>
            <w:szCs w:val="16"/>
            <w:lang w:val="nl-NL"/>
          </w:rPr>
          <w:t>www.indicators.ohchr.org</w:t>
        </w:r>
      </w:hyperlink>
      <w:r w:rsidRPr="00D873C8">
        <w:rPr>
          <w:sz w:val="16"/>
          <w:szCs w:val="16"/>
          <w:lang w:val="nl-NL"/>
        </w:rPr>
        <w:t xml:space="preserve"> (laatste consultatie </w:t>
      </w:r>
      <w:r w:rsidR="0012267F" w:rsidRPr="00D873C8">
        <w:rPr>
          <w:sz w:val="16"/>
          <w:szCs w:val="16"/>
          <w:lang w:val="nl-NL"/>
        </w:rPr>
        <w:t>13</w:t>
      </w:r>
      <w:r w:rsidRPr="00D873C8">
        <w:rPr>
          <w:sz w:val="16"/>
          <w:szCs w:val="16"/>
          <w:lang w:val="nl-NL"/>
        </w:rPr>
        <w:t>.0</w:t>
      </w:r>
      <w:r w:rsidR="0012267F" w:rsidRPr="00D873C8">
        <w:rPr>
          <w:sz w:val="16"/>
          <w:szCs w:val="16"/>
          <w:lang w:val="nl-NL"/>
        </w:rPr>
        <w:t>5</w:t>
      </w:r>
      <w:r w:rsidRPr="00D873C8">
        <w:rPr>
          <w:sz w:val="16"/>
          <w:szCs w:val="16"/>
          <w:lang w:val="nl-NL"/>
        </w:rPr>
        <w:t xml:space="preserve">.2023); E. VERHELLEN, “Het Verdrag inzake de rechten van het kind meerderjarig. Enkele beschouwingen over de implementatie in België”, </w:t>
      </w:r>
      <w:r w:rsidRPr="00D873C8">
        <w:rPr>
          <w:i/>
          <w:sz w:val="16"/>
          <w:szCs w:val="16"/>
          <w:lang w:val="nl-NL"/>
        </w:rPr>
        <w:t>TJK</w:t>
      </w:r>
      <w:r w:rsidRPr="00D873C8">
        <w:rPr>
          <w:sz w:val="16"/>
          <w:szCs w:val="16"/>
          <w:lang w:val="nl-NL"/>
        </w:rPr>
        <w:t xml:space="preserve"> 2008, afl. 1, </w:t>
      </w:r>
      <w:r w:rsidR="002073E7">
        <w:rPr>
          <w:sz w:val="16"/>
          <w:szCs w:val="16"/>
          <w:lang w:val="nl-NL"/>
        </w:rPr>
        <w:t xml:space="preserve">(11) </w:t>
      </w:r>
      <w:r w:rsidRPr="00D873C8">
        <w:rPr>
          <w:sz w:val="16"/>
          <w:szCs w:val="16"/>
          <w:lang w:val="nl-NL"/>
        </w:rPr>
        <w:t>16.</w:t>
      </w:r>
    </w:p>
  </w:footnote>
  <w:footnote w:id="51">
    <w:p w14:paraId="09ECE37D" w14:textId="52F65F07" w:rsidR="00C57AF9" w:rsidRPr="00B82753" w:rsidRDefault="00C57AF9" w:rsidP="005C4D5C">
      <w:pPr>
        <w:pStyle w:val="Voetnoottekst"/>
        <w:jc w:val="both"/>
        <w:rPr>
          <w:sz w:val="16"/>
          <w:szCs w:val="16"/>
          <w:lang w:val="nl-NL"/>
        </w:rPr>
      </w:pPr>
      <w:r w:rsidRPr="00B82753">
        <w:rPr>
          <w:rStyle w:val="Voetnootmarkering"/>
          <w:sz w:val="16"/>
          <w:szCs w:val="16"/>
          <w:lang w:val="nl-NL"/>
        </w:rPr>
        <w:footnoteRef/>
      </w:r>
      <w:r w:rsidRPr="00B82753">
        <w:rPr>
          <w:sz w:val="16"/>
          <w:szCs w:val="16"/>
          <w:lang w:val="nl-NL"/>
        </w:rPr>
        <w:t xml:space="preserve"> </w:t>
      </w:r>
      <w:r w:rsidR="00B82753" w:rsidRPr="00B82753">
        <w:rPr>
          <w:sz w:val="16"/>
          <w:szCs w:val="16"/>
          <w:lang w:val="nl-NL"/>
        </w:rPr>
        <w:t xml:space="preserve">J. PUT, </w:t>
      </w:r>
      <w:r w:rsidR="00B82753" w:rsidRPr="00B82753">
        <w:rPr>
          <w:i/>
          <w:iCs/>
          <w:sz w:val="16"/>
          <w:szCs w:val="16"/>
          <w:lang w:val="nl-NL"/>
        </w:rPr>
        <w:t>Handboek Jeugdbeschermingsrecht</w:t>
      </w:r>
      <w:r w:rsidR="00B82753" w:rsidRPr="00B82753">
        <w:rPr>
          <w:sz w:val="16"/>
          <w:szCs w:val="16"/>
          <w:lang w:val="nl-NL"/>
        </w:rPr>
        <w:t xml:space="preserve">, Brugge, die Keure, 2021, 57; </w:t>
      </w:r>
      <w:r w:rsidRPr="00B82753">
        <w:rPr>
          <w:sz w:val="16"/>
          <w:szCs w:val="16"/>
          <w:lang w:val="nl-NL"/>
        </w:rPr>
        <w:t xml:space="preserve">E. VERHELLEN, “Een inleiding tot het Verdrag inzake de Rechten van het Kind” in W. VANDENHOLE (ed.), </w:t>
      </w:r>
      <w:r w:rsidRPr="00B82753">
        <w:rPr>
          <w:i/>
          <w:iCs/>
          <w:sz w:val="16"/>
          <w:szCs w:val="16"/>
          <w:lang w:val="nl-NL"/>
        </w:rPr>
        <w:t>Kinderrechten in België</w:t>
      </w:r>
      <w:r w:rsidRPr="00B82753">
        <w:rPr>
          <w:sz w:val="16"/>
          <w:szCs w:val="16"/>
          <w:lang w:val="nl-NL"/>
        </w:rPr>
        <w:t>, Antwerpen, Intersentia, 2008, 33.</w:t>
      </w:r>
    </w:p>
  </w:footnote>
  <w:footnote w:id="52">
    <w:p w14:paraId="0EC103C1" w14:textId="2FF34A3D" w:rsidR="00C57AF9" w:rsidRPr="00B82753" w:rsidRDefault="00C57AF9" w:rsidP="005C4D5C">
      <w:pPr>
        <w:pStyle w:val="Voetnoottekst"/>
        <w:jc w:val="both"/>
        <w:rPr>
          <w:sz w:val="16"/>
          <w:szCs w:val="16"/>
          <w:lang w:val="nl-NL"/>
        </w:rPr>
      </w:pPr>
      <w:r w:rsidRPr="00B82753">
        <w:rPr>
          <w:rStyle w:val="Voetnootmarkering"/>
          <w:sz w:val="16"/>
          <w:szCs w:val="16"/>
          <w:lang w:val="nl-NL"/>
        </w:rPr>
        <w:footnoteRef/>
      </w:r>
      <w:r w:rsidRPr="00B82753">
        <w:rPr>
          <w:sz w:val="16"/>
          <w:szCs w:val="16"/>
          <w:lang w:val="nl-NL"/>
        </w:rPr>
        <w:t xml:space="preserve"> W. VANDENHOLE, </w:t>
      </w:r>
      <w:r w:rsidRPr="00B82753">
        <w:rPr>
          <w:i/>
          <w:iCs/>
          <w:sz w:val="16"/>
          <w:szCs w:val="16"/>
          <w:lang w:val="nl-NL"/>
        </w:rPr>
        <w:t>Kinderrechten als mensenrechten: een multidisciplinaire verkenning</w:t>
      </w:r>
      <w:r w:rsidRPr="00B82753">
        <w:rPr>
          <w:sz w:val="16"/>
          <w:szCs w:val="16"/>
          <w:lang w:val="nl-NL"/>
        </w:rPr>
        <w:t xml:space="preserve">, Antwerpen, Intersentia, 2007, 9-10; D. REYNAERT, R. ROOSE, W. VANDENHOLE en K. VLIEGHE (eds.), </w:t>
      </w:r>
      <w:r w:rsidRPr="00B82753">
        <w:rPr>
          <w:i/>
          <w:iCs/>
          <w:sz w:val="16"/>
          <w:szCs w:val="16"/>
          <w:lang w:val="nl-NL"/>
        </w:rPr>
        <w:t>Kinderrechten: springplank of struikelblok?</w:t>
      </w:r>
      <w:r w:rsidRPr="00B82753">
        <w:rPr>
          <w:sz w:val="16"/>
          <w:szCs w:val="16"/>
          <w:lang w:val="nl-NL"/>
        </w:rPr>
        <w:t>, Antwerpen, Intersentia, 2011, 3.</w:t>
      </w:r>
    </w:p>
  </w:footnote>
  <w:footnote w:id="53">
    <w:p w14:paraId="3FE4C59C" w14:textId="5E0633EC" w:rsidR="00C57AF9" w:rsidRPr="00B82753" w:rsidRDefault="00C57AF9" w:rsidP="005C4D5C">
      <w:pPr>
        <w:pStyle w:val="Voetnoottekst"/>
        <w:jc w:val="both"/>
        <w:rPr>
          <w:sz w:val="16"/>
          <w:szCs w:val="16"/>
          <w:lang w:val="nl-NL"/>
        </w:rPr>
      </w:pPr>
      <w:r w:rsidRPr="00B82753">
        <w:rPr>
          <w:rStyle w:val="Voetnootmarkering"/>
          <w:sz w:val="16"/>
          <w:szCs w:val="16"/>
          <w:lang w:val="nl-NL"/>
        </w:rPr>
        <w:footnoteRef/>
      </w:r>
      <w:r w:rsidRPr="00B82753">
        <w:rPr>
          <w:sz w:val="16"/>
          <w:szCs w:val="16"/>
          <w:lang w:val="nl-NL"/>
        </w:rPr>
        <w:t xml:space="preserve"> Artikel 4 IVRK </w:t>
      </w:r>
      <w:r w:rsidRPr="00B82753">
        <w:rPr>
          <w:i/>
          <w:iCs/>
          <w:sz w:val="16"/>
          <w:szCs w:val="16"/>
          <w:lang w:val="nl-NL"/>
        </w:rPr>
        <w:t xml:space="preserve">juncto </w:t>
      </w:r>
      <w:r w:rsidRPr="00B82753">
        <w:rPr>
          <w:sz w:val="16"/>
          <w:szCs w:val="16"/>
          <w:lang w:val="nl-NL"/>
        </w:rPr>
        <w:t xml:space="preserve">artikel 9.3 IVRK; General Comment no. 5 of the UN Committee on the Rights of the Child on general measures of implementation of the Convention on the Rights of the child, 27 november 2003, CRC/GC/2003/5, §21; S. MOSSELMANS, “Een evolutie op het terrein van het ouderlijk gezag, het omgangsrecht, het hoorrecht van minderjarigen en het recht op informatie van ouders en hun minderjarige kinderen: het EVRM ‘The recommendations on parental responsibilities’ en het IVRK als leidraad?”, </w:t>
      </w:r>
      <w:r w:rsidRPr="00B82753">
        <w:rPr>
          <w:i/>
          <w:sz w:val="16"/>
          <w:szCs w:val="16"/>
          <w:lang w:val="nl-NL"/>
        </w:rPr>
        <w:t>TPR</w:t>
      </w:r>
      <w:r w:rsidRPr="00B82753">
        <w:rPr>
          <w:sz w:val="16"/>
          <w:szCs w:val="16"/>
          <w:lang w:val="nl-NL"/>
        </w:rPr>
        <w:t xml:space="preserve"> 1997, 582-583.</w:t>
      </w:r>
    </w:p>
  </w:footnote>
  <w:footnote w:id="54">
    <w:p w14:paraId="73AEFC55" w14:textId="3A15DDB8" w:rsidR="00C57AF9" w:rsidRPr="00B82753" w:rsidRDefault="00C57AF9" w:rsidP="005C4D5C">
      <w:pPr>
        <w:pStyle w:val="Voetnoottekst"/>
        <w:jc w:val="both"/>
        <w:rPr>
          <w:sz w:val="16"/>
          <w:szCs w:val="16"/>
          <w:lang w:val="en-US"/>
        </w:rPr>
      </w:pPr>
      <w:r w:rsidRPr="00B82753">
        <w:rPr>
          <w:rStyle w:val="Voetnootmarkering"/>
          <w:sz w:val="16"/>
          <w:szCs w:val="16"/>
          <w:lang w:val="nl-NL"/>
        </w:rPr>
        <w:footnoteRef/>
      </w:r>
      <w:r w:rsidRPr="00B82753">
        <w:rPr>
          <w:sz w:val="16"/>
          <w:szCs w:val="16"/>
          <w:lang w:val="en-US"/>
        </w:rPr>
        <w:t xml:space="preserve"> Artikel 43.1 IVRK; </w:t>
      </w:r>
      <w:r w:rsidRPr="00B82753">
        <w:rPr>
          <w:rFonts w:eastAsia="Verdana" w:cs="Verdana"/>
          <w:sz w:val="16"/>
          <w:szCs w:val="16"/>
          <w:lang w:val="en-US" w:eastAsia="nl-NL"/>
        </w:rPr>
        <w:t xml:space="preserve">UNICEF, “Implementation handbook for the Convention on the Rights of the Child”, 2007, </w:t>
      </w:r>
      <w:hyperlink r:id="rId15" w:history="1">
        <w:r w:rsidRPr="00B82753">
          <w:rPr>
            <w:rFonts w:eastAsia="Verdana" w:cs="Verdana"/>
            <w:color w:val="0563C1"/>
            <w:sz w:val="16"/>
            <w:szCs w:val="16"/>
            <w:u w:val="single"/>
            <w:lang w:val="en-US" w:eastAsia="nl-NL"/>
          </w:rPr>
          <w:t>www.unicef.org/lac/media/22071/file/Implementation%20Handbook%20for%20the%20CRC.pdf</w:t>
        </w:r>
      </w:hyperlink>
      <w:r w:rsidRPr="00B82753">
        <w:rPr>
          <w:rFonts w:eastAsia="Verdana" w:cs="Verdana"/>
          <w:sz w:val="16"/>
          <w:szCs w:val="16"/>
          <w:lang w:val="en-US"/>
        </w:rPr>
        <w:t xml:space="preserve">, 639-641 </w:t>
      </w:r>
      <w:r w:rsidRPr="00B82753">
        <w:rPr>
          <w:rFonts w:eastAsia="Verdana" w:cs="Verdana"/>
          <w:sz w:val="16"/>
          <w:szCs w:val="16"/>
          <w:lang w:val="en-US" w:eastAsia="nl-NL"/>
        </w:rPr>
        <w:t xml:space="preserve">(laatste consultatie </w:t>
      </w:r>
      <w:r w:rsidR="00D25159" w:rsidRPr="00B82753">
        <w:rPr>
          <w:rFonts w:eastAsia="Verdana" w:cs="Verdana"/>
          <w:sz w:val="16"/>
          <w:szCs w:val="16"/>
          <w:lang w:val="en-US"/>
        </w:rPr>
        <w:t>13</w:t>
      </w:r>
      <w:r w:rsidRPr="00B82753">
        <w:rPr>
          <w:rFonts w:eastAsia="Verdana" w:cs="Verdana"/>
          <w:sz w:val="16"/>
          <w:szCs w:val="16"/>
          <w:lang w:val="en-US"/>
        </w:rPr>
        <w:t>.0</w:t>
      </w:r>
      <w:r w:rsidR="00D25159" w:rsidRPr="00B82753">
        <w:rPr>
          <w:rFonts w:eastAsia="Verdana" w:cs="Verdana"/>
          <w:sz w:val="16"/>
          <w:szCs w:val="16"/>
          <w:lang w:val="en-US"/>
        </w:rPr>
        <w:t>5</w:t>
      </w:r>
      <w:r w:rsidRPr="00B82753">
        <w:rPr>
          <w:rFonts w:eastAsia="Verdana" w:cs="Verdana"/>
          <w:sz w:val="16"/>
          <w:szCs w:val="16"/>
          <w:lang w:val="en-US"/>
        </w:rPr>
        <w:t>.2023</w:t>
      </w:r>
      <w:r w:rsidRPr="00B82753">
        <w:rPr>
          <w:rFonts w:eastAsia="Verdana" w:cs="Verdana"/>
          <w:sz w:val="16"/>
          <w:szCs w:val="16"/>
          <w:lang w:val="en-US" w:eastAsia="nl-NL"/>
        </w:rPr>
        <w:t>).</w:t>
      </w:r>
    </w:p>
  </w:footnote>
  <w:footnote w:id="55">
    <w:p w14:paraId="6C3DB3DE" w14:textId="471BBC52" w:rsidR="00C57AF9" w:rsidRPr="00B82753" w:rsidRDefault="00C57AF9" w:rsidP="005C4D5C">
      <w:pPr>
        <w:pStyle w:val="Voetnoottekst"/>
        <w:jc w:val="both"/>
        <w:rPr>
          <w:sz w:val="16"/>
          <w:szCs w:val="16"/>
          <w:lang w:val="en-US"/>
        </w:rPr>
      </w:pPr>
      <w:r w:rsidRPr="00B82753">
        <w:rPr>
          <w:rStyle w:val="Voetnootmarkering"/>
          <w:sz w:val="16"/>
          <w:szCs w:val="16"/>
          <w:lang w:val="nl-NL"/>
        </w:rPr>
        <w:footnoteRef/>
      </w:r>
      <w:r w:rsidRPr="00B82753">
        <w:rPr>
          <w:sz w:val="16"/>
          <w:szCs w:val="16"/>
          <w:lang w:val="en-US"/>
        </w:rPr>
        <w:t xml:space="preserve"> U. KILKELLY, “The best of both worlds for children’s rights? Interpreting the European Convention on Human Rights in the light of the UN Convention on the Rights of the Child”, </w:t>
      </w:r>
      <w:r w:rsidRPr="00B82753">
        <w:rPr>
          <w:i/>
          <w:iCs/>
          <w:sz w:val="16"/>
          <w:szCs w:val="16"/>
          <w:lang w:val="en-US"/>
        </w:rPr>
        <w:t>Human Rights Quarterly</w:t>
      </w:r>
      <w:r w:rsidRPr="00B82753">
        <w:rPr>
          <w:sz w:val="16"/>
          <w:szCs w:val="16"/>
          <w:lang w:val="en-US"/>
        </w:rPr>
        <w:t xml:space="preserve"> 2001, 311.</w:t>
      </w:r>
    </w:p>
  </w:footnote>
  <w:footnote w:id="56">
    <w:p w14:paraId="1B1343D7" w14:textId="6DF3FE0F" w:rsidR="00C57AF9" w:rsidRPr="00B82753" w:rsidRDefault="00C57AF9" w:rsidP="005C4D5C">
      <w:pPr>
        <w:jc w:val="both"/>
        <w:rPr>
          <w:rFonts w:eastAsia="Verdana" w:cs="Verdana"/>
          <w:sz w:val="16"/>
          <w:szCs w:val="16"/>
          <w:lang w:val="nl-NL"/>
        </w:rPr>
      </w:pPr>
      <w:r w:rsidRPr="00B82753">
        <w:rPr>
          <w:rStyle w:val="Voetnootmarkering"/>
          <w:sz w:val="16"/>
          <w:szCs w:val="16"/>
          <w:lang w:val="nl-NL"/>
        </w:rPr>
        <w:footnoteRef/>
      </w:r>
      <w:r w:rsidRPr="00B82753">
        <w:rPr>
          <w:sz w:val="16"/>
          <w:szCs w:val="16"/>
          <w:lang w:val="nl-NL"/>
        </w:rPr>
        <w:t xml:space="preserve"> S. </w:t>
      </w:r>
      <w:r w:rsidRPr="00B82753">
        <w:rPr>
          <w:rFonts w:eastAsia="Verdana" w:cs="Verdana"/>
          <w:sz w:val="16"/>
          <w:szCs w:val="16"/>
          <w:lang w:val="nl-NL"/>
        </w:rPr>
        <w:t xml:space="preserve">SMETS, “De doorwerking van het Kinderrechtenverdrag in de rechtspraak van het EHRM”, </w:t>
      </w:r>
      <w:r w:rsidRPr="00B82753">
        <w:rPr>
          <w:rFonts w:eastAsia="Verdana" w:cs="Verdana"/>
          <w:i/>
          <w:iCs/>
          <w:sz w:val="16"/>
          <w:szCs w:val="16"/>
          <w:lang w:val="nl-NL"/>
        </w:rPr>
        <w:t>TJK</w:t>
      </w:r>
      <w:r w:rsidRPr="00B82753">
        <w:rPr>
          <w:rFonts w:eastAsia="Verdana" w:cs="Verdana"/>
          <w:sz w:val="16"/>
          <w:szCs w:val="16"/>
          <w:lang w:val="nl-NL"/>
        </w:rPr>
        <w:t xml:space="preserve"> 2013,</w:t>
      </w:r>
      <w:r w:rsidR="001A149B">
        <w:rPr>
          <w:rFonts w:eastAsia="Verdana" w:cs="Verdana"/>
          <w:sz w:val="16"/>
          <w:szCs w:val="16"/>
          <w:lang w:val="nl-NL"/>
        </w:rPr>
        <w:t xml:space="preserve"> (82) </w:t>
      </w:r>
      <w:r w:rsidRPr="00B82753">
        <w:rPr>
          <w:rFonts w:eastAsia="Verdana" w:cs="Verdana"/>
          <w:sz w:val="16"/>
          <w:szCs w:val="16"/>
          <w:lang w:val="nl-NL"/>
        </w:rPr>
        <w:t>84.</w:t>
      </w:r>
    </w:p>
  </w:footnote>
  <w:footnote w:id="57">
    <w:p w14:paraId="4D1E456E" w14:textId="77777777" w:rsidR="00C57AF9" w:rsidRPr="00B82753" w:rsidRDefault="00C57AF9" w:rsidP="005C4D5C">
      <w:pPr>
        <w:pStyle w:val="Voetnoottekst"/>
        <w:jc w:val="both"/>
        <w:rPr>
          <w:sz w:val="16"/>
          <w:szCs w:val="16"/>
          <w:lang w:val="en-US"/>
        </w:rPr>
      </w:pPr>
      <w:r w:rsidRPr="00B82753">
        <w:rPr>
          <w:rStyle w:val="Voetnootmarkering"/>
          <w:sz w:val="16"/>
          <w:szCs w:val="16"/>
          <w:lang w:val="nl-NL"/>
        </w:rPr>
        <w:footnoteRef/>
      </w:r>
      <w:r w:rsidRPr="00B82753">
        <w:rPr>
          <w:sz w:val="16"/>
          <w:szCs w:val="16"/>
          <w:lang w:val="en-US"/>
        </w:rPr>
        <w:t xml:space="preserve"> I. BANTEKAS en L. OETTE, </w:t>
      </w:r>
      <w:r w:rsidRPr="00B82753">
        <w:rPr>
          <w:i/>
          <w:iCs/>
          <w:sz w:val="16"/>
          <w:szCs w:val="16"/>
          <w:lang w:val="en-US"/>
        </w:rPr>
        <w:t>International Human Rights Law and Practice</w:t>
      </w:r>
      <w:r w:rsidRPr="00B82753">
        <w:rPr>
          <w:sz w:val="16"/>
          <w:szCs w:val="16"/>
          <w:lang w:val="en-US"/>
        </w:rPr>
        <w:t>, Cambridge, Cambridge University Press, third edition, 2022, 211-214.</w:t>
      </w:r>
    </w:p>
  </w:footnote>
  <w:footnote w:id="58">
    <w:p w14:paraId="1D5A5AE4" w14:textId="57939514" w:rsidR="00C57AF9" w:rsidRPr="00B82753" w:rsidRDefault="00C57AF9" w:rsidP="005C4D5C">
      <w:pPr>
        <w:pStyle w:val="Voetnoottekst"/>
        <w:jc w:val="both"/>
        <w:rPr>
          <w:sz w:val="16"/>
          <w:szCs w:val="16"/>
          <w:lang w:val="nl-NL"/>
        </w:rPr>
      </w:pPr>
      <w:r w:rsidRPr="00B82753">
        <w:rPr>
          <w:rStyle w:val="Voetnootmarkering"/>
          <w:sz w:val="16"/>
          <w:szCs w:val="16"/>
          <w:lang w:val="nl-NL"/>
        </w:rPr>
        <w:footnoteRef/>
      </w:r>
      <w:r w:rsidRPr="00B82753">
        <w:rPr>
          <w:sz w:val="16"/>
          <w:szCs w:val="16"/>
          <w:lang w:val="nl-NL"/>
        </w:rPr>
        <w:t xml:space="preserve"> </w:t>
      </w:r>
      <w:r w:rsidR="00D25159" w:rsidRPr="00B82753">
        <w:rPr>
          <w:i/>
          <w:iCs/>
          <w:sz w:val="16"/>
          <w:szCs w:val="16"/>
          <w:lang w:val="nl-NL"/>
        </w:rPr>
        <w:t>Ibid</w:t>
      </w:r>
      <w:r w:rsidRPr="00B82753">
        <w:rPr>
          <w:sz w:val="16"/>
          <w:szCs w:val="16"/>
          <w:lang w:val="nl-NL"/>
        </w:rPr>
        <w:t>.</w:t>
      </w:r>
    </w:p>
  </w:footnote>
  <w:footnote w:id="59">
    <w:p w14:paraId="2E5D8CB5" w14:textId="62608008" w:rsidR="00C57AF9" w:rsidRPr="00B82753" w:rsidRDefault="00C57AF9" w:rsidP="005C4D5C">
      <w:pPr>
        <w:pStyle w:val="Voetnoottekst"/>
        <w:jc w:val="both"/>
        <w:rPr>
          <w:sz w:val="16"/>
          <w:szCs w:val="16"/>
          <w:lang w:val="nl-NL"/>
        </w:rPr>
      </w:pPr>
      <w:r w:rsidRPr="00B82753">
        <w:rPr>
          <w:rStyle w:val="Voetnootmarkering"/>
          <w:sz w:val="16"/>
          <w:szCs w:val="16"/>
          <w:lang w:val="nl-NL"/>
        </w:rPr>
        <w:footnoteRef/>
      </w:r>
      <w:r w:rsidRPr="00B82753">
        <w:rPr>
          <w:sz w:val="16"/>
          <w:szCs w:val="16"/>
          <w:lang w:val="nl-NL"/>
        </w:rPr>
        <w:t xml:space="preserve"> Zie artikel 44.1 </w:t>
      </w:r>
      <w:r w:rsidRPr="00B82753">
        <w:rPr>
          <w:i/>
          <w:iCs/>
          <w:sz w:val="16"/>
          <w:szCs w:val="16"/>
          <w:lang w:val="nl-NL"/>
        </w:rPr>
        <w:t>juncto</w:t>
      </w:r>
      <w:r w:rsidRPr="00B82753">
        <w:rPr>
          <w:sz w:val="16"/>
          <w:szCs w:val="16"/>
          <w:lang w:val="nl-NL"/>
        </w:rPr>
        <w:t xml:space="preserve"> artikel 44.2 IVRK.</w:t>
      </w:r>
    </w:p>
  </w:footnote>
  <w:footnote w:id="60">
    <w:p w14:paraId="55EBD837" w14:textId="03307780" w:rsidR="00C57AF9" w:rsidRPr="00B82753" w:rsidRDefault="00C57AF9" w:rsidP="005C4D5C">
      <w:pPr>
        <w:pStyle w:val="Voetnoottekst"/>
        <w:jc w:val="both"/>
        <w:rPr>
          <w:sz w:val="16"/>
          <w:szCs w:val="16"/>
          <w:lang w:val="nl-NL"/>
        </w:rPr>
      </w:pPr>
      <w:r w:rsidRPr="00B82753">
        <w:rPr>
          <w:rStyle w:val="Voetnootmarkering"/>
          <w:sz w:val="16"/>
          <w:szCs w:val="16"/>
          <w:lang w:val="nl-NL"/>
        </w:rPr>
        <w:footnoteRef/>
      </w:r>
      <w:r w:rsidRPr="00B82753">
        <w:rPr>
          <w:sz w:val="16"/>
          <w:szCs w:val="16"/>
          <w:lang w:val="nl-NL"/>
        </w:rPr>
        <w:t xml:space="preserve"> W. VANDENHOLE, “Twintig jaar kinderrechtenverdrag (1989-2009): een Belgische stand van zaken”, </w:t>
      </w:r>
      <w:r w:rsidRPr="00B82753">
        <w:rPr>
          <w:i/>
          <w:sz w:val="16"/>
          <w:szCs w:val="16"/>
          <w:lang w:val="nl-NL"/>
        </w:rPr>
        <w:t>RW</w:t>
      </w:r>
      <w:r w:rsidRPr="00B82753">
        <w:rPr>
          <w:sz w:val="16"/>
          <w:szCs w:val="16"/>
          <w:lang w:val="nl-NL"/>
        </w:rPr>
        <w:t xml:space="preserve"> 2009-10, </w:t>
      </w:r>
      <w:r w:rsidR="001A149B">
        <w:rPr>
          <w:sz w:val="16"/>
          <w:szCs w:val="16"/>
          <w:lang w:val="nl-NL"/>
        </w:rPr>
        <w:t xml:space="preserve">(386) </w:t>
      </w:r>
      <w:r w:rsidRPr="00B82753">
        <w:rPr>
          <w:sz w:val="16"/>
          <w:szCs w:val="16"/>
          <w:lang w:val="nl-NL"/>
        </w:rPr>
        <w:t>387.</w:t>
      </w:r>
    </w:p>
  </w:footnote>
  <w:footnote w:id="61">
    <w:p w14:paraId="5E42B431" w14:textId="6E150410" w:rsidR="00C57AF9" w:rsidRPr="0086280A" w:rsidRDefault="00C57AF9" w:rsidP="005C4D5C">
      <w:pPr>
        <w:pStyle w:val="Voetnoottekst"/>
        <w:jc w:val="both"/>
        <w:rPr>
          <w:sz w:val="16"/>
          <w:szCs w:val="16"/>
          <w:lang w:val="nl-NL"/>
        </w:rPr>
      </w:pPr>
      <w:r w:rsidRPr="00B82753">
        <w:rPr>
          <w:rStyle w:val="Voetnootmarkering"/>
          <w:sz w:val="16"/>
          <w:szCs w:val="16"/>
          <w:lang w:val="nl-NL"/>
        </w:rPr>
        <w:footnoteRef/>
      </w:r>
      <w:r w:rsidRPr="00B82753">
        <w:rPr>
          <w:sz w:val="16"/>
          <w:szCs w:val="16"/>
          <w:lang w:val="nl-NL"/>
        </w:rPr>
        <w:t xml:space="preserve"> E. VERHELLEN, “Het Verdrag inzake de rechten van het kind meerderjarig. Enkele beschouwingen over de implementatie in België”, </w:t>
      </w:r>
      <w:r w:rsidRPr="00B82753">
        <w:rPr>
          <w:i/>
          <w:sz w:val="16"/>
          <w:szCs w:val="16"/>
          <w:lang w:val="nl-NL"/>
        </w:rPr>
        <w:t>TJK</w:t>
      </w:r>
      <w:r w:rsidRPr="00B82753">
        <w:rPr>
          <w:sz w:val="16"/>
          <w:szCs w:val="16"/>
          <w:lang w:val="nl-NL"/>
        </w:rPr>
        <w:t xml:space="preserve"> 2008, afl. 1, </w:t>
      </w:r>
      <w:r w:rsidR="001A149B">
        <w:rPr>
          <w:sz w:val="16"/>
          <w:szCs w:val="16"/>
          <w:lang w:val="nl-NL"/>
        </w:rPr>
        <w:t xml:space="preserve">(11) </w:t>
      </w:r>
      <w:r w:rsidRPr="00B82753">
        <w:rPr>
          <w:sz w:val="16"/>
          <w:szCs w:val="16"/>
          <w:lang w:val="nl-NL"/>
        </w:rPr>
        <w:t>13.</w:t>
      </w:r>
    </w:p>
  </w:footnote>
  <w:footnote w:id="62">
    <w:p w14:paraId="55982606" w14:textId="01C72CC0" w:rsidR="00C57AF9" w:rsidRPr="001A149B" w:rsidRDefault="00C57AF9" w:rsidP="005C4D5C">
      <w:pPr>
        <w:pStyle w:val="Voetnoottekst"/>
        <w:jc w:val="both"/>
        <w:rPr>
          <w:sz w:val="16"/>
          <w:szCs w:val="16"/>
          <w:lang w:val="nl-NL"/>
        </w:rPr>
      </w:pPr>
      <w:r w:rsidRPr="0086280A">
        <w:rPr>
          <w:rStyle w:val="Voetnootmarkering"/>
          <w:sz w:val="16"/>
          <w:szCs w:val="16"/>
          <w:lang w:val="nl-NL"/>
        </w:rPr>
        <w:footnoteRef/>
      </w:r>
      <w:r w:rsidRPr="001A149B">
        <w:rPr>
          <w:sz w:val="16"/>
          <w:szCs w:val="16"/>
          <w:lang w:val="nl-NL"/>
        </w:rPr>
        <w:t xml:space="preserve"> General Comment no. 5 of the UN Committee on the Rights of the Child on general measures of implementation of the Convention on the Rights of the child, 27 november 2003, CRC/GC/2003/5, §20-21; </w:t>
      </w:r>
      <w:r w:rsidR="00B82753" w:rsidRPr="001A149B">
        <w:rPr>
          <w:sz w:val="16"/>
          <w:szCs w:val="16"/>
          <w:lang w:val="nl-NL"/>
        </w:rPr>
        <w:t xml:space="preserve">J. WOUTERS, </w:t>
      </w:r>
      <w:r w:rsidR="00B82753" w:rsidRPr="001A149B">
        <w:rPr>
          <w:i/>
          <w:iCs/>
          <w:sz w:val="16"/>
          <w:szCs w:val="16"/>
          <w:lang w:val="nl-NL"/>
        </w:rPr>
        <w:t>Internationaal recht in kort bestek (derde editie)</w:t>
      </w:r>
      <w:r w:rsidR="00B82753" w:rsidRPr="001A149B">
        <w:rPr>
          <w:sz w:val="16"/>
          <w:szCs w:val="16"/>
          <w:lang w:val="nl-NL"/>
        </w:rPr>
        <w:t xml:space="preserve">, Antwerpen, Intersentia, 2020, 90; </w:t>
      </w:r>
      <w:r w:rsidRPr="001A149B">
        <w:rPr>
          <w:sz w:val="16"/>
          <w:szCs w:val="16"/>
          <w:lang w:val="nl-NL"/>
        </w:rPr>
        <w:t xml:space="preserve">T. LIEFAARD en J.E. DOEK, “Kinderrechten in de rechtspraak: een internationaal perspectief”, </w:t>
      </w:r>
      <w:r w:rsidRPr="001A149B">
        <w:rPr>
          <w:i/>
          <w:sz w:val="16"/>
          <w:szCs w:val="16"/>
          <w:lang w:val="nl-NL"/>
        </w:rPr>
        <w:t xml:space="preserve">FJR </w:t>
      </w:r>
      <w:r w:rsidRPr="001A149B">
        <w:rPr>
          <w:sz w:val="16"/>
          <w:szCs w:val="16"/>
          <w:lang w:val="nl-NL"/>
        </w:rPr>
        <w:t xml:space="preserve">2015, afl. 20, </w:t>
      </w:r>
      <w:r w:rsidR="001A149B">
        <w:rPr>
          <w:sz w:val="16"/>
          <w:szCs w:val="16"/>
          <w:lang w:val="nl-NL"/>
        </w:rPr>
        <w:t xml:space="preserve">(82) </w:t>
      </w:r>
      <w:r w:rsidRPr="001A149B">
        <w:rPr>
          <w:sz w:val="16"/>
          <w:szCs w:val="16"/>
          <w:lang w:val="nl-NL"/>
        </w:rPr>
        <w:t>82.</w:t>
      </w:r>
    </w:p>
  </w:footnote>
  <w:footnote w:id="63">
    <w:p w14:paraId="7F07DDCB" w14:textId="1BB90944"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E. VERHELLEN, “Het Verdrag inzake de rechten van het kind meerderjarig. Enkele beschouwingen over de implementatie in België”, </w:t>
      </w:r>
      <w:r w:rsidRPr="0086280A">
        <w:rPr>
          <w:i/>
          <w:sz w:val="16"/>
          <w:szCs w:val="16"/>
          <w:lang w:val="nl-NL"/>
        </w:rPr>
        <w:t>TJK</w:t>
      </w:r>
      <w:r w:rsidRPr="0086280A">
        <w:rPr>
          <w:sz w:val="16"/>
          <w:szCs w:val="16"/>
          <w:lang w:val="nl-NL"/>
        </w:rPr>
        <w:t xml:space="preserve"> 2008, afl. 1, </w:t>
      </w:r>
      <w:r w:rsidR="001A149B">
        <w:rPr>
          <w:sz w:val="16"/>
          <w:szCs w:val="16"/>
          <w:lang w:val="nl-NL"/>
        </w:rPr>
        <w:t xml:space="preserve">(11) </w:t>
      </w:r>
      <w:r w:rsidRPr="0086280A">
        <w:rPr>
          <w:sz w:val="16"/>
          <w:szCs w:val="16"/>
          <w:lang w:val="nl-NL"/>
        </w:rPr>
        <w:t>30.</w:t>
      </w:r>
    </w:p>
  </w:footnote>
  <w:footnote w:id="64">
    <w:p w14:paraId="6BD4C129" w14:textId="3C8DAA05"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t>
      </w:r>
      <w:r w:rsidR="00D25159" w:rsidRPr="0086280A">
        <w:rPr>
          <w:sz w:val="16"/>
          <w:szCs w:val="16"/>
          <w:lang w:val="nl-NL"/>
        </w:rPr>
        <w:t xml:space="preserve">Zie </w:t>
      </w:r>
      <w:r w:rsidRPr="0086280A">
        <w:rPr>
          <w:sz w:val="16"/>
          <w:szCs w:val="16"/>
          <w:lang w:val="nl-NL"/>
        </w:rPr>
        <w:t xml:space="preserve">Cass. 27 mei 1971, </w:t>
      </w:r>
      <w:r w:rsidRPr="0086280A">
        <w:rPr>
          <w:i/>
          <w:iCs/>
          <w:sz w:val="16"/>
          <w:szCs w:val="16"/>
          <w:lang w:val="nl-NL"/>
        </w:rPr>
        <w:t>Arr.Cass.</w:t>
      </w:r>
      <w:r w:rsidRPr="0086280A">
        <w:rPr>
          <w:sz w:val="16"/>
          <w:szCs w:val="16"/>
          <w:lang w:val="nl-NL"/>
        </w:rPr>
        <w:t xml:space="preserve"> 1971, 959, </w:t>
      </w:r>
      <w:r w:rsidRPr="0086280A">
        <w:rPr>
          <w:i/>
          <w:iCs/>
          <w:sz w:val="16"/>
          <w:szCs w:val="16"/>
          <w:lang w:val="nl-NL"/>
        </w:rPr>
        <w:t>Smeerkaasarrest</w:t>
      </w:r>
      <w:r w:rsidRPr="0086280A">
        <w:rPr>
          <w:sz w:val="16"/>
          <w:szCs w:val="16"/>
          <w:lang w:val="nl-NL"/>
        </w:rPr>
        <w:t>.</w:t>
      </w:r>
    </w:p>
  </w:footnote>
  <w:footnote w:id="65">
    <w:p w14:paraId="51025054" w14:textId="5554C101"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Volgens het Belgische Hof van Cassatie is de directe werking afhankelijk van de aard en de formulering van de bepalingen: Cass. 21 april 1983, </w:t>
      </w:r>
      <w:r w:rsidRPr="0086280A">
        <w:rPr>
          <w:i/>
          <w:iCs/>
          <w:sz w:val="16"/>
          <w:szCs w:val="16"/>
          <w:lang w:val="nl-NL"/>
        </w:rPr>
        <w:t>Thonon</w:t>
      </w:r>
      <w:r w:rsidRPr="0086280A">
        <w:rPr>
          <w:sz w:val="16"/>
          <w:szCs w:val="16"/>
          <w:lang w:val="nl-NL"/>
        </w:rPr>
        <w:t xml:space="preserve">, </w:t>
      </w:r>
      <w:r w:rsidRPr="0086280A">
        <w:rPr>
          <w:i/>
          <w:iCs/>
          <w:sz w:val="16"/>
          <w:szCs w:val="16"/>
          <w:lang w:val="nl-NL"/>
        </w:rPr>
        <w:t>RW</w:t>
      </w:r>
      <w:r w:rsidRPr="0086280A">
        <w:rPr>
          <w:sz w:val="16"/>
          <w:szCs w:val="16"/>
          <w:lang w:val="nl-NL"/>
        </w:rPr>
        <w:t xml:space="preserve"> 1983-84, </w:t>
      </w:r>
      <w:r w:rsidRPr="0086280A">
        <w:rPr>
          <w:i/>
          <w:iCs/>
          <w:sz w:val="16"/>
          <w:szCs w:val="16"/>
          <w:lang w:val="nl-NL"/>
        </w:rPr>
        <w:t>Cases</w:t>
      </w:r>
      <w:r w:rsidRPr="0086280A">
        <w:rPr>
          <w:sz w:val="16"/>
          <w:szCs w:val="16"/>
          <w:lang w:val="nl-NL"/>
        </w:rPr>
        <w:t xml:space="preserve">, II.27; </w:t>
      </w:r>
      <w:r w:rsidR="00B82753" w:rsidRPr="0086280A">
        <w:rPr>
          <w:sz w:val="16"/>
          <w:szCs w:val="16"/>
          <w:lang w:val="nl-NL"/>
        </w:rPr>
        <w:t xml:space="preserve">J. WOUTERS, </w:t>
      </w:r>
      <w:r w:rsidR="00B82753" w:rsidRPr="0086280A">
        <w:rPr>
          <w:i/>
          <w:iCs/>
          <w:sz w:val="16"/>
          <w:szCs w:val="16"/>
          <w:lang w:val="nl-NL"/>
        </w:rPr>
        <w:t>Internationaal recht in kort bestek (derde editie)</w:t>
      </w:r>
      <w:r w:rsidR="00B82753" w:rsidRPr="0086280A">
        <w:rPr>
          <w:sz w:val="16"/>
          <w:szCs w:val="16"/>
          <w:lang w:val="nl-NL"/>
        </w:rPr>
        <w:t>, Antwerpen, Intersentia, 2020, 96-97</w:t>
      </w:r>
      <w:r w:rsidR="00B82753">
        <w:rPr>
          <w:sz w:val="16"/>
          <w:szCs w:val="16"/>
          <w:lang w:val="nl-NL"/>
        </w:rPr>
        <w:t xml:space="preserve">; </w:t>
      </w:r>
      <w:r w:rsidRPr="0086280A">
        <w:rPr>
          <w:sz w:val="16"/>
          <w:szCs w:val="16"/>
          <w:lang w:val="nl-NL"/>
        </w:rPr>
        <w:t xml:space="preserve">A. VANDAELE, “De directe werking van en capita selecta uit het Internationaal verdrag inzake de rechten van het kind” in VERHELLEN, E. (e.a.), </w:t>
      </w:r>
      <w:r w:rsidRPr="0086280A">
        <w:rPr>
          <w:i/>
          <w:iCs/>
          <w:sz w:val="16"/>
          <w:szCs w:val="16"/>
          <w:lang w:val="nl-NL"/>
        </w:rPr>
        <w:t>Kinderrechtengids</w:t>
      </w:r>
      <w:r w:rsidRPr="0086280A">
        <w:rPr>
          <w:sz w:val="16"/>
          <w:szCs w:val="16"/>
          <w:lang w:val="nl-NL"/>
        </w:rPr>
        <w:t>, Gent, Mys &amp; Breesch, 2003, Deel 1 – 1.1, 9.</w:t>
      </w:r>
    </w:p>
  </w:footnote>
  <w:footnote w:id="66">
    <w:p w14:paraId="5F706897" w14:textId="60789B55"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t>
      </w:r>
      <w:r w:rsidR="00B82753" w:rsidRPr="0086280A">
        <w:rPr>
          <w:sz w:val="16"/>
          <w:szCs w:val="16"/>
          <w:lang w:val="nl-NL"/>
        </w:rPr>
        <w:t xml:space="preserve">P. LEMMENS, “De rechten van het kind als grondrechten in de Belgische rechtsorde” in W. VANDENHOLE (ed.), </w:t>
      </w:r>
      <w:r w:rsidR="00B82753" w:rsidRPr="0086280A">
        <w:rPr>
          <w:i/>
          <w:iCs/>
          <w:sz w:val="16"/>
          <w:szCs w:val="16"/>
          <w:lang w:val="nl-NL"/>
        </w:rPr>
        <w:t>Kinderrechten in België</w:t>
      </w:r>
      <w:r w:rsidR="00B82753" w:rsidRPr="0086280A">
        <w:rPr>
          <w:sz w:val="16"/>
          <w:szCs w:val="16"/>
          <w:lang w:val="nl-NL"/>
        </w:rPr>
        <w:t>, Antwerpen, Intersentia, 2008, 45-52</w:t>
      </w:r>
      <w:r w:rsidR="00B82753">
        <w:rPr>
          <w:sz w:val="16"/>
          <w:szCs w:val="16"/>
          <w:lang w:val="nl-NL"/>
        </w:rPr>
        <w:t xml:space="preserve">; </w:t>
      </w:r>
      <w:r w:rsidRPr="0086280A">
        <w:rPr>
          <w:sz w:val="16"/>
          <w:szCs w:val="16"/>
          <w:lang w:val="nl-NL"/>
        </w:rPr>
        <w:t xml:space="preserve">K. HANSON, “Directe werking van het IVRK en ‘het belang van het kind’”, </w:t>
      </w:r>
      <w:r w:rsidRPr="0086280A">
        <w:rPr>
          <w:i/>
          <w:iCs/>
          <w:sz w:val="16"/>
          <w:szCs w:val="16"/>
          <w:lang w:val="nl-NL"/>
        </w:rPr>
        <w:t>TJK</w:t>
      </w:r>
      <w:r w:rsidRPr="0086280A">
        <w:rPr>
          <w:sz w:val="16"/>
          <w:szCs w:val="16"/>
          <w:lang w:val="nl-NL"/>
        </w:rPr>
        <w:t xml:space="preserve"> 2000, </w:t>
      </w:r>
      <w:r w:rsidR="002073E7">
        <w:rPr>
          <w:sz w:val="16"/>
          <w:szCs w:val="16"/>
          <w:lang w:val="nl-NL"/>
        </w:rPr>
        <w:t xml:space="preserve">(63) </w:t>
      </w:r>
      <w:r w:rsidRPr="0086280A">
        <w:rPr>
          <w:sz w:val="16"/>
          <w:szCs w:val="16"/>
          <w:lang w:val="nl-NL"/>
        </w:rPr>
        <w:t>6</w:t>
      </w:r>
      <w:r w:rsidR="002073E7">
        <w:rPr>
          <w:sz w:val="16"/>
          <w:szCs w:val="16"/>
          <w:lang w:val="nl-NL"/>
        </w:rPr>
        <w:t>4-</w:t>
      </w:r>
      <w:r w:rsidRPr="0086280A">
        <w:rPr>
          <w:sz w:val="16"/>
          <w:szCs w:val="16"/>
          <w:lang w:val="nl-NL"/>
        </w:rPr>
        <w:t>66.</w:t>
      </w:r>
    </w:p>
  </w:footnote>
  <w:footnote w:id="67">
    <w:p w14:paraId="473DD4E6" w14:textId="62FE8515"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Cass. 11 maart 1994, AR C.93.0342.N, </w:t>
      </w:r>
      <w:r w:rsidRPr="0086280A">
        <w:rPr>
          <w:i/>
          <w:sz w:val="16"/>
          <w:szCs w:val="16"/>
          <w:lang w:val="nl-NL"/>
        </w:rPr>
        <w:t>EJ</w:t>
      </w:r>
      <w:r w:rsidRPr="0086280A">
        <w:rPr>
          <w:sz w:val="16"/>
          <w:szCs w:val="16"/>
          <w:lang w:val="nl-NL"/>
        </w:rPr>
        <w:t xml:space="preserve"> 1995, 82, noot K. DEKELVER (</w:t>
      </w:r>
      <w:r w:rsidR="00B82753">
        <w:rPr>
          <w:i/>
          <w:iCs/>
          <w:sz w:val="16"/>
          <w:szCs w:val="16"/>
          <w:lang w:val="nl-NL"/>
        </w:rPr>
        <w:t>in casu</w:t>
      </w:r>
      <w:r w:rsidRPr="0086280A">
        <w:rPr>
          <w:sz w:val="16"/>
          <w:szCs w:val="16"/>
          <w:lang w:val="nl-NL"/>
        </w:rPr>
        <w:t xml:space="preserve"> reeds aanvaard dat artikel 9.2 IVRK directe werking heeft); Cass. 16 januari 2009, AR C.07.0563.N, </w:t>
      </w:r>
      <w:r w:rsidRPr="0086280A">
        <w:rPr>
          <w:i/>
          <w:sz w:val="16"/>
          <w:szCs w:val="16"/>
          <w:lang w:val="nl-NL"/>
        </w:rPr>
        <w:t>T.Fam.</w:t>
      </w:r>
      <w:r w:rsidRPr="0086280A">
        <w:rPr>
          <w:sz w:val="16"/>
          <w:szCs w:val="16"/>
          <w:lang w:val="nl-NL"/>
        </w:rPr>
        <w:t xml:space="preserve"> 2009, afl. 5, 96, noot R. VASSEUR (Het Hof van Cassatie gebruikt art. 3 IVRK als interpretatieve bepaling, middels impliciete erkenning van de directe werking); RvS (14</w:t>
      </w:r>
      <w:r w:rsidRPr="0086280A">
        <w:rPr>
          <w:sz w:val="16"/>
          <w:szCs w:val="16"/>
          <w:vertAlign w:val="superscript"/>
          <w:lang w:val="nl-NL"/>
        </w:rPr>
        <w:t>e</w:t>
      </w:r>
      <w:r w:rsidRPr="0086280A">
        <w:rPr>
          <w:sz w:val="16"/>
          <w:szCs w:val="16"/>
          <w:lang w:val="nl-NL"/>
        </w:rPr>
        <w:t xml:space="preserve"> k.) 28 juni 2001, nr. 97.206 (artikel 9.1 IVRK is onvoldoende precies om directe werking</w:t>
      </w:r>
      <w:r w:rsidR="00D25159" w:rsidRPr="0086280A">
        <w:rPr>
          <w:sz w:val="16"/>
          <w:szCs w:val="16"/>
          <w:lang w:val="nl-NL"/>
        </w:rPr>
        <w:t xml:space="preserve"> aan</w:t>
      </w:r>
      <w:r w:rsidRPr="0086280A">
        <w:rPr>
          <w:sz w:val="16"/>
          <w:szCs w:val="16"/>
          <w:lang w:val="nl-NL"/>
        </w:rPr>
        <w:t xml:space="preserve"> te verlenen); RvS (11</w:t>
      </w:r>
      <w:r w:rsidRPr="0086280A">
        <w:rPr>
          <w:sz w:val="16"/>
          <w:szCs w:val="16"/>
          <w:vertAlign w:val="superscript"/>
          <w:lang w:val="nl-NL"/>
        </w:rPr>
        <w:t>e</w:t>
      </w:r>
      <w:r w:rsidRPr="0086280A">
        <w:rPr>
          <w:sz w:val="16"/>
          <w:szCs w:val="16"/>
          <w:lang w:val="nl-NL"/>
        </w:rPr>
        <w:t xml:space="preserve"> k.) 27 februari 2014, nr. 226.576, </w:t>
      </w:r>
      <w:r w:rsidRPr="0086280A">
        <w:rPr>
          <w:i/>
          <w:iCs/>
          <w:sz w:val="16"/>
          <w:szCs w:val="16"/>
          <w:lang w:val="nl-NL"/>
        </w:rPr>
        <w:t>APT</w:t>
      </w:r>
      <w:r w:rsidRPr="0086280A">
        <w:rPr>
          <w:sz w:val="16"/>
          <w:szCs w:val="16"/>
          <w:lang w:val="nl-NL"/>
        </w:rPr>
        <w:t xml:space="preserve"> 2013 (de Raad van State oordeelt hier dat de artikelen 3 en 8 van het IVRK geen directe werking hebben); RvS (11</w:t>
      </w:r>
      <w:r w:rsidRPr="0086280A">
        <w:rPr>
          <w:sz w:val="16"/>
          <w:szCs w:val="16"/>
          <w:vertAlign w:val="superscript"/>
          <w:lang w:val="nl-NL"/>
        </w:rPr>
        <w:t>e</w:t>
      </w:r>
      <w:r w:rsidRPr="0086280A">
        <w:rPr>
          <w:sz w:val="16"/>
          <w:szCs w:val="16"/>
          <w:lang w:val="nl-NL"/>
        </w:rPr>
        <w:t xml:space="preserve"> k.) 10 december 2015, nr. 216.760, </w:t>
      </w:r>
      <w:r w:rsidRPr="0086280A">
        <w:rPr>
          <w:i/>
          <w:iCs/>
          <w:sz w:val="16"/>
          <w:szCs w:val="16"/>
          <w:lang w:val="nl-NL"/>
        </w:rPr>
        <w:t>APT</w:t>
      </w:r>
      <w:r w:rsidRPr="0086280A">
        <w:rPr>
          <w:sz w:val="16"/>
          <w:szCs w:val="16"/>
          <w:lang w:val="nl-NL"/>
        </w:rPr>
        <w:t xml:space="preserve"> 2016, </w:t>
      </w:r>
      <w:r w:rsidRPr="0086280A">
        <w:rPr>
          <w:i/>
          <w:iCs/>
          <w:sz w:val="16"/>
          <w:szCs w:val="16"/>
          <w:lang w:val="nl-NL"/>
        </w:rPr>
        <w:t>Mundiete t. Belgische Staat</w:t>
      </w:r>
      <w:r w:rsidRPr="0086280A">
        <w:rPr>
          <w:sz w:val="16"/>
          <w:szCs w:val="16"/>
          <w:lang w:val="nl-NL"/>
        </w:rPr>
        <w:t xml:space="preserve"> (hier werd geoordeeld dat de artikelen 3, 8 en 20 van het IVRK geen directe werking hebben); P. SENAEVE en P. LEMMENS, </w:t>
      </w:r>
      <w:r w:rsidRPr="0086280A">
        <w:rPr>
          <w:i/>
          <w:iCs/>
          <w:sz w:val="16"/>
          <w:szCs w:val="16"/>
          <w:lang w:val="nl-NL"/>
        </w:rPr>
        <w:t>De betekenis van de mensenrechten voor het personen-en familierecht</w:t>
      </w:r>
      <w:r w:rsidRPr="0086280A">
        <w:rPr>
          <w:sz w:val="16"/>
          <w:szCs w:val="16"/>
          <w:lang w:val="nl-NL"/>
        </w:rPr>
        <w:t>, Antwerpen, Intersentia, 2003, 110;</w:t>
      </w:r>
      <w:r w:rsidR="00B82753" w:rsidRPr="00B82753">
        <w:rPr>
          <w:sz w:val="16"/>
          <w:szCs w:val="16"/>
          <w:lang w:val="nl-NL"/>
        </w:rPr>
        <w:t xml:space="preserve"> </w:t>
      </w:r>
      <w:r w:rsidR="00B82753" w:rsidRPr="0086280A">
        <w:rPr>
          <w:sz w:val="16"/>
          <w:szCs w:val="16"/>
          <w:lang w:val="nl-NL"/>
        </w:rPr>
        <w:t xml:space="preserve">W. VANDENHOLE, “Belgium” in T. LIEFAARD en J.E. DOEK (eds.), </w:t>
      </w:r>
      <w:r w:rsidR="00B82753" w:rsidRPr="0086280A">
        <w:rPr>
          <w:i/>
          <w:iCs/>
          <w:sz w:val="16"/>
          <w:szCs w:val="16"/>
          <w:lang w:val="nl-NL"/>
        </w:rPr>
        <w:t>Litigating the rights of the child, the UN Convention on the rights of the child in domestic and international jurisprudence</w:t>
      </w:r>
      <w:r w:rsidR="00B82753" w:rsidRPr="0086280A">
        <w:rPr>
          <w:sz w:val="16"/>
          <w:szCs w:val="16"/>
          <w:lang w:val="nl-NL"/>
        </w:rPr>
        <w:t>, Dordrecht, Springer, 2015, 106 en 111</w:t>
      </w:r>
      <w:r w:rsidR="00B82753">
        <w:rPr>
          <w:sz w:val="16"/>
          <w:szCs w:val="16"/>
          <w:lang w:val="nl-NL"/>
        </w:rPr>
        <w:t>;</w:t>
      </w:r>
      <w:r w:rsidRPr="0086280A">
        <w:rPr>
          <w:sz w:val="16"/>
          <w:szCs w:val="16"/>
          <w:lang w:val="nl-NL"/>
        </w:rPr>
        <w:t xml:space="preserve"> T. LIEFAARD en J.E. DOEK, “Kinderrechten in de rechtspraak: een internationaal perspectief”, </w:t>
      </w:r>
      <w:r w:rsidRPr="0086280A">
        <w:rPr>
          <w:i/>
          <w:iCs/>
          <w:sz w:val="16"/>
          <w:szCs w:val="16"/>
          <w:lang w:val="nl-NL"/>
        </w:rPr>
        <w:t>FJR</w:t>
      </w:r>
      <w:r w:rsidRPr="0086280A">
        <w:rPr>
          <w:sz w:val="16"/>
          <w:szCs w:val="16"/>
          <w:lang w:val="nl-NL"/>
        </w:rPr>
        <w:t xml:space="preserve"> 2015, afl. 20, </w:t>
      </w:r>
      <w:r w:rsidR="002073E7">
        <w:rPr>
          <w:sz w:val="16"/>
          <w:szCs w:val="16"/>
          <w:lang w:val="nl-NL"/>
        </w:rPr>
        <w:t xml:space="preserve">(82) </w:t>
      </w:r>
      <w:r w:rsidRPr="0086280A">
        <w:rPr>
          <w:sz w:val="16"/>
          <w:szCs w:val="16"/>
          <w:lang w:val="nl-NL"/>
        </w:rPr>
        <w:t>82-83.</w:t>
      </w:r>
    </w:p>
  </w:footnote>
  <w:footnote w:id="68">
    <w:p w14:paraId="2D8BD0E1" w14:textId="0CACC6C1" w:rsidR="00D25159" w:rsidRPr="0086280A" w:rsidRDefault="00D25159" w:rsidP="00D25159">
      <w:pPr>
        <w:pStyle w:val="Voetnoottekst"/>
        <w:jc w:val="both"/>
        <w:rPr>
          <w:i/>
          <w:iCs/>
          <w:sz w:val="16"/>
          <w:szCs w:val="16"/>
          <w:lang w:val="nl-NL"/>
        </w:rPr>
      </w:pPr>
      <w:r w:rsidRPr="0086280A">
        <w:rPr>
          <w:rStyle w:val="Voetnootmarkering"/>
          <w:sz w:val="16"/>
          <w:szCs w:val="16"/>
          <w:lang w:val="nl-NL"/>
        </w:rPr>
        <w:footnoteRef/>
      </w:r>
      <w:r w:rsidRPr="0086280A">
        <w:rPr>
          <w:sz w:val="16"/>
          <w:szCs w:val="16"/>
          <w:lang w:val="nl-NL"/>
        </w:rPr>
        <w:t xml:space="preserve"> </w:t>
      </w:r>
      <w:r w:rsidRPr="0086280A">
        <w:rPr>
          <w:i/>
          <w:iCs/>
          <w:sz w:val="16"/>
          <w:szCs w:val="16"/>
          <w:lang w:val="nl-NL"/>
        </w:rPr>
        <w:t>Ibid.</w:t>
      </w:r>
    </w:p>
  </w:footnote>
  <w:footnote w:id="69">
    <w:p w14:paraId="2E427940" w14:textId="4050A07D"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In essentie zegt deze MvT het volgende: “Uiteindelijk bepaalt de Nederlandse rechter of een (…) bepaling rechtstreekse werking heeft of niet. De nationale wetgever kan natuurlijk wel de helpende hand in deze bieden en aanwijzingen geven”. Dit is bijvoorbeeld het geval voor art. 5, art. 9.2-9.4 en art. 12.1-2 IVRK; Kamerstukken II 1992/93, 22 855 (R 1451), nr. 3, 8; G.J.W. PULLES en L.C.J.M. WÖRST, “Doorwerking van het IVRK: de wetgever geeft het voorbeeld”, </w:t>
      </w:r>
      <w:r w:rsidRPr="0086280A">
        <w:rPr>
          <w:i/>
          <w:iCs/>
          <w:sz w:val="16"/>
          <w:szCs w:val="16"/>
          <w:lang w:val="nl-NL"/>
        </w:rPr>
        <w:t>FJR</w:t>
      </w:r>
      <w:r w:rsidRPr="0086280A">
        <w:rPr>
          <w:sz w:val="16"/>
          <w:szCs w:val="16"/>
          <w:lang w:val="nl-NL"/>
        </w:rPr>
        <w:t xml:space="preserve"> 2012, afl. 7, </w:t>
      </w:r>
      <w:r w:rsidR="002073E7">
        <w:rPr>
          <w:sz w:val="16"/>
          <w:szCs w:val="16"/>
          <w:lang w:val="nl-NL"/>
        </w:rPr>
        <w:t xml:space="preserve">(184) </w:t>
      </w:r>
      <w:r w:rsidRPr="0086280A">
        <w:rPr>
          <w:sz w:val="16"/>
          <w:szCs w:val="16"/>
          <w:lang w:val="nl-NL"/>
        </w:rPr>
        <w:t>18</w:t>
      </w:r>
      <w:r w:rsidR="002073E7">
        <w:rPr>
          <w:sz w:val="16"/>
          <w:szCs w:val="16"/>
          <w:lang w:val="nl-NL"/>
        </w:rPr>
        <w:t>5</w:t>
      </w:r>
      <w:r w:rsidRPr="0086280A">
        <w:rPr>
          <w:sz w:val="16"/>
          <w:szCs w:val="16"/>
          <w:lang w:val="nl-NL"/>
        </w:rPr>
        <w:t>-189.</w:t>
      </w:r>
    </w:p>
  </w:footnote>
  <w:footnote w:id="70">
    <w:p w14:paraId="619AE14F" w14:textId="5EE12812"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t>
      </w:r>
      <w:r w:rsidR="00D25159" w:rsidRPr="0086280A">
        <w:rPr>
          <w:sz w:val="16"/>
          <w:szCs w:val="16"/>
          <w:lang w:val="nl-NL"/>
        </w:rPr>
        <w:t xml:space="preserve">Hierbij gaat het om de aard, de inhoud, de strekking, de formulering van de bepaling in kwestie en de bedoeling van partijen; </w:t>
      </w:r>
      <w:r w:rsidRPr="0086280A">
        <w:rPr>
          <w:sz w:val="16"/>
          <w:szCs w:val="16"/>
          <w:lang w:val="nl-NL"/>
        </w:rPr>
        <w:t xml:space="preserve">M. VAN EMMERIK, “Toepassing van het kinderrechtenverdrag in de Nederlandse rechtspraak”, </w:t>
      </w:r>
      <w:r w:rsidRPr="0086280A">
        <w:rPr>
          <w:i/>
          <w:iCs/>
          <w:sz w:val="16"/>
          <w:szCs w:val="16"/>
          <w:lang w:val="nl-NL"/>
        </w:rPr>
        <w:t>NJCM-Bulletin</w:t>
      </w:r>
      <w:r w:rsidRPr="0086280A">
        <w:rPr>
          <w:sz w:val="16"/>
          <w:szCs w:val="16"/>
          <w:lang w:val="nl-NL"/>
        </w:rPr>
        <w:t xml:space="preserve"> 2005, nr. 6, </w:t>
      </w:r>
      <w:r w:rsidR="002073E7">
        <w:rPr>
          <w:sz w:val="16"/>
          <w:szCs w:val="16"/>
          <w:lang w:val="nl-NL"/>
        </w:rPr>
        <w:t xml:space="preserve">(700) </w:t>
      </w:r>
      <w:r w:rsidRPr="0086280A">
        <w:rPr>
          <w:sz w:val="16"/>
          <w:szCs w:val="16"/>
          <w:lang w:val="nl-NL"/>
        </w:rPr>
        <w:t>705.</w:t>
      </w:r>
    </w:p>
  </w:footnote>
  <w:footnote w:id="71">
    <w:p w14:paraId="6AD4A310" w14:textId="5ED65DB9"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Kamerstukken II 1992/93, 22 855 (R 1451), nr. 3, 9; </w:t>
      </w:r>
      <w:r w:rsidR="00806319" w:rsidRPr="0086280A">
        <w:rPr>
          <w:sz w:val="16"/>
          <w:szCs w:val="16"/>
          <w:lang w:val="nl-NL"/>
        </w:rPr>
        <w:t xml:space="preserve">Volgens ALEN en PAS is er directe werking voor de artikelen 3, 9 en 12 IVRK: A. ALEN en W. PAS, “The UN Convention on the Rights of the Child’s Self-executing Character” in E. VERHELLEN (ed.), </w:t>
      </w:r>
      <w:r w:rsidR="00806319" w:rsidRPr="0086280A">
        <w:rPr>
          <w:i/>
          <w:iCs/>
          <w:sz w:val="16"/>
          <w:szCs w:val="16"/>
          <w:lang w:val="nl-NL"/>
        </w:rPr>
        <w:t xml:space="preserve">Monitoring Children’s Rights, </w:t>
      </w:r>
      <w:r w:rsidR="00806319" w:rsidRPr="0086280A">
        <w:rPr>
          <w:sz w:val="16"/>
          <w:szCs w:val="16"/>
          <w:lang w:val="nl-NL"/>
        </w:rPr>
        <w:t>den Haag, Martinus Nijhoff Publishers 1996, 165-186</w:t>
      </w:r>
      <w:r w:rsidR="00806319">
        <w:rPr>
          <w:sz w:val="16"/>
          <w:szCs w:val="16"/>
          <w:lang w:val="nl-NL"/>
        </w:rPr>
        <w:t xml:space="preserve">; </w:t>
      </w:r>
      <w:r w:rsidR="00806319" w:rsidRPr="0086280A">
        <w:rPr>
          <w:sz w:val="16"/>
          <w:szCs w:val="16"/>
          <w:lang w:val="nl-NL"/>
        </w:rPr>
        <w:t xml:space="preserve">G.J. PULLES, </w:t>
      </w:r>
      <w:r w:rsidR="00806319" w:rsidRPr="0086280A">
        <w:rPr>
          <w:i/>
          <w:iCs/>
          <w:sz w:val="16"/>
          <w:szCs w:val="16"/>
          <w:lang w:val="nl-NL"/>
        </w:rPr>
        <w:t>Vijfentwintig jaar IVRK en de Nederlandse Rechter. Beschouwingen over de toepassing van het Internationale Verdrag voor de Rechten van het Kind</w:t>
      </w:r>
      <w:r w:rsidR="00806319" w:rsidRPr="0086280A">
        <w:rPr>
          <w:sz w:val="16"/>
          <w:szCs w:val="16"/>
          <w:lang w:val="nl-NL"/>
        </w:rPr>
        <w:t>, Oisterwijk, Wolf Legal Publishers, 2014, 63-64</w:t>
      </w:r>
      <w:r w:rsidR="00806319">
        <w:rPr>
          <w:sz w:val="16"/>
          <w:szCs w:val="16"/>
          <w:lang w:val="nl-NL"/>
        </w:rPr>
        <w:t xml:space="preserve">; </w:t>
      </w:r>
      <w:r w:rsidR="00806319" w:rsidRPr="0086280A">
        <w:rPr>
          <w:sz w:val="16"/>
          <w:szCs w:val="16"/>
          <w:lang w:val="nl-NL"/>
        </w:rPr>
        <w:t xml:space="preserve">G.C.A.M. RUITENBERG, “De uitdaging van het kinderrechtenverdrag voor de Nederlandse rechtspraak”, </w:t>
      </w:r>
      <w:r w:rsidR="00806319" w:rsidRPr="0086280A">
        <w:rPr>
          <w:i/>
          <w:iCs/>
          <w:sz w:val="16"/>
          <w:szCs w:val="16"/>
          <w:lang w:val="nl-NL"/>
        </w:rPr>
        <w:t>FJR</w:t>
      </w:r>
      <w:r w:rsidR="00806319" w:rsidRPr="0086280A">
        <w:rPr>
          <w:sz w:val="16"/>
          <w:szCs w:val="16"/>
          <w:lang w:val="nl-NL"/>
        </w:rPr>
        <w:t xml:space="preserve"> 2004, </w:t>
      </w:r>
      <w:r w:rsidR="002073E7">
        <w:rPr>
          <w:sz w:val="16"/>
          <w:szCs w:val="16"/>
          <w:lang w:val="nl-NL"/>
        </w:rPr>
        <w:t xml:space="preserve">(30) </w:t>
      </w:r>
      <w:r w:rsidR="00806319" w:rsidRPr="0086280A">
        <w:rPr>
          <w:sz w:val="16"/>
          <w:szCs w:val="16"/>
          <w:lang w:val="nl-NL"/>
        </w:rPr>
        <w:t>30-35</w:t>
      </w:r>
      <w:r w:rsidR="00806319">
        <w:rPr>
          <w:sz w:val="16"/>
          <w:szCs w:val="16"/>
          <w:lang w:val="nl-NL"/>
        </w:rPr>
        <w:t xml:space="preserve">; </w:t>
      </w:r>
      <w:r w:rsidR="00806319" w:rsidRPr="0086280A">
        <w:rPr>
          <w:sz w:val="16"/>
          <w:szCs w:val="16"/>
          <w:lang w:val="nl-NL"/>
        </w:rPr>
        <w:t xml:space="preserve">M. VAN EMMERIK “Toepassing van het kinderrechtenverdrag in de Nederlandse rechtspraak”, </w:t>
      </w:r>
      <w:r w:rsidR="00806319" w:rsidRPr="0086280A">
        <w:rPr>
          <w:i/>
          <w:iCs/>
          <w:sz w:val="16"/>
          <w:szCs w:val="16"/>
          <w:lang w:val="nl-NL"/>
        </w:rPr>
        <w:t>NJCM-Bulletin</w:t>
      </w:r>
      <w:r w:rsidR="00806319" w:rsidRPr="0086280A">
        <w:rPr>
          <w:sz w:val="16"/>
          <w:szCs w:val="16"/>
          <w:lang w:val="nl-NL"/>
        </w:rPr>
        <w:t xml:space="preserve"> 2005, nr. 6, </w:t>
      </w:r>
      <w:r w:rsidR="002073E7">
        <w:rPr>
          <w:sz w:val="16"/>
          <w:szCs w:val="16"/>
          <w:lang w:val="nl-NL"/>
        </w:rPr>
        <w:t xml:space="preserve">(700) </w:t>
      </w:r>
      <w:r w:rsidR="00806319" w:rsidRPr="0086280A">
        <w:rPr>
          <w:sz w:val="16"/>
          <w:szCs w:val="16"/>
          <w:lang w:val="nl-NL"/>
        </w:rPr>
        <w:t>705-716</w:t>
      </w:r>
      <w:r w:rsidR="00806319">
        <w:rPr>
          <w:sz w:val="16"/>
          <w:szCs w:val="16"/>
          <w:lang w:val="nl-NL"/>
        </w:rPr>
        <w:t xml:space="preserve">; </w:t>
      </w:r>
      <w:r w:rsidRPr="0086280A">
        <w:rPr>
          <w:sz w:val="16"/>
          <w:szCs w:val="16"/>
          <w:lang w:val="nl-NL"/>
        </w:rPr>
        <w:t xml:space="preserve">G.J.W. PULLES, “Onduidelijkheid over de rechtstreekse werking van kernbepalingen van het VN-kinderrechtenverdrag”, </w:t>
      </w:r>
      <w:r w:rsidRPr="0086280A">
        <w:rPr>
          <w:i/>
          <w:iCs/>
          <w:sz w:val="16"/>
          <w:szCs w:val="16"/>
          <w:lang w:val="nl-NL"/>
        </w:rPr>
        <w:t>NJB</w:t>
      </w:r>
      <w:r w:rsidRPr="0086280A">
        <w:rPr>
          <w:sz w:val="16"/>
          <w:szCs w:val="16"/>
          <w:lang w:val="nl-NL"/>
        </w:rPr>
        <w:t xml:space="preserve"> 2011, afl. 4, </w:t>
      </w:r>
      <w:r w:rsidR="002073E7">
        <w:rPr>
          <w:sz w:val="16"/>
          <w:szCs w:val="16"/>
          <w:lang w:val="nl-NL"/>
        </w:rPr>
        <w:t xml:space="preserve">(231) </w:t>
      </w:r>
      <w:r w:rsidRPr="0086280A">
        <w:rPr>
          <w:sz w:val="16"/>
          <w:szCs w:val="16"/>
          <w:lang w:val="nl-NL"/>
        </w:rPr>
        <w:t>23</w:t>
      </w:r>
      <w:r w:rsidR="002073E7">
        <w:rPr>
          <w:sz w:val="16"/>
          <w:szCs w:val="16"/>
          <w:lang w:val="nl-NL"/>
        </w:rPr>
        <w:t>2</w:t>
      </w:r>
      <w:r w:rsidRPr="0086280A">
        <w:rPr>
          <w:sz w:val="16"/>
          <w:szCs w:val="16"/>
          <w:lang w:val="nl-NL"/>
        </w:rPr>
        <w:t>-324</w:t>
      </w:r>
      <w:r w:rsidR="00806319">
        <w:rPr>
          <w:sz w:val="16"/>
          <w:szCs w:val="16"/>
          <w:lang w:val="nl-NL"/>
        </w:rPr>
        <w:t>.</w:t>
      </w:r>
    </w:p>
  </w:footnote>
  <w:footnote w:id="72">
    <w:p w14:paraId="671E09BF" w14:textId="77849416"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J. WOUTERS, </w:t>
      </w:r>
      <w:r w:rsidRPr="0086280A">
        <w:rPr>
          <w:i/>
          <w:iCs/>
          <w:sz w:val="16"/>
          <w:szCs w:val="16"/>
          <w:lang w:val="nl-NL"/>
        </w:rPr>
        <w:t>Internationaal recht in kort bestek (derde editie)</w:t>
      </w:r>
      <w:r w:rsidRPr="0086280A">
        <w:rPr>
          <w:sz w:val="16"/>
          <w:szCs w:val="16"/>
          <w:lang w:val="nl-NL"/>
        </w:rPr>
        <w:t>, Antwerpen, Intersentia, 2020, 90 en 100.</w:t>
      </w:r>
    </w:p>
  </w:footnote>
  <w:footnote w:id="73">
    <w:p w14:paraId="38914A73" w14:textId="22EC3D78"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Gesetz zu dem Übereinkommen vom 20 november 1989 über die Rechte des Kindes van 17 februari 1992, </w:t>
      </w:r>
      <w:r w:rsidRPr="0086280A">
        <w:rPr>
          <w:i/>
          <w:sz w:val="16"/>
          <w:szCs w:val="16"/>
          <w:lang w:val="nl-NL"/>
        </w:rPr>
        <w:t>BGBI</w:t>
      </w:r>
      <w:r w:rsidRPr="0086280A">
        <w:rPr>
          <w:sz w:val="16"/>
          <w:szCs w:val="16"/>
          <w:lang w:val="nl-NL"/>
        </w:rPr>
        <w:t xml:space="preserve"> 21 februari 1992.</w:t>
      </w:r>
    </w:p>
  </w:footnote>
  <w:footnote w:id="74">
    <w:p w14:paraId="1D6B625A" w14:textId="3DEC9FA9"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E. KLEIN, “Germany” in J. GERARDS en J. FLEUREN (eds.), </w:t>
      </w:r>
      <w:r w:rsidRPr="004F6728">
        <w:rPr>
          <w:i/>
          <w:iCs/>
          <w:sz w:val="16"/>
          <w:szCs w:val="16"/>
          <w:lang w:val="en-US"/>
        </w:rPr>
        <w:t>Implementation of the European Convention on Human Rights and of the judgments of the ECtHR in national case-law</w:t>
      </w:r>
      <w:r w:rsidRPr="004F6728">
        <w:rPr>
          <w:sz w:val="16"/>
          <w:szCs w:val="16"/>
          <w:lang w:val="en-US"/>
        </w:rPr>
        <w:t xml:space="preserve">, </w:t>
      </w:r>
      <w:proofErr w:type="spellStart"/>
      <w:r w:rsidRPr="004F6728">
        <w:rPr>
          <w:sz w:val="16"/>
          <w:szCs w:val="16"/>
          <w:lang w:val="en-US"/>
        </w:rPr>
        <w:t>Antwerpen</w:t>
      </w:r>
      <w:proofErr w:type="spellEnd"/>
      <w:r w:rsidRPr="004F6728">
        <w:rPr>
          <w:sz w:val="16"/>
          <w:szCs w:val="16"/>
          <w:lang w:val="en-US"/>
        </w:rPr>
        <w:t>, Intersentia, 2014, 185-188.</w:t>
      </w:r>
    </w:p>
  </w:footnote>
  <w:footnote w:id="75">
    <w:p w14:paraId="26247FC3" w14:textId="465FD907"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 SCHLU</w:t>
      </w:r>
      <w:r w:rsidRPr="0086280A">
        <w:rPr>
          <w:rFonts w:ascii="Arial" w:hAnsi="Arial" w:cs="Arial"/>
          <w:sz w:val="16"/>
          <w:szCs w:val="16"/>
          <w:lang w:val="nl-NL"/>
        </w:rPr>
        <w:t>̈</w:t>
      </w:r>
      <w:r w:rsidRPr="0086280A">
        <w:rPr>
          <w:sz w:val="16"/>
          <w:szCs w:val="16"/>
          <w:lang w:val="nl-NL"/>
        </w:rPr>
        <w:t xml:space="preserve">TER, </w:t>
      </w:r>
      <w:r w:rsidRPr="0086280A">
        <w:rPr>
          <w:i/>
          <w:iCs/>
          <w:sz w:val="16"/>
          <w:szCs w:val="16"/>
          <w:lang w:val="nl-NL"/>
        </w:rPr>
        <w:t>BGB – Familienrecht</w:t>
      </w:r>
      <w:r w:rsidRPr="0086280A">
        <w:rPr>
          <w:sz w:val="16"/>
          <w:szCs w:val="16"/>
          <w:lang w:val="nl-NL"/>
        </w:rPr>
        <w:t>, Heidelberg, C.F. Mu</w:t>
      </w:r>
      <w:r w:rsidRPr="0086280A">
        <w:rPr>
          <w:rFonts w:ascii="Arial" w:hAnsi="Arial" w:cs="Arial"/>
          <w:sz w:val="16"/>
          <w:szCs w:val="16"/>
          <w:lang w:val="nl-NL"/>
        </w:rPr>
        <w:t>̈</w:t>
      </w:r>
      <w:r w:rsidRPr="0086280A">
        <w:rPr>
          <w:sz w:val="16"/>
          <w:szCs w:val="16"/>
          <w:lang w:val="nl-NL"/>
        </w:rPr>
        <w:t>ller Verlag, 2009, 276-277.</w:t>
      </w:r>
    </w:p>
  </w:footnote>
  <w:footnote w:id="76">
    <w:p w14:paraId="1DD15B3E" w14:textId="7EF9F74B"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I. BANTEKAS en L. OETTE, </w:t>
      </w:r>
      <w:r w:rsidRPr="004F6728">
        <w:rPr>
          <w:i/>
          <w:iCs/>
          <w:sz w:val="16"/>
          <w:szCs w:val="16"/>
          <w:lang w:val="en-US"/>
        </w:rPr>
        <w:t>International Human Rights Law and Practice</w:t>
      </w:r>
      <w:r w:rsidRPr="004F6728">
        <w:rPr>
          <w:sz w:val="16"/>
          <w:szCs w:val="16"/>
          <w:lang w:val="en-US"/>
        </w:rPr>
        <w:t>, Cambridge, Cambridge University Press, third edition, 2022, 544-545.</w:t>
      </w:r>
    </w:p>
  </w:footnote>
  <w:footnote w:id="77">
    <w:p w14:paraId="2A6E8660" w14:textId="5E2BBF6F"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Artikel 5 IVRK; T. WUYTS, </w:t>
      </w:r>
      <w:r w:rsidRPr="0086280A">
        <w:rPr>
          <w:i/>
          <w:sz w:val="16"/>
          <w:szCs w:val="16"/>
          <w:lang w:val="nl-NL"/>
        </w:rPr>
        <w:t>Ouderlijk gezag</w:t>
      </w:r>
      <w:r w:rsidRPr="0086280A">
        <w:rPr>
          <w:sz w:val="16"/>
          <w:szCs w:val="16"/>
          <w:lang w:val="nl-NL"/>
        </w:rPr>
        <w:t>, Antwerpen, Intersentia, 2013, 614.</w:t>
      </w:r>
    </w:p>
  </w:footnote>
  <w:footnote w:id="78">
    <w:p w14:paraId="6B43A8C6" w14:textId="38C161E6"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General Comment no. 7 of the UN Committee on the Rights of the Child on implementing child rights in early childhood, 20 september 2006, CRC/C/GC/7/Rev.1, §17: “Evolving capacities should be seen as positive and enabling process, not an excuse for authoritarian practices that restrict children’s autonomy and self-expression and which have traditionally been justified by pointing to children’s relative immaturity and their need for socialization”; In </w:t>
      </w:r>
      <w:proofErr w:type="spellStart"/>
      <w:r w:rsidRPr="004F6728">
        <w:rPr>
          <w:sz w:val="16"/>
          <w:szCs w:val="16"/>
          <w:lang w:val="en-US"/>
        </w:rPr>
        <w:t>diezelfde</w:t>
      </w:r>
      <w:proofErr w:type="spellEnd"/>
      <w:r w:rsidRPr="004F6728">
        <w:rPr>
          <w:sz w:val="16"/>
          <w:szCs w:val="16"/>
          <w:lang w:val="en-US"/>
        </w:rPr>
        <w:t xml:space="preserve"> zin </w:t>
      </w:r>
      <w:proofErr w:type="spellStart"/>
      <w:r w:rsidRPr="004F6728">
        <w:rPr>
          <w:sz w:val="16"/>
          <w:szCs w:val="16"/>
          <w:lang w:val="en-US"/>
        </w:rPr>
        <w:t>geldt</w:t>
      </w:r>
      <w:proofErr w:type="spellEnd"/>
      <w:r w:rsidRPr="004F6728">
        <w:rPr>
          <w:sz w:val="16"/>
          <w:szCs w:val="16"/>
          <w:lang w:val="en-US"/>
        </w:rPr>
        <w:t xml:space="preserve"> </w:t>
      </w:r>
      <w:proofErr w:type="spellStart"/>
      <w:r w:rsidRPr="004F6728">
        <w:rPr>
          <w:sz w:val="16"/>
          <w:szCs w:val="16"/>
          <w:lang w:val="en-US"/>
        </w:rPr>
        <w:t>dit</w:t>
      </w:r>
      <w:proofErr w:type="spellEnd"/>
      <w:r w:rsidRPr="004F6728">
        <w:rPr>
          <w:sz w:val="16"/>
          <w:szCs w:val="16"/>
          <w:lang w:val="en-US"/>
        </w:rPr>
        <w:t xml:space="preserve"> </w:t>
      </w:r>
      <w:proofErr w:type="spellStart"/>
      <w:r w:rsidRPr="004F6728">
        <w:rPr>
          <w:sz w:val="16"/>
          <w:szCs w:val="16"/>
          <w:lang w:val="en-US"/>
        </w:rPr>
        <w:t>ook</w:t>
      </w:r>
      <w:proofErr w:type="spellEnd"/>
      <w:r w:rsidRPr="004F6728">
        <w:rPr>
          <w:sz w:val="16"/>
          <w:szCs w:val="16"/>
          <w:lang w:val="en-US"/>
        </w:rPr>
        <w:t xml:space="preserve"> </w:t>
      </w:r>
      <w:proofErr w:type="spellStart"/>
      <w:r w:rsidRPr="004F6728">
        <w:rPr>
          <w:sz w:val="16"/>
          <w:szCs w:val="16"/>
          <w:lang w:val="en-US"/>
        </w:rPr>
        <w:t>voor</w:t>
      </w:r>
      <w:proofErr w:type="spellEnd"/>
      <w:r w:rsidRPr="004F6728">
        <w:rPr>
          <w:sz w:val="16"/>
          <w:szCs w:val="16"/>
          <w:lang w:val="en-US"/>
        </w:rPr>
        <w:t xml:space="preserve"> </w:t>
      </w:r>
      <w:proofErr w:type="spellStart"/>
      <w:r w:rsidRPr="004F6728">
        <w:rPr>
          <w:sz w:val="16"/>
          <w:szCs w:val="16"/>
          <w:lang w:val="en-US"/>
        </w:rPr>
        <w:t>jongeren</w:t>
      </w:r>
      <w:proofErr w:type="spellEnd"/>
      <w:r w:rsidRPr="004F6728">
        <w:rPr>
          <w:sz w:val="16"/>
          <w:szCs w:val="16"/>
          <w:lang w:val="en-US"/>
        </w:rPr>
        <w:t xml:space="preserve"> en </w:t>
      </w:r>
      <w:proofErr w:type="spellStart"/>
      <w:r w:rsidRPr="004F6728">
        <w:rPr>
          <w:sz w:val="16"/>
          <w:szCs w:val="16"/>
          <w:lang w:val="en-US"/>
        </w:rPr>
        <w:t>adolescenten</w:t>
      </w:r>
      <w:proofErr w:type="spellEnd"/>
      <w:r w:rsidRPr="004F6728">
        <w:rPr>
          <w:sz w:val="16"/>
          <w:szCs w:val="16"/>
          <w:lang w:val="en-US"/>
        </w:rPr>
        <w:t xml:space="preserve"> tot de </w:t>
      </w:r>
      <w:proofErr w:type="spellStart"/>
      <w:r w:rsidRPr="004F6728">
        <w:rPr>
          <w:sz w:val="16"/>
          <w:szCs w:val="16"/>
          <w:lang w:val="en-US"/>
        </w:rPr>
        <w:t>leeftijd</w:t>
      </w:r>
      <w:proofErr w:type="spellEnd"/>
      <w:r w:rsidRPr="004F6728">
        <w:rPr>
          <w:sz w:val="16"/>
          <w:szCs w:val="16"/>
          <w:lang w:val="en-US"/>
        </w:rPr>
        <w:t xml:space="preserve"> van 18 </w:t>
      </w:r>
      <w:proofErr w:type="spellStart"/>
      <w:r w:rsidRPr="004F6728">
        <w:rPr>
          <w:sz w:val="16"/>
          <w:szCs w:val="16"/>
          <w:lang w:val="en-US"/>
        </w:rPr>
        <w:t>jaar</w:t>
      </w:r>
      <w:proofErr w:type="spellEnd"/>
      <w:r w:rsidRPr="004F6728">
        <w:rPr>
          <w:sz w:val="16"/>
          <w:szCs w:val="16"/>
          <w:lang w:val="en-US"/>
        </w:rPr>
        <w:t xml:space="preserve">. Zie: General Comment no. 4 of the UN Committee on the Rights of the Child on adolescent health and development in the context of the Convention on the Rights of the Child, 1 </w:t>
      </w:r>
      <w:proofErr w:type="spellStart"/>
      <w:r w:rsidRPr="004F6728">
        <w:rPr>
          <w:sz w:val="16"/>
          <w:szCs w:val="16"/>
          <w:lang w:val="en-US"/>
        </w:rPr>
        <w:t>Juli</w:t>
      </w:r>
      <w:proofErr w:type="spellEnd"/>
      <w:r w:rsidRPr="004F6728">
        <w:rPr>
          <w:sz w:val="16"/>
          <w:szCs w:val="16"/>
          <w:lang w:val="en-US"/>
        </w:rPr>
        <w:t xml:space="preserve"> 2003, CRC/GC/2003/4, preambule; S. VARADAN, “The Principle of Evolving Capacities under the UN Convention on the Rights of the Child”, </w:t>
      </w:r>
      <w:r w:rsidRPr="004F6728">
        <w:rPr>
          <w:i/>
          <w:iCs/>
          <w:sz w:val="16"/>
          <w:szCs w:val="16"/>
          <w:lang w:val="en-US"/>
        </w:rPr>
        <w:t>The International Journal of Children’s Rights</w:t>
      </w:r>
      <w:r w:rsidRPr="004F6728">
        <w:rPr>
          <w:sz w:val="16"/>
          <w:szCs w:val="16"/>
          <w:lang w:val="en-US"/>
        </w:rPr>
        <w:t xml:space="preserve"> 2019, vol. 27, </w:t>
      </w:r>
      <w:r w:rsidR="002073E7">
        <w:rPr>
          <w:sz w:val="16"/>
          <w:szCs w:val="16"/>
          <w:lang w:val="en-US"/>
        </w:rPr>
        <w:t xml:space="preserve">(306) </w:t>
      </w:r>
      <w:r w:rsidRPr="004F6728">
        <w:rPr>
          <w:sz w:val="16"/>
          <w:szCs w:val="16"/>
          <w:lang w:val="en-US"/>
        </w:rPr>
        <w:t>316-317.</w:t>
      </w:r>
    </w:p>
  </w:footnote>
  <w:footnote w:id="79">
    <w:p w14:paraId="1D678D4E" w14:textId="6E97110F"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w:t>
      </w:r>
      <w:r w:rsidRPr="004F6728">
        <w:rPr>
          <w:rFonts w:eastAsia="Verdana" w:cs="Verdana"/>
          <w:sz w:val="16"/>
          <w:szCs w:val="16"/>
          <w:lang w:val="en-US" w:eastAsia="nl-NL"/>
        </w:rPr>
        <w:t xml:space="preserve">UNICEF, “Implementation handbook for the Convention on the Rights of the Child”, 2007, </w:t>
      </w:r>
      <w:hyperlink r:id="rId16" w:history="1">
        <w:r w:rsidRPr="004F6728">
          <w:rPr>
            <w:rFonts w:eastAsia="Verdana" w:cs="Verdana"/>
            <w:color w:val="0563C1"/>
            <w:sz w:val="16"/>
            <w:szCs w:val="16"/>
            <w:u w:val="single"/>
            <w:lang w:val="en-US" w:eastAsia="nl-NL"/>
          </w:rPr>
          <w:t>www.unicef.org/lac/media/22071/file/Implementation%20Handbook%20for%20the%20CRC.pdf</w:t>
        </w:r>
      </w:hyperlink>
      <w:r w:rsidRPr="004F6728">
        <w:rPr>
          <w:rFonts w:eastAsia="Verdana" w:cs="Verdana"/>
          <w:sz w:val="16"/>
          <w:szCs w:val="16"/>
          <w:lang w:val="en-US"/>
        </w:rPr>
        <w:t xml:space="preserve">, 77 </w:t>
      </w:r>
      <w:r w:rsidRPr="004F6728">
        <w:rPr>
          <w:rFonts w:eastAsia="Verdana" w:cs="Verdana"/>
          <w:sz w:val="16"/>
          <w:szCs w:val="16"/>
          <w:lang w:val="en-US" w:eastAsia="nl-NL"/>
        </w:rPr>
        <w:t xml:space="preserve">(laatste consultatie </w:t>
      </w:r>
      <w:r w:rsidR="004D31FA" w:rsidRPr="004F6728">
        <w:rPr>
          <w:rFonts w:eastAsia="Verdana" w:cs="Verdana"/>
          <w:sz w:val="16"/>
          <w:szCs w:val="16"/>
          <w:lang w:val="en-US"/>
        </w:rPr>
        <w:t>13</w:t>
      </w:r>
      <w:r w:rsidRPr="004F6728">
        <w:rPr>
          <w:rFonts w:eastAsia="Verdana" w:cs="Verdana"/>
          <w:sz w:val="16"/>
          <w:szCs w:val="16"/>
          <w:lang w:val="en-US" w:eastAsia="nl-NL"/>
        </w:rPr>
        <w:t>.</w:t>
      </w:r>
      <w:r w:rsidRPr="004F6728">
        <w:rPr>
          <w:rFonts w:eastAsia="Verdana" w:cs="Verdana"/>
          <w:sz w:val="16"/>
          <w:szCs w:val="16"/>
          <w:lang w:val="en-US"/>
        </w:rPr>
        <w:t>0</w:t>
      </w:r>
      <w:r w:rsidR="004D31FA" w:rsidRPr="004F6728">
        <w:rPr>
          <w:rFonts w:eastAsia="Verdana" w:cs="Verdana"/>
          <w:sz w:val="16"/>
          <w:szCs w:val="16"/>
          <w:lang w:val="en-US"/>
        </w:rPr>
        <w:t>5</w:t>
      </w:r>
      <w:r w:rsidRPr="004F6728">
        <w:rPr>
          <w:rFonts w:eastAsia="Verdana" w:cs="Verdana"/>
          <w:sz w:val="16"/>
          <w:szCs w:val="16"/>
          <w:lang w:val="en-US" w:eastAsia="nl-NL"/>
        </w:rPr>
        <w:t>.</w:t>
      </w:r>
      <w:r w:rsidRPr="004F6728">
        <w:rPr>
          <w:rFonts w:eastAsia="Verdana" w:cs="Verdana"/>
          <w:sz w:val="16"/>
          <w:szCs w:val="16"/>
          <w:lang w:val="en-US"/>
        </w:rPr>
        <w:t>2023</w:t>
      </w:r>
      <w:r w:rsidRPr="004F6728">
        <w:rPr>
          <w:rFonts w:eastAsia="Verdana" w:cs="Verdana"/>
          <w:sz w:val="16"/>
          <w:szCs w:val="16"/>
          <w:lang w:val="en-US" w:eastAsia="nl-NL"/>
        </w:rPr>
        <w:t>).</w:t>
      </w:r>
    </w:p>
  </w:footnote>
  <w:footnote w:id="80">
    <w:p w14:paraId="76625374" w14:textId="3A106794"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86280A">
        <w:rPr>
          <w:sz w:val="16"/>
          <w:szCs w:val="16"/>
          <w:lang w:val="nl-NL"/>
        </w:rPr>
        <w:t xml:space="preserve"> E. VERHELLEN, “Het Verdrag inzake de rechten van het kind meerderjarig. </w:t>
      </w:r>
      <w:proofErr w:type="spellStart"/>
      <w:r w:rsidRPr="004F6728">
        <w:rPr>
          <w:sz w:val="16"/>
          <w:szCs w:val="16"/>
          <w:lang w:val="en-US"/>
        </w:rPr>
        <w:t>Enkele</w:t>
      </w:r>
      <w:proofErr w:type="spellEnd"/>
      <w:r w:rsidRPr="004F6728">
        <w:rPr>
          <w:sz w:val="16"/>
          <w:szCs w:val="16"/>
          <w:lang w:val="en-US"/>
        </w:rPr>
        <w:t xml:space="preserve"> </w:t>
      </w:r>
      <w:proofErr w:type="spellStart"/>
      <w:r w:rsidRPr="004F6728">
        <w:rPr>
          <w:sz w:val="16"/>
          <w:szCs w:val="16"/>
          <w:lang w:val="en-US"/>
        </w:rPr>
        <w:t>beschouwingen</w:t>
      </w:r>
      <w:proofErr w:type="spellEnd"/>
      <w:r w:rsidRPr="004F6728">
        <w:rPr>
          <w:sz w:val="16"/>
          <w:szCs w:val="16"/>
          <w:lang w:val="en-US"/>
        </w:rPr>
        <w:t xml:space="preserve"> over de </w:t>
      </w:r>
      <w:proofErr w:type="spellStart"/>
      <w:r w:rsidRPr="004F6728">
        <w:rPr>
          <w:sz w:val="16"/>
          <w:szCs w:val="16"/>
          <w:lang w:val="en-US"/>
        </w:rPr>
        <w:t>implementatie</w:t>
      </w:r>
      <w:proofErr w:type="spellEnd"/>
      <w:r w:rsidRPr="004F6728">
        <w:rPr>
          <w:sz w:val="16"/>
          <w:szCs w:val="16"/>
          <w:lang w:val="en-US"/>
        </w:rPr>
        <w:t xml:space="preserve"> in </w:t>
      </w:r>
      <w:proofErr w:type="spellStart"/>
      <w:r w:rsidRPr="004F6728">
        <w:rPr>
          <w:sz w:val="16"/>
          <w:szCs w:val="16"/>
          <w:lang w:val="en-US"/>
        </w:rPr>
        <w:t>België</w:t>
      </w:r>
      <w:proofErr w:type="spellEnd"/>
      <w:r w:rsidRPr="004F6728">
        <w:rPr>
          <w:sz w:val="16"/>
          <w:szCs w:val="16"/>
          <w:lang w:val="en-US"/>
        </w:rPr>
        <w:t xml:space="preserve">”, </w:t>
      </w:r>
      <w:r w:rsidRPr="004F6728">
        <w:rPr>
          <w:i/>
          <w:sz w:val="16"/>
          <w:szCs w:val="16"/>
          <w:lang w:val="en-US"/>
        </w:rPr>
        <w:t>TJK</w:t>
      </w:r>
      <w:r w:rsidRPr="004F6728">
        <w:rPr>
          <w:sz w:val="16"/>
          <w:szCs w:val="16"/>
          <w:lang w:val="en-US"/>
        </w:rPr>
        <w:t xml:space="preserve"> 2008, </w:t>
      </w:r>
      <w:proofErr w:type="spellStart"/>
      <w:r w:rsidRPr="004F6728">
        <w:rPr>
          <w:sz w:val="16"/>
          <w:szCs w:val="16"/>
          <w:lang w:val="en-US"/>
        </w:rPr>
        <w:t>afl</w:t>
      </w:r>
      <w:proofErr w:type="spellEnd"/>
      <w:r w:rsidRPr="004F6728">
        <w:rPr>
          <w:sz w:val="16"/>
          <w:szCs w:val="16"/>
          <w:lang w:val="en-US"/>
        </w:rPr>
        <w:t xml:space="preserve">. 1, </w:t>
      </w:r>
      <w:r w:rsidR="001A149B">
        <w:rPr>
          <w:sz w:val="16"/>
          <w:szCs w:val="16"/>
          <w:lang w:val="en-US"/>
        </w:rPr>
        <w:t xml:space="preserve">(11) </w:t>
      </w:r>
      <w:r w:rsidRPr="004F6728">
        <w:rPr>
          <w:sz w:val="16"/>
          <w:szCs w:val="16"/>
          <w:lang w:val="en-US"/>
        </w:rPr>
        <w:t xml:space="preserve">13; L. </w:t>
      </w:r>
      <w:r w:rsidRPr="004F6728">
        <w:rPr>
          <w:rFonts w:eastAsia="Verdana" w:cs="Verdana"/>
          <w:sz w:val="16"/>
          <w:szCs w:val="16"/>
          <w:lang w:val="en-US"/>
        </w:rPr>
        <w:t xml:space="preserve">FERGUSON, “Not merely rights for children but children’s rights: The theory gap and the assumption of the importance of children’s rights”, </w:t>
      </w:r>
      <w:r w:rsidRPr="004F6728">
        <w:rPr>
          <w:rFonts w:eastAsia="Verdana" w:cs="Verdana"/>
          <w:i/>
          <w:sz w:val="16"/>
          <w:szCs w:val="16"/>
          <w:lang w:val="en-US"/>
        </w:rPr>
        <w:t>The International Journal of Children’s Rights</w:t>
      </w:r>
      <w:r w:rsidRPr="004F6728">
        <w:rPr>
          <w:rFonts w:eastAsia="Verdana" w:cs="Verdana"/>
          <w:sz w:val="16"/>
          <w:szCs w:val="16"/>
          <w:lang w:val="en-US"/>
        </w:rPr>
        <w:t xml:space="preserve"> 2013, </w:t>
      </w:r>
      <w:proofErr w:type="spellStart"/>
      <w:r w:rsidRPr="004F6728">
        <w:rPr>
          <w:rFonts w:eastAsia="Verdana" w:cs="Verdana"/>
          <w:sz w:val="16"/>
          <w:szCs w:val="16"/>
          <w:lang w:val="en-US"/>
        </w:rPr>
        <w:t>afl</w:t>
      </w:r>
      <w:proofErr w:type="spellEnd"/>
      <w:r w:rsidRPr="004F6728">
        <w:rPr>
          <w:rFonts w:eastAsia="Verdana" w:cs="Verdana"/>
          <w:sz w:val="16"/>
          <w:szCs w:val="16"/>
          <w:lang w:val="en-US"/>
        </w:rPr>
        <w:t xml:space="preserve">. 21, </w:t>
      </w:r>
      <w:r w:rsidR="002073E7">
        <w:rPr>
          <w:rFonts w:eastAsia="Verdana" w:cs="Verdana"/>
          <w:sz w:val="16"/>
          <w:szCs w:val="16"/>
          <w:lang w:val="en-US"/>
        </w:rPr>
        <w:t xml:space="preserve">(177) </w:t>
      </w:r>
      <w:r w:rsidRPr="004F6728">
        <w:rPr>
          <w:rFonts w:eastAsia="Verdana" w:cs="Verdana"/>
          <w:sz w:val="16"/>
          <w:szCs w:val="16"/>
          <w:lang w:val="en-US"/>
        </w:rPr>
        <w:t>191-195.</w:t>
      </w:r>
    </w:p>
  </w:footnote>
  <w:footnote w:id="81">
    <w:p w14:paraId="1A0CD3B4" w14:textId="4ABA7F7D"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Het VN-Kinderrechtencomité verwijst in zijn General Comments meer dan 80 keer naar “the evolving capacities of the child”, bijvoorbeeld in General Comment nr. 4, nr. 5 en nr. 14.</w:t>
      </w:r>
    </w:p>
  </w:footnote>
  <w:footnote w:id="82">
    <w:p w14:paraId="610A93F2" w14:textId="77777777"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Artikel 14.2 IVRK: “De Staten die partij zijn, eerbiedigen de rechten en plichten van de ouders en, indien van toepassing, van de wettige voogden, om het kind te leiden in de uitoefening van zijn of haar recht op een wijze die verenigbaar is met de zich ontwikkelende vermogens van het kind”.</w:t>
      </w:r>
    </w:p>
  </w:footnote>
  <w:footnote w:id="83">
    <w:p w14:paraId="152D46F1" w14:textId="3B057970" w:rsidR="00C57AF9" w:rsidRPr="004F6728" w:rsidRDefault="00C57AF9" w:rsidP="005C4D5C">
      <w:pPr>
        <w:jc w:val="both"/>
        <w:rPr>
          <w:sz w:val="16"/>
          <w:szCs w:val="16"/>
          <w:lang w:val="en-US"/>
        </w:rPr>
      </w:pPr>
      <w:r w:rsidRPr="0086280A">
        <w:rPr>
          <w:rStyle w:val="Voetnootmarkering"/>
          <w:sz w:val="16"/>
          <w:szCs w:val="16"/>
          <w:lang w:val="nl-NL"/>
        </w:rPr>
        <w:footnoteRef/>
      </w:r>
      <w:r w:rsidRPr="004F6728">
        <w:rPr>
          <w:sz w:val="16"/>
          <w:szCs w:val="16"/>
          <w:lang w:val="en-US"/>
        </w:rPr>
        <w:t xml:space="preserve"> </w:t>
      </w:r>
      <w:r w:rsidR="008D3124" w:rsidRPr="004F6728">
        <w:rPr>
          <w:sz w:val="16"/>
          <w:szCs w:val="16"/>
          <w:lang w:val="en-US"/>
        </w:rPr>
        <w:t xml:space="preserve">S. MAHMOUDI, P. LEVINER, A. KALDAL en K. LAINPELTO, </w:t>
      </w:r>
      <w:r w:rsidR="008D3124" w:rsidRPr="004F6728">
        <w:rPr>
          <w:i/>
          <w:iCs/>
          <w:sz w:val="16"/>
          <w:szCs w:val="16"/>
          <w:lang w:val="en-US"/>
        </w:rPr>
        <w:t>Child-friendly Justice: a quarter of a century of the UN Convention on the Rights of the Child</w:t>
      </w:r>
      <w:r w:rsidR="008D3124" w:rsidRPr="004F6728">
        <w:rPr>
          <w:sz w:val="16"/>
          <w:szCs w:val="16"/>
          <w:lang w:val="en-US"/>
        </w:rPr>
        <w:t>, Leiden, Brill/</w:t>
      </w:r>
      <w:proofErr w:type="spellStart"/>
      <w:r w:rsidR="008D3124" w:rsidRPr="004F6728">
        <w:rPr>
          <w:sz w:val="16"/>
          <w:szCs w:val="16"/>
          <w:lang w:val="en-US"/>
        </w:rPr>
        <w:t>Nijhoff</w:t>
      </w:r>
      <w:proofErr w:type="spellEnd"/>
      <w:r w:rsidR="008D3124" w:rsidRPr="004F6728">
        <w:rPr>
          <w:sz w:val="16"/>
          <w:szCs w:val="16"/>
          <w:lang w:val="en-US"/>
        </w:rPr>
        <w:t>, 2015, 30-31</w:t>
      </w:r>
      <w:r w:rsidR="008D3124">
        <w:rPr>
          <w:sz w:val="16"/>
          <w:szCs w:val="16"/>
          <w:lang w:val="en-US"/>
        </w:rPr>
        <w:t xml:space="preserve">; </w:t>
      </w:r>
      <w:r w:rsidRPr="004F6728">
        <w:rPr>
          <w:sz w:val="16"/>
          <w:szCs w:val="16"/>
          <w:lang w:val="en-US"/>
        </w:rPr>
        <w:t xml:space="preserve">L. </w:t>
      </w:r>
      <w:r w:rsidRPr="004F6728">
        <w:rPr>
          <w:rFonts w:eastAsia="Verdana" w:cs="Verdana"/>
          <w:sz w:val="16"/>
          <w:szCs w:val="16"/>
          <w:lang w:val="en-US"/>
        </w:rPr>
        <w:t xml:space="preserve">FERGUSON, “Not merely rights for children but children’s rights: The theory gap and the assumption of the importance of children’s rights”, </w:t>
      </w:r>
      <w:r w:rsidRPr="004F6728">
        <w:rPr>
          <w:rFonts w:eastAsia="Verdana" w:cs="Verdana"/>
          <w:i/>
          <w:sz w:val="16"/>
          <w:szCs w:val="16"/>
          <w:lang w:val="en-US"/>
        </w:rPr>
        <w:t>The International Journal of Children’s Rights</w:t>
      </w:r>
      <w:r w:rsidRPr="004F6728">
        <w:rPr>
          <w:rFonts w:eastAsia="Verdana" w:cs="Verdana"/>
          <w:sz w:val="16"/>
          <w:szCs w:val="16"/>
          <w:lang w:val="en-US"/>
        </w:rPr>
        <w:t xml:space="preserve"> 2013, </w:t>
      </w:r>
      <w:proofErr w:type="spellStart"/>
      <w:r w:rsidRPr="004F6728">
        <w:rPr>
          <w:rFonts w:eastAsia="Verdana" w:cs="Verdana"/>
          <w:sz w:val="16"/>
          <w:szCs w:val="16"/>
          <w:lang w:val="en-US"/>
        </w:rPr>
        <w:t>afl</w:t>
      </w:r>
      <w:proofErr w:type="spellEnd"/>
      <w:r w:rsidRPr="004F6728">
        <w:rPr>
          <w:rFonts w:eastAsia="Verdana" w:cs="Verdana"/>
          <w:sz w:val="16"/>
          <w:szCs w:val="16"/>
          <w:lang w:val="en-US"/>
        </w:rPr>
        <w:t xml:space="preserve">. 21, </w:t>
      </w:r>
      <w:r w:rsidR="002073E7">
        <w:rPr>
          <w:rFonts w:eastAsia="Verdana" w:cs="Verdana"/>
          <w:sz w:val="16"/>
          <w:szCs w:val="16"/>
          <w:lang w:val="en-US"/>
        </w:rPr>
        <w:t xml:space="preserve">(177) </w:t>
      </w:r>
      <w:r w:rsidRPr="004F6728">
        <w:rPr>
          <w:rFonts w:eastAsia="Verdana" w:cs="Verdana"/>
          <w:sz w:val="16"/>
          <w:szCs w:val="16"/>
          <w:lang w:val="en-US"/>
        </w:rPr>
        <w:t>191-195</w:t>
      </w:r>
      <w:r w:rsidRPr="004F6728">
        <w:rPr>
          <w:sz w:val="16"/>
          <w:szCs w:val="16"/>
          <w:lang w:val="en-US"/>
        </w:rPr>
        <w:t>.</w:t>
      </w:r>
    </w:p>
  </w:footnote>
  <w:footnote w:id="84">
    <w:p w14:paraId="134E5FEF" w14:textId="2F0B6FC8" w:rsidR="00C57AF9" w:rsidRPr="00432C26" w:rsidRDefault="00C57AF9" w:rsidP="005C4D5C">
      <w:pPr>
        <w:pStyle w:val="Voetnoottekst"/>
        <w:jc w:val="both"/>
        <w:rPr>
          <w:sz w:val="16"/>
          <w:szCs w:val="16"/>
          <w:lang w:val="en-US"/>
        </w:rPr>
      </w:pPr>
      <w:r w:rsidRPr="0086280A">
        <w:rPr>
          <w:rStyle w:val="Voetnootmarkering"/>
          <w:sz w:val="16"/>
          <w:szCs w:val="16"/>
          <w:lang w:val="nl-NL"/>
        </w:rPr>
        <w:footnoteRef/>
      </w:r>
      <w:r w:rsidRPr="0086280A">
        <w:rPr>
          <w:sz w:val="16"/>
          <w:szCs w:val="16"/>
          <w:lang w:val="nl-NL"/>
        </w:rPr>
        <w:t xml:space="preserve"> Het kind is, in essentie, “onaf” en op weg naar de volwassenheid. Om deze volwassenheid te bereiken moet het kind ontwikkelingsstadia doorlopen die het kind steeds minder “onaf” maken: E. VERHELLEN, “Kinder-Rechten zijn in beweging”, </w:t>
      </w:r>
      <w:r w:rsidRPr="0086280A">
        <w:rPr>
          <w:i/>
          <w:iCs/>
          <w:sz w:val="16"/>
          <w:szCs w:val="16"/>
          <w:lang w:val="nl-NL"/>
        </w:rPr>
        <w:t>TJK</w:t>
      </w:r>
      <w:r w:rsidRPr="0086280A">
        <w:rPr>
          <w:sz w:val="16"/>
          <w:szCs w:val="16"/>
          <w:lang w:val="nl-NL"/>
        </w:rPr>
        <w:t xml:space="preserve"> 2017, nr. 4, </w:t>
      </w:r>
      <w:r w:rsidR="001A149B">
        <w:rPr>
          <w:sz w:val="16"/>
          <w:szCs w:val="16"/>
          <w:lang w:val="nl-NL"/>
        </w:rPr>
        <w:t xml:space="preserve">(277) </w:t>
      </w:r>
      <w:r w:rsidRPr="0086280A">
        <w:rPr>
          <w:sz w:val="16"/>
          <w:szCs w:val="16"/>
          <w:lang w:val="nl-NL"/>
        </w:rPr>
        <w:t xml:space="preserve">279; </w:t>
      </w:r>
      <w:r w:rsidR="008D3124" w:rsidRPr="0086280A">
        <w:rPr>
          <w:sz w:val="16"/>
          <w:szCs w:val="16"/>
          <w:lang w:val="nl-NL"/>
        </w:rPr>
        <w:t xml:space="preserve">T. WUYTS, </w:t>
      </w:r>
      <w:r w:rsidR="008D3124" w:rsidRPr="0086280A">
        <w:rPr>
          <w:i/>
          <w:sz w:val="16"/>
          <w:szCs w:val="16"/>
          <w:lang w:val="nl-NL"/>
        </w:rPr>
        <w:t>Ouderlijk gezag</w:t>
      </w:r>
      <w:r w:rsidR="008D3124" w:rsidRPr="0086280A">
        <w:rPr>
          <w:sz w:val="16"/>
          <w:szCs w:val="16"/>
          <w:lang w:val="nl-NL"/>
        </w:rPr>
        <w:t>, Antwerpen, Intersentia, 2013, 608</w:t>
      </w:r>
      <w:r w:rsidR="008D3124">
        <w:rPr>
          <w:sz w:val="16"/>
          <w:szCs w:val="16"/>
          <w:lang w:val="nl-NL"/>
        </w:rPr>
        <w:t xml:space="preserve">; </w:t>
      </w:r>
      <w:r w:rsidRPr="0086280A">
        <w:rPr>
          <w:sz w:val="16"/>
          <w:szCs w:val="16"/>
          <w:lang w:val="nl-NL"/>
        </w:rPr>
        <w:t xml:space="preserve">E. VERHELLEN, “Het Verdrag inzake de rechten van het kind meerderjarig. </w:t>
      </w:r>
      <w:proofErr w:type="spellStart"/>
      <w:r w:rsidRPr="00432C26">
        <w:rPr>
          <w:sz w:val="16"/>
          <w:szCs w:val="16"/>
          <w:lang w:val="en-US"/>
        </w:rPr>
        <w:t>Enkele</w:t>
      </w:r>
      <w:proofErr w:type="spellEnd"/>
      <w:r w:rsidRPr="00432C26">
        <w:rPr>
          <w:sz w:val="16"/>
          <w:szCs w:val="16"/>
          <w:lang w:val="en-US"/>
        </w:rPr>
        <w:t xml:space="preserve"> </w:t>
      </w:r>
      <w:proofErr w:type="spellStart"/>
      <w:r w:rsidRPr="00432C26">
        <w:rPr>
          <w:sz w:val="16"/>
          <w:szCs w:val="16"/>
          <w:lang w:val="en-US"/>
        </w:rPr>
        <w:t>beschouwingen</w:t>
      </w:r>
      <w:proofErr w:type="spellEnd"/>
      <w:r w:rsidRPr="00432C26">
        <w:rPr>
          <w:sz w:val="16"/>
          <w:szCs w:val="16"/>
          <w:lang w:val="en-US"/>
        </w:rPr>
        <w:t xml:space="preserve"> over de </w:t>
      </w:r>
      <w:proofErr w:type="spellStart"/>
      <w:r w:rsidRPr="00432C26">
        <w:rPr>
          <w:sz w:val="16"/>
          <w:szCs w:val="16"/>
          <w:lang w:val="en-US"/>
        </w:rPr>
        <w:t>implementatie</w:t>
      </w:r>
      <w:proofErr w:type="spellEnd"/>
      <w:r w:rsidRPr="00432C26">
        <w:rPr>
          <w:sz w:val="16"/>
          <w:szCs w:val="16"/>
          <w:lang w:val="en-US"/>
        </w:rPr>
        <w:t xml:space="preserve"> in </w:t>
      </w:r>
      <w:proofErr w:type="spellStart"/>
      <w:r w:rsidRPr="00432C26">
        <w:rPr>
          <w:sz w:val="16"/>
          <w:szCs w:val="16"/>
          <w:lang w:val="en-US"/>
        </w:rPr>
        <w:t>België</w:t>
      </w:r>
      <w:proofErr w:type="spellEnd"/>
      <w:r w:rsidRPr="00432C26">
        <w:rPr>
          <w:sz w:val="16"/>
          <w:szCs w:val="16"/>
          <w:lang w:val="en-US"/>
        </w:rPr>
        <w:t xml:space="preserve">”, </w:t>
      </w:r>
      <w:r w:rsidRPr="00432C26">
        <w:rPr>
          <w:i/>
          <w:sz w:val="16"/>
          <w:szCs w:val="16"/>
          <w:lang w:val="en-US"/>
        </w:rPr>
        <w:t>TJK</w:t>
      </w:r>
      <w:r w:rsidRPr="00432C26">
        <w:rPr>
          <w:sz w:val="16"/>
          <w:szCs w:val="16"/>
          <w:lang w:val="en-US"/>
        </w:rPr>
        <w:t xml:space="preserve"> 2008, nr. 1, </w:t>
      </w:r>
      <w:r w:rsidR="001A149B">
        <w:rPr>
          <w:sz w:val="16"/>
          <w:szCs w:val="16"/>
          <w:lang w:val="en-US"/>
        </w:rPr>
        <w:t xml:space="preserve">(11) </w:t>
      </w:r>
      <w:r w:rsidRPr="00432C26">
        <w:rPr>
          <w:sz w:val="16"/>
          <w:szCs w:val="16"/>
          <w:lang w:val="en-US"/>
        </w:rPr>
        <w:t>12.</w:t>
      </w:r>
    </w:p>
  </w:footnote>
  <w:footnote w:id="85">
    <w:p w14:paraId="243DFB76" w14:textId="549F3E6F"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General Comment no. 7 of the UN Committee on the Rights of the Child on implementing child rights in early childhood, 20 september 2006, CRC/C/GC/7/Rev.1, §16-17: “Article 5 states that parents’ role is to offer appropriate direction and guidance in the exercise </w:t>
      </w:r>
      <w:r w:rsidRPr="004F6728">
        <w:rPr>
          <w:sz w:val="16"/>
          <w:szCs w:val="16"/>
          <w:u w:val="single"/>
          <w:lang w:val="en-US"/>
        </w:rPr>
        <w:t>by</w:t>
      </w:r>
      <w:r w:rsidRPr="004F6728">
        <w:rPr>
          <w:sz w:val="16"/>
          <w:szCs w:val="16"/>
          <w:lang w:val="en-US"/>
        </w:rPr>
        <w:t xml:space="preserve"> the child of the rights enshrined in the Convention” en “Evolving capacities should be seen as positive and enabling process, not an excuse for authoritarian practices that restrict children’s autonomy and self-expression and which have traditionally been justified by pointing to children’s relative immaturity and their need for socialization”.</w:t>
      </w:r>
    </w:p>
  </w:footnote>
  <w:footnote w:id="86">
    <w:p w14:paraId="0452B3B9" w14:textId="6EB56B98"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ook T. WUYTS, </w:t>
      </w:r>
      <w:r w:rsidRPr="0086280A">
        <w:rPr>
          <w:i/>
          <w:sz w:val="16"/>
          <w:szCs w:val="16"/>
          <w:lang w:val="nl-NL"/>
        </w:rPr>
        <w:t>Ouderlijk gezag</w:t>
      </w:r>
      <w:r w:rsidRPr="0086280A">
        <w:rPr>
          <w:sz w:val="16"/>
          <w:szCs w:val="16"/>
          <w:lang w:val="nl-NL"/>
        </w:rPr>
        <w:t>, Antwerpen, Intersentia, 2013, 610-615.</w:t>
      </w:r>
    </w:p>
  </w:footnote>
  <w:footnote w:id="87">
    <w:p w14:paraId="31B7D5D5" w14:textId="03975837"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D. REYNAERT, M. BOUVERNE-DE BIE, S. VANDEVELDE, “A review of children’s rights literature since the adoption of the United Nations Convention on the Rights of the Child”, </w:t>
      </w:r>
      <w:r w:rsidRPr="004F6728">
        <w:rPr>
          <w:i/>
          <w:iCs/>
          <w:sz w:val="16"/>
          <w:szCs w:val="16"/>
          <w:lang w:val="en-US"/>
        </w:rPr>
        <w:t>Childhood</w:t>
      </w:r>
      <w:r w:rsidRPr="004F6728">
        <w:rPr>
          <w:sz w:val="16"/>
          <w:szCs w:val="16"/>
          <w:lang w:val="en-US"/>
        </w:rPr>
        <w:t xml:space="preserve"> 2009, vol. 16(4), </w:t>
      </w:r>
      <w:r w:rsidR="001A149B">
        <w:rPr>
          <w:sz w:val="16"/>
          <w:szCs w:val="16"/>
          <w:lang w:val="en-US"/>
        </w:rPr>
        <w:t xml:space="preserve">(518) </w:t>
      </w:r>
      <w:r w:rsidRPr="004F6728">
        <w:rPr>
          <w:sz w:val="16"/>
          <w:szCs w:val="16"/>
          <w:lang w:val="en-US"/>
        </w:rPr>
        <w:t>524.</w:t>
      </w:r>
    </w:p>
  </w:footnote>
  <w:footnote w:id="88">
    <w:p w14:paraId="7D2587C1" w14:textId="03431BAF"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Artikel 5 </w:t>
      </w:r>
      <w:r w:rsidRPr="0086280A">
        <w:rPr>
          <w:i/>
          <w:iCs/>
          <w:sz w:val="16"/>
          <w:szCs w:val="16"/>
          <w:lang w:val="nl-NL"/>
        </w:rPr>
        <w:t>juncto</w:t>
      </w:r>
      <w:r w:rsidRPr="0086280A">
        <w:rPr>
          <w:sz w:val="16"/>
          <w:szCs w:val="16"/>
          <w:lang w:val="nl-NL"/>
        </w:rPr>
        <w:t xml:space="preserve"> artikel 14.2 </w:t>
      </w:r>
      <w:r w:rsidRPr="0086280A">
        <w:rPr>
          <w:i/>
          <w:iCs/>
          <w:sz w:val="16"/>
          <w:szCs w:val="16"/>
          <w:lang w:val="nl-NL"/>
        </w:rPr>
        <w:t xml:space="preserve">juncto </w:t>
      </w:r>
      <w:r w:rsidRPr="0086280A">
        <w:rPr>
          <w:sz w:val="16"/>
          <w:szCs w:val="16"/>
          <w:lang w:val="nl-NL"/>
        </w:rPr>
        <w:t>artikel</w:t>
      </w:r>
      <w:r w:rsidRPr="0086280A">
        <w:rPr>
          <w:i/>
          <w:iCs/>
          <w:sz w:val="16"/>
          <w:szCs w:val="16"/>
          <w:lang w:val="nl-NL"/>
        </w:rPr>
        <w:t xml:space="preserve"> </w:t>
      </w:r>
      <w:r w:rsidRPr="0086280A">
        <w:rPr>
          <w:sz w:val="16"/>
          <w:szCs w:val="16"/>
          <w:lang w:val="nl-NL"/>
        </w:rPr>
        <w:t>18 IVRK.</w:t>
      </w:r>
    </w:p>
  </w:footnote>
  <w:footnote w:id="89">
    <w:p w14:paraId="2BDA6CDC" w14:textId="53AF4B47"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M. COUZENS, “Autonomy rights versus parental autonomy” in A. ALEN, H. BOSLY, M. DE BIE, J. VANDE LANOTTE </w:t>
      </w:r>
      <w:proofErr w:type="spellStart"/>
      <w:r w:rsidRPr="004F6728">
        <w:rPr>
          <w:sz w:val="16"/>
          <w:szCs w:val="16"/>
          <w:lang w:val="en-US"/>
        </w:rPr>
        <w:t>e.a.</w:t>
      </w:r>
      <w:proofErr w:type="spellEnd"/>
      <w:r w:rsidRPr="004F6728">
        <w:rPr>
          <w:sz w:val="16"/>
          <w:szCs w:val="16"/>
          <w:lang w:val="en-US"/>
        </w:rPr>
        <w:t xml:space="preserve"> (eds.), </w:t>
      </w:r>
      <w:r w:rsidRPr="004F6728">
        <w:rPr>
          <w:i/>
          <w:iCs/>
          <w:sz w:val="16"/>
          <w:szCs w:val="16"/>
          <w:lang w:val="en-US"/>
        </w:rPr>
        <w:t xml:space="preserve">The UN Children’s Rights Convention: theory meets practice, </w:t>
      </w:r>
      <w:proofErr w:type="spellStart"/>
      <w:r w:rsidRPr="004F6728">
        <w:rPr>
          <w:sz w:val="16"/>
          <w:szCs w:val="16"/>
          <w:lang w:val="en-US"/>
        </w:rPr>
        <w:t>Antwerpen</w:t>
      </w:r>
      <w:proofErr w:type="spellEnd"/>
      <w:r w:rsidRPr="004F6728">
        <w:rPr>
          <w:sz w:val="16"/>
          <w:szCs w:val="16"/>
          <w:lang w:val="en-US"/>
        </w:rPr>
        <w:t>, Intersentia, 2007, 420, nr. 3.</w:t>
      </w:r>
    </w:p>
  </w:footnote>
  <w:footnote w:id="90">
    <w:p w14:paraId="6B6A9434" w14:textId="361C5342"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Artikel 5 IVRK: “De Staten die partij zijn, eerbiedigen de verantwoordelijkheden, rechten en plichten van de ouders of de leden van de familie in ruimere zin (…) voor het voorzien in passende </w:t>
      </w:r>
      <w:r w:rsidRPr="0086280A">
        <w:rPr>
          <w:i/>
          <w:iCs/>
          <w:sz w:val="16"/>
          <w:szCs w:val="16"/>
          <w:lang w:val="nl-NL"/>
        </w:rPr>
        <w:t>leiding en</w:t>
      </w:r>
      <w:r w:rsidRPr="0086280A">
        <w:rPr>
          <w:sz w:val="16"/>
          <w:szCs w:val="16"/>
          <w:lang w:val="nl-NL"/>
        </w:rPr>
        <w:t xml:space="preserve"> </w:t>
      </w:r>
      <w:r w:rsidRPr="0086280A">
        <w:rPr>
          <w:i/>
          <w:iCs/>
          <w:sz w:val="16"/>
          <w:szCs w:val="16"/>
          <w:lang w:val="nl-NL"/>
        </w:rPr>
        <w:t>begeleiding</w:t>
      </w:r>
      <w:r w:rsidRPr="0086280A">
        <w:rPr>
          <w:sz w:val="16"/>
          <w:szCs w:val="16"/>
          <w:lang w:val="nl-NL"/>
        </w:rPr>
        <w:t xml:space="preserve"> bij de uitoefening </w:t>
      </w:r>
      <w:r w:rsidRPr="0086280A">
        <w:rPr>
          <w:sz w:val="16"/>
          <w:szCs w:val="16"/>
          <w:u w:val="single"/>
          <w:lang w:val="nl-NL"/>
        </w:rPr>
        <w:t>door het kind</w:t>
      </w:r>
      <w:r w:rsidRPr="0086280A">
        <w:rPr>
          <w:sz w:val="16"/>
          <w:szCs w:val="16"/>
          <w:lang w:val="nl-NL"/>
        </w:rPr>
        <w:t xml:space="preserve"> van de in dit Verdrag erkende rechten, op een wijze die verenigbaar is met de zich ontwikkelende vermogens van het kind” (eigen nadruk). </w:t>
      </w:r>
    </w:p>
  </w:footnote>
  <w:footnote w:id="91">
    <w:p w14:paraId="7108E398" w14:textId="0955D48C"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 VANDENHOLE, “Twintig jaar kinderrechtenverdrag (1989-2009): een Belgische stand van zaken”, </w:t>
      </w:r>
      <w:r w:rsidRPr="0086280A">
        <w:rPr>
          <w:i/>
          <w:iCs/>
          <w:sz w:val="16"/>
          <w:szCs w:val="16"/>
          <w:lang w:val="nl-NL"/>
        </w:rPr>
        <w:t>RW</w:t>
      </w:r>
      <w:r w:rsidRPr="0086280A">
        <w:rPr>
          <w:sz w:val="16"/>
          <w:szCs w:val="16"/>
          <w:lang w:val="nl-NL"/>
        </w:rPr>
        <w:t xml:space="preserve"> 2009-10, </w:t>
      </w:r>
      <w:r w:rsidR="001A149B">
        <w:rPr>
          <w:sz w:val="16"/>
          <w:szCs w:val="16"/>
          <w:lang w:val="nl-NL"/>
        </w:rPr>
        <w:t xml:space="preserve">(386) </w:t>
      </w:r>
      <w:r w:rsidRPr="0086280A">
        <w:rPr>
          <w:sz w:val="16"/>
          <w:szCs w:val="16"/>
          <w:lang w:val="nl-NL"/>
        </w:rPr>
        <w:t xml:space="preserve">387; T. WUYTS, </w:t>
      </w:r>
      <w:r w:rsidRPr="0086280A">
        <w:rPr>
          <w:i/>
          <w:iCs/>
          <w:sz w:val="16"/>
          <w:szCs w:val="16"/>
          <w:lang w:val="nl-NL"/>
        </w:rPr>
        <w:t>Ouderlijk gezag</w:t>
      </w:r>
      <w:r w:rsidRPr="0086280A">
        <w:rPr>
          <w:sz w:val="16"/>
          <w:szCs w:val="16"/>
          <w:lang w:val="nl-NL"/>
        </w:rPr>
        <w:t>, Antwerpen, Intersentia, 2013, 610.</w:t>
      </w:r>
    </w:p>
  </w:footnote>
  <w:footnote w:id="92">
    <w:p w14:paraId="6B6CA432" w14:textId="22ADAB8D"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 VANDENHOLE, “Kinderrechten in universele en Europese mensenrechtenverdragen” in W. VANDENHOLE (ed.), </w:t>
      </w:r>
      <w:r w:rsidRPr="0086280A">
        <w:rPr>
          <w:i/>
          <w:iCs/>
          <w:sz w:val="16"/>
          <w:szCs w:val="16"/>
          <w:lang w:val="nl-NL"/>
        </w:rPr>
        <w:t>Kinderrechten in België</w:t>
      </w:r>
      <w:r w:rsidRPr="0086280A">
        <w:rPr>
          <w:sz w:val="16"/>
          <w:szCs w:val="16"/>
          <w:lang w:val="nl-NL"/>
        </w:rPr>
        <w:t>, Antwerpen, Intersentia, 2008, 4.</w:t>
      </w:r>
    </w:p>
  </w:footnote>
  <w:footnote w:id="93">
    <w:p w14:paraId="2863E9CF" w14:textId="4F2084EB"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w:t>
      </w:r>
      <w:r w:rsidR="00DF17AD" w:rsidRPr="004F6728">
        <w:rPr>
          <w:i/>
          <w:iCs/>
          <w:sz w:val="16"/>
          <w:szCs w:val="16"/>
          <w:lang w:val="en-US"/>
        </w:rPr>
        <w:t>Ibid</w:t>
      </w:r>
      <w:r w:rsidRPr="004F6728">
        <w:rPr>
          <w:sz w:val="16"/>
          <w:szCs w:val="16"/>
          <w:lang w:val="en-US"/>
        </w:rPr>
        <w:t>.</w:t>
      </w:r>
    </w:p>
  </w:footnote>
  <w:footnote w:id="94">
    <w:p w14:paraId="0B74C133" w14:textId="00504D39"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w:t>
      </w:r>
      <w:proofErr w:type="spellStart"/>
      <w:r w:rsidRPr="004F6728">
        <w:rPr>
          <w:sz w:val="16"/>
          <w:szCs w:val="16"/>
          <w:lang w:val="en-US"/>
        </w:rPr>
        <w:t>Enerzijds</w:t>
      </w:r>
      <w:proofErr w:type="spellEnd"/>
      <w:r w:rsidRPr="004F6728">
        <w:rPr>
          <w:sz w:val="16"/>
          <w:szCs w:val="16"/>
          <w:lang w:val="en-US"/>
        </w:rPr>
        <w:t xml:space="preserve"> </w:t>
      </w:r>
      <w:proofErr w:type="spellStart"/>
      <w:r w:rsidRPr="004F6728">
        <w:rPr>
          <w:sz w:val="16"/>
          <w:szCs w:val="16"/>
          <w:lang w:val="en-US"/>
        </w:rPr>
        <w:t>zegt</w:t>
      </w:r>
      <w:proofErr w:type="spellEnd"/>
      <w:r w:rsidRPr="004F6728">
        <w:rPr>
          <w:sz w:val="16"/>
          <w:szCs w:val="16"/>
          <w:lang w:val="en-US"/>
        </w:rPr>
        <w:t xml:space="preserve"> de preambule</w:t>
      </w:r>
      <w:r w:rsidR="00DF17AD" w:rsidRPr="004F6728">
        <w:rPr>
          <w:sz w:val="16"/>
          <w:szCs w:val="16"/>
          <w:lang w:val="en-US"/>
        </w:rPr>
        <w:t>:</w:t>
      </w:r>
      <w:r w:rsidRPr="004F6728">
        <w:rPr>
          <w:sz w:val="16"/>
          <w:szCs w:val="16"/>
          <w:lang w:val="en-US"/>
        </w:rPr>
        <w:t xml:space="preserve"> “Considering that the child should be fully prepared </w:t>
      </w:r>
      <w:r w:rsidRPr="004F6728">
        <w:rPr>
          <w:sz w:val="16"/>
          <w:szCs w:val="16"/>
          <w:u w:val="single"/>
          <w:lang w:val="en-US"/>
        </w:rPr>
        <w:t>to live an individual life</w:t>
      </w:r>
      <w:r w:rsidRPr="004F6728">
        <w:rPr>
          <w:sz w:val="16"/>
          <w:szCs w:val="16"/>
          <w:lang w:val="en-US"/>
        </w:rPr>
        <w:t xml:space="preserve"> in society, and brought up in the spirit of the ideals proclaimed in the Charter of the United Nations, and in particular in the spirit of peace, dignity, tolerance, freedom, equality and solidarity”, </w:t>
      </w:r>
      <w:proofErr w:type="spellStart"/>
      <w:r w:rsidRPr="004F6728">
        <w:rPr>
          <w:sz w:val="16"/>
          <w:szCs w:val="16"/>
          <w:lang w:val="en-US"/>
        </w:rPr>
        <w:t>anderzijds</w:t>
      </w:r>
      <w:proofErr w:type="spellEnd"/>
      <w:r w:rsidRPr="004F6728">
        <w:rPr>
          <w:sz w:val="16"/>
          <w:szCs w:val="16"/>
          <w:lang w:val="en-US"/>
        </w:rPr>
        <w:t xml:space="preserve"> </w:t>
      </w:r>
      <w:proofErr w:type="spellStart"/>
      <w:r w:rsidRPr="004F6728">
        <w:rPr>
          <w:sz w:val="16"/>
          <w:szCs w:val="16"/>
          <w:lang w:val="en-US"/>
        </w:rPr>
        <w:t>zegt</w:t>
      </w:r>
      <w:proofErr w:type="spellEnd"/>
      <w:r w:rsidRPr="004F6728">
        <w:rPr>
          <w:sz w:val="16"/>
          <w:szCs w:val="16"/>
          <w:lang w:val="en-US"/>
        </w:rPr>
        <w:t xml:space="preserve"> </w:t>
      </w:r>
      <w:proofErr w:type="spellStart"/>
      <w:r w:rsidRPr="004F6728">
        <w:rPr>
          <w:sz w:val="16"/>
          <w:szCs w:val="16"/>
          <w:lang w:val="en-US"/>
        </w:rPr>
        <w:t>deze</w:t>
      </w:r>
      <w:proofErr w:type="spellEnd"/>
      <w:r w:rsidRPr="004F6728">
        <w:rPr>
          <w:sz w:val="16"/>
          <w:szCs w:val="16"/>
          <w:lang w:val="en-US"/>
        </w:rPr>
        <w:t xml:space="preserve"> preambule </w:t>
      </w:r>
      <w:proofErr w:type="spellStart"/>
      <w:r w:rsidRPr="004F6728">
        <w:rPr>
          <w:sz w:val="16"/>
          <w:szCs w:val="16"/>
          <w:lang w:val="en-US"/>
        </w:rPr>
        <w:t>ook</w:t>
      </w:r>
      <w:proofErr w:type="spellEnd"/>
      <w:r w:rsidRPr="004F6728">
        <w:rPr>
          <w:sz w:val="16"/>
          <w:szCs w:val="16"/>
          <w:lang w:val="en-US"/>
        </w:rPr>
        <w:t xml:space="preserve"> “Bearing in mind that (…) the child, by reason of his physical and mental immaturity, needs </w:t>
      </w:r>
      <w:r w:rsidRPr="004F6728">
        <w:rPr>
          <w:sz w:val="16"/>
          <w:szCs w:val="16"/>
          <w:u w:val="single"/>
          <w:lang w:val="en-US"/>
        </w:rPr>
        <w:t>special safeguards and care</w:t>
      </w:r>
      <w:r w:rsidRPr="004F6728">
        <w:rPr>
          <w:sz w:val="16"/>
          <w:szCs w:val="16"/>
          <w:lang w:val="en-US"/>
        </w:rPr>
        <w:t xml:space="preserve">, including appropriate legal protection, before as well as after birth” (eigen </w:t>
      </w:r>
      <w:proofErr w:type="spellStart"/>
      <w:r w:rsidRPr="004F6728">
        <w:rPr>
          <w:sz w:val="16"/>
          <w:szCs w:val="16"/>
          <w:lang w:val="en-US"/>
        </w:rPr>
        <w:t>nadruk</w:t>
      </w:r>
      <w:proofErr w:type="spellEnd"/>
      <w:r w:rsidRPr="004F6728">
        <w:rPr>
          <w:sz w:val="16"/>
          <w:szCs w:val="16"/>
          <w:lang w:val="en-US"/>
        </w:rPr>
        <w:t>); W. VANDENHOLE, “</w:t>
      </w:r>
      <w:proofErr w:type="spellStart"/>
      <w:r w:rsidRPr="004F6728">
        <w:rPr>
          <w:sz w:val="16"/>
          <w:szCs w:val="16"/>
          <w:lang w:val="en-US"/>
        </w:rPr>
        <w:t>Kinderrechten</w:t>
      </w:r>
      <w:proofErr w:type="spellEnd"/>
      <w:r w:rsidRPr="004F6728">
        <w:rPr>
          <w:sz w:val="16"/>
          <w:szCs w:val="16"/>
          <w:lang w:val="en-US"/>
        </w:rPr>
        <w:t xml:space="preserve"> in </w:t>
      </w:r>
      <w:proofErr w:type="spellStart"/>
      <w:r w:rsidRPr="004F6728">
        <w:rPr>
          <w:sz w:val="16"/>
          <w:szCs w:val="16"/>
          <w:lang w:val="en-US"/>
        </w:rPr>
        <w:t>universele</w:t>
      </w:r>
      <w:proofErr w:type="spellEnd"/>
      <w:r w:rsidRPr="004F6728">
        <w:rPr>
          <w:sz w:val="16"/>
          <w:szCs w:val="16"/>
          <w:lang w:val="en-US"/>
        </w:rPr>
        <w:t xml:space="preserve"> en </w:t>
      </w:r>
      <w:proofErr w:type="spellStart"/>
      <w:r w:rsidRPr="004F6728">
        <w:rPr>
          <w:sz w:val="16"/>
          <w:szCs w:val="16"/>
          <w:lang w:val="en-US"/>
        </w:rPr>
        <w:t>Europese</w:t>
      </w:r>
      <w:proofErr w:type="spellEnd"/>
      <w:r w:rsidRPr="004F6728">
        <w:rPr>
          <w:sz w:val="16"/>
          <w:szCs w:val="16"/>
          <w:lang w:val="en-US"/>
        </w:rPr>
        <w:t xml:space="preserve"> </w:t>
      </w:r>
      <w:proofErr w:type="spellStart"/>
      <w:r w:rsidRPr="004F6728">
        <w:rPr>
          <w:sz w:val="16"/>
          <w:szCs w:val="16"/>
          <w:lang w:val="en-US"/>
        </w:rPr>
        <w:t>mensenrechtenverdragen</w:t>
      </w:r>
      <w:proofErr w:type="spellEnd"/>
      <w:r w:rsidRPr="004F6728">
        <w:rPr>
          <w:sz w:val="16"/>
          <w:szCs w:val="16"/>
          <w:lang w:val="en-US"/>
        </w:rPr>
        <w:t xml:space="preserve">” in W. VANDENHOLE (ed.), </w:t>
      </w:r>
      <w:proofErr w:type="spellStart"/>
      <w:r w:rsidRPr="004F6728">
        <w:rPr>
          <w:i/>
          <w:iCs/>
          <w:sz w:val="16"/>
          <w:szCs w:val="16"/>
          <w:lang w:val="en-US"/>
        </w:rPr>
        <w:t>Kinderrechten</w:t>
      </w:r>
      <w:proofErr w:type="spellEnd"/>
      <w:r w:rsidRPr="004F6728">
        <w:rPr>
          <w:i/>
          <w:iCs/>
          <w:sz w:val="16"/>
          <w:szCs w:val="16"/>
          <w:lang w:val="en-US"/>
        </w:rPr>
        <w:t xml:space="preserve"> in </w:t>
      </w:r>
      <w:proofErr w:type="spellStart"/>
      <w:r w:rsidRPr="004F6728">
        <w:rPr>
          <w:i/>
          <w:iCs/>
          <w:sz w:val="16"/>
          <w:szCs w:val="16"/>
          <w:lang w:val="en-US"/>
        </w:rPr>
        <w:t>België</w:t>
      </w:r>
      <w:proofErr w:type="spellEnd"/>
      <w:r w:rsidRPr="004F6728">
        <w:rPr>
          <w:sz w:val="16"/>
          <w:szCs w:val="16"/>
          <w:lang w:val="en-US"/>
        </w:rPr>
        <w:t xml:space="preserve">, </w:t>
      </w:r>
      <w:proofErr w:type="spellStart"/>
      <w:r w:rsidRPr="004F6728">
        <w:rPr>
          <w:sz w:val="16"/>
          <w:szCs w:val="16"/>
          <w:lang w:val="en-US"/>
        </w:rPr>
        <w:t>Antwerpen</w:t>
      </w:r>
      <w:proofErr w:type="spellEnd"/>
      <w:r w:rsidRPr="004F6728">
        <w:rPr>
          <w:sz w:val="16"/>
          <w:szCs w:val="16"/>
          <w:lang w:val="en-US"/>
        </w:rPr>
        <w:t>, Intersentia, 2008, 4.</w:t>
      </w:r>
    </w:p>
  </w:footnote>
  <w:footnote w:id="95">
    <w:p w14:paraId="5206B541" w14:textId="23AF3C94"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Zie General Comment no. 7 of the UN Committee on the Rights of the Child on implementing child rights in early childhood, 20 september 2006, CRC/C/GC/7/Rev.1., 1: “Through this General Comment, the Committee wishes to encourage recognition that young children are </w:t>
      </w:r>
      <w:r w:rsidRPr="004F6728">
        <w:rPr>
          <w:sz w:val="16"/>
          <w:szCs w:val="16"/>
          <w:u w:val="single"/>
          <w:lang w:val="en-US"/>
        </w:rPr>
        <w:t>holders of all rights enshrined</w:t>
      </w:r>
      <w:r w:rsidRPr="004F6728">
        <w:rPr>
          <w:sz w:val="16"/>
          <w:szCs w:val="16"/>
          <w:lang w:val="en-US"/>
        </w:rPr>
        <w:t xml:space="preserve"> in the Convention and that early childhood is a </w:t>
      </w:r>
      <w:r w:rsidRPr="004F6728">
        <w:rPr>
          <w:sz w:val="16"/>
          <w:szCs w:val="16"/>
          <w:u w:val="single"/>
          <w:lang w:val="en-US"/>
        </w:rPr>
        <w:t>critical period</w:t>
      </w:r>
      <w:r w:rsidRPr="004F6728">
        <w:rPr>
          <w:sz w:val="16"/>
          <w:szCs w:val="16"/>
          <w:lang w:val="en-US"/>
        </w:rPr>
        <w:t xml:space="preserve"> for the realization of these rights” (eigen </w:t>
      </w:r>
      <w:proofErr w:type="spellStart"/>
      <w:r w:rsidRPr="004F6728">
        <w:rPr>
          <w:sz w:val="16"/>
          <w:szCs w:val="16"/>
          <w:lang w:val="en-US"/>
        </w:rPr>
        <w:t>nadruk</w:t>
      </w:r>
      <w:proofErr w:type="spellEnd"/>
      <w:r w:rsidRPr="004F6728">
        <w:rPr>
          <w:sz w:val="16"/>
          <w:szCs w:val="16"/>
          <w:lang w:val="en-US"/>
        </w:rPr>
        <w:t xml:space="preserve">); S. VARADAN, “The Principle of Evolving Capacities under the UN Convention on the Rights of the Child”, </w:t>
      </w:r>
      <w:r w:rsidRPr="004F6728">
        <w:rPr>
          <w:i/>
          <w:iCs/>
          <w:sz w:val="16"/>
          <w:szCs w:val="16"/>
          <w:lang w:val="en-US"/>
        </w:rPr>
        <w:t>The International Journal of Children’s Rights</w:t>
      </w:r>
      <w:r w:rsidRPr="004F6728">
        <w:rPr>
          <w:sz w:val="16"/>
          <w:szCs w:val="16"/>
          <w:lang w:val="en-US"/>
        </w:rPr>
        <w:t xml:space="preserve"> 2019, vol. 27, </w:t>
      </w:r>
      <w:r w:rsidR="001D574A">
        <w:rPr>
          <w:sz w:val="16"/>
          <w:szCs w:val="16"/>
          <w:lang w:val="en-US"/>
        </w:rPr>
        <w:t xml:space="preserve">(306) </w:t>
      </w:r>
      <w:r w:rsidRPr="004F6728">
        <w:rPr>
          <w:sz w:val="16"/>
          <w:szCs w:val="16"/>
          <w:lang w:val="en-US"/>
        </w:rPr>
        <w:t>307.</w:t>
      </w:r>
    </w:p>
  </w:footnote>
  <w:footnote w:id="96">
    <w:p w14:paraId="4DF44F94" w14:textId="3A76BC55"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w:t>
      </w:r>
      <w:r w:rsidR="00DF17AD" w:rsidRPr="004F6728">
        <w:rPr>
          <w:sz w:val="16"/>
          <w:szCs w:val="16"/>
          <w:lang w:val="en-US"/>
        </w:rPr>
        <w:t xml:space="preserve">S. PARKER, “The best interests of the child – principles and problems” in P. ALSTON (ed.), </w:t>
      </w:r>
      <w:r w:rsidR="00DF17AD" w:rsidRPr="004F6728">
        <w:rPr>
          <w:i/>
          <w:iCs/>
          <w:sz w:val="16"/>
          <w:szCs w:val="16"/>
          <w:lang w:val="en-US"/>
        </w:rPr>
        <w:t>The best interests of the child. Reconciling culture and human rights</w:t>
      </w:r>
      <w:r w:rsidR="00DF17AD" w:rsidRPr="004F6728">
        <w:rPr>
          <w:sz w:val="16"/>
          <w:szCs w:val="16"/>
          <w:lang w:val="en-US"/>
        </w:rPr>
        <w:t xml:space="preserve">, Clarendon Press, Oxford, 1994, 27-29; </w:t>
      </w:r>
      <w:r w:rsidRPr="004F6728">
        <w:rPr>
          <w:sz w:val="16"/>
          <w:szCs w:val="16"/>
          <w:lang w:val="en-US"/>
        </w:rPr>
        <w:t xml:space="preserve">M. FREEMAN, “Article 3. The Best Interests of the Child” in A. ALEN, J. VANDE LANOTTE, E. VERHELLEN, F. ANG, E. BERGHMANS en M. VERHEYDE (eds.), </w:t>
      </w:r>
      <w:r w:rsidRPr="004F6728">
        <w:rPr>
          <w:i/>
          <w:iCs/>
          <w:sz w:val="16"/>
          <w:szCs w:val="16"/>
          <w:lang w:val="en-US"/>
        </w:rPr>
        <w:t>A commentary on the United Nations Convention on the Rights of the Child</w:t>
      </w:r>
      <w:r w:rsidRPr="004F6728">
        <w:rPr>
          <w:sz w:val="16"/>
          <w:szCs w:val="16"/>
          <w:lang w:val="en-US"/>
        </w:rPr>
        <w:t xml:space="preserve">, Leiden, </w:t>
      </w:r>
      <w:proofErr w:type="spellStart"/>
      <w:r w:rsidRPr="004F6728">
        <w:rPr>
          <w:sz w:val="16"/>
          <w:szCs w:val="16"/>
          <w:lang w:val="en-US"/>
        </w:rPr>
        <w:t>Martinus</w:t>
      </w:r>
      <w:proofErr w:type="spellEnd"/>
      <w:r w:rsidRPr="004F6728">
        <w:rPr>
          <w:sz w:val="16"/>
          <w:szCs w:val="16"/>
          <w:lang w:val="en-US"/>
        </w:rPr>
        <w:t xml:space="preserve"> </w:t>
      </w:r>
      <w:proofErr w:type="spellStart"/>
      <w:r w:rsidRPr="004F6728">
        <w:rPr>
          <w:sz w:val="16"/>
          <w:szCs w:val="16"/>
          <w:lang w:val="en-US"/>
        </w:rPr>
        <w:t>Nijhoff</w:t>
      </w:r>
      <w:proofErr w:type="spellEnd"/>
      <w:r w:rsidRPr="004F6728">
        <w:rPr>
          <w:sz w:val="16"/>
          <w:szCs w:val="16"/>
          <w:lang w:val="en-US"/>
        </w:rPr>
        <w:t xml:space="preserve"> Publishers, 2007, 1-5; D. VAN HERSTRAETEN, “De </w:t>
      </w:r>
      <w:proofErr w:type="spellStart"/>
      <w:r w:rsidRPr="004F6728">
        <w:rPr>
          <w:sz w:val="16"/>
          <w:szCs w:val="16"/>
          <w:lang w:val="en-US"/>
        </w:rPr>
        <w:t>l’intérêt</w:t>
      </w:r>
      <w:proofErr w:type="spellEnd"/>
      <w:r w:rsidRPr="004F6728">
        <w:rPr>
          <w:sz w:val="16"/>
          <w:szCs w:val="16"/>
          <w:lang w:val="en-US"/>
        </w:rPr>
        <w:t xml:space="preserve"> de </w:t>
      </w:r>
      <w:proofErr w:type="spellStart"/>
      <w:r w:rsidRPr="004F6728">
        <w:rPr>
          <w:sz w:val="16"/>
          <w:szCs w:val="16"/>
          <w:lang w:val="en-US"/>
        </w:rPr>
        <w:t>l’enfant</w:t>
      </w:r>
      <w:proofErr w:type="spellEnd"/>
      <w:r w:rsidRPr="004F6728">
        <w:rPr>
          <w:sz w:val="16"/>
          <w:szCs w:val="16"/>
          <w:lang w:val="en-US"/>
        </w:rPr>
        <w:t xml:space="preserve"> en justice” in N. GALLUS (ed.), </w:t>
      </w:r>
      <w:r w:rsidRPr="004F6728">
        <w:rPr>
          <w:i/>
          <w:iCs/>
          <w:sz w:val="16"/>
          <w:szCs w:val="16"/>
          <w:lang w:val="en-US"/>
        </w:rPr>
        <w:t xml:space="preserve">Les </w:t>
      </w:r>
      <w:proofErr w:type="spellStart"/>
      <w:r w:rsidRPr="004F6728">
        <w:rPr>
          <w:i/>
          <w:iCs/>
          <w:sz w:val="16"/>
          <w:szCs w:val="16"/>
          <w:lang w:val="en-US"/>
        </w:rPr>
        <w:t>recompositions</w:t>
      </w:r>
      <w:proofErr w:type="spellEnd"/>
      <w:r w:rsidRPr="004F6728">
        <w:rPr>
          <w:i/>
          <w:iCs/>
          <w:sz w:val="16"/>
          <w:szCs w:val="16"/>
          <w:lang w:val="en-US"/>
        </w:rPr>
        <w:t xml:space="preserve"> </w:t>
      </w:r>
      <w:proofErr w:type="spellStart"/>
      <w:r w:rsidRPr="004F6728">
        <w:rPr>
          <w:i/>
          <w:iCs/>
          <w:sz w:val="16"/>
          <w:szCs w:val="16"/>
          <w:lang w:val="en-US"/>
        </w:rPr>
        <w:t>familiales</w:t>
      </w:r>
      <w:proofErr w:type="spellEnd"/>
      <w:r w:rsidRPr="004F6728">
        <w:rPr>
          <w:i/>
          <w:iCs/>
          <w:sz w:val="16"/>
          <w:szCs w:val="16"/>
          <w:lang w:val="en-US"/>
        </w:rPr>
        <w:t xml:space="preserve">. Nouveaux </w:t>
      </w:r>
      <w:proofErr w:type="spellStart"/>
      <w:r w:rsidRPr="004F6728">
        <w:rPr>
          <w:i/>
          <w:iCs/>
          <w:sz w:val="16"/>
          <w:szCs w:val="16"/>
          <w:lang w:val="en-US"/>
        </w:rPr>
        <w:t>enjeux</w:t>
      </w:r>
      <w:proofErr w:type="spellEnd"/>
      <w:r w:rsidRPr="004F6728">
        <w:rPr>
          <w:i/>
          <w:iCs/>
          <w:sz w:val="16"/>
          <w:szCs w:val="16"/>
          <w:lang w:val="en-US"/>
        </w:rPr>
        <w:t xml:space="preserve"> de la </w:t>
      </w:r>
      <w:proofErr w:type="spellStart"/>
      <w:r w:rsidRPr="004F6728">
        <w:rPr>
          <w:i/>
          <w:iCs/>
          <w:sz w:val="16"/>
          <w:szCs w:val="16"/>
          <w:lang w:val="en-US"/>
        </w:rPr>
        <w:t>parentalité</w:t>
      </w:r>
      <w:proofErr w:type="spellEnd"/>
      <w:r w:rsidRPr="004F6728">
        <w:rPr>
          <w:i/>
          <w:iCs/>
          <w:sz w:val="16"/>
          <w:szCs w:val="16"/>
          <w:lang w:val="en-US"/>
        </w:rPr>
        <w:t xml:space="preserve"> et de la filiation</w:t>
      </w:r>
      <w:r w:rsidRPr="004F6728">
        <w:rPr>
          <w:sz w:val="16"/>
          <w:szCs w:val="16"/>
          <w:lang w:val="en-US"/>
        </w:rPr>
        <w:t xml:space="preserve">, </w:t>
      </w:r>
      <w:proofErr w:type="spellStart"/>
      <w:r w:rsidRPr="004F6728">
        <w:rPr>
          <w:sz w:val="16"/>
          <w:szCs w:val="16"/>
          <w:lang w:val="en-US"/>
        </w:rPr>
        <w:t>Limal</w:t>
      </w:r>
      <w:proofErr w:type="spellEnd"/>
      <w:r w:rsidRPr="004F6728">
        <w:rPr>
          <w:sz w:val="16"/>
          <w:szCs w:val="16"/>
          <w:lang w:val="en-US"/>
        </w:rPr>
        <w:t>, Anthemis, 2015, 51</w:t>
      </w:r>
      <w:r w:rsidR="00DF17AD" w:rsidRPr="004F6728">
        <w:rPr>
          <w:sz w:val="16"/>
          <w:szCs w:val="16"/>
          <w:lang w:val="en-US"/>
        </w:rPr>
        <w:t xml:space="preserve">; UNICEF, “Implementation handbook for the Convention on the Rights of the Child”, 2007, </w:t>
      </w:r>
      <w:hyperlink r:id="rId17" w:history="1">
        <w:r w:rsidR="00DF17AD" w:rsidRPr="004F6728">
          <w:rPr>
            <w:rStyle w:val="Hyperlink"/>
            <w:sz w:val="16"/>
            <w:szCs w:val="16"/>
            <w:lang w:val="en-US"/>
          </w:rPr>
          <w:t>www.unicef.org/lac/media/22071/file/Implementation%20Handbook%20for%20the%20CRC.pdf</w:t>
        </w:r>
      </w:hyperlink>
      <w:r w:rsidR="00DF17AD" w:rsidRPr="004F6728">
        <w:rPr>
          <w:sz w:val="16"/>
          <w:szCs w:val="16"/>
          <w:lang w:val="en-US"/>
        </w:rPr>
        <w:t>, 40-41 (laatste consultatie 13.05.2023).</w:t>
      </w:r>
    </w:p>
  </w:footnote>
  <w:footnote w:id="97">
    <w:p w14:paraId="4C3DA431" w14:textId="5B3781CA"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2073E7">
        <w:rPr>
          <w:sz w:val="16"/>
          <w:szCs w:val="16"/>
          <w:lang w:val="en-US"/>
        </w:rPr>
        <w:t xml:space="preserve"> “De </w:t>
      </w:r>
      <w:proofErr w:type="spellStart"/>
      <w:r w:rsidRPr="002073E7">
        <w:rPr>
          <w:sz w:val="16"/>
          <w:szCs w:val="16"/>
          <w:lang w:val="en-US"/>
        </w:rPr>
        <w:t>eerste</w:t>
      </w:r>
      <w:proofErr w:type="spellEnd"/>
      <w:r w:rsidRPr="002073E7">
        <w:rPr>
          <w:sz w:val="16"/>
          <w:szCs w:val="16"/>
          <w:lang w:val="en-US"/>
        </w:rPr>
        <w:t xml:space="preserve"> </w:t>
      </w:r>
      <w:proofErr w:type="spellStart"/>
      <w:r w:rsidRPr="002073E7">
        <w:rPr>
          <w:sz w:val="16"/>
          <w:szCs w:val="16"/>
          <w:lang w:val="en-US"/>
        </w:rPr>
        <w:t>overweging</w:t>
      </w:r>
      <w:proofErr w:type="spellEnd"/>
      <w:r w:rsidRPr="002073E7">
        <w:rPr>
          <w:sz w:val="16"/>
          <w:szCs w:val="16"/>
          <w:lang w:val="en-US"/>
        </w:rPr>
        <w:t xml:space="preserve">” is </w:t>
      </w:r>
      <w:proofErr w:type="spellStart"/>
      <w:r w:rsidRPr="002073E7">
        <w:rPr>
          <w:sz w:val="16"/>
          <w:szCs w:val="16"/>
          <w:lang w:val="en-US"/>
        </w:rPr>
        <w:t>een</w:t>
      </w:r>
      <w:proofErr w:type="spellEnd"/>
      <w:r w:rsidRPr="002073E7">
        <w:rPr>
          <w:sz w:val="16"/>
          <w:szCs w:val="16"/>
          <w:lang w:val="en-US"/>
        </w:rPr>
        <w:t xml:space="preserve"> </w:t>
      </w:r>
      <w:proofErr w:type="spellStart"/>
      <w:r w:rsidRPr="002073E7">
        <w:rPr>
          <w:sz w:val="16"/>
          <w:szCs w:val="16"/>
          <w:lang w:val="en-US"/>
        </w:rPr>
        <w:t>letterlijke</w:t>
      </w:r>
      <w:proofErr w:type="spellEnd"/>
      <w:r w:rsidRPr="002073E7">
        <w:rPr>
          <w:sz w:val="16"/>
          <w:szCs w:val="16"/>
          <w:lang w:val="en-US"/>
        </w:rPr>
        <w:t xml:space="preserve"> </w:t>
      </w:r>
      <w:proofErr w:type="spellStart"/>
      <w:r w:rsidRPr="002073E7">
        <w:rPr>
          <w:sz w:val="16"/>
          <w:szCs w:val="16"/>
          <w:lang w:val="en-US"/>
        </w:rPr>
        <w:t>vertaling</w:t>
      </w:r>
      <w:proofErr w:type="spellEnd"/>
      <w:r w:rsidRPr="002073E7">
        <w:rPr>
          <w:sz w:val="16"/>
          <w:szCs w:val="16"/>
          <w:lang w:val="en-US"/>
        </w:rPr>
        <w:t xml:space="preserve"> van “a primary consideration” maar </w:t>
      </w:r>
      <w:proofErr w:type="spellStart"/>
      <w:r w:rsidRPr="002073E7">
        <w:rPr>
          <w:sz w:val="16"/>
          <w:szCs w:val="16"/>
          <w:lang w:val="en-US"/>
        </w:rPr>
        <w:t>impliceert</w:t>
      </w:r>
      <w:proofErr w:type="spellEnd"/>
      <w:r w:rsidRPr="002073E7">
        <w:rPr>
          <w:sz w:val="16"/>
          <w:szCs w:val="16"/>
          <w:lang w:val="en-US"/>
        </w:rPr>
        <w:t xml:space="preserve"> </w:t>
      </w:r>
      <w:proofErr w:type="spellStart"/>
      <w:r w:rsidRPr="002073E7">
        <w:rPr>
          <w:sz w:val="16"/>
          <w:szCs w:val="16"/>
          <w:lang w:val="en-US"/>
        </w:rPr>
        <w:t>niet</w:t>
      </w:r>
      <w:proofErr w:type="spellEnd"/>
      <w:r w:rsidRPr="002073E7">
        <w:rPr>
          <w:sz w:val="16"/>
          <w:szCs w:val="16"/>
          <w:lang w:val="en-US"/>
        </w:rPr>
        <w:t xml:space="preserve"> </w:t>
      </w:r>
      <w:proofErr w:type="spellStart"/>
      <w:r w:rsidRPr="002073E7">
        <w:rPr>
          <w:sz w:val="16"/>
          <w:szCs w:val="16"/>
          <w:lang w:val="en-US"/>
        </w:rPr>
        <w:t>dat</w:t>
      </w:r>
      <w:proofErr w:type="spellEnd"/>
      <w:r w:rsidRPr="002073E7">
        <w:rPr>
          <w:sz w:val="16"/>
          <w:szCs w:val="16"/>
          <w:lang w:val="en-US"/>
        </w:rPr>
        <w:t xml:space="preserve"> het </w:t>
      </w:r>
      <w:proofErr w:type="spellStart"/>
      <w:r w:rsidRPr="002073E7">
        <w:rPr>
          <w:sz w:val="16"/>
          <w:szCs w:val="16"/>
          <w:lang w:val="en-US"/>
        </w:rPr>
        <w:t>belang</w:t>
      </w:r>
      <w:proofErr w:type="spellEnd"/>
      <w:r w:rsidRPr="002073E7">
        <w:rPr>
          <w:sz w:val="16"/>
          <w:szCs w:val="16"/>
          <w:lang w:val="en-US"/>
        </w:rPr>
        <w:t xml:space="preserve"> van het kind steeds de </w:t>
      </w:r>
      <w:proofErr w:type="spellStart"/>
      <w:r w:rsidRPr="002073E7">
        <w:rPr>
          <w:sz w:val="16"/>
          <w:szCs w:val="16"/>
          <w:lang w:val="en-US"/>
        </w:rPr>
        <w:t>enige</w:t>
      </w:r>
      <w:proofErr w:type="spellEnd"/>
      <w:r w:rsidRPr="002073E7">
        <w:rPr>
          <w:sz w:val="16"/>
          <w:szCs w:val="16"/>
          <w:lang w:val="en-US"/>
        </w:rPr>
        <w:t xml:space="preserve"> </w:t>
      </w:r>
      <w:proofErr w:type="spellStart"/>
      <w:r w:rsidRPr="002073E7">
        <w:rPr>
          <w:sz w:val="16"/>
          <w:szCs w:val="16"/>
          <w:lang w:val="en-US"/>
        </w:rPr>
        <w:t>overweging</w:t>
      </w:r>
      <w:proofErr w:type="spellEnd"/>
      <w:r w:rsidRPr="002073E7">
        <w:rPr>
          <w:sz w:val="16"/>
          <w:szCs w:val="16"/>
          <w:lang w:val="en-US"/>
        </w:rPr>
        <w:t xml:space="preserve"> </w:t>
      </w:r>
      <w:proofErr w:type="spellStart"/>
      <w:r w:rsidRPr="002073E7">
        <w:rPr>
          <w:sz w:val="16"/>
          <w:szCs w:val="16"/>
          <w:lang w:val="en-US"/>
        </w:rPr>
        <w:t>vormt</w:t>
      </w:r>
      <w:proofErr w:type="spellEnd"/>
      <w:r w:rsidR="002073E7" w:rsidRPr="002073E7">
        <w:rPr>
          <w:sz w:val="16"/>
          <w:szCs w:val="16"/>
          <w:lang w:val="en-US"/>
        </w:rPr>
        <w:t xml:space="preserve">; </w:t>
      </w:r>
      <w:r w:rsidR="002073E7" w:rsidRPr="004F6728">
        <w:rPr>
          <w:sz w:val="16"/>
          <w:szCs w:val="16"/>
          <w:lang w:val="en-US"/>
        </w:rPr>
        <w:t>G. GONZALEZ, “</w:t>
      </w:r>
      <w:proofErr w:type="spellStart"/>
      <w:r w:rsidR="002073E7" w:rsidRPr="004F6728">
        <w:rPr>
          <w:sz w:val="16"/>
          <w:szCs w:val="16"/>
          <w:lang w:val="en-US"/>
        </w:rPr>
        <w:t>L’incertaine</w:t>
      </w:r>
      <w:proofErr w:type="spellEnd"/>
      <w:r w:rsidR="002073E7" w:rsidRPr="004F6728">
        <w:rPr>
          <w:sz w:val="16"/>
          <w:szCs w:val="16"/>
          <w:lang w:val="en-US"/>
        </w:rPr>
        <w:t xml:space="preserve"> </w:t>
      </w:r>
      <w:proofErr w:type="spellStart"/>
      <w:r w:rsidR="002073E7" w:rsidRPr="004F6728">
        <w:rPr>
          <w:sz w:val="16"/>
          <w:szCs w:val="16"/>
          <w:lang w:val="en-US"/>
        </w:rPr>
        <w:t>hiérarchie</w:t>
      </w:r>
      <w:proofErr w:type="spellEnd"/>
      <w:r w:rsidR="002073E7" w:rsidRPr="004F6728">
        <w:rPr>
          <w:sz w:val="16"/>
          <w:szCs w:val="16"/>
          <w:lang w:val="en-US"/>
        </w:rPr>
        <w:t xml:space="preserve"> des </w:t>
      </w:r>
      <w:proofErr w:type="spellStart"/>
      <w:r w:rsidR="002073E7" w:rsidRPr="004F6728">
        <w:rPr>
          <w:sz w:val="16"/>
          <w:szCs w:val="16"/>
          <w:lang w:val="en-US"/>
        </w:rPr>
        <w:t>intérêts</w:t>
      </w:r>
      <w:proofErr w:type="spellEnd"/>
      <w:r w:rsidR="002073E7" w:rsidRPr="004F6728">
        <w:rPr>
          <w:sz w:val="16"/>
          <w:szCs w:val="16"/>
          <w:lang w:val="en-US"/>
        </w:rPr>
        <w:t xml:space="preserve"> en </w:t>
      </w:r>
      <w:proofErr w:type="spellStart"/>
      <w:r w:rsidR="002073E7" w:rsidRPr="004F6728">
        <w:rPr>
          <w:sz w:val="16"/>
          <w:szCs w:val="16"/>
          <w:lang w:val="en-US"/>
        </w:rPr>
        <w:t>conflit</w:t>
      </w:r>
      <w:proofErr w:type="spellEnd"/>
      <w:r w:rsidR="002073E7" w:rsidRPr="004F6728">
        <w:rPr>
          <w:sz w:val="16"/>
          <w:szCs w:val="16"/>
          <w:lang w:val="en-US"/>
        </w:rPr>
        <w:t xml:space="preserve">” in F. SUDRE (ed.), </w:t>
      </w:r>
      <w:r w:rsidR="002073E7" w:rsidRPr="004F6728">
        <w:rPr>
          <w:i/>
          <w:iCs/>
          <w:sz w:val="16"/>
          <w:szCs w:val="16"/>
          <w:lang w:val="en-US"/>
        </w:rPr>
        <w:t xml:space="preserve">Les </w:t>
      </w:r>
      <w:proofErr w:type="spellStart"/>
      <w:r w:rsidR="002073E7" w:rsidRPr="004F6728">
        <w:rPr>
          <w:i/>
          <w:iCs/>
          <w:sz w:val="16"/>
          <w:szCs w:val="16"/>
          <w:lang w:val="en-US"/>
        </w:rPr>
        <w:t>conflits</w:t>
      </w:r>
      <w:proofErr w:type="spellEnd"/>
      <w:r w:rsidR="002073E7" w:rsidRPr="004F6728">
        <w:rPr>
          <w:i/>
          <w:iCs/>
          <w:sz w:val="16"/>
          <w:szCs w:val="16"/>
          <w:lang w:val="en-US"/>
        </w:rPr>
        <w:t xml:space="preserve"> de droits dans la jurisprudence de la </w:t>
      </w:r>
      <w:proofErr w:type="spellStart"/>
      <w:r w:rsidR="002073E7" w:rsidRPr="004F6728">
        <w:rPr>
          <w:i/>
          <w:iCs/>
          <w:sz w:val="16"/>
          <w:szCs w:val="16"/>
          <w:lang w:val="en-US"/>
        </w:rPr>
        <w:t>Cour</w:t>
      </w:r>
      <w:proofErr w:type="spellEnd"/>
      <w:r w:rsidR="002073E7" w:rsidRPr="004F6728">
        <w:rPr>
          <w:i/>
          <w:iCs/>
          <w:sz w:val="16"/>
          <w:szCs w:val="16"/>
          <w:lang w:val="en-US"/>
        </w:rPr>
        <w:t xml:space="preserve"> </w:t>
      </w:r>
      <w:proofErr w:type="spellStart"/>
      <w:r w:rsidR="002073E7" w:rsidRPr="004F6728">
        <w:rPr>
          <w:i/>
          <w:iCs/>
          <w:sz w:val="16"/>
          <w:szCs w:val="16"/>
          <w:lang w:val="en-US"/>
        </w:rPr>
        <w:t>européenne</w:t>
      </w:r>
      <w:proofErr w:type="spellEnd"/>
      <w:r w:rsidR="002073E7" w:rsidRPr="004F6728">
        <w:rPr>
          <w:i/>
          <w:iCs/>
          <w:sz w:val="16"/>
          <w:szCs w:val="16"/>
          <w:lang w:val="en-US"/>
        </w:rPr>
        <w:t xml:space="preserve"> des droits de </w:t>
      </w:r>
      <w:proofErr w:type="spellStart"/>
      <w:r w:rsidR="002073E7" w:rsidRPr="004F6728">
        <w:rPr>
          <w:i/>
          <w:iCs/>
          <w:sz w:val="16"/>
          <w:szCs w:val="16"/>
          <w:lang w:val="en-US"/>
        </w:rPr>
        <w:t>l’homme</w:t>
      </w:r>
      <w:proofErr w:type="spellEnd"/>
      <w:r w:rsidR="002073E7" w:rsidRPr="004F6728">
        <w:rPr>
          <w:i/>
          <w:iCs/>
          <w:sz w:val="16"/>
          <w:szCs w:val="16"/>
          <w:lang w:val="en-US"/>
        </w:rPr>
        <w:t>,</w:t>
      </w:r>
      <w:r w:rsidR="002073E7" w:rsidRPr="004F6728">
        <w:rPr>
          <w:sz w:val="16"/>
          <w:szCs w:val="16"/>
          <w:lang w:val="en-US"/>
        </w:rPr>
        <w:t xml:space="preserve"> </w:t>
      </w:r>
      <w:proofErr w:type="spellStart"/>
      <w:r w:rsidR="002073E7" w:rsidRPr="004F6728">
        <w:rPr>
          <w:sz w:val="16"/>
          <w:szCs w:val="16"/>
          <w:lang w:val="en-US"/>
        </w:rPr>
        <w:t>Limal</w:t>
      </w:r>
      <w:proofErr w:type="spellEnd"/>
      <w:r w:rsidR="002073E7" w:rsidRPr="004F6728">
        <w:rPr>
          <w:sz w:val="16"/>
          <w:szCs w:val="16"/>
          <w:lang w:val="en-US"/>
        </w:rPr>
        <w:t>, Anthemis, 2014, 236</w:t>
      </w:r>
      <w:r w:rsidR="002073E7">
        <w:rPr>
          <w:sz w:val="16"/>
          <w:szCs w:val="16"/>
          <w:lang w:val="en-US"/>
        </w:rPr>
        <w:t xml:space="preserve">; </w:t>
      </w:r>
      <w:r w:rsidRPr="002073E7">
        <w:rPr>
          <w:sz w:val="16"/>
          <w:szCs w:val="16"/>
          <w:lang w:val="en-US"/>
        </w:rPr>
        <w:t xml:space="preserve">J. </w:t>
      </w:r>
      <w:r w:rsidRPr="004F6728">
        <w:rPr>
          <w:sz w:val="16"/>
          <w:szCs w:val="16"/>
          <w:lang w:val="en-US"/>
        </w:rPr>
        <w:t xml:space="preserve">ZERMATTEN, “The Best Interests of the Child Principle: Literal Analysis and Function”, </w:t>
      </w:r>
      <w:r w:rsidRPr="004F6728">
        <w:rPr>
          <w:i/>
          <w:iCs/>
          <w:sz w:val="16"/>
          <w:szCs w:val="16"/>
          <w:lang w:val="en-US"/>
        </w:rPr>
        <w:t>International Journal of Children’s Rights</w:t>
      </w:r>
      <w:r w:rsidRPr="004F6728">
        <w:rPr>
          <w:sz w:val="16"/>
          <w:szCs w:val="16"/>
          <w:lang w:val="en-US"/>
        </w:rPr>
        <w:t xml:space="preserve"> 2010, </w:t>
      </w:r>
      <w:r w:rsidR="002073E7">
        <w:rPr>
          <w:sz w:val="16"/>
          <w:szCs w:val="16"/>
          <w:lang w:val="en-US"/>
        </w:rPr>
        <w:t xml:space="preserve">(483) </w:t>
      </w:r>
      <w:r w:rsidRPr="004F6728">
        <w:rPr>
          <w:sz w:val="16"/>
          <w:szCs w:val="16"/>
          <w:lang w:val="en-US"/>
        </w:rPr>
        <w:t>489.</w:t>
      </w:r>
    </w:p>
  </w:footnote>
  <w:footnote w:id="98">
    <w:p w14:paraId="73D0DA8B" w14:textId="77777777"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General Comment no. 14 of the UN Committee on the Rights of the Child on the right of the child to have his or her best interests taken as a primary consideration, 29 </w:t>
      </w:r>
      <w:proofErr w:type="spellStart"/>
      <w:r w:rsidRPr="004F6728">
        <w:rPr>
          <w:sz w:val="16"/>
          <w:szCs w:val="16"/>
          <w:lang w:val="en-US"/>
        </w:rPr>
        <w:t>mei</w:t>
      </w:r>
      <w:proofErr w:type="spellEnd"/>
      <w:r w:rsidRPr="004F6728">
        <w:rPr>
          <w:sz w:val="16"/>
          <w:szCs w:val="16"/>
          <w:lang w:val="en-US"/>
        </w:rPr>
        <w:t xml:space="preserve"> 2013, CRC/C/GC/14, §6a.</w:t>
      </w:r>
    </w:p>
  </w:footnote>
  <w:footnote w:id="99">
    <w:p w14:paraId="223B12D0" w14:textId="39441463" w:rsidR="00C57AF9" w:rsidRPr="0086280A" w:rsidRDefault="00C57AF9" w:rsidP="005C4D5C">
      <w:pPr>
        <w:jc w:val="both"/>
        <w:rPr>
          <w:rFonts w:eastAsia="Verdana" w:cs="Verdana"/>
          <w:sz w:val="16"/>
          <w:szCs w:val="16"/>
          <w:highlight w:val="white"/>
          <w:lang w:val="nl-NL"/>
        </w:rPr>
      </w:pPr>
      <w:r w:rsidRPr="0086280A">
        <w:rPr>
          <w:rStyle w:val="Voetnootmarkering"/>
          <w:sz w:val="16"/>
          <w:szCs w:val="16"/>
          <w:lang w:val="nl-NL"/>
        </w:rPr>
        <w:footnoteRef/>
      </w:r>
      <w:r w:rsidRPr="0086280A">
        <w:rPr>
          <w:sz w:val="16"/>
          <w:szCs w:val="16"/>
          <w:lang w:val="nl-NL"/>
        </w:rPr>
        <w:t xml:space="preserve"> Zie J. </w:t>
      </w:r>
      <w:r w:rsidRPr="0086280A">
        <w:rPr>
          <w:rFonts w:eastAsia="Verdana" w:cs="Verdana"/>
          <w:sz w:val="16"/>
          <w:szCs w:val="16"/>
          <w:highlight w:val="white"/>
          <w:lang w:val="nl-NL"/>
        </w:rPr>
        <w:t xml:space="preserve">GOLDSTEIN, A. FREUD en A.-J. SOLNIT, </w:t>
      </w:r>
      <w:r w:rsidRPr="0086280A">
        <w:rPr>
          <w:rFonts w:eastAsia="Verdana" w:cs="Verdana"/>
          <w:i/>
          <w:sz w:val="16"/>
          <w:szCs w:val="16"/>
          <w:highlight w:val="white"/>
          <w:lang w:val="nl-NL"/>
        </w:rPr>
        <w:t xml:space="preserve">De toverformule: in het belang van het kind, </w:t>
      </w:r>
      <w:r w:rsidRPr="0086280A">
        <w:rPr>
          <w:rFonts w:eastAsia="Verdana" w:cs="Verdana"/>
          <w:sz w:val="16"/>
          <w:szCs w:val="16"/>
          <w:highlight w:val="white"/>
          <w:lang w:val="nl-NL"/>
        </w:rPr>
        <w:t xml:space="preserve">Deventer, Kluwer, 1979, 188 p; G. CARDOL, </w:t>
      </w:r>
      <w:r w:rsidRPr="0086280A">
        <w:rPr>
          <w:rFonts w:eastAsia="Verdana" w:cs="Verdana"/>
          <w:i/>
          <w:sz w:val="16"/>
          <w:szCs w:val="16"/>
          <w:highlight w:val="white"/>
          <w:lang w:val="nl-NL"/>
        </w:rPr>
        <w:t>Kinderrechtenverdrag in de praktijk</w:t>
      </w:r>
      <w:r w:rsidRPr="0086280A">
        <w:rPr>
          <w:rFonts w:eastAsia="Verdana" w:cs="Verdana"/>
          <w:sz w:val="16"/>
          <w:szCs w:val="16"/>
          <w:highlight w:val="white"/>
          <w:lang w:val="nl-NL"/>
        </w:rPr>
        <w:t>, Alphen aan den Rijn, Kluwer, 2012, 211 p.</w:t>
      </w:r>
    </w:p>
  </w:footnote>
  <w:footnote w:id="100">
    <w:p w14:paraId="4F4D7CAB" w14:textId="73314E47"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008D3124">
        <w:rPr>
          <w:sz w:val="16"/>
          <w:szCs w:val="16"/>
          <w:lang w:val="en-US"/>
        </w:rPr>
        <w:t xml:space="preserve"> </w:t>
      </w:r>
      <w:r w:rsidRPr="004F6728">
        <w:rPr>
          <w:sz w:val="16"/>
          <w:szCs w:val="16"/>
          <w:lang w:val="en-US"/>
        </w:rPr>
        <w:t xml:space="preserve">J. PUT, </w:t>
      </w:r>
      <w:proofErr w:type="spellStart"/>
      <w:r w:rsidRPr="004F6728">
        <w:rPr>
          <w:i/>
          <w:iCs/>
          <w:sz w:val="16"/>
          <w:szCs w:val="16"/>
          <w:lang w:val="en-US"/>
        </w:rPr>
        <w:t>Handboek</w:t>
      </w:r>
      <w:proofErr w:type="spellEnd"/>
      <w:r w:rsidRPr="004F6728">
        <w:rPr>
          <w:i/>
          <w:iCs/>
          <w:sz w:val="16"/>
          <w:szCs w:val="16"/>
          <w:lang w:val="en-US"/>
        </w:rPr>
        <w:t xml:space="preserve"> </w:t>
      </w:r>
      <w:proofErr w:type="spellStart"/>
      <w:r w:rsidRPr="004F6728">
        <w:rPr>
          <w:i/>
          <w:iCs/>
          <w:sz w:val="16"/>
          <w:szCs w:val="16"/>
          <w:lang w:val="en-US"/>
        </w:rPr>
        <w:t>Jeugdbeschermingsrecht</w:t>
      </w:r>
      <w:proofErr w:type="spellEnd"/>
      <w:r w:rsidRPr="004F6728">
        <w:rPr>
          <w:sz w:val="16"/>
          <w:szCs w:val="16"/>
          <w:lang w:val="en-US"/>
        </w:rPr>
        <w:t xml:space="preserve">, </w:t>
      </w:r>
      <w:proofErr w:type="spellStart"/>
      <w:r w:rsidRPr="004F6728">
        <w:rPr>
          <w:sz w:val="16"/>
          <w:szCs w:val="16"/>
          <w:lang w:val="en-US"/>
        </w:rPr>
        <w:t>Brugge</w:t>
      </w:r>
      <w:proofErr w:type="spellEnd"/>
      <w:r w:rsidRPr="004F6728">
        <w:rPr>
          <w:sz w:val="16"/>
          <w:szCs w:val="16"/>
          <w:lang w:val="en-US"/>
        </w:rPr>
        <w:t xml:space="preserve">, die Keure, 2015, 12; J.C. LLORENS, “Presentation of general comment no. 14: strengths and limitations, points of consensus and dissent emerging in its drafting” in COUNCIL OF EUROPE, </w:t>
      </w:r>
      <w:r w:rsidRPr="004F6728">
        <w:rPr>
          <w:i/>
          <w:sz w:val="16"/>
          <w:szCs w:val="16"/>
          <w:lang w:val="en-US"/>
        </w:rPr>
        <w:t>The best interests of the child - a dialogue between theory and practice</w:t>
      </w:r>
      <w:r w:rsidRPr="004F6728">
        <w:rPr>
          <w:sz w:val="16"/>
          <w:szCs w:val="16"/>
          <w:lang w:val="en-US"/>
        </w:rPr>
        <w:t xml:space="preserve">, </w:t>
      </w:r>
      <w:proofErr w:type="spellStart"/>
      <w:r w:rsidRPr="004F6728">
        <w:rPr>
          <w:sz w:val="16"/>
          <w:szCs w:val="16"/>
          <w:lang w:val="en-US"/>
        </w:rPr>
        <w:t>Straatsburg</w:t>
      </w:r>
      <w:proofErr w:type="spellEnd"/>
      <w:r w:rsidRPr="004F6728">
        <w:rPr>
          <w:sz w:val="16"/>
          <w:szCs w:val="16"/>
          <w:lang w:val="en-US"/>
        </w:rPr>
        <w:t>, Council of Europe Publishing, 2016, 12-13</w:t>
      </w:r>
      <w:r w:rsidR="008D3124">
        <w:rPr>
          <w:sz w:val="16"/>
          <w:szCs w:val="16"/>
          <w:lang w:val="en-US"/>
        </w:rPr>
        <w:t xml:space="preserve">; </w:t>
      </w:r>
      <w:r w:rsidR="008D3124" w:rsidRPr="004F6728">
        <w:rPr>
          <w:sz w:val="16"/>
          <w:szCs w:val="16"/>
          <w:lang w:val="en-US"/>
        </w:rPr>
        <w:t xml:space="preserve">E. DE KEZEL, “Het begrip ‘Het </w:t>
      </w:r>
      <w:proofErr w:type="spellStart"/>
      <w:r w:rsidR="008D3124" w:rsidRPr="004F6728">
        <w:rPr>
          <w:sz w:val="16"/>
          <w:szCs w:val="16"/>
          <w:lang w:val="en-US"/>
        </w:rPr>
        <w:t>belang</w:t>
      </w:r>
      <w:proofErr w:type="spellEnd"/>
      <w:r w:rsidR="008D3124" w:rsidRPr="004F6728">
        <w:rPr>
          <w:sz w:val="16"/>
          <w:szCs w:val="16"/>
          <w:lang w:val="en-US"/>
        </w:rPr>
        <w:t xml:space="preserve"> van het kind’”, </w:t>
      </w:r>
      <w:r w:rsidR="008D3124" w:rsidRPr="004F6728">
        <w:rPr>
          <w:i/>
          <w:sz w:val="16"/>
          <w:szCs w:val="16"/>
          <w:lang w:val="en-US"/>
        </w:rPr>
        <w:t>RW</w:t>
      </w:r>
      <w:r w:rsidR="008D3124" w:rsidRPr="004F6728">
        <w:rPr>
          <w:sz w:val="16"/>
          <w:szCs w:val="16"/>
          <w:lang w:val="en-US"/>
        </w:rPr>
        <w:t xml:space="preserve"> 1998-99, nr. 32, </w:t>
      </w:r>
      <w:r w:rsidR="00DD7724">
        <w:rPr>
          <w:sz w:val="16"/>
          <w:szCs w:val="16"/>
          <w:lang w:val="en-US"/>
        </w:rPr>
        <w:t xml:space="preserve">(1163) </w:t>
      </w:r>
      <w:r w:rsidR="008D3124" w:rsidRPr="004F6728">
        <w:rPr>
          <w:sz w:val="16"/>
          <w:szCs w:val="16"/>
          <w:lang w:val="en-US"/>
        </w:rPr>
        <w:t>116</w:t>
      </w:r>
      <w:r w:rsidR="00DD7724">
        <w:rPr>
          <w:sz w:val="16"/>
          <w:szCs w:val="16"/>
          <w:lang w:val="en-US"/>
        </w:rPr>
        <w:t>4</w:t>
      </w:r>
      <w:r w:rsidR="008D3124" w:rsidRPr="004F6728">
        <w:rPr>
          <w:sz w:val="16"/>
          <w:szCs w:val="16"/>
          <w:lang w:val="en-US"/>
        </w:rPr>
        <w:t>-1167</w:t>
      </w:r>
      <w:r w:rsidRPr="004F6728">
        <w:rPr>
          <w:sz w:val="16"/>
          <w:szCs w:val="16"/>
          <w:lang w:val="en-US"/>
        </w:rPr>
        <w:t>.</w:t>
      </w:r>
    </w:p>
  </w:footnote>
  <w:footnote w:id="101">
    <w:p w14:paraId="0DC1E154" w14:textId="1A58DD03"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U. CERULUS, </w:t>
      </w:r>
      <w:r w:rsidRPr="0086280A">
        <w:rPr>
          <w:i/>
          <w:iCs/>
          <w:sz w:val="16"/>
          <w:szCs w:val="16"/>
          <w:lang w:val="nl-NL"/>
        </w:rPr>
        <w:t>Een statuut voor de zorgouder in het licht van de grondrechtenbescherming</w:t>
      </w:r>
      <w:r w:rsidRPr="0086280A">
        <w:rPr>
          <w:sz w:val="16"/>
          <w:szCs w:val="16"/>
          <w:lang w:val="nl-NL"/>
        </w:rPr>
        <w:t xml:space="preserve">, Brugge, die Keure, 2019, 183; L. TAVECCHIO en B. VANOBBERGEN, “In het belang van het kind </w:t>
      </w:r>
      <w:r w:rsidRPr="0086280A">
        <w:rPr>
          <w:i/>
          <w:iCs/>
          <w:sz w:val="16"/>
          <w:szCs w:val="16"/>
          <w:lang w:val="nl-NL"/>
        </w:rPr>
        <w:t>of</w:t>
      </w:r>
      <w:r w:rsidRPr="0086280A">
        <w:rPr>
          <w:sz w:val="16"/>
          <w:szCs w:val="16"/>
          <w:lang w:val="nl-NL"/>
        </w:rPr>
        <w:t xml:space="preserve"> in het belang van het kind en de ouders?”, </w:t>
      </w:r>
      <w:r w:rsidRPr="0086280A">
        <w:rPr>
          <w:i/>
          <w:iCs/>
          <w:sz w:val="16"/>
          <w:szCs w:val="16"/>
          <w:lang w:val="nl-NL"/>
        </w:rPr>
        <w:t>Pedagogiek</w:t>
      </w:r>
      <w:r w:rsidRPr="0086280A">
        <w:rPr>
          <w:sz w:val="16"/>
          <w:szCs w:val="16"/>
          <w:lang w:val="nl-NL"/>
        </w:rPr>
        <w:t xml:space="preserve"> 2020, vol. 40, nr. 2, </w:t>
      </w:r>
      <w:r w:rsidR="00DD7724">
        <w:rPr>
          <w:sz w:val="16"/>
          <w:szCs w:val="16"/>
          <w:lang w:val="nl-NL"/>
        </w:rPr>
        <w:t xml:space="preserve">(167) </w:t>
      </w:r>
      <w:r w:rsidRPr="0086280A">
        <w:rPr>
          <w:sz w:val="16"/>
          <w:szCs w:val="16"/>
          <w:lang w:val="nl-NL"/>
        </w:rPr>
        <w:t>168.</w:t>
      </w:r>
    </w:p>
  </w:footnote>
  <w:footnote w:id="102">
    <w:p w14:paraId="51A6193A" w14:textId="12A6AB10"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w:t>
      </w:r>
      <w:r w:rsidRPr="004F6728">
        <w:rPr>
          <w:rFonts w:eastAsia="Verdana" w:cs="Verdana"/>
          <w:sz w:val="16"/>
          <w:szCs w:val="16"/>
          <w:lang w:val="en-US" w:eastAsia="nl-NL"/>
        </w:rPr>
        <w:t xml:space="preserve">General Comment no. 14 of the UN Committee on the Rights of the Child on the right of the child to have his or her best interests taken as a primary consideration, 29 </w:t>
      </w:r>
      <w:proofErr w:type="spellStart"/>
      <w:r w:rsidRPr="004F6728">
        <w:rPr>
          <w:rFonts w:eastAsia="Verdana" w:cs="Verdana"/>
          <w:sz w:val="16"/>
          <w:szCs w:val="16"/>
          <w:lang w:val="en-US" w:eastAsia="nl-NL"/>
        </w:rPr>
        <w:t>mei</w:t>
      </w:r>
      <w:proofErr w:type="spellEnd"/>
      <w:r w:rsidRPr="004F6728">
        <w:rPr>
          <w:rFonts w:eastAsia="Verdana" w:cs="Verdana"/>
          <w:sz w:val="16"/>
          <w:szCs w:val="16"/>
          <w:lang w:val="en-US" w:eastAsia="nl-NL"/>
        </w:rPr>
        <w:t xml:space="preserve"> 2013, CRC/C/GC/14</w:t>
      </w:r>
      <w:r w:rsidRPr="004F6728">
        <w:rPr>
          <w:rFonts w:eastAsia="Verdana" w:cs="Verdana"/>
          <w:sz w:val="16"/>
          <w:szCs w:val="16"/>
          <w:lang w:val="en-US"/>
        </w:rPr>
        <w:t xml:space="preserve">, §37; </w:t>
      </w:r>
      <w:r w:rsidRPr="004F6728">
        <w:rPr>
          <w:sz w:val="16"/>
          <w:szCs w:val="16"/>
          <w:lang w:val="en-US"/>
        </w:rPr>
        <w:t xml:space="preserve">M. FREEMAN, “Article 3. The Best Interests of the Child” in A. ALEN, J. VANDE LANOTTE, E. VERHELLEN, F. ANG, E. BERGHMANS en M. VERHEYDE (eds.), </w:t>
      </w:r>
      <w:r w:rsidRPr="004F6728">
        <w:rPr>
          <w:i/>
          <w:iCs/>
          <w:sz w:val="16"/>
          <w:szCs w:val="16"/>
          <w:lang w:val="en-US"/>
        </w:rPr>
        <w:t>A commentary on the United Nations Convention on the Rights of the Child</w:t>
      </w:r>
      <w:r w:rsidRPr="004F6728">
        <w:rPr>
          <w:sz w:val="16"/>
          <w:szCs w:val="16"/>
          <w:lang w:val="en-US"/>
        </w:rPr>
        <w:t xml:space="preserve">, Leiden, </w:t>
      </w:r>
      <w:proofErr w:type="spellStart"/>
      <w:r w:rsidRPr="004F6728">
        <w:rPr>
          <w:sz w:val="16"/>
          <w:szCs w:val="16"/>
          <w:lang w:val="en-US"/>
        </w:rPr>
        <w:t>Martinus</w:t>
      </w:r>
      <w:proofErr w:type="spellEnd"/>
      <w:r w:rsidRPr="004F6728">
        <w:rPr>
          <w:sz w:val="16"/>
          <w:szCs w:val="16"/>
          <w:lang w:val="en-US"/>
        </w:rPr>
        <w:t xml:space="preserve"> </w:t>
      </w:r>
      <w:proofErr w:type="spellStart"/>
      <w:r w:rsidRPr="004F6728">
        <w:rPr>
          <w:sz w:val="16"/>
          <w:szCs w:val="16"/>
          <w:lang w:val="en-US"/>
        </w:rPr>
        <w:t>Nijhoff</w:t>
      </w:r>
      <w:proofErr w:type="spellEnd"/>
      <w:r w:rsidRPr="004F6728">
        <w:rPr>
          <w:sz w:val="16"/>
          <w:szCs w:val="16"/>
          <w:lang w:val="en-US"/>
        </w:rPr>
        <w:t xml:space="preserve"> Publishers, 2007, 5-9; M. MALLIEN, </w:t>
      </w:r>
      <w:r w:rsidRPr="004F6728">
        <w:rPr>
          <w:i/>
          <w:sz w:val="16"/>
          <w:szCs w:val="16"/>
          <w:lang w:val="en-US"/>
        </w:rPr>
        <w:t xml:space="preserve">Le </w:t>
      </w:r>
      <w:proofErr w:type="spellStart"/>
      <w:r w:rsidRPr="004F6728">
        <w:rPr>
          <w:i/>
          <w:sz w:val="16"/>
          <w:szCs w:val="16"/>
          <w:lang w:val="en-US"/>
        </w:rPr>
        <w:t>contentieux</w:t>
      </w:r>
      <w:proofErr w:type="spellEnd"/>
      <w:r w:rsidRPr="004F6728">
        <w:rPr>
          <w:i/>
          <w:sz w:val="16"/>
          <w:szCs w:val="16"/>
          <w:lang w:val="en-US"/>
        </w:rPr>
        <w:t xml:space="preserve"> </w:t>
      </w:r>
      <w:proofErr w:type="spellStart"/>
      <w:r w:rsidRPr="004F6728">
        <w:rPr>
          <w:i/>
          <w:sz w:val="16"/>
          <w:szCs w:val="16"/>
          <w:lang w:val="en-US"/>
        </w:rPr>
        <w:t>judiciaire</w:t>
      </w:r>
      <w:proofErr w:type="spellEnd"/>
      <w:r w:rsidRPr="004F6728">
        <w:rPr>
          <w:i/>
          <w:sz w:val="16"/>
          <w:szCs w:val="16"/>
          <w:lang w:val="en-US"/>
        </w:rPr>
        <w:t xml:space="preserve"> parental à </w:t>
      </w:r>
      <w:proofErr w:type="spellStart"/>
      <w:r w:rsidRPr="004F6728">
        <w:rPr>
          <w:i/>
          <w:sz w:val="16"/>
          <w:szCs w:val="16"/>
          <w:lang w:val="en-US"/>
        </w:rPr>
        <w:t>propos</w:t>
      </w:r>
      <w:proofErr w:type="spellEnd"/>
      <w:r w:rsidRPr="004F6728">
        <w:rPr>
          <w:i/>
          <w:sz w:val="16"/>
          <w:szCs w:val="16"/>
          <w:lang w:val="en-US"/>
        </w:rPr>
        <w:t xml:space="preserve"> de </w:t>
      </w:r>
      <w:proofErr w:type="spellStart"/>
      <w:r w:rsidRPr="004F6728">
        <w:rPr>
          <w:i/>
          <w:sz w:val="16"/>
          <w:szCs w:val="16"/>
          <w:lang w:val="en-US"/>
        </w:rPr>
        <w:t>l’éducation</w:t>
      </w:r>
      <w:proofErr w:type="spellEnd"/>
      <w:r w:rsidRPr="004F6728">
        <w:rPr>
          <w:i/>
          <w:sz w:val="16"/>
          <w:szCs w:val="16"/>
          <w:lang w:val="en-US"/>
        </w:rPr>
        <w:t xml:space="preserve"> de </w:t>
      </w:r>
      <w:proofErr w:type="spellStart"/>
      <w:r w:rsidRPr="004F6728">
        <w:rPr>
          <w:i/>
          <w:sz w:val="16"/>
          <w:szCs w:val="16"/>
          <w:lang w:val="en-US"/>
        </w:rPr>
        <w:t>l’enfant</w:t>
      </w:r>
      <w:proofErr w:type="spellEnd"/>
      <w:r w:rsidRPr="004F6728">
        <w:rPr>
          <w:i/>
          <w:sz w:val="16"/>
          <w:szCs w:val="16"/>
          <w:lang w:val="en-US"/>
        </w:rPr>
        <w:t xml:space="preserve">. </w:t>
      </w:r>
      <w:proofErr w:type="spellStart"/>
      <w:r w:rsidRPr="004F6728">
        <w:rPr>
          <w:i/>
          <w:sz w:val="16"/>
          <w:szCs w:val="16"/>
          <w:lang w:val="en-US"/>
        </w:rPr>
        <w:t>Hiérarchie</w:t>
      </w:r>
      <w:proofErr w:type="spellEnd"/>
      <w:r w:rsidRPr="004F6728">
        <w:rPr>
          <w:i/>
          <w:sz w:val="16"/>
          <w:szCs w:val="16"/>
          <w:lang w:val="en-US"/>
        </w:rPr>
        <w:t xml:space="preserve"> et </w:t>
      </w:r>
      <w:proofErr w:type="spellStart"/>
      <w:r w:rsidRPr="004F6728">
        <w:rPr>
          <w:i/>
          <w:sz w:val="16"/>
          <w:szCs w:val="16"/>
          <w:lang w:val="en-US"/>
        </w:rPr>
        <w:t>inventaire</w:t>
      </w:r>
      <w:proofErr w:type="spellEnd"/>
      <w:r w:rsidRPr="004F6728">
        <w:rPr>
          <w:i/>
          <w:sz w:val="16"/>
          <w:szCs w:val="16"/>
          <w:lang w:val="en-US"/>
        </w:rPr>
        <w:t xml:space="preserve"> des </w:t>
      </w:r>
      <w:proofErr w:type="spellStart"/>
      <w:r w:rsidRPr="004F6728">
        <w:rPr>
          <w:i/>
          <w:sz w:val="16"/>
          <w:szCs w:val="16"/>
          <w:lang w:val="en-US"/>
        </w:rPr>
        <w:t>principaux</w:t>
      </w:r>
      <w:proofErr w:type="spellEnd"/>
      <w:r w:rsidRPr="004F6728">
        <w:rPr>
          <w:i/>
          <w:sz w:val="16"/>
          <w:szCs w:val="16"/>
          <w:lang w:val="en-US"/>
        </w:rPr>
        <w:t xml:space="preserve"> </w:t>
      </w:r>
      <w:proofErr w:type="spellStart"/>
      <w:r w:rsidRPr="004F6728">
        <w:rPr>
          <w:i/>
          <w:sz w:val="16"/>
          <w:szCs w:val="16"/>
          <w:lang w:val="en-US"/>
        </w:rPr>
        <w:t>critères</w:t>
      </w:r>
      <w:proofErr w:type="spellEnd"/>
      <w:r w:rsidRPr="004F6728">
        <w:rPr>
          <w:i/>
          <w:sz w:val="16"/>
          <w:szCs w:val="16"/>
          <w:lang w:val="en-US"/>
        </w:rPr>
        <w:t xml:space="preserve"> </w:t>
      </w:r>
      <w:proofErr w:type="spellStart"/>
      <w:r w:rsidRPr="004F6728">
        <w:rPr>
          <w:i/>
          <w:sz w:val="16"/>
          <w:szCs w:val="16"/>
          <w:lang w:val="en-US"/>
        </w:rPr>
        <w:t>d’appréciation</w:t>
      </w:r>
      <w:proofErr w:type="spellEnd"/>
      <w:r w:rsidRPr="004F6728">
        <w:rPr>
          <w:i/>
          <w:sz w:val="16"/>
          <w:szCs w:val="16"/>
          <w:lang w:val="en-US"/>
        </w:rPr>
        <w:t xml:space="preserve"> </w:t>
      </w:r>
      <w:proofErr w:type="spellStart"/>
      <w:r w:rsidRPr="004F6728">
        <w:rPr>
          <w:i/>
          <w:sz w:val="16"/>
          <w:szCs w:val="16"/>
          <w:lang w:val="en-US"/>
        </w:rPr>
        <w:t>retenus</w:t>
      </w:r>
      <w:proofErr w:type="spellEnd"/>
      <w:r w:rsidRPr="004F6728">
        <w:rPr>
          <w:i/>
          <w:sz w:val="16"/>
          <w:szCs w:val="16"/>
          <w:lang w:val="en-US"/>
        </w:rPr>
        <w:t xml:space="preserve"> par les </w:t>
      </w:r>
      <w:proofErr w:type="spellStart"/>
      <w:r w:rsidRPr="004F6728">
        <w:rPr>
          <w:i/>
          <w:sz w:val="16"/>
          <w:szCs w:val="16"/>
          <w:lang w:val="en-US"/>
        </w:rPr>
        <w:t>juges</w:t>
      </w:r>
      <w:proofErr w:type="spellEnd"/>
      <w:r w:rsidRPr="004F6728">
        <w:rPr>
          <w:sz w:val="16"/>
          <w:szCs w:val="16"/>
          <w:lang w:val="en-US"/>
        </w:rPr>
        <w:t xml:space="preserve">, Brussel, </w:t>
      </w:r>
      <w:proofErr w:type="spellStart"/>
      <w:r w:rsidRPr="004F6728">
        <w:rPr>
          <w:sz w:val="16"/>
          <w:szCs w:val="16"/>
          <w:lang w:val="en-US"/>
        </w:rPr>
        <w:t>Larcier</w:t>
      </w:r>
      <w:proofErr w:type="spellEnd"/>
      <w:r w:rsidRPr="004F6728">
        <w:rPr>
          <w:sz w:val="16"/>
          <w:szCs w:val="16"/>
          <w:lang w:val="en-US"/>
        </w:rPr>
        <w:t>, 2017, 99.</w:t>
      </w:r>
    </w:p>
  </w:footnote>
  <w:footnote w:id="103">
    <w:p w14:paraId="2EF99254" w14:textId="7823C6FD"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Zie </w:t>
      </w:r>
      <w:proofErr w:type="spellStart"/>
      <w:r w:rsidRPr="004F6728">
        <w:rPr>
          <w:sz w:val="16"/>
          <w:szCs w:val="16"/>
          <w:lang w:val="en-US"/>
        </w:rPr>
        <w:t>voor</w:t>
      </w:r>
      <w:proofErr w:type="spellEnd"/>
      <w:r w:rsidRPr="004F6728">
        <w:rPr>
          <w:sz w:val="16"/>
          <w:szCs w:val="16"/>
          <w:lang w:val="en-US"/>
        </w:rPr>
        <w:t xml:space="preserve"> de </w:t>
      </w:r>
      <w:proofErr w:type="spellStart"/>
      <w:r w:rsidRPr="004F6728">
        <w:rPr>
          <w:sz w:val="16"/>
          <w:szCs w:val="16"/>
          <w:lang w:val="en-US"/>
        </w:rPr>
        <w:t>beoordeling</w:t>
      </w:r>
      <w:proofErr w:type="spellEnd"/>
      <w:r w:rsidRPr="004F6728">
        <w:rPr>
          <w:sz w:val="16"/>
          <w:szCs w:val="16"/>
          <w:lang w:val="en-US"/>
        </w:rPr>
        <w:t xml:space="preserve"> van de </w:t>
      </w:r>
      <w:proofErr w:type="spellStart"/>
      <w:r w:rsidRPr="004F6728">
        <w:rPr>
          <w:sz w:val="16"/>
          <w:szCs w:val="16"/>
          <w:lang w:val="en-US"/>
        </w:rPr>
        <w:t>ontwikkelende</w:t>
      </w:r>
      <w:proofErr w:type="spellEnd"/>
      <w:r w:rsidRPr="004F6728">
        <w:rPr>
          <w:sz w:val="16"/>
          <w:szCs w:val="16"/>
          <w:lang w:val="en-US"/>
        </w:rPr>
        <w:t xml:space="preserve"> </w:t>
      </w:r>
      <w:proofErr w:type="spellStart"/>
      <w:r w:rsidRPr="004F6728">
        <w:rPr>
          <w:sz w:val="16"/>
          <w:szCs w:val="16"/>
          <w:lang w:val="en-US"/>
        </w:rPr>
        <w:t>vermogens</w:t>
      </w:r>
      <w:proofErr w:type="spellEnd"/>
      <w:r w:rsidRPr="004F6728">
        <w:rPr>
          <w:sz w:val="16"/>
          <w:szCs w:val="16"/>
          <w:lang w:val="en-US"/>
        </w:rPr>
        <w:t xml:space="preserve"> van het kind </w:t>
      </w:r>
      <w:proofErr w:type="spellStart"/>
      <w:r w:rsidRPr="004F6728">
        <w:rPr>
          <w:sz w:val="16"/>
          <w:szCs w:val="16"/>
          <w:lang w:val="en-US"/>
        </w:rPr>
        <w:t>ook</w:t>
      </w:r>
      <w:proofErr w:type="spellEnd"/>
      <w:r w:rsidRPr="004F6728">
        <w:rPr>
          <w:sz w:val="16"/>
          <w:szCs w:val="16"/>
          <w:lang w:val="en-US"/>
        </w:rPr>
        <w:t xml:space="preserve"> het hoorrecht en het </w:t>
      </w:r>
      <w:proofErr w:type="spellStart"/>
      <w:r w:rsidRPr="004F6728">
        <w:rPr>
          <w:sz w:val="16"/>
          <w:szCs w:val="16"/>
          <w:lang w:val="en-US"/>
        </w:rPr>
        <w:t>recht</w:t>
      </w:r>
      <w:proofErr w:type="spellEnd"/>
      <w:r w:rsidRPr="004F6728">
        <w:rPr>
          <w:sz w:val="16"/>
          <w:szCs w:val="16"/>
          <w:lang w:val="en-US"/>
        </w:rPr>
        <w:t xml:space="preserve"> om </w:t>
      </w:r>
      <w:proofErr w:type="spellStart"/>
      <w:r w:rsidRPr="004F6728">
        <w:rPr>
          <w:sz w:val="16"/>
          <w:szCs w:val="16"/>
          <w:lang w:val="en-US"/>
        </w:rPr>
        <w:t>een</w:t>
      </w:r>
      <w:proofErr w:type="spellEnd"/>
      <w:r w:rsidRPr="004F6728">
        <w:rPr>
          <w:sz w:val="16"/>
          <w:szCs w:val="16"/>
          <w:lang w:val="en-US"/>
        </w:rPr>
        <w:t xml:space="preserve"> </w:t>
      </w:r>
      <w:proofErr w:type="spellStart"/>
      <w:r w:rsidRPr="004F6728">
        <w:rPr>
          <w:sz w:val="16"/>
          <w:szCs w:val="16"/>
          <w:lang w:val="en-US"/>
        </w:rPr>
        <w:t>mening</w:t>
      </w:r>
      <w:proofErr w:type="spellEnd"/>
      <w:r w:rsidRPr="004F6728">
        <w:rPr>
          <w:sz w:val="16"/>
          <w:szCs w:val="16"/>
          <w:lang w:val="en-US"/>
        </w:rPr>
        <w:t xml:space="preserve"> </w:t>
      </w:r>
      <w:proofErr w:type="spellStart"/>
      <w:r w:rsidRPr="004F6728">
        <w:rPr>
          <w:sz w:val="16"/>
          <w:szCs w:val="16"/>
          <w:lang w:val="en-US"/>
        </w:rPr>
        <w:t>te</w:t>
      </w:r>
      <w:proofErr w:type="spellEnd"/>
      <w:r w:rsidRPr="004F6728">
        <w:rPr>
          <w:sz w:val="16"/>
          <w:szCs w:val="16"/>
          <w:lang w:val="en-US"/>
        </w:rPr>
        <w:t xml:space="preserve"> </w:t>
      </w:r>
      <w:proofErr w:type="spellStart"/>
      <w:r w:rsidRPr="004F6728">
        <w:rPr>
          <w:sz w:val="16"/>
          <w:szCs w:val="16"/>
          <w:lang w:val="en-US"/>
        </w:rPr>
        <w:t>uiten</w:t>
      </w:r>
      <w:proofErr w:type="spellEnd"/>
      <w:r w:rsidRPr="004F6728">
        <w:rPr>
          <w:sz w:val="16"/>
          <w:szCs w:val="16"/>
          <w:lang w:val="en-US"/>
        </w:rPr>
        <w:t xml:space="preserve"> </w:t>
      </w:r>
      <w:proofErr w:type="spellStart"/>
      <w:r w:rsidRPr="004F6728">
        <w:rPr>
          <w:sz w:val="16"/>
          <w:szCs w:val="16"/>
          <w:lang w:val="en-US"/>
        </w:rPr>
        <w:t>onder</w:t>
      </w:r>
      <w:proofErr w:type="spellEnd"/>
      <w:r w:rsidRPr="004F6728">
        <w:rPr>
          <w:sz w:val="16"/>
          <w:szCs w:val="16"/>
          <w:lang w:val="en-US"/>
        </w:rPr>
        <w:t xml:space="preserve"> </w:t>
      </w:r>
      <w:proofErr w:type="spellStart"/>
      <w:r w:rsidRPr="004F6728">
        <w:rPr>
          <w:sz w:val="16"/>
          <w:szCs w:val="16"/>
          <w:lang w:val="en-US"/>
        </w:rPr>
        <w:t>artikel</w:t>
      </w:r>
      <w:proofErr w:type="spellEnd"/>
      <w:r w:rsidRPr="004F6728">
        <w:rPr>
          <w:sz w:val="16"/>
          <w:szCs w:val="16"/>
          <w:lang w:val="en-US"/>
        </w:rPr>
        <w:t xml:space="preserve"> 12 IVRK: </w:t>
      </w:r>
      <w:r w:rsidRPr="004F6728">
        <w:rPr>
          <w:rFonts w:eastAsia="Verdana" w:cs="Verdana"/>
          <w:sz w:val="16"/>
          <w:szCs w:val="16"/>
          <w:lang w:val="en-US"/>
        </w:rPr>
        <w:t xml:space="preserve">General Comment no. 12 of the UN Committee on the Rights of the Child on the right of the child to be heard, 1 </w:t>
      </w:r>
      <w:proofErr w:type="spellStart"/>
      <w:r w:rsidRPr="004F6728">
        <w:rPr>
          <w:rFonts w:eastAsia="Verdana" w:cs="Verdana"/>
          <w:sz w:val="16"/>
          <w:szCs w:val="16"/>
          <w:lang w:val="en-US"/>
        </w:rPr>
        <w:t>juli</w:t>
      </w:r>
      <w:proofErr w:type="spellEnd"/>
      <w:r w:rsidRPr="004F6728">
        <w:rPr>
          <w:rFonts w:eastAsia="Verdana" w:cs="Verdana"/>
          <w:sz w:val="16"/>
          <w:szCs w:val="16"/>
          <w:lang w:val="en-US"/>
        </w:rPr>
        <w:t xml:space="preserve"> 2019, CRC/C/GC/12, §20-21: “(…) it is not necessary that the child has comprehensive knowledge of all aspects of the matter affecting her or him, but that she or he has sufficient understanding to be capable of appropriately forming her or his own views on the matter”; </w:t>
      </w:r>
      <w:r w:rsidRPr="004F6728">
        <w:rPr>
          <w:rFonts w:eastAsia="Verdana" w:cs="Verdana"/>
          <w:sz w:val="16"/>
          <w:szCs w:val="16"/>
          <w:lang w:val="en-US" w:eastAsia="nl-NL"/>
        </w:rPr>
        <w:t xml:space="preserve">General Comment no. 14, of the UN Committee on the Rights of the Child on the right of the child to have his or her best interests taken as a primary consideration, 29 </w:t>
      </w:r>
      <w:proofErr w:type="spellStart"/>
      <w:r w:rsidRPr="004F6728">
        <w:rPr>
          <w:rFonts w:eastAsia="Verdana" w:cs="Verdana"/>
          <w:sz w:val="16"/>
          <w:szCs w:val="16"/>
          <w:lang w:val="en-US" w:eastAsia="nl-NL"/>
        </w:rPr>
        <w:t>mei</w:t>
      </w:r>
      <w:proofErr w:type="spellEnd"/>
      <w:r w:rsidRPr="004F6728">
        <w:rPr>
          <w:rFonts w:eastAsia="Verdana" w:cs="Verdana"/>
          <w:sz w:val="16"/>
          <w:szCs w:val="16"/>
          <w:lang w:val="en-US" w:eastAsia="nl-NL"/>
        </w:rPr>
        <w:t xml:space="preserve"> 2013, CRC/C/GC/14</w:t>
      </w:r>
      <w:r w:rsidRPr="004F6728">
        <w:rPr>
          <w:rFonts w:eastAsia="Verdana" w:cs="Verdana"/>
          <w:sz w:val="16"/>
          <w:szCs w:val="16"/>
          <w:lang w:val="en-US"/>
        </w:rPr>
        <w:t xml:space="preserve">, §32; </w:t>
      </w:r>
      <w:r w:rsidRPr="004F6728">
        <w:rPr>
          <w:sz w:val="16"/>
          <w:szCs w:val="16"/>
          <w:lang w:val="en-US"/>
        </w:rPr>
        <w:t xml:space="preserve">S. MAHMOUDI, P. LEVINER, A. KALDAL en K. LAINPELTO, </w:t>
      </w:r>
      <w:r w:rsidRPr="004F6728">
        <w:rPr>
          <w:i/>
          <w:iCs/>
          <w:sz w:val="16"/>
          <w:szCs w:val="16"/>
          <w:lang w:val="en-US"/>
        </w:rPr>
        <w:t>Child-friendly Justice: a quarter of a century of the UN Convention on the Rights of the Child</w:t>
      </w:r>
      <w:r w:rsidRPr="004F6728">
        <w:rPr>
          <w:sz w:val="16"/>
          <w:szCs w:val="16"/>
          <w:lang w:val="en-US"/>
        </w:rPr>
        <w:t>, Leiden, Brill/</w:t>
      </w:r>
      <w:proofErr w:type="spellStart"/>
      <w:r w:rsidRPr="004F6728">
        <w:rPr>
          <w:sz w:val="16"/>
          <w:szCs w:val="16"/>
          <w:lang w:val="en-US"/>
        </w:rPr>
        <w:t>Nijhoff</w:t>
      </w:r>
      <w:proofErr w:type="spellEnd"/>
      <w:r w:rsidRPr="004F6728">
        <w:rPr>
          <w:sz w:val="16"/>
          <w:szCs w:val="16"/>
          <w:lang w:val="en-US"/>
        </w:rPr>
        <w:t>, 2015, 30</w:t>
      </w:r>
      <w:r w:rsidRPr="004F6728">
        <w:rPr>
          <w:rFonts w:eastAsia="Verdana" w:cs="Verdana"/>
          <w:sz w:val="16"/>
          <w:szCs w:val="16"/>
          <w:lang w:val="en-US"/>
        </w:rPr>
        <w:t>; C.</w:t>
      </w:r>
      <w:r w:rsidRPr="004F6728">
        <w:rPr>
          <w:sz w:val="16"/>
          <w:szCs w:val="16"/>
          <w:lang w:val="en-US"/>
        </w:rPr>
        <w:t xml:space="preserve"> </w:t>
      </w:r>
      <w:r w:rsidRPr="004F6728">
        <w:rPr>
          <w:rFonts w:eastAsia="Verdana" w:cs="Verdana"/>
          <w:sz w:val="16"/>
          <w:szCs w:val="16"/>
          <w:lang w:val="en-US"/>
        </w:rPr>
        <w:t xml:space="preserve">MOL, “Het </w:t>
      </w:r>
      <w:proofErr w:type="spellStart"/>
      <w:r w:rsidRPr="004F6728">
        <w:rPr>
          <w:rFonts w:eastAsia="Verdana" w:cs="Verdana"/>
          <w:sz w:val="16"/>
          <w:szCs w:val="16"/>
          <w:lang w:val="en-US"/>
        </w:rPr>
        <w:t>mensenrechtelijke</w:t>
      </w:r>
      <w:proofErr w:type="spellEnd"/>
      <w:r w:rsidRPr="004F6728">
        <w:rPr>
          <w:rFonts w:eastAsia="Verdana" w:cs="Verdana"/>
          <w:sz w:val="16"/>
          <w:szCs w:val="16"/>
          <w:lang w:val="en-US"/>
        </w:rPr>
        <w:t xml:space="preserve"> </w:t>
      </w:r>
      <w:proofErr w:type="spellStart"/>
      <w:r w:rsidRPr="004F6728">
        <w:rPr>
          <w:rFonts w:eastAsia="Verdana" w:cs="Verdana"/>
          <w:sz w:val="16"/>
          <w:szCs w:val="16"/>
          <w:lang w:val="en-US"/>
        </w:rPr>
        <w:t>kader</w:t>
      </w:r>
      <w:proofErr w:type="spellEnd"/>
      <w:r w:rsidRPr="004F6728">
        <w:rPr>
          <w:rFonts w:eastAsia="Verdana" w:cs="Verdana"/>
          <w:sz w:val="16"/>
          <w:szCs w:val="16"/>
          <w:lang w:val="en-US"/>
        </w:rPr>
        <w:t xml:space="preserve"> </w:t>
      </w:r>
      <w:proofErr w:type="spellStart"/>
      <w:r w:rsidRPr="004F6728">
        <w:rPr>
          <w:rFonts w:eastAsia="Verdana" w:cs="Verdana"/>
          <w:sz w:val="16"/>
          <w:szCs w:val="16"/>
          <w:lang w:val="en-US"/>
        </w:rPr>
        <w:t>inzake</w:t>
      </w:r>
      <w:proofErr w:type="spellEnd"/>
      <w:r w:rsidRPr="004F6728">
        <w:rPr>
          <w:rFonts w:eastAsia="Verdana" w:cs="Verdana"/>
          <w:sz w:val="16"/>
          <w:szCs w:val="16"/>
          <w:lang w:val="en-US"/>
        </w:rPr>
        <w:t xml:space="preserve"> de </w:t>
      </w:r>
      <w:proofErr w:type="spellStart"/>
      <w:r w:rsidRPr="004F6728">
        <w:rPr>
          <w:rFonts w:eastAsia="Verdana" w:cs="Verdana"/>
          <w:sz w:val="16"/>
          <w:szCs w:val="16"/>
          <w:lang w:val="en-US"/>
        </w:rPr>
        <w:t>procespositie</w:t>
      </w:r>
      <w:proofErr w:type="spellEnd"/>
      <w:r w:rsidRPr="004F6728">
        <w:rPr>
          <w:rFonts w:eastAsia="Verdana" w:cs="Verdana"/>
          <w:sz w:val="16"/>
          <w:szCs w:val="16"/>
          <w:lang w:val="en-US"/>
        </w:rPr>
        <w:t xml:space="preserve"> van de </w:t>
      </w:r>
      <w:proofErr w:type="spellStart"/>
      <w:r w:rsidRPr="004F6728">
        <w:rPr>
          <w:rFonts w:eastAsia="Verdana" w:cs="Verdana"/>
          <w:sz w:val="16"/>
          <w:szCs w:val="16"/>
          <w:lang w:val="en-US"/>
        </w:rPr>
        <w:t>minderjarige</w:t>
      </w:r>
      <w:proofErr w:type="spellEnd"/>
      <w:r w:rsidRPr="004F6728">
        <w:rPr>
          <w:rFonts w:eastAsia="Verdana" w:cs="Verdana"/>
          <w:sz w:val="16"/>
          <w:szCs w:val="16"/>
          <w:lang w:val="en-US"/>
        </w:rPr>
        <w:t xml:space="preserve">: </w:t>
      </w:r>
      <w:proofErr w:type="spellStart"/>
      <w:r w:rsidRPr="004F6728">
        <w:rPr>
          <w:rFonts w:eastAsia="Verdana" w:cs="Verdana"/>
          <w:sz w:val="16"/>
          <w:szCs w:val="16"/>
          <w:lang w:val="en-US"/>
        </w:rPr>
        <w:t>normen</w:t>
      </w:r>
      <w:proofErr w:type="spellEnd"/>
      <w:r w:rsidRPr="004F6728">
        <w:rPr>
          <w:rFonts w:eastAsia="Verdana" w:cs="Verdana"/>
          <w:sz w:val="16"/>
          <w:szCs w:val="16"/>
          <w:lang w:val="en-US"/>
        </w:rPr>
        <w:t xml:space="preserve"> </w:t>
      </w:r>
      <w:proofErr w:type="spellStart"/>
      <w:r w:rsidRPr="004F6728">
        <w:rPr>
          <w:rFonts w:eastAsia="Verdana" w:cs="Verdana"/>
          <w:sz w:val="16"/>
          <w:szCs w:val="16"/>
          <w:lang w:val="en-US"/>
        </w:rPr>
        <w:t>voortvloeiend</w:t>
      </w:r>
      <w:proofErr w:type="spellEnd"/>
      <w:r w:rsidRPr="004F6728">
        <w:rPr>
          <w:rFonts w:eastAsia="Verdana" w:cs="Verdana"/>
          <w:sz w:val="16"/>
          <w:szCs w:val="16"/>
          <w:lang w:val="en-US"/>
        </w:rPr>
        <w:t xml:space="preserve"> </w:t>
      </w:r>
      <w:proofErr w:type="spellStart"/>
      <w:r w:rsidRPr="004F6728">
        <w:rPr>
          <w:rFonts w:eastAsia="Verdana" w:cs="Verdana"/>
          <w:sz w:val="16"/>
          <w:szCs w:val="16"/>
          <w:lang w:val="en-US"/>
        </w:rPr>
        <w:t>uit</w:t>
      </w:r>
      <w:proofErr w:type="spellEnd"/>
      <w:r w:rsidRPr="004F6728">
        <w:rPr>
          <w:rFonts w:eastAsia="Verdana" w:cs="Verdana"/>
          <w:sz w:val="16"/>
          <w:szCs w:val="16"/>
          <w:lang w:val="en-US"/>
        </w:rPr>
        <w:t xml:space="preserve"> het IVRK, het EVRM en </w:t>
      </w:r>
      <w:proofErr w:type="spellStart"/>
      <w:r w:rsidRPr="004F6728">
        <w:rPr>
          <w:rFonts w:eastAsia="Verdana" w:cs="Verdana"/>
          <w:sz w:val="16"/>
          <w:szCs w:val="16"/>
          <w:lang w:val="en-US"/>
        </w:rPr>
        <w:t>andere</w:t>
      </w:r>
      <w:proofErr w:type="spellEnd"/>
      <w:r w:rsidRPr="004F6728">
        <w:rPr>
          <w:rFonts w:eastAsia="Verdana" w:cs="Verdana"/>
          <w:sz w:val="16"/>
          <w:szCs w:val="16"/>
          <w:lang w:val="en-US"/>
        </w:rPr>
        <w:t xml:space="preserve"> </w:t>
      </w:r>
      <w:proofErr w:type="spellStart"/>
      <w:r w:rsidRPr="004F6728">
        <w:rPr>
          <w:rFonts w:eastAsia="Verdana" w:cs="Verdana"/>
          <w:sz w:val="16"/>
          <w:szCs w:val="16"/>
          <w:lang w:val="en-US"/>
        </w:rPr>
        <w:t>Europese</w:t>
      </w:r>
      <w:proofErr w:type="spellEnd"/>
      <w:r w:rsidRPr="004F6728">
        <w:rPr>
          <w:rFonts w:eastAsia="Verdana" w:cs="Verdana"/>
          <w:sz w:val="16"/>
          <w:szCs w:val="16"/>
          <w:lang w:val="en-US"/>
        </w:rPr>
        <w:t xml:space="preserve"> </w:t>
      </w:r>
      <w:proofErr w:type="spellStart"/>
      <w:r w:rsidRPr="004F6728">
        <w:rPr>
          <w:rFonts w:eastAsia="Verdana" w:cs="Verdana"/>
          <w:sz w:val="16"/>
          <w:szCs w:val="16"/>
          <w:lang w:val="en-US"/>
        </w:rPr>
        <w:t>bronnen</w:t>
      </w:r>
      <w:proofErr w:type="spellEnd"/>
      <w:r w:rsidRPr="004F6728">
        <w:rPr>
          <w:rFonts w:eastAsia="Verdana" w:cs="Verdana"/>
          <w:sz w:val="16"/>
          <w:szCs w:val="16"/>
          <w:lang w:val="en-US"/>
        </w:rPr>
        <w:t xml:space="preserve">”, </w:t>
      </w:r>
      <w:r w:rsidRPr="004F6728">
        <w:rPr>
          <w:rFonts w:eastAsia="Verdana" w:cs="Verdana"/>
          <w:i/>
          <w:sz w:val="16"/>
          <w:szCs w:val="16"/>
          <w:lang w:val="en-US"/>
        </w:rPr>
        <w:t>T.Fam.</w:t>
      </w:r>
      <w:r w:rsidRPr="004F6728">
        <w:rPr>
          <w:rFonts w:eastAsia="Verdana" w:cs="Verdana"/>
          <w:sz w:val="16"/>
          <w:szCs w:val="16"/>
          <w:lang w:val="en-US"/>
        </w:rPr>
        <w:t xml:space="preserve"> 2022, nr. 5-6, </w:t>
      </w:r>
      <w:r w:rsidR="001D574A">
        <w:rPr>
          <w:rFonts w:eastAsia="Verdana" w:cs="Verdana"/>
          <w:sz w:val="16"/>
          <w:szCs w:val="16"/>
          <w:lang w:val="en-US"/>
        </w:rPr>
        <w:t xml:space="preserve">(124) </w:t>
      </w:r>
      <w:r w:rsidRPr="004F6728">
        <w:rPr>
          <w:rFonts w:eastAsia="Verdana" w:cs="Verdana"/>
          <w:sz w:val="16"/>
          <w:szCs w:val="16"/>
          <w:lang w:val="en-US"/>
        </w:rPr>
        <w:t>124.</w:t>
      </w:r>
    </w:p>
  </w:footnote>
  <w:footnote w:id="104">
    <w:p w14:paraId="16EF9B7A" w14:textId="77777777"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General Comment no. 12 of the UN Committee on the Rights of the Child on the right of the child to be heard, 1 </w:t>
      </w:r>
      <w:proofErr w:type="spellStart"/>
      <w:r w:rsidRPr="004F6728">
        <w:rPr>
          <w:sz w:val="16"/>
          <w:szCs w:val="16"/>
          <w:lang w:val="en-US"/>
        </w:rPr>
        <w:t>juli</w:t>
      </w:r>
      <w:proofErr w:type="spellEnd"/>
      <w:r w:rsidRPr="004F6728">
        <w:rPr>
          <w:sz w:val="16"/>
          <w:szCs w:val="16"/>
          <w:lang w:val="en-US"/>
        </w:rPr>
        <w:t xml:space="preserve"> 2019, CRC/C/GC/12, §21, §32-33 en §44-46.</w:t>
      </w:r>
    </w:p>
  </w:footnote>
  <w:footnote w:id="105">
    <w:p w14:paraId="23BF86CC" w14:textId="71B72DAA"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J. DOEK, </w:t>
      </w:r>
      <w:r w:rsidRPr="004F6728">
        <w:rPr>
          <w:i/>
          <w:iCs/>
          <w:sz w:val="16"/>
          <w:szCs w:val="16"/>
          <w:lang w:val="en-US"/>
        </w:rPr>
        <w:t xml:space="preserve">A Commentary on the United Nations Convention on the Rights of the Child / Articles 8-9, The Right to Preservation of Identity and The Right Not to Be </w:t>
      </w:r>
      <w:proofErr w:type="spellStart"/>
      <w:r w:rsidRPr="004F6728">
        <w:rPr>
          <w:i/>
          <w:iCs/>
          <w:sz w:val="16"/>
          <w:szCs w:val="16"/>
          <w:lang w:val="en-US"/>
        </w:rPr>
        <w:t>Seperated</w:t>
      </w:r>
      <w:proofErr w:type="spellEnd"/>
      <w:r w:rsidRPr="004F6728">
        <w:rPr>
          <w:i/>
          <w:iCs/>
          <w:sz w:val="16"/>
          <w:szCs w:val="16"/>
          <w:lang w:val="en-US"/>
        </w:rPr>
        <w:t xml:space="preserve"> From His or Her Parents</w:t>
      </w:r>
      <w:r w:rsidRPr="004F6728">
        <w:rPr>
          <w:sz w:val="16"/>
          <w:szCs w:val="16"/>
          <w:lang w:val="en-US"/>
        </w:rPr>
        <w:t xml:space="preserve">, Leiden, </w:t>
      </w:r>
      <w:proofErr w:type="spellStart"/>
      <w:r w:rsidRPr="004F6728">
        <w:rPr>
          <w:sz w:val="16"/>
          <w:szCs w:val="16"/>
          <w:lang w:val="en-US"/>
        </w:rPr>
        <w:t>Martinus</w:t>
      </w:r>
      <w:proofErr w:type="spellEnd"/>
      <w:r w:rsidRPr="004F6728">
        <w:rPr>
          <w:sz w:val="16"/>
          <w:szCs w:val="16"/>
          <w:lang w:val="en-US"/>
        </w:rPr>
        <w:t xml:space="preserve"> </w:t>
      </w:r>
      <w:proofErr w:type="spellStart"/>
      <w:r w:rsidRPr="004F6728">
        <w:rPr>
          <w:sz w:val="16"/>
          <w:szCs w:val="16"/>
          <w:lang w:val="en-US"/>
        </w:rPr>
        <w:t>Nijhoff</w:t>
      </w:r>
      <w:proofErr w:type="spellEnd"/>
      <w:r w:rsidRPr="004F6728">
        <w:rPr>
          <w:sz w:val="16"/>
          <w:szCs w:val="16"/>
          <w:lang w:val="en-US"/>
        </w:rPr>
        <w:t xml:space="preserve"> Publishers, 2006, 25; M. FREEMAN, “Article 3. The Best Interests of the Child” in A. ALEN, J. VANDE LANOTTE, E. VERHELLEN </w:t>
      </w:r>
      <w:proofErr w:type="spellStart"/>
      <w:r w:rsidRPr="004F6728">
        <w:rPr>
          <w:sz w:val="16"/>
          <w:szCs w:val="16"/>
          <w:lang w:val="en-US"/>
        </w:rPr>
        <w:t>e.a.</w:t>
      </w:r>
      <w:proofErr w:type="spellEnd"/>
      <w:r w:rsidRPr="004F6728">
        <w:rPr>
          <w:sz w:val="16"/>
          <w:szCs w:val="16"/>
          <w:lang w:val="en-US"/>
        </w:rPr>
        <w:t xml:space="preserve"> (eds.), </w:t>
      </w:r>
      <w:r w:rsidRPr="004F6728">
        <w:rPr>
          <w:i/>
          <w:iCs/>
          <w:sz w:val="16"/>
          <w:szCs w:val="16"/>
          <w:lang w:val="en-US"/>
        </w:rPr>
        <w:t>A commentary on the United Nations Convention on the Rights of the Child</w:t>
      </w:r>
      <w:r w:rsidRPr="004F6728">
        <w:rPr>
          <w:sz w:val="16"/>
          <w:szCs w:val="16"/>
          <w:lang w:val="en-US"/>
        </w:rPr>
        <w:t xml:space="preserve">, Leiden, </w:t>
      </w:r>
      <w:proofErr w:type="spellStart"/>
      <w:r w:rsidRPr="004F6728">
        <w:rPr>
          <w:sz w:val="16"/>
          <w:szCs w:val="16"/>
          <w:lang w:val="en-US"/>
        </w:rPr>
        <w:t>Martinus</w:t>
      </w:r>
      <w:proofErr w:type="spellEnd"/>
      <w:r w:rsidRPr="004F6728">
        <w:rPr>
          <w:sz w:val="16"/>
          <w:szCs w:val="16"/>
          <w:lang w:val="en-US"/>
        </w:rPr>
        <w:t xml:space="preserve"> </w:t>
      </w:r>
      <w:proofErr w:type="spellStart"/>
      <w:r w:rsidRPr="004F6728">
        <w:rPr>
          <w:sz w:val="16"/>
          <w:szCs w:val="16"/>
          <w:lang w:val="en-US"/>
        </w:rPr>
        <w:t>Nijhoff</w:t>
      </w:r>
      <w:proofErr w:type="spellEnd"/>
      <w:r w:rsidRPr="004F6728">
        <w:rPr>
          <w:sz w:val="16"/>
          <w:szCs w:val="16"/>
          <w:lang w:val="en-US"/>
        </w:rPr>
        <w:t xml:space="preserve"> Publishers, 2007, 5 en 45 en 61-63.</w:t>
      </w:r>
    </w:p>
  </w:footnote>
  <w:footnote w:id="106">
    <w:p w14:paraId="59671847" w14:textId="4BA8C03B"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w:t>
      </w:r>
      <w:proofErr w:type="spellStart"/>
      <w:r w:rsidRPr="004F6728">
        <w:rPr>
          <w:sz w:val="16"/>
          <w:szCs w:val="16"/>
          <w:lang w:val="en-US"/>
        </w:rPr>
        <w:t>Dit</w:t>
      </w:r>
      <w:proofErr w:type="spellEnd"/>
      <w:r w:rsidRPr="004F6728">
        <w:rPr>
          <w:sz w:val="16"/>
          <w:szCs w:val="16"/>
          <w:lang w:val="en-US"/>
        </w:rPr>
        <w:t xml:space="preserve"> </w:t>
      </w:r>
      <w:proofErr w:type="spellStart"/>
      <w:r w:rsidRPr="004F6728">
        <w:rPr>
          <w:sz w:val="16"/>
          <w:szCs w:val="16"/>
          <w:lang w:val="en-US"/>
        </w:rPr>
        <w:t>zijn</w:t>
      </w:r>
      <w:proofErr w:type="spellEnd"/>
      <w:r w:rsidRPr="004F6728">
        <w:rPr>
          <w:sz w:val="16"/>
          <w:szCs w:val="16"/>
          <w:lang w:val="en-US"/>
        </w:rPr>
        <w:t xml:space="preserve"> (1) the child’s views, (2) the child’s identity, (3) preservation of the family environment and maintaining relations, (4) care, protection and safety of the child, (5) situation of vulnerability, (6) the child’s right to health en (7) the child’s right to education. Zie </w:t>
      </w:r>
      <w:r w:rsidRPr="004F6728">
        <w:rPr>
          <w:rFonts w:eastAsia="Verdana" w:cs="Verdana"/>
          <w:sz w:val="16"/>
          <w:szCs w:val="16"/>
          <w:lang w:val="en-US" w:eastAsia="nl-NL"/>
        </w:rPr>
        <w:t xml:space="preserve">General Comment no. 14 of the UN Committee on the Rights of the Child on the right of the child to have his or her best interests taken as a primary consideration, 29 </w:t>
      </w:r>
      <w:proofErr w:type="spellStart"/>
      <w:r w:rsidRPr="004F6728">
        <w:rPr>
          <w:rFonts w:eastAsia="Verdana" w:cs="Verdana"/>
          <w:sz w:val="16"/>
          <w:szCs w:val="16"/>
          <w:lang w:val="en-US" w:eastAsia="nl-NL"/>
        </w:rPr>
        <w:t>mei</w:t>
      </w:r>
      <w:proofErr w:type="spellEnd"/>
      <w:r w:rsidRPr="004F6728">
        <w:rPr>
          <w:rFonts w:eastAsia="Verdana" w:cs="Verdana"/>
          <w:sz w:val="16"/>
          <w:szCs w:val="16"/>
          <w:lang w:val="en-US" w:eastAsia="nl-NL"/>
        </w:rPr>
        <w:t xml:space="preserve"> 2013, CRC/C/GC/14</w:t>
      </w:r>
      <w:r w:rsidRPr="004F6728">
        <w:rPr>
          <w:rFonts w:eastAsia="Verdana" w:cs="Verdana"/>
          <w:sz w:val="16"/>
          <w:szCs w:val="16"/>
          <w:lang w:val="en-US"/>
        </w:rPr>
        <w:t>, §52-78.</w:t>
      </w:r>
    </w:p>
  </w:footnote>
  <w:footnote w:id="107">
    <w:p w14:paraId="33EB1D1D" w14:textId="124D8A66"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L. TAVECCHIO en B. VANOBBERGEN, “In het belang van het kind </w:t>
      </w:r>
      <w:r w:rsidRPr="0086280A">
        <w:rPr>
          <w:i/>
          <w:iCs/>
          <w:sz w:val="16"/>
          <w:szCs w:val="16"/>
          <w:lang w:val="nl-NL"/>
        </w:rPr>
        <w:t>of</w:t>
      </w:r>
      <w:r w:rsidRPr="0086280A">
        <w:rPr>
          <w:sz w:val="16"/>
          <w:szCs w:val="16"/>
          <w:lang w:val="nl-NL"/>
        </w:rPr>
        <w:t xml:space="preserve"> in het belang van het kind en de ouders?”, </w:t>
      </w:r>
      <w:r w:rsidRPr="0086280A">
        <w:rPr>
          <w:i/>
          <w:iCs/>
          <w:sz w:val="16"/>
          <w:szCs w:val="16"/>
          <w:lang w:val="nl-NL"/>
        </w:rPr>
        <w:t>Pedagogiek</w:t>
      </w:r>
      <w:r w:rsidRPr="0086280A">
        <w:rPr>
          <w:sz w:val="16"/>
          <w:szCs w:val="16"/>
          <w:lang w:val="nl-NL"/>
        </w:rPr>
        <w:t xml:space="preserve"> 2020, vol. 40, nr. 2, </w:t>
      </w:r>
      <w:r w:rsidR="001D574A">
        <w:rPr>
          <w:sz w:val="16"/>
          <w:szCs w:val="16"/>
          <w:lang w:val="nl-NL"/>
        </w:rPr>
        <w:t>(16</w:t>
      </w:r>
      <w:r w:rsidR="00DD7724">
        <w:rPr>
          <w:sz w:val="16"/>
          <w:szCs w:val="16"/>
          <w:lang w:val="nl-NL"/>
        </w:rPr>
        <w:t>7</w:t>
      </w:r>
      <w:r w:rsidR="001D574A">
        <w:rPr>
          <w:sz w:val="16"/>
          <w:szCs w:val="16"/>
          <w:lang w:val="nl-NL"/>
        </w:rPr>
        <w:t xml:space="preserve">) </w:t>
      </w:r>
      <w:r w:rsidRPr="0086280A">
        <w:rPr>
          <w:sz w:val="16"/>
          <w:szCs w:val="16"/>
          <w:lang w:val="nl-NL"/>
        </w:rPr>
        <w:t>168.</w:t>
      </w:r>
    </w:p>
  </w:footnote>
  <w:footnote w:id="108">
    <w:p w14:paraId="631B2F90" w14:textId="77777777" w:rsidR="00C57AF9" w:rsidRPr="004F6728" w:rsidRDefault="00C57AF9" w:rsidP="005C4D5C">
      <w:pPr>
        <w:jc w:val="both"/>
        <w:rPr>
          <w:rFonts w:eastAsia="Verdana" w:cs="Verdana"/>
          <w:sz w:val="16"/>
          <w:szCs w:val="16"/>
          <w:lang w:val="en-US"/>
        </w:rPr>
      </w:pPr>
      <w:r w:rsidRPr="0086280A">
        <w:rPr>
          <w:rStyle w:val="Voetnootmarkering"/>
          <w:sz w:val="16"/>
          <w:szCs w:val="16"/>
          <w:lang w:val="nl-NL"/>
        </w:rPr>
        <w:footnoteRef/>
      </w:r>
      <w:r w:rsidRPr="004F6728">
        <w:rPr>
          <w:sz w:val="16"/>
          <w:szCs w:val="16"/>
          <w:lang w:val="en-US"/>
        </w:rPr>
        <w:t xml:space="preserve"> </w:t>
      </w:r>
      <w:r w:rsidRPr="004F6728">
        <w:rPr>
          <w:rFonts w:eastAsia="Verdana" w:cs="Verdana"/>
          <w:sz w:val="16"/>
          <w:szCs w:val="16"/>
          <w:lang w:val="en-US"/>
        </w:rPr>
        <w:t xml:space="preserve">General Comment no. 14 of the UN Committee on the Rights of the Child on the right of the child to have his or her best interests taken as a primary consideration, 29 </w:t>
      </w:r>
      <w:proofErr w:type="spellStart"/>
      <w:r w:rsidRPr="004F6728">
        <w:rPr>
          <w:rFonts w:eastAsia="Verdana" w:cs="Verdana"/>
          <w:sz w:val="16"/>
          <w:szCs w:val="16"/>
          <w:lang w:val="en-US"/>
        </w:rPr>
        <w:t>mei</w:t>
      </w:r>
      <w:proofErr w:type="spellEnd"/>
      <w:r w:rsidRPr="004F6728">
        <w:rPr>
          <w:rFonts w:eastAsia="Verdana" w:cs="Verdana"/>
          <w:sz w:val="16"/>
          <w:szCs w:val="16"/>
          <w:lang w:val="en-US"/>
        </w:rPr>
        <w:t xml:space="preserve"> 2013, CRC/C/GC/14, §44-45.</w:t>
      </w:r>
    </w:p>
  </w:footnote>
  <w:footnote w:id="109">
    <w:p w14:paraId="120256F0" w14:textId="1030AD36"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M. FREEMAN, </w:t>
      </w:r>
      <w:r w:rsidRPr="004F6728">
        <w:rPr>
          <w:i/>
          <w:iCs/>
          <w:sz w:val="16"/>
          <w:szCs w:val="16"/>
          <w:lang w:val="en-US"/>
        </w:rPr>
        <w:t>A Commentary on the United Nations Convention on the Rights of the Child / Article 3, The Best interests of the Child</w:t>
      </w:r>
      <w:r w:rsidRPr="004F6728">
        <w:rPr>
          <w:sz w:val="16"/>
          <w:szCs w:val="16"/>
          <w:lang w:val="en-US"/>
        </w:rPr>
        <w:t xml:space="preserve">, Leiden, </w:t>
      </w:r>
      <w:proofErr w:type="spellStart"/>
      <w:r w:rsidRPr="004F6728">
        <w:rPr>
          <w:sz w:val="16"/>
          <w:szCs w:val="16"/>
          <w:lang w:val="en-US"/>
        </w:rPr>
        <w:t>Martinus</w:t>
      </w:r>
      <w:proofErr w:type="spellEnd"/>
      <w:r w:rsidRPr="004F6728">
        <w:rPr>
          <w:sz w:val="16"/>
          <w:szCs w:val="16"/>
          <w:lang w:val="en-US"/>
        </w:rPr>
        <w:t xml:space="preserve"> </w:t>
      </w:r>
      <w:proofErr w:type="spellStart"/>
      <w:r w:rsidRPr="004F6728">
        <w:rPr>
          <w:sz w:val="16"/>
          <w:szCs w:val="16"/>
          <w:lang w:val="en-US"/>
        </w:rPr>
        <w:t>Nijhoff</w:t>
      </w:r>
      <w:proofErr w:type="spellEnd"/>
      <w:r w:rsidRPr="004F6728">
        <w:rPr>
          <w:sz w:val="16"/>
          <w:szCs w:val="16"/>
          <w:lang w:val="en-US"/>
        </w:rPr>
        <w:t xml:space="preserve"> Publishers, 2007, 3.</w:t>
      </w:r>
    </w:p>
  </w:footnote>
  <w:footnote w:id="110">
    <w:p w14:paraId="3BEAFD21" w14:textId="7652052E"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00CF1ADD" w:rsidRPr="004F6728">
        <w:rPr>
          <w:sz w:val="16"/>
          <w:szCs w:val="16"/>
          <w:lang w:val="en-US"/>
        </w:rPr>
        <w:t xml:space="preserve"> M. FREEMAN, </w:t>
      </w:r>
      <w:r w:rsidR="00CF1ADD" w:rsidRPr="004F6728">
        <w:rPr>
          <w:i/>
          <w:iCs/>
          <w:sz w:val="16"/>
          <w:szCs w:val="16"/>
          <w:lang w:val="en-US"/>
        </w:rPr>
        <w:t>A Commentary on the United Nations Convention on the Rights of the Child / Article 3, The Best interests of the Child</w:t>
      </w:r>
      <w:r w:rsidR="00CF1ADD" w:rsidRPr="004F6728">
        <w:rPr>
          <w:sz w:val="16"/>
          <w:szCs w:val="16"/>
          <w:lang w:val="en-US"/>
        </w:rPr>
        <w:t xml:space="preserve">, Leiden, </w:t>
      </w:r>
      <w:proofErr w:type="spellStart"/>
      <w:r w:rsidR="00CF1ADD" w:rsidRPr="004F6728">
        <w:rPr>
          <w:sz w:val="16"/>
          <w:szCs w:val="16"/>
          <w:lang w:val="en-US"/>
        </w:rPr>
        <w:t>Martinus</w:t>
      </w:r>
      <w:proofErr w:type="spellEnd"/>
      <w:r w:rsidR="00CF1ADD" w:rsidRPr="004F6728">
        <w:rPr>
          <w:sz w:val="16"/>
          <w:szCs w:val="16"/>
          <w:lang w:val="en-US"/>
        </w:rPr>
        <w:t xml:space="preserve"> </w:t>
      </w:r>
      <w:proofErr w:type="spellStart"/>
      <w:r w:rsidR="00CF1ADD" w:rsidRPr="004F6728">
        <w:rPr>
          <w:sz w:val="16"/>
          <w:szCs w:val="16"/>
          <w:lang w:val="en-US"/>
        </w:rPr>
        <w:t>Nijhoff</w:t>
      </w:r>
      <w:proofErr w:type="spellEnd"/>
      <w:r w:rsidR="00CF1ADD" w:rsidRPr="004F6728">
        <w:rPr>
          <w:sz w:val="16"/>
          <w:szCs w:val="16"/>
          <w:lang w:val="en-US"/>
        </w:rPr>
        <w:t xml:space="preserve"> Publishers, 2007, 27; </w:t>
      </w:r>
      <w:r w:rsidRPr="004F6728">
        <w:rPr>
          <w:sz w:val="16"/>
          <w:szCs w:val="16"/>
          <w:lang w:val="en-US"/>
        </w:rPr>
        <w:t xml:space="preserve">J. EEKELAAR, “Two dimensions of the best interests principle: decisions about children and decisions affecting children” in E.E. SUTHERLAND en L.A. BARNES MACFARLANE (eds.), </w:t>
      </w:r>
      <w:r w:rsidRPr="004F6728">
        <w:rPr>
          <w:i/>
          <w:iCs/>
          <w:sz w:val="16"/>
          <w:szCs w:val="16"/>
          <w:lang w:val="en-US"/>
        </w:rPr>
        <w:t>Implementing Article 3 of the United Nations Convention on the Rights of the Child: Best Interests, Welfare and Well-</w:t>
      </w:r>
      <w:r w:rsidRPr="004F6728">
        <w:rPr>
          <w:sz w:val="16"/>
          <w:szCs w:val="16"/>
          <w:lang w:val="en-US"/>
        </w:rPr>
        <w:t>being, Cambridge, Cambridge University Press, 2016, 102-108</w:t>
      </w:r>
      <w:r w:rsidRPr="004F6728">
        <w:rPr>
          <w:rFonts w:eastAsia="Verdana" w:cs="Verdana"/>
          <w:iCs/>
          <w:sz w:val="16"/>
          <w:szCs w:val="16"/>
          <w:lang w:val="en-US"/>
        </w:rPr>
        <w:t>: “Basic interests, for example to physical, emotional and intellectual care developmental interests, to enter adulthood as far as possible without disadvantage; autonomy interests, especially the freedom to choose a lifestyle of their own”</w:t>
      </w:r>
      <w:r w:rsidR="00DD7724">
        <w:rPr>
          <w:rFonts w:eastAsia="Verdana" w:cs="Verdana"/>
          <w:iCs/>
          <w:sz w:val="16"/>
          <w:szCs w:val="16"/>
          <w:lang w:val="en-US"/>
        </w:rPr>
        <w:t xml:space="preserve">; </w:t>
      </w:r>
      <w:r w:rsidR="00DD7724" w:rsidRPr="004F6728">
        <w:rPr>
          <w:rFonts w:eastAsia="Verdana" w:cs="Verdana"/>
          <w:iCs/>
          <w:sz w:val="16"/>
          <w:szCs w:val="16"/>
          <w:lang w:val="en-US"/>
        </w:rPr>
        <w:t xml:space="preserve">J. EEKELAAR, “The emergence of children’s rights”, </w:t>
      </w:r>
      <w:r w:rsidR="00DD7724" w:rsidRPr="004F6728">
        <w:rPr>
          <w:rFonts w:eastAsia="Verdana" w:cs="Verdana"/>
          <w:i/>
          <w:sz w:val="16"/>
          <w:szCs w:val="16"/>
          <w:lang w:val="en-US"/>
        </w:rPr>
        <w:t>Oxford Journal Legal Studies</w:t>
      </w:r>
      <w:r w:rsidR="00DD7724" w:rsidRPr="004F6728">
        <w:rPr>
          <w:rFonts w:eastAsia="Verdana" w:cs="Verdana"/>
          <w:iCs/>
          <w:sz w:val="16"/>
          <w:szCs w:val="16"/>
          <w:lang w:val="en-US"/>
        </w:rPr>
        <w:t xml:space="preserve"> 1986, </w:t>
      </w:r>
      <w:r w:rsidR="00DD7724">
        <w:rPr>
          <w:rFonts w:eastAsia="Verdana" w:cs="Verdana"/>
          <w:iCs/>
          <w:sz w:val="16"/>
          <w:szCs w:val="16"/>
          <w:lang w:val="en-US"/>
        </w:rPr>
        <w:t xml:space="preserve">(161) </w:t>
      </w:r>
      <w:r w:rsidR="00DD7724" w:rsidRPr="004F6728">
        <w:rPr>
          <w:rFonts w:eastAsia="Verdana" w:cs="Verdana"/>
          <w:iCs/>
          <w:sz w:val="16"/>
          <w:szCs w:val="16"/>
          <w:lang w:val="en-US"/>
        </w:rPr>
        <w:t>171-182</w:t>
      </w:r>
      <w:r w:rsidRPr="004F6728">
        <w:rPr>
          <w:sz w:val="16"/>
          <w:szCs w:val="16"/>
          <w:lang w:val="en-US"/>
        </w:rPr>
        <w:t>.</w:t>
      </w:r>
    </w:p>
  </w:footnote>
  <w:footnote w:id="111">
    <w:p w14:paraId="7DE6B75F" w14:textId="6C6A5C7A"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J. EEKELAAR, “The emergence of children’s rights”, </w:t>
      </w:r>
      <w:r w:rsidRPr="004F6728">
        <w:rPr>
          <w:i/>
          <w:iCs/>
          <w:sz w:val="16"/>
          <w:szCs w:val="16"/>
          <w:lang w:val="en-US"/>
        </w:rPr>
        <w:t>Oxford Journal Legal Studies</w:t>
      </w:r>
      <w:r w:rsidRPr="004F6728">
        <w:rPr>
          <w:sz w:val="16"/>
          <w:szCs w:val="16"/>
          <w:lang w:val="en-US"/>
        </w:rPr>
        <w:t xml:space="preserve"> 1986, </w:t>
      </w:r>
      <w:r w:rsidR="001D574A">
        <w:rPr>
          <w:sz w:val="16"/>
          <w:szCs w:val="16"/>
          <w:lang w:val="en-US"/>
        </w:rPr>
        <w:t xml:space="preserve">(161) </w:t>
      </w:r>
      <w:r w:rsidRPr="004F6728">
        <w:rPr>
          <w:sz w:val="16"/>
          <w:szCs w:val="16"/>
          <w:lang w:val="en-US"/>
        </w:rPr>
        <w:t xml:space="preserve">171: “There is a third type of interest which children may, retrospectively, claim. A child may argue for the freedom to choose his own lifestyle and to </w:t>
      </w:r>
      <w:r w:rsidRPr="004F6728">
        <w:rPr>
          <w:sz w:val="16"/>
          <w:szCs w:val="16"/>
          <w:u w:val="single"/>
          <w:lang w:val="en-US"/>
        </w:rPr>
        <w:t>enter social relations</w:t>
      </w:r>
      <w:r w:rsidRPr="004F6728">
        <w:rPr>
          <w:sz w:val="16"/>
          <w:szCs w:val="16"/>
          <w:lang w:val="en-US"/>
        </w:rPr>
        <w:t xml:space="preserve"> according to his own inclinations uncontrolled by the authority of the adult world, whether parents or institutions” en 181: “The significance of Lord Scarman's opinion with respect to children's autonomy interests cannot be over-rated. It follows from his reasoning that, where a child has reached capacity, </w:t>
      </w:r>
      <w:r w:rsidRPr="004F6728">
        <w:rPr>
          <w:sz w:val="16"/>
          <w:szCs w:val="16"/>
          <w:u w:val="single"/>
          <w:lang w:val="en-US"/>
        </w:rPr>
        <w:t>there is no room for a parent to impose a contrary view</w:t>
      </w:r>
      <w:r w:rsidRPr="004F6728">
        <w:rPr>
          <w:sz w:val="16"/>
          <w:szCs w:val="16"/>
          <w:lang w:val="en-US"/>
        </w:rPr>
        <w:t>, even if this is more in accord with the child's best interests. For its legal superiority to the child's decision can rest only on its status as a parental right. But this is extinguished when the child reaches full capacity”</w:t>
      </w:r>
      <w:r w:rsidR="00CF1ADD" w:rsidRPr="004F6728">
        <w:rPr>
          <w:sz w:val="16"/>
          <w:szCs w:val="16"/>
          <w:lang w:val="en-US"/>
        </w:rPr>
        <w:t xml:space="preserve"> (eigen </w:t>
      </w:r>
      <w:proofErr w:type="spellStart"/>
      <w:r w:rsidR="00CF1ADD" w:rsidRPr="004F6728">
        <w:rPr>
          <w:sz w:val="16"/>
          <w:szCs w:val="16"/>
          <w:lang w:val="en-US"/>
        </w:rPr>
        <w:t>nadruk</w:t>
      </w:r>
      <w:proofErr w:type="spellEnd"/>
      <w:r w:rsidR="00CF1ADD" w:rsidRPr="004F6728">
        <w:rPr>
          <w:sz w:val="16"/>
          <w:szCs w:val="16"/>
          <w:lang w:val="en-US"/>
        </w:rPr>
        <w:t>)</w:t>
      </w:r>
      <w:r w:rsidRPr="004F6728">
        <w:rPr>
          <w:sz w:val="16"/>
          <w:szCs w:val="16"/>
          <w:lang w:val="en-US"/>
        </w:rPr>
        <w:t xml:space="preserve">; J. EEKELAAR, “The interests of the child and the child’s wishes: the role of dynamic self- determinism”, </w:t>
      </w:r>
      <w:r w:rsidRPr="004F6728">
        <w:rPr>
          <w:i/>
          <w:iCs/>
          <w:sz w:val="16"/>
          <w:szCs w:val="16"/>
          <w:lang w:val="en-US"/>
        </w:rPr>
        <w:t>International Journal of Law and the Family</w:t>
      </w:r>
      <w:r w:rsidRPr="004F6728">
        <w:rPr>
          <w:sz w:val="16"/>
          <w:szCs w:val="16"/>
          <w:lang w:val="en-US"/>
        </w:rPr>
        <w:t xml:space="preserve"> 1994, </w:t>
      </w:r>
      <w:r w:rsidR="00DD7724">
        <w:rPr>
          <w:sz w:val="16"/>
          <w:szCs w:val="16"/>
          <w:lang w:val="en-US"/>
        </w:rPr>
        <w:t xml:space="preserve">(42) </w:t>
      </w:r>
      <w:r w:rsidRPr="004F6728">
        <w:rPr>
          <w:sz w:val="16"/>
          <w:szCs w:val="16"/>
          <w:lang w:val="en-US"/>
        </w:rPr>
        <w:t xml:space="preserve">53; J. EEKELAAR, “The Role of the Best Interests Principle in Decisions Affecting Children and Decisions about Children”, </w:t>
      </w:r>
      <w:r w:rsidRPr="004F6728">
        <w:rPr>
          <w:i/>
          <w:iCs/>
          <w:sz w:val="16"/>
          <w:szCs w:val="16"/>
          <w:lang w:val="en-US"/>
        </w:rPr>
        <w:t>The International Journal of Children’s Rights</w:t>
      </w:r>
      <w:r w:rsidRPr="004F6728">
        <w:rPr>
          <w:sz w:val="16"/>
          <w:szCs w:val="16"/>
          <w:lang w:val="en-US"/>
        </w:rPr>
        <w:t xml:space="preserve"> 2015, vol. 23, </w:t>
      </w:r>
      <w:r w:rsidR="00DD7724">
        <w:rPr>
          <w:sz w:val="16"/>
          <w:szCs w:val="16"/>
          <w:lang w:val="en-US"/>
        </w:rPr>
        <w:t xml:space="preserve">(3) </w:t>
      </w:r>
      <w:r w:rsidRPr="004F6728">
        <w:rPr>
          <w:sz w:val="16"/>
          <w:szCs w:val="16"/>
          <w:lang w:val="en-US"/>
        </w:rPr>
        <w:t>17-20.</w:t>
      </w:r>
    </w:p>
  </w:footnote>
  <w:footnote w:id="112">
    <w:p w14:paraId="3AFB93E8" w14:textId="2C7F1783"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Cass. 4 november 1999, AR C.99.0111.N, </w:t>
      </w:r>
      <w:r w:rsidRPr="0086280A">
        <w:rPr>
          <w:i/>
          <w:iCs/>
          <w:sz w:val="16"/>
          <w:szCs w:val="16"/>
          <w:lang w:val="nl-NL"/>
        </w:rPr>
        <w:t>Juristenkrant</w:t>
      </w:r>
      <w:r w:rsidRPr="0086280A">
        <w:rPr>
          <w:sz w:val="16"/>
          <w:szCs w:val="16"/>
          <w:lang w:val="nl-NL"/>
        </w:rPr>
        <w:t xml:space="preserve"> 2000, afl. 2, 4, noot G. VERSCHELDEN; </w:t>
      </w:r>
      <w:r w:rsidR="008D3124" w:rsidRPr="0086280A">
        <w:rPr>
          <w:sz w:val="16"/>
          <w:szCs w:val="16"/>
          <w:lang w:val="nl-NL"/>
        </w:rPr>
        <w:t xml:space="preserve">M. MALLIEN, </w:t>
      </w:r>
      <w:r w:rsidR="008D3124" w:rsidRPr="0086280A">
        <w:rPr>
          <w:i/>
          <w:sz w:val="16"/>
          <w:szCs w:val="16"/>
          <w:lang w:val="nl-NL"/>
        </w:rPr>
        <w:t>Le contentieux judiciaire parental à propos de l’éducation de l’enfant. Hiérarchie et inventaire des principaux critères d’appréciation retenus par les juges</w:t>
      </w:r>
      <w:r w:rsidR="008D3124" w:rsidRPr="0086280A">
        <w:rPr>
          <w:sz w:val="16"/>
          <w:szCs w:val="16"/>
          <w:lang w:val="nl-NL"/>
        </w:rPr>
        <w:t xml:space="preserve">, Brussel, Larcier, 2017, 96; C. VAN ROY, </w:t>
      </w:r>
      <w:r w:rsidR="008D3124" w:rsidRPr="0086280A">
        <w:rPr>
          <w:i/>
          <w:sz w:val="16"/>
          <w:szCs w:val="16"/>
          <w:lang w:val="nl-NL"/>
        </w:rPr>
        <w:t>De (on)deelbaarheid van het kind</w:t>
      </w:r>
      <w:r w:rsidR="008D3124" w:rsidRPr="0086280A">
        <w:rPr>
          <w:sz w:val="16"/>
          <w:szCs w:val="16"/>
          <w:lang w:val="nl-NL"/>
        </w:rPr>
        <w:t>, Antwerpen, Intersentia, 2021, 45</w:t>
      </w:r>
      <w:r w:rsidR="008D3124">
        <w:rPr>
          <w:sz w:val="16"/>
          <w:szCs w:val="16"/>
          <w:lang w:val="nl-NL"/>
        </w:rPr>
        <w:t xml:space="preserve">; A. </w:t>
      </w:r>
      <w:r w:rsidRPr="0086280A">
        <w:rPr>
          <w:sz w:val="16"/>
          <w:szCs w:val="16"/>
          <w:lang w:val="nl-NL"/>
        </w:rPr>
        <w:t xml:space="preserve">ALEN en </w:t>
      </w:r>
      <w:r w:rsidR="008D3124">
        <w:rPr>
          <w:sz w:val="16"/>
          <w:szCs w:val="16"/>
          <w:lang w:val="nl-NL"/>
        </w:rPr>
        <w:t xml:space="preserve">W. </w:t>
      </w:r>
      <w:r w:rsidRPr="0086280A">
        <w:rPr>
          <w:sz w:val="16"/>
          <w:szCs w:val="16"/>
          <w:lang w:val="nl-NL"/>
        </w:rPr>
        <w:t xml:space="preserve">PAS, “De directe werking van het VN-Verdrag inzake de rechten van het kind” in </w:t>
      </w:r>
      <w:r w:rsidR="008D3124">
        <w:rPr>
          <w:sz w:val="16"/>
          <w:szCs w:val="16"/>
          <w:lang w:val="nl-NL"/>
        </w:rPr>
        <w:t xml:space="preserve">E. </w:t>
      </w:r>
      <w:r w:rsidRPr="0086280A">
        <w:rPr>
          <w:sz w:val="16"/>
          <w:szCs w:val="16"/>
          <w:lang w:val="nl-NL"/>
        </w:rPr>
        <w:t>VERHELLEN</w:t>
      </w:r>
      <w:r w:rsidR="008D3124">
        <w:rPr>
          <w:sz w:val="16"/>
          <w:szCs w:val="16"/>
          <w:lang w:val="nl-NL"/>
        </w:rPr>
        <w:t>,</w:t>
      </w:r>
      <w:r w:rsidRPr="0086280A">
        <w:rPr>
          <w:sz w:val="16"/>
          <w:szCs w:val="16"/>
          <w:lang w:val="nl-NL"/>
        </w:rPr>
        <w:t xml:space="preserve"> </w:t>
      </w:r>
      <w:r w:rsidRPr="0086280A">
        <w:rPr>
          <w:i/>
          <w:sz w:val="16"/>
          <w:szCs w:val="16"/>
          <w:lang w:val="nl-NL"/>
        </w:rPr>
        <w:t>Kinderrechtengids</w:t>
      </w:r>
      <w:r w:rsidRPr="0086280A">
        <w:rPr>
          <w:sz w:val="16"/>
          <w:szCs w:val="16"/>
          <w:lang w:val="nl-NL"/>
        </w:rPr>
        <w:t xml:space="preserve">, Gent, Mys en Breesch, 1994, 21; K. HANSON, “Directe werking van het IVRK en ‘het belang van het kind’”, </w:t>
      </w:r>
      <w:r w:rsidRPr="0086280A">
        <w:rPr>
          <w:i/>
          <w:iCs/>
          <w:sz w:val="16"/>
          <w:szCs w:val="16"/>
          <w:lang w:val="nl-NL"/>
        </w:rPr>
        <w:t>TJK</w:t>
      </w:r>
      <w:r w:rsidRPr="0086280A">
        <w:rPr>
          <w:sz w:val="16"/>
          <w:szCs w:val="16"/>
          <w:lang w:val="nl-NL"/>
        </w:rPr>
        <w:t xml:space="preserve"> 2000, </w:t>
      </w:r>
      <w:r w:rsidR="001D574A">
        <w:rPr>
          <w:sz w:val="16"/>
          <w:szCs w:val="16"/>
          <w:lang w:val="nl-NL"/>
        </w:rPr>
        <w:t xml:space="preserve">(63) </w:t>
      </w:r>
      <w:r w:rsidRPr="0086280A">
        <w:rPr>
          <w:sz w:val="16"/>
          <w:szCs w:val="16"/>
          <w:lang w:val="nl-NL"/>
        </w:rPr>
        <w:t>65.</w:t>
      </w:r>
    </w:p>
  </w:footnote>
  <w:footnote w:id="113">
    <w:p w14:paraId="6F5158C7" w14:textId="2C08A46C"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w:t>
      </w:r>
      <w:proofErr w:type="spellStart"/>
      <w:r w:rsidRPr="004F6728">
        <w:rPr>
          <w:sz w:val="16"/>
          <w:szCs w:val="16"/>
          <w:lang w:val="en-US"/>
        </w:rPr>
        <w:t>Kamerstukken</w:t>
      </w:r>
      <w:proofErr w:type="spellEnd"/>
      <w:r w:rsidRPr="004F6728">
        <w:rPr>
          <w:sz w:val="16"/>
          <w:szCs w:val="16"/>
          <w:lang w:val="en-US"/>
        </w:rPr>
        <w:t xml:space="preserve"> II 1992/93, 22 855 (R 1451), nr. 3, 9.</w:t>
      </w:r>
    </w:p>
  </w:footnote>
  <w:footnote w:id="114">
    <w:p w14:paraId="686EC3E3" w14:textId="009C4B5C"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Zie </w:t>
      </w:r>
      <w:proofErr w:type="spellStart"/>
      <w:r w:rsidRPr="004F6728">
        <w:rPr>
          <w:sz w:val="16"/>
          <w:szCs w:val="16"/>
          <w:lang w:val="en-US"/>
        </w:rPr>
        <w:t>voor</w:t>
      </w:r>
      <w:proofErr w:type="spellEnd"/>
      <w:r w:rsidRPr="004F6728">
        <w:rPr>
          <w:sz w:val="16"/>
          <w:szCs w:val="16"/>
          <w:lang w:val="en-US"/>
        </w:rPr>
        <w:t xml:space="preserve"> </w:t>
      </w:r>
      <w:proofErr w:type="spellStart"/>
      <w:r w:rsidRPr="004F6728">
        <w:rPr>
          <w:sz w:val="16"/>
          <w:szCs w:val="16"/>
          <w:lang w:val="en-US"/>
        </w:rPr>
        <w:t>omzetting</w:t>
      </w:r>
      <w:proofErr w:type="spellEnd"/>
      <w:r w:rsidRPr="004F6728">
        <w:rPr>
          <w:sz w:val="16"/>
          <w:szCs w:val="16"/>
          <w:lang w:val="en-US"/>
        </w:rPr>
        <w:t xml:space="preserve"> van het IVRK </w:t>
      </w:r>
      <w:proofErr w:type="spellStart"/>
      <w:r w:rsidRPr="004F6728">
        <w:rPr>
          <w:sz w:val="16"/>
          <w:szCs w:val="16"/>
          <w:lang w:val="en-US"/>
        </w:rPr>
        <w:t>naar</w:t>
      </w:r>
      <w:proofErr w:type="spellEnd"/>
      <w:r w:rsidRPr="004F6728">
        <w:rPr>
          <w:sz w:val="16"/>
          <w:szCs w:val="16"/>
          <w:lang w:val="en-US"/>
        </w:rPr>
        <w:t xml:space="preserve"> </w:t>
      </w:r>
      <w:proofErr w:type="spellStart"/>
      <w:r w:rsidRPr="004F6728">
        <w:rPr>
          <w:sz w:val="16"/>
          <w:szCs w:val="16"/>
          <w:lang w:val="en-US"/>
        </w:rPr>
        <w:t>Duitse</w:t>
      </w:r>
      <w:proofErr w:type="spellEnd"/>
      <w:r w:rsidRPr="004F6728">
        <w:rPr>
          <w:sz w:val="16"/>
          <w:szCs w:val="16"/>
          <w:lang w:val="en-US"/>
        </w:rPr>
        <w:t xml:space="preserve"> </w:t>
      </w:r>
      <w:proofErr w:type="spellStart"/>
      <w:r w:rsidRPr="004F6728">
        <w:rPr>
          <w:sz w:val="16"/>
          <w:szCs w:val="16"/>
          <w:lang w:val="en-US"/>
        </w:rPr>
        <w:t>nationale</w:t>
      </w:r>
      <w:proofErr w:type="spellEnd"/>
      <w:r w:rsidRPr="004F6728">
        <w:rPr>
          <w:sz w:val="16"/>
          <w:szCs w:val="16"/>
          <w:lang w:val="en-US"/>
        </w:rPr>
        <w:t xml:space="preserve"> bepalingen, bij Bondswet: </w:t>
      </w:r>
      <w:hyperlink r:id="rId18" w:history="1">
        <w:r w:rsidRPr="004F6728">
          <w:rPr>
            <w:rStyle w:val="Hyperlink"/>
            <w:sz w:val="16"/>
            <w:szCs w:val="16"/>
            <w:lang w:val="en-US"/>
          </w:rPr>
          <w:t>www.e-justice.europa.eu/302/NL/parental_responsibility__child_custody_and_contact_rights?GERMANY&amp;member=1</w:t>
        </w:r>
      </w:hyperlink>
      <w:r w:rsidRPr="004F6728">
        <w:rPr>
          <w:sz w:val="16"/>
          <w:szCs w:val="16"/>
          <w:lang w:val="en-US"/>
        </w:rPr>
        <w:t xml:space="preserve"> (laatste consultatie </w:t>
      </w:r>
      <w:r w:rsidR="00CF1ADD" w:rsidRPr="004F6728">
        <w:rPr>
          <w:sz w:val="16"/>
          <w:szCs w:val="16"/>
          <w:lang w:val="en-US"/>
        </w:rPr>
        <w:t>13</w:t>
      </w:r>
      <w:r w:rsidRPr="004F6728">
        <w:rPr>
          <w:sz w:val="16"/>
          <w:szCs w:val="16"/>
          <w:lang w:val="en-US"/>
        </w:rPr>
        <w:t>.</w:t>
      </w:r>
      <w:r w:rsidR="00CF1ADD" w:rsidRPr="004F6728">
        <w:rPr>
          <w:sz w:val="16"/>
          <w:szCs w:val="16"/>
          <w:lang w:val="en-US"/>
        </w:rPr>
        <w:t>05</w:t>
      </w:r>
      <w:r w:rsidRPr="004F6728">
        <w:rPr>
          <w:sz w:val="16"/>
          <w:szCs w:val="16"/>
          <w:lang w:val="en-US"/>
        </w:rPr>
        <w:t xml:space="preserve">.2023); S. </w:t>
      </w:r>
      <w:r w:rsidRPr="004F6728">
        <w:rPr>
          <w:rFonts w:eastAsia="Verdana" w:cs="Verdana"/>
          <w:sz w:val="16"/>
          <w:szCs w:val="16"/>
          <w:lang w:val="en-US" w:eastAsia="nl-NL"/>
        </w:rPr>
        <w:t xml:space="preserve">SCHMAHL, “The Rights of the Child in Germany: The UN Convention on the Rights of the Child and Its Implementation in National Law” in O. CVEJIC JANCIC, </w:t>
      </w:r>
      <w:r w:rsidRPr="004F6728">
        <w:rPr>
          <w:rFonts w:eastAsia="Verdana" w:cs="Verdana"/>
          <w:i/>
          <w:iCs/>
          <w:sz w:val="16"/>
          <w:szCs w:val="16"/>
          <w:lang w:val="en-US" w:eastAsia="nl-NL"/>
        </w:rPr>
        <w:t>The Rights of the Child in a Changing World</w:t>
      </w:r>
      <w:r w:rsidRPr="004F6728">
        <w:rPr>
          <w:rFonts w:eastAsia="Verdana" w:cs="Verdana"/>
          <w:sz w:val="16"/>
          <w:szCs w:val="16"/>
          <w:lang w:val="en-US" w:eastAsia="nl-NL"/>
        </w:rPr>
        <w:t xml:space="preserve">, Cham, Springer, 2014, 123-150, en DOI: </w:t>
      </w:r>
      <w:hyperlink r:id="rId19" w:history="1">
        <w:r w:rsidRPr="004F6728">
          <w:rPr>
            <w:rStyle w:val="Hyperlink"/>
            <w:rFonts w:eastAsia="Verdana" w:cs="Verdana"/>
            <w:sz w:val="16"/>
            <w:szCs w:val="16"/>
            <w:lang w:val="en-US" w:eastAsia="nl-NL"/>
          </w:rPr>
          <w:t>www.doi.org/10.1007/978-3-319-23189-1_7</w:t>
        </w:r>
      </w:hyperlink>
      <w:r w:rsidRPr="004F6728">
        <w:rPr>
          <w:rFonts w:eastAsia="Verdana" w:cs="Verdana"/>
          <w:sz w:val="16"/>
          <w:szCs w:val="16"/>
          <w:lang w:val="en-US" w:eastAsia="nl-NL"/>
        </w:rPr>
        <w:t>.</w:t>
      </w:r>
    </w:p>
  </w:footnote>
  <w:footnote w:id="115">
    <w:p w14:paraId="65C3A985" w14:textId="585B621E"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KINDERRECHTENCOALITIE, “Wat zijn kinderrechten?”, 17 oktober 2022, </w:t>
      </w:r>
      <w:hyperlink r:id="rId20" w:history="1">
        <w:r w:rsidRPr="0086280A">
          <w:rPr>
            <w:rStyle w:val="Hyperlink"/>
            <w:sz w:val="16"/>
            <w:szCs w:val="16"/>
            <w:lang w:val="nl-NL"/>
          </w:rPr>
          <w:t>www.kinderrechtencoalitie.be/kinderrechten/</w:t>
        </w:r>
      </w:hyperlink>
      <w:r w:rsidRPr="0086280A">
        <w:rPr>
          <w:sz w:val="16"/>
          <w:szCs w:val="16"/>
          <w:lang w:val="nl-NL"/>
        </w:rPr>
        <w:t xml:space="preserve"> (laatste consultatie </w:t>
      </w:r>
      <w:r w:rsidR="00FF52E2" w:rsidRPr="0086280A">
        <w:rPr>
          <w:sz w:val="16"/>
          <w:szCs w:val="16"/>
          <w:lang w:val="nl-NL"/>
        </w:rPr>
        <w:t>13</w:t>
      </w:r>
      <w:r w:rsidRPr="0086280A">
        <w:rPr>
          <w:sz w:val="16"/>
          <w:szCs w:val="16"/>
          <w:lang w:val="nl-NL"/>
        </w:rPr>
        <w:t>.0</w:t>
      </w:r>
      <w:r w:rsidR="00FF52E2" w:rsidRPr="0086280A">
        <w:rPr>
          <w:sz w:val="16"/>
          <w:szCs w:val="16"/>
          <w:lang w:val="nl-NL"/>
        </w:rPr>
        <w:t>5</w:t>
      </w:r>
      <w:r w:rsidRPr="0086280A">
        <w:rPr>
          <w:sz w:val="16"/>
          <w:szCs w:val="16"/>
          <w:lang w:val="nl-NL"/>
        </w:rPr>
        <w:t>.2023).</w:t>
      </w:r>
    </w:p>
  </w:footnote>
  <w:footnote w:id="116">
    <w:p w14:paraId="1E4B4A61" w14:textId="6D401B80"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00FF52E2" w:rsidRPr="0086280A">
        <w:rPr>
          <w:sz w:val="16"/>
          <w:szCs w:val="16"/>
          <w:lang w:val="nl-NL"/>
        </w:rPr>
        <w:t xml:space="preserve"> Artikel 9.1, eerste zin IVRK;</w:t>
      </w:r>
      <w:r w:rsidRPr="0086280A">
        <w:rPr>
          <w:sz w:val="16"/>
          <w:szCs w:val="16"/>
          <w:lang w:val="nl-NL"/>
        </w:rPr>
        <w:t xml:space="preserve"> T. WUYTS, </w:t>
      </w:r>
      <w:r w:rsidRPr="0086280A">
        <w:rPr>
          <w:i/>
          <w:iCs/>
          <w:sz w:val="16"/>
          <w:szCs w:val="16"/>
          <w:lang w:val="nl-NL"/>
        </w:rPr>
        <w:t>Ouderlijk gezag</w:t>
      </w:r>
      <w:r w:rsidRPr="0086280A">
        <w:rPr>
          <w:sz w:val="16"/>
          <w:szCs w:val="16"/>
          <w:lang w:val="nl-NL"/>
        </w:rPr>
        <w:t>, Antwerpen, Intersentia, 2013, 645.</w:t>
      </w:r>
    </w:p>
  </w:footnote>
  <w:footnote w:id="117">
    <w:p w14:paraId="497136C4" w14:textId="3EAD801E"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8D3124">
        <w:rPr>
          <w:sz w:val="16"/>
          <w:szCs w:val="16"/>
        </w:rPr>
        <w:t xml:space="preserve"> </w:t>
      </w:r>
      <w:r w:rsidR="008D3124" w:rsidRPr="008D3124">
        <w:rPr>
          <w:sz w:val="16"/>
          <w:szCs w:val="16"/>
        </w:rPr>
        <w:t xml:space="preserve">T. WUYTS, </w:t>
      </w:r>
      <w:r w:rsidR="008D3124" w:rsidRPr="008D3124">
        <w:rPr>
          <w:i/>
          <w:iCs/>
          <w:sz w:val="16"/>
          <w:szCs w:val="16"/>
        </w:rPr>
        <w:t>Ouderlijk gezag</w:t>
      </w:r>
      <w:r w:rsidR="008D3124" w:rsidRPr="008D3124">
        <w:rPr>
          <w:sz w:val="16"/>
          <w:szCs w:val="16"/>
        </w:rPr>
        <w:t>, Antwerpen, Intersentia, 2013, 645</w:t>
      </w:r>
      <w:r w:rsidR="008D3124">
        <w:rPr>
          <w:sz w:val="16"/>
          <w:szCs w:val="16"/>
        </w:rPr>
        <w:t xml:space="preserve">; </w:t>
      </w:r>
      <w:r w:rsidRPr="008D3124">
        <w:rPr>
          <w:sz w:val="16"/>
          <w:szCs w:val="16"/>
        </w:rPr>
        <w:t xml:space="preserve">J. DOEK, “Article 9. </w:t>
      </w:r>
      <w:r w:rsidRPr="004F6728">
        <w:rPr>
          <w:sz w:val="16"/>
          <w:szCs w:val="16"/>
          <w:lang w:val="en-US"/>
        </w:rPr>
        <w:t xml:space="preserve">The Right Not to Be Separated from His or Her Parents” in A. ALEN, J. VANDE LANOTTE, E. VERHELLEN, F. ANG, E. BERGHMANS en M. VERHEYDE (eds.), </w:t>
      </w:r>
      <w:r w:rsidRPr="004F6728">
        <w:rPr>
          <w:i/>
          <w:iCs/>
          <w:sz w:val="16"/>
          <w:szCs w:val="16"/>
          <w:lang w:val="en-US"/>
        </w:rPr>
        <w:t>A Commentary on the United Nations Convention on the Rights of the Child</w:t>
      </w:r>
      <w:r w:rsidRPr="004F6728">
        <w:rPr>
          <w:sz w:val="16"/>
          <w:szCs w:val="16"/>
          <w:lang w:val="en-US"/>
        </w:rPr>
        <w:t>, Leiden, 2006, 28</w:t>
      </w:r>
      <w:r w:rsidR="00DD7724">
        <w:rPr>
          <w:sz w:val="16"/>
          <w:szCs w:val="16"/>
          <w:lang w:val="en-US"/>
        </w:rPr>
        <w:t>.</w:t>
      </w:r>
      <w:r w:rsidRPr="004F6728">
        <w:rPr>
          <w:sz w:val="16"/>
          <w:szCs w:val="16"/>
          <w:lang w:val="en-US"/>
        </w:rPr>
        <w:t xml:space="preserve"> </w:t>
      </w:r>
    </w:p>
  </w:footnote>
  <w:footnote w:id="118">
    <w:p w14:paraId="678B18F7" w14:textId="0E957796" w:rsidR="00FF52E2" w:rsidRPr="0086280A" w:rsidRDefault="00FF52E2" w:rsidP="00FF52E2">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Artikel 9.1, tweede zin IVRK.</w:t>
      </w:r>
    </w:p>
  </w:footnote>
  <w:footnote w:id="119">
    <w:p w14:paraId="0A067733" w14:textId="2EB39A31" w:rsidR="00FF52E2" w:rsidRPr="0086280A" w:rsidRDefault="00FF52E2" w:rsidP="00FF52E2">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Artikel 9.2 IVRK.</w:t>
      </w:r>
    </w:p>
  </w:footnote>
  <w:footnote w:id="120">
    <w:p w14:paraId="4ACB00C7" w14:textId="77777777" w:rsidR="00FF52E2" w:rsidRPr="0086280A" w:rsidRDefault="00FF52E2" w:rsidP="00FF52E2">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Artikel 9.3 en 9.4 IVRK.</w:t>
      </w:r>
    </w:p>
  </w:footnote>
  <w:footnote w:id="121">
    <w:p w14:paraId="5869F321" w14:textId="791D6CF0"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Artikel 9.1 IVRK</w:t>
      </w:r>
      <w:r w:rsidR="00DC0FA9" w:rsidRPr="0086280A">
        <w:rPr>
          <w:sz w:val="16"/>
          <w:szCs w:val="16"/>
          <w:lang w:val="nl-NL"/>
        </w:rPr>
        <w:t>; De bevoegde autoriteiten beschikken over deze mogelijkheid onder voorbehoud van de mogelijkheid tot rechterlijke toetsing in overeenstemming met het toepasselijke recht en de toepasselijke procedures.</w:t>
      </w:r>
    </w:p>
  </w:footnote>
  <w:footnote w:id="122">
    <w:p w14:paraId="1899DDE2" w14:textId="773BF3B8" w:rsidR="00C57AF9" w:rsidRPr="008D3124" w:rsidRDefault="00C57AF9" w:rsidP="005C4D5C">
      <w:pPr>
        <w:pStyle w:val="Voetnoottekst"/>
        <w:jc w:val="both"/>
        <w:rPr>
          <w:sz w:val="16"/>
          <w:szCs w:val="16"/>
        </w:rPr>
      </w:pPr>
      <w:r w:rsidRPr="0086280A">
        <w:rPr>
          <w:rStyle w:val="Voetnootmarkering"/>
          <w:sz w:val="16"/>
          <w:szCs w:val="16"/>
          <w:lang w:val="nl-NL"/>
        </w:rPr>
        <w:footnoteRef/>
      </w:r>
      <w:r w:rsidRPr="008D3124">
        <w:rPr>
          <w:sz w:val="16"/>
          <w:szCs w:val="16"/>
        </w:rPr>
        <w:t xml:space="preserve"> </w:t>
      </w:r>
      <w:r w:rsidR="008D3124" w:rsidRPr="008D3124">
        <w:rPr>
          <w:sz w:val="16"/>
          <w:szCs w:val="16"/>
        </w:rPr>
        <w:t xml:space="preserve">S. MEUWESE, M. BLAAK en M. KAANDROP (eds.), </w:t>
      </w:r>
      <w:r w:rsidR="008D3124" w:rsidRPr="008D3124">
        <w:rPr>
          <w:i/>
          <w:iCs/>
          <w:sz w:val="16"/>
          <w:szCs w:val="16"/>
        </w:rPr>
        <w:t xml:space="preserve">Handboek Internationaal Jeugdrecht. </w:t>
      </w:r>
      <w:r w:rsidR="008D3124" w:rsidRPr="0086280A">
        <w:rPr>
          <w:i/>
          <w:iCs/>
          <w:sz w:val="16"/>
          <w:szCs w:val="16"/>
          <w:lang w:val="nl-NL"/>
        </w:rPr>
        <w:t>Een toelichting voor rechtspraak en jeugdbeleid op het Verdrag inzake de Rechten van het Kind en andere internationale regelgeving over de rechtspositie van minderjarigen</w:t>
      </w:r>
      <w:r w:rsidR="008D3124" w:rsidRPr="0086280A">
        <w:rPr>
          <w:sz w:val="16"/>
          <w:szCs w:val="16"/>
          <w:lang w:val="nl-NL"/>
        </w:rPr>
        <w:t>, Nijmegen, Ars Aequi Libri, 2005, 97</w:t>
      </w:r>
      <w:r w:rsidR="008D3124">
        <w:rPr>
          <w:sz w:val="16"/>
          <w:szCs w:val="16"/>
          <w:lang w:val="nl-NL"/>
        </w:rPr>
        <w:t xml:space="preserve">; </w:t>
      </w:r>
      <w:r w:rsidRPr="008D3124">
        <w:rPr>
          <w:sz w:val="16"/>
          <w:szCs w:val="16"/>
        </w:rPr>
        <w:t xml:space="preserve">S. </w:t>
      </w:r>
      <w:r w:rsidRPr="008D3124">
        <w:rPr>
          <w:rFonts w:eastAsia="Verdana" w:cs="Verdana"/>
          <w:sz w:val="16"/>
          <w:szCs w:val="16"/>
          <w:lang w:eastAsia="nl-NL"/>
        </w:rPr>
        <w:t xml:space="preserve">DETRICK en J. DOEK, </w:t>
      </w:r>
      <w:r w:rsidRPr="008D3124">
        <w:rPr>
          <w:rFonts w:eastAsia="Verdana" w:cs="Verdana"/>
          <w:i/>
          <w:iCs/>
          <w:sz w:val="16"/>
          <w:szCs w:val="16"/>
          <w:lang w:eastAsia="nl-NL"/>
        </w:rPr>
        <w:t xml:space="preserve">The United Nations Convention on the rights of the child: a guide to the “Travaux préparatoires”, </w:t>
      </w:r>
      <w:r w:rsidRPr="008D3124">
        <w:rPr>
          <w:rFonts w:eastAsia="Verdana" w:cs="Verdana"/>
          <w:sz w:val="16"/>
          <w:szCs w:val="16"/>
          <w:lang w:eastAsia="nl-NL"/>
        </w:rPr>
        <w:t>Dordrecht, Nijhoff Publishers, 1992, 168</w:t>
      </w:r>
      <w:r w:rsidRPr="008D3124">
        <w:rPr>
          <w:sz w:val="16"/>
          <w:szCs w:val="16"/>
        </w:rPr>
        <w:t>.</w:t>
      </w:r>
    </w:p>
  </w:footnote>
  <w:footnote w:id="123">
    <w:p w14:paraId="13F204A5" w14:textId="51029EA2"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S. </w:t>
      </w:r>
      <w:r w:rsidRPr="004F6728">
        <w:rPr>
          <w:rFonts w:eastAsia="Verdana" w:cs="Verdana"/>
          <w:sz w:val="16"/>
          <w:szCs w:val="16"/>
          <w:lang w:val="en-US" w:eastAsia="nl-NL"/>
        </w:rPr>
        <w:t xml:space="preserve">DETRICK en J. DOEK, </w:t>
      </w:r>
      <w:r w:rsidRPr="004F6728">
        <w:rPr>
          <w:rFonts w:eastAsia="Verdana" w:cs="Verdana"/>
          <w:i/>
          <w:iCs/>
          <w:sz w:val="16"/>
          <w:szCs w:val="16"/>
          <w:lang w:val="en-US" w:eastAsia="nl-NL"/>
        </w:rPr>
        <w:t xml:space="preserve">The United Nations convention on the rights of the child: a guide to the “Travaux </w:t>
      </w:r>
      <w:proofErr w:type="spellStart"/>
      <w:r w:rsidRPr="004F6728">
        <w:rPr>
          <w:rFonts w:eastAsia="Verdana" w:cs="Verdana"/>
          <w:i/>
          <w:iCs/>
          <w:sz w:val="16"/>
          <w:szCs w:val="16"/>
          <w:lang w:val="en-US" w:eastAsia="nl-NL"/>
        </w:rPr>
        <w:t>préparatoires</w:t>
      </w:r>
      <w:proofErr w:type="spellEnd"/>
      <w:r w:rsidRPr="004F6728">
        <w:rPr>
          <w:rFonts w:eastAsia="Verdana" w:cs="Verdana"/>
          <w:i/>
          <w:iCs/>
          <w:sz w:val="16"/>
          <w:szCs w:val="16"/>
          <w:lang w:val="en-US" w:eastAsia="nl-NL"/>
        </w:rPr>
        <w:t xml:space="preserve">”, </w:t>
      </w:r>
      <w:r w:rsidRPr="004F6728">
        <w:rPr>
          <w:rFonts w:eastAsia="Verdana" w:cs="Verdana"/>
          <w:sz w:val="16"/>
          <w:szCs w:val="16"/>
          <w:lang w:val="en-US" w:eastAsia="nl-NL"/>
        </w:rPr>
        <w:t xml:space="preserve">Dordrecht, </w:t>
      </w:r>
      <w:proofErr w:type="spellStart"/>
      <w:r w:rsidRPr="004F6728">
        <w:rPr>
          <w:rFonts w:eastAsia="Verdana" w:cs="Verdana"/>
          <w:sz w:val="16"/>
          <w:szCs w:val="16"/>
          <w:lang w:val="en-US" w:eastAsia="nl-NL"/>
        </w:rPr>
        <w:t>Nijhoff</w:t>
      </w:r>
      <w:proofErr w:type="spellEnd"/>
      <w:r w:rsidRPr="004F6728">
        <w:rPr>
          <w:rFonts w:eastAsia="Verdana" w:cs="Verdana"/>
          <w:sz w:val="16"/>
          <w:szCs w:val="16"/>
          <w:lang w:val="en-US" w:eastAsia="nl-NL"/>
        </w:rPr>
        <w:t xml:space="preserve"> Publishers, 1992, 168-169.</w:t>
      </w:r>
    </w:p>
  </w:footnote>
  <w:footnote w:id="124">
    <w:p w14:paraId="5E79F97B" w14:textId="7EECAD71" w:rsidR="00FF52E2" w:rsidRPr="0086280A" w:rsidRDefault="00FF52E2" w:rsidP="00FF52E2">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Artikel 3.1 IVRK.</w:t>
      </w:r>
    </w:p>
  </w:footnote>
  <w:footnote w:id="125">
    <w:p w14:paraId="5D9AA759" w14:textId="11E95C84"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Artikel 9.1, laatste zin IVRK: “Het gaat hierbij om misbruik of verwaarlozing van het kind door de ouders, of wanneer de ouders gescheiden leven en er een beslissing moet worden genomen ten aanzien van de verblijfplaats van het kind”.</w:t>
      </w:r>
    </w:p>
  </w:footnote>
  <w:footnote w:id="126">
    <w:p w14:paraId="0B325293" w14:textId="3A8BC7F8"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86280A">
        <w:rPr>
          <w:sz w:val="16"/>
          <w:szCs w:val="16"/>
          <w:lang w:val="nl-NL"/>
        </w:rPr>
        <w:t xml:space="preserve"> T. WUYTS, </w:t>
      </w:r>
      <w:r w:rsidRPr="0086280A">
        <w:rPr>
          <w:i/>
          <w:iCs/>
          <w:sz w:val="16"/>
          <w:szCs w:val="16"/>
          <w:lang w:val="nl-NL"/>
        </w:rPr>
        <w:t>Ouderlijk gezag</w:t>
      </w:r>
      <w:r w:rsidRPr="0086280A">
        <w:rPr>
          <w:sz w:val="16"/>
          <w:szCs w:val="16"/>
          <w:lang w:val="nl-NL"/>
        </w:rPr>
        <w:t xml:space="preserve">, Antwerpen, Intersentia, 2013, 641; J. DOEK, “Article 9. </w:t>
      </w:r>
      <w:r w:rsidRPr="004F6728">
        <w:rPr>
          <w:sz w:val="16"/>
          <w:szCs w:val="16"/>
          <w:lang w:val="en-US"/>
        </w:rPr>
        <w:t xml:space="preserve">The Right Not to Be Separated from His or Her Parents” in A. ALEN, J. VANDE LANOTTE, E. VERHELLEN, F. ANG, E. BERGHMANS en M. VERHEYDE (eds.), </w:t>
      </w:r>
      <w:r w:rsidRPr="004F6728">
        <w:rPr>
          <w:i/>
          <w:iCs/>
          <w:sz w:val="16"/>
          <w:szCs w:val="16"/>
          <w:lang w:val="en-US"/>
        </w:rPr>
        <w:t>A Commentary on the United Nations Convention on the Rights of the Child</w:t>
      </w:r>
      <w:r w:rsidRPr="004F6728">
        <w:rPr>
          <w:sz w:val="16"/>
          <w:szCs w:val="16"/>
          <w:lang w:val="en-US"/>
        </w:rPr>
        <w:t xml:space="preserve">, Leiden, 2006, 25-26; C. WHALEN, “Article 9: The Right Not to Be Separated from Parents” in Z. VAGHRI, J. ZERMATTEN, G. LANSDOWN en R. RUGGIERO (eds.), </w:t>
      </w:r>
      <w:r w:rsidRPr="004F6728">
        <w:rPr>
          <w:i/>
          <w:sz w:val="16"/>
          <w:szCs w:val="16"/>
          <w:lang w:val="en-US"/>
        </w:rPr>
        <w:t>Monitoring State Compliance with the UN Convention on the Rights of the Child</w:t>
      </w:r>
      <w:r w:rsidRPr="004F6728">
        <w:rPr>
          <w:sz w:val="16"/>
          <w:szCs w:val="16"/>
          <w:lang w:val="en-US"/>
        </w:rPr>
        <w:t xml:space="preserve">, </w:t>
      </w:r>
      <w:proofErr w:type="spellStart"/>
      <w:r w:rsidRPr="004F6728">
        <w:rPr>
          <w:sz w:val="16"/>
          <w:szCs w:val="16"/>
          <w:lang w:val="en-US"/>
        </w:rPr>
        <w:t>Zwitserland</w:t>
      </w:r>
      <w:proofErr w:type="spellEnd"/>
      <w:r w:rsidRPr="004F6728">
        <w:rPr>
          <w:sz w:val="16"/>
          <w:szCs w:val="16"/>
          <w:lang w:val="en-US"/>
        </w:rPr>
        <w:t>, Springer, 2022, 125-135.</w:t>
      </w:r>
    </w:p>
  </w:footnote>
  <w:footnote w:id="127">
    <w:p w14:paraId="5E7E82CF" w14:textId="673D6A1D"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J. DOEK, “Article 9. The Right Not to Be Separated from His or Her Parents” in A. ALEN, J. VANDE LANOTTE, E. VERHELLEN, F. ANG, E. BERGHMANS en M. VERHEYDE (eds.), </w:t>
      </w:r>
      <w:r w:rsidRPr="004F6728">
        <w:rPr>
          <w:i/>
          <w:iCs/>
          <w:sz w:val="16"/>
          <w:szCs w:val="16"/>
          <w:lang w:val="en-US"/>
        </w:rPr>
        <w:t>A Commentary on the United Nations Convention on the Rights of the Child</w:t>
      </w:r>
      <w:r w:rsidRPr="004F6728">
        <w:rPr>
          <w:sz w:val="16"/>
          <w:szCs w:val="16"/>
          <w:lang w:val="en-US"/>
        </w:rPr>
        <w:t>, Leiden, 2006, 27.</w:t>
      </w:r>
    </w:p>
  </w:footnote>
  <w:footnote w:id="128">
    <w:p w14:paraId="1994CAED" w14:textId="2A57115D"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ook artikel 14 IVBPR en artikel 6 EVRM.</w:t>
      </w:r>
    </w:p>
  </w:footnote>
  <w:footnote w:id="129">
    <w:p w14:paraId="189C10D4" w14:textId="623B53E1" w:rsidR="00C57AF9" w:rsidRPr="0086280A" w:rsidRDefault="00C57AF9" w:rsidP="005C4D5C">
      <w:pPr>
        <w:jc w:val="both"/>
        <w:rPr>
          <w:rFonts w:eastAsia="Verdana" w:cs="Verdana"/>
          <w:sz w:val="16"/>
          <w:szCs w:val="16"/>
          <w:lang w:val="nl-NL"/>
        </w:rPr>
      </w:pPr>
      <w:r w:rsidRPr="0086280A">
        <w:rPr>
          <w:rStyle w:val="Voetnootmarkering"/>
          <w:sz w:val="16"/>
          <w:szCs w:val="16"/>
          <w:lang w:val="nl-NL"/>
        </w:rPr>
        <w:footnoteRef/>
      </w:r>
      <w:r w:rsidRPr="0086280A">
        <w:rPr>
          <w:sz w:val="16"/>
          <w:szCs w:val="16"/>
          <w:lang w:val="nl-NL"/>
        </w:rPr>
        <w:t xml:space="preserve"> </w:t>
      </w:r>
      <w:r w:rsidRPr="0086280A">
        <w:rPr>
          <w:rFonts w:eastAsia="Verdana" w:cs="Verdana"/>
          <w:sz w:val="16"/>
          <w:szCs w:val="16"/>
          <w:lang w:val="nl-NL"/>
        </w:rPr>
        <w:t xml:space="preserve">Verdrag 20 november 1989 inzake de Rechten van het Kind, </w:t>
      </w:r>
      <w:r w:rsidRPr="0086280A">
        <w:rPr>
          <w:rFonts w:eastAsia="Verdana" w:cs="Verdana"/>
          <w:i/>
          <w:sz w:val="16"/>
          <w:szCs w:val="16"/>
          <w:lang w:val="nl-NL"/>
        </w:rPr>
        <w:t>BS</w:t>
      </w:r>
      <w:r w:rsidRPr="0086280A">
        <w:rPr>
          <w:rFonts w:eastAsia="Verdana" w:cs="Verdana"/>
          <w:sz w:val="16"/>
          <w:szCs w:val="16"/>
          <w:lang w:val="nl-NL"/>
        </w:rPr>
        <w:t xml:space="preserve"> 17 januari 1992; zie artikel 9.3 IVRK: </w:t>
      </w:r>
      <w:r w:rsidRPr="0086280A">
        <w:rPr>
          <w:rFonts w:eastAsia="Verdana" w:cs="Verdana"/>
          <w:i/>
          <w:iCs/>
          <w:sz w:val="16"/>
          <w:szCs w:val="16"/>
          <w:lang w:val="nl-NL"/>
        </w:rPr>
        <w:t>“</w:t>
      </w:r>
      <w:r w:rsidRPr="0086280A">
        <w:rPr>
          <w:rFonts w:eastAsia="Verdana" w:cs="Verdana"/>
          <w:sz w:val="16"/>
          <w:szCs w:val="16"/>
          <w:lang w:val="nl-NL"/>
        </w:rPr>
        <w:t xml:space="preserve">De Staten die partij zijn, eerbiedigen het </w:t>
      </w:r>
      <w:r w:rsidRPr="0086280A">
        <w:rPr>
          <w:rFonts w:eastAsia="Verdana" w:cs="Verdana"/>
          <w:sz w:val="16"/>
          <w:szCs w:val="16"/>
          <w:u w:val="single"/>
          <w:lang w:val="nl-NL"/>
        </w:rPr>
        <w:t>recht van het kind</w:t>
      </w:r>
      <w:r w:rsidRPr="0086280A">
        <w:rPr>
          <w:rFonts w:eastAsia="Verdana" w:cs="Verdana"/>
          <w:sz w:val="16"/>
          <w:szCs w:val="16"/>
          <w:lang w:val="nl-NL"/>
        </w:rPr>
        <w:t xml:space="preserve"> dat van een ouder of beide ouders is gescheiden, op regelmatige basis persoonlijke betrekkingen en rechtstreeks contact met beide ouders te onderhouden, tenzij dit in strijd is met het belang van het kind”</w:t>
      </w:r>
      <w:r w:rsidR="00FF52E2" w:rsidRPr="0086280A">
        <w:rPr>
          <w:rFonts w:eastAsia="Verdana" w:cs="Verdana"/>
          <w:sz w:val="16"/>
          <w:szCs w:val="16"/>
          <w:lang w:val="nl-NL"/>
        </w:rPr>
        <w:t xml:space="preserve"> (eigen nadruk)</w:t>
      </w:r>
      <w:r w:rsidRPr="0086280A">
        <w:rPr>
          <w:rFonts w:eastAsia="Verdana" w:cs="Verdana"/>
          <w:sz w:val="16"/>
          <w:szCs w:val="16"/>
          <w:lang w:val="nl-NL"/>
        </w:rPr>
        <w:t>.</w:t>
      </w:r>
    </w:p>
  </w:footnote>
  <w:footnote w:id="130">
    <w:p w14:paraId="3A94E1FE" w14:textId="3239C1FC"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in dit verband ook het recht op meningsuiting en hoorrecht/spreekrecht van het kind.</w:t>
      </w:r>
    </w:p>
  </w:footnote>
  <w:footnote w:id="131">
    <w:p w14:paraId="425F9919" w14:textId="4CAEA2BA"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t>
      </w:r>
      <w:r w:rsidR="00690065" w:rsidRPr="0086280A">
        <w:rPr>
          <w:sz w:val="16"/>
          <w:szCs w:val="16"/>
          <w:lang w:val="nl-NL"/>
        </w:rPr>
        <w:t xml:space="preserve">Verdrag 4 november 1950 tot bescherming van de rechten van de mens en de fundamentele vrijheden, </w:t>
      </w:r>
      <w:r w:rsidR="00690065" w:rsidRPr="0086280A">
        <w:rPr>
          <w:i/>
          <w:sz w:val="16"/>
          <w:szCs w:val="16"/>
          <w:lang w:val="nl-NL"/>
        </w:rPr>
        <w:t>BS</w:t>
      </w:r>
      <w:r w:rsidR="00690065" w:rsidRPr="0086280A">
        <w:rPr>
          <w:sz w:val="16"/>
          <w:szCs w:val="16"/>
          <w:lang w:val="nl-NL"/>
        </w:rPr>
        <w:t xml:space="preserve"> 19 augustus 1955</w:t>
      </w:r>
      <w:r w:rsidR="00432C26">
        <w:rPr>
          <w:sz w:val="16"/>
          <w:szCs w:val="16"/>
          <w:lang w:val="nl-NL"/>
        </w:rPr>
        <w:t>,</w:t>
      </w:r>
      <w:r w:rsidR="00690065" w:rsidRPr="0086280A">
        <w:rPr>
          <w:sz w:val="16"/>
          <w:szCs w:val="16"/>
          <w:lang w:val="nl-NL"/>
        </w:rPr>
        <w:t xml:space="preserve"> preambule: </w:t>
      </w:r>
      <w:r w:rsidRPr="0086280A">
        <w:rPr>
          <w:sz w:val="16"/>
          <w:szCs w:val="16"/>
          <w:lang w:val="nl-NL"/>
        </w:rPr>
        <w:t>“Gelet op de Universele Verklaring van de Rechten van de Mens die op 10 december 1948 door de Algemene Vergadering van de Verenigde Naties is afgekondigd; Overwegende, dat deze Verklaring ten doel heeft de universele en daadwerkelijke erkenning en toepassing van de rechten die daarin zijn nedergelegd te verzekeren…”</w:t>
      </w:r>
      <w:r w:rsidR="00304072">
        <w:rPr>
          <w:sz w:val="16"/>
          <w:szCs w:val="16"/>
          <w:lang w:val="nl-NL"/>
        </w:rPr>
        <w:t xml:space="preserve">; </w:t>
      </w:r>
      <w:r w:rsidR="00DD7724" w:rsidRPr="0086280A">
        <w:rPr>
          <w:sz w:val="16"/>
          <w:szCs w:val="16"/>
          <w:lang w:val="nl-NL"/>
        </w:rPr>
        <w:t>EUROPEAN UNION AGENCY FOR FUNDAMENTAL RIGHTS AND COUNCIL OF EUROPE</w:t>
      </w:r>
      <w:r w:rsidR="00DD7724" w:rsidRPr="0086280A">
        <w:rPr>
          <w:i/>
          <w:sz w:val="16"/>
          <w:szCs w:val="16"/>
          <w:lang w:val="nl-NL"/>
        </w:rPr>
        <w:t>, Handbook on European law relating to the rights of the child</w:t>
      </w:r>
      <w:r w:rsidR="00DD7724" w:rsidRPr="0086280A">
        <w:rPr>
          <w:sz w:val="16"/>
          <w:szCs w:val="16"/>
          <w:lang w:val="nl-NL"/>
        </w:rPr>
        <w:t>, Luxemburg, Bureau voor publicaties van de Europese Unie, 2022, 16</w:t>
      </w:r>
      <w:r w:rsidR="00DD7724">
        <w:rPr>
          <w:sz w:val="16"/>
          <w:szCs w:val="16"/>
          <w:lang w:val="nl-NL"/>
        </w:rPr>
        <w:t xml:space="preserve">; </w:t>
      </w:r>
      <w:r w:rsidR="00304072" w:rsidRPr="0086280A">
        <w:rPr>
          <w:sz w:val="16"/>
          <w:szCs w:val="16"/>
          <w:lang w:val="nl-NL"/>
        </w:rPr>
        <w:t xml:space="preserve">S. SMETS, “De doorwerking van het Kinderrechtenverdrag in de rechtspraak van het EHRM”, </w:t>
      </w:r>
      <w:r w:rsidR="00304072" w:rsidRPr="0086280A">
        <w:rPr>
          <w:i/>
          <w:iCs/>
          <w:sz w:val="16"/>
          <w:szCs w:val="16"/>
          <w:lang w:val="nl-NL"/>
        </w:rPr>
        <w:t>TJK</w:t>
      </w:r>
      <w:r w:rsidR="00304072" w:rsidRPr="0086280A">
        <w:rPr>
          <w:sz w:val="16"/>
          <w:szCs w:val="16"/>
          <w:lang w:val="nl-NL"/>
        </w:rPr>
        <w:t xml:space="preserve"> 2013, </w:t>
      </w:r>
      <w:r w:rsidR="001D574A">
        <w:rPr>
          <w:sz w:val="16"/>
          <w:szCs w:val="16"/>
          <w:lang w:val="nl-NL"/>
        </w:rPr>
        <w:t xml:space="preserve">(82) </w:t>
      </w:r>
      <w:r w:rsidR="00304072" w:rsidRPr="0086280A">
        <w:rPr>
          <w:sz w:val="16"/>
          <w:szCs w:val="16"/>
          <w:lang w:val="nl-NL"/>
        </w:rPr>
        <w:t>83.</w:t>
      </w:r>
    </w:p>
  </w:footnote>
  <w:footnote w:id="132">
    <w:p w14:paraId="357018A3" w14:textId="287A689B"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EUROPEAN UNION AGENCY FOR FUNDAMENTAL RIGHTS AND COUNCIL OF EUROPE</w:t>
      </w:r>
      <w:r w:rsidRPr="004F6728">
        <w:rPr>
          <w:i/>
          <w:sz w:val="16"/>
          <w:szCs w:val="16"/>
          <w:lang w:val="en-US"/>
        </w:rPr>
        <w:t>, Handbook on European law relating to the rights of the child</w:t>
      </w:r>
      <w:r w:rsidRPr="004F6728">
        <w:rPr>
          <w:sz w:val="16"/>
          <w:szCs w:val="16"/>
          <w:lang w:val="en-US"/>
        </w:rPr>
        <w:t xml:space="preserve">, Luxemburg, Bureau </w:t>
      </w:r>
      <w:proofErr w:type="spellStart"/>
      <w:r w:rsidRPr="004F6728">
        <w:rPr>
          <w:sz w:val="16"/>
          <w:szCs w:val="16"/>
          <w:lang w:val="en-US"/>
        </w:rPr>
        <w:t>voor</w:t>
      </w:r>
      <w:proofErr w:type="spellEnd"/>
      <w:r w:rsidRPr="004F6728">
        <w:rPr>
          <w:sz w:val="16"/>
          <w:szCs w:val="16"/>
          <w:lang w:val="en-US"/>
        </w:rPr>
        <w:t xml:space="preserve"> </w:t>
      </w:r>
      <w:proofErr w:type="spellStart"/>
      <w:r w:rsidRPr="004F6728">
        <w:rPr>
          <w:sz w:val="16"/>
          <w:szCs w:val="16"/>
          <w:lang w:val="en-US"/>
        </w:rPr>
        <w:t>publicaties</w:t>
      </w:r>
      <w:proofErr w:type="spellEnd"/>
      <w:r w:rsidRPr="004F6728">
        <w:rPr>
          <w:sz w:val="16"/>
          <w:szCs w:val="16"/>
          <w:lang w:val="en-US"/>
        </w:rPr>
        <w:t xml:space="preserve"> van de </w:t>
      </w:r>
      <w:proofErr w:type="spellStart"/>
      <w:r w:rsidRPr="004F6728">
        <w:rPr>
          <w:sz w:val="16"/>
          <w:szCs w:val="16"/>
          <w:lang w:val="en-US"/>
        </w:rPr>
        <w:t>Europese</w:t>
      </w:r>
      <w:proofErr w:type="spellEnd"/>
      <w:r w:rsidRPr="004F6728">
        <w:rPr>
          <w:sz w:val="16"/>
          <w:szCs w:val="16"/>
          <w:lang w:val="en-US"/>
        </w:rPr>
        <w:t xml:space="preserve"> </w:t>
      </w:r>
      <w:proofErr w:type="spellStart"/>
      <w:r w:rsidRPr="004F6728">
        <w:rPr>
          <w:sz w:val="16"/>
          <w:szCs w:val="16"/>
          <w:lang w:val="en-US"/>
        </w:rPr>
        <w:t>Unie</w:t>
      </w:r>
      <w:proofErr w:type="spellEnd"/>
      <w:r w:rsidRPr="004F6728">
        <w:rPr>
          <w:sz w:val="16"/>
          <w:szCs w:val="16"/>
          <w:lang w:val="en-US"/>
        </w:rPr>
        <w:t>, 2022, 17.</w:t>
      </w:r>
    </w:p>
  </w:footnote>
  <w:footnote w:id="133">
    <w:p w14:paraId="3F7AEE96" w14:textId="19F85B7A"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 VANDENHOLE, “Kinderrechten in universele en Europese mensenrechtenverdragen” in W. VANDENHOLE (ed.), </w:t>
      </w:r>
      <w:r w:rsidRPr="0086280A">
        <w:rPr>
          <w:i/>
          <w:iCs/>
          <w:sz w:val="16"/>
          <w:szCs w:val="16"/>
          <w:lang w:val="nl-NL"/>
        </w:rPr>
        <w:t>Kinderrechten in België</w:t>
      </w:r>
      <w:r w:rsidRPr="0086280A">
        <w:rPr>
          <w:sz w:val="16"/>
          <w:szCs w:val="16"/>
          <w:lang w:val="nl-NL"/>
        </w:rPr>
        <w:t>, Antwerpen, Intersentia, 2008, 10.</w:t>
      </w:r>
    </w:p>
  </w:footnote>
  <w:footnote w:id="134">
    <w:p w14:paraId="0F805F81" w14:textId="4E599F56"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Ondanks dat kinderrechten niet de voornaamste bestaansreden en insteek </w:t>
      </w:r>
      <w:r w:rsidR="00690065" w:rsidRPr="0086280A">
        <w:rPr>
          <w:sz w:val="16"/>
          <w:szCs w:val="16"/>
          <w:lang w:val="nl-NL"/>
        </w:rPr>
        <w:t>vormt</w:t>
      </w:r>
      <w:r w:rsidRPr="0086280A">
        <w:rPr>
          <w:sz w:val="16"/>
          <w:szCs w:val="16"/>
          <w:lang w:val="nl-NL"/>
        </w:rPr>
        <w:t xml:space="preserve"> </w:t>
      </w:r>
      <w:r w:rsidR="00690065" w:rsidRPr="0086280A">
        <w:rPr>
          <w:sz w:val="16"/>
          <w:szCs w:val="16"/>
          <w:lang w:val="nl-NL"/>
        </w:rPr>
        <w:t>van</w:t>
      </w:r>
      <w:r w:rsidRPr="0086280A">
        <w:rPr>
          <w:sz w:val="16"/>
          <w:szCs w:val="16"/>
          <w:lang w:val="nl-NL"/>
        </w:rPr>
        <w:t xml:space="preserve"> het EVRM, zijn er toch enkele verwijzingen</w:t>
      </w:r>
      <w:r w:rsidR="00690065" w:rsidRPr="0086280A">
        <w:rPr>
          <w:sz w:val="16"/>
          <w:szCs w:val="16"/>
          <w:lang w:val="nl-NL"/>
        </w:rPr>
        <w:t xml:space="preserve"> naar kinderen terug te vinden</w:t>
      </w:r>
      <w:r w:rsidRPr="0086280A">
        <w:rPr>
          <w:sz w:val="16"/>
          <w:szCs w:val="16"/>
          <w:lang w:val="nl-NL"/>
        </w:rPr>
        <w:t xml:space="preserve">. </w:t>
      </w:r>
      <w:r w:rsidR="00690065" w:rsidRPr="0086280A">
        <w:rPr>
          <w:sz w:val="16"/>
          <w:szCs w:val="16"/>
          <w:lang w:val="nl-NL"/>
        </w:rPr>
        <w:t>Dat is bijvoorbeeld het geval</w:t>
      </w:r>
      <w:r w:rsidRPr="0086280A">
        <w:rPr>
          <w:sz w:val="16"/>
          <w:szCs w:val="16"/>
          <w:lang w:val="nl-NL"/>
        </w:rPr>
        <w:t xml:space="preserve"> in artikel 5, eerste lid, d) EVRM (rechtmatige detentie van een minderjarige met het doel toe te zien op de opvoeding) en artikel 6, eerste lid (recht op een eerlijke en openbare behandeling van een zaak wordt beperkt als dit in het belang is van een minderjarige); P. ALSTON en J. TOBIN, </w:t>
      </w:r>
      <w:r w:rsidRPr="0086280A">
        <w:rPr>
          <w:i/>
          <w:iCs/>
          <w:sz w:val="16"/>
          <w:szCs w:val="16"/>
          <w:lang w:val="nl-NL"/>
        </w:rPr>
        <w:t>Laying the Foundations for Children’s Rights: An Independent Study of Some Key Legal and Institutional Aspects of the Impact of the Convention on the Rights of the Child</w:t>
      </w:r>
      <w:r w:rsidRPr="0086280A">
        <w:rPr>
          <w:sz w:val="16"/>
          <w:szCs w:val="16"/>
          <w:lang w:val="nl-NL"/>
        </w:rPr>
        <w:t>, UNICEF Innocenti Research Centre 3, 2005, 16.</w:t>
      </w:r>
    </w:p>
  </w:footnote>
  <w:footnote w:id="135">
    <w:p w14:paraId="7E5D9ED4" w14:textId="6A651970"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Preambule EVRM: “the inherent dignity and (…) equal and inalienable rights of all members of the human family”; P. ALSTON en J. TOBIN, </w:t>
      </w:r>
      <w:r w:rsidRPr="004F6728">
        <w:rPr>
          <w:i/>
          <w:iCs/>
          <w:sz w:val="16"/>
          <w:szCs w:val="16"/>
          <w:lang w:val="en-US"/>
        </w:rPr>
        <w:t>Laying the Foundations for Children’s Rights: An Independent Study of Some Key Legal and Institutional Aspects of the Impact of the Convention on the Rights of the Child</w:t>
      </w:r>
      <w:r w:rsidRPr="004F6728">
        <w:rPr>
          <w:sz w:val="16"/>
          <w:szCs w:val="16"/>
          <w:lang w:val="en-US"/>
        </w:rPr>
        <w:t xml:space="preserve">, UNICEF </w:t>
      </w:r>
      <w:proofErr w:type="spellStart"/>
      <w:r w:rsidRPr="004F6728">
        <w:rPr>
          <w:sz w:val="16"/>
          <w:szCs w:val="16"/>
          <w:lang w:val="en-US"/>
        </w:rPr>
        <w:t>Innocenti</w:t>
      </w:r>
      <w:proofErr w:type="spellEnd"/>
      <w:r w:rsidRPr="004F6728">
        <w:rPr>
          <w:sz w:val="16"/>
          <w:szCs w:val="16"/>
          <w:lang w:val="en-US"/>
        </w:rPr>
        <w:t xml:space="preserve"> Research Centre 3, 2005, 17.</w:t>
      </w:r>
    </w:p>
  </w:footnote>
  <w:footnote w:id="136">
    <w:p w14:paraId="23DD8FF0" w14:textId="3FA25F14"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EHRM 22 </w:t>
      </w:r>
      <w:proofErr w:type="spellStart"/>
      <w:r w:rsidRPr="004F6728">
        <w:rPr>
          <w:sz w:val="16"/>
          <w:szCs w:val="16"/>
          <w:lang w:val="en-US"/>
        </w:rPr>
        <w:t>november</w:t>
      </w:r>
      <w:proofErr w:type="spellEnd"/>
      <w:r w:rsidRPr="004F6728">
        <w:rPr>
          <w:sz w:val="16"/>
          <w:szCs w:val="16"/>
          <w:lang w:val="en-US"/>
        </w:rPr>
        <w:t xml:space="preserve"> 1988, nr. 10929/84, </w:t>
      </w:r>
      <w:r w:rsidRPr="004F6728">
        <w:rPr>
          <w:i/>
          <w:iCs/>
          <w:sz w:val="16"/>
          <w:szCs w:val="16"/>
          <w:lang w:val="en-US"/>
        </w:rPr>
        <w:t>Nielsen/</w:t>
      </w:r>
      <w:proofErr w:type="spellStart"/>
      <w:r w:rsidRPr="004F6728">
        <w:rPr>
          <w:i/>
          <w:iCs/>
          <w:sz w:val="16"/>
          <w:szCs w:val="16"/>
          <w:lang w:val="en-US"/>
        </w:rPr>
        <w:t>Denemarken</w:t>
      </w:r>
      <w:proofErr w:type="spellEnd"/>
      <w:r w:rsidRPr="004F6728">
        <w:rPr>
          <w:sz w:val="16"/>
          <w:szCs w:val="16"/>
          <w:lang w:val="en-US"/>
        </w:rPr>
        <w:t>, §58 en §61</w:t>
      </w:r>
      <w:r w:rsidRPr="004F6728">
        <w:rPr>
          <w:i/>
          <w:iCs/>
          <w:sz w:val="16"/>
          <w:szCs w:val="16"/>
          <w:lang w:val="en-US"/>
        </w:rPr>
        <w:t xml:space="preserve">; </w:t>
      </w:r>
      <w:r w:rsidRPr="004F6728">
        <w:rPr>
          <w:sz w:val="16"/>
          <w:szCs w:val="16"/>
          <w:lang w:val="en-US"/>
        </w:rPr>
        <w:t>EUROPEAN UNION AGENCY FOR FUNDAMENTAL RIGHTS AND COUNCIL OF EUROPE</w:t>
      </w:r>
      <w:r w:rsidRPr="004F6728">
        <w:rPr>
          <w:i/>
          <w:sz w:val="16"/>
          <w:szCs w:val="16"/>
          <w:lang w:val="en-US"/>
        </w:rPr>
        <w:t>, Handbook on European law relating to the rights of the child</w:t>
      </w:r>
      <w:r w:rsidRPr="004F6728">
        <w:rPr>
          <w:sz w:val="16"/>
          <w:szCs w:val="16"/>
          <w:lang w:val="en-US"/>
        </w:rPr>
        <w:t xml:space="preserve">, Luxemburg, Bureau </w:t>
      </w:r>
      <w:proofErr w:type="spellStart"/>
      <w:r w:rsidRPr="004F6728">
        <w:rPr>
          <w:sz w:val="16"/>
          <w:szCs w:val="16"/>
          <w:lang w:val="en-US"/>
        </w:rPr>
        <w:t>voor</w:t>
      </w:r>
      <w:proofErr w:type="spellEnd"/>
      <w:r w:rsidRPr="004F6728">
        <w:rPr>
          <w:sz w:val="16"/>
          <w:szCs w:val="16"/>
          <w:lang w:val="en-US"/>
        </w:rPr>
        <w:t xml:space="preserve"> </w:t>
      </w:r>
      <w:proofErr w:type="spellStart"/>
      <w:r w:rsidRPr="004F6728">
        <w:rPr>
          <w:sz w:val="16"/>
          <w:szCs w:val="16"/>
          <w:lang w:val="en-US"/>
        </w:rPr>
        <w:t>publicaties</w:t>
      </w:r>
      <w:proofErr w:type="spellEnd"/>
      <w:r w:rsidRPr="004F6728">
        <w:rPr>
          <w:sz w:val="16"/>
          <w:szCs w:val="16"/>
          <w:lang w:val="en-US"/>
        </w:rPr>
        <w:t xml:space="preserve"> van de </w:t>
      </w:r>
      <w:proofErr w:type="spellStart"/>
      <w:r w:rsidRPr="004F6728">
        <w:rPr>
          <w:sz w:val="16"/>
          <w:szCs w:val="16"/>
          <w:lang w:val="en-US"/>
        </w:rPr>
        <w:t>Europese</w:t>
      </w:r>
      <w:proofErr w:type="spellEnd"/>
      <w:r w:rsidRPr="004F6728">
        <w:rPr>
          <w:sz w:val="16"/>
          <w:szCs w:val="16"/>
          <w:lang w:val="en-US"/>
        </w:rPr>
        <w:t xml:space="preserve"> </w:t>
      </w:r>
      <w:proofErr w:type="spellStart"/>
      <w:r w:rsidRPr="004F6728">
        <w:rPr>
          <w:sz w:val="16"/>
          <w:szCs w:val="16"/>
          <w:lang w:val="en-US"/>
        </w:rPr>
        <w:t>Unie</w:t>
      </w:r>
      <w:proofErr w:type="spellEnd"/>
      <w:r w:rsidRPr="004F6728">
        <w:rPr>
          <w:sz w:val="16"/>
          <w:szCs w:val="16"/>
          <w:lang w:val="en-US"/>
        </w:rPr>
        <w:t>, 2022, 16.</w:t>
      </w:r>
    </w:p>
  </w:footnote>
  <w:footnote w:id="137">
    <w:p w14:paraId="06095720" w14:textId="67EDFDC3"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EUROPEAN UNION AGENCY FOR FUNDAMENTAL RIGHTS AND COUNCIL OF EUROPE</w:t>
      </w:r>
      <w:r w:rsidRPr="004F6728">
        <w:rPr>
          <w:i/>
          <w:sz w:val="16"/>
          <w:szCs w:val="16"/>
          <w:lang w:val="en-US"/>
        </w:rPr>
        <w:t>, Handbook on European law relating to the rights of the child</w:t>
      </w:r>
      <w:r w:rsidRPr="004F6728">
        <w:rPr>
          <w:sz w:val="16"/>
          <w:szCs w:val="16"/>
          <w:lang w:val="en-US"/>
        </w:rPr>
        <w:t xml:space="preserve">, Luxemburg, Bureau </w:t>
      </w:r>
      <w:proofErr w:type="spellStart"/>
      <w:r w:rsidRPr="004F6728">
        <w:rPr>
          <w:sz w:val="16"/>
          <w:szCs w:val="16"/>
          <w:lang w:val="en-US"/>
        </w:rPr>
        <w:t>voor</w:t>
      </w:r>
      <w:proofErr w:type="spellEnd"/>
      <w:r w:rsidRPr="004F6728">
        <w:rPr>
          <w:sz w:val="16"/>
          <w:szCs w:val="16"/>
          <w:lang w:val="en-US"/>
        </w:rPr>
        <w:t xml:space="preserve"> </w:t>
      </w:r>
      <w:proofErr w:type="spellStart"/>
      <w:r w:rsidRPr="004F6728">
        <w:rPr>
          <w:sz w:val="16"/>
          <w:szCs w:val="16"/>
          <w:lang w:val="en-US"/>
        </w:rPr>
        <w:t>publicaties</w:t>
      </w:r>
      <w:proofErr w:type="spellEnd"/>
      <w:r w:rsidRPr="004F6728">
        <w:rPr>
          <w:sz w:val="16"/>
          <w:szCs w:val="16"/>
          <w:lang w:val="en-US"/>
        </w:rPr>
        <w:t xml:space="preserve"> van de </w:t>
      </w:r>
      <w:proofErr w:type="spellStart"/>
      <w:r w:rsidRPr="004F6728">
        <w:rPr>
          <w:sz w:val="16"/>
          <w:szCs w:val="16"/>
          <w:lang w:val="en-US"/>
        </w:rPr>
        <w:t>Europese</w:t>
      </w:r>
      <w:proofErr w:type="spellEnd"/>
      <w:r w:rsidRPr="004F6728">
        <w:rPr>
          <w:sz w:val="16"/>
          <w:szCs w:val="16"/>
          <w:lang w:val="en-US"/>
        </w:rPr>
        <w:t xml:space="preserve"> </w:t>
      </w:r>
      <w:proofErr w:type="spellStart"/>
      <w:r w:rsidRPr="004F6728">
        <w:rPr>
          <w:sz w:val="16"/>
          <w:szCs w:val="16"/>
          <w:lang w:val="en-US"/>
        </w:rPr>
        <w:t>Unie</w:t>
      </w:r>
      <w:proofErr w:type="spellEnd"/>
      <w:r w:rsidRPr="004F6728">
        <w:rPr>
          <w:sz w:val="16"/>
          <w:szCs w:val="16"/>
          <w:lang w:val="en-US"/>
        </w:rPr>
        <w:t>, 2022, 18.</w:t>
      </w:r>
    </w:p>
  </w:footnote>
  <w:footnote w:id="138">
    <w:p w14:paraId="6783C026" w14:textId="67B384A4"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Zo wordt een kind inzake het recht van vrij verkeer gedefinieerd als “beneden de leeftijd van 21 jaar”, zie artikel 2, tweede lid, c) RL 2004/38/EG van het Europees Parlement en de Raad van 29 april 2004 betreffende het recht van vrij verkeer en verblijf op het grondgebied van de lidstaten voor de burgers van de Unie en hun familieleden, tot wijziging van Verordening (EEG) nr. 1612/68 en tot intrekking van de Richtlijnen 64/221/EEG, 68/360/EEG, 72/194/EEG, 75/34/EEG, 74/35/EEG, 90/365/EEG en 93/96/EEG, </w:t>
      </w:r>
      <w:r w:rsidRPr="0086280A">
        <w:rPr>
          <w:i/>
          <w:iCs/>
          <w:sz w:val="16"/>
          <w:szCs w:val="16"/>
          <w:lang w:val="nl-NL"/>
        </w:rPr>
        <w:t>PB</w:t>
      </w:r>
      <w:r w:rsidRPr="0086280A">
        <w:rPr>
          <w:sz w:val="16"/>
          <w:szCs w:val="16"/>
          <w:lang w:val="nl-NL"/>
        </w:rPr>
        <w:t xml:space="preserve"> 2004.</w:t>
      </w:r>
    </w:p>
  </w:footnote>
  <w:footnote w:id="139">
    <w:p w14:paraId="1FFC5FC6" w14:textId="63C69075"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EUROPEAN UNION AGENCY FOR FUNDAMENTAL RIGHTS AND COUNCIL OF EUROPE</w:t>
      </w:r>
      <w:r w:rsidRPr="004F6728">
        <w:rPr>
          <w:i/>
          <w:sz w:val="16"/>
          <w:szCs w:val="16"/>
          <w:lang w:val="en-US"/>
        </w:rPr>
        <w:t>, Handbook on European law relating to the rights of the child</w:t>
      </w:r>
      <w:r w:rsidRPr="004F6728">
        <w:rPr>
          <w:sz w:val="16"/>
          <w:szCs w:val="16"/>
          <w:lang w:val="en-US"/>
        </w:rPr>
        <w:t xml:space="preserve">, Luxemburg, Bureau </w:t>
      </w:r>
      <w:proofErr w:type="spellStart"/>
      <w:r w:rsidRPr="004F6728">
        <w:rPr>
          <w:sz w:val="16"/>
          <w:szCs w:val="16"/>
          <w:lang w:val="en-US"/>
        </w:rPr>
        <w:t>voor</w:t>
      </w:r>
      <w:proofErr w:type="spellEnd"/>
      <w:r w:rsidRPr="004F6728">
        <w:rPr>
          <w:sz w:val="16"/>
          <w:szCs w:val="16"/>
          <w:lang w:val="en-US"/>
        </w:rPr>
        <w:t xml:space="preserve"> </w:t>
      </w:r>
      <w:proofErr w:type="spellStart"/>
      <w:r w:rsidRPr="004F6728">
        <w:rPr>
          <w:sz w:val="16"/>
          <w:szCs w:val="16"/>
          <w:lang w:val="en-US"/>
        </w:rPr>
        <w:t>publicaties</w:t>
      </w:r>
      <w:proofErr w:type="spellEnd"/>
      <w:r w:rsidRPr="004F6728">
        <w:rPr>
          <w:sz w:val="16"/>
          <w:szCs w:val="16"/>
          <w:lang w:val="en-US"/>
        </w:rPr>
        <w:t xml:space="preserve"> van de </w:t>
      </w:r>
      <w:proofErr w:type="spellStart"/>
      <w:r w:rsidRPr="004F6728">
        <w:rPr>
          <w:sz w:val="16"/>
          <w:szCs w:val="16"/>
          <w:lang w:val="en-US"/>
        </w:rPr>
        <w:t>Europese</w:t>
      </w:r>
      <w:proofErr w:type="spellEnd"/>
      <w:r w:rsidRPr="004F6728">
        <w:rPr>
          <w:sz w:val="16"/>
          <w:szCs w:val="16"/>
          <w:lang w:val="en-US"/>
        </w:rPr>
        <w:t xml:space="preserve"> </w:t>
      </w:r>
      <w:proofErr w:type="spellStart"/>
      <w:r w:rsidRPr="004F6728">
        <w:rPr>
          <w:sz w:val="16"/>
          <w:szCs w:val="16"/>
          <w:lang w:val="en-US"/>
        </w:rPr>
        <w:t>Unie</w:t>
      </w:r>
      <w:proofErr w:type="spellEnd"/>
      <w:r w:rsidRPr="004F6728">
        <w:rPr>
          <w:sz w:val="16"/>
          <w:szCs w:val="16"/>
          <w:lang w:val="en-US"/>
        </w:rPr>
        <w:t>, 2022, 19.</w:t>
      </w:r>
    </w:p>
  </w:footnote>
  <w:footnote w:id="140">
    <w:p w14:paraId="1E6692B2" w14:textId="771A35A3" w:rsidR="00C57AF9" w:rsidRPr="00EC0C0E" w:rsidRDefault="00C57AF9" w:rsidP="005C4D5C">
      <w:pPr>
        <w:pStyle w:val="Voetnoottekst"/>
        <w:jc w:val="both"/>
        <w:rPr>
          <w:sz w:val="16"/>
          <w:szCs w:val="16"/>
        </w:rPr>
      </w:pPr>
      <w:r w:rsidRPr="00432C26">
        <w:rPr>
          <w:rStyle w:val="Voetnootmarkering"/>
          <w:sz w:val="16"/>
          <w:szCs w:val="16"/>
          <w:lang w:val="nl-NL"/>
        </w:rPr>
        <w:footnoteRef/>
      </w:r>
      <w:r w:rsidRPr="00EC0C0E">
        <w:rPr>
          <w:sz w:val="16"/>
          <w:szCs w:val="16"/>
        </w:rPr>
        <w:t xml:space="preserve"> </w:t>
      </w:r>
      <w:r w:rsidR="00304072" w:rsidRPr="00EC0C0E">
        <w:rPr>
          <w:i/>
          <w:iCs/>
          <w:sz w:val="16"/>
          <w:szCs w:val="16"/>
        </w:rPr>
        <w:t>Ibid</w:t>
      </w:r>
      <w:r w:rsidRPr="00EC0C0E">
        <w:rPr>
          <w:sz w:val="16"/>
          <w:szCs w:val="16"/>
        </w:rPr>
        <w:t>.</w:t>
      </w:r>
    </w:p>
  </w:footnote>
  <w:footnote w:id="141">
    <w:p w14:paraId="4B0E9C13" w14:textId="28E4181E" w:rsidR="00C57AF9" w:rsidRPr="00432C26" w:rsidRDefault="00C57AF9" w:rsidP="005C4D5C">
      <w:pPr>
        <w:pStyle w:val="Voetnoottekst"/>
        <w:jc w:val="both"/>
        <w:rPr>
          <w:sz w:val="16"/>
          <w:szCs w:val="16"/>
          <w:lang w:val="nl-NL"/>
        </w:rPr>
      </w:pPr>
      <w:r w:rsidRPr="00432C26">
        <w:rPr>
          <w:rStyle w:val="Voetnootmarkering"/>
          <w:sz w:val="16"/>
          <w:szCs w:val="16"/>
          <w:lang w:val="nl-NL"/>
        </w:rPr>
        <w:footnoteRef/>
      </w:r>
      <w:r w:rsidRPr="00432C26">
        <w:rPr>
          <w:sz w:val="16"/>
          <w:szCs w:val="16"/>
          <w:lang w:val="nl-NL"/>
        </w:rPr>
        <w:t xml:space="preserve"> Alle 46 lidstaten bij de Raad van Europa hebben het EVRM geratificeerd; zie </w:t>
      </w:r>
      <w:hyperlink r:id="rId21" w:history="1">
        <w:r w:rsidRPr="00432C26">
          <w:rPr>
            <w:rStyle w:val="Hyperlink"/>
            <w:sz w:val="16"/>
            <w:szCs w:val="16"/>
            <w:lang w:val="nl-NL"/>
          </w:rPr>
          <w:t>www.coe.int/en/web/conventions/full-list?module=signatures-by-treaty&amp;treatynum=005</w:t>
        </w:r>
      </w:hyperlink>
      <w:r w:rsidRPr="00432C26">
        <w:rPr>
          <w:sz w:val="16"/>
          <w:szCs w:val="16"/>
          <w:lang w:val="nl-NL"/>
        </w:rPr>
        <w:t xml:space="preserve"> (laatste consultatie </w:t>
      </w:r>
      <w:r w:rsidR="009C5E15" w:rsidRPr="00432C26">
        <w:rPr>
          <w:sz w:val="16"/>
          <w:szCs w:val="16"/>
          <w:lang w:val="nl-NL"/>
        </w:rPr>
        <w:t>13</w:t>
      </w:r>
      <w:r w:rsidRPr="00432C26">
        <w:rPr>
          <w:sz w:val="16"/>
          <w:szCs w:val="16"/>
          <w:lang w:val="nl-NL"/>
        </w:rPr>
        <w:t>.0</w:t>
      </w:r>
      <w:r w:rsidR="009C5E15" w:rsidRPr="00432C26">
        <w:rPr>
          <w:sz w:val="16"/>
          <w:szCs w:val="16"/>
          <w:lang w:val="nl-NL"/>
        </w:rPr>
        <w:t>5</w:t>
      </w:r>
      <w:r w:rsidRPr="00432C26">
        <w:rPr>
          <w:sz w:val="16"/>
          <w:szCs w:val="16"/>
          <w:lang w:val="nl-NL"/>
        </w:rPr>
        <w:t>.2023).</w:t>
      </w:r>
    </w:p>
  </w:footnote>
  <w:footnote w:id="142">
    <w:p w14:paraId="242FEDE9" w14:textId="6FD29B43" w:rsidR="00C57AF9" w:rsidRPr="00432C26" w:rsidRDefault="00C57AF9" w:rsidP="005C4D5C">
      <w:pPr>
        <w:pStyle w:val="Voetnoottekst"/>
        <w:jc w:val="both"/>
        <w:rPr>
          <w:sz w:val="16"/>
          <w:szCs w:val="16"/>
          <w:lang w:val="en-US"/>
        </w:rPr>
      </w:pPr>
      <w:r w:rsidRPr="00432C26">
        <w:rPr>
          <w:rStyle w:val="Voetnootmarkering"/>
          <w:sz w:val="16"/>
          <w:szCs w:val="16"/>
          <w:lang w:val="nl-NL"/>
        </w:rPr>
        <w:footnoteRef/>
      </w:r>
      <w:r w:rsidRPr="00432C26">
        <w:rPr>
          <w:sz w:val="16"/>
          <w:szCs w:val="16"/>
          <w:lang w:val="en-US"/>
        </w:rPr>
        <w:t xml:space="preserve"> J.M. SCHERPE, </w:t>
      </w:r>
      <w:r w:rsidRPr="00432C26">
        <w:rPr>
          <w:i/>
          <w:sz w:val="16"/>
          <w:szCs w:val="16"/>
          <w:lang w:val="en-US"/>
        </w:rPr>
        <w:t xml:space="preserve">European Family Law Volume I: the impact of institutions and </w:t>
      </w:r>
      <w:proofErr w:type="spellStart"/>
      <w:r w:rsidRPr="00432C26">
        <w:rPr>
          <w:i/>
          <w:sz w:val="16"/>
          <w:szCs w:val="16"/>
          <w:lang w:val="en-US"/>
        </w:rPr>
        <w:t>organisations</w:t>
      </w:r>
      <w:proofErr w:type="spellEnd"/>
      <w:r w:rsidRPr="00432C26">
        <w:rPr>
          <w:i/>
          <w:sz w:val="16"/>
          <w:szCs w:val="16"/>
          <w:lang w:val="en-US"/>
        </w:rPr>
        <w:t xml:space="preserve"> on European family law, </w:t>
      </w:r>
      <w:r w:rsidRPr="00432C26">
        <w:rPr>
          <w:sz w:val="16"/>
          <w:szCs w:val="16"/>
          <w:lang w:val="en-US"/>
        </w:rPr>
        <w:t>Cheltenham, Edward Elgar Publishing,</w:t>
      </w:r>
      <w:r w:rsidRPr="00432C26">
        <w:rPr>
          <w:i/>
          <w:sz w:val="16"/>
          <w:szCs w:val="16"/>
          <w:lang w:val="en-US"/>
        </w:rPr>
        <w:t xml:space="preserve"> </w:t>
      </w:r>
      <w:r w:rsidRPr="00432C26">
        <w:rPr>
          <w:sz w:val="16"/>
          <w:szCs w:val="16"/>
          <w:lang w:val="en-US"/>
        </w:rPr>
        <w:t>2016, 54-55.</w:t>
      </w:r>
    </w:p>
  </w:footnote>
  <w:footnote w:id="143">
    <w:p w14:paraId="3CED4DD7" w14:textId="3E4C8223" w:rsidR="00C57AF9" w:rsidRPr="00432C26" w:rsidRDefault="00C57AF9" w:rsidP="005C4D5C">
      <w:pPr>
        <w:pStyle w:val="Voetnoottekst"/>
        <w:jc w:val="both"/>
        <w:rPr>
          <w:sz w:val="16"/>
          <w:szCs w:val="16"/>
          <w:lang w:val="nl-NL"/>
        </w:rPr>
      </w:pPr>
      <w:r w:rsidRPr="00432C26">
        <w:rPr>
          <w:rStyle w:val="Voetnootmarkering"/>
          <w:sz w:val="16"/>
          <w:szCs w:val="16"/>
          <w:lang w:val="nl-NL"/>
        </w:rPr>
        <w:footnoteRef/>
      </w:r>
      <w:r w:rsidRPr="00432C26">
        <w:rPr>
          <w:sz w:val="16"/>
          <w:szCs w:val="16"/>
          <w:lang w:val="nl-NL"/>
        </w:rPr>
        <w:t xml:space="preserve"> EHRM 13 juni 1979, </w:t>
      </w:r>
      <w:r w:rsidRPr="00432C26">
        <w:rPr>
          <w:rFonts w:eastAsia="Verdana" w:cs="Verdana"/>
          <w:sz w:val="16"/>
          <w:szCs w:val="16"/>
          <w:lang w:val="nl-NL" w:eastAsia="nl-NL"/>
        </w:rPr>
        <w:t>nr. 6833/74,</w:t>
      </w:r>
      <w:r w:rsidRPr="00432C26">
        <w:rPr>
          <w:sz w:val="16"/>
          <w:szCs w:val="16"/>
          <w:lang w:val="nl-NL"/>
        </w:rPr>
        <w:t xml:space="preserve"> </w:t>
      </w:r>
      <w:r w:rsidRPr="00432C26">
        <w:rPr>
          <w:i/>
          <w:iCs/>
          <w:sz w:val="16"/>
          <w:szCs w:val="16"/>
          <w:lang w:val="nl-NL"/>
        </w:rPr>
        <w:t xml:space="preserve">Marckx/België, </w:t>
      </w:r>
      <w:r w:rsidRPr="00432C26">
        <w:rPr>
          <w:sz w:val="16"/>
          <w:szCs w:val="16"/>
          <w:lang w:val="nl-NL"/>
        </w:rPr>
        <w:t xml:space="preserve">§31; EHRM 17 april 2012, nr. 805/09, </w:t>
      </w:r>
      <w:r w:rsidRPr="00432C26">
        <w:rPr>
          <w:i/>
          <w:iCs/>
          <w:sz w:val="16"/>
          <w:szCs w:val="16"/>
          <w:lang w:val="nl-NL"/>
        </w:rPr>
        <w:t>Pascal/Roemenië</w:t>
      </w:r>
      <w:r w:rsidRPr="00432C26">
        <w:rPr>
          <w:sz w:val="16"/>
          <w:szCs w:val="16"/>
          <w:lang w:val="nl-NL"/>
        </w:rPr>
        <w:t xml:space="preserve">, §69 ev.; EHRM 11 juni 2013, nr. 20255/12, </w:t>
      </w:r>
      <w:r w:rsidRPr="00432C26">
        <w:rPr>
          <w:i/>
          <w:iCs/>
          <w:sz w:val="16"/>
          <w:szCs w:val="16"/>
          <w:lang w:val="nl-NL"/>
        </w:rPr>
        <w:t>Prizzia/Hongarije</w:t>
      </w:r>
      <w:r w:rsidRPr="00432C26">
        <w:rPr>
          <w:sz w:val="16"/>
          <w:szCs w:val="16"/>
          <w:lang w:val="nl-NL"/>
        </w:rPr>
        <w:t xml:space="preserve">, §35 ev.; T. WUYTS, </w:t>
      </w:r>
      <w:r w:rsidRPr="00432C26">
        <w:rPr>
          <w:i/>
          <w:iCs/>
          <w:sz w:val="16"/>
          <w:szCs w:val="16"/>
          <w:lang w:val="nl-NL"/>
        </w:rPr>
        <w:t>Ouderlijk gezag</w:t>
      </w:r>
      <w:r w:rsidRPr="00432C26">
        <w:rPr>
          <w:sz w:val="16"/>
          <w:szCs w:val="16"/>
          <w:lang w:val="nl-NL"/>
        </w:rPr>
        <w:t>, Antwerpen, Intersentia, 2013, 459.</w:t>
      </w:r>
    </w:p>
  </w:footnote>
  <w:footnote w:id="144">
    <w:p w14:paraId="579A71BA" w14:textId="49BC77A1" w:rsidR="00C57AF9" w:rsidRPr="00432C26" w:rsidRDefault="00C57AF9" w:rsidP="005C4D5C">
      <w:pPr>
        <w:pStyle w:val="Voetnoottekst"/>
        <w:jc w:val="both"/>
        <w:rPr>
          <w:sz w:val="16"/>
          <w:szCs w:val="16"/>
          <w:lang w:val="nl-NL"/>
        </w:rPr>
      </w:pPr>
      <w:r w:rsidRPr="00432C26">
        <w:rPr>
          <w:rStyle w:val="Voetnootmarkering"/>
          <w:sz w:val="16"/>
          <w:szCs w:val="16"/>
          <w:lang w:val="nl-NL"/>
        </w:rPr>
        <w:footnoteRef/>
      </w:r>
      <w:r w:rsidRPr="00432C26">
        <w:rPr>
          <w:sz w:val="16"/>
          <w:szCs w:val="16"/>
          <w:lang w:val="nl-NL"/>
        </w:rPr>
        <w:t xml:space="preserve"> T. WUYTS, </w:t>
      </w:r>
      <w:r w:rsidRPr="00432C26">
        <w:rPr>
          <w:i/>
          <w:iCs/>
          <w:sz w:val="16"/>
          <w:szCs w:val="16"/>
          <w:lang w:val="nl-NL"/>
        </w:rPr>
        <w:t>Ouderlijk gezag</w:t>
      </w:r>
      <w:r w:rsidRPr="00432C26">
        <w:rPr>
          <w:sz w:val="16"/>
          <w:szCs w:val="16"/>
          <w:lang w:val="nl-NL"/>
        </w:rPr>
        <w:t>, Antwerpen, Intersentia, 2013, 459.</w:t>
      </w:r>
    </w:p>
  </w:footnote>
  <w:footnote w:id="145">
    <w:p w14:paraId="0417AD0F" w14:textId="0CD6E333" w:rsidR="00C57AF9" w:rsidRPr="00432C26" w:rsidRDefault="00C57AF9" w:rsidP="005C4D5C">
      <w:pPr>
        <w:pStyle w:val="Voetnoottekst"/>
        <w:jc w:val="both"/>
        <w:rPr>
          <w:sz w:val="16"/>
          <w:szCs w:val="16"/>
          <w:lang w:val="nl-NL"/>
        </w:rPr>
      </w:pPr>
      <w:r w:rsidRPr="00432C26">
        <w:rPr>
          <w:rStyle w:val="Voetnootmarkering"/>
          <w:sz w:val="16"/>
          <w:szCs w:val="16"/>
          <w:lang w:val="nl-NL"/>
        </w:rPr>
        <w:footnoteRef/>
      </w:r>
      <w:r w:rsidRPr="00432C26">
        <w:rPr>
          <w:sz w:val="16"/>
          <w:szCs w:val="16"/>
          <w:lang w:val="nl-NL"/>
        </w:rPr>
        <w:t xml:space="preserve"> P. SENAEVE en P. LEMMENS, </w:t>
      </w:r>
      <w:r w:rsidRPr="00432C26">
        <w:rPr>
          <w:i/>
          <w:iCs/>
          <w:sz w:val="16"/>
          <w:szCs w:val="16"/>
          <w:lang w:val="nl-NL"/>
        </w:rPr>
        <w:t>De betekenis van de mensenrechten voor het personen-en familierecht</w:t>
      </w:r>
      <w:r w:rsidRPr="00432C26">
        <w:rPr>
          <w:sz w:val="16"/>
          <w:szCs w:val="16"/>
          <w:lang w:val="nl-NL"/>
        </w:rPr>
        <w:t>, Antwerpen, Intersentia, 2003, 50.</w:t>
      </w:r>
    </w:p>
  </w:footnote>
  <w:footnote w:id="146">
    <w:p w14:paraId="67569EC3" w14:textId="77777777" w:rsidR="00C57AF9" w:rsidRPr="0086280A" w:rsidRDefault="00C57AF9" w:rsidP="005C4D5C">
      <w:pPr>
        <w:pStyle w:val="Voetnoottekst"/>
        <w:jc w:val="both"/>
        <w:rPr>
          <w:i/>
          <w:iCs/>
          <w:sz w:val="16"/>
          <w:szCs w:val="16"/>
          <w:lang w:val="nl-NL"/>
        </w:rPr>
      </w:pPr>
      <w:r w:rsidRPr="00432C26">
        <w:rPr>
          <w:rStyle w:val="Voetnootmarkering"/>
          <w:sz w:val="16"/>
          <w:szCs w:val="16"/>
          <w:lang w:val="nl-NL"/>
        </w:rPr>
        <w:footnoteRef/>
      </w:r>
      <w:r w:rsidRPr="00432C26">
        <w:rPr>
          <w:sz w:val="16"/>
          <w:szCs w:val="16"/>
          <w:lang w:val="nl-NL"/>
        </w:rPr>
        <w:t xml:space="preserve"> T. WUYTS, </w:t>
      </w:r>
      <w:r w:rsidRPr="00432C26">
        <w:rPr>
          <w:i/>
          <w:iCs/>
          <w:sz w:val="16"/>
          <w:szCs w:val="16"/>
          <w:lang w:val="nl-NL"/>
        </w:rPr>
        <w:t>Ouderlijk gezag</w:t>
      </w:r>
      <w:r w:rsidRPr="00432C26">
        <w:rPr>
          <w:sz w:val="16"/>
          <w:szCs w:val="16"/>
          <w:lang w:val="nl-NL"/>
        </w:rPr>
        <w:t>, Antwerpen, Intersentia, 2013, 459.</w:t>
      </w:r>
    </w:p>
  </w:footnote>
  <w:footnote w:id="147">
    <w:p w14:paraId="0D7C799F" w14:textId="30CCE87E"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432C26">
        <w:rPr>
          <w:sz w:val="16"/>
          <w:szCs w:val="16"/>
          <w:lang w:val="nl-NL"/>
        </w:rPr>
        <w:t xml:space="preserve"> </w:t>
      </w:r>
      <w:r w:rsidR="00432C26" w:rsidRPr="00432C26">
        <w:rPr>
          <w:sz w:val="16"/>
          <w:szCs w:val="16"/>
          <w:lang w:val="nl-NL"/>
        </w:rPr>
        <w:t xml:space="preserve">J.M. SCHERPE, </w:t>
      </w:r>
      <w:r w:rsidR="00432C26" w:rsidRPr="00432C26">
        <w:rPr>
          <w:i/>
          <w:sz w:val="16"/>
          <w:szCs w:val="16"/>
          <w:lang w:val="nl-NL"/>
        </w:rPr>
        <w:t xml:space="preserve">European Family Law Volume I: the impact of institutions and organisations on European family law, </w:t>
      </w:r>
      <w:r w:rsidR="00432C26" w:rsidRPr="00432C26">
        <w:rPr>
          <w:sz w:val="16"/>
          <w:szCs w:val="16"/>
          <w:lang w:val="nl-NL"/>
        </w:rPr>
        <w:t>Cheltenham, Edward Elgar Publishing,</w:t>
      </w:r>
      <w:r w:rsidR="00432C26" w:rsidRPr="00432C26">
        <w:rPr>
          <w:i/>
          <w:sz w:val="16"/>
          <w:szCs w:val="16"/>
          <w:lang w:val="nl-NL"/>
        </w:rPr>
        <w:t xml:space="preserve"> </w:t>
      </w:r>
      <w:r w:rsidR="00432C26" w:rsidRPr="00432C26">
        <w:rPr>
          <w:sz w:val="16"/>
          <w:szCs w:val="16"/>
          <w:lang w:val="nl-NL"/>
        </w:rPr>
        <w:t xml:space="preserve">2016, 51-52; </w:t>
      </w:r>
      <w:r w:rsidRPr="00432C26">
        <w:rPr>
          <w:sz w:val="16"/>
          <w:szCs w:val="16"/>
          <w:lang w:val="nl-NL"/>
        </w:rPr>
        <w:t xml:space="preserve">S. </w:t>
      </w:r>
      <w:r w:rsidRPr="0086280A">
        <w:rPr>
          <w:sz w:val="16"/>
          <w:szCs w:val="16"/>
          <w:lang w:val="nl-NL"/>
        </w:rPr>
        <w:t xml:space="preserve">SMETS, “De doorwerking van het Kinderrechtenverdrag in de rechtspraak van het EHRM”, </w:t>
      </w:r>
      <w:r w:rsidRPr="0086280A">
        <w:rPr>
          <w:i/>
          <w:iCs/>
          <w:sz w:val="16"/>
          <w:szCs w:val="16"/>
          <w:lang w:val="nl-NL"/>
        </w:rPr>
        <w:t>TJK</w:t>
      </w:r>
      <w:r w:rsidRPr="0086280A">
        <w:rPr>
          <w:sz w:val="16"/>
          <w:szCs w:val="16"/>
          <w:lang w:val="nl-NL"/>
        </w:rPr>
        <w:t xml:space="preserve"> 2013, </w:t>
      </w:r>
      <w:r w:rsidR="00DD7724">
        <w:rPr>
          <w:sz w:val="16"/>
          <w:szCs w:val="16"/>
          <w:lang w:val="nl-NL"/>
        </w:rPr>
        <w:t xml:space="preserve">(82) </w:t>
      </w:r>
      <w:r w:rsidRPr="0086280A">
        <w:rPr>
          <w:sz w:val="16"/>
          <w:szCs w:val="16"/>
          <w:lang w:val="nl-NL"/>
        </w:rPr>
        <w:t>83.</w:t>
      </w:r>
    </w:p>
  </w:footnote>
  <w:footnote w:id="148">
    <w:p w14:paraId="7B528EBE" w14:textId="77777777"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J.M. SCHERPE, </w:t>
      </w:r>
      <w:r w:rsidRPr="004F6728">
        <w:rPr>
          <w:i/>
          <w:sz w:val="16"/>
          <w:szCs w:val="16"/>
          <w:lang w:val="en-US"/>
        </w:rPr>
        <w:t xml:space="preserve">European Family Law Volume I: the impact of institutions and </w:t>
      </w:r>
      <w:proofErr w:type="spellStart"/>
      <w:r w:rsidRPr="004F6728">
        <w:rPr>
          <w:i/>
          <w:sz w:val="16"/>
          <w:szCs w:val="16"/>
          <w:lang w:val="en-US"/>
        </w:rPr>
        <w:t>organisations</w:t>
      </w:r>
      <w:proofErr w:type="spellEnd"/>
      <w:r w:rsidRPr="004F6728">
        <w:rPr>
          <w:i/>
          <w:sz w:val="16"/>
          <w:szCs w:val="16"/>
          <w:lang w:val="en-US"/>
        </w:rPr>
        <w:t xml:space="preserve"> on European family law, </w:t>
      </w:r>
      <w:r w:rsidRPr="004F6728">
        <w:rPr>
          <w:sz w:val="16"/>
          <w:szCs w:val="16"/>
          <w:lang w:val="en-US"/>
        </w:rPr>
        <w:t>Cheltenham, Edward Elgar Publishing,</w:t>
      </w:r>
      <w:r w:rsidRPr="004F6728">
        <w:rPr>
          <w:i/>
          <w:sz w:val="16"/>
          <w:szCs w:val="16"/>
          <w:lang w:val="en-US"/>
        </w:rPr>
        <w:t xml:space="preserve"> </w:t>
      </w:r>
      <w:r w:rsidRPr="004F6728">
        <w:rPr>
          <w:sz w:val="16"/>
          <w:szCs w:val="16"/>
          <w:lang w:val="en-US"/>
        </w:rPr>
        <w:t>2016, 53 en 57-58.</w:t>
      </w:r>
    </w:p>
  </w:footnote>
  <w:footnote w:id="149">
    <w:p w14:paraId="293B01E4" w14:textId="42967CA9"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S. </w:t>
      </w:r>
      <w:r w:rsidRPr="0086280A">
        <w:rPr>
          <w:rFonts w:eastAsia="Verdana" w:cs="Verdana"/>
          <w:sz w:val="16"/>
          <w:szCs w:val="16"/>
          <w:lang w:val="nl-NL"/>
        </w:rPr>
        <w:t xml:space="preserve">SMETS, “De doorwerking van het Kinderrechtenverdrag in de rechtspraak van het EHRM”, </w:t>
      </w:r>
      <w:r w:rsidRPr="0086280A">
        <w:rPr>
          <w:rFonts w:eastAsia="Verdana" w:cs="Verdana"/>
          <w:i/>
          <w:iCs/>
          <w:sz w:val="16"/>
          <w:szCs w:val="16"/>
          <w:lang w:val="nl-NL"/>
        </w:rPr>
        <w:t>TJK</w:t>
      </w:r>
      <w:r w:rsidRPr="0086280A">
        <w:rPr>
          <w:rFonts w:eastAsia="Verdana" w:cs="Verdana"/>
          <w:sz w:val="16"/>
          <w:szCs w:val="16"/>
          <w:lang w:val="nl-NL"/>
        </w:rPr>
        <w:t xml:space="preserve"> 2013, </w:t>
      </w:r>
      <w:r w:rsidR="00DD7724">
        <w:rPr>
          <w:rFonts w:eastAsia="Verdana" w:cs="Verdana"/>
          <w:sz w:val="16"/>
          <w:szCs w:val="16"/>
          <w:lang w:val="nl-NL"/>
        </w:rPr>
        <w:t xml:space="preserve">(82) </w:t>
      </w:r>
      <w:r w:rsidRPr="0086280A">
        <w:rPr>
          <w:rFonts w:eastAsia="Verdana" w:cs="Verdana"/>
          <w:sz w:val="16"/>
          <w:szCs w:val="16"/>
          <w:lang w:val="nl-NL"/>
        </w:rPr>
        <w:t>83.</w:t>
      </w:r>
    </w:p>
  </w:footnote>
  <w:footnote w:id="150">
    <w:p w14:paraId="46C203E4" w14:textId="0B873D1B" w:rsidR="00C57AF9" w:rsidRPr="0086280A" w:rsidRDefault="00C57AF9" w:rsidP="005C4D5C">
      <w:pPr>
        <w:jc w:val="both"/>
        <w:rPr>
          <w:rFonts w:eastAsia="Verdana" w:cs="Verdana"/>
          <w:sz w:val="16"/>
          <w:szCs w:val="16"/>
          <w:lang w:val="nl-NL"/>
        </w:rPr>
      </w:pPr>
      <w:r w:rsidRPr="0086280A">
        <w:rPr>
          <w:rStyle w:val="Voetnootmarkering"/>
          <w:sz w:val="16"/>
          <w:szCs w:val="16"/>
          <w:lang w:val="nl-NL"/>
        </w:rPr>
        <w:footnoteRef/>
      </w:r>
      <w:r w:rsidRPr="005F2568">
        <w:rPr>
          <w:sz w:val="16"/>
          <w:szCs w:val="16"/>
          <w:lang w:val="nl-NL"/>
        </w:rPr>
        <w:t xml:space="preserve"> </w:t>
      </w:r>
      <w:r w:rsidR="005F2568" w:rsidRPr="005F2568">
        <w:rPr>
          <w:sz w:val="16"/>
          <w:szCs w:val="16"/>
          <w:lang w:val="nl-NL"/>
        </w:rPr>
        <w:t xml:space="preserve">J.M. </w:t>
      </w:r>
      <w:r w:rsidR="005F2568" w:rsidRPr="005F2568">
        <w:rPr>
          <w:rFonts w:eastAsiaTheme="minorHAnsi" w:cstheme="minorBidi"/>
          <w:sz w:val="16"/>
          <w:szCs w:val="16"/>
          <w:lang w:val="nl-NL" w:eastAsia="en-US"/>
        </w:rPr>
        <w:t xml:space="preserve">SCHERPE, </w:t>
      </w:r>
      <w:r w:rsidR="005F2568" w:rsidRPr="005F2568">
        <w:rPr>
          <w:rFonts w:eastAsiaTheme="minorHAnsi" w:cstheme="minorBidi"/>
          <w:i/>
          <w:sz w:val="16"/>
          <w:szCs w:val="16"/>
          <w:lang w:val="nl-NL" w:eastAsia="en-US"/>
        </w:rPr>
        <w:t xml:space="preserve">European Family Law Volume I: the impact of institutions and organisations on European family law, </w:t>
      </w:r>
      <w:r w:rsidR="005F2568" w:rsidRPr="005F2568">
        <w:rPr>
          <w:rFonts w:eastAsiaTheme="minorHAnsi" w:cstheme="minorBidi"/>
          <w:sz w:val="16"/>
          <w:szCs w:val="16"/>
          <w:lang w:val="nl-NL" w:eastAsia="en-US"/>
        </w:rPr>
        <w:t>Cheltenham, Edward Elgar Publishing,</w:t>
      </w:r>
      <w:r w:rsidR="005F2568" w:rsidRPr="005F2568">
        <w:rPr>
          <w:rFonts w:eastAsiaTheme="minorHAnsi" w:cstheme="minorBidi"/>
          <w:i/>
          <w:sz w:val="16"/>
          <w:szCs w:val="16"/>
          <w:lang w:val="nl-NL" w:eastAsia="en-US"/>
        </w:rPr>
        <w:t xml:space="preserve"> </w:t>
      </w:r>
      <w:r w:rsidR="005F2568" w:rsidRPr="005F2568">
        <w:rPr>
          <w:rFonts w:eastAsiaTheme="minorHAnsi" w:cstheme="minorBidi"/>
          <w:sz w:val="16"/>
          <w:szCs w:val="16"/>
          <w:lang w:val="nl-NL" w:eastAsia="en-US"/>
        </w:rPr>
        <w:t xml:space="preserve">2016, </w:t>
      </w:r>
      <w:r w:rsidR="005F2568" w:rsidRPr="005F2568">
        <w:rPr>
          <w:sz w:val="16"/>
          <w:szCs w:val="16"/>
          <w:lang w:val="nl-NL"/>
        </w:rPr>
        <w:t xml:space="preserve">57; </w:t>
      </w:r>
      <w:r w:rsidR="00262E84" w:rsidRPr="005F2568">
        <w:rPr>
          <w:sz w:val="16"/>
          <w:szCs w:val="16"/>
          <w:lang w:val="nl-NL"/>
        </w:rPr>
        <w:t xml:space="preserve">S. </w:t>
      </w:r>
      <w:r w:rsidR="00262E84" w:rsidRPr="0086280A">
        <w:rPr>
          <w:rFonts w:eastAsia="Verdana" w:cs="Verdana"/>
          <w:sz w:val="16"/>
          <w:szCs w:val="16"/>
          <w:lang w:val="nl-NL"/>
        </w:rPr>
        <w:t xml:space="preserve">SMETS, “De doorwerking van het Kinderrechtenverdrag in de rechtspraak van het EHRM”, </w:t>
      </w:r>
      <w:r w:rsidR="00262E84" w:rsidRPr="0086280A">
        <w:rPr>
          <w:rFonts w:eastAsia="Verdana" w:cs="Verdana"/>
          <w:i/>
          <w:iCs/>
          <w:sz w:val="16"/>
          <w:szCs w:val="16"/>
          <w:lang w:val="nl-NL"/>
        </w:rPr>
        <w:t>TJK</w:t>
      </w:r>
      <w:r w:rsidR="00262E84" w:rsidRPr="0086280A">
        <w:rPr>
          <w:rFonts w:eastAsia="Verdana" w:cs="Verdana"/>
          <w:sz w:val="16"/>
          <w:szCs w:val="16"/>
          <w:lang w:val="nl-NL"/>
        </w:rPr>
        <w:t xml:space="preserve"> 2013, </w:t>
      </w:r>
      <w:r w:rsidR="001D574A">
        <w:rPr>
          <w:rFonts w:eastAsia="Verdana" w:cs="Verdana"/>
          <w:sz w:val="16"/>
          <w:szCs w:val="16"/>
          <w:lang w:val="nl-NL"/>
        </w:rPr>
        <w:t xml:space="preserve">(82) </w:t>
      </w:r>
      <w:r w:rsidR="00262E84" w:rsidRPr="0086280A">
        <w:rPr>
          <w:rFonts w:eastAsia="Verdana" w:cs="Verdana"/>
          <w:sz w:val="16"/>
          <w:szCs w:val="16"/>
          <w:lang w:val="nl-NL"/>
        </w:rPr>
        <w:t>83</w:t>
      </w:r>
      <w:r w:rsidR="00262E84" w:rsidRPr="0086280A">
        <w:rPr>
          <w:sz w:val="16"/>
          <w:szCs w:val="16"/>
          <w:lang w:val="nl-NL"/>
        </w:rPr>
        <w:t>.</w:t>
      </w:r>
    </w:p>
  </w:footnote>
  <w:footnote w:id="151">
    <w:p w14:paraId="2B2E719C" w14:textId="2F71F5DE"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EHRM 8 juli 2003, </w:t>
      </w:r>
      <w:r w:rsidRPr="0086280A">
        <w:rPr>
          <w:rFonts w:eastAsia="Verdana" w:cs="Verdana"/>
          <w:sz w:val="16"/>
          <w:szCs w:val="16"/>
          <w:lang w:val="nl-NL" w:eastAsia="nl-NL"/>
        </w:rPr>
        <w:t>nr. 30943/96</w:t>
      </w:r>
      <w:r w:rsidRPr="0086280A">
        <w:rPr>
          <w:sz w:val="16"/>
          <w:szCs w:val="16"/>
          <w:lang w:val="nl-NL"/>
        </w:rPr>
        <w:t xml:space="preserve">, </w:t>
      </w:r>
      <w:r w:rsidRPr="0086280A">
        <w:rPr>
          <w:i/>
          <w:iCs/>
          <w:sz w:val="16"/>
          <w:szCs w:val="16"/>
          <w:lang w:val="nl-NL"/>
        </w:rPr>
        <w:t>Sahin/Duitsland</w:t>
      </w:r>
      <w:r w:rsidRPr="0086280A">
        <w:rPr>
          <w:sz w:val="16"/>
          <w:szCs w:val="16"/>
          <w:lang w:val="nl-NL"/>
        </w:rPr>
        <w:t>, §39: “The human rights of children and the standards to which all States must aspire in realizing these rights for all children are set out in the United Nations Convention on the Rights of the Child”; EHRM 26 juni 2003,</w:t>
      </w:r>
      <w:r w:rsidRPr="0086280A">
        <w:rPr>
          <w:rFonts w:eastAsia="Verdana" w:cs="Verdana"/>
          <w:sz w:val="16"/>
          <w:szCs w:val="16"/>
          <w:lang w:val="nl-NL" w:eastAsia="nl-NL"/>
        </w:rPr>
        <w:t xml:space="preserve"> nr.</w:t>
      </w:r>
      <w:r w:rsidRPr="0086280A">
        <w:rPr>
          <w:rStyle w:val="apple-converted-space"/>
          <w:rFonts w:cs="Arial"/>
          <w:i/>
          <w:iCs/>
          <w:color w:val="000000"/>
          <w:sz w:val="16"/>
          <w:szCs w:val="16"/>
          <w:shd w:val="clear" w:color="auto" w:fill="FFFFFF"/>
          <w:lang w:val="nl-NL"/>
        </w:rPr>
        <w:t> </w:t>
      </w:r>
      <w:r w:rsidRPr="0086280A">
        <w:rPr>
          <w:rFonts w:eastAsia="Verdana" w:cs="Verdana"/>
          <w:sz w:val="16"/>
          <w:szCs w:val="16"/>
          <w:lang w:val="nl-NL" w:eastAsia="nl-NL"/>
        </w:rPr>
        <w:t>48206/99</w:t>
      </w:r>
      <w:r w:rsidRPr="0086280A">
        <w:rPr>
          <w:sz w:val="16"/>
          <w:szCs w:val="16"/>
          <w:lang w:val="nl-NL"/>
        </w:rPr>
        <w:t xml:space="preserve">, </w:t>
      </w:r>
      <w:r w:rsidRPr="0086280A">
        <w:rPr>
          <w:i/>
          <w:iCs/>
          <w:sz w:val="16"/>
          <w:szCs w:val="16"/>
          <w:lang w:val="nl-NL"/>
        </w:rPr>
        <w:t>Maire/Portugal</w:t>
      </w:r>
      <w:r w:rsidRPr="0086280A">
        <w:rPr>
          <w:sz w:val="16"/>
          <w:szCs w:val="16"/>
          <w:lang w:val="nl-NL"/>
        </w:rPr>
        <w:t>, §72</w:t>
      </w:r>
      <w:r w:rsidR="00262E84" w:rsidRPr="0086280A">
        <w:rPr>
          <w:sz w:val="16"/>
          <w:szCs w:val="16"/>
          <w:lang w:val="nl-NL"/>
        </w:rPr>
        <w:t xml:space="preserve"> (</w:t>
      </w:r>
      <w:r w:rsidRPr="0086280A">
        <w:rPr>
          <w:sz w:val="16"/>
          <w:szCs w:val="16"/>
          <w:lang w:val="nl-NL"/>
        </w:rPr>
        <w:t>waar</w:t>
      </w:r>
      <w:r w:rsidR="00262E84" w:rsidRPr="0086280A">
        <w:rPr>
          <w:sz w:val="16"/>
          <w:szCs w:val="16"/>
          <w:lang w:val="nl-NL"/>
        </w:rPr>
        <w:t>in</w:t>
      </w:r>
      <w:r w:rsidRPr="0086280A">
        <w:rPr>
          <w:sz w:val="16"/>
          <w:szCs w:val="16"/>
          <w:lang w:val="nl-NL"/>
        </w:rPr>
        <w:t xml:space="preserve"> het EHRM stelt dat de positieve plicht van art. 8 EVRM geïnterpreteerd dient te worden in het licht van het IVRK</w:t>
      </w:r>
      <w:r w:rsidR="00262E84" w:rsidRPr="0086280A">
        <w:rPr>
          <w:sz w:val="16"/>
          <w:szCs w:val="16"/>
          <w:lang w:val="nl-NL"/>
        </w:rPr>
        <w:t>)</w:t>
      </w:r>
      <w:r w:rsidRPr="0086280A">
        <w:rPr>
          <w:sz w:val="16"/>
          <w:szCs w:val="16"/>
          <w:lang w:val="nl-NL"/>
        </w:rPr>
        <w:t xml:space="preserve">; S. SMETS, “De doorwerking van het Kinderrechtenverdrag in de rechtspraak van het EHRM”, </w:t>
      </w:r>
      <w:r w:rsidRPr="0086280A">
        <w:rPr>
          <w:i/>
          <w:iCs/>
          <w:sz w:val="16"/>
          <w:szCs w:val="16"/>
          <w:lang w:val="nl-NL"/>
        </w:rPr>
        <w:t>TJK</w:t>
      </w:r>
      <w:r w:rsidRPr="0086280A">
        <w:rPr>
          <w:sz w:val="16"/>
          <w:szCs w:val="16"/>
          <w:lang w:val="nl-NL"/>
        </w:rPr>
        <w:t xml:space="preserve"> 2013, </w:t>
      </w:r>
      <w:r w:rsidR="00DD7724">
        <w:rPr>
          <w:sz w:val="16"/>
          <w:szCs w:val="16"/>
          <w:lang w:val="nl-NL"/>
        </w:rPr>
        <w:t xml:space="preserve">(82) </w:t>
      </w:r>
      <w:r w:rsidRPr="0086280A">
        <w:rPr>
          <w:sz w:val="16"/>
          <w:szCs w:val="16"/>
          <w:lang w:val="nl-NL"/>
        </w:rPr>
        <w:t>8</w:t>
      </w:r>
      <w:r w:rsidR="00DD7724">
        <w:rPr>
          <w:sz w:val="16"/>
          <w:szCs w:val="16"/>
          <w:lang w:val="nl-NL"/>
        </w:rPr>
        <w:t>7</w:t>
      </w:r>
      <w:r w:rsidRPr="0086280A">
        <w:rPr>
          <w:sz w:val="16"/>
          <w:szCs w:val="16"/>
          <w:lang w:val="nl-NL"/>
        </w:rPr>
        <w:t>-89.</w:t>
      </w:r>
    </w:p>
  </w:footnote>
  <w:footnote w:id="152">
    <w:p w14:paraId="6F621F42" w14:textId="6C88F5E5"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J</w:t>
      </w:r>
      <w:r w:rsidRPr="0086280A">
        <w:rPr>
          <w:rFonts w:eastAsia="Verdana" w:cs="Verdana"/>
          <w:sz w:val="16"/>
          <w:szCs w:val="16"/>
          <w:lang w:val="nl-NL"/>
        </w:rPr>
        <w:t xml:space="preserve">. PUT, </w:t>
      </w:r>
      <w:r w:rsidRPr="0086280A">
        <w:rPr>
          <w:rFonts w:eastAsia="Verdana" w:cs="Verdana"/>
          <w:i/>
          <w:sz w:val="16"/>
          <w:szCs w:val="16"/>
          <w:lang w:val="nl-NL"/>
        </w:rPr>
        <w:t>Handboek Jeugdbeschermingsrecht</w:t>
      </w:r>
      <w:r w:rsidRPr="0086280A">
        <w:rPr>
          <w:rFonts w:eastAsia="Verdana" w:cs="Verdana"/>
          <w:sz w:val="16"/>
          <w:szCs w:val="16"/>
          <w:lang w:val="nl-NL"/>
        </w:rPr>
        <w:t>, Brugge, die Keure, 2021, 85.</w:t>
      </w:r>
      <w:r w:rsidRPr="0086280A">
        <w:rPr>
          <w:sz w:val="16"/>
          <w:szCs w:val="16"/>
          <w:lang w:val="nl-NL"/>
        </w:rPr>
        <w:t xml:space="preserve"> </w:t>
      </w:r>
    </w:p>
  </w:footnote>
  <w:footnote w:id="153">
    <w:p w14:paraId="72EF197B" w14:textId="21D528CB"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86280A">
        <w:rPr>
          <w:sz w:val="16"/>
          <w:szCs w:val="16"/>
          <w:lang w:val="nl-NL"/>
        </w:rPr>
        <w:t xml:space="preserve"> Dit is het geval voor geweld tegen kinderen: G. VAN BUEREN, </w:t>
      </w:r>
      <w:r w:rsidRPr="0086280A">
        <w:rPr>
          <w:i/>
          <w:iCs/>
          <w:sz w:val="16"/>
          <w:szCs w:val="16"/>
          <w:lang w:val="nl-NL"/>
        </w:rPr>
        <w:t xml:space="preserve">Child rights in Europe. </w:t>
      </w:r>
      <w:r w:rsidRPr="004F6728">
        <w:rPr>
          <w:i/>
          <w:iCs/>
          <w:sz w:val="16"/>
          <w:szCs w:val="16"/>
          <w:lang w:val="en-US"/>
        </w:rPr>
        <w:t>Convergence and divergence in judicial protection</w:t>
      </w:r>
      <w:r w:rsidRPr="004F6728">
        <w:rPr>
          <w:sz w:val="16"/>
          <w:szCs w:val="16"/>
          <w:lang w:val="en-US"/>
        </w:rPr>
        <w:t xml:space="preserve">, </w:t>
      </w:r>
      <w:proofErr w:type="spellStart"/>
      <w:r w:rsidRPr="004F6728">
        <w:rPr>
          <w:sz w:val="16"/>
          <w:szCs w:val="16"/>
          <w:lang w:val="en-US"/>
        </w:rPr>
        <w:t>Straatsburg</w:t>
      </w:r>
      <w:proofErr w:type="spellEnd"/>
      <w:r w:rsidRPr="004F6728">
        <w:rPr>
          <w:sz w:val="16"/>
          <w:szCs w:val="16"/>
          <w:lang w:val="en-US"/>
        </w:rPr>
        <w:t>, Council of Europe, 2007, 18-23.</w:t>
      </w:r>
    </w:p>
  </w:footnote>
  <w:footnote w:id="154">
    <w:p w14:paraId="683CF25A" w14:textId="0CABFE30"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EHRM 8 </w:t>
      </w:r>
      <w:proofErr w:type="spellStart"/>
      <w:r w:rsidRPr="004F6728">
        <w:rPr>
          <w:sz w:val="16"/>
          <w:szCs w:val="16"/>
          <w:lang w:val="en-US"/>
        </w:rPr>
        <w:t>juli</w:t>
      </w:r>
      <w:proofErr w:type="spellEnd"/>
      <w:r w:rsidRPr="004F6728">
        <w:rPr>
          <w:sz w:val="16"/>
          <w:szCs w:val="16"/>
          <w:lang w:val="en-US"/>
        </w:rPr>
        <w:t xml:space="preserve"> 2003, </w:t>
      </w:r>
      <w:r w:rsidRPr="004F6728">
        <w:rPr>
          <w:rFonts w:eastAsia="Verdana" w:cs="Verdana"/>
          <w:sz w:val="16"/>
          <w:szCs w:val="16"/>
          <w:lang w:val="en-US" w:eastAsia="nl-NL"/>
        </w:rPr>
        <w:t>nr. 30943/96</w:t>
      </w:r>
      <w:r w:rsidRPr="004F6728">
        <w:rPr>
          <w:sz w:val="16"/>
          <w:szCs w:val="16"/>
          <w:lang w:val="en-US"/>
        </w:rPr>
        <w:t xml:space="preserve">, </w:t>
      </w:r>
      <w:proofErr w:type="spellStart"/>
      <w:r w:rsidRPr="004F6728">
        <w:rPr>
          <w:i/>
          <w:iCs/>
          <w:sz w:val="16"/>
          <w:szCs w:val="16"/>
          <w:lang w:val="en-US"/>
        </w:rPr>
        <w:t>Sahin</w:t>
      </w:r>
      <w:proofErr w:type="spellEnd"/>
      <w:r w:rsidRPr="004F6728">
        <w:rPr>
          <w:i/>
          <w:iCs/>
          <w:sz w:val="16"/>
          <w:szCs w:val="16"/>
          <w:lang w:val="en-US"/>
        </w:rPr>
        <w:t>/</w:t>
      </w:r>
      <w:proofErr w:type="spellStart"/>
      <w:r w:rsidRPr="004F6728">
        <w:rPr>
          <w:i/>
          <w:iCs/>
          <w:sz w:val="16"/>
          <w:szCs w:val="16"/>
          <w:lang w:val="en-US"/>
        </w:rPr>
        <w:t>Duitsland</w:t>
      </w:r>
      <w:proofErr w:type="spellEnd"/>
      <w:r w:rsidRPr="004F6728">
        <w:rPr>
          <w:sz w:val="16"/>
          <w:szCs w:val="16"/>
          <w:lang w:val="en-US"/>
        </w:rPr>
        <w:t>, §39-41 en §64 en §66 en §135: “Undoubtedly, consideration of what is in the best interests of the child is of crucial importance in every case of this kind (…) see also the Convention on the Rights of the Child”.</w:t>
      </w:r>
    </w:p>
  </w:footnote>
  <w:footnote w:id="155">
    <w:p w14:paraId="620015F4" w14:textId="5F96FF84"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4F6728">
        <w:rPr>
          <w:sz w:val="16"/>
          <w:szCs w:val="16"/>
          <w:lang w:val="en-US"/>
        </w:rPr>
        <w:t xml:space="preserve"> Zie in het Engels “in light of the present-day conditions” of in het Frans “à la lumière des conditions de vie </w:t>
      </w:r>
      <w:proofErr w:type="spellStart"/>
      <w:r w:rsidRPr="004F6728">
        <w:rPr>
          <w:sz w:val="16"/>
          <w:szCs w:val="16"/>
          <w:lang w:val="en-US"/>
        </w:rPr>
        <w:t>actuelles</w:t>
      </w:r>
      <w:proofErr w:type="spellEnd"/>
      <w:r w:rsidRPr="004F6728">
        <w:rPr>
          <w:sz w:val="16"/>
          <w:szCs w:val="16"/>
          <w:lang w:val="en-US"/>
        </w:rPr>
        <w:t xml:space="preserve">”; D. HARRIS, M. O’BOYLE, C. WARBRICK, E. BATES, C. BUCKLEY, U. KILKELLY, P. CUMPER, Y. ARAI en H. LARDY, </w:t>
      </w:r>
      <w:r w:rsidRPr="004F6728">
        <w:rPr>
          <w:i/>
          <w:iCs/>
          <w:sz w:val="16"/>
          <w:szCs w:val="16"/>
          <w:lang w:val="en-US"/>
        </w:rPr>
        <w:t>Law of the European Convention on human rights</w:t>
      </w:r>
      <w:r w:rsidRPr="004F6728">
        <w:rPr>
          <w:sz w:val="16"/>
          <w:szCs w:val="16"/>
          <w:lang w:val="en-US"/>
        </w:rPr>
        <w:t xml:space="preserve">, Oxford, Oxford UP, 2009, 361; S. SMIS, C.H. JANSSENS, S. MIRGAUX en K. VAN LAETHEM, </w:t>
      </w:r>
      <w:proofErr w:type="spellStart"/>
      <w:r w:rsidRPr="004F6728">
        <w:rPr>
          <w:i/>
          <w:iCs/>
          <w:sz w:val="16"/>
          <w:szCs w:val="16"/>
          <w:lang w:val="en-US"/>
        </w:rPr>
        <w:t>Handboek</w:t>
      </w:r>
      <w:proofErr w:type="spellEnd"/>
      <w:r w:rsidRPr="004F6728">
        <w:rPr>
          <w:i/>
          <w:iCs/>
          <w:sz w:val="16"/>
          <w:szCs w:val="16"/>
          <w:lang w:val="en-US"/>
        </w:rPr>
        <w:t xml:space="preserve"> </w:t>
      </w:r>
      <w:proofErr w:type="spellStart"/>
      <w:r w:rsidRPr="004F6728">
        <w:rPr>
          <w:i/>
          <w:iCs/>
          <w:sz w:val="16"/>
          <w:szCs w:val="16"/>
          <w:lang w:val="en-US"/>
        </w:rPr>
        <w:t>mensenrechten</w:t>
      </w:r>
      <w:proofErr w:type="spellEnd"/>
      <w:r w:rsidRPr="004F6728">
        <w:rPr>
          <w:i/>
          <w:iCs/>
          <w:sz w:val="16"/>
          <w:szCs w:val="16"/>
          <w:lang w:val="en-US"/>
        </w:rPr>
        <w:t xml:space="preserve">: de </w:t>
      </w:r>
      <w:proofErr w:type="spellStart"/>
      <w:r w:rsidRPr="004F6728">
        <w:rPr>
          <w:i/>
          <w:iCs/>
          <w:sz w:val="16"/>
          <w:szCs w:val="16"/>
          <w:lang w:val="en-US"/>
        </w:rPr>
        <w:t>internationale</w:t>
      </w:r>
      <w:proofErr w:type="spellEnd"/>
      <w:r w:rsidRPr="004F6728">
        <w:rPr>
          <w:i/>
          <w:iCs/>
          <w:sz w:val="16"/>
          <w:szCs w:val="16"/>
          <w:lang w:val="en-US"/>
        </w:rPr>
        <w:t xml:space="preserve"> </w:t>
      </w:r>
      <w:proofErr w:type="spellStart"/>
      <w:r w:rsidRPr="004F6728">
        <w:rPr>
          <w:i/>
          <w:iCs/>
          <w:sz w:val="16"/>
          <w:szCs w:val="16"/>
          <w:lang w:val="en-US"/>
        </w:rPr>
        <w:t>bescherming</w:t>
      </w:r>
      <w:proofErr w:type="spellEnd"/>
      <w:r w:rsidRPr="004F6728">
        <w:rPr>
          <w:i/>
          <w:iCs/>
          <w:sz w:val="16"/>
          <w:szCs w:val="16"/>
          <w:lang w:val="en-US"/>
        </w:rPr>
        <w:t xml:space="preserve"> van de </w:t>
      </w:r>
      <w:proofErr w:type="spellStart"/>
      <w:r w:rsidRPr="004F6728">
        <w:rPr>
          <w:i/>
          <w:iCs/>
          <w:sz w:val="16"/>
          <w:szCs w:val="16"/>
          <w:lang w:val="en-US"/>
        </w:rPr>
        <w:t>rechten</w:t>
      </w:r>
      <w:proofErr w:type="spellEnd"/>
      <w:r w:rsidRPr="004F6728">
        <w:rPr>
          <w:i/>
          <w:iCs/>
          <w:sz w:val="16"/>
          <w:szCs w:val="16"/>
          <w:lang w:val="en-US"/>
        </w:rPr>
        <w:t xml:space="preserve"> van de </w:t>
      </w:r>
      <w:proofErr w:type="spellStart"/>
      <w:r w:rsidRPr="004F6728">
        <w:rPr>
          <w:i/>
          <w:iCs/>
          <w:sz w:val="16"/>
          <w:szCs w:val="16"/>
          <w:lang w:val="en-US"/>
        </w:rPr>
        <w:t>mens</w:t>
      </w:r>
      <w:proofErr w:type="spellEnd"/>
      <w:r w:rsidRPr="004F6728">
        <w:rPr>
          <w:sz w:val="16"/>
          <w:szCs w:val="16"/>
          <w:lang w:val="en-US"/>
        </w:rPr>
        <w:t xml:space="preserve">, </w:t>
      </w:r>
      <w:proofErr w:type="spellStart"/>
      <w:r w:rsidRPr="004F6728">
        <w:rPr>
          <w:sz w:val="16"/>
          <w:szCs w:val="16"/>
          <w:lang w:val="en-US"/>
        </w:rPr>
        <w:t>Antwerpen</w:t>
      </w:r>
      <w:proofErr w:type="spellEnd"/>
      <w:r w:rsidRPr="004F6728">
        <w:rPr>
          <w:sz w:val="16"/>
          <w:szCs w:val="16"/>
          <w:lang w:val="en-US"/>
        </w:rPr>
        <w:t xml:space="preserve">, Intersentia, 2011, 228; H. SENDEN, </w:t>
      </w:r>
      <w:r w:rsidRPr="004F6728">
        <w:rPr>
          <w:i/>
          <w:iCs/>
          <w:sz w:val="16"/>
          <w:szCs w:val="16"/>
          <w:lang w:val="en-US"/>
        </w:rPr>
        <w:t>Interpretation of fundamental rights in a multilevel legal system. An analysis of the European Court of Human Rights and the Court of Justice of the European Union</w:t>
      </w:r>
      <w:r w:rsidRPr="004F6728">
        <w:rPr>
          <w:sz w:val="16"/>
          <w:szCs w:val="16"/>
          <w:lang w:val="en-US"/>
        </w:rPr>
        <w:t xml:space="preserve">, </w:t>
      </w:r>
      <w:proofErr w:type="spellStart"/>
      <w:r w:rsidRPr="004F6728">
        <w:rPr>
          <w:sz w:val="16"/>
          <w:szCs w:val="16"/>
          <w:lang w:val="en-US"/>
        </w:rPr>
        <w:t>Antwerpen</w:t>
      </w:r>
      <w:proofErr w:type="spellEnd"/>
      <w:r w:rsidRPr="004F6728">
        <w:rPr>
          <w:sz w:val="16"/>
          <w:szCs w:val="16"/>
          <w:lang w:val="en-US"/>
        </w:rPr>
        <w:t xml:space="preserve">, Intersentia, 2011, 70-73 en 161 </w:t>
      </w:r>
      <w:proofErr w:type="spellStart"/>
      <w:r w:rsidRPr="004F6728">
        <w:rPr>
          <w:sz w:val="16"/>
          <w:szCs w:val="16"/>
          <w:lang w:val="en-US"/>
        </w:rPr>
        <w:t>e.v.</w:t>
      </w:r>
      <w:proofErr w:type="spellEnd"/>
      <w:r w:rsidRPr="004F6728">
        <w:rPr>
          <w:sz w:val="16"/>
          <w:szCs w:val="16"/>
          <w:lang w:val="en-US"/>
        </w:rPr>
        <w:t xml:space="preserve">; </w:t>
      </w:r>
      <w:r w:rsidR="00262E84" w:rsidRPr="004F6728">
        <w:rPr>
          <w:sz w:val="16"/>
          <w:szCs w:val="16"/>
          <w:lang w:val="en-US"/>
        </w:rPr>
        <w:t xml:space="preserve">D. COESTER-WALTJEN, “The impact of the European Convention on Human Rights and the European Court of Human Rights on European family law” in J. M. SCHERPE (ed.), </w:t>
      </w:r>
      <w:r w:rsidR="00262E84" w:rsidRPr="004F6728">
        <w:rPr>
          <w:i/>
          <w:iCs/>
          <w:sz w:val="16"/>
          <w:szCs w:val="16"/>
          <w:lang w:val="en-US"/>
        </w:rPr>
        <w:t xml:space="preserve">European Family Law vol. </w:t>
      </w:r>
      <w:r w:rsidR="00262E84" w:rsidRPr="0086280A">
        <w:rPr>
          <w:i/>
          <w:iCs/>
          <w:sz w:val="16"/>
          <w:szCs w:val="16"/>
          <w:lang w:val="nl-NL"/>
        </w:rPr>
        <w:t>I – The Impact of Institutions and Organisations on European Family</w:t>
      </w:r>
      <w:r w:rsidR="00262E84" w:rsidRPr="0086280A">
        <w:rPr>
          <w:sz w:val="16"/>
          <w:szCs w:val="16"/>
          <w:lang w:val="nl-NL"/>
        </w:rPr>
        <w:t xml:space="preserve"> </w:t>
      </w:r>
      <w:r w:rsidR="00262E84" w:rsidRPr="0086280A">
        <w:rPr>
          <w:i/>
          <w:iCs/>
          <w:sz w:val="16"/>
          <w:szCs w:val="16"/>
          <w:lang w:val="nl-NL"/>
        </w:rPr>
        <w:t>Law</w:t>
      </w:r>
      <w:r w:rsidR="00262E84" w:rsidRPr="0086280A">
        <w:rPr>
          <w:sz w:val="16"/>
          <w:szCs w:val="16"/>
          <w:lang w:val="nl-NL"/>
        </w:rPr>
        <w:t xml:space="preserve">, Cheltenham, Elgar, 2016, 57; </w:t>
      </w:r>
      <w:r w:rsidRPr="0086280A">
        <w:rPr>
          <w:sz w:val="16"/>
          <w:szCs w:val="16"/>
          <w:lang w:val="nl-NL"/>
        </w:rPr>
        <w:t xml:space="preserve">U. CERULUS, </w:t>
      </w:r>
      <w:r w:rsidRPr="0086280A">
        <w:rPr>
          <w:i/>
          <w:iCs/>
          <w:sz w:val="16"/>
          <w:szCs w:val="16"/>
          <w:lang w:val="nl-NL"/>
        </w:rPr>
        <w:t>Een statuut voor de zorgouder in het licht van de grondrechtenbescherming</w:t>
      </w:r>
      <w:r w:rsidRPr="0086280A">
        <w:rPr>
          <w:sz w:val="16"/>
          <w:szCs w:val="16"/>
          <w:lang w:val="nl-NL"/>
        </w:rPr>
        <w:t>, Brugge, die Keure, 2019, 78</w:t>
      </w:r>
      <w:r w:rsidR="00262E84" w:rsidRPr="0086280A">
        <w:rPr>
          <w:sz w:val="16"/>
          <w:szCs w:val="16"/>
          <w:lang w:val="nl-NL"/>
        </w:rPr>
        <w:t>.</w:t>
      </w:r>
    </w:p>
  </w:footnote>
  <w:footnote w:id="156">
    <w:p w14:paraId="30ED728B" w14:textId="1DDA2BFB" w:rsidR="00C57AF9" w:rsidRPr="0086280A" w:rsidRDefault="00C57AF9" w:rsidP="005C4D5C">
      <w:pPr>
        <w:jc w:val="both"/>
        <w:rPr>
          <w:rFonts w:eastAsia="Verdana" w:cs="Verdana"/>
          <w:sz w:val="16"/>
          <w:szCs w:val="16"/>
          <w:lang w:val="nl-NL"/>
        </w:rPr>
      </w:pPr>
      <w:r w:rsidRPr="0086280A">
        <w:rPr>
          <w:rStyle w:val="Voetnootmarkering"/>
          <w:sz w:val="16"/>
          <w:szCs w:val="16"/>
          <w:lang w:val="nl-NL"/>
        </w:rPr>
        <w:footnoteRef/>
      </w:r>
      <w:r w:rsidRPr="0086280A">
        <w:rPr>
          <w:sz w:val="16"/>
          <w:szCs w:val="16"/>
          <w:lang w:val="nl-NL"/>
        </w:rPr>
        <w:t xml:space="preserve"> S. </w:t>
      </w:r>
      <w:r w:rsidRPr="0086280A">
        <w:rPr>
          <w:rFonts w:eastAsia="Verdana" w:cs="Verdana"/>
          <w:sz w:val="16"/>
          <w:szCs w:val="16"/>
          <w:lang w:val="nl-NL"/>
        </w:rPr>
        <w:t xml:space="preserve">SMETS, “De doorwerking van het Kinderrechtenverdrag in de rechtspraak van het EHRM”, </w:t>
      </w:r>
      <w:r w:rsidRPr="0086280A">
        <w:rPr>
          <w:rFonts w:eastAsia="Verdana" w:cs="Verdana"/>
          <w:i/>
          <w:iCs/>
          <w:sz w:val="16"/>
          <w:szCs w:val="16"/>
          <w:lang w:val="nl-NL"/>
        </w:rPr>
        <w:t>TJK</w:t>
      </w:r>
      <w:r w:rsidRPr="0086280A">
        <w:rPr>
          <w:rFonts w:eastAsia="Verdana" w:cs="Verdana"/>
          <w:sz w:val="16"/>
          <w:szCs w:val="16"/>
          <w:lang w:val="nl-NL"/>
        </w:rPr>
        <w:t xml:space="preserve"> 2013, </w:t>
      </w:r>
      <w:r w:rsidR="001D574A">
        <w:rPr>
          <w:rFonts w:eastAsia="Verdana" w:cs="Verdana"/>
          <w:sz w:val="16"/>
          <w:szCs w:val="16"/>
          <w:lang w:val="nl-NL"/>
        </w:rPr>
        <w:t xml:space="preserve">(82) </w:t>
      </w:r>
      <w:r w:rsidRPr="0086280A">
        <w:rPr>
          <w:rFonts w:eastAsia="Verdana" w:cs="Verdana"/>
          <w:sz w:val="16"/>
          <w:szCs w:val="16"/>
          <w:lang w:val="nl-NL"/>
        </w:rPr>
        <w:t>83.</w:t>
      </w:r>
    </w:p>
  </w:footnote>
  <w:footnote w:id="157">
    <w:p w14:paraId="5226F409" w14:textId="59EEC1ED"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P. ALSTON en J. TOBIN, </w:t>
      </w:r>
      <w:r w:rsidRPr="004F6728">
        <w:rPr>
          <w:i/>
          <w:iCs/>
          <w:sz w:val="16"/>
          <w:szCs w:val="16"/>
          <w:lang w:val="en-US"/>
        </w:rPr>
        <w:t>Laying the Foundations for Children’s Rights: An Independent Study of Some Key Legal and Institutional Aspects of the Impact of the Convention on the Rights of the Child</w:t>
      </w:r>
      <w:r w:rsidRPr="004F6728">
        <w:rPr>
          <w:sz w:val="16"/>
          <w:szCs w:val="16"/>
          <w:lang w:val="en-US"/>
        </w:rPr>
        <w:t xml:space="preserve">, UNICEF </w:t>
      </w:r>
      <w:proofErr w:type="spellStart"/>
      <w:r w:rsidRPr="004F6728">
        <w:rPr>
          <w:sz w:val="16"/>
          <w:szCs w:val="16"/>
          <w:lang w:val="en-US"/>
        </w:rPr>
        <w:t>Innocenti</w:t>
      </w:r>
      <w:proofErr w:type="spellEnd"/>
      <w:r w:rsidRPr="004F6728">
        <w:rPr>
          <w:sz w:val="16"/>
          <w:szCs w:val="16"/>
          <w:lang w:val="en-US"/>
        </w:rPr>
        <w:t xml:space="preserve"> Research Centre 3, 2005, 19.</w:t>
      </w:r>
    </w:p>
  </w:footnote>
  <w:footnote w:id="158">
    <w:p w14:paraId="4D4F1BDC" w14:textId="13E78E1C"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voor de negatieve verplichtingen uit artikel 8 EVRM: Cass. 26 september 1978, </w:t>
      </w:r>
      <w:r w:rsidRPr="0086280A">
        <w:rPr>
          <w:i/>
          <w:iCs/>
          <w:sz w:val="16"/>
          <w:szCs w:val="16"/>
          <w:lang w:val="nl-NL"/>
        </w:rPr>
        <w:t>Arr.Cass.</w:t>
      </w:r>
      <w:r w:rsidRPr="0086280A">
        <w:rPr>
          <w:sz w:val="16"/>
          <w:szCs w:val="16"/>
          <w:lang w:val="nl-NL"/>
        </w:rPr>
        <w:t xml:space="preserve"> 1978, 116.</w:t>
      </w:r>
    </w:p>
  </w:footnote>
  <w:footnote w:id="159">
    <w:p w14:paraId="570A1018" w14:textId="19FE3B4F" w:rsidR="00C57AF9" w:rsidRPr="0086280A" w:rsidRDefault="00C57AF9" w:rsidP="005C4D5C">
      <w:pPr>
        <w:pStyle w:val="Voetnoottekst"/>
        <w:jc w:val="both"/>
        <w:rPr>
          <w:i/>
          <w:sz w:val="16"/>
          <w:szCs w:val="16"/>
          <w:lang w:val="nl-NL"/>
        </w:rPr>
      </w:pPr>
      <w:r w:rsidRPr="0086280A">
        <w:rPr>
          <w:rStyle w:val="Voetnootmarkering"/>
          <w:sz w:val="16"/>
          <w:szCs w:val="16"/>
          <w:lang w:val="nl-NL"/>
        </w:rPr>
        <w:footnoteRef/>
      </w:r>
      <w:r w:rsidRPr="0086280A">
        <w:rPr>
          <w:sz w:val="16"/>
          <w:szCs w:val="16"/>
          <w:lang w:val="nl-NL"/>
        </w:rPr>
        <w:t xml:space="preserve"> EHRM 13 juni 1979, nr. 6833/74, </w:t>
      </w:r>
      <w:r w:rsidRPr="0086280A">
        <w:rPr>
          <w:i/>
          <w:sz w:val="16"/>
          <w:szCs w:val="16"/>
          <w:lang w:val="nl-NL"/>
        </w:rPr>
        <w:t xml:space="preserve">Marckx/België, </w:t>
      </w:r>
      <w:r w:rsidRPr="0086280A">
        <w:rPr>
          <w:sz w:val="16"/>
          <w:szCs w:val="16"/>
          <w:lang w:val="nl-NL"/>
        </w:rPr>
        <w:t>§58 en §63.</w:t>
      </w:r>
    </w:p>
  </w:footnote>
  <w:footnote w:id="160">
    <w:p w14:paraId="201B33DD" w14:textId="77777777"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Cass. 26 september 1978, </w:t>
      </w:r>
      <w:r w:rsidRPr="0086280A">
        <w:rPr>
          <w:i/>
          <w:iCs/>
          <w:sz w:val="16"/>
          <w:szCs w:val="16"/>
          <w:lang w:val="nl-NL"/>
        </w:rPr>
        <w:t>Arr.Cass.</w:t>
      </w:r>
      <w:r w:rsidRPr="0086280A">
        <w:rPr>
          <w:sz w:val="16"/>
          <w:szCs w:val="16"/>
          <w:lang w:val="nl-NL"/>
        </w:rPr>
        <w:t xml:space="preserve"> 1978, §116.</w:t>
      </w:r>
    </w:p>
  </w:footnote>
  <w:footnote w:id="161">
    <w:p w14:paraId="1E619E88" w14:textId="2B84D39E"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P. SENAEVE en P. LEMMENS, </w:t>
      </w:r>
      <w:r w:rsidRPr="0086280A">
        <w:rPr>
          <w:i/>
          <w:iCs/>
          <w:sz w:val="16"/>
          <w:szCs w:val="16"/>
          <w:lang w:val="nl-NL"/>
        </w:rPr>
        <w:t>De betekenis van de mensenrechten voor het personen-en familierecht</w:t>
      </w:r>
      <w:r w:rsidRPr="0086280A">
        <w:rPr>
          <w:sz w:val="16"/>
          <w:szCs w:val="16"/>
          <w:lang w:val="nl-NL"/>
        </w:rPr>
        <w:t xml:space="preserve">, Antwerpen, Intersentia, 2003, 53; J. FIERENS en G. MATHIEU, “L’impact du droit international des droits de l’homme sur le statut du jeune et sur le droit de la famille” in H. PREUMONT en I. STEVENS, </w:t>
      </w:r>
      <w:r w:rsidRPr="0086280A">
        <w:rPr>
          <w:i/>
          <w:sz w:val="16"/>
          <w:szCs w:val="16"/>
          <w:lang w:val="nl-NL"/>
        </w:rPr>
        <w:t>Les jeunes et le droit</w:t>
      </w:r>
      <w:r w:rsidRPr="0086280A">
        <w:rPr>
          <w:sz w:val="16"/>
          <w:szCs w:val="16"/>
          <w:lang w:val="nl-NL"/>
        </w:rPr>
        <w:t>, Limal, Anthemis, 2017, 82-85.</w:t>
      </w:r>
    </w:p>
  </w:footnote>
  <w:footnote w:id="162">
    <w:p w14:paraId="47BD36E4" w14:textId="4A96A3DA"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EHRM 29 november 1991, nr. 12849/87, </w:t>
      </w:r>
      <w:r w:rsidRPr="0086280A">
        <w:rPr>
          <w:i/>
          <w:iCs/>
          <w:sz w:val="16"/>
          <w:szCs w:val="16"/>
          <w:lang w:val="nl-NL"/>
        </w:rPr>
        <w:t>Vermeire/België,</w:t>
      </w:r>
      <w:r w:rsidRPr="0086280A">
        <w:rPr>
          <w:sz w:val="16"/>
          <w:szCs w:val="16"/>
          <w:lang w:val="nl-NL"/>
        </w:rPr>
        <w:t xml:space="preserve"> </w:t>
      </w:r>
      <w:r w:rsidRPr="0086280A">
        <w:rPr>
          <w:i/>
          <w:iCs/>
          <w:sz w:val="16"/>
          <w:szCs w:val="16"/>
          <w:lang w:val="nl-NL"/>
        </w:rPr>
        <w:t>T.Vred.</w:t>
      </w:r>
      <w:r w:rsidRPr="0086280A">
        <w:rPr>
          <w:sz w:val="16"/>
          <w:szCs w:val="16"/>
          <w:lang w:val="nl-NL"/>
        </w:rPr>
        <w:t xml:space="preserve"> 2002, 238-244, noot N. DANDOY.</w:t>
      </w:r>
    </w:p>
  </w:footnote>
  <w:footnote w:id="163">
    <w:p w14:paraId="38ABE7E7" w14:textId="204E71BC"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P. SENAEVE en P. LEMMENS, </w:t>
      </w:r>
      <w:r w:rsidRPr="0086280A">
        <w:rPr>
          <w:i/>
          <w:sz w:val="16"/>
          <w:szCs w:val="16"/>
          <w:lang w:val="nl-NL"/>
        </w:rPr>
        <w:t>De betekenis van de mensenrechten voor het personen- en familierecht</w:t>
      </w:r>
      <w:r w:rsidRPr="0086280A">
        <w:rPr>
          <w:sz w:val="16"/>
          <w:szCs w:val="16"/>
          <w:lang w:val="nl-NL"/>
        </w:rPr>
        <w:t xml:space="preserve">, Antwerpen, Intersentia, 2004, 55-56; </w:t>
      </w:r>
      <w:r w:rsidR="005F2568" w:rsidRPr="0086280A">
        <w:rPr>
          <w:sz w:val="16"/>
          <w:szCs w:val="16"/>
          <w:lang w:val="nl-NL"/>
        </w:rPr>
        <w:t>J</w:t>
      </w:r>
      <w:r w:rsidR="005F2568" w:rsidRPr="0086280A">
        <w:rPr>
          <w:rFonts w:eastAsia="Verdana" w:cs="Verdana"/>
          <w:sz w:val="16"/>
          <w:szCs w:val="16"/>
          <w:lang w:val="nl-NL"/>
        </w:rPr>
        <w:t xml:space="preserve">. PUT, </w:t>
      </w:r>
      <w:r w:rsidR="005F2568" w:rsidRPr="0086280A">
        <w:rPr>
          <w:rFonts w:eastAsia="Verdana" w:cs="Verdana"/>
          <w:i/>
          <w:sz w:val="16"/>
          <w:szCs w:val="16"/>
          <w:lang w:val="nl-NL"/>
        </w:rPr>
        <w:t>Handboek Jeugdbeschermingsrecht</w:t>
      </w:r>
      <w:r w:rsidR="005F2568" w:rsidRPr="0086280A">
        <w:rPr>
          <w:rFonts w:eastAsia="Verdana" w:cs="Verdana"/>
          <w:sz w:val="16"/>
          <w:szCs w:val="16"/>
          <w:lang w:val="nl-NL"/>
        </w:rPr>
        <w:t>, Brugge, die Keure, 2021, 84</w:t>
      </w:r>
      <w:r w:rsidR="005F2568">
        <w:rPr>
          <w:rFonts w:eastAsia="Verdana" w:cs="Verdana"/>
          <w:sz w:val="16"/>
          <w:szCs w:val="16"/>
          <w:lang w:val="nl-NL"/>
        </w:rPr>
        <w:t xml:space="preserve">; </w:t>
      </w:r>
      <w:r w:rsidRPr="0086280A">
        <w:rPr>
          <w:sz w:val="16"/>
          <w:szCs w:val="16"/>
          <w:lang w:val="nl-NL"/>
        </w:rPr>
        <w:t xml:space="preserve">G. SCHAIKO, P. LEMMENS en K. LEMMENS, “Belgium” in J. GERARDS en J. FLEUREN (eds.), </w:t>
      </w:r>
      <w:r w:rsidRPr="0086280A">
        <w:rPr>
          <w:i/>
          <w:iCs/>
          <w:sz w:val="16"/>
          <w:szCs w:val="16"/>
          <w:lang w:val="nl-NL"/>
        </w:rPr>
        <w:t>Implementation of the European Convention on Human Rights and of the judgements of the ECtHR in national case-law</w:t>
      </w:r>
      <w:r w:rsidRPr="0086280A">
        <w:rPr>
          <w:sz w:val="16"/>
          <w:szCs w:val="16"/>
          <w:lang w:val="nl-NL"/>
        </w:rPr>
        <w:t>, Antwerpen, Intersentia, 2014, 102 en 113-114.</w:t>
      </w:r>
    </w:p>
  </w:footnote>
  <w:footnote w:id="164">
    <w:p w14:paraId="21B0F10B" w14:textId="29D1638B"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artikel 93 (“Bepalingen van verdragen en van besluiten van volkenrechtelijke organisaties, die naar haar inhoud een ieder kunnen verbinden, hebben verbindende kracht nadat ze zijn bekendgemaakt”) en artikel 94 Nederlandse Grondwet (“Binnen het Koninkrijk geldende wettelijke voorschriften vinden geen toepassing, indien deze toepassing niet verenigbaar is met een ieder verbindende bepalingen van verdragen en van besluiten van volkenrechtelijke organisaties”); J. GERARDS en J. FLEUREN, “The Netherlands” in J. GERARDS en J. FLEUREN (eds.), </w:t>
      </w:r>
      <w:r w:rsidRPr="0086280A">
        <w:rPr>
          <w:i/>
          <w:iCs/>
          <w:sz w:val="16"/>
          <w:szCs w:val="16"/>
          <w:lang w:val="nl-NL"/>
        </w:rPr>
        <w:t>Implementation of the European Convention on Human Rights and of the judgments of the ECtHR in national case-law</w:t>
      </w:r>
      <w:r w:rsidRPr="0086280A">
        <w:rPr>
          <w:sz w:val="16"/>
          <w:szCs w:val="16"/>
          <w:lang w:val="nl-NL"/>
        </w:rPr>
        <w:t>, Antwerpen, Intersentia, 2014, 221.</w:t>
      </w:r>
    </w:p>
  </w:footnote>
  <w:footnote w:id="165">
    <w:p w14:paraId="29C4EDBC" w14:textId="37079A14"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A.K. KOEKKOEK, </w:t>
      </w:r>
      <w:r w:rsidRPr="0086280A">
        <w:rPr>
          <w:i/>
          <w:iCs/>
          <w:sz w:val="16"/>
          <w:szCs w:val="16"/>
          <w:lang w:val="nl-NL"/>
        </w:rPr>
        <w:t>De Grondwet: een systematisch en artikelsgewijs commentaar</w:t>
      </w:r>
      <w:r w:rsidRPr="0086280A">
        <w:rPr>
          <w:sz w:val="16"/>
          <w:szCs w:val="16"/>
          <w:lang w:val="nl-NL"/>
        </w:rPr>
        <w:t>, Zwolle, W.E.J. Tjeenk Willink, 1992, 455-460.</w:t>
      </w:r>
    </w:p>
  </w:footnote>
  <w:footnote w:id="166">
    <w:p w14:paraId="2712AF01" w14:textId="76AA8446" w:rsidR="00C57AF9" w:rsidRPr="0086280A" w:rsidRDefault="00C57AF9" w:rsidP="005C4D5C">
      <w:pPr>
        <w:jc w:val="both"/>
        <w:rPr>
          <w:rFonts w:eastAsia="Verdana" w:cs="Verdana"/>
          <w:iCs/>
          <w:sz w:val="16"/>
          <w:szCs w:val="16"/>
          <w:lang w:val="nl-NL"/>
        </w:rPr>
      </w:pPr>
      <w:r w:rsidRPr="0086280A">
        <w:rPr>
          <w:rStyle w:val="Voetnootmarkering"/>
          <w:sz w:val="16"/>
          <w:szCs w:val="16"/>
          <w:lang w:val="nl-NL"/>
        </w:rPr>
        <w:footnoteRef/>
      </w:r>
      <w:r w:rsidRPr="0086280A">
        <w:rPr>
          <w:sz w:val="16"/>
          <w:szCs w:val="16"/>
          <w:lang w:val="nl-NL"/>
        </w:rPr>
        <w:t xml:space="preserve"> Zie </w:t>
      </w:r>
      <w:r w:rsidRPr="0086280A">
        <w:rPr>
          <w:rFonts w:eastAsia="Verdana" w:cs="Verdana"/>
          <w:iCs/>
          <w:sz w:val="16"/>
          <w:szCs w:val="16"/>
          <w:lang w:val="nl-NL"/>
        </w:rPr>
        <w:t>HR 29 september 2000, ECLI:NL:PHR:2000:AA7284, §2.1.</w:t>
      </w:r>
    </w:p>
  </w:footnote>
  <w:footnote w:id="167">
    <w:p w14:paraId="4F185C04" w14:textId="4B9F6923"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86280A">
        <w:rPr>
          <w:sz w:val="16"/>
          <w:szCs w:val="16"/>
          <w:lang w:val="nl-NL"/>
        </w:rPr>
        <w:t xml:space="preserve"> Artikel 8 Gesetz über die Konvention zum Schutze der Menschenrechte und Grundfreiheiten Vom 7. </w:t>
      </w:r>
      <w:r w:rsidRPr="004F6728">
        <w:rPr>
          <w:sz w:val="16"/>
          <w:szCs w:val="16"/>
          <w:lang w:val="en-US"/>
        </w:rPr>
        <w:t>August 1952, </w:t>
      </w:r>
      <w:proofErr w:type="spellStart"/>
      <w:r w:rsidRPr="004F6728">
        <w:rPr>
          <w:i/>
          <w:iCs/>
          <w:sz w:val="16"/>
          <w:szCs w:val="16"/>
          <w:lang w:val="en-US"/>
        </w:rPr>
        <w:t>BGBl</w:t>
      </w:r>
      <w:proofErr w:type="spellEnd"/>
      <w:r w:rsidRPr="004F6728">
        <w:rPr>
          <w:sz w:val="16"/>
          <w:szCs w:val="16"/>
          <w:lang w:val="en-US"/>
        </w:rPr>
        <w:t> 1952.</w:t>
      </w:r>
    </w:p>
  </w:footnote>
  <w:footnote w:id="168">
    <w:p w14:paraId="3FCDC6E9" w14:textId="391B16DC"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Zie </w:t>
      </w:r>
      <w:proofErr w:type="spellStart"/>
      <w:r w:rsidRPr="004F6728">
        <w:rPr>
          <w:sz w:val="16"/>
          <w:szCs w:val="16"/>
          <w:lang w:val="en-US"/>
        </w:rPr>
        <w:t>artikel</w:t>
      </w:r>
      <w:proofErr w:type="spellEnd"/>
      <w:r w:rsidRPr="004F6728">
        <w:rPr>
          <w:sz w:val="16"/>
          <w:szCs w:val="16"/>
          <w:lang w:val="en-US"/>
        </w:rPr>
        <w:t xml:space="preserve"> 1.2 GG: “the German people therefore acknowledge inviolable and inalienable human rights as the basis of every community, of peace and of justice in the world”; BVerfG 14 </w:t>
      </w:r>
      <w:proofErr w:type="spellStart"/>
      <w:r w:rsidRPr="004F6728">
        <w:rPr>
          <w:sz w:val="16"/>
          <w:szCs w:val="16"/>
          <w:lang w:val="en-US"/>
        </w:rPr>
        <w:t>oktober</w:t>
      </w:r>
      <w:proofErr w:type="spellEnd"/>
      <w:r w:rsidRPr="004F6728">
        <w:rPr>
          <w:sz w:val="16"/>
          <w:szCs w:val="16"/>
          <w:lang w:val="en-US"/>
        </w:rPr>
        <w:t xml:space="preserve"> 2004, ECLI:DE:BVerfG:2004:rs20041014.2bvr148104, §45; E. KLEIN, “Germany” in J. GERARDS en J. FLEUREN (eds.), </w:t>
      </w:r>
      <w:r w:rsidRPr="004F6728">
        <w:rPr>
          <w:i/>
          <w:iCs/>
          <w:sz w:val="16"/>
          <w:szCs w:val="16"/>
          <w:lang w:val="en-US"/>
        </w:rPr>
        <w:t>Implementation of the European Convention on Human Rights and of the judgments of the ECtHR in national case-law</w:t>
      </w:r>
      <w:r w:rsidRPr="004F6728">
        <w:rPr>
          <w:sz w:val="16"/>
          <w:szCs w:val="16"/>
          <w:lang w:val="en-US"/>
        </w:rPr>
        <w:t xml:space="preserve">, </w:t>
      </w:r>
      <w:proofErr w:type="spellStart"/>
      <w:r w:rsidRPr="004F6728">
        <w:rPr>
          <w:sz w:val="16"/>
          <w:szCs w:val="16"/>
          <w:lang w:val="en-US"/>
        </w:rPr>
        <w:t>Antwerpen</w:t>
      </w:r>
      <w:proofErr w:type="spellEnd"/>
      <w:r w:rsidRPr="004F6728">
        <w:rPr>
          <w:sz w:val="16"/>
          <w:szCs w:val="16"/>
          <w:lang w:val="en-US"/>
        </w:rPr>
        <w:t>, Intersentia, 2014, 197-198.</w:t>
      </w:r>
    </w:p>
  </w:footnote>
  <w:footnote w:id="169">
    <w:p w14:paraId="5B9D237C" w14:textId="64B968EA"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BVerfG 14 oktober 2004, ECLI:DE:BVerfG:2004:rs20041014.2bvr148104, §30-32 en §38.</w:t>
      </w:r>
    </w:p>
  </w:footnote>
  <w:footnote w:id="170">
    <w:p w14:paraId="1653E5B6" w14:textId="77777777"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M. FREEMAN, </w:t>
      </w:r>
      <w:r w:rsidRPr="004F6728">
        <w:rPr>
          <w:i/>
          <w:iCs/>
          <w:sz w:val="16"/>
          <w:szCs w:val="16"/>
          <w:lang w:val="en-US"/>
        </w:rPr>
        <w:t>A Commentary on the United Nations Convention on the Rights of the Child / Article 3, The Best interests of the Child</w:t>
      </w:r>
      <w:r w:rsidRPr="004F6728">
        <w:rPr>
          <w:sz w:val="16"/>
          <w:szCs w:val="16"/>
          <w:lang w:val="en-US"/>
        </w:rPr>
        <w:t xml:space="preserve">, Leiden, </w:t>
      </w:r>
      <w:proofErr w:type="spellStart"/>
      <w:r w:rsidRPr="004F6728">
        <w:rPr>
          <w:sz w:val="16"/>
          <w:szCs w:val="16"/>
          <w:lang w:val="en-US"/>
        </w:rPr>
        <w:t>Martinus</w:t>
      </w:r>
      <w:proofErr w:type="spellEnd"/>
      <w:r w:rsidRPr="004F6728">
        <w:rPr>
          <w:sz w:val="16"/>
          <w:szCs w:val="16"/>
          <w:lang w:val="en-US"/>
        </w:rPr>
        <w:t xml:space="preserve"> </w:t>
      </w:r>
      <w:proofErr w:type="spellStart"/>
      <w:r w:rsidRPr="004F6728">
        <w:rPr>
          <w:sz w:val="16"/>
          <w:szCs w:val="16"/>
          <w:lang w:val="en-US"/>
        </w:rPr>
        <w:t>Nijhoff</w:t>
      </w:r>
      <w:proofErr w:type="spellEnd"/>
      <w:r w:rsidRPr="004F6728">
        <w:rPr>
          <w:sz w:val="16"/>
          <w:szCs w:val="16"/>
          <w:lang w:val="en-US"/>
        </w:rPr>
        <w:t xml:space="preserve"> Publishers, 2007, 14.</w:t>
      </w:r>
    </w:p>
  </w:footnote>
  <w:footnote w:id="171">
    <w:p w14:paraId="2BA0268C" w14:textId="300C4D59"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EUROPEAN UNION AGENCY FOR FUNDAMENTAL RIGHTS AND COUNCIL OF EUROPE</w:t>
      </w:r>
      <w:r w:rsidRPr="004F6728">
        <w:rPr>
          <w:i/>
          <w:sz w:val="16"/>
          <w:szCs w:val="16"/>
          <w:lang w:val="en-US"/>
        </w:rPr>
        <w:t>, Handbook on European law relating to the rights of the child</w:t>
      </w:r>
      <w:r w:rsidRPr="004F6728">
        <w:rPr>
          <w:sz w:val="16"/>
          <w:szCs w:val="16"/>
          <w:lang w:val="en-US"/>
        </w:rPr>
        <w:t xml:space="preserve">, Luxemburg, Bureau </w:t>
      </w:r>
      <w:proofErr w:type="spellStart"/>
      <w:r w:rsidRPr="004F6728">
        <w:rPr>
          <w:sz w:val="16"/>
          <w:szCs w:val="16"/>
          <w:lang w:val="en-US"/>
        </w:rPr>
        <w:t>voor</w:t>
      </w:r>
      <w:proofErr w:type="spellEnd"/>
      <w:r w:rsidRPr="004F6728">
        <w:rPr>
          <w:sz w:val="16"/>
          <w:szCs w:val="16"/>
          <w:lang w:val="en-US"/>
        </w:rPr>
        <w:t xml:space="preserve"> </w:t>
      </w:r>
      <w:proofErr w:type="spellStart"/>
      <w:r w:rsidRPr="004F6728">
        <w:rPr>
          <w:sz w:val="16"/>
          <w:szCs w:val="16"/>
          <w:lang w:val="en-US"/>
        </w:rPr>
        <w:t>publicaties</w:t>
      </w:r>
      <w:proofErr w:type="spellEnd"/>
      <w:r w:rsidRPr="004F6728">
        <w:rPr>
          <w:sz w:val="16"/>
          <w:szCs w:val="16"/>
          <w:lang w:val="en-US"/>
        </w:rPr>
        <w:t xml:space="preserve"> van de </w:t>
      </w:r>
      <w:proofErr w:type="spellStart"/>
      <w:r w:rsidRPr="004F6728">
        <w:rPr>
          <w:sz w:val="16"/>
          <w:szCs w:val="16"/>
          <w:lang w:val="en-US"/>
        </w:rPr>
        <w:t>Europese</w:t>
      </w:r>
      <w:proofErr w:type="spellEnd"/>
      <w:r w:rsidRPr="004F6728">
        <w:rPr>
          <w:sz w:val="16"/>
          <w:szCs w:val="16"/>
          <w:lang w:val="en-US"/>
        </w:rPr>
        <w:t xml:space="preserve"> </w:t>
      </w:r>
      <w:proofErr w:type="spellStart"/>
      <w:r w:rsidRPr="004F6728">
        <w:rPr>
          <w:sz w:val="16"/>
          <w:szCs w:val="16"/>
          <w:lang w:val="en-US"/>
        </w:rPr>
        <w:t>Unie</w:t>
      </w:r>
      <w:proofErr w:type="spellEnd"/>
      <w:r w:rsidRPr="004F6728">
        <w:rPr>
          <w:sz w:val="16"/>
          <w:szCs w:val="16"/>
          <w:lang w:val="en-US"/>
        </w:rPr>
        <w:t>, 2022, 16 en 18.</w:t>
      </w:r>
    </w:p>
  </w:footnote>
  <w:footnote w:id="172">
    <w:p w14:paraId="502CC993" w14:textId="7B52E48F"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t>
      </w:r>
      <w:r w:rsidR="007C3591" w:rsidRPr="0086280A">
        <w:rPr>
          <w:i/>
          <w:iCs/>
          <w:sz w:val="16"/>
          <w:szCs w:val="16"/>
          <w:lang w:val="nl-NL"/>
        </w:rPr>
        <w:t>Ibid.,</w:t>
      </w:r>
      <w:r w:rsidRPr="0086280A">
        <w:rPr>
          <w:sz w:val="16"/>
          <w:szCs w:val="16"/>
          <w:lang w:val="nl-NL"/>
        </w:rPr>
        <w:t xml:space="preserve"> 18.</w:t>
      </w:r>
    </w:p>
  </w:footnote>
  <w:footnote w:id="173">
    <w:p w14:paraId="42D9C601" w14:textId="0C9C16CF"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w:t>
      </w:r>
      <w:r w:rsidR="007C3591" w:rsidRPr="0086280A">
        <w:rPr>
          <w:sz w:val="16"/>
          <w:szCs w:val="16"/>
          <w:lang w:val="nl-NL"/>
        </w:rPr>
        <w:t xml:space="preserve">EHRM 10 november 2005, nr. 40324/98, </w:t>
      </w:r>
      <w:r w:rsidR="007C3591" w:rsidRPr="0086280A">
        <w:rPr>
          <w:i/>
          <w:iCs/>
          <w:sz w:val="16"/>
          <w:szCs w:val="16"/>
          <w:lang w:val="nl-NL"/>
        </w:rPr>
        <w:t>Süss/Duitsland</w:t>
      </w:r>
      <w:r w:rsidR="007C3591" w:rsidRPr="0086280A">
        <w:rPr>
          <w:sz w:val="16"/>
          <w:szCs w:val="16"/>
          <w:lang w:val="nl-NL"/>
        </w:rPr>
        <w:t xml:space="preserve">, §90; EHRM 27 juli 2010, nr. 20739/05, </w:t>
      </w:r>
      <w:r w:rsidR="007C3591" w:rsidRPr="0086280A">
        <w:rPr>
          <w:i/>
          <w:iCs/>
          <w:sz w:val="16"/>
          <w:szCs w:val="16"/>
          <w:lang w:val="nl-NL"/>
        </w:rPr>
        <w:t>Gineitiene/Litouwen</w:t>
      </w:r>
      <w:r w:rsidR="007C3591" w:rsidRPr="0086280A">
        <w:rPr>
          <w:sz w:val="16"/>
          <w:szCs w:val="16"/>
          <w:lang w:val="nl-NL"/>
        </w:rPr>
        <w:t xml:space="preserve">, §38-39; </w:t>
      </w:r>
      <w:r w:rsidRPr="0086280A">
        <w:rPr>
          <w:sz w:val="16"/>
          <w:szCs w:val="16"/>
          <w:lang w:val="nl-NL"/>
        </w:rPr>
        <w:t xml:space="preserve">EHRM 3 september 2015, nr. 10161/13, </w:t>
      </w:r>
      <w:r w:rsidRPr="0086280A">
        <w:rPr>
          <w:i/>
          <w:iCs/>
          <w:sz w:val="16"/>
          <w:szCs w:val="16"/>
          <w:lang w:val="nl-NL"/>
        </w:rPr>
        <w:t>M. en M./Kroatië</w:t>
      </w:r>
      <w:r w:rsidRPr="0086280A">
        <w:rPr>
          <w:sz w:val="16"/>
          <w:szCs w:val="16"/>
          <w:lang w:val="nl-NL"/>
        </w:rPr>
        <w:t>, §171</w:t>
      </w:r>
      <w:r w:rsidR="007C3591" w:rsidRPr="0086280A">
        <w:rPr>
          <w:sz w:val="16"/>
          <w:szCs w:val="16"/>
          <w:lang w:val="nl-NL"/>
        </w:rPr>
        <w:t>.</w:t>
      </w:r>
    </w:p>
  </w:footnote>
  <w:footnote w:id="174">
    <w:p w14:paraId="3BACA726" w14:textId="12ABAC77"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De Commission on European Family Law (CEFL) is een academisch samenwerkingsverband en </w:t>
      </w:r>
      <w:r w:rsidRPr="0086280A">
        <w:rPr>
          <w:rFonts w:eastAsia="Verdana" w:cs="Verdana"/>
          <w:sz w:val="16"/>
          <w:szCs w:val="16"/>
          <w:lang w:val="nl-NL"/>
        </w:rPr>
        <w:t xml:space="preserve">verzamelt, analyseert en vergelijkt de regelgeving van verschillende EU-lidstaten om niet-bindende, gemeenschappelijke Principles op te stellen; </w:t>
      </w:r>
      <w:r w:rsidRPr="0086280A">
        <w:rPr>
          <w:sz w:val="16"/>
          <w:szCs w:val="16"/>
          <w:lang w:val="nl-NL"/>
        </w:rPr>
        <w:t xml:space="preserve">J.M. SCHERPE, </w:t>
      </w:r>
      <w:r w:rsidRPr="0086280A">
        <w:rPr>
          <w:i/>
          <w:sz w:val="16"/>
          <w:szCs w:val="16"/>
          <w:lang w:val="nl-NL"/>
        </w:rPr>
        <w:t xml:space="preserve">European Family Law Volume I: the impact of institutions and organisations on European family law, </w:t>
      </w:r>
      <w:r w:rsidRPr="0086280A">
        <w:rPr>
          <w:sz w:val="16"/>
          <w:szCs w:val="16"/>
          <w:lang w:val="nl-NL"/>
        </w:rPr>
        <w:t>Cheltenham, Edward Elgar Publishing,</w:t>
      </w:r>
      <w:r w:rsidRPr="0086280A">
        <w:rPr>
          <w:i/>
          <w:sz w:val="16"/>
          <w:szCs w:val="16"/>
          <w:lang w:val="nl-NL"/>
        </w:rPr>
        <w:t xml:space="preserve"> </w:t>
      </w:r>
      <w:r w:rsidRPr="0086280A">
        <w:rPr>
          <w:sz w:val="16"/>
          <w:szCs w:val="16"/>
          <w:lang w:val="nl-NL"/>
        </w:rPr>
        <w:t>2016, 209.</w:t>
      </w:r>
    </w:p>
  </w:footnote>
  <w:footnote w:id="175">
    <w:p w14:paraId="542ED4E6" w14:textId="633C63DF" w:rsidR="00C57AF9" w:rsidRPr="004F6728" w:rsidRDefault="00C57AF9" w:rsidP="005C4D5C">
      <w:pPr>
        <w:jc w:val="both"/>
        <w:rPr>
          <w:rFonts w:eastAsia="Verdana" w:cs="Verdana"/>
          <w:sz w:val="16"/>
          <w:szCs w:val="16"/>
          <w:lang w:val="en-US"/>
        </w:rPr>
      </w:pPr>
      <w:r w:rsidRPr="0086280A">
        <w:rPr>
          <w:rStyle w:val="Voetnootmarkering"/>
          <w:sz w:val="16"/>
          <w:szCs w:val="16"/>
          <w:lang w:val="nl-NL"/>
        </w:rPr>
        <w:footnoteRef/>
      </w:r>
      <w:r w:rsidRPr="004F6728">
        <w:rPr>
          <w:sz w:val="16"/>
          <w:szCs w:val="16"/>
          <w:lang w:val="en-US"/>
        </w:rPr>
        <w:t xml:space="preserve"> Principle 3:25 on Contact with parents and other persons: “(1) The child and the parents should have the right to obtain and maintain regular contact with each other”; K. </w:t>
      </w:r>
      <w:r w:rsidRPr="004F6728">
        <w:rPr>
          <w:rFonts w:eastAsia="Verdana" w:cs="Verdana"/>
          <w:sz w:val="16"/>
          <w:szCs w:val="16"/>
          <w:lang w:val="en-US"/>
        </w:rPr>
        <w:t xml:space="preserve">BOELE-WOELKI en D. MARTINY, “The Commission on European Family Law (CEFL) and its Principles of European Family Law Regarding Parental Responsibilities”, </w:t>
      </w:r>
      <w:r w:rsidRPr="004F6728">
        <w:rPr>
          <w:rFonts w:eastAsia="Verdana" w:cs="Verdana"/>
          <w:i/>
          <w:iCs/>
          <w:sz w:val="16"/>
          <w:szCs w:val="16"/>
          <w:lang w:val="en-US"/>
        </w:rPr>
        <w:t>ERA Forum</w:t>
      </w:r>
      <w:r w:rsidRPr="004F6728">
        <w:rPr>
          <w:rFonts w:eastAsia="Verdana" w:cs="Verdana"/>
          <w:sz w:val="16"/>
          <w:szCs w:val="16"/>
          <w:lang w:val="en-US"/>
        </w:rPr>
        <w:t xml:space="preserve"> 27 </w:t>
      </w:r>
      <w:proofErr w:type="spellStart"/>
      <w:r w:rsidRPr="004F6728">
        <w:rPr>
          <w:rFonts w:eastAsia="Verdana" w:cs="Verdana"/>
          <w:sz w:val="16"/>
          <w:szCs w:val="16"/>
          <w:lang w:val="en-US"/>
        </w:rPr>
        <w:t>maart</w:t>
      </w:r>
      <w:proofErr w:type="spellEnd"/>
      <w:r w:rsidRPr="004F6728">
        <w:rPr>
          <w:rFonts w:eastAsia="Verdana" w:cs="Verdana"/>
          <w:sz w:val="16"/>
          <w:szCs w:val="16"/>
          <w:lang w:val="en-US"/>
        </w:rPr>
        <w:t xml:space="preserve"> 2007, </w:t>
      </w:r>
      <w:r w:rsidR="00DD7724">
        <w:rPr>
          <w:rFonts w:eastAsia="Verdana" w:cs="Verdana"/>
          <w:sz w:val="16"/>
          <w:szCs w:val="16"/>
          <w:lang w:val="en-US"/>
        </w:rPr>
        <w:t xml:space="preserve">(125) </w:t>
      </w:r>
      <w:r w:rsidRPr="004F6728">
        <w:rPr>
          <w:rFonts w:eastAsia="Verdana" w:cs="Verdana"/>
          <w:sz w:val="16"/>
          <w:szCs w:val="16"/>
          <w:lang w:val="en-US"/>
        </w:rPr>
        <w:t>133.</w:t>
      </w:r>
    </w:p>
  </w:footnote>
  <w:footnote w:id="176">
    <w:p w14:paraId="784AD24F" w14:textId="794697F6"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t>
      </w:r>
      <w:r w:rsidR="007C3591" w:rsidRPr="0086280A">
        <w:rPr>
          <w:sz w:val="16"/>
          <w:szCs w:val="16"/>
          <w:lang w:val="nl-NL"/>
        </w:rPr>
        <w:t xml:space="preserve">EHRM 23 september 1998, nr. 100/1997/884/1096, </w:t>
      </w:r>
      <w:r w:rsidR="007C3591" w:rsidRPr="0086280A">
        <w:rPr>
          <w:i/>
          <w:iCs/>
          <w:sz w:val="16"/>
          <w:szCs w:val="16"/>
          <w:lang w:val="nl-NL"/>
        </w:rPr>
        <w:t xml:space="preserve">A/Verenigd Koninkrijk, </w:t>
      </w:r>
      <w:r w:rsidR="007C3591" w:rsidRPr="0086280A">
        <w:rPr>
          <w:sz w:val="16"/>
          <w:szCs w:val="16"/>
          <w:lang w:val="nl-NL"/>
        </w:rPr>
        <w:t xml:space="preserve">§7; </w:t>
      </w:r>
      <w:r w:rsidRPr="0086280A">
        <w:rPr>
          <w:sz w:val="16"/>
          <w:szCs w:val="16"/>
          <w:lang w:val="nl-NL"/>
        </w:rPr>
        <w:t>EHRM 13 juli 2000, nrs</w:t>
      </w:r>
      <w:r w:rsidR="007B634A">
        <w:rPr>
          <w:sz w:val="16"/>
          <w:szCs w:val="16"/>
          <w:lang w:val="nl-NL"/>
        </w:rPr>
        <w:t>.</w:t>
      </w:r>
      <w:r w:rsidRPr="0086280A">
        <w:rPr>
          <w:sz w:val="16"/>
          <w:szCs w:val="16"/>
          <w:lang w:val="nl-NL"/>
        </w:rPr>
        <w:t xml:space="preserve"> 39221/98 en 41963/98, </w:t>
      </w:r>
      <w:r w:rsidRPr="0086280A">
        <w:rPr>
          <w:i/>
          <w:iCs/>
          <w:sz w:val="16"/>
          <w:szCs w:val="16"/>
          <w:lang w:val="nl-NL"/>
        </w:rPr>
        <w:t xml:space="preserve">Scozzari en Giunta/Italië, </w:t>
      </w:r>
      <w:r w:rsidRPr="0086280A">
        <w:rPr>
          <w:sz w:val="16"/>
          <w:szCs w:val="16"/>
          <w:lang w:val="nl-NL"/>
        </w:rPr>
        <w:t xml:space="preserve">§138-139; Y. HAECK en C.B. HERRERA, </w:t>
      </w:r>
      <w:r w:rsidRPr="0086280A">
        <w:rPr>
          <w:i/>
          <w:iCs/>
          <w:sz w:val="16"/>
          <w:szCs w:val="16"/>
          <w:lang w:val="nl-NL"/>
        </w:rPr>
        <w:t>Procederen voor het Europees Hof voor de Rechten van de Mens</w:t>
      </w:r>
      <w:r w:rsidRPr="0086280A">
        <w:rPr>
          <w:sz w:val="16"/>
          <w:szCs w:val="16"/>
          <w:lang w:val="nl-NL"/>
        </w:rPr>
        <w:t xml:space="preserve">, Antwerpen, Intersentia, 2011, 205; S. DEVRIENDT en M. DECOCK, “De impact van mensenrechtelijke instrumenten op de procespositie van de minderjarige”, </w:t>
      </w:r>
      <w:r w:rsidRPr="0086280A">
        <w:rPr>
          <w:i/>
          <w:sz w:val="16"/>
          <w:szCs w:val="16"/>
          <w:lang w:val="nl-NL"/>
        </w:rPr>
        <w:t>TJK</w:t>
      </w:r>
      <w:r w:rsidRPr="0086280A">
        <w:rPr>
          <w:sz w:val="16"/>
          <w:szCs w:val="16"/>
          <w:lang w:val="nl-NL"/>
        </w:rPr>
        <w:t xml:space="preserve"> 2020, nr. 1, </w:t>
      </w:r>
      <w:r w:rsidR="001D574A">
        <w:rPr>
          <w:sz w:val="16"/>
          <w:szCs w:val="16"/>
          <w:lang w:val="nl-NL"/>
        </w:rPr>
        <w:t xml:space="preserve">(7) </w:t>
      </w:r>
      <w:r w:rsidRPr="0086280A">
        <w:rPr>
          <w:sz w:val="16"/>
          <w:szCs w:val="16"/>
          <w:lang w:val="nl-NL"/>
        </w:rPr>
        <w:t xml:space="preserve">16; EUROPEAN COURT OF HUMAN RIGHTS, “Practical Guide on Admissibility Criteria”, 31 augustus 2022, </w:t>
      </w:r>
      <w:hyperlink r:id="rId22" w:history="1">
        <w:r w:rsidRPr="0086280A">
          <w:rPr>
            <w:rStyle w:val="Hyperlink"/>
            <w:sz w:val="16"/>
            <w:szCs w:val="16"/>
            <w:lang w:val="nl-NL"/>
          </w:rPr>
          <w:t>www.echr.coe.int/documents/admissibility_guide_eng.pdf</w:t>
        </w:r>
      </w:hyperlink>
      <w:r w:rsidRPr="0086280A">
        <w:rPr>
          <w:sz w:val="16"/>
          <w:szCs w:val="16"/>
          <w:lang w:val="nl-NL"/>
        </w:rPr>
        <w:t xml:space="preserve">, §61 (laatste consultatie </w:t>
      </w:r>
      <w:r w:rsidR="007C3591" w:rsidRPr="0086280A">
        <w:rPr>
          <w:sz w:val="16"/>
          <w:szCs w:val="16"/>
          <w:lang w:val="nl-NL"/>
        </w:rPr>
        <w:t>13</w:t>
      </w:r>
      <w:r w:rsidRPr="0086280A">
        <w:rPr>
          <w:sz w:val="16"/>
          <w:szCs w:val="16"/>
          <w:lang w:val="nl-NL"/>
        </w:rPr>
        <w:t>.0</w:t>
      </w:r>
      <w:r w:rsidR="007C3591" w:rsidRPr="0086280A">
        <w:rPr>
          <w:sz w:val="16"/>
          <w:szCs w:val="16"/>
          <w:lang w:val="nl-NL"/>
        </w:rPr>
        <w:t>5.</w:t>
      </w:r>
      <w:r w:rsidRPr="0086280A">
        <w:rPr>
          <w:sz w:val="16"/>
          <w:szCs w:val="16"/>
          <w:lang w:val="nl-NL"/>
        </w:rPr>
        <w:t>2023).</w:t>
      </w:r>
    </w:p>
  </w:footnote>
  <w:footnote w:id="177">
    <w:p w14:paraId="5C31EA2C" w14:textId="406C9FE4"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Artikel 34 EVRM; </w:t>
      </w:r>
      <w:r w:rsidR="007B634A" w:rsidRPr="0086280A">
        <w:rPr>
          <w:sz w:val="16"/>
          <w:szCs w:val="16"/>
          <w:lang w:val="nl-NL"/>
        </w:rPr>
        <w:t xml:space="preserve">Y. HAECK en C.B. HERRERA, </w:t>
      </w:r>
      <w:r w:rsidR="007B634A" w:rsidRPr="0086280A">
        <w:rPr>
          <w:i/>
          <w:iCs/>
          <w:sz w:val="16"/>
          <w:szCs w:val="16"/>
          <w:lang w:val="nl-NL"/>
        </w:rPr>
        <w:t>Procederen voor het Europees Hof voor de Rechten van de Mens</w:t>
      </w:r>
      <w:r w:rsidR="007B634A" w:rsidRPr="0086280A">
        <w:rPr>
          <w:sz w:val="16"/>
          <w:szCs w:val="16"/>
          <w:lang w:val="nl-NL"/>
        </w:rPr>
        <w:t>, Antwerpen, Intersentia, 2011, 205</w:t>
      </w:r>
      <w:r w:rsidR="007B634A">
        <w:rPr>
          <w:sz w:val="16"/>
          <w:szCs w:val="16"/>
          <w:lang w:val="nl-NL"/>
        </w:rPr>
        <w:t xml:space="preserve">; </w:t>
      </w:r>
      <w:r w:rsidRPr="0086280A">
        <w:rPr>
          <w:sz w:val="16"/>
          <w:szCs w:val="16"/>
          <w:lang w:val="nl-NL"/>
        </w:rPr>
        <w:t xml:space="preserve">C. DUBOIS en E. PENNINCKX, </w:t>
      </w:r>
      <w:r w:rsidRPr="0086280A">
        <w:rPr>
          <w:i/>
          <w:iCs/>
          <w:sz w:val="16"/>
          <w:szCs w:val="16"/>
          <w:lang w:val="nl-NL"/>
        </w:rPr>
        <w:t>La procédure devant la Cour européenne des Droits de l’Homme et le Comité de Ministres</w:t>
      </w:r>
      <w:r w:rsidRPr="0086280A">
        <w:rPr>
          <w:sz w:val="16"/>
          <w:szCs w:val="16"/>
          <w:lang w:val="nl-NL"/>
        </w:rPr>
        <w:t xml:space="preserve">, Waterloo, Wolters Kluwer, 2016, 59; I. BERRO-LEFÈVRE, “L’access des enfants à la Cour européenne des droits de l’Homme”, </w:t>
      </w:r>
      <w:r w:rsidRPr="0086280A">
        <w:rPr>
          <w:i/>
          <w:iCs/>
          <w:sz w:val="16"/>
          <w:szCs w:val="16"/>
          <w:lang w:val="nl-NL"/>
        </w:rPr>
        <w:t>Journal du droit des jeunes</w:t>
      </w:r>
      <w:r w:rsidRPr="0086280A">
        <w:rPr>
          <w:sz w:val="16"/>
          <w:szCs w:val="16"/>
          <w:lang w:val="nl-NL"/>
        </w:rPr>
        <w:t xml:space="preserve"> 2008, afl. 272, </w:t>
      </w:r>
      <w:r w:rsidR="001D574A">
        <w:rPr>
          <w:sz w:val="16"/>
          <w:szCs w:val="16"/>
          <w:lang w:val="nl-NL"/>
        </w:rPr>
        <w:t xml:space="preserve">(35) </w:t>
      </w:r>
      <w:r w:rsidRPr="0086280A">
        <w:rPr>
          <w:sz w:val="16"/>
          <w:szCs w:val="16"/>
          <w:lang w:val="nl-NL"/>
        </w:rPr>
        <w:t>35</w:t>
      </w:r>
      <w:r w:rsidR="00DD7724">
        <w:rPr>
          <w:sz w:val="16"/>
          <w:szCs w:val="16"/>
          <w:lang w:val="nl-NL"/>
        </w:rPr>
        <w:t>-36</w:t>
      </w:r>
      <w:r w:rsidRPr="0086280A">
        <w:rPr>
          <w:sz w:val="16"/>
          <w:szCs w:val="16"/>
          <w:lang w:val="nl-NL"/>
        </w:rPr>
        <w:t>.</w:t>
      </w:r>
    </w:p>
  </w:footnote>
  <w:footnote w:id="178">
    <w:p w14:paraId="5F54E005" w14:textId="6E310EAB"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artikel 6.1 en artikel 13 EVRM; M.R. BRUNING, D.J.H. SMEETS, K.G.A. BOLSCHER, J.S. PEPER, R. DE BOER, </w:t>
      </w:r>
      <w:r w:rsidRPr="0086280A">
        <w:rPr>
          <w:i/>
          <w:sz w:val="16"/>
          <w:szCs w:val="16"/>
          <w:lang w:val="nl-NL"/>
        </w:rPr>
        <w:t xml:space="preserve">Kind in proces: van communicatie naar effectieve participatie. Het hoorrecht en de procespositie van minderjarigen in familie- en jeugdzaken, </w:t>
      </w:r>
      <w:r w:rsidRPr="0086280A">
        <w:rPr>
          <w:sz w:val="16"/>
          <w:szCs w:val="16"/>
          <w:lang w:val="nl-NL"/>
        </w:rPr>
        <w:t>Nijmegen, Wolf Legal Publishers, 2020, 81.</w:t>
      </w:r>
    </w:p>
  </w:footnote>
  <w:footnote w:id="179">
    <w:p w14:paraId="50CCA1D0" w14:textId="4084341C"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EHRM 17 juli 2014, nr. 19315/11, </w:t>
      </w:r>
      <w:r w:rsidRPr="0086280A">
        <w:rPr>
          <w:i/>
          <w:iCs/>
          <w:sz w:val="16"/>
          <w:szCs w:val="16"/>
          <w:lang w:val="nl-NL"/>
        </w:rPr>
        <w:t>T./Tsjechië</w:t>
      </w:r>
      <w:r w:rsidRPr="0086280A">
        <w:rPr>
          <w:sz w:val="16"/>
          <w:szCs w:val="16"/>
          <w:lang w:val="nl-NL"/>
        </w:rPr>
        <w:t xml:space="preserve">: </w:t>
      </w:r>
      <w:r w:rsidR="007B634A">
        <w:rPr>
          <w:sz w:val="16"/>
          <w:szCs w:val="16"/>
          <w:lang w:val="nl-NL"/>
        </w:rPr>
        <w:t>beoordeling</w:t>
      </w:r>
      <w:r w:rsidRPr="0086280A">
        <w:rPr>
          <w:sz w:val="16"/>
          <w:szCs w:val="16"/>
          <w:lang w:val="nl-NL"/>
        </w:rPr>
        <w:t xml:space="preserve"> </w:t>
      </w:r>
      <w:r w:rsidR="007B634A">
        <w:rPr>
          <w:sz w:val="16"/>
          <w:szCs w:val="16"/>
          <w:lang w:val="nl-NL"/>
        </w:rPr>
        <w:t>van het</w:t>
      </w:r>
      <w:r w:rsidRPr="0086280A">
        <w:rPr>
          <w:sz w:val="16"/>
          <w:szCs w:val="16"/>
          <w:lang w:val="nl-NL"/>
        </w:rPr>
        <w:t xml:space="preserve"> EHRM of de rechten van de vader </w:t>
      </w:r>
      <w:r w:rsidRPr="0086280A">
        <w:rPr>
          <w:sz w:val="16"/>
          <w:szCs w:val="16"/>
          <w:u w:val="single"/>
          <w:lang w:val="nl-NL"/>
        </w:rPr>
        <w:t>en</w:t>
      </w:r>
      <w:r w:rsidRPr="0086280A">
        <w:rPr>
          <w:sz w:val="16"/>
          <w:szCs w:val="16"/>
          <w:lang w:val="nl-NL"/>
        </w:rPr>
        <w:t xml:space="preserve"> de dochter (</w:t>
      </w:r>
      <w:r w:rsidRPr="0086280A">
        <w:rPr>
          <w:sz w:val="16"/>
          <w:szCs w:val="16"/>
          <w:u w:val="single"/>
          <w:lang w:val="nl-NL"/>
        </w:rPr>
        <w:t>verzoekers</w:t>
      </w:r>
      <w:r w:rsidRPr="0086280A">
        <w:rPr>
          <w:sz w:val="16"/>
          <w:szCs w:val="16"/>
          <w:lang w:val="nl-NL"/>
        </w:rPr>
        <w:t>) werden geschonden, mits beoordeling van het belang van het kind. Het EHRM stelde een inbreuk op artikel 8 EVRM vast.</w:t>
      </w:r>
    </w:p>
  </w:footnote>
  <w:footnote w:id="180">
    <w:p w14:paraId="0CD63738" w14:textId="77777777" w:rsidR="00304072" w:rsidRPr="00432C26" w:rsidRDefault="00304072" w:rsidP="00304072">
      <w:pPr>
        <w:pStyle w:val="Voetnoottekst"/>
        <w:jc w:val="both"/>
        <w:rPr>
          <w:sz w:val="16"/>
          <w:szCs w:val="16"/>
          <w:lang w:val="nl-NL"/>
        </w:rPr>
      </w:pPr>
      <w:r w:rsidRPr="00432C26">
        <w:rPr>
          <w:rStyle w:val="Voetnootmarkering"/>
          <w:sz w:val="16"/>
          <w:szCs w:val="16"/>
          <w:lang w:val="nl-NL"/>
        </w:rPr>
        <w:footnoteRef/>
      </w:r>
      <w:r w:rsidRPr="00432C26">
        <w:rPr>
          <w:sz w:val="16"/>
          <w:szCs w:val="16"/>
          <w:lang w:val="nl-NL"/>
        </w:rPr>
        <w:t xml:space="preserve"> Bijvoorbeeld in EHRM 13 juni 1979, nr. 6833/74, </w:t>
      </w:r>
      <w:r w:rsidRPr="00432C26">
        <w:rPr>
          <w:i/>
          <w:iCs/>
          <w:sz w:val="16"/>
          <w:szCs w:val="16"/>
          <w:lang w:val="nl-NL"/>
        </w:rPr>
        <w:t>Marckx/</w:t>
      </w:r>
      <w:r w:rsidRPr="00432C26">
        <w:rPr>
          <w:sz w:val="16"/>
          <w:szCs w:val="16"/>
          <w:lang w:val="nl-NL"/>
        </w:rPr>
        <w:t xml:space="preserve">België, waar de minderjarige verzoeker zes jaar oud was toen het Hof uitspraak deed; </w:t>
      </w:r>
      <w:r w:rsidRPr="00432C26">
        <w:rPr>
          <w:rFonts w:eastAsia="Verdana" w:cs="Verdana"/>
          <w:sz w:val="16"/>
          <w:szCs w:val="16"/>
          <w:lang w:val="nl-NL"/>
        </w:rPr>
        <w:t xml:space="preserve">EHRM 20 januari 2009, nr. 70337/01, </w:t>
      </w:r>
      <w:r w:rsidRPr="00432C26">
        <w:rPr>
          <w:rFonts w:eastAsia="Verdana" w:cs="Verdana"/>
          <w:i/>
          <w:iCs/>
          <w:sz w:val="16"/>
          <w:szCs w:val="16"/>
          <w:lang w:val="nl-NL"/>
        </w:rPr>
        <w:t>Güveç/Turkije</w:t>
      </w:r>
      <w:r w:rsidRPr="00432C26">
        <w:rPr>
          <w:rFonts w:eastAsia="Verdana" w:cs="Verdana"/>
          <w:sz w:val="16"/>
          <w:szCs w:val="16"/>
          <w:lang w:val="nl-NL"/>
        </w:rPr>
        <w:t>, §58 en §72</w:t>
      </w:r>
      <w:r w:rsidRPr="00432C26">
        <w:rPr>
          <w:rFonts w:eastAsia="Verdana" w:cs="Verdana"/>
          <w:i/>
          <w:iCs/>
          <w:sz w:val="16"/>
          <w:szCs w:val="16"/>
          <w:lang w:val="nl-NL"/>
        </w:rPr>
        <w:t xml:space="preserve">; </w:t>
      </w:r>
      <w:r w:rsidRPr="00432C26">
        <w:rPr>
          <w:rFonts w:eastAsia="Verdana" w:cs="Verdana"/>
          <w:iCs/>
          <w:sz w:val="16"/>
          <w:szCs w:val="16"/>
          <w:lang w:val="nl-NL"/>
        </w:rPr>
        <w:t xml:space="preserve">EHRM 9 oktober 2012, nr. 1413/07, </w:t>
      </w:r>
      <w:r w:rsidRPr="00432C26">
        <w:rPr>
          <w:rFonts w:eastAsia="Verdana" w:cs="Verdana"/>
          <w:i/>
          <w:sz w:val="16"/>
          <w:szCs w:val="16"/>
          <w:lang w:val="nl-NL"/>
        </w:rPr>
        <w:t>Çoselav/Turkije</w:t>
      </w:r>
      <w:r w:rsidRPr="00432C26">
        <w:rPr>
          <w:rFonts w:eastAsia="Verdana" w:cs="Verdana"/>
          <w:iCs/>
          <w:sz w:val="16"/>
          <w:szCs w:val="16"/>
          <w:lang w:val="nl-NL"/>
        </w:rPr>
        <w:t xml:space="preserve">, §36; </w:t>
      </w:r>
      <w:r w:rsidRPr="00432C26">
        <w:rPr>
          <w:sz w:val="16"/>
          <w:szCs w:val="16"/>
          <w:lang w:val="nl-NL"/>
        </w:rPr>
        <w:t xml:space="preserve">EUROPEAN COURT OF HUMAN RIGHTS, “Practical Guide on Admissibility Criteria”, 31 augustus 2022, </w:t>
      </w:r>
      <w:hyperlink r:id="rId23" w:history="1">
        <w:r w:rsidRPr="00432C26">
          <w:rPr>
            <w:rStyle w:val="Hyperlink"/>
            <w:sz w:val="16"/>
            <w:szCs w:val="16"/>
            <w:lang w:val="nl-NL"/>
          </w:rPr>
          <w:t>www.echr.coe.int/documents/admissibility_guide_eng.pdf</w:t>
        </w:r>
      </w:hyperlink>
      <w:r w:rsidRPr="00432C26">
        <w:rPr>
          <w:sz w:val="16"/>
          <w:szCs w:val="16"/>
          <w:lang w:val="nl-NL"/>
        </w:rPr>
        <w:t>, §61-62 (laatste consultatie 13.05.2023).</w:t>
      </w:r>
    </w:p>
  </w:footnote>
  <w:footnote w:id="181">
    <w:p w14:paraId="11110E67" w14:textId="77777777" w:rsidR="00304072" w:rsidRPr="00432C26" w:rsidRDefault="00304072" w:rsidP="00304072">
      <w:pPr>
        <w:pStyle w:val="Voetnoottekst"/>
        <w:jc w:val="both"/>
        <w:rPr>
          <w:sz w:val="16"/>
          <w:szCs w:val="16"/>
          <w:lang w:val="nl-NL"/>
        </w:rPr>
      </w:pPr>
      <w:r w:rsidRPr="00432C26">
        <w:rPr>
          <w:rStyle w:val="Voetnootmarkering"/>
          <w:sz w:val="16"/>
          <w:szCs w:val="16"/>
          <w:lang w:val="nl-NL"/>
        </w:rPr>
        <w:footnoteRef/>
      </w:r>
      <w:r w:rsidRPr="00432C26">
        <w:rPr>
          <w:sz w:val="16"/>
          <w:szCs w:val="16"/>
          <w:lang w:val="nl-NL"/>
        </w:rPr>
        <w:t xml:space="preserve"> Zie artikel 1 EVRM: “De Hoge Verdragsluitende Partijen verzekeren eenieder, die ressorteert onder hun rechtsmacht, de rechten en vrijheden welke zijn vastgelegd in de Eerste Titel van dit Verdrag”; Artikel 8 EVRM valt onder Titel I van het EVRM.</w:t>
      </w:r>
    </w:p>
  </w:footnote>
  <w:footnote w:id="182">
    <w:p w14:paraId="1A21FA46" w14:textId="43B0A40F"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Y. HAECK en C.B. HERRERA, </w:t>
      </w:r>
      <w:r w:rsidRPr="0086280A">
        <w:rPr>
          <w:i/>
          <w:iCs/>
          <w:sz w:val="16"/>
          <w:szCs w:val="16"/>
          <w:lang w:val="nl-NL"/>
        </w:rPr>
        <w:t>Procederen voor het Europees Hof voor de Rechten van de Mens</w:t>
      </w:r>
      <w:r w:rsidRPr="0086280A">
        <w:rPr>
          <w:sz w:val="16"/>
          <w:szCs w:val="16"/>
          <w:lang w:val="nl-NL"/>
        </w:rPr>
        <w:t xml:space="preserve">, Antwerpen, Intersentia, 2011, 205; K. SANDBERG, “Grandparents’ and grandchildren’s right to contact under the European Convention on Human Rights”, </w:t>
      </w:r>
      <w:r w:rsidRPr="0086280A">
        <w:rPr>
          <w:i/>
          <w:sz w:val="16"/>
          <w:szCs w:val="16"/>
          <w:lang w:val="nl-NL"/>
        </w:rPr>
        <w:t>Family &amp; Law</w:t>
      </w:r>
      <w:r w:rsidRPr="0086280A">
        <w:rPr>
          <w:sz w:val="16"/>
          <w:szCs w:val="16"/>
          <w:lang w:val="nl-NL"/>
        </w:rPr>
        <w:t xml:space="preserve"> 2021, DOI:10.5553/FenR/.000050, </w:t>
      </w:r>
      <w:r w:rsidR="00DD7724">
        <w:rPr>
          <w:sz w:val="16"/>
          <w:szCs w:val="16"/>
          <w:lang w:val="nl-NL"/>
        </w:rPr>
        <w:t xml:space="preserve">(1) </w:t>
      </w:r>
      <w:r w:rsidRPr="0086280A">
        <w:rPr>
          <w:sz w:val="16"/>
          <w:szCs w:val="16"/>
          <w:lang w:val="nl-NL"/>
        </w:rPr>
        <w:t>10-11.</w:t>
      </w:r>
    </w:p>
  </w:footnote>
  <w:footnote w:id="183">
    <w:p w14:paraId="760B4C06" w14:textId="274D2616"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EUROPEAN UNION AGENCY FOR FUNDAMENTAL RIGHTS AND COUNCIL OF EUROPE</w:t>
      </w:r>
      <w:r w:rsidRPr="004F6728">
        <w:rPr>
          <w:i/>
          <w:sz w:val="16"/>
          <w:szCs w:val="16"/>
          <w:lang w:val="en-US"/>
        </w:rPr>
        <w:t>, Handbook on European law relating to the rights of the child</w:t>
      </w:r>
      <w:r w:rsidRPr="004F6728">
        <w:rPr>
          <w:sz w:val="16"/>
          <w:szCs w:val="16"/>
          <w:lang w:val="en-US"/>
        </w:rPr>
        <w:t xml:space="preserve">, Luxemburg, Bureau </w:t>
      </w:r>
      <w:proofErr w:type="spellStart"/>
      <w:r w:rsidRPr="004F6728">
        <w:rPr>
          <w:sz w:val="16"/>
          <w:szCs w:val="16"/>
          <w:lang w:val="en-US"/>
        </w:rPr>
        <w:t>voor</w:t>
      </w:r>
      <w:proofErr w:type="spellEnd"/>
      <w:r w:rsidRPr="004F6728">
        <w:rPr>
          <w:sz w:val="16"/>
          <w:szCs w:val="16"/>
          <w:lang w:val="en-US"/>
        </w:rPr>
        <w:t xml:space="preserve"> </w:t>
      </w:r>
      <w:proofErr w:type="spellStart"/>
      <w:r w:rsidRPr="004F6728">
        <w:rPr>
          <w:sz w:val="16"/>
          <w:szCs w:val="16"/>
          <w:lang w:val="en-US"/>
        </w:rPr>
        <w:t>publicaties</w:t>
      </w:r>
      <w:proofErr w:type="spellEnd"/>
      <w:r w:rsidRPr="004F6728">
        <w:rPr>
          <w:sz w:val="16"/>
          <w:szCs w:val="16"/>
          <w:lang w:val="en-US"/>
        </w:rPr>
        <w:t xml:space="preserve"> van de </w:t>
      </w:r>
      <w:proofErr w:type="spellStart"/>
      <w:r w:rsidRPr="004F6728">
        <w:rPr>
          <w:sz w:val="16"/>
          <w:szCs w:val="16"/>
          <w:lang w:val="en-US"/>
        </w:rPr>
        <w:t>Europese</w:t>
      </w:r>
      <w:proofErr w:type="spellEnd"/>
      <w:r w:rsidRPr="004F6728">
        <w:rPr>
          <w:sz w:val="16"/>
          <w:szCs w:val="16"/>
          <w:lang w:val="en-US"/>
        </w:rPr>
        <w:t xml:space="preserve"> </w:t>
      </w:r>
      <w:proofErr w:type="spellStart"/>
      <w:r w:rsidRPr="004F6728">
        <w:rPr>
          <w:sz w:val="16"/>
          <w:szCs w:val="16"/>
          <w:lang w:val="en-US"/>
        </w:rPr>
        <w:t>Unie</w:t>
      </w:r>
      <w:proofErr w:type="spellEnd"/>
      <w:r w:rsidRPr="004F6728">
        <w:rPr>
          <w:sz w:val="16"/>
          <w:szCs w:val="16"/>
          <w:lang w:val="en-US"/>
        </w:rPr>
        <w:t>, 2022, 83.</w:t>
      </w:r>
    </w:p>
  </w:footnote>
  <w:footnote w:id="184">
    <w:p w14:paraId="14387CCA" w14:textId="70EA2B51"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EHRM 6 </w:t>
      </w:r>
      <w:proofErr w:type="spellStart"/>
      <w:r w:rsidRPr="004F6728">
        <w:rPr>
          <w:sz w:val="16"/>
          <w:szCs w:val="16"/>
          <w:lang w:val="en-US"/>
        </w:rPr>
        <w:t>juli</w:t>
      </w:r>
      <w:proofErr w:type="spellEnd"/>
      <w:r w:rsidRPr="004F6728">
        <w:rPr>
          <w:sz w:val="16"/>
          <w:szCs w:val="16"/>
          <w:lang w:val="en-US"/>
        </w:rPr>
        <w:t xml:space="preserve"> 2010, nr. 41615/07, </w:t>
      </w:r>
      <w:proofErr w:type="spellStart"/>
      <w:r w:rsidRPr="004F6728">
        <w:rPr>
          <w:i/>
          <w:iCs/>
          <w:sz w:val="16"/>
          <w:szCs w:val="16"/>
          <w:lang w:val="en-US"/>
        </w:rPr>
        <w:t>Neulinger</w:t>
      </w:r>
      <w:proofErr w:type="spellEnd"/>
      <w:r w:rsidRPr="004F6728">
        <w:rPr>
          <w:i/>
          <w:iCs/>
          <w:sz w:val="16"/>
          <w:szCs w:val="16"/>
          <w:lang w:val="en-US"/>
        </w:rPr>
        <w:t xml:space="preserve"> en </w:t>
      </w:r>
      <w:proofErr w:type="spellStart"/>
      <w:r w:rsidRPr="004F6728">
        <w:rPr>
          <w:i/>
          <w:iCs/>
          <w:sz w:val="16"/>
          <w:szCs w:val="16"/>
          <w:lang w:val="en-US"/>
        </w:rPr>
        <w:t>Shuruk</w:t>
      </w:r>
      <w:proofErr w:type="spellEnd"/>
      <w:r w:rsidRPr="004F6728">
        <w:rPr>
          <w:i/>
          <w:iCs/>
          <w:sz w:val="16"/>
          <w:szCs w:val="16"/>
          <w:lang w:val="en-US"/>
        </w:rPr>
        <w:t>/</w:t>
      </w:r>
      <w:proofErr w:type="spellStart"/>
      <w:r w:rsidRPr="004F6728">
        <w:rPr>
          <w:i/>
          <w:iCs/>
          <w:sz w:val="16"/>
          <w:szCs w:val="16"/>
          <w:lang w:val="en-US"/>
        </w:rPr>
        <w:t>Zwitserland</w:t>
      </w:r>
      <w:proofErr w:type="spellEnd"/>
      <w:r w:rsidRPr="004F6728">
        <w:rPr>
          <w:sz w:val="16"/>
          <w:szCs w:val="16"/>
          <w:lang w:val="en-US"/>
        </w:rPr>
        <w:t xml:space="preserve">, §49-50 en §134-135: “the Court notes that there is currently a broad consensus – including in international law – in support of the idea that in all decisions concerning children, their best interests must be paramount”; EHRM 29 </w:t>
      </w:r>
      <w:proofErr w:type="spellStart"/>
      <w:r w:rsidRPr="004F6728">
        <w:rPr>
          <w:sz w:val="16"/>
          <w:szCs w:val="16"/>
          <w:lang w:val="en-US"/>
        </w:rPr>
        <w:t>januari</w:t>
      </w:r>
      <w:proofErr w:type="spellEnd"/>
      <w:r w:rsidRPr="004F6728">
        <w:rPr>
          <w:sz w:val="16"/>
          <w:szCs w:val="16"/>
          <w:lang w:val="en-US"/>
        </w:rPr>
        <w:t xml:space="preserve"> 2013, nr. 25704/11, </w:t>
      </w:r>
      <w:r w:rsidRPr="004F6728">
        <w:rPr>
          <w:i/>
          <w:iCs/>
          <w:sz w:val="16"/>
          <w:szCs w:val="16"/>
          <w:lang w:val="en-US"/>
        </w:rPr>
        <w:t>Lombardo/</w:t>
      </w:r>
      <w:proofErr w:type="spellStart"/>
      <w:r w:rsidRPr="004F6728">
        <w:rPr>
          <w:i/>
          <w:iCs/>
          <w:sz w:val="16"/>
          <w:szCs w:val="16"/>
          <w:lang w:val="en-US"/>
        </w:rPr>
        <w:t>Italië</w:t>
      </w:r>
      <w:proofErr w:type="spellEnd"/>
      <w:r w:rsidRPr="004F6728">
        <w:rPr>
          <w:sz w:val="16"/>
          <w:szCs w:val="16"/>
          <w:lang w:val="en-US"/>
        </w:rPr>
        <w:t>, §84: “</w:t>
      </w:r>
      <w:proofErr w:type="spellStart"/>
      <w:r w:rsidRPr="004F6728">
        <w:rPr>
          <w:sz w:val="16"/>
          <w:szCs w:val="16"/>
          <w:lang w:val="en-US"/>
        </w:rPr>
        <w:t>l’intérêts</w:t>
      </w:r>
      <w:proofErr w:type="spellEnd"/>
      <w:r w:rsidRPr="004F6728">
        <w:rPr>
          <w:sz w:val="16"/>
          <w:szCs w:val="16"/>
          <w:lang w:val="en-US"/>
        </w:rPr>
        <w:t xml:space="preserve"> </w:t>
      </w:r>
      <w:proofErr w:type="spellStart"/>
      <w:r w:rsidRPr="004F6728">
        <w:rPr>
          <w:sz w:val="16"/>
          <w:szCs w:val="16"/>
          <w:lang w:val="en-US"/>
        </w:rPr>
        <w:t>supérieurs</w:t>
      </w:r>
      <w:proofErr w:type="spellEnd"/>
      <w:r w:rsidRPr="004F6728">
        <w:rPr>
          <w:sz w:val="16"/>
          <w:szCs w:val="16"/>
          <w:lang w:val="en-US"/>
        </w:rPr>
        <w:t xml:space="preserve"> de </w:t>
      </w:r>
      <w:proofErr w:type="spellStart"/>
      <w:r w:rsidRPr="004F6728">
        <w:rPr>
          <w:sz w:val="16"/>
          <w:szCs w:val="16"/>
          <w:lang w:val="en-US"/>
        </w:rPr>
        <w:t>l’enfant</w:t>
      </w:r>
      <w:proofErr w:type="spellEnd"/>
      <w:r w:rsidRPr="004F6728">
        <w:rPr>
          <w:sz w:val="16"/>
          <w:szCs w:val="16"/>
          <w:lang w:val="en-US"/>
        </w:rPr>
        <w:t xml:space="preserve">”; EHRM 10 september 2019, nr. 37283/13, </w:t>
      </w:r>
      <w:r w:rsidRPr="004F6728">
        <w:rPr>
          <w:i/>
          <w:iCs/>
          <w:sz w:val="16"/>
          <w:szCs w:val="16"/>
          <w:lang w:val="en-US"/>
        </w:rPr>
        <w:t xml:space="preserve">Strand </w:t>
      </w:r>
      <w:proofErr w:type="spellStart"/>
      <w:r w:rsidRPr="004F6728">
        <w:rPr>
          <w:i/>
          <w:iCs/>
          <w:sz w:val="16"/>
          <w:szCs w:val="16"/>
          <w:lang w:val="en-US"/>
        </w:rPr>
        <w:t>Lobben</w:t>
      </w:r>
      <w:proofErr w:type="spellEnd"/>
      <w:r w:rsidRPr="004F6728">
        <w:rPr>
          <w:i/>
          <w:iCs/>
          <w:sz w:val="16"/>
          <w:szCs w:val="16"/>
          <w:lang w:val="en-US"/>
        </w:rPr>
        <w:t xml:space="preserve"> </w:t>
      </w:r>
      <w:proofErr w:type="spellStart"/>
      <w:r w:rsidRPr="004F6728">
        <w:rPr>
          <w:i/>
          <w:iCs/>
          <w:sz w:val="16"/>
          <w:szCs w:val="16"/>
          <w:lang w:val="en-US"/>
        </w:rPr>
        <w:t>e.a.</w:t>
      </w:r>
      <w:proofErr w:type="spellEnd"/>
      <w:r w:rsidRPr="004F6728">
        <w:rPr>
          <w:i/>
          <w:iCs/>
          <w:sz w:val="16"/>
          <w:szCs w:val="16"/>
          <w:lang w:val="en-US"/>
        </w:rPr>
        <w:t>/</w:t>
      </w:r>
      <w:proofErr w:type="spellStart"/>
      <w:r w:rsidRPr="004F6728">
        <w:rPr>
          <w:i/>
          <w:iCs/>
          <w:sz w:val="16"/>
          <w:szCs w:val="16"/>
          <w:lang w:val="en-US"/>
        </w:rPr>
        <w:t>Noorwegen</w:t>
      </w:r>
      <w:proofErr w:type="spellEnd"/>
      <w:r w:rsidRPr="004F6728">
        <w:rPr>
          <w:sz w:val="16"/>
          <w:szCs w:val="16"/>
          <w:lang w:val="en-US"/>
        </w:rPr>
        <w:t>, §207.</w:t>
      </w:r>
    </w:p>
  </w:footnote>
  <w:footnote w:id="185">
    <w:p w14:paraId="59A0428C" w14:textId="3AD4E8F0"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EHRM 25 </w:t>
      </w:r>
      <w:proofErr w:type="spellStart"/>
      <w:r w:rsidRPr="004F6728">
        <w:rPr>
          <w:sz w:val="16"/>
          <w:szCs w:val="16"/>
          <w:lang w:val="en-US"/>
        </w:rPr>
        <w:t>januari</w:t>
      </w:r>
      <w:proofErr w:type="spellEnd"/>
      <w:r w:rsidRPr="004F6728">
        <w:rPr>
          <w:sz w:val="16"/>
          <w:szCs w:val="16"/>
          <w:lang w:val="en-US"/>
        </w:rPr>
        <w:t xml:space="preserve"> 2011, nr. 18830/07, </w:t>
      </w:r>
      <w:r w:rsidRPr="004F6728">
        <w:rPr>
          <w:i/>
          <w:iCs/>
          <w:sz w:val="16"/>
          <w:szCs w:val="16"/>
          <w:lang w:val="en-US"/>
        </w:rPr>
        <w:t>Plaza/</w:t>
      </w:r>
      <w:proofErr w:type="spellStart"/>
      <w:r w:rsidRPr="004F6728">
        <w:rPr>
          <w:i/>
          <w:iCs/>
          <w:sz w:val="16"/>
          <w:szCs w:val="16"/>
          <w:lang w:val="en-US"/>
        </w:rPr>
        <w:t>Polen</w:t>
      </w:r>
      <w:proofErr w:type="spellEnd"/>
      <w:r w:rsidRPr="004F6728">
        <w:rPr>
          <w:sz w:val="16"/>
          <w:szCs w:val="16"/>
          <w:lang w:val="en-US"/>
        </w:rPr>
        <w:t xml:space="preserve">, §91: “as children mature and become, with the passage of time, able to formulate their own opinion on their contact with the parents, the courts give due weight also to their views and feelings as well as to their right to respect for their private life”; EHRM 8 </w:t>
      </w:r>
      <w:proofErr w:type="spellStart"/>
      <w:r w:rsidRPr="004F6728">
        <w:rPr>
          <w:sz w:val="16"/>
          <w:szCs w:val="16"/>
          <w:lang w:val="en-US"/>
        </w:rPr>
        <w:t>april</w:t>
      </w:r>
      <w:proofErr w:type="spellEnd"/>
      <w:r w:rsidRPr="004F6728">
        <w:rPr>
          <w:sz w:val="16"/>
          <w:szCs w:val="16"/>
          <w:lang w:val="en-US"/>
        </w:rPr>
        <w:t xml:space="preserve"> 2021, nr. 4762/13, </w:t>
      </w:r>
      <w:proofErr w:type="spellStart"/>
      <w:r w:rsidRPr="004F6728">
        <w:rPr>
          <w:rFonts w:cs="Arial"/>
          <w:i/>
          <w:iCs/>
          <w:color w:val="000000"/>
          <w:sz w:val="16"/>
          <w:szCs w:val="16"/>
          <w:shd w:val="clear" w:color="auto" w:fill="FFFFFF"/>
          <w:lang w:val="en-US"/>
        </w:rPr>
        <w:t>Vavřička</w:t>
      </w:r>
      <w:proofErr w:type="spellEnd"/>
      <w:r w:rsidRPr="004F6728">
        <w:rPr>
          <w:sz w:val="16"/>
          <w:szCs w:val="16"/>
          <w:lang w:val="en-US"/>
        </w:rPr>
        <w:t xml:space="preserve"> </w:t>
      </w:r>
      <w:proofErr w:type="spellStart"/>
      <w:r w:rsidRPr="004F6728">
        <w:rPr>
          <w:sz w:val="16"/>
          <w:szCs w:val="16"/>
          <w:lang w:val="en-US"/>
        </w:rPr>
        <w:t>e.a.</w:t>
      </w:r>
      <w:proofErr w:type="spellEnd"/>
      <w:r w:rsidRPr="004F6728">
        <w:rPr>
          <w:sz w:val="16"/>
          <w:szCs w:val="16"/>
          <w:lang w:val="en-US"/>
        </w:rPr>
        <w:t>/</w:t>
      </w:r>
      <w:proofErr w:type="spellStart"/>
      <w:r w:rsidRPr="004F6728">
        <w:rPr>
          <w:sz w:val="16"/>
          <w:szCs w:val="16"/>
          <w:lang w:val="en-US"/>
        </w:rPr>
        <w:t>Tsjechië</w:t>
      </w:r>
      <w:proofErr w:type="spellEnd"/>
      <w:r w:rsidRPr="004F6728">
        <w:rPr>
          <w:sz w:val="16"/>
          <w:szCs w:val="16"/>
          <w:lang w:val="en-US"/>
        </w:rPr>
        <w:t>, §287;</w:t>
      </w:r>
      <w:r w:rsidR="007B634A" w:rsidRPr="007B634A">
        <w:rPr>
          <w:sz w:val="16"/>
          <w:szCs w:val="16"/>
          <w:lang w:val="en-US"/>
        </w:rPr>
        <w:t xml:space="preserve"> </w:t>
      </w:r>
      <w:r w:rsidR="007B634A" w:rsidRPr="004F6728">
        <w:rPr>
          <w:sz w:val="16"/>
          <w:szCs w:val="16"/>
          <w:lang w:val="en-US"/>
        </w:rPr>
        <w:t xml:space="preserve">T. WUYTS, </w:t>
      </w:r>
      <w:proofErr w:type="spellStart"/>
      <w:r w:rsidR="007B634A" w:rsidRPr="004F6728">
        <w:rPr>
          <w:i/>
          <w:iCs/>
          <w:sz w:val="16"/>
          <w:szCs w:val="16"/>
          <w:lang w:val="en-US"/>
        </w:rPr>
        <w:t>Ouderlijk</w:t>
      </w:r>
      <w:proofErr w:type="spellEnd"/>
      <w:r w:rsidR="007B634A" w:rsidRPr="004F6728">
        <w:rPr>
          <w:i/>
          <w:iCs/>
          <w:sz w:val="16"/>
          <w:szCs w:val="16"/>
          <w:lang w:val="en-US"/>
        </w:rPr>
        <w:t xml:space="preserve"> </w:t>
      </w:r>
      <w:proofErr w:type="spellStart"/>
      <w:r w:rsidR="007B634A" w:rsidRPr="004F6728">
        <w:rPr>
          <w:i/>
          <w:iCs/>
          <w:sz w:val="16"/>
          <w:szCs w:val="16"/>
          <w:lang w:val="en-US"/>
        </w:rPr>
        <w:t>gezag</w:t>
      </w:r>
      <w:proofErr w:type="spellEnd"/>
      <w:r w:rsidR="007B634A" w:rsidRPr="004F6728">
        <w:rPr>
          <w:sz w:val="16"/>
          <w:szCs w:val="16"/>
          <w:lang w:val="en-US"/>
        </w:rPr>
        <w:t xml:space="preserve">, </w:t>
      </w:r>
      <w:proofErr w:type="spellStart"/>
      <w:r w:rsidR="007B634A" w:rsidRPr="004F6728">
        <w:rPr>
          <w:sz w:val="16"/>
          <w:szCs w:val="16"/>
          <w:lang w:val="en-US"/>
        </w:rPr>
        <w:t>Antwerpen</w:t>
      </w:r>
      <w:proofErr w:type="spellEnd"/>
      <w:r w:rsidR="007B634A" w:rsidRPr="004F6728">
        <w:rPr>
          <w:sz w:val="16"/>
          <w:szCs w:val="16"/>
          <w:lang w:val="en-US"/>
        </w:rPr>
        <w:t>, Intersentia, 2013, 467</w:t>
      </w:r>
      <w:r w:rsidR="007B634A">
        <w:rPr>
          <w:sz w:val="16"/>
          <w:szCs w:val="16"/>
          <w:lang w:val="en-US"/>
        </w:rPr>
        <w:t>;</w:t>
      </w:r>
      <w:r w:rsidRPr="004F6728">
        <w:rPr>
          <w:sz w:val="16"/>
          <w:szCs w:val="16"/>
          <w:lang w:val="en-US"/>
        </w:rPr>
        <w:t xml:space="preserve"> </w:t>
      </w:r>
      <w:r w:rsidR="007B634A" w:rsidRPr="004F6728">
        <w:rPr>
          <w:sz w:val="16"/>
          <w:szCs w:val="16"/>
          <w:lang w:val="en-US"/>
        </w:rPr>
        <w:t xml:space="preserve">J.M. SCHERPE, </w:t>
      </w:r>
      <w:r w:rsidR="007B634A" w:rsidRPr="004F6728">
        <w:rPr>
          <w:i/>
          <w:sz w:val="16"/>
          <w:szCs w:val="16"/>
          <w:lang w:val="en-US"/>
        </w:rPr>
        <w:t xml:space="preserve">European Family Law Volume III: family law in a European perspective, </w:t>
      </w:r>
      <w:r w:rsidR="007B634A" w:rsidRPr="004F6728">
        <w:rPr>
          <w:sz w:val="16"/>
          <w:szCs w:val="16"/>
          <w:lang w:val="en-US"/>
        </w:rPr>
        <w:t>Cheltenham, Edward Elgar Publishing,</w:t>
      </w:r>
      <w:r w:rsidR="007B634A" w:rsidRPr="004F6728">
        <w:rPr>
          <w:i/>
          <w:sz w:val="16"/>
          <w:szCs w:val="16"/>
          <w:lang w:val="en-US"/>
        </w:rPr>
        <w:t xml:space="preserve"> </w:t>
      </w:r>
      <w:r w:rsidR="007B634A" w:rsidRPr="004F6728">
        <w:rPr>
          <w:sz w:val="16"/>
          <w:szCs w:val="16"/>
          <w:lang w:val="en-US"/>
        </w:rPr>
        <w:t>2016, 216-217</w:t>
      </w:r>
      <w:r w:rsidR="007B634A">
        <w:rPr>
          <w:sz w:val="16"/>
          <w:szCs w:val="16"/>
          <w:lang w:val="en-US"/>
        </w:rPr>
        <w:t xml:space="preserve">; </w:t>
      </w:r>
      <w:r w:rsidR="007B634A" w:rsidRPr="004F6728">
        <w:rPr>
          <w:sz w:val="16"/>
          <w:szCs w:val="16"/>
          <w:lang w:val="en-US"/>
        </w:rPr>
        <w:t xml:space="preserve">U. CERULUS, </w:t>
      </w:r>
      <w:proofErr w:type="spellStart"/>
      <w:r w:rsidR="007B634A" w:rsidRPr="004F6728">
        <w:rPr>
          <w:i/>
          <w:iCs/>
          <w:sz w:val="16"/>
          <w:szCs w:val="16"/>
          <w:lang w:val="en-US"/>
        </w:rPr>
        <w:t>Een</w:t>
      </w:r>
      <w:proofErr w:type="spellEnd"/>
      <w:r w:rsidR="007B634A" w:rsidRPr="004F6728">
        <w:rPr>
          <w:i/>
          <w:iCs/>
          <w:sz w:val="16"/>
          <w:szCs w:val="16"/>
          <w:lang w:val="en-US"/>
        </w:rPr>
        <w:t xml:space="preserve"> </w:t>
      </w:r>
      <w:proofErr w:type="spellStart"/>
      <w:r w:rsidR="007B634A" w:rsidRPr="004F6728">
        <w:rPr>
          <w:i/>
          <w:iCs/>
          <w:sz w:val="16"/>
          <w:szCs w:val="16"/>
          <w:lang w:val="en-US"/>
        </w:rPr>
        <w:t>statuut</w:t>
      </w:r>
      <w:proofErr w:type="spellEnd"/>
      <w:r w:rsidR="007B634A" w:rsidRPr="004F6728">
        <w:rPr>
          <w:i/>
          <w:iCs/>
          <w:sz w:val="16"/>
          <w:szCs w:val="16"/>
          <w:lang w:val="en-US"/>
        </w:rPr>
        <w:t xml:space="preserve"> </w:t>
      </w:r>
      <w:proofErr w:type="spellStart"/>
      <w:r w:rsidR="007B634A" w:rsidRPr="004F6728">
        <w:rPr>
          <w:i/>
          <w:iCs/>
          <w:sz w:val="16"/>
          <w:szCs w:val="16"/>
          <w:lang w:val="en-US"/>
        </w:rPr>
        <w:t>voor</w:t>
      </w:r>
      <w:proofErr w:type="spellEnd"/>
      <w:r w:rsidR="007B634A" w:rsidRPr="004F6728">
        <w:rPr>
          <w:i/>
          <w:iCs/>
          <w:sz w:val="16"/>
          <w:szCs w:val="16"/>
          <w:lang w:val="en-US"/>
        </w:rPr>
        <w:t xml:space="preserve"> de </w:t>
      </w:r>
      <w:proofErr w:type="spellStart"/>
      <w:r w:rsidR="007B634A" w:rsidRPr="004F6728">
        <w:rPr>
          <w:i/>
          <w:iCs/>
          <w:sz w:val="16"/>
          <w:szCs w:val="16"/>
          <w:lang w:val="en-US"/>
        </w:rPr>
        <w:t>zorgouder</w:t>
      </w:r>
      <w:proofErr w:type="spellEnd"/>
      <w:r w:rsidR="007B634A" w:rsidRPr="004F6728">
        <w:rPr>
          <w:i/>
          <w:iCs/>
          <w:sz w:val="16"/>
          <w:szCs w:val="16"/>
          <w:lang w:val="en-US"/>
        </w:rPr>
        <w:t xml:space="preserve"> in het </w:t>
      </w:r>
      <w:proofErr w:type="spellStart"/>
      <w:r w:rsidR="007B634A" w:rsidRPr="004F6728">
        <w:rPr>
          <w:i/>
          <w:iCs/>
          <w:sz w:val="16"/>
          <w:szCs w:val="16"/>
          <w:lang w:val="en-US"/>
        </w:rPr>
        <w:t>licht</w:t>
      </w:r>
      <w:proofErr w:type="spellEnd"/>
      <w:r w:rsidR="007B634A" w:rsidRPr="004F6728">
        <w:rPr>
          <w:i/>
          <w:iCs/>
          <w:sz w:val="16"/>
          <w:szCs w:val="16"/>
          <w:lang w:val="en-US"/>
        </w:rPr>
        <w:t xml:space="preserve"> van de </w:t>
      </w:r>
      <w:proofErr w:type="spellStart"/>
      <w:r w:rsidR="007B634A" w:rsidRPr="004F6728">
        <w:rPr>
          <w:i/>
          <w:iCs/>
          <w:sz w:val="16"/>
          <w:szCs w:val="16"/>
          <w:lang w:val="en-US"/>
        </w:rPr>
        <w:t>grondrechtenbescherming</w:t>
      </w:r>
      <w:proofErr w:type="spellEnd"/>
      <w:r w:rsidR="007B634A" w:rsidRPr="004F6728">
        <w:rPr>
          <w:sz w:val="16"/>
          <w:szCs w:val="16"/>
          <w:lang w:val="en-US"/>
        </w:rPr>
        <w:t xml:space="preserve">, </w:t>
      </w:r>
      <w:proofErr w:type="spellStart"/>
      <w:r w:rsidR="007B634A" w:rsidRPr="004F6728">
        <w:rPr>
          <w:sz w:val="16"/>
          <w:szCs w:val="16"/>
          <w:lang w:val="en-US"/>
        </w:rPr>
        <w:t>Brugge</w:t>
      </w:r>
      <w:proofErr w:type="spellEnd"/>
      <w:r w:rsidR="007B634A" w:rsidRPr="004F6728">
        <w:rPr>
          <w:sz w:val="16"/>
          <w:szCs w:val="16"/>
          <w:lang w:val="en-US"/>
        </w:rPr>
        <w:t>, die Keure, 2019, 172-173</w:t>
      </w:r>
      <w:r w:rsidR="007B634A">
        <w:rPr>
          <w:sz w:val="16"/>
          <w:szCs w:val="16"/>
          <w:lang w:val="en-US"/>
        </w:rPr>
        <w:t xml:space="preserve">; </w:t>
      </w:r>
      <w:r w:rsidRPr="004F6728">
        <w:rPr>
          <w:sz w:val="16"/>
          <w:szCs w:val="16"/>
          <w:lang w:val="en-US"/>
        </w:rPr>
        <w:t>G. GONZALEZ, “</w:t>
      </w:r>
      <w:proofErr w:type="spellStart"/>
      <w:r w:rsidRPr="004F6728">
        <w:rPr>
          <w:sz w:val="16"/>
          <w:szCs w:val="16"/>
          <w:lang w:val="en-US"/>
        </w:rPr>
        <w:t>L’incertaine</w:t>
      </w:r>
      <w:proofErr w:type="spellEnd"/>
      <w:r w:rsidRPr="004F6728">
        <w:rPr>
          <w:sz w:val="16"/>
          <w:szCs w:val="16"/>
          <w:lang w:val="en-US"/>
        </w:rPr>
        <w:t xml:space="preserve"> </w:t>
      </w:r>
      <w:proofErr w:type="spellStart"/>
      <w:r w:rsidRPr="004F6728">
        <w:rPr>
          <w:sz w:val="16"/>
          <w:szCs w:val="16"/>
          <w:lang w:val="en-US"/>
        </w:rPr>
        <w:t>hiérarchie</w:t>
      </w:r>
      <w:proofErr w:type="spellEnd"/>
      <w:r w:rsidRPr="004F6728">
        <w:rPr>
          <w:sz w:val="16"/>
          <w:szCs w:val="16"/>
          <w:lang w:val="en-US"/>
        </w:rPr>
        <w:t xml:space="preserve"> des </w:t>
      </w:r>
      <w:proofErr w:type="spellStart"/>
      <w:r w:rsidRPr="004F6728">
        <w:rPr>
          <w:sz w:val="16"/>
          <w:szCs w:val="16"/>
          <w:lang w:val="en-US"/>
        </w:rPr>
        <w:t>intérêts</w:t>
      </w:r>
      <w:proofErr w:type="spellEnd"/>
      <w:r w:rsidRPr="004F6728">
        <w:rPr>
          <w:sz w:val="16"/>
          <w:szCs w:val="16"/>
          <w:lang w:val="en-US"/>
        </w:rPr>
        <w:t xml:space="preserve"> en </w:t>
      </w:r>
      <w:proofErr w:type="spellStart"/>
      <w:r w:rsidRPr="004F6728">
        <w:rPr>
          <w:sz w:val="16"/>
          <w:szCs w:val="16"/>
          <w:lang w:val="en-US"/>
        </w:rPr>
        <w:t>conflit</w:t>
      </w:r>
      <w:proofErr w:type="spellEnd"/>
      <w:r w:rsidRPr="004F6728">
        <w:rPr>
          <w:sz w:val="16"/>
          <w:szCs w:val="16"/>
          <w:lang w:val="en-US"/>
        </w:rPr>
        <w:t xml:space="preserve">” in F. SUDRE (ed.), </w:t>
      </w:r>
      <w:r w:rsidRPr="004F6728">
        <w:rPr>
          <w:i/>
          <w:iCs/>
          <w:sz w:val="16"/>
          <w:szCs w:val="16"/>
          <w:lang w:val="en-US"/>
        </w:rPr>
        <w:t xml:space="preserve">Les </w:t>
      </w:r>
      <w:proofErr w:type="spellStart"/>
      <w:r w:rsidRPr="004F6728">
        <w:rPr>
          <w:i/>
          <w:iCs/>
          <w:sz w:val="16"/>
          <w:szCs w:val="16"/>
          <w:lang w:val="en-US"/>
        </w:rPr>
        <w:t>conflits</w:t>
      </w:r>
      <w:proofErr w:type="spellEnd"/>
      <w:r w:rsidRPr="004F6728">
        <w:rPr>
          <w:i/>
          <w:iCs/>
          <w:sz w:val="16"/>
          <w:szCs w:val="16"/>
          <w:lang w:val="en-US"/>
        </w:rPr>
        <w:t xml:space="preserve"> de droits dans la jurisprudence de la </w:t>
      </w:r>
      <w:proofErr w:type="spellStart"/>
      <w:r w:rsidRPr="004F6728">
        <w:rPr>
          <w:i/>
          <w:iCs/>
          <w:sz w:val="16"/>
          <w:szCs w:val="16"/>
          <w:lang w:val="en-US"/>
        </w:rPr>
        <w:t>Cour</w:t>
      </w:r>
      <w:proofErr w:type="spellEnd"/>
      <w:r w:rsidRPr="004F6728">
        <w:rPr>
          <w:i/>
          <w:iCs/>
          <w:sz w:val="16"/>
          <w:szCs w:val="16"/>
          <w:lang w:val="en-US"/>
        </w:rPr>
        <w:t xml:space="preserve"> </w:t>
      </w:r>
      <w:proofErr w:type="spellStart"/>
      <w:r w:rsidRPr="004F6728">
        <w:rPr>
          <w:i/>
          <w:iCs/>
          <w:sz w:val="16"/>
          <w:szCs w:val="16"/>
          <w:lang w:val="en-US"/>
        </w:rPr>
        <w:t>européenne</w:t>
      </w:r>
      <w:proofErr w:type="spellEnd"/>
      <w:r w:rsidRPr="004F6728">
        <w:rPr>
          <w:i/>
          <w:iCs/>
          <w:sz w:val="16"/>
          <w:szCs w:val="16"/>
          <w:lang w:val="en-US"/>
        </w:rPr>
        <w:t xml:space="preserve"> des droits de </w:t>
      </w:r>
      <w:proofErr w:type="spellStart"/>
      <w:r w:rsidRPr="004F6728">
        <w:rPr>
          <w:i/>
          <w:iCs/>
          <w:sz w:val="16"/>
          <w:szCs w:val="16"/>
          <w:lang w:val="en-US"/>
        </w:rPr>
        <w:t>l’homme</w:t>
      </w:r>
      <w:proofErr w:type="spellEnd"/>
      <w:r w:rsidRPr="004F6728">
        <w:rPr>
          <w:i/>
          <w:iCs/>
          <w:sz w:val="16"/>
          <w:szCs w:val="16"/>
          <w:lang w:val="en-US"/>
        </w:rPr>
        <w:t>,</w:t>
      </w:r>
      <w:r w:rsidRPr="004F6728">
        <w:rPr>
          <w:sz w:val="16"/>
          <w:szCs w:val="16"/>
          <w:lang w:val="en-US"/>
        </w:rPr>
        <w:t xml:space="preserve"> </w:t>
      </w:r>
      <w:proofErr w:type="spellStart"/>
      <w:r w:rsidRPr="004F6728">
        <w:rPr>
          <w:sz w:val="16"/>
          <w:szCs w:val="16"/>
          <w:lang w:val="en-US"/>
        </w:rPr>
        <w:t>Limal</w:t>
      </w:r>
      <w:proofErr w:type="spellEnd"/>
      <w:r w:rsidRPr="004F6728">
        <w:rPr>
          <w:sz w:val="16"/>
          <w:szCs w:val="16"/>
          <w:lang w:val="en-US"/>
        </w:rPr>
        <w:t>, Anthemis, 2014, 236</w:t>
      </w:r>
      <w:r w:rsidR="007C3591" w:rsidRPr="004F6728">
        <w:rPr>
          <w:sz w:val="16"/>
          <w:szCs w:val="16"/>
          <w:lang w:val="en-US"/>
        </w:rPr>
        <w:t xml:space="preserve">; </w:t>
      </w:r>
      <w:r w:rsidRPr="004F6728">
        <w:rPr>
          <w:sz w:val="16"/>
          <w:szCs w:val="16"/>
          <w:lang w:val="en-US"/>
        </w:rPr>
        <w:t>S. SAROLEA, “</w:t>
      </w:r>
      <w:proofErr w:type="spellStart"/>
      <w:r w:rsidRPr="004F6728">
        <w:rPr>
          <w:sz w:val="16"/>
          <w:szCs w:val="16"/>
          <w:lang w:val="en-US"/>
        </w:rPr>
        <w:t>L’intérêt</w:t>
      </w:r>
      <w:proofErr w:type="spellEnd"/>
      <w:r w:rsidRPr="004F6728">
        <w:rPr>
          <w:sz w:val="16"/>
          <w:szCs w:val="16"/>
          <w:lang w:val="en-US"/>
        </w:rPr>
        <w:t xml:space="preserve"> </w:t>
      </w:r>
      <w:proofErr w:type="spellStart"/>
      <w:r w:rsidRPr="004F6728">
        <w:rPr>
          <w:sz w:val="16"/>
          <w:szCs w:val="16"/>
          <w:lang w:val="en-US"/>
        </w:rPr>
        <w:t>supérieur</w:t>
      </w:r>
      <w:proofErr w:type="spellEnd"/>
      <w:r w:rsidRPr="004F6728">
        <w:rPr>
          <w:sz w:val="16"/>
          <w:szCs w:val="16"/>
          <w:lang w:val="en-US"/>
        </w:rPr>
        <w:t xml:space="preserve"> de </w:t>
      </w:r>
      <w:proofErr w:type="spellStart"/>
      <w:r w:rsidRPr="004F6728">
        <w:rPr>
          <w:sz w:val="16"/>
          <w:szCs w:val="16"/>
          <w:lang w:val="en-US"/>
        </w:rPr>
        <w:t>l’enfant</w:t>
      </w:r>
      <w:proofErr w:type="spellEnd"/>
      <w:r w:rsidRPr="004F6728">
        <w:rPr>
          <w:sz w:val="16"/>
          <w:szCs w:val="16"/>
          <w:lang w:val="en-US"/>
        </w:rPr>
        <w:t xml:space="preserve"> dans les affaires de droit international </w:t>
      </w:r>
      <w:proofErr w:type="spellStart"/>
      <w:r w:rsidRPr="004F6728">
        <w:rPr>
          <w:sz w:val="16"/>
          <w:szCs w:val="16"/>
          <w:lang w:val="en-US"/>
        </w:rPr>
        <w:t>privé</w:t>
      </w:r>
      <w:proofErr w:type="spellEnd"/>
      <w:r w:rsidRPr="004F6728">
        <w:rPr>
          <w:sz w:val="16"/>
          <w:szCs w:val="16"/>
          <w:lang w:val="en-US"/>
        </w:rPr>
        <w:t xml:space="preserve"> </w:t>
      </w:r>
      <w:proofErr w:type="spellStart"/>
      <w:r w:rsidRPr="004F6728">
        <w:rPr>
          <w:sz w:val="16"/>
          <w:szCs w:val="16"/>
          <w:lang w:val="en-US"/>
        </w:rPr>
        <w:t>devant</w:t>
      </w:r>
      <w:proofErr w:type="spellEnd"/>
      <w:r w:rsidRPr="004F6728">
        <w:rPr>
          <w:sz w:val="16"/>
          <w:szCs w:val="16"/>
          <w:lang w:val="en-US"/>
        </w:rPr>
        <w:t xml:space="preserve"> la </w:t>
      </w:r>
      <w:proofErr w:type="spellStart"/>
      <w:r w:rsidRPr="004F6728">
        <w:rPr>
          <w:sz w:val="16"/>
          <w:szCs w:val="16"/>
          <w:lang w:val="en-US"/>
        </w:rPr>
        <w:t>Cour</w:t>
      </w:r>
      <w:proofErr w:type="spellEnd"/>
      <w:r w:rsidRPr="004F6728">
        <w:rPr>
          <w:sz w:val="16"/>
          <w:szCs w:val="16"/>
          <w:lang w:val="en-US"/>
        </w:rPr>
        <w:t xml:space="preserve"> </w:t>
      </w:r>
      <w:proofErr w:type="spellStart"/>
      <w:r w:rsidRPr="004F6728">
        <w:rPr>
          <w:sz w:val="16"/>
          <w:szCs w:val="16"/>
          <w:lang w:val="en-US"/>
        </w:rPr>
        <w:t>européenne</w:t>
      </w:r>
      <w:proofErr w:type="spellEnd"/>
      <w:r w:rsidRPr="004F6728">
        <w:rPr>
          <w:sz w:val="16"/>
          <w:szCs w:val="16"/>
          <w:lang w:val="en-US"/>
        </w:rPr>
        <w:t xml:space="preserve"> des droits de </w:t>
      </w:r>
      <w:proofErr w:type="spellStart"/>
      <w:r w:rsidRPr="004F6728">
        <w:rPr>
          <w:sz w:val="16"/>
          <w:szCs w:val="16"/>
          <w:lang w:val="en-US"/>
        </w:rPr>
        <w:t>l’homme</w:t>
      </w:r>
      <w:proofErr w:type="spellEnd"/>
      <w:r w:rsidRPr="004F6728">
        <w:rPr>
          <w:sz w:val="16"/>
          <w:szCs w:val="16"/>
          <w:lang w:val="en-US"/>
        </w:rPr>
        <w:t xml:space="preserve">” in L. BARNICH </w:t>
      </w:r>
      <w:proofErr w:type="spellStart"/>
      <w:r w:rsidRPr="004F6728">
        <w:rPr>
          <w:sz w:val="16"/>
          <w:szCs w:val="16"/>
          <w:lang w:val="en-US"/>
        </w:rPr>
        <w:t>e.a.</w:t>
      </w:r>
      <w:proofErr w:type="spellEnd"/>
      <w:r w:rsidRPr="004F6728">
        <w:rPr>
          <w:sz w:val="16"/>
          <w:szCs w:val="16"/>
          <w:lang w:val="en-US"/>
        </w:rPr>
        <w:t xml:space="preserve"> (eds.), </w:t>
      </w:r>
      <w:r w:rsidRPr="004F6728">
        <w:rPr>
          <w:i/>
          <w:iCs/>
          <w:sz w:val="16"/>
          <w:szCs w:val="16"/>
          <w:lang w:val="en-US"/>
        </w:rPr>
        <w:t xml:space="preserve">Le droit des relations </w:t>
      </w:r>
      <w:proofErr w:type="spellStart"/>
      <w:r w:rsidRPr="004F6728">
        <w:rPr>
          <w:i/>
          <w:iCs/>
          <w:sz w:val="16"/>
          <w:szCs w:val="16"/>
          <w:lang w:val="en-US"/>
        </w:rPr>
        <w:t>familiales</w:t>
      </w:r>
      <w:proofErr w:type="spellEnd"/>
      <w:r w:rsidRPr="004F6728">
        <w:rPr>
          <w:i/>
          <w:iCs/>
          <w:sz w:val="16"/>
          <w:szCs w:val="16"/>
          <w:lang w:val="en-US"/>
        </w:rPr>
        <w:t xml:space="preserve"> </w:t>
      </w:r>
      <w:proofErr w:type="spellStart"/>
      <w:r w:rsidRPr="004F6728">
        <w:rPr>
          <w:i/>
          <w:iCs/>
          <w:sz w:val="16"/>
          <w:szCs w:val="16"/>
          <w:lang w:val="en-US"/>
        </w:rPr>
        <w:t>internationales</w:t>
      </w:r>
      <w:proofErr w:type="spellEnd"/>
      <w:r w:rsidRPr="004F6728">
        <w:rPr>
          <w:i/>
          <w:iCs/>
          <w:sz w:val="16"/>
          <w:szCs w:val="16"/>
          <w:lang w:val="en-US"/>
        </w:rPr>
        <w:t xml:space="preserve"> à la </w:t>
      </w:r>
      <w:proofErr w:type="spellStart"/>
      <w:r w:rsidRPr="004F6728">
        <w:rPr>
          <w:i/>
          <w:iCs/>
          <w:sz w:val="16"/>
          <w:szCs w:val="16"/>
          <w:lang w:val="en-US"/>
        </w:rPr>
        <w:t>croisée</w:t>
      </w:r>
      <w:proofErr w:type="spellEnd"/>
      <w:r w:rsidRPr="004F6728">
        <w:rPr>
          <w:i/>
          <w:iCs/>
          <w:sz w:val="16"/>
          <w:szCs w:val="16"/>
          <w:lang w:val="en-US"/>
        </w:rPr>
        <w:t xml:space="preserve"> des chemins</w:t>
      </w:r>
      <w:r w:rsidRPr="004F6728">
        <w:rPr>
          <w:sz w:val="16"/>
          <w:szCs w:val="16"/>
          <w:lang w:val="en-US"/>
        </w:rPr>
        <w:t xml:space="preserve">, Brussel, </w:t>
      </w:r>
      <w:proofErr w:type="spellStart"/>
      <w:r w:rsidRPr="004F6728">
        <w:rPr>
          <w:sz w:val="16"/>
          <w:szCs w:val="16"/>
          <w:lang w:val="en-US"/>
        </w:rPr>
        <w:t>Bruylant</w:t>
      </w:r>
      <w:proofErr w:type="spellEnd"/>
      <w:r w:rsidRPr="004F6728">
        <w:rPr>
          <w:sz w:val="16"/>
          <w:szCs w:val="16"/>
          <w:lang w:val="en-US"/>
        </w:rPr>
        <w:t>, 2016, 113.</w:t>
      </w:r>
    </w:p>
  </w:footnote>
  <w:footnote w:id="186">
    <w:p w14:paraId="63619268" w14:textId="79B8BD1D"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M. FREEMAN, </w:t>
      </w:r>
      <w:r w:rsidRPr="004F6728">
        <w:rPr>
          <w:i/>
          <w:iCs/>
          <w:sz w:val="16"/>
          <w:szCs w:val="16"/>
          <w:lang w:val="en-US"/>
        </w:rPr>
        <w:t>A Commentary on the United Nations Convention on the Rights of the Child / Article 3, The Best interests of the Child</w:t>
      </w:r>
      <w:r w:rsidRPr="004F6728">
        <w:rPr>
          <w:sz w:val="16"/>
          <w:szCs w:val="16"/>
          <w:lang w:val="en-US"/>
        </w:rPr>
        <w:t xml:space="preserve">, Leiden, </w:t>
      </w:r>
      <w:proofErr w:type="spellStart"/>
      <w:r w:rsidRPr="004F6728">
        <w:rPr>
          <w:sz w:val="16"/>
          <w:szCs w:val="16"/>
          <w:lang w:val="en-US"/>
        </w:rPr>
        <w:t>Martinus</w:t>
      </w:r>
      <w:proofErr w:type="spellEnd"/>
      <w:r w:rsidRPr="004F6728">
        <w:rPr>
          <w:sz w:val="16"/>
          <w:szCs w:val="16"/>
          <w:lang w:val="en-US"/>
        </w:rPr>
        <w:t xml:space="preserve"> </w:t>
      </w:r>
      <w:proofErr w:type="spellStart"/>
      <w:r w:rsidRPr="004F6728">
        <w:rPr>
          <w:sz w:val="16"/>
          <w:szCs w:val="16"/>
          <w:lang w:val="en-US"/>
        </w:rPr>
        <w:t>Nijhoff</w:t>
      </w:r>
      <w:proofErr w:type="spellEnd"/>
      <w:r w:rsidRPr="004F6728">
        <w:rPr>
          <w:sz w:val="16"/>
          <w:szCs w:val="16"/>
          <w:lang w:val="en-US"/>
        </w:rPr>
        <w:t xml:space="preserve"> Publishers, 2007, 2-3 en 27-28; E. DE KEZEL, “Het begrip ‘Het </w:t>
      </w:r>
      <w:proofErr w:type="spellStart"/>
      <w:r w:rsidRPr="004F6728">
        <w:rPr>
          <w:sz w:val="16"/>
          <w:szCs w:val="16"/>
          <w:lang w:val="en-US"/>
        </w:rPr>
        <w:t>belang</w:t>
      </w:r>
      <w:proofErr w:type="spellEnd"/>
      <w:r w:rsidRPr="004F6728">
        <w:rPr>
          <w:sz w:val="16"/>
          <w:szCs w:val="16"/>
          <w:lang w:val="en-US"/>
        </w:rPr>
        <w:t xml:space="preserve"> van het kind’”, </w:t>
      </w:r>
      <w:r w:rsidRPr="004F6728">
        <w:rPr>
          <w:i/>
          <w:iCs/>
          <w:sz w:val="16"/>
          <w:szCs w:val="16"/>
          <w:lang w:val="en-US"/>
        </w:rPr>
        <w:t>RW</w:t>
      </w:r>
      <w:r w:rsidRPr="004F6728">
        <w:rPr>
          <w:sz w:val="16"/>
          <w:szCs w:val="16"/>
          <w:lang w:val="en-US"/>
        </w:rPr>
        <w:t xml:space="preserve"> 1998-99, nr. 32, </w:t>
      </w:r>
      <w:r w:rsidR="001D574A">
        <w:rPr>
          <w:sz w:val="16"/>
          <w:szCs w:val="16"/>
          <w:lang w:val="en-US"/>
        </w:rPr>
        <w:t xml:space="preserve">(1163) </w:t>
      </w:r>
      <w:r w:rsidRPr="004F6728">
        <w:rPr>
          <w:sz w:val="16"/>
          <w:szCs w:val="16"/>
          <w:lang w:val="en-US"/>
        </w:rPr>
        <w:t>1164.</w:t>
      </w:r>
    </w:p>
  </w:footnote>
  <w:footnote w:id="187">
    <w:p w14:paraId="1857974B" w14:textId="432A2BDB"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U. KILKELLY, “The best of both worlds for children’s rights? Interpreting the European Convention on Human Rights in the light of the UN Convention on the Rights of the Child”, </w:t>
      </w:r>
      <w:r w:rsidRPr="004F6728">
        <w:rPr>
          <w:i/>
          <w:iCs/>
          <w:sz w:val="16"/>
          <w:szCs w:val="16"/>
          <w:lang w:val="en-US"/>
        </w:rPr>
        <w:t>Human Rights Quarterly</w:t>
      </w:r>
      <w:r w:rsidRPr="004F6728">
        <w:rPr>
          <w:sz w:val="16"/>
          <w:szCs w:val="16"/>
          <w:lang w:val="en-US"/>
        </w:rPr>
        <w:t xml:space="preserve"> 2001, </w:t>
      </w:r>
      <w:r w:rsidR="001D574A">
        <w:rPr>
          <w:sz w:val="16"/>
          <w:szCs w:val="16"/>
          <w:lang w:val="en-US"/>
        </w:rPr>
        <w:t xml:space="preserve">(308) </w:t>
      </w:r>
      <w:r w:rsidRPr="004F6728">
        <w:rPr>
          <w:sz w:val="16"/>
          <w:szCs w:val="16"/>
          <w:lang w:val="en-US"/>
        </w:rPr>
        <w:t>313.</w:t>
      </w:r>
    </w:p>
  </w:footnote>
  <w:footnote w:id="188">
    <w:p w14:paraId="69BA3D70" w14:textId="77777777"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T. WUYTS, </w:t>
      </w:r>
      <w:r w:rsidRPr="0086280A">
        <w:rPr>
          <w:i/>
          <w:iCs/>
          <w:sz w:val="16"/>
          <w:szCs w:val="16"/>
          <w:lang w:val="nl-NL"/>
        </w:rPr>
        <w:t>Ouderlijk gezag</w:t>
      </w:r>
      <w:r w:rsidRPr="0086280A">
        <w:rPr>
          <w:sz w:val="16"/>
          <w:szCs w:val="16"/>
          <w:lang w:val="nl-NL"/>
        </w:rPr>
        <w:t>, Antwerpen, Intersentia, 2013, 462 en 458-459.</w:t>
      </w:r>
    </w:p>
  </w:footnote>
  <w:footnote w:id="189">
    <w:p w14:paraId="28D3F2DE" w14:textId="5D892536"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4F6728">
        <w:rPr>
          <w:sz w:val="16"/>
          <w:szCs w:val="16"/>
          <w:lang w:val="en-US"/>
        </w:rPr>
        <w:t xml:space="preserve"> EHRM 22 </w:t>
      </w:r>
      <w:proofErr w:type="spellStart"/>
      <w:r w:rsidRPr="004F6728">
        <w:rPr>
          <w:sz w:val="16"/>
          <w:szCs w:val="16"/>
          <w:lang w:val="en-US"/>
        </w:rPr>
        <w:t>april</w:t>
      </w:r>
      <w:proofErr w:type="spellEnd"/>
      <w:r w:rsidRPr="004F6728">
        <w:rPr>
          <w:sz w:val="16"/>
          <w:szCs w:val="16"/>
          <w:lang w:val="en-US"/>
        </w:rPr>
        <w:t xml:space="preserve"> 1997, nr. 75/1995/581/667, </w:t>
      </w:r>
      <w:r w:rsidRPr="004F6728">
        <w:rPr>
          <w:i/>
          <w:iCs/>
          <w:sz w:val="16"/>
          <w:szCs w:val="16"/>
          <w:lang w:val="en-US"/>
        </w:rPr>
        <w:t>X.Y. en Z./V.K.</w:t>
      </w:r>
      <w:r w:rsidRPr="004F6728">
        <w:rPr>
          <w:sz w:val="16"/>
          <w:szCs w:val="16"/>
          <w:lang w:val="en-US"/>
        </w:rPr>
        <w:t xml:space="preserve">, §47: “First, the Court observes that the community as a whole has an interest in maintaining a coherent system of family law which places the best interests of the child at the forefront (…)”; EHRM 13 </w:t>
      </w:r>
      <w:proofErr w:type="spellStart"/>
      <w:r w:rsidRPr="004F6728">
        <w:rPr>
          <w:sz w:val="16"/>
          <w:szCs w:val="16"/>
          <w:lang w:val="en-US"/>
        </w:rPr>
        <w:t>juli</w:t>
      </w:r>
      <w:proofErr w:type="spellEnd"/>
      <w:r w:rsidRPr="004F6728">
        <w:rPr>
          <w:sz w:val="16"/>
          <w:szCs w:val="16"/>
          <w:lang w:val="en-US"/>
        </w:rPr>
        <w:t xml:space="preserve"> 2000, nr. 25735/94, </w:t>
      </w:r>
      <w:proofErr w:type="spellStart"/>
      <w:r w:rsidRPr="004F6728">
        <w:rPr>
          <w:i/>
          <w:sz w:val="16"/>
          <w:szCs w:val="16"/>
          <w:lang w:val="en-US"/>
        </w:rPr>
        <w:t>Elsholz</w:t>
      </w:r>
      <w:proofErr w:type="spellEnd"/>
      <w:r w:rsidRPr="004F6728">
        <w:rPr>
          <w:i/>
          <w:sz w:val="16"/>
          <w:szCs w:val="16"/>
          <w:lang w:val="en-US"/>
        </w:rPr>
        <w:t>/</w:t>
      </w:r>
      <w:proofErr w:type="spellStart"/>
      <w:r w:rsidRPr="004F6728">
        <w:rPr>
          <w:i/>
          <w:sz w:val="16"/>
          <w:szCs w:val="16"/>
          <w:lang w:val="en-US"/>
        </w:rPr>
        <w:t>Duitsland</w:t>
      </w:r>
      <w:proofErr w:type="spellEnd"/>
      <w:r w:rsidRPr="004F6728">
        <w:rPr>
          <w:i/>
          <w:sz w:val="16"/>
          <w:szCs w:val="16"/>
          <w:lang w:val="en-US"/>
        </w:rPr>
        <w:t xml:space="preserve">, </w:t>
      </w:r>
      <w:r w:rsidRPr="004F6728">
        <w:rPr>
          <w:iCs/>
          <w:sz w:val="16"/>
          <w:szCs w:val="16"/>
          <w:lang w:val="en-US"/>
        </w:rPr>
        <w:t>§49-50</w:t>
      </w:r>
      <w:r w:rsidRPr="004F6728">
        <w:rPr>
          <w:sz w:val="16"/>
          <w:szCs w:val="16"/>
          <w:lang w:val="en-US"/>
        </w:rPr>
        <w:t xml:space="preserve">; EHRM 7 </w:t>
      </w:r>
      <w:proofErr w:type="spellStart"/>
      <w:r w:rsidRPr="004F6728">
        <w:rPr>
          <w:sz w:val="16"/>
          <w:szCs w:val="16"/>
          <w:lang w:val="en-US"/>
        </w:rPr>
        <w:t>februari</w:t>
      </w:r>
      <w:proofErr w:type="spellEnd"/>
      <w:r w:rsidRPr="004F6728">
        <w:rPr>
          <w:sz w:val="16"/>
          <w:szCs w:val="16"/>
          <w:lang w:val="en-US"/>
        </w:rPr>
        <w:t xml:space="preserve"> 2002, nr. 53176/99, </w:t>
      </w:r>
      <w:proofErr w:type="spellStart"/>
      <w:r w:rsidRPr="004F6728">
        <w:rPr>
          <w:i/>
          <w:iCs/>
          <w:sz w:val="16"/>
          <w:szCs w:val="16"/>
          <w:lang w:val="en-US"/>
        </w:rPr>
        <w:t>Mikulic</w:t>
      </w:r>
      <w:proofErr w:type="spellEnd"/>
      <w:r w:rsidRPr="004F6728">
        <w:rPr>
          <w:i/>
          <w:iCs/>
          <w:sz w:val="16"/>
          <w:szCs w:val="16"/>
          <w:lang w:val="en-US"/>
        </w:rPr>
        <w:t>/</w:t>
      </w:r>
      <w:proofErr w:type="spellStart"/>
      <w:r w:rsidRPr="004F6728">
        <w:rPr>
          <w:i/>
          <w:iCs/>
          <w:sz w:val="16"/>
          <w:szCs w:val="16"/>
          <w:lang w:val="en-US"/>
        </w:rPr>
        <w:t>Kroatië</w:t>
      </w:r>
      <w:proofErr w:type="spellEnd"/>
      <w:r w:rsidRPr="004F6728">
        <w:rPr>
          <w:sz w:val="16"/>
          <w:szCs w:val="16"/>
          <w:lang w:val="en-US"/>
        </w:rPr>
        <w:t xml:space="preserve">, §65: “(…) courts are required to have regard to the basic principle of the child’s interests”; EHRM 8 </w:t>
      </w:r>
      <w:proofErr w:type="spellStart"/>
      <w:r w:rsidRPr="004F6728">
        <w:rPr>
          <w:sz w:val="16"/>
          <w:szCs w:val="16"/>
          <w:lang w:val="en-US"/>
        </w:rPr>
        <w:t>juli</w:t>
      </w:r>
      <w:proofErr w:type="spellEnd"/>
      <w:r w:rsidRPr="004F6728">
        <w:rPr>
          <w:sz w:val="16"/>
          <w:szCs w:val="16"/>
          <w:lang w:val="en-US"/>
        </w:rPr>
        <w:t xml:space="preserve"> 2003, nr. 31871/96, </w:t>
      </w:r>
      <w:r w:rsidRPr="004F6728">
        <w:rPr>
          <w:i/>
          <w:iCs/>
          <w:sz w:val="16"/>
          <w:szCs w:val="16"/>
          <w:lang w:val="en-US"/>
        </w:rPr>
        <w:t>Sommerfeld/</w:t>
      </w:r>
      <w:proofErr w:type="spellStart"/>
      <w:r w:rsidRPr="004F6728">
        <w:rPr>
          <w:i/>
          <w:iCs/>
          <w:sz w:val="16"/>
          <w:szCs w:val="16"/>
          <w:lang w:val="en-US"/>
        </w:rPr>
        <w:t>Duitsland</w:t>
      </w:r>
      <w:proofErr w:type="spellEnd"/>
      <w:r w:rsidRPr="004F6728">
        <w:rPr>
          <w:sz w:val="16"/>
          <w:szCs w:val="16"/>
          <w:lang w:val="en-US"/>
        </w:rPr>
        <w:t>, §39, §49, §62 en §72</w:t>
      </w:r>
      <w:r w:rsidRPr="004F6728">
        <w:rPr>
          <w:i/>
          <w:iCs/>
          <w:sz w:val="16"/>
          <w:szCs w:val="16"/>
          <w:lang w:val="en-US"/>
        </w:rPr>
        <w:t xml:space="preserve">; </w:t>
      </w:r>
      <w:r w:rsidRPr="004F6728">
        <w:rPr>
          <w:sz w:val="16"/>
          <w:szCs w:val="16"/>
          <w:lang w:val="en-US"/>
        </w:rPr>
        <w:t xml:space="preserve">EHRM 6 </w:t>
      </w:r>
      <w:proofErr w:type="spellStart"/>
      <w:r w:rsidRPr="004F6728">
        <w:rPr>
          <w:sz w:val="16"/>
          <w:szCs w:val="16"/>
          <w:lang w:val="en-US"/>
        </w:rPr>
        <w:t>juli</w:t>
      </w:r>
      <w:proofErr w:type="spellEnd"/>
      <w:r w:rsidRPr="004F6728">
        <w:rPr>
          <w:sz w:val="16"/>
          <w:szCs w:val="16"/>
          <w:lang w:val="en-US"/>
        </w:rPr>
        <w:t xml:space="preserve"> 2010, nr. 41615/07, </w:t>
      </w:r>
      <w:proofErr w:type="spellStart"/>
      <w:r w:rsidRPr="004F6728">
        <w:rPr>
          <w:i/>
          <w:iCs/>
          <w:sz w:val="16"/>
          <w:szCs w:val="16"/>
          <w:lang w:val="en-US"/>
        </w:rPr>
        <w:t>Neulinger</w:t>
      </w:r>
      <w:proofErr w:type="spellEnd"/>
      <w:r w:rsidRPr="004F6728">
        <w:rPr>
          <w:i/>
          <w:iCs/>
          <w:sz w:val="16"/>
          <w:szCs w:val="16"/>
          <w:lang w:val="en-US"/>
        </w:rPr>
        <w:t xml:space="preserve"> en </w:t>
      </w:r>
      <w:proofErr w:type="spellStart"/>
      <w:r w:rsidRPr="004F6728">
        <w:rPr>
          <w:i/>
          <w:iCs/>
          <w:sz w:val="16"/>
          <w:szCs w:val="16"/>
          <w:lang w:val="en-US"/>
        </w:rPr>
        <w:t>Shuruk</w:t>
      </w:r>
      <w:proofErr w:type="spellEnd"/>
      <w:r w:rsidRPr="004F6728">
        <w:rPr>
          <w:i/>
          <w:iCs/>
          <w:sz w:val="16"/>
          <w:szCs w:val="16"/>
          <w:lang w:val="en-US"/>
        </w:rPr>
        <w:t>/</w:t>
      </w:r>
      <w:proofErr w:type="spellStart"/>
      <w:r w:rsidRPr="004F6728">
        <w:rPr>
          <w:i/>
          <w:iCs/>
          <w:sz w:val="16"/>
          <w:szCs w:val="16"/>
          <w:lang w:val="en-US"/>
        </w:rPr>
        <w:t>Zwitserland</w:t>
      </w:r>
      <w:proofErr w:type="spellEnd"/>
      <w:r w:rsidRPr="004F6728">
        <w:rPr>
          <w:sz w:val="16"/>
          <w:szCs w:val="16"/>
          <w:lang w:val="en-US"/>
        </w:rPr>
        <w:t xml:space="preserve">, §48-56; EHRM 11 </w:t>
      </w:r>
      <w:proofErr w:type="spellStart"/>
      <w:r w:rsidRPr="004F6728">
        <w:rPr>
          <w:sz w:val="16"/>
          <w:szCs w:val="16"/>
          <w:lang w:val="en-US"/>
        </w:rPr>
        <w:t>juli</w:t>
      </w:r>
      <w:proofErr w:type="spellEnd"/>
      <w:r w:rsidRPr="004F6728">
        <w:rPr>
          <w:sz w:val="16"/>
          <w:szCs w:val="16"/>
          <w:lang w:val="en-US"/>
        </w:rPr>
        <w:t xml:space="preserve"> 2017, nr. 2091/13, </w:t>
      </w:r>
      <w:r w:rsidRPr="004F6728">
        <w:rPr>
          <w:i/>
          <w:iCs/>
          <w:sz w:val="16"/>
          <w:szCs w:val="16"/>
          <w:lang w:val="en-US"/>
        </w:rPr>
        <w:t>M.S./</w:t>
      </w:r>
      <w:proofErr w:type="spellStart"/>
      <w:r w:rsidRPr="004F6728">
        <w:rPr>
          <w:i/>
          <w:iCs/>
          <w:sz w:val="16"/>
          <w:szCs w:val="16"/>
          <w:lang w:val="en-US"/>
        </w:rPr>
        <w:t>Oekraïne</w:t>
      </w:r>
      <w:proofErr w:type="spellEnd"/>
      <w:r w:rsidRPr="004F6728">
        <w:rPr>
          <w:sz w:val="16"/>
          <w:szCs w:val="16"/>
          <w:lang w:val="en-US"/>
        </w:rPr>
        <w:t xml:space="preserve">, §49; EHRM 20 september 2022, nr. 7833/12, </w:t>
      </w:r>
      <w:proofErr w:type="spellStart"/>
      <w:r w:rsidRPr="004F6728">
        <w:rPr>
          <w:i/>
          <w:sz w:val="16"/>
          <w:szCs w:val="16"/>
          <w:lang w:val="en-US"/>
        </w:rPr>
        <w:t>Popadic</w:t>
      </w:r>
      <w:proofErr w:type="spellEnd"/>
      <w:r w:rsidRPr="004F6728">
        <w:rPr>
          <w:i/>
          <w:sz w:val="16"/>
          <w:szCs w:val="16"/>
          <w:lang w:val="en-US"/>
        </w:rPr>
        <w:t>/</w:t>
      </w:r>
      <w:proofErr w:type="spellStart"/>
      <w:r w:rsidRPr="004F6728">
        <w:rPr>
          <w:i/>
          <w:sz w:val="16"/>
          <w:szCs w:val="16"/>
          <w:lang w:val="en-US"/>
        </w:rPr>
        <w:t>Servië</w:t>
      </w:r>
      <w:proofErr w:type="spellEnd"/>
      <w:r w:rsidRPr="004F6728">
        <w:rPr>
          <w:i/>
          <w:sz w:val="16"/>
          <w:szCs w:val="16"/>
          <w:lang w:val="en-US"/>
        </w:rPr>
        <w:t>,</w:t>
      </w:r>
      <w:r w:rsidRPr="004F6728">
        <w:rPr>
          <w:iCs/>
          <w:sz w:val="16"/>
          <w:szCs w:val="16"/>
          <w:lang w:val="en-US"/>
        </w:rPr>
        <w:t xml:space="preserve"> §83; </w:t>
      </w:r>
      <w:r w:rsidRPr="004F6728">
        <w:rPr>
          <w:sz w:val="16"/>
          <w:szCs w:val="16"/>
          <w:lang w:val="en-US"/>
        </w:rPr>
        <w:t xml:space="preserve">T. WUYTS, </w:t>
      </w:r>
      <w:proofErr w:type="spellStart"/>
      <w:r w:rsidRPr="004F6728">
        <w:rPr>
          <w:i/>
          <w:iCs/>
          <w:sz w:val="16"/>
          <w:szCs w:val="16"/>
          <w:lang w:val="en-US"/>
        </w:rPr>
        <w:t>Ouderlijk</w:t>
      </w:r>
      <w:proofErr w:type="spellEnd"/>
      <w:r w:rsidRPr="004F6728">
        <w:rPr>
          <w:i/>
          <w:iCs/>
          <w:sz w:val="16"/>
          <w:szCs w:val="16"/>
          <w:lang w:val="en-US"/>
        </w:rPr>
        <w:t xml:space="preserve"> </w:t>
      </w:r>
      <w:proofErr w:type="spellStart"/>
      <w:r w:rsidRPr="004F6728">
        <w:rPr>
          <w:i/>
          <w:iCs/>
          <w:sz w:val="16"/>
          <w:szCs w:val="16"/>
          <w:lang w:val="en-US"/>
        </w:rPr>
        <w:t>gezag</w:t>
      </w:r>
      <w:proofErr w:type="spellEnd"/>
      <w:r w:rsidRPr="004F6728">
        <w:rPr>
          <w:sz w:val="16"/>
          <w:szCs w:val="16"/>
          <w:lang w:val="en-US"/>
        </w:rPr>
        <w:t xml:space="preserve">, </w:t>
      </w:r>
      <w:proofErr w:type="spellStart"/>
      <w:r w:rsidRPr="004F6728">
        <w:rPr>
          <w:sz w:val="16"/>
          <w:szCs w:val="16"/>
          <w:lang w:val="en-US"/>
        </w:rPr>
        <w:t>Antwerpen</w:t>
      </w:r>
      <w:proofErr w:type="spellEnd"/>
      <w:r w:rsidRPr="004F6728">
        <w:rPr>
          <w:sz w:val="16"/>
          <w:szCs w:val="16"/>
          <w:lang w:val="en-US"/>
        </w:rPr>
        <w:t>, Intersentia, 2013, 463</w:t>
      </w:r>
      <w:r w:rsidR="001560C8" w:rsidRPr="004F6728">
        <w:rPr>
          <w:sz w:val="16"/>
          <w:szCs w:val="16"/>
          <w:lang w:val="en-US"/>
        </w:rPr>
        <w:t xml:space="preserve">; M. MALLIEN, </w:t>
      </w:r>
      <w:r w:rsidR="001560C8" w:rsidRPr="004F6728">
        <w:rPr>
          <w:i/>
          <w:sz w:val="16"/>
          <w:szCs w:val="16"/>
          <w:lang w:val="en-US"/>
        </w:rPr>
        <w:t xml:space="preserve">Le </w:t>
      </w:r>
      <w:proofErr w:type="spellStart"/>
      <w:r w:rsidR="001560C8" w:rsidRPr="004F6728">
        <w:rPr>
          <w:i/>
          <w:sz w:val="16"/>
          <w:szCs w:val="16"/>
          <w:lang w:val="en-US"/>
        </w:rPr>
        <w:t>contentieux</w:t>
      </w:r>
      <w:proofErr w:type="spellEnd"/>
      <w:r w:rsidR="001560C8" w:rsidRPr="004F6728">
        <w:rPr>
          <w:i/>
          <w:sz w:val="16"/>
          <w:szCs w:val="16"/>
          <w:lang w:val="en-US"/>
        </w:rPr>
        <w:t xml:space="preserve"> </w:t>
      </w:r>
      <w:proofErr w:type="spellStart"/>
      <w:r w:rsidR="001560C8" w:rsidRPr="004F6728">
        <w:rPr>
          <w:i/>
          <w:sz w:val="16"/>
          <w:szCs w:val="16"/>
          <w:lang w:val="en-US"/>
        </w:rPr>
        <w:t>judiciaire</w:t>
      </w:r>
      <w:proofErr w:type="spellEnd"/>
      <w:r w:rsidR="001560C8" w:rsidRPr="004F6728">
        <w:rPr>
          <w:i/>
          <w:sz w:val="16"/>
          <w:szCs w:val="16"/>
          <w:lang w:val="en-US"/>
        </w:rPr>
        <w:t xml:space="preserve"> parental à </w:t>
      </w:r>
      <w:proofErr w:type="spellStart"/>
      <w:r w:rsidR="001560C8" w:rsidRPr="004F6728">
        <w:rPr>
          <w:i/>
          <w:sz w:val="16"/>
          <w:szCs w:val="16"/>
          <w:lang w:val="en-US"/>
        </w:rPr>
        <w:t>propos</w:t>
      </w:r>
      <w:proofErr w:type="spellEnd"/>
      <w:r w:rsidR="001560C8" w:rsidRPr="004F6728">
        <w:rPr>
          <w:i/>
          <w:sz w:val="16"/>
          <w:szCs w:val="16"/>
          <w:lang w:val="en-US"/>
        </w:rPr>
        <w:t xml:space="preserve"> de </w:t>
      </w:r>
      <w:proofErr w:type="spellStart"/>
      <w:r w:rsidR="001560C8" w:rsidRPr="004F6728">
        <w:rPr>
          <w:i/>
          <w:sz w:val="16"/>
          <w:szCs w:val="16"/>
          <w:lang w:val="en-US"/>
        </w:rPr>
        <w:t>l’éducation</w:t>
      </w:r>
      <w:proofErr w:type="spellEnd"/>
      <w:r w:rsidR="001560C8" w:rsidRPr="004F6728">
        <w:rPr>
          <w:i/>
          <w:sz w:val="16"/>
          <w:szCs w:val="16"/>
          <w:lang w:val="en-US"/>
        </w:rPr>
        <w:t xml:space="preserve"> de </w:t>
      </w:r>
      <w:proofErr w:type="spellStart"/>
      <w:r w:rsidR="001560C8" w:rsidRPr="004F6728">
        <w:rPr>
          <w:i/>
          <w:sz w:val="16"/>
          <w:szCs w:val="16"/>
          <w:lang w:val="en-US"/>
        </w:rPr>
        <w:t>l’enfant</w:t>
      </w:r>
      <w:proofErr w:type="spellEnd"/>
      <w:r w:rsidR="001560C8" w:rsidRPr="004F6728">
        <w:rPr>
          <w:i/>
          <w:sz w:val="16"/>
          <w:szCs w:val="16"/>
          <w:lang w:val="en-US"/>
        </w:rPr>
        <w:t xml:space="preserve">. </w:t>
      </w:r>
      <w:r w:rsidR="001560C8" w:rsidRPr="0086280A">
        <w:rPr>
          <w:i/>
          <w:sz w:val="16"/>
          <w:szCs w:val="16"/>
          <w:lang w:val="nl-NL"/>
        </w:rPr>
        <w:t>Hiérarchie et inventaire des principaux critères d’appréciation retenus par les juges</w:t>
      </w:r>
      <w:r w:rsidR="001560C8" w:rsidRPr="0086280A">
        <w:rPr>
          <w:sz w:val="16"/>
          <w:szCs w:val="16"/>
          <w:lang w:val="nl-NL"/>
        </w:rPr>
        <w:t xml:space="preserve">, Brussel, Larcier, 2017, 105-106; </w:t>
      </w:r>
      <w:r w:rsidRPr="0086280A">
        <w:rPr>
          <w:sz w:val="16"/>
          <w:szCs w:val="16"/>
          <w:lang w:val="nl-NL"/>
        </w:rPr>
        <w:t xml:space="preserve">E. MERCKX, “Het EHRM over ouderlijk gezag en verblijf in het belang van het kind na relatiebreuk”, </w:t>
      </w:r>
      <w:r w:rsidRPr="0086280A">
        <w:rPr>
          <w:i/>
          <w:iCs/>
          <w:sz w:val="16"/>
          <w:szCs w:val="16"/>
          <w:lang w:val="nl-NL"/>
        </w:rPr>
        <w:t>T.Fam.</w:t>
      </w:r>
      <w:r w:rsidRPr="0086280A">
        <w:rPr>
          <w:sz w:val="16"/>
          <w:szCs w:val="16"/>
          <w:lang w:val="nl-NL"/>
        </w:rPr>
        <w:t xml:space="preserve"> 2017, nr. 9, </w:t>
      </w:r>
      <w:r w:rsidR="00EA0506">
        <w:rPr>
          <w:sz w:val="16"/>
          <w:szCs w:val="16"/>
          <w:lang w:val="nl-NL"/>
        </w:rPr>
        <w:t xml:space="preserve">(241) </w:t>
      </w:r>
      <w:r w:rsidRPr="0086280A">
        <w:rPr>
          <w:sz w:val="16"/>
          <w:szCs w:val="16"/>
          <w:lang w:val="nl-NL"/>
        </w:rPr>
        <w:t>241</w:t>
      </w:r>
      <w:r w:rsidR="00EA0506">
        <w:rPr>
          <w:sz w:val="16"/>
          <w:szCs w:val="16"/>
          <w:lang w:val="nl-NL"/>
        </w:rPr>
        <w:t>-242</w:t>
      </w:r>
      <w:r w:rsidRPr="0086280A">
        <w:rPr>
          <w:sz w:val="16"/>
          <w:szCs w:val="16"/>
          <w:lang w:val="nl-NL"/>
        </w:rPr>
        <w:t>.</w:t>
      </w:r>
    </w:p>
  </w:footnote>
  <w:footnote w:id="190">
    <w:p w14:paraId="09DF02AF" w14:textId="77777777" w:rsidR="00445D3F" w:rsidRPr="0086280A" w:rsidRDefault="00445D3F" w:rsidP="00445D3F">
      <w:pPr>
        <w:pStyle w:val="Voetnoottekst"/>
        <w:jc w:val="both"/>
        <w:rPr>
          <w:iCs/>
          <w:sz w:val="16"/>
          <w:szCs w:val="16"/>
          <w:lang w:val="nl-NL"/>
        </w:rPr>
      </w:pPr>
      <w:r w:rsidRPr="0086280A">
        <w:rPr>
          <w:rStyle w:val="Voetnootmarkering"/>
          <w:sz w:val="16"/>
          <w:szCs w:val="16"/>
          <w:lang w:val="nl-NL"/>
        </w:rPr>
        <w:footnoteRef/>
      </w:r>
      <w:r w:rsidRPr="0086280A">
        <w:rPr>
          <w:sz w:val="16"/>
          <w:szCs w:val="16"/>
          <w:lang w:val="nl-NL"/>
        </w:rPr>
        <w:t xml:space="preserve"> EHRM 23 september 1994, nr. 19823/92, </w:t>
      </w:r>
      <w:r w:rsidRPr="0086280A">
        <w:rPr>
          <w:i/>
          <w:sz w:val="16"/>
          <w:szCs w:val="16"/>
          <w:lang w:val="nl-NL"/>
        </w:rPr>
        <w:t xml:space="preserve">Hokkanen t. Finland, </w:t>
      </w:r>
      <w:r w:rsidRPr="0086280A">
        <w:rPr>
          <w:iCs/>
          <w:sz w:val="16"/>
          <w:szCs w:val="16"/>
          <w:lang w:val="nl-NL"/>
        </w:rPr>
        <w:t>§58.</w:t>
      </w:r>
    </w:p>
  </w:footnote>
  <w:footnote w:id="191">
    <w:p w14:paraId="6618E7D1" w14:textId="77777777"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EHRM 26 februari 2004, nr. 74969/01, </w:t>
      </w:r>
      <w:r w:rsidRPr="0086280A">
        <w:rPr>
          <w:i/>
          <w:iCs/>
          <w:sz w:val="16"/>
          <w:szCs w:val="16"/>
          <w:lang w:val="nl-NL"/>
        </w:rPr>
        <w:t>Görgülü/Duitsland</w:t>
      </w:r>
      <w:r w:rsidRPr="0086280A">
        <w:rPr>
          <w:sz w:val="16"/>
          <w:szCs w:val="16"/>
          <w:lang w:val="nl-NL"/>
        </w:rPr>
        <w:t xml:space="preserve">, §48; T. WUYTS, </w:t>
      </w:r>
      <w:r w:rsidRPr="0086280A">
        <w:rPr>
          <w:i/>
          <w:iCs/>
          <w:sz w:val="16"/>
          <w:szCs w:val="16"/>
          <w:lang w:val="nl-NL"/>
        </w:rPr>
        <w:t>Ouderlijk gezag</w:t>
      </w:r>
      <w:r w:rsidRPr="0086280A">
        <w:rPr>
          <w:sz w:val="16"/>
          <w:szCs w:val="16"/>
          <w:lang w:val="nl-NL"/>
        </w:rPr>
        <w:t>, Antwerpen, Intersentia, 2013, 466.</w:t>
      </w:r>
    </w:p>
  </w:footnote>
  <w:footnote w:id="192">
    <w:p w14:paraId="2FC28BCA" w14:textId="20358F63"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EHRM 19 september 2000, nr. 40031/98, </w:t>
      </w:r>
      <w:r w:rsidRPr="0086280A">
        <w:rPr>
          <w:i/>
          <w:iCs/>
          <w:sz w:val="16"/>
          <w:szCs w:val="16"/>
          <w:lang w:val="nl-NL"/>
        </w:rPr>
        <w:t>Gnahoré/Frankrijk</w:t>
      </w:r>
      <w:r w:rsidRPr="0086280A">
        <w:rPr>
          <w:sz w:val="16"/>
          <w:szCs w:val="16"/>
          <w:lang w:val="nl-NL"/>
        </w:rPr>
        <w:t xml:space="preserve">; EHRM 11 juli 2017, nr. 2091/13, </w:t>
      </w:r>
      <w:r w:rsidRPr="0086280A">
        <w:rPr>
          <w:i/>
          <w:iCs/>
          <w:sz w:val="16"/>
          <w:szCs w:val="16"/>
          <w:lang w:val="nl-NL"/>
        </w:rPr>
        <w:t xml:space="preserve">M.S./Oekraïne; </w:t>
      </w:r>
      <w:r w:rsidRPr="0086280A">
        <w:rPr>
          <w:sz w:val="16"/>
          <w:szCs w:val="16"/>
          <w:lang w:val="nl-NL"/>
        </w:rPr>
        <w:t xml:space="preserve">E. MERCKX, “Het EHRM over ouderlijk gezag en verblijf in het belang van het kind na relatiebreuk”, </w:t>
      </w:r>
      <w:r w:rsidRPr="0086280A">
        <w:rPr>
          <w:i/>
          <w:iCs/>
          <w:sz w:val="16"/>
          <w:szCs w:val="16"/>
          <w:lang w:val="nl-NL"/>
        </w:rPr>
        <w:t>T.Fam.</w:t>
      </w:r>
      <w:r w:rsidRPr="0086280A">
        <w:rPr>
          <w:sz w:val="16"/>
          <w:szCs w:val="16"/>
          <w:lang w:val="nl-NL"/>
        </w:rPr>
        <w:t xml:space="preserve"> 2017, nr. 9, </w:t>
      </w:r>
      <w:r w:rsidR="00EA0506">
        <w:rPr>
          <w:sz w:val="16"/>
          <w:szCs w:val="16"/>
          <w:lang w:val="nl-NL"/>
        </w:rPr>
        <w:t xml:space="preserve">(241) </w:t>
      </w:r>
      <w:r w:rsidRPr="0086280A">
        <w:rPr>
          <w:sz w:val="16"/>
          <w:szCs w:val="16"/>
          <w:lang w:val="nl-NL"/>
        </w:rPr>
        <w:t>263.</w:t>
      </w:r>
    </w:p>
  </w:footnote>
  <w:footnote w:id="193">
    <w:p w14:paraId="64822D77" w14:textId="453F2CF7" w:rsidR="00C57AF9" w:rsidRPr="004F6728" w:rsidRDefault="00C57AF9" w:rsidP="005C4D5C">
      <w:pPr>
        <w:pStyle w:val="Voetnoottekst"/>
        <w:jc w:val="both"/>
        <w:rPr>
          <w:iCs/>
          <w:sz w:val="16"/>
          <w:szCs w:val="16"/>
          <w:lang w:val="en-US"/>
        </w:rPr>
      </w:pPr>
      <w:r w:rsidRPr="0086280A">
        <w:rPr>
          <w:rStyle w:val="Voetnootmarkering"/>
          <w:sz w:val="16"/>
          <w:szCs w:val="16"/>
          <w:lang w:val="nl-NL"/>
        </w:rPr>
        <w:footnoteRef/>
      </w:r>
      <w:r w:rsidRPr="004F6728">
        <w:rPr>
          <w:sz w:val="16"/>
          <w:szCs w:val="16"/>
          <w:lang w:val="en-US"/>
        </w:rPr>
        <w:t xml:space="preserve"> EHRM 6 </w:t>
      </w:r>
      <w:proofErr w:type="spellStart"/>
      <w:r w:rsidRPr="004F6728">
        <w:rPr>
          <w:sz w:val="16"/>
          <w:szCs w:val="16"/>
          <w:lang w:val="en-US"/>
        </w:rPr>
        <w:t>juli</w:t>
      </w:r>
      <w:proofErr w:type="spellEnd"/>
      <w:r w:rsidRPr="004F6728">
        <w:rPr>
          <w:sz w:val="16"/>
          <w:szCs w:val="16"/>
          <w:lang w:val="en-US"/>
        </w:rPr>
        <w:t xml:space="preserve"> 2012, nr. 41615/07, </w:t>
      </w:r>
      <w:proofErr w:type="spellStart"/>
      <w:r w:rsidRPr="004F6728">
        <w:rPr>
          <w:i/>
          <w:sz w:val="16"/>
          <w:szCs w:val="16"/>
          <w:lang w:val="en-US"/>
        </w:rPr>
        <w:t>Neulinger</w:t>
      </w:r>
      <w:proofErr w:type="spellEnd"/>
      <w:r w:rsidRPr="004F6728">
        <w:rPr>
          <w:i/>
          <w:sz w:val="16"/>
          <w:szCs w:val="16"/>
          <w:lang w:val="en-US"/>
        </w:rPr>
        <w:t xml:space="preserve"> en </w:t>
      </w:r>
      <w:proofErr w:type="spellStart"/>
      <w:r w:rsidRPr="004F6728">
        <w:rPr>
          <w:i/>
          <w:sz w:val="16"/>
          <w:szCs w:val="16"/>
          <w:lang w:val="en-US"/>
        </w:rPr>
        <w:t>Shuruk</w:t>
      </w:r>
      <w:proofErr w:type="spellEnd"/>
      <w:r w:rsidRPr="004F6728">
        <w:rPr>
          <w:i/>
          <w:sz w:val="16"/>
          <w:szCs w:val="16"/>
          <w:lang w:val="en-US"/>
        </w:rPr>
        <w:t xml:space="preserve"> t. </w:t>
      </w:r>
      <w:proofErr w:type="spellStart"/>
      <w:r w:rsidRPr="004F6728">
        <w:rPr>
          <w:i/>
          <w:sz w:val="16"/>
          <w:szCs w:val="16"/>
          <w:lang w:val="en-US"/>
        </w:rPr>
        <w:t>Zwitserland</w:t>
      </w:r>
      <w:proofErr w:type="spellEnd"/>
      <w:r w:rsidRPr="004F6728">
        <w:rPr>
          <w:i/>
          <w:sz w:val="16"/>
          <w:szCs w:val="16"/>
          <w:lang w:val="en-US"/>
        </w:rPr>
        <w:t xml:space="preserve">, </w:t>
      </w:r>
      <w:r w:rsidRPr="004F6728">
        <w:rPr>
          <w:iCs/>
          <w:sz w:val="16"/>
          <w:szCs w:val="16"/>
          <w:lang w:val="en-US"/>
        </w:rPr>
        <w:t xml:space="preserve">§136; </w:t>
      </w:r>
      <w:r w:rsidRPr="004F6728">
        <w:rPr>
          <w:sz w:val="16"/>
          <w:szCs w:val="16"/>
          <w:lang w:val="en-US"/>
        </w:rPr>
        <w:t xml:space="preserve">I. BANTEKAS en L. OETTE, </w:t>
      </w:r>
      <w:r w:rsidRPr="004F6728">
        <w:rPr>
          <w:i/>
          <w:iCs/>
          <w:sz w:val="16"/>
          <w:szCs w:val="16"/>
          <w:lang w:val="en-US"/>
        </w:rPr>
        <w:t>International Human Rights Law and Practice</w:t>
      </w:r>
      <w:r w:rsidRPr="004F6728">
        <w:rPr>
          <w:sz w:val="16"/>
          <w:szCs w:val="16"/>
          <w:lang w:val="en-US"/>
        </w:rPr>
        <w:t>, Cambridge, Cambridge University Press, third edition, 2022, 551.</w:t>
      </w:r>
    </w:p>
  </w:footnote>
  <w:footnote w:id="194">
    <w:p w14:paraId="60202A81" w14:textId="3E91E3C7"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U. KILKELLY, “The best of both worlds for children’s rights? Interpreting the European Convention on Human Rights in the light of the UN Convention on the Rights of the Child”, </w:t>
      </w:r>
      <w:r w:rsidRPr="004F6728">
        <w:rPr>
          <w:i/>
          <w:iCs/>
          <w:sz w:val="16"/>
          <w:szCs w:val="16"/>
          <w:lang w:val="en-US"/>
        </w:rPr>
        <w:t>Human Rights Quarterly</w:t>
      </w:r>
      <w:r w:rsidRPr="004F6728">
        <w:rPr>
          <w:sz w:val="16"/>
          <w:szCs w:val="16"/>
          <w:lang w:val="en-US"/>
        </w:rPr>
        <w:t xml:space="preserve"> 2001, </w:t>
      </w:r>
      <w:r w:rsidR="001D574A">
        <w:rPr>
          <w:sz w:val="16"/>
          <w:szCs w:val="16"/>
          <w:lang w:val="en-US"/>
        </w:rPr>
        <w:t xml:space="preserve">(308) </w:t>
      </w:r>
      <w:r w:rsidRPr="004F6728">
        <w:rPr>
          <w:sz w:val="16"/>
          <w:szCs w:val="16"/>
          <w:lang w:val="en-US"/>
        </w:rPr>
        <w:t>313.</w:t>
      </w:r>
    </w:p>
  </w:footnote>
  <w:footnote w:id="195">
    <w:p w14:paraId="701E56A1" w14:textId="0B8C43B3"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001560C8" w:rsidRPr="004F6728">
        <w:rPr>
          <w:sz w:val="16"/>
          <w:szCs w:val="16"/>
          <w:lang w:val="en-US"/>
        </w:rPr>
        <w:t xml:space="preserve"> </w:t>
      </w:r>
      <w:r w:rsidRPr="004F6728">
        <w:rPr>
          <w:sz w:val="16"/>
          <w:szCs w:val="16"/>
          <w:lang w:val="en-US"/>
        </w:rPr>
        <w:t xml:space="preserve">COUNCIL OF EUROPE, </w:t>
      </w:r>
      <w:r w:rsidRPr="004F6728">
        <w:rPr>
          <w:i/>
          <w:iCs/>
          <w:sz w:val="16"/>
          <w:szCs w:val="16"/>
          <w:lang w:val="en-US"/>
        </w:rPr>
        <w:t>Guide on Article 8 of the European Convention on Human Rights (</w:t>
      </w:r>
      <w:proofErr w:type="spellStart"/>
      <w:r w:rsidRPr="004F6728">
        <w:rPr>
          <w:i/>
          <w:iCs/>
          <w:sz w:val="16"/>
          <w:szCs w:val="16"/>
          <w:lang w:val="en-US"/>
        </w:rPr>
        <w:t>CoE</w:t>
      </w:r>
      <w:proofErr w:type="spellEnd"/>
      <w:r w:rsidRPr="004F6728">
        <w:rPr>
          <w:i/>
          <w:iCs/>
          <w:sz w:val="16"/>
          <w:szCs w:val="16"/>
          <w:lang w:val="en-US"/>
        </w:rPr>
        <w:t>) on the right to respect for private and family life, home and correspondence</w:t>
      </w:r>
      <w:r w:rsidRPr="004F6728">
        <w:rPr>
          <w:sz w:val="16"/>
          <w:szCs w:val="16"/>
          <w:lang w:val="en-US"/>
        </w:rPr>
        <w:t xml:space="preserve">, 31 augustus 2020, 7, </w:t>
      </w:r>
      <w:hyperlink r:id="rId24" w:history="1">
        <w:r w:rsidRPr="004F6728">
          <w:rPr>
            <w:rStyle w:val="Hyperlink"/>
            <w:sz w:val="16"/>
            <w:szCs w:val="16"/>
            <w:lang w:val="en-US"/>
          </w:rPr>
          <w:t>www.echr.coe.int/documents/guide_art_8_eng.pdf</w:t>
        </w:r>
      </w:hyperlink>
      <w:r w:rsidRPr="004F6728">
        <w:rPr>
          <w:sz w:val="16"/>
          <w:szCs w:val="16"/>
          <w:lang w:val="en-US"/>
        </w:rPr>
        <w:t xml:space="preserve"> (laatste consultatie </w:t>
      </w:r>
      <w:r w:rsidR="001560C8" w:rsidRPr="004F6728">
        <w:rPr>
          <w:sz w:val="16"/>
          <w:szCs w:val="16"/>
          <w:lang w:val="en-US"/>
        </w:rPr>
        <w:t>13</w:t>
      </w:r>
      <w:r w:rsidRPr="004F6728">
        <w:rPr>
          <w:sz w:val="16"/>
          <w:szCs w:val="16"/>
          <w:lang w:val="en-US"/>
        </w:rPr>
        <w:t>.0</w:t>
      </w:r>
      <w:r w:rsidR="006810D8">
        <w:rPr>
          <w:sz w:val="16"/>
          <w:szCs w:val="16"/>
          <w:lang w:val="en-US"/>
        </w:rPr>
        <w:t>5</w:t>
      </w:r>
      <w:r w:rsidRPr="004F6728">
        <w:rPr>
          <w:sz w:val="16"/>
          <w:szCs w:val="16"/>
          <w:lang w:val="en-US"/>
        </w:rPr>
        <w:t>.2023)</w:t>
      </w:r>
      <w:r w:rsidR="001560C8" w:rsidRPr="004F6728">
        <w:rPr>
          <w:sz w:val="16"/>
          <w:szCs w:val="16"/>
          <w:lang w:val="en-US"/>
        </w:rPr>
        <w:t xml:space="preserve">; C. VAN ROY, </w:t>
      </w:r>
      <w:r w:rsidR="001560C8" w:rsidRPr="004F6728">
        <w:rPr>
          <w:i/>
          <w:sz w:val="16"/>
          <w:szCs w:val="16"/>
          <w:lang w:val="en-US"/>
        </w:rPr>
        <w:t>De (on)</w:t>
      </w:r>
      <w:proofErr w:type="spellStart"/>
      <w:r w:rsidR="001560C8" w:rsidRPr="004F6728">
        <w:rPr>
          <w:i/>
          <w:sz w:val="16"/>
          <w:szCs w:val="16"/>
          <w:lang w:val="en-US"/>
        </w:rPr>
        <w:t>deelbaarheid</w:t>
      </w:r>
      <w:proofErr w:type="spellEnd"/>
      <w:r w:rsidR="001560C8" w:rsidRPr="004F6728">
        <w:rPr>
          <w:i/>
          <w:sz w:val="16"/>
          <w:szCs w:val="16"/>
          <w:lang w:val="en-US"/>
        </w:rPr>
        <w:t xml:space="preserve"> van het kind</w:t>
      </w:r>
      <w:r w:rsidR="001560C8" w:rsidRPr="004F6728">
        <w:rPr>
          <w:sz w:val="16"/>
          <w:szCs w:val="16"/>
          <w:lang w:val="en-US"/>
        </w:rPr>
        <w:t xml:space="preserve">, </w:t>
      </w:r>
      <w:proofErr w:type="spellStart"/>
      <w:r w:rsidR="001560C8" w:rsidRPr="004F6728">
        <w:rPr>
          <w:sz w:val="16"/>
          <w:szCs w:val="16"/>
          <w:lang w:val="en-US"/>
        </w:rPr>
        <w:t>Antwerpen</w:t>
      </w:r>
      <w:proofErr w:type="spellEnd"/>
      <w:r w:rsidR="001560C8" w:rsidRPr="004F6728">
        <w:rPr>
          <w:sz w:val="16"/>
          <w:szCs w:val="16"/>
          <w:lang w:val="en-US"/>
        </w:rPr>
        <w:t>, Intersentia, 2021, 47.</w:t>
      </w:r>
    </w:p>
  </w:footnote>
  <w:footnote w:id="196">
    <w:p w14:paraId="2956F2C8" w14:textId="42619ED2"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EUROPEAN UNION AGENCY FOR FUNDAMENTAL RIGHTS AND COUNCIL OF EUROPE</w:t>
      </w:r>
      <w:r w:rsidRPr="004F6728">
        <w:rPr>
          <w:i/>
          <w:sz w:val="16"/>
          <w:szCs w:val="16"/>
          <w:lang w:val="en-US"/>
        </w:rPr>
        <w:t>, Handbook on European law relating to the rights of the child</w:t>
      </w:r>
      <w:r w:rsidRPr="004F6728">
        <w:rPr>
          <w:sz w:val="16"/>
          <w:szCs w:val="16"/>
          <w:lang w:val="en-US"/>
        </w:rPr>
        <w:t xml:space="preserve">, Luxemburg, Bureau </w:t>
      </w:r>
      <w:proofErr w:type="spellStart"/>
      <w:r w:rsidRPr="004F6728">
        <w:rPr>
          <w:sz w:val="16"/>
          <w:szCs w:val="16"/>
          <w:lang w:val="en-US"/>
        </w:rPr>
        <w:t>voor</w:t>
      </w:r>
      <w:proofErr w:type="spellEnd"/>
      <w:r w:rsidRPr="004F6728">
        <w:rPr>
          <w:sz w:val="16"/>
          <w:szCs w:val="16"/>
          <w:lang w:val="en-US"/>
        </w:rPr>
        <w:t xml:space="preserve"> </w:t>
      </w:r>
      <w:proofErr w:type="spellStart"/>
      <w:r w:rsidRPr="004F6728">
        <w:rPr>
          <w:sz w:val="16"/>
          <w:szCs w:val="16"/>
          <w:lang w:val="en-US"/>
        </w:rPr>
        <w:t>publicaties</w:t>
      </w:r>
      <w:proofErr w:type="spellEnd"/>
      <w:r w:rsidRPr="004F6728">
        <w:rPr>
          <w:sz w:val="16"/>
          <w:szCs w:val="16"/>
          <w:lang w:val="en-US"/>
        </w:rPr>
        <w:t xml:space="preserve"> van de </w:t>
      </w:r>
      <w:proofErr w:type="spellStart"/>
      <w:r w:rsidRPr="004F6728">
        <w:rPr>
          <w:sz w:val="16"/>
          <w:szCs w:val="16"/>
          <w:lang w:val="en-US"/>
        </w:rPr>
        <w:t>Europese</w:t>
      </w:r>
      <w:proofErr w:type="spellEnd"/>
      <w:r w:rsidRPr="004F6728">
        <w:rPr>
          <w:sz w:val="16"/>
          <w:szCs w:val="16"/>
          <w:lang w:val="en-US"/>
        </w:rPr>
        <w:t xml:space="preserve"> </w:t>
      </w:r>
      <w:proofErr w:type="spellStart"/>
      <w:r w:rsidRPr="004F6728">
        <w:rPr>
          <w:sz w:val="16"/>
          <w:szCs w:val="16"/>
          <w:lang w:val="en-US"/>
        </w:rPr>
        <w:t>Unie</w:t>
      </w:r>
      <w:proofErr w:type="spellEnd"/>
      <w:r w:rsidRPr="004F6728">
        <w:rPr>
          <w:sz w:val="16"/>
          <w:szCs w:val="16"/>
          <w:lang w:val="en-US"/>
        </w:rPr>
        <w:t>, 2022, 79.</w:t>
      </w:r>
    </w:p>
  </w:footnote>
  <w:footnote w:id="197">
    <w:p w14:paraId="44D9D275" w14:textId="5D21A16D"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K. SANDBERG, “Grandparents’ and grandchildren’s right to contact under the European Convention on Human Rights”, </w:t>
      </w:r>
      <w:r w:rsidRPr="004F6728">
        <w:rPr>
          <w:i/>
          <w:sz w:val="16"/>
          <w:szCs w:val="16"/>
          <w:lang w:val="en-US"/>
        </w:rPr>
        <w:t>Family &amp; Law</w:t>
      </w:r>
      <w:r w:rsidRPr="004F6728">
        <w:rPr>
          <w:sz w:val="16"/>
          <w:szCs w:val="16"/>
          <w:lang w:val="en-US"/>
        </w:rPr>
        <w:t xml:space="preserve"> 2021, DOI:10.5553/</w:t>
      </w:r>
      <w:proofErr w:type="spellStart"/>
      <w:r w:rsidRPr="004F6728">
        <w:rPr>
          <w:sz w:val="16"/>
          <w:szCs w:val="16"/>
          <w:lang w:val="en-US"/>
        </w:rPr>
        <w:t>FenR</w:t>
      </w:r>
      <w:proofErr w:type="spellEnd"/>
      <w:r w:rsidRPr="004F6728">
        <w:rPr>
          <w:sz w:val="16"/>
          <w:szCs w:val="16"/>
          <w:lang w:val="en-US"/>
        </w:rPr>
        <w:t>/.000050, 1-2.</w:t>
      </w:r>
    </w:p>
  </w:footnote>
  <w:footnote w:id="198">
    <w:p w14:paraId="43FFEE4A" w14:textId="6F626868"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C. VAN ROY, </w:t>
      </w:r>
      <w:r w:rsidRPr="0086280A">
        <w:rPr>
          <w:i/>
          <w:sz w:val="16"/>
          <w:szCs w:val="16"/>
          <w:lang w:val="nl-NL"/>
        </w:rPr>
        <w:t>De (on)deelbaarheid van het kind</w:t>
      </w:r>
      <w:r w:rsidRPr="0086280A">
        <w:rPr>
          <w:sz w:val="16"/>
          <w:szCs w:val="16"/>
          <w:lang w:val="nl-NL"/>
        </w:rPr>
        <w:t>, Antwerpen, Intersentia, 2021, 110.</w:t>
      </w:r>
    </w:p>
  </w:footnote>
  <w:footnote w:id="199">
    <w:p w14:paraId="63E4CC05" w14:textId="52802D15" w:rsidR="00C57AF9" w:rsidRPr="001C278E" w:rsidRDefault="00C57AF9" w:rsidP="005C4D5C">
      <w:pPr>
        <w:pStyle w:val="Voetnoottekst"/>
        <w:jc w:val="both"/>
        <w:rPr>
          <w:sz w:val="16"/>
          <w:szCs w:val="16"/>
        </w:rPr>
      </w:pPr>
      <w:r w:rsidRPr="0086280A">
        <w:rPr>
          <w:rStyle w:val="Voetnootmarkering"/>
          <w:sz w:val="16"/>
          <w:szCs w:val="16"/>
          <w:lang w:val="nl-NL"/>
        </w:rPr>
        <w:footnoteRef/>
      </w:r>
      <w:r w:rsidRPr="00EE22E8">
        <w:rPr>
          <w:sz w:val="16"/>
          <w:szCs w:val="16"/>
          <w:lang w:val="en-US"/>
        </w:rPr>
        <w:t xml:space="preserve"> EHRM 9 </w:t>
      </w:r>
      <w:proofErr w:type="spellStart"/>
      <w:r w:rsidRPr="00EE22E8">
        <w:rPr>
          <w:sz w:val="16"/>
          <w:szCs w:val="16"/>
          <w:lang w:val="en-US"/>
        </w:rPr>
        <w:t>juni</w:t>
      </w:r>
      <w:proofErr w:type="spellEnd"/>
      <w:r w:rsidRPr="00EE22E8">
        <w:rPr>
          <w:sz w:val="16"/>
          <w:szCs w:val="16"/>
          <w:lang w:val="en-US"/>
        </w:rPr>
        <w:t xml:space="preserve"> 1998, nr. 22430/93, </w:t>
      </w:r>
      <w:proofErr w:type="spellStart"/>
      <w:r w:rsidRPr="00EE22E8">
        <w:rPr>
          <w:i/>
          <w:iCs/>
          <w:sz w:val="16"/>
          <w:szCs w:val="16"/>
          <w:lang w:val="en-US"/>
        </w:rPr>
        <w:t>Bronda</w:t>
      </w:r>
      <w:proofErr w:type="spellEnd"/>
      <w:r w:rsidRPr="00EE22E8">
        <w:rPr>
          <w:i/>
          <w:iCs/>
          <w:sz w:val="16"/>
          <w:szCs w:val="16"/>
          <w:lang w:val="en-US"/>
        </w:rPr>
        <w:t>/</w:t>
      </w:r>
      <w:proofErr w:type="spellStart"/>
      <w:r w:rsidRPr="00EE22E8">
        <w:rPr>
          <w:i/>
          <w:iCs/>
          <w:sz w:val="16"/>
          <w:szCs w:val="16"/>
          <w:lang w:val="en-US"/>
        </w:rPr>
        <w:t>Italië</w:t>
      </w:r>
      <w:proofErr w:type="spellEnd"/>
      <w:r w:rsidRPr="00EE22E8">
        <w:rPr>
          <w:i/>
          <w:iCs/>
          <w:sz w:val="16"/>
          <w:szCs w:val="16"/>
          <w:lang w:val="en-US"/>
        </w:rPr>
        <w:t xml:space="preserve">, </w:t>
      </w:r>
      <w:r w:rsidRPr="00EE22E8">
        <w:rPr>
          <w:sz w:val="16"/>
          <w:szCs w:val="16"/>
          <w:lang w:val="en-US"/>
        </w:rPr>
        <w:t>§51</w:t>
      </w:r>
      <w:r w:rsidR="00EE22E8" w:rsidRPr="00EE22E8">
        <w:rPr>
          <w:sz w:val="16"/>
          <w:szCs w:val="16"/>
          <w:lang w:val="en-US"/>
        </w:rPr>
        <w:t xml:space="preserve">: “The Court recalls that the </w:t>
      </w:r>
      <w:r w:rsidR="00EE22E8" w:rsidRPr="00EE22E8">
        <w:rPr>
          <w:sz w:val="16"/>
          <w:szCs w:val="16"/>
          <w:u w:val="single"/>
          <w:lang w:val="en-US"/>
        </w:rPr>
        <w:t>mutual enjoyment</w:t>
      </w:r>
      <w:r w:rsidR="00EE22E8" w:rsidRPr="00EE22E8">
        <w:rPr>
          <w:sz w:val="16"/>
          <w:szCs w:val="16"/>
          <w:lang w:val="en-US"/>
        </w:rPr>
        <w:t xml:space="preserve"> by parent and child of each other's company constitutes a fundamental element of family life and that domestic measures hindering such enjoyment amount to an interference with the right protected by Article 8. That principle applies, too, in cases like the present one in which the Court is concerned with the relations between a child and its grandparents, with whom it had lived for a time</w:t>
      </w:r>
      <w:r w:rsidR="00EE22E8">
        <w:rPr>
          <w:sz w:val="16"/>
          <w:szCs w:val="16"/>
          <w:lang w:val="en-US"/>
        </w:rPr>
        <w:t xml:space="preserve"> (…)” en §60: “(…) </w:t>
      </w:r>
      <w:r w:rsidR="00EE22E8" w:rsidRPr="00EE22E8">
        <w:rPr>
          <w:sz w:val="16"/>
          <w:szCs w:val="16"/>
          <w:lang w:val="en-US"/>
        </w:rPr>
        <w:t xml:space="preserve">it would be impossible gradually to bring S. and her family together owing, firstly, to the fact that the </w:t>
      </w:r>
      <w:r w:rsidR="00EE22E8" w:rsidRPr="00EE22E8">
        <w:rPr>
          <w:sz w:val="16"/>
          <w:szCs w:val="16"/>
          <w:u w:val="single"/>
          <w:lang w:val="en-US"/>
        </w:rPr>
        <w:t>child had fully adapted to her new home</w:t>
      </w:r>
      <w:r w:rsidR="00EE22E8" w:rsidRPr="00EE22E8">
        <w:rPr>
          <w:sz w:val="16"/>
          <w:szCs w:val="16"/>
          <w:lang w:val="en-US"/>
        </w:rPr>
        <w:t xml:space="preserve"> and, secondly, to the applicants’ very conflictual family environment</w:t>
      </w:r>
      <w:r w:rsidR="00EE22E8">
        <w:rPr>
          <w:sz w:val="16"/>
          <w:szCs w:val="16"/>
          <w:lang w:val="en-US"/>
        </w:rPr>
        <w:t xml:space="preserve"> (…)” </w:t>
      </w:r>
      <w:r w:rsidR="00EE22E8" w:rsidRPr="001C278E">
        <w:rPr>
          <w:sz w:val="16"/>
          <w:szCs w:val="16"/>
        </w:rPr>
        <w:t>(eigen nadruk).</w:t>
      </w:r>
    </w:p>
  </w:footnote>
  <w:footnote w:id="200">
    <w:p w14:paraId="32B6EBE6" w14:textId="41CA8701" w:rsidR="00256E34" w:rsidRPr="0086280A" w:rsidRDefault="00256E34" w:rsidP="00256E34">
      <w:pPr>
        <w:pStyle w:val="Voetnoottekst"/>
        <w:jc w:val="both"/>
        <w:rPr>
          <w:lang w:val="nl-NL"/>
        </w:rPr>
      </w:pPr>
      <w:r w:rsidRPr="0086280A">
        <w:rPr>
          <w:rStyle w:val="Voetnootmarkering"/>
          <w:sz w:val="16"/>
          <w:szCs w:val="16"/>
          <w:lang w:val="nl-NL"/>
        </w:rPr>
        <w:footnoteRef/>
      </w:r>
      <w:r w:rsidRPr="0086280A">
        <w:rPr>
          <w:sz w:val="16"/>
          <w:szCs w:val="16"/>
          <w:lang w:val="nl-NL"/>
        </w:rPr>
        <w:t xml:space="preserve"> Zie F. SWENNEN, “Privéleven is personenrecht is familierecht”, </w:t>
      </w:r>
      <w:r w:rsidRPr="0086280A">
        <w:rPr>
          <w:i/>
          <w:iCs/>
          <w:sz w:val="16"/>
          <w:szCs w:val="16"/>
          <w:lang w:val="nl-NL"/>
        </w:rPr>
        <w:t>RW</w:t>
      </w:r>
      <w:r w:rsidRPr="0086280A">
        <w:rPr>
          <w:sz w:val="16"/>
          <w:szCs w:val="16"/>
          <w:lang w:val="nl-NL"/>
        </w:rPr>
        <w:t xml:space="preserve"> 2011-12, nr. 1, 41 en 47-48.</w:t>
      </w:r>
    </w:p>
  </w:footnote>
  <w:footnote w:id="201">
    <w:p w14:paraId="5A6E1F81" w14:textId="08C549CD"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EHRM 23 september 1994, nr. 19823/92, </w:t>
      </w:r>
      <w:r w:rsidRPr="0086280A">
        <w:rPr>
          <w:i/>
          <w:iCs/>
          <w:sz w:val="16"/>
          <w:szCs w:val="16"/>
          <w:lang w:val="nl-NL"/>
        </w:rPr>
        <w:t xml:space="preserve">Hokkanen/Finland, </w:t>
      </w:r>
      <w:r w:rsidRPr="0086280A">
        <w:rPr>
          <w:sz w:val="16"/>
          <w:szCs w:val="16"/>
          <w:lang w:val="nl-NL"/>
        </w:rPr>
        <w:t xml:space="preserve">§58 en §62-63; A. DE WOLF, “De nieuwe regeling van het omgangsrecht” in P. SENAEVE (ed.), </w:t>
      </w:r>
      <w:r w:rsidRPr="0086280A">
        <w:rPr>
          <w:i/>
          <w:iCs/>
          <w:sz w:val="16"/>
          <w:szCs w:val="16"/>
          <w:lang w:val="nl-NL"/>
        </w:rPr>
        <w:t>Co-ouderschap en omgangsrecht: commentaar op de wet van 13 april 1995</w:t>
      </w:r>
      <w:r w:rsidRPr="0086280A">
        <w:rPr>
          <w:sz w:val="16"/>
          <w:szCs w:val="16"/>
          <w:lang w:val="nl-NL"/>
        </w:rPr>
        <w:t>, Antwerpen, Maklu, 1995, 249-250.</w:t>
      </w:r>
    </w:p>
  </w:footnote>
  <w:footnote w:id="202">
    <w:p w14:paraId="2F24AB2F" w14:textId="77777777"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J.-L. RENCHON, “La Convention européenne et la regulation des relations affectives et familiales dans une société démocratique” in P. LAMBERT (ed.), </w:t>
      </w:r>
      <w:r w:rsidRPr="0086280A">
        <w:rPr>
          <w:i/>
          <w:iCs/>
          <w:sz w:val="16"/>
          <w:szCs w:val="16"/>
          <w:lang w:val="nl-NL"/>
        </w:rPr>
        <w:t xml:space="preserve">La mise en oeuvre interne de la Convention européenne des droits de l’homme, </w:t>
      </w:r>
      <w:r w:rsidRPr="0086280A">
        <w:rPr>
          <w:sz w:val="16"/>
          <w:szCs w:val="16"/>
          <w:lang w:val="nl-NL"/>
        </w:rPr>
        <w:t xml:space="preserve">Brussel, ed. du jeune barreau de Bruxelles, 1994, nr. 9-13, 95-97; T. WUYTS, </w:t>
      </w:r>
      <w:r w:rsidRPr="0086280A">
        <w:rPr>
          <w:i/>
          <w:iCs/>
          <w:sz w:val="16"/>
          <w:szCs w:val="16"/>
          <w:lang w:val="nl-NL"/>
        </w:rPr>
        <w:t>Ouderlijk gezag</w:t>
      </w:r>
      <w:r w:rsidRPr="0086280A">
        <w:rPr>
          <w:sz w:val="16"/>
          <w:szCs w:val="16"/>
          <w:lang w:val="nl-NL"/>
        </w:rPr>
        <w:t>, Antwerpen, Intersentia, 2013, 472.</w:t>
      </w:r>
    </w:p>
  </w:footnote>
  <w:footnote w:id="203">
    <w:p w14:paraId="13A680CC" w14:textId="77777777" w:rsidR="00C57AF9" w:rsidRPr="0086280A" w:rsidRDefault="00C57AF9" w:rsidP="005C4D5C">
      <w:pPr>
        <w:pStyle w:val="Voetnoottekst"/>
        <w:jc w:val="both"/>
        <w:rPr>
          <w:i/>
          <w:iCs/>
          <w:sz w:val="16"/>
          <w:szCs w:val="16"/>
          <w:lang w:val="nl-NL"/>
        </w:rPr>
      </w:pPr>
      <w:r w:rsidRPr="0086280A">
        <w:rPr>
          <w:rStyle w:val="Voetnootmarkering"/>
          <w:sz w:val="16"/>
          <w:szCs w:val="16"/>
          <w:lang w:val="nl-NL"/>
        </w:rPr>
        <w:footnoteRef/>
      </w:r>
      <w:r w:rsidRPr="0086280A">
        <w:rPr>
          <w:sz w:val="16"/>
          <w:szCs w:val="16"/>
          <w:lang w:val="nl-NL"/>
        </w:rPr>
        <w:t xml:space="preserve"> T. WUYTS, </w:t>
      </w:r>
      <w:r w:rsidRPr="0086280A">
        <w:rPr>
          <w:i/>
          <w:iCs/>
          <w:sz w:val="16"/>
          <w:szCs w:val="16"/>
          <w:lang w:val="nl-NL"/>
        </w:rPr>
        <w:t>Ouderlijk gezag</w:t>
      </w:r>
      <w:r w:rsidRPr="0086280A">
        <w:rPr>
          <w:sz w:val="16"/>
          <w:szCs w:val="16"/>
          <w:lang w:val="nl-NL"/>
        </w:rPr>
        <w:t>, Antwerpen, Intersentia, 2013, 473.</w:t>
      </w:r>
    </w:p>
  </w:footnote>
  <w:footnote w:id="204">
    <w:p w14:paraId="5BF07CFE" w14:textId="77777777"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EHRM 1 juni 2004, nr. 45582/99, </w:t>
      </w:r>
      <w:r w:rsidRPr="0086280A">
        <w:rPr>
          <w:i/>
          <w:iCs/>
          <w:sz w:val="16"/>
          <w:szCs w:val="16"/>
          <w:lang w:val="nl-NL"/>
        </w:rPr>
        <w:t>Lebbink/Nederland</w:t>
      </w:r>
      <w:r w:rsidRPr="0086280A">
        <w:rPr>
          <w:sz w:val="16"/>
          <w:szCs w:val="16"/>
          <w:lang w:val="nl-NL"/>
        </w:rPr>
        <w:t>, §35-42.</w:t>
      </w:r>
    </w:p>
  </w:footnote>
  <w:footnote w:id="205">
    <w:p w14:paraId="4C675173" w14:textId="6B737357" w:rsidR="00C57AF9" w:rsidRPr="0086280A" w:rsidRDefault="00C57AF9" w:rsidP="005C4D5C">
      <w:pPr>
        <w:jc w:val="both"/>
        <w:rPr>
          <w:rFonts w:eastAsia="Verdana" w:cs="Verdana"/>
          <w:i/>
          <w:sz w:val="16"/>
          <w:szCs w:val="16"/>
          <w:lang w:val="nl-NL"/>
        </w:rPr>
      </w:pPr>
      <w:r w:rsidRPr="0086280A">
        <w:rPr>
          <w:rStyle w:val="Voetnootmarkering"/>
          <w:sz w:val="16"/>
          <w:szCs w:val="16"/>
          <w:lang w:val="nl-NL"/>
        </w:rPr>
        <w:footnoteRef/>
      </w:r>
      <w:r w:rsidRPr="0086280A">
        <w:rPr>
          <w:sz w:val="16"/>
          <w:szCs w:val="16"/>
          <w:lang w:val="nl-NL"/>
        </w:rPr>
        <w:t xml:space="preserve"> </w:t>
      </w:r>
      <w:r w:rsidRPr="0086280A">
        <w:rPr>
          <w:rFonts w:eastAsia="Verdana" w:cs="Verdana"/>
          <w:sz w:val="16"/>
          <w:szCs w:val="16"/>
          <w:lang w:val="nl-NL"/>
        </w:rPr>
        <w:t xml:space="preserve">EHRM 13 juni 1979, nr. 6833/74, </w:t>
      </w:r>
      <w:r w:rsidRPr="0086280A">
        <w:rPr>
          <w:rFonts w:eastAsia="Verdana" w:cs="Verdana"/>
          <w:i/>
          <w:sz w:val="16"/>
          <w:szCs w:val="16"/>
          <w:lang w:val="nl-NL"/>
        </w:rPr>
        <w:t xml:space="preserve">Marckx/België, </w:t>
      </w:r>
      <w:r w:rsidRPr="0086280A">
        <w:rPr>
          <w:rFonts w:eastAsia="Verdana" w:cs="Verdana"/>
          <w:iCs/>
          <w:sz w:val="16"/>
          <w:szCs w:val="16"/>
          <w:lang w:val="nl-NL"/>
        </w:rPr>
        <w:t>§31</w:t>
      </w:r>
      <w:r w:rsidRPr="0086280A">
        <w:rPr>
          <w:rFonts w:eastAsia="Verdana" w:cs="Verdana"/>
          <w:i/>
          <w:sz w:val="16"/>
          <w:szCs w:val="16"/>
          <w:lang w:val="nl-NL"/>
        </w:rPr>
        <w:t>.</w:t>
      </w:r>
    </w:p>
  </w:footnote>
  <w:footnote w:id="206">
    <w:p w14:paraId="41885CA5" w14:textId="29085BAD" w:rsidR="00C57AF9" w:rsidRPr="004F6728" w:rsidRDefault="00C57AF9" w:rsidP="005C4D5C">
      <w:pPr>
        <w:pStyle w:val="Voetnoottekst"/>
        <w:jc w:val="both"/>
        <w:rPr>
          <w:iCs/>
          <w:sz w:val="16"/>
          <w:szCs w:val="16"/>
          <w:lang w:val="en-US"/>
        </w:rPr>
      </w:pPr>
      <w:r w:rsidRPr="0086280A">
        <w:rPr>
          <w:rStyle w:val="Voetnootmarkering"/>
          <w:sz w:val="16"/>
          <w:szCs w:val="16"/>
          <w:lang w:val="nl-NL"/>
        </w:rPr>
        <w:footnoteRef/>
      </w:r>
      <w:r w:rsidRPr="004F6728">
        <w:rPr>
          <w:sz w:val="16"/>
          <w:szCs w:val="16"/>
          <w:lang w:val="en-US"/>
        </w:rPr>
        <w:t xml:space="preserve"> EHRM 13 </w:t>
      </w:r>
      <w:proofErr w:type="spellStart"/>
      <w:r w:rsidRPr="004F6728">
        <w:rPr>
          <w:sz w:val="16"/>
          <w:szCs w:val="16"/>
          <w:lang w:val="en-US"/>
        </w:rPr>
        <w:t>juni</w:t>
      </w:r>
      <w:proofErr w:type="spellEnd"/>
      <w:r w:rsidRPr="004F6728">
        <w:rPr>
          <w:sz w:val="16"/>
          <w:szCs w:val="16"/>
          <w:lang w:val="en-US"/>
        </w:rPr>
        <w:t xml:space="preserve"> 1979, nr. 6833/74, </w:t>
      </w:r>
      <w:r w:rsidRPr="004F6728">
        <w:rPr>
          <w:i/>
          <w:iCs/>
          <w:sz w:val="16"/>
          <w:szCs w:val="16"/>
          <w:lang w:val="en-US"/>
        </w:rPr>
        <w:t>Marckx/</w:t>
      </w:r>
      <w:proofErr w:type="spellStart"/>
      <w:r w:rsidRPr="004F6728">
        <w:rPr>
          <w:i/>
          <w:iCs/>
          <w:sz w:val="16"/>
          <w:szCs w:val="16"/>
          <w:lang w:val="en-US"/>
        </w:rPr>
        <w:t>België</w:t>
      </w:r>
      <w:proofErr w:type="spellEnd"/>
      <w:r w:rsidRPr="004F6728">
        <w:rPr>
          <w:sz w:val="16"/>
          <w:szCs w:val="16"/>
          <w:lang w:val="en-US"/>
        </w:rPr>
        <w:t>, §45</w:t>
      </w:r>
      <w:r w:rsidR="00EE22E8">
        <w:rPr>
          <w:sz w:val="16"/>
          <w:szCs w:val="16"/>
          <w:lang w:val="en-US"/>
        </w:rPr>
        <w:t xml:space="preserve">: </w:t>
      </w:r>
      <w:r w:rsidR="00EE22E8" w:rsidRPr="00EE22E8">
        <w:rPr>
          <w:sz w:val="16"/>
          <w:szCs w:val="16"/>
          <w:lang w:val="en-US"/>
        </w:rPr>
        <w:t>“family lif</w:t>
      </w:r>
      <w:r w:rsidR="00EE22E8">
        <w:rPr>
          <w:sz w:val="16"/>
          <w:szCs w:val="16"/>
          <w:lang w:val="en-US"/>
        </w:rPr>
        <w:t xml:space="preserve">e (…) </w:t>
      </w:r>
      <w:r w:rsidR="00EE22E8" w:rsidRPr="00EE22E8">
        <w:rPr>
          <w:sz w:val="16"/>
          <w:szCs w:val="16"/>
          <w:lang w:val="en-US"/>
        </w:rPr>
        <w:t>includes at least the ties between near relatives, for instance those between grandparents and grandchildren</w:t>
      </w:r>
      <w:r w:rsidR="007B634A">
        <w:rPr>
          <w:sz w:val="16"/>
          <w:szCs w:val="16"/>
          <w:lang w:val="en-US"/>
        </w:rPr>
        <w:t>”</w:t>
      </w:r>
      <w:r w:rsidR="00EE22E8" w:rsidRPr="00EE22E8">
        <w:rPr>
          <w:sz w:val="16"/>
          <w:szCs w:val="16"/>
          <w:lang w:val="en-US"/>
        </w:rPr>
        <w:t>, but also and especially stated that grandparents “may play a considerable part in family life”</w:t>
      </w:r>
      <w:r w:rsidRPr="00EE22E8">
        <w:rPr>
          <w:sz w:val="16"/>
          <w:szCs w:val="16"/>
          <w:lang w:val="en-US"/>
        </w:rPr>
        <w:t>;</w:t>
      </w:r>
      <w:r w:rsidRPr="004F6728">
        <w:rPr>
          <w:sz w:val="16"/>
          <w:szCs w:val="16"/>
          <w:lang w:val="en-US"/>
        </w:rPr>
        <w:t xml:space="preserve"> EHRM 13 </w:t>
      </w:r>
      <w:proofErr w:type="spellStart"/>
      <w:r w:rsidRPr="004F6728">
        <w:rPr>
          <w:sz w:val="16"/>
          <w:szCs w:val="16"/>
          <w:lang w:val="en-US"/>
        </w:rPr>
        <w:t>juli</w:t>
      </w:r>
      <w:proofErr w:type="spellEnd"/>
      <w:r w:rsidRPr="004F6728">
        <w:rPr>
          <w:sz w:val="16"/>
          <w:szCs w:val="16"/>
          <w:lang w:val="en-US"/>
        </w:rPr>
        <w:t xml:space="preserve"> 2004, nr. 69498/01, </w:t>
      </w:r>
      <w:proofErr w:type="spellStart"/>
      <w:r w:rsidRPr="004F6728">
        <w:rPr>
          <w:i/>
          <w:iCs/>
          <w:sz w:val="16"/>
          <w:szCs w:val="16"/>
          <w:lang w:val="en-US"/>
        </w:rPr>
        <w:t>Pla</w:t>
      </w:r>
      <w:proofErr w:type="spellEnd"/>
      <w:r w:rsidRPr="004F6728">
        <w:rPr>
          <w:i/>
          <w:iCs/>
          <w:sz w:val="16"/>
          <w:szCs w:val="16"/>
          <w:lang w:val="en-US"/>
        </w:rPr>
        <w:t xml:space="preserve"> en </w:t>
      </w:r>
      <w:proofErr w:type="spellStart"/>
      <w:r w:rsidRPr="004F6728">
        <w:rPr>
          <w:i/>
          <w:iCs/>
          <w:sz w:val="16"/>
          <w:szCs w:val="16"/>
          <w:lang w:val="en-US"/>
        </w:rPr>
        <w:t>Poncernau</w:t>
      </w:r>
      <w:proofErr w:type="spellEnd"/>
      <w:r w:rsidRPr="004F6728">
        <w:rPr>
          <w:i/>
          <w:iCs/>
          <w:sz w:val="16"/>
          <w:szCs w:val="16"/>
          <w:lang w:val="en-US"/>
        </w:rPr>
        <w:t>/Andorra</w:t>
      </w:r>
      <w:r w:rsidRPr="004F6728">
        <w:rPr>
          <w:sz w:val="16"/>
          <w:szCs w:val="16"/>
          <w:lang w:val="en-US"/>
        </w:rPr>
        <w:t xml:space="preserve">, §26; EHRM 27 </w:t>
      </w:r>
      <w:proofErr w:type="spellStart"/>
      <w:r w:rsidRPr="004F6728">
        <w:rPr>
          <w:sz w:val="16"/>
          <w:szCs w:val="16"/>
          <w:lang w:val="en-US"/>
        </w:rPr>
        <w:t>april</w:t>
      </w:r>
      <w:proofErr w:type="spellEnd"/>
      <w:r w:rsidRPr="004F6728">
        <w:rPr>
          <w:sz w:val="16"/>
          <w:szCs w:val="16"/>
          <w:lang w:val="en-US"/>
        </w:rPr>
        <w:t xml:space="preserve"> 2010, nr. 16318/07, </w:t>
      </w:r>
      <w:r w:rsidRPr="004F6728">
        <w:rPr>
          <w:i/>
          <w:iCs/>
          <w:sz w:val="16"/>
          <w:szCs w:val="16"/>
          <w:lang w:val="en-US"/>
        </w:rPr>
        <w:t>Moretti et Benedetti/</w:t>
      </w:r>
      <w:proofErr w:type="spellStart"/>
      <w:r w:rsidRPr="004F6728">
        <w:rPr>
          <w:i/>
          <w:iCs/>
          <w:sz w:val="16"/>
          <w:szCs w:val="16"/>
          <w:lang w:val="en-US"/>
        </w:rPr>
        <w:t>Italië</w:t>
      </w:r>
      <w:proofErr w:type="spellEnd"/>
      <w:r w:rsidRPr="004F6728">
        <w:rPr>
          <w:sz w:val="16"/>
          <w:szCs w:val="16"/>
          <w:lang w:val="en-US"/>
        </w:rPr>
        <w:t xml:space="preserve">, §54; EHRM 25 </w:t>
      </w:r>
      <w:proofErr w:type="spellStart"/>
      <w:r w:rsidRPr="004F6728">
        <w:rPr>
          <w:sz w:val="16"/>
          <w:szCs w:val="16"/>
          <w:lang w:val="en-US"/>
        </w:rPr>
        <w:t>november</w:t>
      </w:r>
      <w:proofErr w:type="spellEnd"/>
      <w:r w:rsidRPr="004F6728">
        <w:rPr>
          <w:sz w:val="16"/>
          <w:szCs w:val="16"/>
          <w:lang w:val="en-US"/>
        </w:rPr>
        <w:t xml:space="preserve"> 2014, nr. 10140/13, </w:t>
      </w:r>
      <w:proofErr w:type="spellStart"/>
      <w:r w:rsidRPr="004F6728">
        <w:rPr>
          <w:i/>
          <w:sz w:val="16"/>
          <w:szCs w:val="16"/>
          <w:lang w:val="en-US"/>
        </w:rPr>
        <w:t>Kruskic</w:t>
      </w:r>
      <w:proofErr w:type="spellEnd"/>
      <w:r w:rsidRPr="004F6728">
        <w:rPr>
          <w:i/>
          <w:sz w:val="16"/>
          <w:szCs w:val="16"/>
          <w:lang w:val="en-US"/>
        </w:rPr>
        <w:t>/</w:t>
      </w:r>
      <w:proofErr w:type="spellStart"/>
      <w:r w:rsidRPr="004F6728">
        <w:rPr>
          <w:i/>
          <w:sz w:val="16"/>
          <w:szCs w:val="16"/>
          <w:lang w:val="en-US"/>
        </w:rPr>
        <w:t>Kroatië</w:t>
      </w:r>
      <w:proofErr w:type="spellEnd"/>
      <w:r w:rsidRPr="004F6728">
        <w:rPr>
          <w:iCs/>
          <w:sz w:val="16"/>
          <w:szCs w:val="16"/>
          <w:lang w:val="en-US"/>
        </w:rPr>
        <w:t xml:space="preserve">, </w:t>
      </w:r>
      <w:r w:rsidR="007B634A">
        <w:rPr>
          <w:iCs/>
          <w:sz w:val="16"/>
          <w:szCs w:val="16"/>
          <w:lang w:val="en-US"/>
        </w:rPr>
        <w:t>§108-§</w:t>
      </w:r>
      <w:r w:rsidRPr="004F6728">
        <w:rPr>
          <w:iCs/>
          <w:sz w:val="16"/>
          <w:szCs w:val="16"/>
          <w:lang w:val="en-US"/>
        </w:rPr>
        <w:t>112;</w:t>
      </w:r>
      <w:r w:rsidRPr="004F6728">
        <w:rPr>
          <w:sz w:val="16"/>
          <w:szCs w:val="16"/>
          <w:lang w:val="en-US"/>
        </w:rPr>
        <w:t xml:space="preserve"> </w:t>
      </w:r>
      <w:r w:rsidRPr="004F6728">
        <w:rPr>
          <w:iCs/>
          <w:sz w:val="16"/>
          <w:szCs w:val="16"/>
          <w:lang w:val="en-US"/>
        </w:rPr>
        <w:t xml:space="preserve">EHRM 20 </w:t>
      </w:r>
      <w:proofErr w:type="spellStart"/>
      <w:r w:rsidRPr="004F6728">
        <w:rPr>
          <w:iCs/>
          <w:sz w:val="16"/>
          <w:szCs w:val="16"/>
          <w:lang w:val="en-US"/>
        </w:rPr>
        <w:t>januari</w:t>
      </w:r>
      <w:proofErr w:type="spellEnd"/>
      <w:r w:rsidRPr="004F6728">
        <w:rPr>
          <w:iCs/>
          <w:sz w:val="16"/>
          <w:szCs w:val="16"/>
          <w:lang w:val="en-US"/>
        </w:rPr>
        <w:t xml:space="preserve"> 2015, nr. 107/10, </w:t>
      </w:r>
      <w:proofErr w:type="spellStart"/>
      <w:r w:rsidRPr="004F6728">
        <w:rPr>
          <w:i/>
          <w:sz w:val="16"/>
          <w:szCs w:val="16"/>
          <w:lang w:val="en-US"/>
        </w:rPr>
        <w:t>Manuello</w:t>
      </w:r>
      <w:proofErr w:type="spellEnd"/>
      <w:r w:rsidRPr="004F6728">
        <w:rPr>
          <w:i/>
          <w:sz w:val="16"/>
          <w:szCs w:val="16"/>
          <w:lang w:val="en-US"/>
        </w:rPr>
        <w:t xml:space="preserve"> en Nevi/</w:t>
      </w:r>
      <w:proofErr w:type="spellStart"/>
      <w:r w:rsidRPr="004F6728">
        <w:rPr>
          <w:i/>
          <w:sz w:val="16"/>
          <w:szCs w:val="16"/>
          <w:lang w:val="en-US"/>
        </w:rPr>
        <w:t>Italië</w:t>
      </w:r>
      <w:proofErr w:type="spellEnd"/>
      <w:r w:rsidRPr="004F6728">
        <w:rPr>
          <w:iCs/>
          <w:sz w:val="16"/>
          <w:szCs w:val="16"/>
          <w:lang w:val="en-US"/>
        </w:rPr>
        <w:t xml:space="preserve">, §53; </w:t>
      </w:r>
      <w:r w:rsidRPr="004F6728">
        <w:rPr>
          <w:sz w:val="16"/>
          <w:szCs w:val="16"/>
          <w:lang w:val="en-US"/>
        </w:rPr>
        <w:t xml:space="preserve">T. WUYTS, </w:t>
      </w:r>
      <w:proofErr w:type="spellStart"/>
      <w:r w:rsidRPr="004F6728">
        <w:rPr>
          <w:i/>
          <w:iCs/>
          <w:sz w:val="16"/>
          <w:szCs w:val="16"/>
          <w:lang w:val="en-US"/>
        </w:rPr>
        <w:t>Ouderlijk</w:t>
      </w:r>
      <w:proofErr w:type="spellEnd"/>
      <w:r w:rsidRPr="004F6728">
        <w:rPr>
          <w:i/>
          <w:iCs/>
          <w:sz w:val="16"/>
          <w:szCs w:val="16"/>
          <w:lang w:val="en-US"/>
        </w:rPr>
        <w:t xml:space="preserve"> </w:t>
      </w:r>
      <w:proofErr w:type="spellStart"/>
      <w:r w:rsidRPr="004F6728">
        <w:rPr>
          <w:i/>
          <w:iCs/>
          <w:sz w:val="16"/>
          <w:szCs w:val="16"/>
          <w:lang w:val="en-US"/>
        </w:rPr>
        <w:t>gezag</w:t>
      </w:r>
      <w:proofErr w:type="spellEnd"/>
      <w:r w:rsidRPr="004F6728">
        <w:rPr>
          <w:sz w:val="16"/>
          <w:szCs w:val="16"/>
          <w:lang w:val="en-US"/>
        </w:rPr>
        <w:t xml:space="preserve">, </w:t>
      </w:r>
      <w:proofErr w:type="spellStart"/>
      <w:r w:rsidRPr="004F6728">
        <w:rPr>
          <w:sz w:val="16"/>
          <w:szCs w:val="16"/>
          <w:lang w:val="en-US"/>
        </w:rPr>
        <w:t>Antwerpen</w:t>
      </w:r>
      <w:proofErr w:type="spellEnd"/>
      <w:r w:rsidRPr="004F6728">
        <w:rPr>
          <w:sz w:val="16"/>
          <w:szCs w:val="16"/>
          <w:lang w:val="en-US"/>
        </w:rPr>
        <w:t xml:space="preserve">, Intersentia, 2013, 482; K. SANDBERG, “Grandparents’ and grandchildren’s right to contact under the European Convention on Human Rights”, </w:t>
      </w:r>
      <w:r w:rsidRPr="004F6728">
        <w:rPr>
          <w:i/>
          <w:sz w:val="16"/>
          <w:szCs w:val="16"/>
          <w:lang w:val="en-US"/>
        </w:rPr>
        <w:t>Family &amp; Law</w:t>
      </w:r>
      <w:r w:rsidRPr="004F6728">
        <w:rPr>
          <w:sz w:val="16"/>
          <w:szCs w:val="16"/>
          <w:lang w:val="en-US"/>
        </w:rPr>
        <w:t xml:space="preserve"> 2021, DOI:10.5553/</w:t>
      </w:r>
      <w:proofErr w:type="spellStart"/>
      <w:r w:rsidRPr="004F6728">
        <w:rPr>
          <w:sz w:val="16"/>
          <w:szCs w:val="16"/>
          <w:lang w:val="en-US"/>
        </w:rPr>
        <w:t>FenR</w:t>
      </w:r>
      <w:proofErr w:type="spellEnd"/>
      <w:r w:rsidRPr="004F6728">
        <w:rPr>
          <w:sz w:val="16"/>
          <w:szCs w:val="16"/>
          <w:lang w:val="en-US"/>
        </w:rPr>
        <w:t>/.000050, 2-3.</w:t>
      </w:r>
    </w:p>
  </w:footnote>
  <w:footnote w:id="207">
    <w:p w14:paraId="07515060" w14:textId="069849FB" w:rsidR="00C57AF9" w:rsidRPr="0086280A" w:rsidRDefault="00C57AF9" w:rsidP="005C4D5C">
      <w:pPr>
        <w:pStyle w:val="Voetnoottekst"/>
        <w:jc w:val="both"/>
        <w:rPr>
          <w:i/>
          <w:sz w:val="16"/>
          <w:szCs w:val="16"/>
          <w:lang w:val="nl-NL"/>
        </w:rPr>
      </w:pPr>
      <w:r w:rsidRPr="0086280A">
        <w:rPr>
          <w:rStyle w:val="Voetnootmarkering"/>
          <w:sz w:val="16"/>
          <w:szCs w:val="16"/>
          <w:lang w:val="nl-NL"/>
        </w:rPr>
        <w:footnoteRef/>
      </w:r>
      <w:r w:rsidRPr="0086280A">
        <w:rPr>
          <w:sz w:val="16"/>
          <w:szCs w:val="16"/>
          <w:lang w:val="nl-NL"/>
        </w:rPr>
        <w:t xml:space="preserve"> EHRM 24 maart 1988, nr. 10465/83, </w:t>
      </w:r>
      <w:r w:rsidRPr="0086280A">
        <w:rPr>
          <w:i/>
          <w:iCs/>
          <w:sz w:val="16"/>
          <w:szCs w:val="16"/>
          <w:lang w:val="nl-NL"/>
        </w:rPr>
        <w:t>Olsson/Zweden</w:t>
      </w:r>
      <w:r w:rsidRPr="0086280A">
        <w:rPr>
          <w:sz w:val="16"/>
          <w:szCs w:val="16"/>
          <w:lang w:val="nl-NL"/>
        </w:rPr>
        <w:t xml:space="preserve">, §59; EHRM 12 juli 2001, nr. 25702/94, </w:t>
      </w:r>
      <w:r w:rsidRPr="0086280A">
        <w:rPr>
          <w:i/>
          <w:iCs/>
          <w:sz w:val="16"/>
          <w:szCs w:val="16"/>
          <w:lang w:val="nl-NL"/>
        </w:rPr>
        <w:t>K. en T./Finland</w:t>
      </w:r>
      <w:r w:rsidRPr="0086280A">
        <w:rPr>
          <w:sz w:val="16"/>
          <w:szCs w:val="16"/>
          <w:lang w:val="nl-NL"/>
        </w:rPr>
        <w:t xml:space="preserve">, §151; EHRM 21 december 2010, nr. 20578/07, </w:t>
      </w:r>
      <w:r w:rsidRPr="0086280A">
        <w:rPr>
          <w:i/>
          <w:iCs/>
          <w:sz w:val="16"/>
          <w:szCs w:val="16"/>
          <w:lang w:val="nl-NL"/>
        </w:rPr>
        <w:t>Anayo/Duitsland</w:t>
      </w:r>
      <w:r w:rsidRPr="0086280A">
        <w:rPr>
          <w:sz w:val="16"/>
          <w:szCs w:val="16"/>
          <w:lang w:val="nl-NL"/>
        </w:rPr>
        <w:t xml:space="preserve">, §67 en §71 (recht op omgang behoort niet alleen tot het recht op eerbiediging van het familie- en gezinsleven, maar ook tot het recht op eerbiediging van het privéleven); EHRM 15 september 2011, nr. 17080/07, </w:t>
      </w:r>
      <w:r w:rsidRPr="0086280A">
        <w:rPr>
          <w:i/>
          <w:iCs/>
          <w:sz w:val="16"/>
          <w:szCs w:val="16"/>
          <w:lang w:val="nl-NL"/>
        </w:rPr>
        <w:t>Schneider/Duitsland</w:t>
      </w:r>
      <w:r w:rsidRPr="0086280A">
        <w:rPr>
          <w:sz w:val="16"/>
          <w:szCs w:val="16"/>
          <w:lang w:val="nl-NL"/>
        </w:rPr>
        <w:t xml:space="preserve">, §93; </w:t>
      </w:r>
      <w:r w:rsidRPr="0086280A">
        <w:rPr>
          <w:iCs/>
          <w:sz w:val="16"/>
          <w:szCs w:val="16"/>
          <w:lang w:val="nl-NL"/>
        </w:rPr>
        <w:t xml:space="preserve">EHRM 1 april 2021, nr. 70896/17, </w:t>
      </w:r>
      <w:r w:rsidRPr="0086280A">
        <w:rPr>
          <w:i/>
          <w:sz w:val="16"/>
          <w:szCs w:val="16"/>
          <w:lang w:val="nl-NL"/>
        </w:rPr>
        <w:t>A.I./Italië,</w:t>
      </w:r>
      <w:r w:rsidRPr="0086280A">
        <w:rPr>
          <w:iCs/>
          <w:sz w:val="16"/>
          <w:szCs w:val="16"/>
          <w:lang w:val="nl-NL"/>
        </w:rPr>
        <w:t xml:space="preserve"> §83;</w:t>
      </w:r>
      <w:r w:rsidRPr="0086280A">
        <w:rPr>
          <w:sz w:val="16"/>
          <w:szCs w:val="16"/>
          <w:lang w:val="nl-NL"/>
        </w:rPr>
        <w:t xml:space="preserve"> T. WUYTS, </w:t>
      </w:r>
      <w:r w:rsidRPr="0086280A">
        <w:rPr>
          <w:i/>
          <w:iCs/>
          <w:sz w:val="16"/>
          <w:szCs w:val="16"/>
          <w:lang w:val="nl-NL"/>
        </w:rPr>
        <w:t>Ouderlijk gezag</w:t>
      </w:r>
      <w:r w:rsidRPr="0086280A">
        <w:rPr>
          <w:sz w:val="16"/>
          <w:szCs w:val="16"/>
          <w:lang w:val="nl-NL"/>
        </w:rPr>
        <w:t>, Antwerpen, Intersentia, 2013, 459 en 550.</w:t>
      </w:r>
    </w:p>
  </w:footnote>
  <w:footnote w:id="208">
    <w:p w14:paraId="2ABEAA47" w14:textId="39694DD2" w:rsidR="00C57AF9" w:rsidRPr="00EE22E8" w:rsidRDefault="00C57AF9" w:rsidP="00EE22E8">
      <w:pPr>
        <w:pStyle w:val="Voetnoottekst"/>
        <w:jc w:val="both"/>
        <w:rPr>
          <w:i/>
          <w:iCs/>
          <w:sz w:val="16"/>
          <w:szCs w:val="16"/>
          <w:lang w:val="nl-NL"/>
        </w:rPr>
      </w:pPr>
      <w:r w:rsidRPr="0086280A">
        <w:rPr>
          <w:rStyle w:val="Voetnootmarkering"/>
          <w:sz w:val="16"/>
          <w:szCs w:val="16"/>
          <w:lang w:val="nl-NL"/>
        </w:rPr>
        <w:footnoteRef/>
      </w:r>
      <w:r w:rsidRPr="0086280A">
        <w:rPr>
          <w:sz w:val="16"/>
          <w:szCs w:val="16"/>
          <w:lang w:val="nl-NL"/>
        </w:rPr>
        <w:t xml:space="preserve"> </w:t>
      </w:r>
      <w:r w:rsidR="00EE22E8">
        <w:rPr>
          <w:sz w:val="16"/>
          <w:szCs w:val="16"/>
          <w:lang w:val="nl-NL"/>
        </w:rPr>
        <w:t xml:space="preserve">Zie </w:t>
      </w:r>
      <w:r w:rsidR="00EE22E8" w:rsidRPr="00EE22E8">
        <w:rPr>
          <w:sz w:val="16"/>
          <w:szCs w:val="16"/>
          <w:lang w:val="nl-NL"/>
        </w:rPr>
        <w:t xml:space="preserve">EHRM 14 januari 2021, nr. 21052/18, </w:t>
      </w:r>
      <w:r w:rsidR="00EE22E8" w:rsidRPr="00EE22E8">
        <w:rPr>
          <w:i/>
          <w:iCs/>
          <w:sz w:val="16"/>
          <w:szCs w:val="16"/>
          <w:lang w:val="nl-NL"/>
        </w:rPr>
        <w:t>Terna/Italië</w:t>
      </w:r>
      <w:r w:rsidR="00EE22E8">
        <w:rPr>
          <w:sz w:val="16"/>
          <w:szCs w:val="16"/>
          <w:lang w:val="nl-NL"/>
        </w:rPr>
        <w:t>, §60 (</w:t>
      </w:r>
      <w:proofErr w:type="spellStart"/>
      <w:r w:rsidR="00EE22E8">
        <w:rPr>
          <w:sz w:val="16"/>
          <w:szCs w:val="16"/>
          <w:lang w:val="nl-NL"/>
        </w:rPr>
        <w:t>vigilance</w:t>
      </w:r>
      <w:proofErr w:type="spellEnd"/>
      <w:r w:rsidR="00EE22E8">
        <w:rPr>
          <w:sz w:val="16"/>
          <w:szCs w:val="16"/>
          <w:lang w:val="nl-NL"/>
        </w:rPr>
        <w:t>) en §62 (</w:t>
      </w:r>
      <w:proofErr w:type="spellStart"/>
      <w:r w:rsidR="00EE22E8">
        <w:rPr>
          <w:sz w:val="16"/>
          <w:szCs w:val="16"/>
          <w:lang w:val="nl-NL"/>
        </w:rPr>
        <w:t>prudence</w:t>
      </w:r>
      <w:proofErr w:type="spellEnd"/>
      <w:r w:rsidR="00EE22E8">
        <w:rPr>
          <w:sz w:val="16"/>
          <w:szCs w:val="16"/>
          <w:lang w:val="nl-NL"/>
        </w:rPr>
        <w:t>) en §73 (diligence) en §65 (</w:t>
      </w:r>
      <w:proofErr w:type="spellStart"/>
      <w:r w:rsidR="00EE22E8">
        <w:rPr>
          <w:sz w:val="16"/>
          <w:szCs w:val="16"/>
          <w:lang w:val="nl-NL"/>
        </w:rPr>
        <w:t>rapidity</w:t>
      </w:r>
      <w:proofErr w:type="spellEnd"/>
      <w:r w:rsidR="00EE22E8">
        <w:rPr>
          <w:sz w:val="16"/>
          <w:szCs w:val="16"/>
          <w:lang w:val="nl-NL"/>
        </w:rPr>
        <w:t>) en §60 (</w:t>
      </w:r>
      <w:proofErr w:type="spellStart"/>
      <w:r w:rsidR="00EE22E8">
        <w:rPr>
          <w:sz w:val="16"/>
          <w:szCs w:val="16"/>
          <w:lang w:val="nl-NL"/>
        </w:rPr>
        <w:t>adequancy</w:t>
      </w:r>
      <w:proofErr w:type="spellEnd"/>
      <w:r w:rsidR="00EE22E8">
        <w:rPr>
          <w:sz w:val="16"/>
          <w:szCs w:val="16"/>
          <w:lang w:val="nl-NL"/>
        </w:rPr>
        <w:t xml:space="preserve"> and </w:t>
      </w:r>
      <w:proofErr w:type="spellStart"/>
      <w:r w:rsidR="00EE22E8">
        <w:rPr>
          <w:sz w:val="16"/>
          <w:szCs w:val="16"/>
          <w:lang w:val="nl-NL"/>
        </w:rPr>
        <w:t>specificity</w:t>
      </w:r>
      <w:proofErr w:type="spellEnd"/>
      <w:r w:rsidR="00EE22E8">
        <w:rPr>
          <w:sz w:val="16"/>
          <w:szCs w:val="16"/>
          <w:lang w:val="nl-NL"/>
        </w:rPr>
        <w:t xml:space="preserve"> of the measures taken); </w:t>
      </w:r>
      <w:r w:rsidRPr="00EE22E8">
        <w:rPr>
          <w:sz w:val="16"/>
          <w:szCs w:val="16"/>
          <w:lang w:val="nl-NL"/>
        </w:rPr>
        <w:t>T</w:t>
      </w:r>
      <w:r w:rsidRPr="0086280A">
        <w:rPr>
          <w:sz w:val="16"/>
          <w:szCs w:val="16"/>
          <w:lang w:val="nl-NL"/>
        </w:rPr>
        <w:t xml:space="preserve">. WUYTS, </w:t>
      </w:r>
      <w:r w:rsidRPr="0086280A">
        <w:rPr>
          <w:i/>
          <w:iCs/>
          <w:sz w:val="16"/>
          <w:szCs w:val="16"/>
          <w:lang w:val="nl-NL"/>
        </w:rPr>
        <w:t>Ouderlijk gezag</w:t>
      </w:r>
      <w:r w:rsidRPr="0086280A">
        <w:rPr>
          <w:sz w:val="16"/>
          <w:szCs w:val="16"/>
          <w:lang w:val="nl-NL"/>
        </w:rPr>
        <w:t>, Antwerpen, Intersentia, 2013, 459 en 550.</w:t>
      </w:r>
    </w:p>
  </w:footnote>
  <w:footnote w:id="209">
    <w:p w14:paraId="367352A9" w14:textId="0C30C1D9"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EHRM 16 december 1992, nr. 13710/88, </w:t>
      </w:r>
      <w:r w:rsidRPr="0086280A">
        <w:rPr>
          <w:i/>
          <w:iCs/>
          <w:sz w:val="16"/>
          <w:szCs w:val="16"/>
          <w:lang w:val="nl-NL"/>
        </w:rPr>
        <w:t>Niemietz/Duitsland</w:t>
      </w:r>
      <w:r w:rsidRPr="0086280A">
        <w:rPr>
          <w:sz w:val="16"/>
          <w:szCs w:val="16"/>
          <w:lang w:val="nl-NL"/>
        </w:rPr>
        <w:t xml:space="preserve">, §29; EHRM 7 februari 2002, nr. 53176/99, </w:t>
      </w:r>
      <w:r w:rsidRPr="0086280A">
        <w:rPr>
          <w:i/>
          <w:iCs/>
          <w:sz w:val="16"/>
          <w:szCs w:val="16"/>
          <w:lang w:val="nl-NL"/>
        </w:rPr>
        <w:t xml:space="preserve">Mikulic/Kroatië, </w:t>
      </w:r>
      <w:r w:rsidRPr="0086280A">
        <w:rPr>
          <w:sz w:val="16"/>
          <w:szCs w:val="16"/>
          <w:lang w:val="nl-NL"/>
        </w:rPr>
        <w:t xml:space="preserve">§53; EHRM 26 februari 2002, nr. 46544/99, </w:t>
      </w:r>
      <w:r w:rsidRPr="0086280A">
        <w:rPr>
          <w:i/>
          <w:sz w:val="16"/>
          <w:szCs w:val="16"/>
          <w:lang w:val="nl-NL"/>
        </w:rPr>
        <w:t>Kutzner/Duitsland</w:t>
      </w:r>
      <w:r w:rsidRPr="0086280A">
        <w:rPr>
          <w:sz w:val="16"/>
          <w:szCs w:val="16"/>
          <w:lang w:val="nl-NL"/>
        </w:rPr>
        <w:t xml:space="preserve">, §58; EHRM 7 mei 2009, nr. 3451/05, </w:t>
      </w:r>
      <w:r w:rsidRPr="0086280A">
        <w:rPr>
          <w:i/>
          <w:iCs/>
          <w:sz w:val="16"/>
          <w:szCs w:val="16"/>
          <w:lang w:val="nl-NL"/>
        </w:rPr>
        <w:t>Kalacheva/Rusland</w:t>
      </w:r>
      <w:r w:rsidRPr="0086280A">
        <w:rPr>
          <w:sz w:val="16"/>
          <w:szCs w:val="16"/>
          <w:lang w:val="nl-NL"/>
        </w:rPr>
        <w:t xml:space="preserve">, §27; T. WUYTS, </w:t>
      </w:r>
      <w:r w:rsidRPr="0086280A">
        <w:rPr>
          <w:i/>
          <w:iCs/>
          <w:sz w:val="16"/>
          <w:szCs w:val="16"/>
          <w:lang w:val="nl-NL"/>
        </w:rPr>
        <w:t>Ouderlijk gezag</w:t>
      </w:r>
      <w:r w:rsidRPr="0086280A">
        <w:rPr>
          <w:sz w:val="16"/>
          <w:szCs w:val="16"/>
          <w:lang w:val="nl-NL"/>
        </w:rPr>
        <w:t>, Antwerpen, Intersentia, 2013, 468.</w:t>
      </w:r>
    </w:p>
  </w:footnote>
  <w:footnote w:id="210">
    <w:p w14:paraId="0623D1F3" w14:textId="2CDA4164"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t>
      </w:r>
      <w:r w:rsidR="00F01248" w:rsidRPr="0086280A">
        <w:rPr>
          <w:sz w:val="16"/>
          <w:szCs w:val="16"/>
          <w:lang w:val="nl-NL"/>
        </w:rPr>
        <w:t xml:space="preserve">EHRM 22 april 1997, </w:t>
      </w:r>
      <w:r w:rsidR="00F01248" w:rsidRPr="0086280A">
        <w:rPr>
          <w:rFonts w:eastAsia="Verdana" w:cs="Verdana"/>
          <w:sz w:val="16"/>
          <w:szCs w:val="16"/>
          <w:lang w:val="nl-NL" w:eastAsia="nl-NL"/>
        </w:rPr>
        <w:t xml:space="preserve">nr. </w:t>
      </w:r>
      <w:r w:rsidR="00F01248" w:rsidRPr="0086280A">
        <w:rPr>
          <w:rFonts w:eastAsia="Verdana" w:cs="Verdana"/>
          <w:sz w:val="16"/>
          <w:szCs w:val="16"/>
          <w:lang w:val="nl-NL"/>
        </w:rPr>
        <w:t>21830/93</w:t>
      </w:r>
      <w:r w:rsidR="00F01248" w:rsidRPr="0086280A">
        <w:rPr>
          <w:sz w:val="16"/>
          <w:szCs w:val="16"/>
          <w:lang w:val="nl-NL"/>
        </w:rPr>
        <w:t xml:space="preserve">, </w:t>
      </w:r>
      <w:r w:rsidR="00F01248" w:rsidRPr="0086280A">
        <w:rPr>
          <w:i/>
          <w:iCs/>
          <w:sz w:val="16"/>
          <w:szCs w:val="16"/>
          <w:lang w:val="nl-NL"/>
        </w:rPr>
        <w:t>X, Y en Z/Verenigd Koninkrijk</w:t>
      </w:r>
      <w:r w:rsidR="00F01248" w:rsidRPr="0086280A">
        <w:rPr>
          <w:sz w:val="16"/>
          <w:szCs w:val="16"/>
          <w:lang w:val="nl-NL"/>
        </w:rPr>
        <w:t xml:space="preserve">, §36; </w:t>
      </w:r>
      <w:r w:rsidRPr="0086280A">
        <w:rPr>
          <w:sz w:val="16"/>
          <w:szCs w:val="16"/>
          <w:lang w:val="nl-NL"/>
        </w:rPr>
        <w:t xml:space="preserve">EHRM 13 juni 1979, nr. 6833/74, </w:t>
      </w:r>
      <w:r w:rsidRPr="0086280A">
        <w:rPr>
          <w:i/>
          <w:iCs/>
          <w:sz w:val="16"/>
          <w:szCs w:val="16"/>
          <w:lang w:val="nl-NL"/>
        </w:rPr>
        <w:t>Marckx/België</w:t>
      </w:r>
      <w:r w:rsidRPr="0086280A">
        <w:rPr>
          <w:sz w:val="16"/>
          <w:szCs w:val="16"/>
          <w:lang w:val="nl-NL"/>
        </w:rPr>
        <w:t xml:space="preserve">, §31; EHRM 13 december 2007, nr. 39051/03, </w:t>
      </w:r>
      <w:r w:rsidRPr="0086280A">
        <w:rPr>
          <w:i/>
          <w:iCs/>
          <w:sz w:val="16"/>
          <w:szCs w:val="16"/>
          <w:lang w:val="nl-NL"/>
        </w:rPr>
        <w:t>Emonet e.a./Zwitserland</w:t>
      </w:r>
      <w:r w:rsidRPr="0086280A">
        <w:rPr>
          <w:sz w:val="16"/>
          <w:szCs w:val="16"/>
          <w:lang w:val="nl-NL"/>
        </w:rPr>
        <w:t xml:space="preserve">, §33; EHRM 13 januari 2009, nr. 33932/06, </w:t>
      </w:r>
      <w:r w:rsidRPr="0086280A">
        <w:rPr>
          <w:i/>
          <w:iCs/>
          <w:sz w:val="16"/>
          <w:szCs w:val="16"/>
          <w:lang w:val="nl-NL"/>
        </w:rPr>
        <w:t>Todorova/Italië</w:t>
      </w:r>
      <w:r w:rsidRPr="0086280A">
        <w:rPr>
          <w:sz w:val="16"/>
          <w:szCs w:val="16"/>
          <w:lang w:val="nl-NL"/>
        </w:rPr>
        <w:t xml:space="preserve">, §51; T. WUYTS, </w:t>
      </w:r>
      <w:r w:rsidRPr="0086280A">
        <w:rPr>
          <w:i/>
          <w:iCs/>
          <w:sz w:val="16"/>
          <w:szCs w:val="16"/>
          <w:lang w:val="nl-NL"/>
        </w:rPr>
        <w:t>Ouderlijk gezag</w:t>
      </w:r>
      <w:r w:rsidRPr="0086280A">
        <w:rPr>
          <w:sz w:val="16"/>
          <w:szCs w:val="16"/>
          <w:lang w:val="nl-NL"/>
        </w:rPr>
        <w:t>, Antwerpen, Intersentia, 2013, 472.</w:t>
      </w:r>
    </w:p>
  </w:footnote>
  <w:footnote w:id="211">
    <w:p w14:paraId="4A6F1C46" w14:textId="534D1CC8"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ook EHRM 29 juni 2004, nr. 63637/04, </w:t>
      </w:r>
      <w:r w:rsidRPr="0086280A">
        <w:rPr>
          <w:i/>
          <w:iCs/>
          <w:sz w:val="16"/>
          <w:szCs w:val="16"/>
          <w:lang w:val="nl-NL"/>
        </w:rPr>
        <w:t>Volesky/République Tchèque</w:t>
      </w:r>
      <w:r w:rsidRPr="0086280A">
        <w:rPr>
          <w:sz w:val="16"/>
          <w:szCs w:val="16"/>
          <w:lang w:val="nl-NL"/>
        </w:rPr>
        <w:t xml:space="preserve">; EHRM 28 juni 2005, nr. 60145/00, </w:t>
      </w:r>
      <w:r w:rsidRPr="0086280A">
        <w:rPr>
          <w:i/>
          <w:iCs/>
          <w:sz w:val="16"/>
          <w:szCs w:val="16"/>
          <w:lang w:val="nl-NL"/>
        </w:rPr>
        <w:t>Fourchon/Frankrijk</w:t>
      </w:r>
      <w:r w:rsidRPr="0086280A">
        <w:rPr>
          <w:sz w:val="16"/>
          <w:szCs w:val="16"/>
          <w:lang w:val="nl-NL"/>
        </w:rPr>
        <w:t xml:space="preserve">; EHRM 30 juni 2005, nr. 30595/02, </w:t>
      </w:r>
      <w:r w:rsidRPr="0086280A">
        <w:rPr>
          <w:i/>
          <w:iCs/>
          <w:sz w:val="16"/>
          <w:szCs w:val="16"/>
          <w:lang w:val="nl-NL"/>
        </w:rPr>
        <w:t>Bove/Italië</w:t>
      </w:r>
      <w:r w:rsidRPr="0086280A">
        <w:rPr>
          <w:sz w:val="16"/>
          <w:szCs w:val="16"/>
          <w:lang w:val="nl-NL"/>
        </w:rPr>
        <w:t xml:space="preserve">; T. WUYTS, </w:t>
      </w:r>
      <w:r w:rsidRPr="0086280A">
        <w:rPr>
          <w:i/>
          <w:iCs/>
          <w:sz w:val="16"/>
          <w:szCs w:val="16"/>
          <w:lang w:val="nl-NL"/>
        </w:rPr>
        <w:t>Ouderlijk gezag</w:t>
      </w:r>
      <w:r w:rsidRPr="0086280A">
        <w:rPr>
          <w:sz w:val="16"/>
          <w:szCs w:val="16"/>
          <w:lang w:val="nl-NL"/>
        </w:rPr>
        <w:t>, Antwerpen, Intersentia, 2013, 459.</w:t>
      </w:r>
    </w:p>
  </w:footnote>
  <w:footnote w:id="212">
    <w:p w14:paraId="00C6BD7D" w14:textId="77777777"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T. WUYTS, </w:t>
      </w:r>
      <w:r w:rsidRPr="0086280A">
        <w:rPr>
          <w:i/>
          <w:iCs/>
          <w:sz w:val="16"/>
          <w:szCs w:val="16"/>
          <w:lang w:val="nl-NL"/>
        </w:rPr>
        <w:t>Ouderlijk gezag</w:t>
      </w:r>
      <w:r w:rsidRPr="0086280A">
        <w:rPr>
          <w:sz w:val="16"/>
          <w:szCs w:val="16"/>
          <w:lang w:val="nl-NL"/>
        </w:rPr>
        <w:t>, Antwerpen, Intersentia, 2013, 458.</w:t>
      </w:r>
    </w:p>
  </w:footnote>
  <w:footnote w:id="213">
    <w:p w14:paraId="2D3919EF" w14:textId="56A01D1E"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w:t>
      </w:r>
      <w:r w:rsidR="00B2283D" w:rsidRPr="004F6728">
        <w:rPr>
          <w:i/>
          <w:iCs/>
          <w:sz w:val="16"/>
          <w:szCs w:val="16"/>
          <w:lang w:val="en-US"/>
        </w:rPr>
        <w:t>Ibid</w:t>
      </w:r>
      <w:r w:rsidRPr="004F6728">
        <w:rPr>
          <w:sz w:val="16"/>
          <w:szCs w:val="16"/>
          <w:lang w:val="en-US"/>
        </w:rPr>
        <w:t>.</w:t>
      </w:r>
    </w:p>
  </w:footnote>
  <w:footnote w:id="214">
    <w:p w14:paraId="61141C32" w14:textId="021DCD44"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EUROPEAN UNION AGENCY FOR FUNDAMENTAL RIGHTS AND COUNCIL OF EUROPE</w:t>
      </w:r>
      <w:r w:rsidRPr="004F6728">
        <w:rPr>
          <w:i/>
          <w:sz w:val="16"/>
          <w:szCs w:val="16"/>
          <w:lang w:val="en-US"/>
        </w:rPr>
        <w:t>, Handbook on European law relating to the rights of the child</w:t>
      </w:r>
      <w:r w:rsidRPr="004F6728">
        <w:rPr>
          <w:sz w:val="16"/>
          <w:szCs w:val="16"/>
          <w:lang w:val="en-US"/>
        </w:rPr>
        <w:t xml:space="preserve">, Luxemburg, Bureau </w:t>
      </w:r>
      <w:proofErr w:type="spellStart"/>
      <w:r w:rsidRPr="004F6728">
        <w:rPr>
          <w:sz w:val="16"/>
          <w:szCs w:val="16"/>
          <w:lang w:val="en-US"/>
        </w:rPr>
        <w:t>voor</w:t>
      </w:r>
      <w:proofErr w:type="spellEnd"/>
      <w:r w:rsidRPr="004F6728">
        <w:rPr>
          <w:sz w:val="16"/>
          <w:szCs w:val="16"/>
          <w:lang w:val="en-US"/>
        </w:rPr>
        <w:t xml:space="preserve"> </w:t>
      </w:r>
      <w:proofErr w:type="spellStart"/>
      <w:r w:rsidRPr="004F6728">
        <w:rPr>
          <w:sz w:val="16"/>
          <w:szCs w:val="16"/>
          <w:lang w:val="en-US"/>
        </w:rPr>
        <w:t>publicaties</w:t>
      </w:r>
      <w:proofErr w:type="spellEnd"/>
      <w:r w:rsidRPr="004F6728">
        <w:rPr>
          <w:sz w:val="16"/>
          <w:szCs w:val="16"/>
          <w:lang w:val="en-US"/>
        </w:rPr>
        <w:t xml:space="preserve"> van de </w:t>
      </w:r>
      <w:proofErr w:type="spellStart"/>
      <w:r w:rsidRPr="004F6728">
        <w:rPr>
          <w:sz w:val="16"/>
          <w:szCs w:val="16"/>
          <w:lang w:val="en-US"/>
        </w:rPr>
        <w:t>Europese</w:t>
      </w:r>
      <w:proofErr w:type="spellEnd"/>
      <w:r w:rsidRPr="004F6728">
        <w:rPr>
          <w:sz w:val="16"/>
          <w:szCs w:val="16"/>
          <w:lang w:val="en-US"/>
        </w:rPr>
        <w:t xml:space="preserve"> </w:t>
      </w:r>
      <w:proofErr w:type="spellStart"/>
      <w:r w:rsidRPr="004F6728">
        <w:rPr>
          <w:sz w:val="16"/>
          <w:szCs w:val="16"/>
          <w:lang w:val="en-US"/>
        </w:rPr>
        <w:t>Unie</w:t>
      </w:r>
      <w:proofErr w:type="spellEnd"/>
      <w:r w:rsidRPr="004F6728">
        <w:rPr>
          <w:sz w:val="16"/>
          <w:szCs w:val="16"/>
          <w:lang w:val="en-US"/>
        </w:rPr>
        <w:t>, 2022, 18 en 29.</w:t>
      </w:r>
    </w:p>
  </w:footnote>
  <w:footnote w:id="215">
    <w:p w14:paraId="1F4B5762" w14:textId="2F425397"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M. FOROWICZ, </w:t>
      </w:r>
      <w:r w:rsidRPr="004F6728">
        <w:rPr>
          <w:i/>
          <w:iCs/>
          <w:sz w:val="16"/>
          <w:szCs w:val="16"/>
          <w:lang w:val="en-US"/>
        </w:rPr>
        <w:t>The Reception of International Law in the European Court of Human Rights</w:t>
      </w:r>
      <w:r w:rsidRPr="004F6728">
        <w:rPr>
          <w:sz w:val="16"/>
          <w:szCs w:val="16"/>
          <w:lang w:val="en-US"/>
        </w:rPr>
        <w:t>, Oxford, Oxford University Press, 2010, 123.</w:t>
      </w:r>
    </w:p>
  </w:footnote>
  <w:footnote w:id="216">
    <w:p w14:paraId="15E92400" w14:textId="275ED947" w:rsidR="00C57AF9" w:rsidRPr="0086280A" w:rsidRDefault="00C57AF9" w:rsidP="005C4D5C">
      <w:pPr>
        <w:pStyle w:val="Voetnoottekst"/>
        <w:jc w:val="both"/>
        <w:rPr>
          <w:iCs/>
          <w:sz w:val="16"/>
          <w:szCs w:val="16"/>
          <w:lang w:val="nl-NL"/>
        </w:rPr>
      </w:pPr>
      <w:r w:rsidRPr="0086280A">
        <w:rPr>
          <w:rStyle w:val="Voetnootmarkering"/>
          <w:sz w:val="16"/>
          <w:szCs w:val="16"/>
          <w:lang w:val="nl-NL"/>
        </w:rPr>
        <w:footnoteRef/>
      </w:r>
      <w:r w:rsidRPr="0086280A">
        <w:rPr>
          <w:sz w:val="16"/>
          <w:szCs w:val="16"/>
          <w:lang w:val="nl-NL"/>
        </w:rPr>
        <w:t xml:space="preserve"> Het EHRM houdt dan ook rekening met “any relevant rules of international law applicable in relations between parties” en dus ook met de internationale mensenrechten: EHRM 6 juli 2010, nr. 41615/07, </w:t>
      </w:r>
      <w:r w:rsidRPr="0086280A">
        <w:rPr>
          <w:i/>
          <w:sz w:val="16"/>
          <w:szCs w:val="16"/>
          <w:lang w:val="nl-NL"/>
        </w:rPr>
        <w:t>Neulinger en Shuruk/Zwitserland</w:t>
      </w:r>
      <w:r w:rsidRPr="0086280A">
        <w:rPr>
          <w:iCs/>
          <w:sz w:val="16"/>
          <w:szCs w:val="16"/>
          <w:lang w:val="nl-NL"/>
        </w:rPr>
        <w:t>, §131.</w:t>
      </w:r>
    </w:p>
  </w:footnote>
  <w:footnote w:id="217">
    <w:p w14:paraId="4CB9B057" w14:textId="36A513EB"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EUROPEAN UNION AGENCY FOR FUNDAMENTAL RIGHTS AND COUNCIL OF EUROPE</w:t>
      </w:r>
      <w:r w:rsidRPr="004F6728">
        <w:rPr>
          <w:i/>
          <w:sz w:val="16"/>
          <w:szCs w:val="16"/>
          <w:lang w:val="en-US"/>
        </w:rPr>
        <w:t>, Handbook on European law relating to the rights of the child</w:t>
      </w:r>
      <w:r w:rsidRPr="004F6728">
        <w:rPr>
          <w:sz w:val="16"/>
          <w:szCs w:val="16"/>
          <w:lang w:val="en-US"/>
        </w:rPr>
        <w:t xml:space="preserve">, Luxemburg, Bureau </w:t>
      </w:r>
      <w:proofErr w:type="spellStart"/>
      <w:r w:rsidRPr="004F6728">
        <w:rPr>
          <w:sz w:val="16"/>
          <w:szCs w:val="16"/>
          <w:lang w:val="en-US"/>
        </w:rPr>
        <w:t>voor</w:t>
      </w:r>
      <w:proofErr w:type="spellEnd"/>
      <w:r w:rsidRPr="004F6728">
        <w:rPr>
          <w:sz w:val="16"/>
          <w:szCs w:val="16"/>
          <w:lang w:val="en-US"/>
        </w:rPr>
        <w:t xml:space="preserve"> </w:t>
      </w:r>
      <w:proofErr w:type="spellStart"/>
      <w:r w:rsidRPr="004F6728">
        <w:rPr>
          <w:sz w:val="16"/>
          <w:szCs w:val="16"/>
          <w:lang w:val="en-US"/>
        </w:rPr>
        <w:t>publicaties</w:t>
      </w:r>
      <w:proofErr w:type="spellEnd"/>
      <w:r w:rsidRPr="004F6728">
        <w:rPr>
          <w:sz w:val="16"/>
          <w:szCs w:val="16"/>
          <w:lang w:val="en-US"/>
        </w:rPr>
        <w:t xml:space="preserve"> van de </w:t>
      </w:r>
      <w:proofErr w:type="spellStart"/>
      <w:r w:rsidRPr="004F6728">
        <w:rPr>
          <w:sz w:val="16"/>
          <w:szCs w:val="16"/>
          <w:lang w:val="en-US"/>
        </w:rPr>
        <w:t>Europese</w:t>
      </w:r>
      <w:proofErr w:type="spellEnd"/>
      <w:r w:rsidRPr="004F6728">
        <w:rPr>
          <w:sz w:val="16"/>
          <w:szCs w:val="16"/>
          <w:lang w:val="en-US"/>
        </w:rPr>
        <w:t xml:space="preserve"> </w:t>
      </w:r>
      <w:proofErr w:type="spellStart"/>
      <w:r w:rsidRPr="004F6728">
        <w:rPr>
          <w:sz w:val="16"/>
          <w:szCs w:val="16"/>
          <w:lang w:val="en-US"/>
        </w:rPr>
        <w:t>Unie</w:t>
      </w:r>
      <w:proofErr w:type="spellEnd"/>
      <w:r w:rsidRPr="004F6728">
        <w:rPr>
          <w:sz w:val="16"/>
          <w:szCs w:val="16"/>
          <w:lang w:val="en-US"/>
        </w:rPr>
        <w:t>, 2022, 27.</w:t>
      </w:r>
    </w:p>
  </w:footnote>
  <w:footnote w:id="218">
    <w:p w14:paraId="6BF73CCC" w14:textId="1AD7D510" w:rsidR="00C57AF9" w:rsidRPr="004F6728" w:rsidRDefault="00C57AF9" w:rsidP="005C4D5C">
      <w:pPr>
        <w:pStyle w:val="Voetnoottekst"/>
        <w:jc w:val="both"/>
        <w:rPr>
          <w:i/>
          <w:sz w:val="16"/>
          <w:szCs w:val="16"/>
          <w:lang w:val="en-US"/>
        </w:rPr>
      </w:pPr>
      <w:r w:rsidRPr="0086280A">
        <w:rPr>
          <w:rStyle w:val="Voetnootmarkering"/>
          <w:sz w:val="16"/>
          <w:szCs w:val="16"/>
          <w:lang w:val="nl-NL"/>
        </w:rPr>
        <w:footnoteRef/>
      </w:r>
      <w:r w:rsidRPr="004F6728">
        <w:rPr>
          <w:sz w:val="16"/>
          <w:szCs w:val="16"/>
          <w:lang w:val="en-US"/>
        </w:rPr>
        <w:t xml:space="preserve"> </w:t>
      </w:r>
      <w:r w:rsidRPr="004F6728">
        <w:rPr>
          <w:iCs/>
          <w:sz w:val="16"/>
          <w:szCs w:val="16"/>
          <w:lang w:val="en-US"/>
        </w:rPr>
        <w:t xml:space="preserve">EHRM 1 </w:t>
      </w:r>
      <w:proofErr w:type="spellStart"/>
      <w:r w:rsidRPr="004F6728">
        <w:rPr>
          <w:iCs/>
          <w:sz w:val="16"/>
          <w:szCs w:val="16"/>
          <w:lang w:val="en-US"/>
        </w:rPr>
        <w:t>april</w:t>
      </w:r>
      <w:proofErr w:type="spellEnd"/>
      <w:r w:rsidRPr="004F6728">
        <w:rPr>
          <w:iCs/>
          <w:sz w:val="16"/>
          <w:szCs w:val="16"/>
          <w:lang w:val="en-US"/>
        </w:rPr>
        <w:t xml:space="preserve"> 2021, nr. 70896/17, </w:t>
      </w:r>
      <w:r w:rsidRPr="004F6728">
        <w:rPr>
          <w:i/>
          <w:sz w:val="16"/>
          <w:szCs w:val="16"/>
          <w:lang w:val="en-US"/>
        </w:rPr>
        <w:t>A.I./</w:t>
      </w:r>
      <w:proofErr w:type="spellStart"/>
      <w:r w:rsidRPr="004F6728">
        <w:rPr>
          <w:i/>
          <w:sz w:val="16"/>
          <w:szCs w:val="16"/>
          <w:lang w:val="en-US"/>
        </w:rPr>
        <w:t>Italië</w:t>
      </w:r>
      <w:proofErr w:type="spellEnd"/>
      <w:r w:rsidRPr="004F6728">
        <w:rPr>
          <w:iCs/>
          <w:sz w:val="16"/>
          <w:szCs w:val="16"/>
          <w:lang w:val="en-US"/>
        </w:rPr>
        <w:t>;</w:t>
      </w:r>
      <w:r w:rsidRPr="004F6728">
        <w:rPr>
          <w:sz w:val="16"/>
          <w:szCs w:val="16"/>
          <w:lang w:val="en-US"/>
        </w:rPr>
        <w:t xml:space="preserve"> U. KILKELLY, “The best of both worlds for children’s rights? Interpreting the European Convention on Human Rights in the light of the UN Convention on the Rights of the Child”, </w:t>
      </w:r>
      <w:r w:rsidRPr="004F6728">
        <w:rPr>
          <w:i/>
          <w:iCs/>
          <w:sz w:val="16"/>
          <w:szCs w:val="16"/>
          <w:lang w:val="en-US"/>
        </w:rPr>
        <w:t>Human Rights Quarterly</w:t>
      </w:r>
      <w:r w:rsidRPr="004F6728">
        <w:rPr>
          <w:sz w:val="16"/>
          <w:szCs w:val="16"/>
          <w:lang w:val="en-US"/>
        </w:rPr>
        <w:t xml:space="preserve"> 2001, </w:t>
      </w:r>
      <w:r w:rsidR="00EA0506">
        <w:rPr>
          <w:sz w:val="16"/>
          <w:szCs w:val="16"/>
          <w:lang w:val="en-US"/>
        </w:rPr>
        <w:t xml:space="preserve">(308) </w:t>
      </w:r>
      <w:r w:rsidRPr="004F6728">
        <w:rPr>
          <w:sz w:val="16"/>
          <w:szCs w:val="16"/>
          <w:lang w:val="en-US"/>
        </w:rPr>
        <w:t>324.</w:t>
      </w:r>
    </w:p>
  </w:footnote>
  <w:footnote w:id="219">
    <w:p w14:paraId="47F69C60" w14:textId="7E57BC8A"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EHRM 25 september 2008, nr. 26664/03, </w:t>
      </w:r>
      <w:r w:rsidRPr="0086280A">
        <w:rPr>
          <w:i/>
          <w:iCs/>
          <w:sz w:val="16"/>
          <w:szCs w:val="16"/>
          <w:lang w:val="nl-NL"/>
        </w:rPr>
        <w:t>K.T./Noorwegen</w:t>
      </w:r>
      <w:r w:rsidRPr="0086280A">
        <w:rPr>
          <w:sz w:val="16"/>
          <w:szCs w:val="16"/>
          <w:lang w:val="nl-NL"/>
        </w:rPr>
        <w:t>, §45.</w:t>
      </w:r>
    </w:p>
  </w:footnote>
  <w:footnote w:id="220">
    <w:p w14:paraId="5120DF1A" w14:textId="0DE7DA98"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w:t>
      </w:r>
      <w:r w:rsidR="00E30953" w:rsidRPr="004F6728">
        <w:rPr>
          <w:sz w:val="16"/>
          <w:szCs w:val="16"/>
          <w:lang w:val="en-US"/>
        </w:rPr>
        <w:t xml:space="preserve">M. FOROWICZ, </w:t>
      </w:r>
      <w:r w:rsidR="00E30953" w:rsidRPr="004F6728">
        <w:rPr>
          <w:i/>
          <w:iCs/>
          <w:sz w:val="16"/>
          <w:szCs w:val="16"/>
          <w:lang w:val="en-US"/>
        </w:rPr>
        <w:t>The Reception of International Law in the European Court of Human Rights</w:t>
      </w:r>
      <w:r w:rsidR="00E30953" w:rsidRPr="004F6728">
        <w:rPr>
          <w:sz w:val="16"/>
          <w:szCs w:val="16"/>
          <w:lang w:val="en-US"/>
        </w:rPr>
        <w:t>, Oxford, Oxford University Press, 2010, 123-124</w:t>
      </w:r>
      <w:r w:rsidR="00E30953">
        <w:rPr>
          <w:sz w:val="16"/>
          <w:szCs w:val="16"/>
          <w:lang w:val="en-US"/>
        </w:rPr>
        <w:t xml:space="preserve">; </w:t>
      </w:r>
      <w:r w:rsidRPr="004F6728">
        <w:rPr>
          <w:sz w:val="16"/>
          <w:szCs w:val="16"/>
          <w:lang w:val="en-US"/>
        </w:rPr>
        <w:t xml:space="preserve">U. KILKELLY, “The best of both worlds for children’s rights? Interpreting the European Convention on Human Rights in the light of the UN Convention on the Rights of the Child”, </w:t>
      </w:r>
      <w:r w:rsidRPr="004F6728">
        <w:rPr>
          <w:i/>
          <w:iCs/>
          <w:sz w:val="16"/>
          <w:szCs w:val="16"/>
          <w:lang w:val="en-US"/>
        </w:rPr>
        <w:t>Human Rights Quarterly</w:t>
      </w:r>
      <w:r w:rsidRPr="004F6728">
        <w:rPr>
          <w:sz w:val="16"/>
          <w:szCs w:val="16"/>
          <w:lang w:val="en-US"/>
        </w:rPr>
        <w:t xml:space="preserve"> 2001, </w:t>
      </w:r>
      <w:r w:rsidR="00EA0506">
        <w:rPr>
          <w:sz w:val="16"/>
          <w:szCs w:val="16"/>
          <w:lang w:val="en-US"/>
        </w:rPr>
        <w:t xml:space="preserve">(308) </w:t>
      </w:r>
      <w:r w:rsidRPr="004F6728">
        <w:rPr>
          <w:sz w:val="16"/>
          <w:szCs w:val="16"/>
          <w:lang w:val="en-US"/>
        </w:rPr>
        <w:t>311.</w:t>
      </w:r>
    </w:p>
  </w:footnote>
  <w:footnote w:id="221">
    <w:p w14:paraId="2DF87340" w14:textId="13E4BB77"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EHRM, 12 </w:t>
      </w:r>
      <w:proofErr w:type="spellStart"/>
      <w:r w:rsidRPr="004F6728">
        <w:rPr>
          <w:sz w:val="16"/>
          <w:szCs w:val="16"/>
          <w:lang w:val="en-US"/>
        </w:rPr>
        <w:t>juli</w:t>
      </w:r>
      <w:proofErr w:type="spellEnd"/>
      <w:r w:rsidRPr="004F6728">
        <w:rPr>
          <w:sz w:val="16"/>
          <w:szCs w:val="16"/>
          <w:lang w:val="en-US"/>
        </w:rPr>
        <w:t xml:space="preserve"> 2001, nr. 25702/94, </w:t>
      </w:r>
      <w:r w:rsidRPr="004F6728">
        <w:rPr>
          <w:i/>
          <w:iCs/>
          <w:sz w:val="16"/>
          <w:szCs w:val="16"/>
          <w:lang w:val="en-US"/>
        </w:rPr>
        <w:t>K. en T./Finland</w:t>
      </w:r>
      <w:r w:rsidRPr="004F6728">
        <w:rPr>
          <w:sz w:val="16"/>
          <w:szCs w:val="16"/>
          <w:lang w:val="en-US"/>
        </w:rPr>
        <w:t xml:space="preserve">, §151: “As is well established in the Court’s case-law, the mutual enjoyment by parent and child of each other’s company constitutes a </w:t>
      </w:r>
      <w:r w:rsidRPr="004F6728">
        <w:rPr>
          <w:sz w:val="16"/>
          <w:szCs w:val="16"/>
          <w:u w:val="single"/>
          <w:lang w:val="en-US"/>
        </w:rPr>
        <w:t>fundamental element of family life</w:t>
      </w:r>
      <w:r w:rsidRPr="004F6728">
        <w:rPr>
          <w:sz w:val="16"/>
          <w:szCs w:val="16"/>
          <w:lang w:val="en-US"/>
        </w:rPr>
        <w:t xml:space="preserve">, and domestic measures hindering such enjoyment amount to an interference with the right protected by Article 8 of the Convention”; EHRM 15 </w:t>
      </w:r>
      <w:proofErr w:type="spellStart"/>
      <w:r w:rsidRPr="004F6728">
        <w:rPr>
          <w:sz w:val="16"/>
          <w:szCs w:val="16"/>
          <w:lang w:val="en-US"/>
        </w:rPr>
        <w:t>maart</w:t>
      </w:r>
      <w:proofErr w:type="spellEnd"/>
      <w:r w:rsidRPr="004F6728">
        <w:rPr>
          <w:sz w:val="16"/>
          <w:szCs w:val="16"/>
          <w:lang w:val="en-US"/>
        </w:rPr>
        <w:t xml:space="preserve"> 2012, nr. 35141/06, </w:t>
      </w:r>
      <w:r w:rsidRPr="004F6728">
        <w:rPr>
          <w:i/>
          <w:iCs/>
          <w:sz w:val="16"/>
          <w:szCs w:val="16"/>
          <w:lang w:val="en-US"/>
        </w:rPr>
        <w:t>Levin/</w:t>
      </w:r>
      <w:proofErr w:type="spellStart"/>
      <w:r w:rsidRPr="004F6728">
        <w:rPr>
          <w:i/>
          <w:iCs/>
          <w:sz w:val="16"/>
          <w:szCs w:val="16"/>
          <w:lang w:val="en-US"/>
        </w:rPr>
        <w:t>Zweden</w:t>
      </w:r>
      <w:proofErr w:type="spellEnd"/>
      <w:r w:rsidRPr="004F6728">
        <w:rPr>
          <w:sz w:val="16"/>
          <w:szCs w:val="16"/>
          <w:lang w:val="en-US"/>
        </w:rPr>
        <w:t xml:space="preserve">, §57 en §69; EHRM 14 </w:t>
      </w:r>
      <w:proofErr w:type="spellStart"/>
      <w:r w:rsidRPr="004F6728">
        <w:rPr>
          <w:sz w:val="16"/>
          <w:szCs w:val="16"/>
          <w:lang w:val="en-US"/>
        </w:rPr>
        <w:t>februari</w:t>
      </w:r>
      <w:proofErr w:type="spellEnd"/>
      <w:r w:rsidRPr="004F6728">
        <w:rPr>
          <w:sz w:val="16"/>
          <w:szCs w:val="16"/>
          <w:lang w:val="en-US"/>
        </w:rPr>
        <w:t xml:space="preserve"> 2023, nr. 10477/21, </w:t>
      </w:r>
      <w:proofErr w:type="spellStart"/>
      <w:r w:rsidRPr="004F6728">
        <w:rPr>
          <w:i/>
          <w:iCs/>
          <w:sz w:val="16"/>
          <w:szCs w:val="16"/>
          <w:lang w:val="en-US"/>
        </w:rPr>
        <w:t>Bycenko</w:t>
      </w:r>
      <w:proofErr w:type="spellEnd"/>
      <w:r w:rsidRPr="004F6728">
        <w:rPr>
          <w:i/>
          <w:iCs/>
          <w:sz w:val="16"/>
          <w:szCs w:val="16"/>
          <w:lang w:val="en-US"/>
        </w:rPr>
        <w:t>/</w:t>
      </w:r>
      <w:proofErr w:type="spellStart"/>
      <w:r w:rsidRPr="004F6728">
        <w:rPr>
          <w:i/>
          <w:iCs/>
          <w:sz w:val="16"/>
          <w:szCs w:val="16"/>
          <w:lang w:val="en-US"/>
        </w:rPr>
        <w:t>Lithuanië</w:t>
      </w:r>
      <w:proofErr w:type="spellEnd"/>
      <w:r w:rsidRPr="004F6728">
        <w:rPr>
          <w:sz w:val="16"/>
          <w:szCs w:val="16"/>
          <w:lang w:val="en-US"/>
        </w:rPr>
        <w:t xml:space="preserve">, §101 en §130-131: “the relationship between applicant and his son undoubtedly constitutes family life within the meaning of Article 8 of the Convention. It accepts that the decisions that determined that M. should continue to reside with his mother amounted to an interference with </w:t>
      </w:r>
      <w:r w:rsidRPr="004F6728">
        <w:rPr>
          <w:sz w:val="16"/>
          <w:szCs w:val="16"/>
          <w:u w:val="single"/>
          <w:lang w:val="en-US"/>
        </w:rPr>
        <w:t>the applicant’s</w:t>
      </w:r>
      <w:r w:rsidRPr="004F6728">
        <w:rPr>
          <w:sz w:val="16"/>
          <w:szCs w:val="16"/>
          <w:lang w:val="en-US"/>
        </w:rPr>
        <w:t xml:space="preserve"> right to respect for his family life” (eigen </w:t>
      </w:r>
      <w:proofErr w:type="spellStart"/>
      <w:r w:rsidRPr="004F6728">
        <w:rPr>
          <w:sz w:val="16"/>
          <w:szCs w:val="16"/>
          <w:lang w:val="en-US"/>
        </w:rPr>
        <w:t>nadruk</w:t>
      </w:r>
      <w:proofErr w:type="spellEnd"/>
      <w:r w:rsidRPr="004F6728">
        <w:rPr>
          <w:sz w:val="16"/>
          <w:szCs w:val="16"/>
          <w:lang w:val="en-US"/>
        </w:rPr>
        <w:t>).</w:t>
      </w:r>
    </w:p>
  </w:footnote>
  <w:footnote w:id="222">
    <w:p w14:paraId="2F70CB4A" w14:textId="0D34B3FA"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4F6728">
        <w:rPr>
          <w:sz w:val="16"/>
          <w:szCs w:val="16"/>
          <w:lang w:val="en-US"/>
        </w:rPr>
        <w:t xml:space="preserve"> M.R. BRUNING, D.J.H. SMEETS, K.G.A. BOLSCHER, J.S. PEPER, R. DE BOER, </w:t>
      </w:r>
      <w:r w:rsidRPr="004F6728">
        <w:rPr>
          <w:i/>
          <w:sz w:val="16"/>
          <w:szCs w:val="16"/>
          <w:lang w:val="en-US"/>
        </w:rPr>
        <w:t xml:space="preserve">Kind in </w:t>
      </w:r>
      <w:proofErr w:type="spellStart"/>
      <w:r w:rsidRPr="004F6728">
        <w:rPr>
          <w:i/>
          <w:sz w:val="16"/>
          <w:szCs w:val="16"/>
          <w:lang w:val="en-US"/>
        </w:rPr>
        <w:t>proces</w:t>
      </w:r>
      <w:proofErr w:type="spellEnd"/>
      <w:r w:rsidRPr="004F6728">
        <w:rPr>
          <w:i/>
          <w:sz w:val="16"/>
          <w:szCs w:val="16"/>
          <w:lang w:val="en-US"/>
        </w:rPr>
        <w:t xml:space="preserve">: van </w:t>
      </w:r>
      <w:proofErr w:type="spellStart"/>
      <w:r w:rsidRPr="004F6728">
        <w:rPr>
          <w:i/>
          <w:sz w:val="16"/>
          <w:szCs w:val="16"/>
          <w:lang w:val="en-US"/>
        </w:rPr>
        <w:t>communicatie</w:t>
      </w:r>
      <w:proofErr w:type="spellEnd"/>
      <w:r w:rsidRPr="004F6728">
        <w:rPr>
          <w:i/>
          <w:sz w:val="16"/>
          <w:szCs w:val="16"/>
          <w:lang w:val="en-US"/>
        </w:rPr>
        <w:t xml:space="preserve"> </w:t>
      </w:r>
      <w:proofErr w:type="spellStart"/>
      <w:r w:rsidRPr="004F6728">
        <w:rPr>
          <w:i/>
          <w:sz w:val="16"/>
          <w:szCs w:val="16"/>
          <w:lang w:val="en-US"/>
        </w:rPr>
        <w:t>naar</w:t>
      </w:r>
      <w:proofErr w:type="spellEnd"/>
      <w:r w:rsidRPr="004F6728">
        <w:rPr>
          <w:i/>
          <w:sz w:val="16"/>
          <w:szCs w:val="16"/>
          <w:lang w:val="en-US"/>
        </w:rPr>
        <w:t xml:space="preserve"> </w:t>
      </w:r>
      <w:proofErr w:type="spellStart"/>
      <w:r w:rsidRPr="004F6728">
        <w:rPr>
          <w:i/>
          <w:sz w:val="16"/>
          <w:szCs w:val="16"/>
          <w:lang w:val="en-US"/>
        </w:rPr>
        <w:t>effectieve</w:t>
      </w:r>
      <w:proofErr w:type="spellEnd"/>
      <w:r w:rsidRPr="004F6728">
        <w:rPr>
          <w:i/>
          <w:sz w:val="16"/>
          <w:szCs w:val="16"/>
          <w:lang w:val="en-US"/>
        </w:rPr>
        <w:t xml:space="preserve"> </w:t>
      </w:r>
      <w:proofErr w:type="spellStart"/>
      <w:r w:rsidRPr="004F6728">
        <w:rPr>
          <w:i/>
          <w:sz w:val="16"/>
          <w:szCs w:val="16"/>
          <w:lang w:val="en-US"/>
        </w:rPr>
        <w:t>participatie</w:t>
      </w:r>
      <w:proofErr w:type="spellEnd"/>
      <w:r w:rsidRPr="004F6728">
        <w:rPr>
          <w:i/>
          <w:sz w:val="16"/>
          <w:szCs w:val="16"/>
          <w:lang w:val="en-US"/>
        </w:rPr>
        <w:t xml:space="preserve">. </w:t>
      </w:r>
      <w:r w:rsidRPr="0086280A">
        <w:rPr>
          <w:i/>
          <w:sz w:val="16"/>
          <w:szCs w:val="16"/>
          <w:lang w:val="nl-NL"/>
        </w:rPr>
        <w:t xml:space="preserve">Het hoorrecht en de procespositie van minderjarigen in familie- en jeugdzaken, </w:t>
      </w:r>
      <w:r w:rsidRPr="0086280A">
        <w:rPr>
          <w:sz w:val="16"/>
          <w:szCs w:val="16"/>
          <w:lang w:val="nl-NL"/>
        </w:rPr>
        <w:t>Nijmegen, Wolf Legal Publishers, 2020, 102.</w:t>
      </w:r>
    </w:p>
  </w:footnote>
  <w:footnote w:id="223">
    <w:p w14:paraId="1F4AC95F" w14:textId="18EDA28B"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Zie </w:t>
      </w:r>
      <w:proofErr w:type="spellStart"/>
      <w:r w:rsidRPr="004F6728">
        <w:rPr>
          <w:sz w:val="16"/>
          <w:szCs w:val="16"/>
          <w:lang w:val="en-US"/>
        </w:rPr>
        <w:t>ook</w:t>
      </w:r>
      <w:proofErr w:type="spellEnd"/>
      <w:r w:rsidRPr="004F6728">
        <w:rPr>
          <w:sz w:val="16"/>
          <w:szCs w:val="16"/>
          <w:lang w:val="en-US"/>
        </w:rPr>
        <w:t xml:space="preserve"> M. FOROWICZ, </w:t>
      </w:r>
      <w:r w:rsidRPr="004F6728">
        <w:rPr>
          <w:i/>
          <w:iCs/>
          <w:sz w:val="16"/>
          <w:szCs w:val="16"/>
          <w:lang w:val="en-US"/>
        </w:rPr>
        <w:t>The Reception of International Law in the European Court of Human Rights</w:t>
      </w:r>
      <w:r w:rsidRPr="004F6728">
        <w:rPr>
          <w:sz w:val="16"/>
          <w:szCs w:val="16"/>
          <w:lang w:val="en-US"/>
        </w:rPr>
        <w:t>, Oxford, Oxford University Press, 2010, 107: “From a textual point of view, the ECHR affirms the dominance of parents in context relating to children. This situation evolved over time, as the ECtHR adapted the ECHR to the changing standards in Contracting States”.</w:t>
      </w:r>
    </w:p>
  </w:footnote>
  <w:footnote w:id="224">
    <w:p w14:paraId="7322D21D" w14:textId="4F3171BD"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J</w:t>
      </w:r>
      <w:r w:rsidRPr="0086280A">
        <w:rPr>
          <w:rFonts w:eastAsia="Verdana" w:cs="Verdana"/>
          <w:sz w:val="16"/>
          <w:szCs w:val="16"/>
          <w:lang w:val="nl-NL"/>
        </w:rPr>
        <w:t xml:space="preserve">. </w:t>
      </w:r>
      <w:r w:rsidRPr="0086280A">
        <w:rPr>
          <w:rFonts w:cs="Verdana"/>
          <w:sz w:val="16"/>
          <w:szCs w:val="16"/>
          <w:lang w:val="nl-NL"/>
        </w:rPr>
        <w:t xml:space="preserve">PUT, </w:t>
      </w:r>
      <w:r w:rsidRPr="0086280A">
        <w:rPr>
          <w:rFonts w:cs="Verdana"/>
          <w:i/>
          <w:sz w:val="16"/>
          <w:szCs w:val="16"/>
          <w:lang w:val="nl-NL"/>
        </w:rPr>
        <w:t>Handboek Jeugdbeschermingsrecht</w:t>
      </w:r>
      <w:r w:rsidRPr="0086280A">
        <w:rPr>
          <w:rFonts w:cs="Verdana"/>
          <w:sz w:val="16"/>
          <w:szCs w:val="16"/>
          <w:lang w:val="nl-NL"/>
        </w:rPr>
        <w:t xml:space="preserve">, Brugge, die Keure, 2021, </w:t>
      </w:r>
      <w:r w:rsidRPr="0086280A">
        <w:rPr>
          <w:rFonts w:eastAsia="Verdana" w:cs="Verdana"/>
          <w:sz w:val="16"/>
          <w:szCs w:val="16"/>
          <w:lang w:val="nl-NL"/>
        </w:rPr>
        <w:t xml:space="preserve">112; </w:t>
      </w:r>
      <w:r w:rsidRPr="0086280A">
        <w:rPr>
          <w:sz w:val="16"/>
          <w:szCs w:val="16"/>
          <w:lang w:val="nl-NL"/>
        </w:rPr>
        <w:t xml:space="preserve">C. DE BOE, “La place de l’enfant dans le procès civil”, </w:t>
      </w:r>
      <w:r w:rsidRPr="0086280A">
        <w:rPr>
          <w:i/>
          <w:sz w:val="16"/>
          <w:szCs w:val="16"/>
          <w:lang w:val="nl-NL"/>
        </w:rPr>
        <w:t>JTDE</w:t>
      </w:r>
      <w:r w:rsidRPr="0086280A">
        <w:rPr>
          <w:sz w:val="16"/>
          <w:szCs w:val="16"/>
          <w:lang w:val="nl-NL"/>
        </w:rPr>
        <w:t xml:space="preserve"> 2009, 497-498.</w:t>
      </w:r>
    </w:p>
  </w:footnote>
  <w:footnote w:id="225">
    <w:p w14:paraId="19E395B4" w14:textId="4F55720F"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Oud artikel 22</w:t>
      </w:r>
      <w:r w:rsidRPr="0086280A">
        <w:rPr>
          <w:i/>
          <w:iCs/>
          <w:sz w:val="16"/>
          <w:szCs w:val="16"/>
          <w:lang w:val="nl-NL"/>
        </w:rPr>
        <w:t>bis</w:t>
      </w:r>
      <w:r w:rsidRPr="0086280A">
        <w:rPr>
          <w:sz w:val="16"/>
          <w:szCs w:val="16"/>
          <w:lang w:val="nl-NL"/>
        </w:rPr>
        <w:t xml:space="preserve"> Gw.: “Elk kind heeft recht op eerbiediging van zijn morele, lichamelijke, geestelijke en seksuele integriteit. De wet, het decreet of de in artikel 134 bedoelde regel waarborgen de bescherming van dat recht”.</w:t>
      </w:r>
    </w:p>
  </w:footnote>
  <w:footnote w:id="226">
    <w:p w14:paraId="2E73C707" w14:textId="25CAC96B" w:rsidR="00C57AF9" w:rsidRPr="0086280A" w:rsidRDefault="00C57AF9" w:rsidP="005C4D5C">
      <w:pPr>
        <w:pStyle w:val="Voetnoottekst"/>
        <w:jc w:val="both"/>
        <w:rPr>
          <w:iCs/>
          <w:sz w:val="16"/>
          <w:szCs w:val="16"/>
          <w:lang w:val="nl-NL"/>
        </w:rPr>
      </w:pPr>
      <w:r w:rsidRPr="0086280A">
        <w:rPr>
          <w:rStyle w:val="Voetnootmarkering"/>
          <w:sz w:val="16"/>
          <w:szCs w:val="16"/>
          <w:lang w:val="nl-NL"/>
        </w:rPr>
        <w:footnoteRef/>
      </w:r>
      <w:r w:rsidRPr="0086280A">
        <w:rPr>
          <w:sz w:val="16"/>
          <w:szCs w:val="16"/>
          <w:lang w:val="nl-NL"/>
        </w:rPr>
        <w:t xml:space="preserve"> Voorstel van verklaring tot herziening van titel II van de Grondwet, om nieuwe bepalingen in te voegen die de bescherming van de rechten van het kind verzekeren, </w:t>
      </w:r>
      <w:r w:rsidRPr="0086280A">
        <w:rPr>
          <w:i/>
          <w:iCs/>
          <w:sz w:val="16"/>
          <w:szCs w:val="16"/>
          <w:lang w:val="nl-NL"/>
        </w:rPr>
        <w:t>Parl.St.</w:t>
      </w:r>
      <w:r w:rsidRPr="0086280A">
        <w:rPr>
          <w:sz w:val="16"/>
          <w:szCs w:val="16"/>
          <w:lang w:val="nl-NL"/>
        </w:rPr>
        <w:t xml:space="preserve"> Senaat, 1996-1997, nr. 1-496/1, 1; </w:t>
      </w:r>
      <w:r w:rsidRPr="0086280A">
        <w:rPr>
          <w:iCs/>
          <w:sz w:val="16"/>
          <w:szCs w:val="16"/>
          <w:lang w:val="nl-NL"/>
        </w:rPr>
        <w:t xml:space="preserve">Verslag over het wetsvoorstel tot herziening van titel II van de Grondwet, om nieuwe bepalingen in te voegen die de bescherming van de rechten van het kind op morele, lichamelijke, geestelijke en seksuele integriteit verzekeren, </w:t>
      </w:r>
      <w:r w:rsidRPr="0086280A">
        <w:rPr>
          <w:i/>
          <w:iCs/>
          <w:sz w:val="16"/>
          <w:szCs w:val="16"/>
          <w:lang w:val="nl-NL"/>
        </w:rPr>
        <w:t>Parl.St.</w:t>
      </w:r>
      <w:r w:rsidRPr="0086280A">
        <w:rPr>
          <w:iCs/>
          <w:sz w:val="16"/>
          <w:szCs w:val="16"/>
          <w:lang w:val="nl-NL"/>
        </w:rPr>
        <w:t xml:space="preserve"> Senaat 1999-2000, nr. 2-21/4, 3-4; S. VAN DROOGHENBROECK, “Pour une mise à jour du droit constitutionnel belge des libertés publiques et des droits de l’homme. Réflexions au depart de l’article 22</w:t>
      </w:r>
      <w:r w:rsidRPr="0086280A">
        <w:rPr>
          <w:i/>
          <w:iCs/>
          <w:sz w:val="16"/>
          <w:szCs w:val="16"/>
          <w:lang w:val="nl-NL"/>
        </w:rPr>
        <w:t>bis</w:t>
      </w:r>
      <w:r w:rsidRPr="0086280A">
        <w:rPr>
          <w:iCs/>
          <w:sz w:val="16"/>
          <w:szCs w:val="16"/>
          <w:lang w:val="nl-NL"/>
        </w:rPr>
        <w:t xml:space="preserve"> de la Constitution garantissant le droit de l’enfant à l’intégrité morale, physique et sexuelle”, </w:t>
      </w:r>
      <w:r w:rsidRPr="0086280A">
        <w:rPr>
          <w:i/>
          <w:iCs/>
          <w:sz w:val="16"/>
          <w:szCs w:val="16"/>
          <w:lang w:val="nl-NL"/>
        </w:rPr>
        <w:t>Administration Publique</w:t>
      </w:r>
      <w:r w:rsidRPr="0086280A">
        <w:rPr>
          <w:iCs/>
          <w:sz w:val="16"/>
          <w:szCs w:val="16"/>
          <w:lang w:val="nl-NL"/>
        </w:rPr>
        <w:t xml:space="preserve"> 2001, nr. 3, </w:t>
      </w:r>
      <w:r w:rsidR="00EA0506">
        <w:rPr>
          <w:iCs/>
          <w:sz w:val="16"/>
          <w:szCs w:val="16"/>
          <w:lang w:val="nl-NL"/>
        </w:rPr>
        <w:t xml:space="preserve">(130) </w:t>
      </w:r>
      <w:r w:rsidRPr="0086280A">
        <w:rPr>
          <w:iCs/>
          <w:sz w:val="16"/>
          <w:szCs w:val="16"/>
          <w:lang w:val="nl-NL"/>
        </w:rPr>
        <w:t xml:space="preserve">132: “(…) tout juste traduisent-elles l’existence, à leur égard, de </w:t>
      </w:r>
      <w:r w:rsidRPr="00F578B9">
        <w:rPr>
          <w:iCs/>
          <w:sz w:val="16"/>
          <w:szCs w:val="16"/>
          <w:u w:val="single"/>
          <w:lang w:val="nl-NL"/>
        </w:rPr>
        <w:t>bonnes intentions politiques</w:t>
      </w:r>
      <w:r w:rsidRPr="0086280A">
        <w:rPr>
          <w:iCs/>
          <w:sz w:val="16"/>
          <w:szCs w:val="16"/>
          <w:lang w:val="nl-NL"/>
        </w:rPr>
        <w:t>” en 141: “Au cours de débats qui précédèrent l’adoption de l’article 22</w:t>
      </w:r>
      <w:r w:rsidRPr="0086280A">
        <w:rPr>
          <w:i/>
          <w:sz w:val="16"/>
          <w:szCs w:val="16"/>
          <w:lang w:val="nl-NL"/>
        </w:rPr>
        <w:t>bis</w:t>
      </w:r>
      <w:r w:rsidRPr="0086280A">
        <w:rPr>
          <w:iCs/>
          <w:sz w:val="16"/>
          <w:szCs w:val="16"/>
          <w:lang w:val="nl-NL"/>
        </w:rPr>
        <w:t xml:space="preserve">, nul ne se cacha véritablement que l’utilité de cette disposition ne résidait pas tant, en définitieve, dans un renforcement de l’arsenal jurisique existant, que sur un plan proprement </w:t>
      </w:r>
      <w:r w:rsidRPr="0086280A">
        <w:rPr>
          <w:iCs/>
          <w:sz w:val="16"/>
          <w:szCs w:val="16"/>
          <w:u w:val="single"/>
          <w:lang w:val="nl-NL"/>
        </w:rPr>
        <w:t>politique</w:t>
      </w:r>
      <w:r w:rsidRPr="0086280A">
        <w:rPr>
          <w:iCs/>
          <w:sz w:val="16"/>
          <w:szCs w:val="16"/>
          <w:lang w:val="nl-NL"/>
        </w:rPr>
        <w:t xml:space="preserve">, ou encore </w:t>
      </w:r>
      <w:r w:rsidRPr="0086280A">
        <w:rPr>
          <w:iCs/>
          <w:sz w:val="16"/>
          <w:szCs w:val="16"/>
          <w:u w:val="single"/>
          <w:lang w:val="nl-NL"/>
        </w:rPr>
        <w:t>symbolique</w:t>
      </w:r>
      <w:r w:rsidRPr="0086280A">
        <w:rPr>
          <w:iCs/>
          <w:sz w:val="16"/>
          <w:szCs w:val="16"/>
          <w:lang w:val="nl-NL"/>
        </w:rPr>
        <w:t>”</w:t>
      </w:r>
      <w:r w:rsidR="00F578B9">
        <w:rPr>
          <w:iCs/>
          <w:sz w:val="16"/>
          <w:szCs w:val="16"/>
          <w:lang w:val="nl-NL"/>
        </w:rPr>
        <w:t xml:space="preserve"> (eigen nadruk)</w:t>
      </w:r>
      <w:r w:rsidRPr="0086280A">
        <w:rPr>
          <w:iCs/>
          <w:sz w:val="16"/>
          <w:szCs w:val="16"/>
          <w:lang w:val="nl-NL"/>
        </w:rPr>
        <w:t>.</w:t>
      </w:r>
    </w:p>
  </w:footnote>
  <w:footnote w:id="227">
    <w:p w14:paraId="728CD961" w14:textId="42C10C15"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voor een </w:t>
      </w:r>
      <w:r w:rsidR="00F578B9">
        <w:rPr>
          <w:sz w:val="16"/>
          <w:szCs w:val="16"/>
          <w:lang w:val="nl-NL"/>
        </w:rPr>
        <w:t xml:space="preserve">volledige </w:t>
      </w:r>
      <w:r w:rsidRPr="0086280A">
        <w:rPr>
          <w:sz w:val="16"/>
          <w:szCs w:val="16"/>
          <w:lang w:val="nl-NL"/>
        </w:rPr>
        <w:t xml:space="preserve">uiteenzetting: W. VANDENHOLE, “Twintig jaar kinderrechtenverdrag (1989-2009): een Belgische stand van zaken”, </w:t>
      </w:r>
      <w:r w:rsidRPr="0086280A">
        <w:rPr>
          <w:i/>
          <w:sz w:val="16"/>
          <w:szCs w:val="16"/>
          <w:lang w:val="nl-NL"/>
        </w:rPr>
        <w:t>RW</w:t>
      </w:r>
      <w:r w:rsidRPr="0086280A">
        <w:rPr>
          <w:sz w:val="16"/>
          <w:szCs w:val="16"/>
          <w:lang w:val="nl-NL"/>
        </w:rPr>
        <w:t xml:space="preserve"> 2009-10, </w:t>
      </w:r>
      <w:r w:rsidR="00EA0506">
        <w:rPr>
          <w:sz w:val="16"/>
          <w:szCs w:val="16"/>
          <w:lang w:val="nl-NL"/>
        </w:rPr>
        <w:t xml:space="preserve">(386) </w:t>
      </w:r>
      <w:r w:rsidRPr="0086280A">
        <w:rPr>
          <w:sz w:val="16"/>
          <w:szCs w:val="16"/>
          <w:lang w:val="nl-NL"/>
        </w:rPr>
        <w:t>390.</w:t>
      </w:r>
    </w:p>
  </w:footnote>
  <w:footnote w:id="228">
    <w:p w14:paraId="4AF2D4E9" w14:textId="68F64739"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w:t>
      </w:r>
      <w:r w:rsidR="00E305F7" w:rsidRPr="0086280A">
        <w:rPr>
          <w:sz w:val="16"/>
          <w:szCs w:val="16"/>
          <w:lang w:val="nl-NL"/>
        </w:rPr>
        <w:t xml:space="preserve">Wetsvoorstel (M.C. MARGHEM en C. NYSSENS) tot herziening van artikel 22bis van de Grondwet, </w:t>
      </w:r>
      <w:r w:rsidR="00E305F7" w:rsidRPr="0086280A">
        <w:rPr>
          <w:i/>
          <w:iCs/>
          <w:sz w:val="16"/>
          <w:szCs w:val="16"/>
          <w:lang w:val="nl-NL"/>
        </w:rPr>
        <w:t>Parl.St.</w:t>
      </w:r>
      <w:r w:rsidR="00E305F7" w:rsidRPr="0086280A">
        <w:rPr>
          <w:sz w:val="16"/>
          <w:szCs w:val="16"/>
          <w:lang w:val="nl-NL"/>
        </w:rPr>
        <w:t xml:space="preserve"> Kamer 2007-2008, nr. 52-175/001, 4; </w:t>
      </w:r>
      <w:r w:rsidRPr="0086280A">
        <w:rPr>
          <w:sz w:val="16"/>
          <w:szCs w:val="16"/>
          <w:lang w:val="nl-NL"/>
        </w:rPr>
        <w:t>Verslag namens de commissie voor de institutionele aangelegenheden tot herziening van artikel 22</w:t>
      </w:r>
      <w:r w:rsidRPr="0086280A">
        <w:rPr>
          <w:i/>
          <w:iCs/>
          <w:sz w:val="16"/>
          <w:szCs w:val="16"/>
          <w:lang w:val="nl-NL"/>
        </w:rPr>
        <w:t>bis</w:t>
      </w:r>
      <w:r w:rsidRPr="0086280A">
        <w:rPr>
          <w:sz w:val="16"/>
          <w:szCs w:val="16"/>
          <w:lang w:val="nl-NL"/>
        </w:rPr>
        <w:t xml:space="preserve"> van de Grondwet, </w:t>
      </w:r>
      <w:r w:rsidRPr="0086280A">
        <w:rPr>
          <w:i/>
          <w:iCs/>
          <w:sz w:val="16"/>
          <w:szCs w:val="16"/>
          <w:lang w:val="nl-NL"/>
        </w:rPr>
        <w:t>Parl.St.</w:t>
      </w:r>
      <w:r w:rsidRPr="0086280A">
        <w:rPr>
          <w:sz w:val="16"/>
          <w:szCs w:val="16"/>
          <w:lang w:val="nl-NL"/>
        </w:rPr>
        <w:t xml:space="preserve"> Senaat, 2008-2009, nr. 4-800/2.</w:t>
      </w:r>
    </w:p>
  </w:footnote>
  <w:footnote w:id="229">
    <w:p w14:paraId="60DEC329" w14:textId="77777777"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advies P. LEMMENS in Verslag over de herziening van titel II van de Grondwet, om nieuwe bepalingen in te voegen die de bescherming van de rechten van het kind op morele, lichamelijke, geestelijke en seksuele integriteit verzekeren, </w:t>
      </w:r>
      <w:r w:rsidRPr="0086280A">
        <w:rPr>
          <w:i/>
          <w:iCs/>
          <w:sz w:val="16"/>
          <w:szCs w:val="16"/>
          <w:lang w:val="nl-NL"/>
        </w:rPr>
        <w:t>Parl.St.</w:t>
      </w:r>
      <w:r w:rsidRPr="0086280A">
        <w:rPr>
          <w:sz w:val="16"/>
          <w:szCs w:val="16"/>
          <w:lang w:val="nl-NL"/>
        </w:rPr>
        <w:t xml:space="preserve"> Senaat 1999-2000, nr. 2-21/4, 63-64.</w:t>
      </w:r>
    </w:p>
  </w:footnote>
  <w:footnote w:id="230">
    <w:p w14:paraId="55139337" w14:textId="108C590B" w:rsidR="00C57AF9" w:rsidRPr="0086280A" w:rsidRDefault="00C57AF9" w:rsidP="005C4D5C">
      <w:pPr>
        <w:pStyle w:val="Voetnoottekst"/>
        <w:jc w:val="both"/>
        <w:rPr>
          <w:iCs/>
          <w:sz w:val="16"/>
          <w:szCs w:val="16"/>
          <w:lang w:val="nl-NL"/>
        </w:rPr>
      </w:pPr>
      <w:r w:rsidRPr="0086280A">
        <w:rPr>
          <w:rStyle w:val="Voetnootmarkering"/>
          <w:sz w:val="16"/>
          <w:szCs w:val="16"/>
          <w:lang w:val="nl-NL"/>
        </w:rPr>
        <w:footnoteRef/>
      </w:r>
      <w:r w:rsidRPr="0086280A">
        <w:rPr>
          <w:sz w:val="16"/>
          <w:szCs w:val="16"/>
          <w:lang w:val="nl-NL"/>
        </w:rPr>
        <w:t xml:space="preserve"> Herziening van artikel 22</w:t>
      </w:r>
      <w:r w:rsidRPr="0086280A">
        <w:rPr>
          <w:i/>
          <w:iCs/>
          <w:sz w:val="16"/>
          <w:szCs w:val="16"/>
          <w:lang w:val="nl-NL"/>
        </w:rPr>
        <w:t>bis</w:t>
      </w:r>
      <w:r w:rsidRPr="0086280A">
        <w:rPr>
          <w:sz w:val="16"/>
          <w:szCs w:val="16"/>
          <w:lang w:val="nl-NL"/>
        </w:rPr>
        <w:t xml:space="preserve"> van de Grondwet, teneinde een lid toe te voegen betreffende de bescherming van aanvullende rechten van het kind, </w:t>
      </w:r>
      <w:r w:rsidRPr="0086280A">
        <w:rPr>
          <w:i/>
          <w:sz w:val="16"/>
          <w:szCs w:val="16"/>
          <w:lang w:val="nl-NL"/>
        </w:rPr>
        <w:t>Parl.St</w:t>
      </w:r>
      <w:r w:rsidRPr="0086280A">
        <w:rPr>
          <w:sz w:val="16"/>
          <w:szCs w:val="16"/>
          <w:lang w:val="nl-NL"/>
        </w:rPr>
        <w:t>. Senaat 2004-05, nr. 3-365/3.</w:t>
      </w:r>
    </w:p>
  </w:footnote>
  <w:footnote w:id="231">
    <w:p w14:paraId="5CF1F7E6" w14:textId="160AE744"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(Nieuw) artikel 22bis Gw.: </w:t>
      </w:r>
      <w:r w:rsidRPr="0086280A">
        <w:rPr>
          <w:iCs/>
          <w:sz w:val="16"/>
          <w:szCs w:val="16"/>
          <w:lang w:val="nl-NL"/>
        </w:rPr>
        <w:t>“Elk kind heeft recht op eerbiediging van zijn morele, lichamelijke, geestelijke en seksuele integriteit. Het kind heeft het recht zijn mening te uiten in alle aangelegenheden die het aangaan; met die mening wordt rekening gehouden in overeenstemming met zijn leeftijd en onderscheidingsvermogen. Het kind heeft recht op maatregelen en diensten die zijn ontwikkeling bevorderen. Het belang van het kind is de eerste overweging bij elke beslissing die het kind aangaat. De wet, het decreet of de in artikel 134 bedoelde regel waarborgen de rechten van het kind.”</w:t>
      </w:r>
      <w:r w:rsidRPr="0086280A">
        <w:rPr>
          <w:sz w:val="16"/>
          <w:szCs w:val="16"/>
          <w:lang w:val="nl-NL"/>
        </w:rPr>
        <w:t xml:space="preserve">; Wetsvoorstel (M.C. MARGHEM en C. NYSSENS) tot herziening van artikel 22bis van de Grondwet, </w:t>
      </w:r>
      <w:r w:rsidRPr="0086280A">
        <w:rPr>
          <w:i/>
          <w:iCs/>
          <w:sz w:val="16"/>
          <w:szCs w:val="16"/>
          <w:lang w:val="nl-NL"/>
        </w:rPr>
        <w:t>Parl.St.</w:t>
      </w:r>
      <w:r w:rsidRPr="0086280A">
        <w:rPr>
          <w:sz w:val="16"/>
          <w:szCs w:val="16"/>
          <w:lang w:val="nl-NL"/>
        </w:rPr>
        <w:t xml:space="preserve"> Kamer 2007, nr. 52-175/001, 4.</w:t>
      </w:r>
    </w:p>
  </w:footnote>
  <w:footnote w:id="232">
    <w:p w14:paraId="459F1734" w14:textId="7581C32D"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K. HERBOTS en J. PUT, “De grondwettelijke verankering van kinderrechten”, TJK 2010/1, </w:t>
      </w:r>
      <w:r w:rsidR="00610DF4">
        <w:rPr>
          <w:sz w:val="16"/>
          <w:szCs w:val="16"/>
          <w:lang w:val="nl-NL"/>
        </w:rPr>
        <w:t xml:space="preserve">(9) </w:t>
      </w:r>
      <w:r w:rsidRPr="0086280A">
        <w:rPr>
          <w:sz w:val="16"/>
          <w:szCs w:val="16"/>
          <w:lang w:val="nl-NL"/>
        </w:rPr>
        <w:t>11-12.</w:t>
      </w:r>
    </w:p>
  </w:footnote>
  <w:footnote w:id="233">
    <w:p w14:paraId="49C023FF" w14:textId="71B678F3"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Verslag namens de commissie voor de herziening van de grondwet en de hervorming der instellingen, </w:t>
      </w:r>
      <w:r w:rsidRPr="0086280A">
        <w:rPr>
          <w:i/>
          <w:iCs/>
          <w:sz w:val="16"/>
          <w:szCs w:val="16"/>
          <w:lang w:val="nl-NL"/>
        </w:rPr>
        <w:t>Parl.St.</w:t>
      </w:r>
      <w:r w:rsidRPr="0086280A">
        <w:rPr>
          <w:sz w:val="16"/>
          <w:szCs w:val="16"/>
          <w:lang w:val="nl-NL"/>
        </w:rPr>
        <w:t xml:space="preserve"> Kamer 2007-2008, nr.52-175/005, 5, opmerking C. NYSSENS; M. MALLIEN, </w:t>
      </w:r>
      <w:r w:rsidRPr="0086280A">
        <w:rPr>
          <w:i/>
          <w:sz w:val="16"/>
          <w:szCs w:val="16"/>
          <w:lang w:val="nl-NL"/>
        </w:rPr>
        <w:t>Le contentieux judiciaire parental à propos de l’éducation de l’enfant. Hiérarchie et inventaire des principaux critères d’appréciation retenus par les juges</w:t>
      </w:r>
      <w:r w:rsidRPr="0086280A">
        <w:rPr>
          <w:sz w:val="16"/>
          <w:szCs w:val="16"/>
          <w:lang w:val="nl-NL"/>
        </w:rPr>
        <w:t xml:space="preserve">, Brussel, Larcier, 2017, 108; C. VAN ROY, </w:t>
      </w:r>
      <w:r w:rsidRPr="0086280A">
        <w:rPr>
          <w:i/>
          <w:sz w:val="16"/>
          <w:szCs w:val="16"/>
          <w:lang w:val="nl-NL"/>
        </w:rPr>
        <w:t>De (on)deelbaarheid van het kind</w:t>
      </w:r>
      <w:r w:rsidRPr="0086280A">
        <w:rPr>
          <w:sz w:val="16"/>
          <w:szCs w:val="16"/>
          <w:lang w:val="nl-NL"/>
        </w:rPr>
        <w:t>, Antwerpen, Intersentia, 2021, 50.</w:t>
      </w:r>
    </w:p>
  </w:footnote>
  <w:footnote w:id="234">
    <w:p w14:paraId="4CE29F9D" w14:textId="317AE992"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K. HERBOTS en J. PUT, “De grondwettelijke verankering van kinderrechten”, TJK 2010/1, </w:t>
      </w:r>
      <w:r w:rsidR="00610DF4">
        <w:rPr>
          <w:sz w:val="16"/>
          <w:szCs w:val="16"/>
          <w:lang w:val="nl-NL"/>
        </w:rPr>
        <w:t xml:space="preserve">(9) </w:t>
      </w:r>
      <w:r w:rsidRPr="0086280A">
        <w:rPr>
          <w:sz w:val="16"/>
          <w:szCs w:val="16"/>
          <w:lang w:val="nl-NL"/>
        </w:rPr>
        <w:t>18.</w:t>
      </w:r>
    </w:p>
  </w:footnote>
  <w:footnote w:id="235">
    <w:p w14:paraId="151E8171" w14:textId="2C487CE4" w:rsidR="00C57AF9" w:rsidRPr="0086280A" w:rsidRDefault="00C57AF9" w:rsidP="005C4D5C">
      <w:pPr>
        <w:jc w:val="both"/>
        <w:rPr>
          <w:rFonts w:eastAsia="Verdana" w:cs="Verdana"/>
          <w:sz w:val="16"/>
          <w:szCs w:val="16"/>
          <w:lang w:val="nl-NL"/>
        </w:rPr>
      </w:pPr>
      <w:r w:rsidRPr="0086280A">
        <w:rPr>
          <w:rStyle w:val="Voetnootmarkering"/>
          <w:sz w:val="16"/>
          <w:szCs w:val="16"/>
          <w:lang w:val="nl-NL"/>
        </w:rPr>
        <w:footnoteRef/>
      </w:r>
      <w:r w:rsidRPr="0086280A">
        <w:rPr>
          <w:sz w:val="16"/>
          <w:szCs w:val="16"/>
          <w:lang w:val="nl-NL"/>
        </w:rPr>
        <w:t xml:space="preserve"> </w:t>
      </w:r>
      <w:r w:rsidRPr="0086280A">
        <w:rPr>
          <w:iCs/>
          <w:sz w:val="16"/>
          <w:szCs w:val="16"/>
          <w:lang w:val="nl-NL"/>
        </w:rPr>
        <w:t xml:space="preserve">Verslag over het wetsvoorstel tot herziening van titel II van de Grondwet, om nieuwe bepalingen in te voegen die de bescherming van de rechten van het kind op morele, lichamelijke, geestelijke en seksuele integriteit verzekeren, </w:t>
      </w:r>
      <w:r w:rsidRPr="0086280A">
        <w:rPr>
          <w:i/>
          <w:iCs/>
          <w:sz w:val="16"/>
          <w:szCs w:val="16"/>
          <w:lang w:val="nl-NL"/>
        </w:rPr>
        <w:t>Parl.St.</w:t>
      </w:r>
      <w:r w:rsidRPr="0086280A">
        <w:rPr>
          <w:iCs/>
          <w:sz w:val="16"/>
          <w:szCs w:val="16"/>
          <w:lang w:val="nl-NL"/>
        </w:rPr>
        <w:t xml:space="preserve"> Senaat 1999-2000, nr. 2-21/4, 48-49; </w:t>
      </w:r>
      <w:r w:rsidR="00253B22" w:rsidRPr="0086280A">
        <w:rPr>
          <w:iCs/>
          <w:sz w:val="16"/>
          <w:szCs w:val="16"/>
          <w:lang w:val="nl-NL"/>
        </w:rPr>
        <w:t xml:space="preserve">S. </w:t>
      </w:r>
      <w:r w:rsidR="00253B22" w:rsidRPr="0086280A">
        <w:rPr>
          <w:rFonts w:eastAsiaTheme="minorHAnsi" w:cstheme="minorBidi"/>
          <w:iCs/>
          <w:sz w:val="16"/>
          <w:szCs w:val="16"/>
          <w:lang w:val="nl-NL" w:eastAsia="en-US"/>
        </w:rPr>
        <w:t>VAN DROOGHENBROECK, “Pour une mise à jour du droit constitutionnel belge des libertés publiques et des droits de l’homme. Réflexions au depart de l’article 22</w:t>
      </w:r>
      <w:r w:rsidR="00253B22" w:rsidRPr="0086280A">
        <w:rPr>
          <w:rFonts w:eastAsiaTheme="minorHAnsi" w:cstheme="minorBidi"/>
          <w:i/>
          <w:iCs/>
          <w:sz w:val="16"/>
          <w:szCs w:val="16"/>
          <w:lang w:val="nl-NL" w:eastAsia="en-US"/>
        </w:rPr>
        <w:t>bis</w:t>
      </w:r>
      <w:r w:rsidR="00253B22" w:rsidRPr="0086280A">
        <w:rPr>
          <w:rFonts w:eastAsiaTheme="minorHAnsi" w:cstheme="minorBidi"/>
          <w:iCs/>
          <w:sz w:val="16"/>
          <w:szCs w:val="16"/>
          <w:lang w:val="nl-NL" w:eastAsia="en-US"/>
        </w:rPr>
        <w:t xml:space="preserve"> de la Constituion garantissant le droit de l’enfant à l’intégrité morale, physique et sexuelle”, </w:t>
      </w:r>
      <w:r w:rsidR="00253B22" w:rsidRPr="0086280A">
        <w:rPr>
          <w:rFonts w:eastAsiaTheme="minorHAnsi" w:cstheme="minorBidi"/>
          <w:i/>
          <w:iCs/>
          <w:sz w:val="16"/>
          <w:szCs w:val="16"/>
          <w:lang w:val="nl-NL" w:eastAsia="en-US"/>
        </w:rPr>
        <w:t>Administration Publique</w:t>
      </w:r>
      <w:r w:rsidR="00253B22" w:rsidRPr="0086280A">
        <w:rPr>
          <w:rFonts w:eastAsiaTheme="minorHAnsi" w:cstheme="minorBidi"/>
          <w:iCs/>
          <w:sz w:val="16"/>
          <w:szCs w:val="16"/>
          <w:lang w:val="nl-NL" w:eastAsia="en-US"/>
        </w:rPr>
        <w:t xml:space="preserve"> 2001, nr. 3, </w:t>
      </w:r>
      <w:r w:rsidR="00610DF4">
        <w:rPr>
          <w:rFonts w:eastAsiaTheme="minorHAnsi" w:cstheme="minorBidi"/>
          <w:iCs/>
          <w:sz w:val="16"/>
          <w:szCs w:val="16"/>
          <w:lang w:val="nl-NL" w:eastAsia="en-US"/>
        </w:rPr>
        <w:t xml:space="preserve">(130) </w:t>
      </w:r>
      <w:r w:rsidR="00253B22" w:rsidRPr="0086280A">
        <w:rPr>
          <w:rFonts w:eastAsiaTheme="minorHAnsi" w:cstheme="minorBidi"/>
          <w:iCs/>
          <w:sz w:val="16"/>
          <w:szCs w:val="16"/>
          <w:lang w:val="nl-NL" w:eastAsia="en-US"/>
        </w:rPr>
        <w:t>13</w:t>
      </w:r>
      <w:r w:rsidR="00253B22" w:rsidRPr="0086280A">
        <w:rPr>
          <w:iCs/>
          <w:sz w:val="16"/>
          <w:szCs w:val="16"/>
          <w:lang w:val="nl-NL"/>
        </w:rPr>
        <w:t xml:space="preserve">5: “Il va </w:t>
      </w:r>
      <w:r w:rsidR="00253B22" w:rsidRPr="0086280A">
        <w:rPr>
          <w:iCs/>
          <w:sz w:val="16"/>
          <w:szCs w:val="16"/>
          <w:u w:val="single"/>
          <w:lang w:val="nl-NL"/>
        </w:rPr>
        <w:t>évidemment</w:t>
      </w:r>
      <w:r w:rsidR="00253B22" w:rsidRPr="0086280A">
        <w:rPr>
          <w:iCs/>
          <w:sz w:val="16"/>
          <w:szCs w:val="16"/>
          <w:lang w:val="nl-NL"/>
        </w:rPr>
        <w:t xml:space="preserve"> de soi que les enfants sont titulaires des droits reconnus par les divers instruments internationaux mentionnés au point precedent” (eigen nadruk)</w:t>
      </w:r>
      <w:r w:rsidR="00253B22">
        <w:rPr>
          <w:iCs/>
          <w:sz w:val="16"/>
          <w:szCs w:val="16"/>
          <w:lang w:val="nl-NL"/>
        </w:rPr>
        <w:t xml:space="preserve">; </w:t>
      </w:r>
      <w:r w:rsidRPr="0086280A">
        <w:rPr>
          <w:sz w:val="16"/>
          <w:szCs w:val="16"/>
          <w:lang w:val="nl-NL"/>
        </w:rPr>
        <w:t xml:space="preserve">W. </w:t>
      </w:r>
      <w:r w:rsidRPr="0086280A">
        <w:rPr>
          <w:rFonts w:eastAsia="Verdana" w:cs="Verdana"/>
          <w:sz w:val="16"/>
          <w:szCs w:val="16"/>
          <w:lang w:val="nl-NL"/>
        </w:rPr>
        <w:t xml:space="preserve">VANDENHOLE, “Twintig jaar kinderrechtenverdrag (1989-2009): een Belgische stand van zaken”, </w:t>
      </w:r>
      <w:r w:rsidRPr="0086280A">
        <w:rPr>
          <w:rFonts w:eastAsia="Verdana" w:cs="Verdana"/>
          <w:i/>
          <w:sz w:val="16"/>
          <w:szCs w:val="16"/>
          <w:lang w:val="nl-NL"/>
        </w:rPr>
        <w:t>RW</w:t>
      </w:r>
      <w:r w:rsidRPr="0086280A">
        <w:rPr>
          <w:rFonts w:eastAsia="Verdana" w:cs="Verdana"/>
          <w:sz w:val="16"/>
          <w:szCs w:val="16"/>
          <w:lang w:val="nl-NL"/>
        </w:rPr>
        <w:t xml:space="preserve"> 2009-10, </w:t>
      </w:r>
      <w:r w:rsidR="00610DF4">
        <w:rPr>
          <w:rFonts w:eastAsia="Verdana" w:cs="Verdana"/>
          <w:sz w:val="16"/>
          <w:szCs w:val="16"/>
          <w:lang w:val="nl-NL"/>
        </w:rPr>
        <w:t xml:space="preserve">(386) </w:t>
      </w:r>
      <w:r w:rsidRPr="0086280A">
        <w:rPr>
          <w:rFonts w:eastAsia="Verdana" w:cs="Verdana"/>
          <w:sz w:val="16"/>
          <w:szCs w:val="16"/>
          <w:lang w:val="nl-NL"/>
        </w:rPr>
        <w:t>390</w:t>
      </w:r>
      <w:r w:rsidRPr="0086280A">
        <w:rPr>
          <w:iCs/>
          <w:sz w:val="16"/>
          <w:szCs w:val="16"/>
          <w:lang w:val="nl-NL"/>
        </w:rPr>
        <w:t>.</w:t>
      </w:r>
    </w:p>
  </w:footnote>
  <w:footnote w:id="236">
    <w:p w14:paraId="2F93F395" w14:textId="21F9252F"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E. VERHELLEN, “Het Verdrag inzake de rechten van het kind meerderjarig. Enkele beschouwingen over de implementatie in België”, </w:t>
      </w:r>
      <w:r w:rsidRPr="0086280A">
        <w:rPr>
          <w:i/>
          <w:sz w:val="16"/>
          <w:szCs w:val="16"/>
          <w:lang w:val="nl-NL"/>
        </w:rPr>
        <w:t>TJK</w:t>
      </w:r>
      <w:r w:rsidRPr="0086280A">
        <w:rPr>
          <w:sz w:val="16"/>
          <w:szCs w:val="16"/>
          <w:lang w:val="nl-NL"/>
        </w:rPr>
        <w:t xml:space="preserve"> 2008/1, </w:t>
      </w:r>
      <w:r w:rsidR="00610DF4">
        <w:rPr>
          <w:sz w:val="16"/>
          <w:szCs w:val="16"/>
          <w:lang w:val="nl-NL"/>
        </w:rPr>
        <w:t xml:space="preserve">(11) </w:t>
      </w:r>
      <w:r w:rsidRPr="0086280A">
        <w:rPr>
          <w:sz w:val="16"/>
          <w:szCs w:val="16"/>
          <w:lang w:val="nl-NL"/>
        </w:rPr>
        <w:t>12.</w:t>
      </w:r>
    </w:p>
  </w:footnote>
  <w:footnote w:id="237">
    <w:p w14:paraId="37E6709A" w14:textId="51ACFBD9"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t>
      </w:r>
      <w:r w:rsidR="00470899" w:rsidRPr="0086280A">
        <w:rPr>
          <w:i/>
          <w:iCs/>
          <w:sz w:val="16"/>
          <w:szCs w:val="16"/>
          <w:lang w:val="nl-NL"/>
        </w:rPr>
        <w:t>Ibid.,</w:t>
      </w:r>
      <w:r w:rsidRPr="0086280A">
        <w:rPr>
          <w:sz w:val="16"/>
          <w:szCs w:val="16"/>
          <w:lang w:val="nl-NL"/>
        </w:rPr>
        <w:t xml:space="preserve"> 19.</w:t>
      </w:r>
    </w:p>
  </w:footnote>
  <w:footnote w:id="238">
    <w:p w14:paraId="2CB24B63" w14:textId="01DF4CF8" w:rsidR="00C57AF9" w:rsidRPr="0086280A" w:rsidRDefault="00C57AF9" w:rsidP="005C4D5C">
      <w:pPr>
        <w:jc w:val="both"/>
        <w:rPr>
          <w:sz w:val="16"/>
          <w:szCs w:val="16"/>
          <w:lang w:val="nl-NL"/>
        </w:rPr>
      </w:pPr>
      <w:r w:rsidRPr="0086280A">
        <w:rPr>
          <w:rStyle w:val="Voetnootmarkering"/>
          <w:sz w:val="16"/>
          <w:szCs w:val="16"/>
          <w:lang w:val="nl-NL"/>
        </w:rPr>
        <w:footnoteRef/>
      </w:r>
      <w:r w:rsidRPr="0086280A">
        <w:rPr>
          <w:sz w:val="16"/>
          <w:szCs w:val="16"/>
          <w:lang w:val="nl-NL"/>
        </w:rPr>
        <w:t xml:space="preserve"> Zie Verslag over het voorstel tot herziening van artikel 22</w:t>
      </w:r>
      <w:r w:rsidRPr="0086280A">
        <w:rPr>
          <w:i/>
          <w:iCs/>
          <w:sz w:val="16"/>
          <w:szCs w:val="16"/>
          <w:lang w:val="nl-NL"/>
        </w:rPr>
        <w:t>bis</w:t>
      </w:r>
      <w:r w:rsidRPr="0086280A">
        <w:rPr>
          <w:sz w:val="16"/>
          <w:szCs w:val="16"/>
          <w:lang w:val="nl-NL"/>
        </w:rPr>
        <w:t xml:space="preserve"> van de Grondwet, </w:t>
      </w:r>
      <w:r w:rsidRPr="0086280A">
        <w:rPr>
          <w:i/>
          <w:iCs/>
          <w:sz w:val="16"/>
          <w:szCs w:val="16"/>
          <w:lang w:val="nl-NL"/>
        </w:rPr>
        <w:t xml:space="preserve">Parl.St. </w:t>
      </w:r>
      <w:r w:rsidRPr="0086280A">
        <w:rPr>
          <w:sz w:val="16"/>
          <w:szCs w:val="16"/>
          <w:lang w:val="nl-NL"/>
        </w:rPr>
        <w:t>Kamer 2007-2008, nr. 52-175/005, 8; Eventueel wel met een onrechtstreekse link naar de procesbekwaamheid in</w:t>
      </w:r>
      <w:r w:rsidRPr="0086280A">
        <w:rPr>
          <w:rFonts w:eastAsia="Verdana" w:cs="Verdana"/>
          <w:sz w:val="16"/>
          <w:szCs w:val="16"/>
          <w:lang w:val="nl-NL"/>
        </w:rPr>
        <w:t xml:space="preserve"> </w:t>
      </w:r>
      <w:r w:rsidRPr="0086280A">
        <w:rPr>
          <w:sz w:val="16"/>
          <w:szCs w:val="16"/>
          <w:lang w:val="nl-NL"/>
        </w:rPr>
        <w:t xml:space="preserve">Verslag van de tweede lezing bij het wetsvoorstel tot wijziging van het Burgerlijk Wetboek, in verband met de persoonlijke banden tussen broers en zussen, </w:t>
      </w:r>
      <w:r w:rsidRPr="0086280A">
        <w:rPr>
          <w:i/>
          <w:sz w:val="16"/>
          <w:szCs w:val="16"/>
          <w:lang w:val="nl-NL"/>
        </w:rPr>
        <w:t>Parl.St.</w:t>
      </w:r>
      <w:r w:rsidRPr="0086280A">
        <w:rPr>
          <w:sz w:val="16"/>
          <w:szCs w:val="16"/>
          <w:lang w:val="nl-NL"/>
        </w:rPr>
        <w:t xml:space="preserve"> Kamer 2020-21, nr.55-780/010.</w:t>
      </w:r>
    </w:p>
  </w:footnote>
  <w:footnote w:id="239">
    <w:p w14:paraId="6EB99366" w14:textId="1C1F5812"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T. WUYTS, </w:t>
      </w:r>
      <w:r w:rsidRPr="0086280A">
        <w:rPr>
          <w:i/>
          <w:iCs/>
          <w:sz w:val="16"/>
          <w:szCs w:val="16"/>
          <w:lang w:val="nl-NL"/>
        </w:rPr>
        <w:t>Ouderlijk gezag</w:t>
      </w:r>
      <w:r w:rsidRPr="0086280A">
        <w:rPr>
          <w:sz w:val="16"/>
          <w:szCs w:val="16"/>
          <w:lang w:val="nl-NL"/>
        </w:rPr>
        <w:t>, Antwerpen, Intersentia, 2013, 609.</w:t>
      </w:r>
    </w:p>
  </w:footnote>
  <w:footnote w:id="240">
    <w:p w14:paraId="7475B763" w14:textId="744682E1"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VERHELLEN onderscheidt in 2000 reeds drie stromingen: de reformistische, de radicale en de pragmatische. BOUVERNE-DE BIE sprak in 2004 zelfs over vier stromingen: child welfarists, child liberationists, de rechtsbenadering en een sociaal-politieke stroming. Deze stromingen vallen nagenoeg volledig samen met deze van VERHELLEN, uitgezonderd de sociaal-politieke stroming; E. VERHELLEN, “Inleiding tot het Verdrag inzake de Rechten van het Kind” in W. VANDENHOLE (ed.), </w:t>
      </w:r>
      <w:r w:rsidRPr="0086280A">
        <w:rPr>
          <w:i/>
          <w:iCs/>
          <w:sz w:val="16"/>
          <w:szCs w:val="16"/>
          <w:lang w:val="nl-NL"/>
        </w:rPr>
        <w:t>Kinderrechten in België</w:t>
      </w:r>
      <w:r w:rsidRPr="0086280A">
        <w:rPr>
          <w:sz w:val="16"/>
          <w:szCs w:val="16"/>
          <w:lang w:val="nl-NL"/>
        </w:rPr>
        <w:t xml:space="preserve">, Antwerpen, Intersentia, 2008, 23-24; T. WUYTS, </w:t>
      </w:r>
      <w:r w:rsidRPr="0086280A">
        <w:rPr>
          <w:i/>
          <w:iCs/>
          <w:sz w:val="16"/>
          <w:szCs w:val="16"/>
          <w:lang w:val="nl-NL"/>
        </w:rPr>
        <w:t xml:space="preserve">Ouderlijk gezag, </w:t>
      </w:r>
      <w:r w:rsidRPr="0086280A">
        <w:rPr>
          <w:sz w:val="16"/>
          <w:szCs w:val="16"/>
          <w:lang w:val="nl-NL"/>
        </w:rPr>
        <w:t>Antwerpen, Intersentia, 2013, 609.</w:t>
      </w:r>
    </w:p>
  </w:footnote>
  <w:footnote w:id="241">
    <w:p w14:paraId="61A20BF7" w14:textId="4CE6E9F4"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T. MAESELE, D. REYNAERT, M. BOUVERNE-DE BIE, R. ROOSE en L. BRADT, “Stromingen in de kinderrechtenbeweging”, </w:t>
      </w:r>
      <w:r w:rsidRPr="0086280A">
        <w:rPr>
          <w:i/>
          <w:iCs/>
          <w:sz w:val="16"/>
          <w:szCs w:val="16"/>
          <w:lang w:val="nl-NL"/>
        </w:rPr>
        <w:t>TJK</w:t>
      </w:r>
      <w:r w:rsidRPr="0086280A">
        <w:rPr>
          <w:sz w:val="16"/>
          <w:szCs w:val="16"/>
          <w:lang w:val="nl-NL"/>
        </w:rPr>
        <w:t xml:space="preserve"> 2008/1, </w:t>
      </w:r>
      <w:r w:rsidR="00610DF4">
        <w:rPr>
          <w:sz w:val="16"/>
          <w:szCs w:val="16"/>
          <w:lang w:val="nl-NL"/>
        </w:rPr>
        <w:t xml:space="preserve">(50) </w:t>
      </w:r>
      <w:r w:rsidRPr="0086280A">
        <w:rPr>
          <w:sz w:val="16"/>
          <w:szCs w:val="16"/>
          <w:lang w:val="nl-NL"/>
        </w:rPr>
        <w:t>51.</w:t>
      </w:r>
    </w:p>
  </w:footnote>
  <w:footnote w:id="242">
    <w:p w14:paraId="5FC83BB7" w14:textId="24CFF835"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Vanuit deze stroming volgde in 1990 de verlaging van de meerderjarigheidsgrens van 21 naar 18 jaar.</w:t>
      </w:r>
    </w:p>
  </w:footnote>
  <w:footnote w:id="243">
    <w:p w14:paraId="4F229FF5" w14:textId="0547FD34"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T. MAESELE, D. REYNAERT, M. BOUVERNE-DE BIE, R. ROOSE en L. BRADT, “Stromingen in de kinderrechtenbeweging”, </w:t>
      </w:r>
      <w:r w:rsidRPr="0086280A">
        <w:rPr>
          <w:i/>
          <w:iCs/>
          <w:sz w:val="16"/>
          <w:szCs w:val="16"/>
          <w:lang w:val="nl-NL"/>
        </w:rPr>
        <w:t>TJK</w:t>
      </w:r>
      <w:r w:rsidRPr="0086280A">
        <w:rPr>
          <w:sz w:val="16"/>
          <w:szCs w:val="16"/>
          <w:lang w:val="nl-NL"/>
        </w:rPr>
        <w:t xml:space="preserve"> 2008/1, </w:t>
      </w:r>
      <w:r w:rsidR="00610DF4">
        <w:rPr>
          <w:sz w:val="16"/>
          <w:szCs w:val="16"/>
          <w:lang w:val="nl-NL"/>
        </w:rPr>
        <w:t xml:space="preserve">(50) </w:t>
      </w:r>
      <w:r w:rsidRPr="0086280A">
        <w:rPr>
          <w:sz w:val="16"/>
          <w:szCs w:val="16"/>
          <w:lang w:val="nl-NL"/>
        </w:rPr>
        <w:t>51.</w:t>
      </w:r>
    </w:p>
  </w:footnote>
  <w:footnote w:id="244">
    <w:p w14:paraId="2EE139CE" w14:textId="41BDECB2"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t>
      </w:r>
      <w:r w:rsidR="00253B22">
        <w:rPr>
          <w:i/>
          <w:iCs/>
          <w:sz w:val="16"/>
          <w:szCs w:val="16"/>
          <w:lang w:val="nl-NL"/>
        </w:rPr>
        <w:t>Ibid.,</w:t>
      </w:r>
      <w:r w:rsidRPr="0086280A">
        <w:rPr>
          <w:sz w:val="16"/>
          <w:szCs w:val="16"/>
          <w:lang w:val="nl-NL"/>
        </w:rPr>
        <w:t xml:space="preserve"> 51-52.</w:t>
      </w:r>
    </w:p>
  </w:footnote>
  <w:footnote w:id="245">
    <w:p w14:paraId="111B522F" w14:textId="77777777"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Decreet betreffende de oprichting van een Kinderrechtencommissariaat en instelling van het ambt van Kinderrechtencommissaris van 15 juli 1997, </w:t>
      </w:r>
      <w:r w:rsidRPr="0086280A">
        <w:rPr>
          <w:i/>
          <w:sz w:val="16"/>
          <w:szCs w:val="16"/>
          <w:lang w:val="nl-NL"/>
        </w:rPr>
        <w:t>BS</w:t>
      </w:r>
      <w:r w:rsidRPr="0086280A">
        <w:rPr>
          <w:sz w:val="16"/>
          <w:szCs w:val="16"/>
          <w:lang w:val="nl-NL"/>
        </w:rPr>
        <w:t xml:space="preserve"> 7 oktober 1997.</w:t>
      </w:r>
    </w:p>
  </w:footnote>
  <w:footnote w:id="246">
    <w:p w14:paraId="602C8194" w14:textId="77777777"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E. VERHELLEN, “Het Verdrag inzake de rechten van het kind meerderjarig. Enkele beschouwingen over de implementatie in België”, </w:t>
      </w:r>
      <w:r w:rsidRPr="0086280A">
        <w:rPr>
          <w:i/>
          <w:sz w:val="16"/>
          <w:szCs w:val="16"/>
          <w:lang w:val="nl-NL"/>
        </w:rPr>
        <w:t>TJK</w:t>
      </w:r>
      <w:r w:rsidRPr="0086280A">
        <w:rPr>
          <w:sz w:val="16"/>
          <w:szCs w:val="16"/>
          <w:lang w:val="nl-NL"/>
        </w:rPr>
        <w:t xml:space="preserve"> 2008/1, 20.</w:t>
      </w:r>
    </w:p>
  </w:footnote>
  <w:footnote w:id="247">
    <w:p w14:paraId="52926564" w14:textId="4188EBB7"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KINDERRECHTENCOMMISSARIAAT, “Advies van 10 juni 2007 betreffende een sterkere rechtspositie voor de minderjarige”, 2006-2007/8, </w:t>
      </w:r>
      <w:hyperlink r:id="rId25" w:history="1">
        <w:r w:rsidRPr="0086280A">
          <w:rPr>
            <w:rStyle w:val="Hyperlink"/>
            <w:sz w:val="16"/>
            <w:szCs w:val="16"/>
            <w:lang w:val="nl-NL"/>
          </w:rPr>
          <w:t>www.kinderrechten.be/sites/default/files/2006_2007_8_advies_een_sterkere_rechtspositie_voor_de_minderjarige.pdf</w:t>
        </w:r>
      </w:hyperlink>
      <w:r w:rsidRPr="0086280A">
        <w:rPr>
          <w:sz w:val="16"/>
          <w:szCs w:val="16"/>
          <w:lang w:val="nl-NL"/>
        </w:rPr>
        <w:t xml:space="preserve"> (laatste consultatie </w:t>
      </w:r>
      <w:r w:rsidR="00470899" w:rsidRPr="0086280A">
        <w:rPr>
          <w:sz w:val="16"/>
          <w:szCs w:val="16"/>
          <w:lang w:val="nl-NL"/>
        </w:rPr>
        <w:t>13</w:t>
      </w:r>
      <w:r w:rsidRPr="0086280A">
        <w:rPr>
          <w:sz w:val="16"/>
          <w:szCs w:val="16"/>
          <w:lang w:val="nl-NL"/>
        </w:rPr>
        <w:t>.0</w:t>
      </w:r>
      <w:r w:rsidR="00470899" w:rsidRPr="0086280A">
        <w:rPr>
          <w:sz w:val="16"/>
          <w:szCs w:val="16"/>
          <w:lang w:val="nl-NL"/>
        </w:rPr>
        <w:t>5.</w:t>
      </w:r>
      <w:r w:rsidRPr="0086280A">
        <w:rPr>
          <w:sz w:val="16"/>
          <w:szCs w:val="16"/>
          <w:lang w:val="nl-NL"/>
        </w:rPr>
        <w:t>2023).</w:t>
      </w:r>
    </w:p>
  </w:footnote>
  <w:footnote w:id="248">
    <w:p w14:paraId="68DCCC52" w14:textId="5512F8E4"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A. VANDEKERCKHOVE, “Oog hebben voor kinderen bij scheiding? Nog niet voor vandaag?”, </w:t>
      </w:r>
      <w:r w:rsidRPr="0086280A">
        <w:rPr>
          <w:i/>
          <w:iCs/>
          <w:sz w:val="16"/>
          <w:szCs w:val="16"/>
          <w:lang w:val="nl-NL"/>
        </w:rPr>
        <w:t>TJK</w:t>
      </w:r>
      <w:r w:rsidRPr="0086280A">
        <w:rPr>
          <w:sz w:val="16"/>
          <w:szCs w:val="16"/>
          <w:lang w:val="nl-NL"/>
        </w:rPr>
        <w:t xml:space="preserve"> 2007, nr. 3, </w:t>
      </w:r>
      <w:r w:rsidR="00610DF4">
        <w:rPr>
          <w:sz w:val="16"/>
          <w:szCs w:val="16"/>
          <w:lang w:val="nl-NL"/>
        </w:rPr>
        <w:t xml:space="preserve">(142) </w:t>
      </w:r>
      <w:r w:rsidRPr="0086280A">
        <w:rPr>
          <w:sz w:val="16"/>
          <w:szCs w:val="16"/>
          <w:lang w:val="nl-NL"/>
        </w:rPr>
        <w:t>144.</w:t>
      </w:r>
    </w:p>
  </w:footnote>
  <w:footnote w:id="249">
    <w:p w14:paraId="383ABDB3" w14:textId="4AF7161C"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B. VANOBBERGEN, “Naar een (nog meer) kindvriendelijke justitie”, </w:t>
      </w:r>
      <w:r w:rsidRPr="0086280A">
        <w:rPr>
          <w:i/>
          <w:sz w:val="16"/>
          <w:szCs w:val="16"/>
          <w:lang w:val="nl-NL"/>
        </w:rPr>
        <w:t>T.Fam.</w:t>
      </w:r>
      <w:r w:rsidRPr="0086280A">
        <w:rPr>
          <w:sz w:val="16"/>
          <w:szCs w:val="16"/>
          <w:lang w:val="nl-NL"/>
        </w:rPr>
        <w:t xml:space="preserve"> 2018, afl. 6, </w:t>
      </w:r>
      <w:r w:rsidR="00610DF4">
        <w:rPr>
          <w:sz w:val="16"/>
          <w:szCs w:val="16"/>
          <w:lang w:val="nl-NL"/>
        </w:rPr>
        <w:t xml:space="preserve">(146) </w:t>
      </w:r>
      <w:r w:rsidRPr="0086280A">
        <w:rPr>
          <w:sz w:val="16"/>
          <w:szCs w:val="16"/>
          <w:lang w:val="nl-NL"/>
        </w:rPr>
        <w:t>146-147.</w:t>
      </w:r>
    </w:p>
  </w:footnote>
  <w:footnote w:id="250">
    <w:p w14:paraId="46E2056E" w14:textId="3A00FB99"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A. VANDEKERCKHOVE, “Oog hebben voor kinderen bij scheiding? Nog niet voor vandaag?”, </w:t>
      </w:r>
      <w:r w:rsidRPr="0086280A">
        <w:rPr>
          <w:i/>
          <w:iCs/>
          <w:sz w:val="16"/>
          <w:szCs w:val="16"/>
          <w:lang w:val="nl-NL"/>
        </w:rPr>
        <w:t>TJK</w:t>
      </w:r>
      <w:r w:rsidRPr="0086280A">
        <w:rPr>
          <w:sz w:val="16"/>
          <w:szCs w:val="16"/>
          <w:lang w:val="nl-NL"/>
        </w:rPr>
        <w:t xml:space="preserve"> 2007, </w:t>
      </w:r>
      <w:r w:rsidR="00610DF4">
        <w:rPr>
          <w:sz w:val="16"/>
          <w:szCs w:val="16"/>
          <w:lang w:val="nl-NL"/>
        </w:rPr>
        <w:t xml:space="preserve">(142) </w:t>
      </w:r>
      <w:r w:rsidRPr="0086280A">
        <w:rPr>
          <w:sz w:val="16"/>
          <w:szCs w:val="16"/>
          <w:lang w:val="nl-NL"/>
        </w:rPr>
        <w:t>145-146.</w:t>
      </w:r>
    </w:p>
  </w:footnote>
  <w:footnote w:id="251">
    <w:p w14:paraId="0FC97017" w14:textId="089D319C"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t>
      </w:r>
      <w:r w:rsidR="00253B22">
        <w:rPr>
          <w:i/>
          <w:iCs/>
          <w:sz w:val="16"/>
          <w:szCs w:val="16"/>
          <w:lang w:val="nl-NL"/>
        </w:rPr>
        <w:t>Ibid.</w:t>
      </w:r>
      <w:r w:rsidRPr="0086280A">
        <w:rPr>
          <w:sz w:val="16"/>
          <w:szCs w:val="16"/>
          <w:lang w:val="nl-NL"/>
        </w:rPr>
        <w:t>, 145.</w:t>
      </w:r>
    </w:p>
  </w:footnote>
  <w:footnote w:id="252">
    <w:p w14:paraId="5ABA2EA9" w14:textId="45B4D12F"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KINDERRECHTENCOMMISSSARIAAT, “Standpunt van 29 januari 2021 betreffende het wetsvoorstel tot wijziging van het Burgerlijk Wetboek in verband met de persoonlijke banden tussen broers en zussen”, 29 januari 2021, </w:t>
      </w:r>
      <w:hyperlink r:id="rId26" w:history="1">
        <w:r w:rsidRPr="0086280A">
          <w:rPr>
            <w:rStyle w:val="Hyperlink"/>
            <w:sz w:val="16"/>
            <w:szCs w:val="16"/>
            <w:lang w:val="nl-NL"/>
          </w:rPr>
          <w:t>www.kinderrechten.be/sites/default/files/standpunt_2020_2021_07_banden_tussen_broers_en_zussen.pdf</w:t>
        </w:r>
      </w:hyperlink>
      <w:r w:rsidRPr="0086280A">
        <w:rPr>
          <w:sz w:val="16"/>
          <w:szCs w:val="16"/>
          <w:lang w:val="nl-NL"/>
        </w:rPr>
        <w:t xml:space="preserve">, 5 (laatste consultatie </w:t>
      </w:r>
      <w:r w:rsidR="00470899" w:rsidRPr="0086280A">
        <w:rPr>
          <w:sz w:val="16"/>
          <w:szCs w:val="16"/>
          <w:lang w:val="nl-NL"/>
        </w:rPr>
        <w:t>13</w:t>
      </w:r>
      <w:r w:rsidRPr="0086280A">
        <w:rPr>
          <w:sz w:val="16"/>
          <w:szCs w:val="16"/>
          <w:lang w:val="nl-NL"/>
        </w:rPr>
        <w:t>.0</w:t>
      </w:r>
      <w:r w:rsidR="00470899" w:rsidRPr="0086280A">
        <w:rPr>
          <w:sz w:val="16"/>
          <w:szCs w:val="16"/>
          <w:lang w:val="nl-NL"/>
        </w:rPr>
        <w:t>5</w:t>
      </w:r>
      <w:r w:rsidRPr="0086280A">
        <w:rPr>
          <w:sz w:val="16"/>
          <w:szCs w:val="16"/>
          <w:lang w:val="nl-NL"/>
        </w:rPr>
        <w:t xml:space="preserve">.2023); M. DUPAN, “De ontstaansgeschiedenis van de wet van 20 mei 2021 betreffende de persoonlijke banden tussen broers en zussen”, </w:t>
      </w:r>
      <w:r w:rsidRPr="0086280A">
        <w:rPr>
          <w:i/>
          <w:sz w:val="16"/>
          <w:szCs w:val="16"/>
          <w:lang w:val="nl-NL"/>
        </w:rPr>
        <w:t>T.Fam.</w:t>
      </w:r>
      <w:r w:rsidRPr="0086280A">
        <w:rPr>
          <w:sz w:val="16"/>
          <w:szCs w:val="16"/>
          <w:lang w:val="nl-NL"/>
        </w:rPr>
        <w:t xml:space="preserve"> 2021, nr. 10, </w:t>
      </w:r>
      <w:r w:rsidR="00610DF4">
        <w:rPr>
          <w:sz w:val="16"/>
          <w:szCs w:val="16"/>
          <w:lang w:val="nl-NL"/>
        </w:rPr>
        <w:t xml:space="preserve">(279) </w:t>
      </w:r>
      <w:r w:rsidRPr="0086280A">
        <w:rPr>
          <w:sz w:val="16"/>
          <w:szCs w:val="16"/>
          <w:lang w:val="nl-NL"/>
        </w:rPr>
        <w:t>280-281.</w:t>
      </w:r>
    </w:p>
  </w:footnote>
  <w:footnote w:id="253">
    <w:p w14:paraId="08D5FD7F" w14:textId="6EA7F2CE"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Voor de meest recente bevindingen zie: COMMITTEE ON THE RIGHTS OF THE CHILD, “List of issues in relation to the combined fifth and sixth periodic reports of Belgium”, CRC/C/BEL/Q/5-6; Dit blijkt overigens ook uit het Alternatief Rapport van het Kinderrechtencommissariaat: KINDERRECHTENCOMMISSARIAAT, “Alternatief rapport aan het VN-kinderrechtencomité”, 28 februari 2018, </w:t>
      </w:r>
      <w:hyperlink r:id="rId27" w:history="1">
        <w:r w:rsidRPr="0086280A">
          <w:rPr>
            <w:rStyle w:val="Hyperlink"/>
            <w:sz w:val="16"/>
            <w:szCs w:val="16"/>
            <w:lang w:val="nl-NL"/>
          </w:rPr>
          <w:t>www.kinderrechten.be/sites/default/files/alternatief_rapport_krc_dgde_2018_nl_def_cover_0.pdf</w:t>
        </w:r>
      </w:hyperlink>
      <w:r w:rsidRPr="0086280A">
        <w:rPr>
          <w:sz w:val="16"/>
          <w:szCs w:val="16"/>
          <w:lang w:val="nl-NL"/>
        </w:rPr>
        <w:t xml:space="preserve"> (laatste consultatie </w:t>
      </w:r>
      <w:r w:rsidR="00470899" w:rsidRPr="0086280A">
        <w:rPr>
          <w:sz w:val="16"/>
          <w:szCs w:val="16"/>
          <w:lang w:val="nl-NL"/>
        </w:rPr>
        <w:t>13</w:t>
      </w:r>
      <w:r w:rsidRPr="0086280A">
        <w:rPr>
          <w:sz w:val="16"/>
          <w:szCs w:val="16"/>
          <w:lang w:val="nl-NL"/>
        </w:rPr>
        <w:t>.0</w:t>
      </w:r>
      <w:r w:rsidR="00470899" w:rsidRPr="0086280A">
        <w:rPr>
          <w:sz w:val="16"/>
          <w:szCs w:val="16"/>
          <w:lang w:val="nl-NL"/>
        </w:rPr>
        <w:t>5</w:t>
      </w:r>
      <w:r w:rsidRPr="0086280A">
        <w:rPr>
          <w:sz w:val="16"/>
          <w:szCs w:val="16"/>
          <w:lang w:val="nl-NL"/>
        </w:rPr>
        <w:t>.202</w:t>
      </w:r>
      <w:r w:rsidR="00470899" w:rsidRPr="0086280A">
        <w:rPr>
          <w:sz w:val="16"/>
          <w:szCs w:val="16"/>
          <w:lang w:val="nl-NL"/>
        </w:rPr>
        <w:t>3</w:t>
      </w:r>
      <w:r w:rsidRPr="0086280A">
        <w:rPr>
          <w:sz w:val="16"/>
          <w:szCs w:val="16"/>
          <w:lang w:val="nl-NL"/>
        </w:rPr>
        <w:t>).</w:t>
      </w:r>
    </w:p>
  </w:footnote>
  <w:footnote w:id="254">
    <w:p w14:paraId="47014130" w14:textId="01CE04D5"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Verslag van de tweede lezing bij het wetsvoorstel tot wijziging van het Burgerlijk Wetboek, in verband met de persoonlijke banden tussen broers en zussen, </w:t>
      </w:r>
      <w:r w:rsidRPr="0086280A">
        <w:rPr>
          <w:i/>
          <w:sz w:val="16"/>
          <w:szCs w:val="16"/>
          <w:lang w:val="nl-NL"/>
        </w:rPr>
        <w:t>Parl.St.</w:t>
      </w:r>
      <w:r w:rsidRPr="0086280A">
        <w:rPr>
          <w:sz w:val="16"/>
          <w:szCs w:val="16"/>
          <w:lang w:val="nl-NL"/>
        </w:rPr>
        <w:t xml:space="preserve"> Kamer 2020-21, nr.55-780/010, 24; VERENIGING VOOR FAMILIERECHT (V.FAM)</w:t>
      </w:r>
      <w:r w:rsidRPr="0086280A">
        <w:rPr>
          <w:i/>
          <w:iCs/>
          <w:sz w:val="16"/>
          <w:szCs w:val="16"/>
          <w:lang w:val="nl-NL"/>
        </w:rPr>
        <w:t>, “</w:t>
      </w:r>
      <w:r w:rsidRPr="0086280A">
        <w:rPr>
          <w:sz w:val="16"/>
          <w:szCs w:val="16"/>
          <w:lang w:val="nl-NL"/>
        </w:rPr>
        <w:t xml:space="preserve">Naar een coherente rechtspositie voor broers en zussen? Fundamentele bedenkingen bij wetsvoorstel nr. 55-780 (van 21 november 2019)”, </w:t>
      </w:r>
      <w:r w:rsidRPr="0086280A">
        <w:rPr>
          <w:i/>
          <w:iCs/>
          <w:sz w:val="16"/>
          <w:szCs w:val="16"/>
          <w:lang w:val="nl-NL"/>
        </w:rPr>
        <w:t>T.Fam.</w:t>
      </w:r>
      <w:r w:rsidRPr="0086280A">
        <w:rPr>
          <w:sz w:val="16"/>
          <w:szCs w:val="16"/>
          <w:lang w:val="nl-NL"/>
        </w:rPr>
        <w:t xml:space="preserve"> 2021, nr. 3, </w:t>
      </w:r>
      <w:r w:rsidR="00610DF4">
        <w:rPr>
          <w:sz w:val="16"/>
          <w:szCs w:val="16"/>
          <w:lang w:val="nl-NL"/>
        </w:rPr>
        <w:t xml:space="preserve">(58) </w:t>
      </w:r>
      <w:r w:rsidRPr="0086280A">
        <w:rPr>
          <w:sz w:val="16"/>
          <w:szCs w:val="16"/>
          <w:lang w:val="nl-NL"/>
        </w:rPr>
        <w:t>58-59.</w:t>
      </w:r>
    </w:p>
  </w:footnote>
  <w:footnote w:id="255">
    <w:p w14:paraId="3CD6365B" w14:textId="6D634343" w:rsidR="00C57AF9" w:rsidRPr="0086280A" w:rsidRDefault="00C57AF9" w:rsidP="005C4D5C">
      <w:pPr>
        <w:pStyle w:val="Voetnoottekst"/>
        <w:jc w:val="both"/>
        <w:rPr>
          <w:iCs/>
          <w:sz w:val="16"/>
          <w:szCs w:val="16"/>
          <w:lang w:val="nl-NL"/>
        </w:rPr>
      </w:pPr>
      <w:r w:rsidRPr="0086280A">
        <w:rPr>
          <w:rStyle w:val="Voetnootmarkering"/>
          <w:sz w:val="16"/>
          <w:szCs w:val="16"/>
          <w:lang w:val="nl-NL"/>
        </w:rPr>
        <w:footnoteRef/>
      </w:r>
      <w:r w:rsidRPr="0086280A">
        <w:rPr>
          <w:sz w:val="16"/>
          <w:szCs w:val="16"/>
          <w:lang w:val="nl-NL"/>
        </w:rPr>
        <w:t xml:space="preserve"> B. VANOBBERGEN, “Naar een (nog meer) kindvriendelijke justitie”, </w:t>
      </w:r>
      <w:r w:rsidRPr="0086280A">
        <w:rPr>
          <w:i/>
          <w:sz w:val="16"/>
          <w:szCs w:val="16"/>
          <w:lang w:val="nl-NL"/>
        </w:rPr>
        <w:t>T.Fam.</w:t>
      </w:r>
      <w:r w:rsidRPr="0086280A">
        <w:rPr>
          <w:sz w:val="16"/>
          <w:szCs w:val="16"/>
          <w:lang w:val="nl-NL"/>
        </w:rPr>
        <w:t xml:space="preserve"> 2018, afl. 6, </w:t>
      </w:r>
      <w:r w:rsidR="00610DF4">
        <w:rPr>
          <w:sz w:val="16"/>
          <w:szCs w:val="16"/>
          <w:lang w:val="nl-NL"/>
        </w:rPr>
        <w:t xml:space="preserve">(146) </w:t>
      </w:r>
      <w:r w:rsidRPr="0086280A">
        <w:rPr>
          <w:sz w:val="16"/>
          <w:szCs w:val="16"/>
          <w:lang w:val="nl-NL"/>
        </w:rPr>
        <w:t xml:space="preserve">147; KINDERRECHTENCOMMISSARIAAT, “Advies van 29 januari 2021 betreffende het wetsvoorstel tot wijziging van het Burgerlijk Wetboek in verband met de persoonlijke banden tussen broers en zussen”, 2020-2021/7, </w:t>
      </w:r>
      <w:hyperlink r:id="rId28" w:history="1">
        <w:r w:rsidRPr="0086280A">
          <w:rPr>
            <w:rStyle w:val="Hyperlink"/>
            <w:sz w:val="16"/>
            <w:szCs w:val="16"/>
            <w:lang w:val="nl-NL"/>
          </w:rPr>
          <w:t>www.kinderrechten.be/sites/default/files/standpunt_2020_2021_07_banden_tussen_broers_en_zussen.pdf</w:t>
        </w:r>
      </w:hyperlink>
      <w:r w:rsidRPr="0086280A">
        <w:rPr>
          <w:sz w:val="16"/>
          <w:szCs w:val="16"/>
          <w:lang w:val="nl-NL"/>
        </w:rPr>
        <w:t xml:space="preserve">, 5-6 (laatste consultatie </w:t>
      </w:r>
      <w:r w:rsidR="00470899" w:rsidRPr="0086280A">
        <w:rPr>
          <w:sz w:val="16"/>
          <w:szCs w:val="16"/>
          <w:lang w:val="nl-NL"/>
        </w:rPr>
        <w:t>13</w:t>
      </w:r>
      <w:r w:rsidRPr="0086280A">
        <w:rPr>
          <w:sz w:val="16"/>
          <w:szCs w:val="16"/>
          <w:lang w:val="nl-NL"/>
        </w:rPr>
        <w:t>.0</w:t>
      </w:r>
      <w:r w:rsidR="00470899" w:rsidRPr="0086280A">
        <w:rPr>
          <w:sz w:val="16"/>
          <w:szCs w:val="16"/>
          <w:lang w:val="nl-NL"/>
        </w:rPr>
        <w:t>5</w:t>
      </w:r>
      <w:r w:rsidRPr="0086280A">
        <w:rPr>
          <w:sz w:val="16"/>
          <w:szCs w:val="16"/>
          <w:lang w:val="nl-NL"/>
        </w:rPr>
        <w:t>.2023).</w:t>
      </w:r>
    </w:p>
  </w:footnote>
  <w:footnote w:id="256">
    <w:p w14:paraId="5A20A253" w14:textId="34B7FE35"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Zie COMMITTEE ON THE RIGHTS OF THE CHILD, “Considerations of reports submitted by States Parties under Article 44 of the Convention. Initial reports of States Parties due in 1994”, CRC/C/11/Add.4, 6 september 1994; COMMITTEE ON THE RIGHTS OF THE CHILD, “Concluding observations on the combined fifth and sixth periodic reports of Belgium”, CRC/C/BEL/CO/5-6.</w:t>
      </w:r>
    </w:p>
  </w:footnote>
  <w:footnote w:id="257">
    <w:p w14:paraId="579BD87D" w14:textId="08A55982"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t>
      </w:r>
      <w:r w:rsidRPr="0086280A">
        <w:rPr>
          <w:iCs/>
          <w:sz w:val="16"/>
          <w:szCs w:val="16"/>
          <w:lang w:val="nl-NL"/>
        </w:rPr>
        <w:t xml:space="preserve">Verslag over het wetsvoorstel tot herziening van titel II van de Grondwet, om nieuwe bepalingen in te voegen die de bescherming van de rechten van het kind op morele, lichamelijke, geestelijke en seksuele integriteit verzekeren, </w:t>
      </w:r>
      <w:r w:rsidRPr="0086280A">
        <w:rPr>
          <w:i/>
          <w:iCs/>
          <w:sz w:val="16"/>
          <w:szCs w:val="16"/>
          <w:lang w:val="nl-NL"/>
        </w:rPr>
        <w:t>Parl.St.</w:t>
      </w:r>
      <w:r w:rsidRPr="0086280A">
        <w:rPr>
          <w:iCs/>
          <w:sz w:val="16"/>
          <w:szCs w:val="16"/>
          <w:lang w:val="nl-NL"/>
        </w:rPr>
        <w:t xml:space="preserve"> Senaat 1999-2000, nr. 2-21/4</w:t>
      </w:r>
      <w:r w:rsidR="00253B22">
        <w:rPr>
          <w:iCs/>
          <w:sz w:val="16"/>
          <w:szCs w:val="16"/>
          <w:lang w:val="nl-NL"/>
        </w:rPr>
        <w:t>.</w:t>
      </w:r>
    </w:p>
  </w:footnote>
  <w:footnote w:id="258">
    <w:p w14:paraId="00055376" w14:textId="62FED2A7"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COMMITTEE ON THE RIGHTS OF THE CHILD, “Concluding observations on the combined fifth and sixth periodic reports of Belgium”, CRC/C/BEL/CO/5-6, 6.</w:t>
      </w:r>
    </w:p>
  </w:footnote>
  <w:footnote w:id="259">
    <w:p w14:paraId="0F267C21" w14:textId="4624156D"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w:t>
      </w:r>
      <w:r w:rsidR="00253B22">
        <w:rPr>
          <w:i/>
          <w:iCs/>
          <w:sz w:val="16"/>
          <w:szCs w:val="16"/>
          <w:lang w:val="en-US"/>
        </w:rPr>
        <w:t xml:space="preserve">Ibid., </w:t>
      </w:r>
      <w:r w:rsidRPr="004F6728">
        <w:rPr>
          <w:sz w:val="16"/>
          <w:szCs w:val="16"/>
          <w:lang w:val="en-US"/>
        </w:rPr>
        <w:t>13-14.</w:t>
      </w:r>
    </w:p>
  </w:footnote>
  <w:footnote w:id="260">
    <w:p w14:paraId="0BE929C3" w14:textId="1AA3F343"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J. NYMAN, “What is the input by children and young people in implementing their best interests?” in COUNCIL OF EUROPE, </w:t>
      </w:r>
      <w:r w:rsidRPr="004F6728">
        <w:rPr>
          <w:i/>
          <w:sz w:val="16"/>
          <w:szCs w:val="16"/>
          <w:lang w:val="en-US"/>
        </w:rPr>
        <w:t>The best interests of the child – a dialogue between theory and practice</w:t>
      </w:r>
      <w:r w:rsidRPr="004F6728">
        <w:rPr>
          <w:sz w:val="16"/>
          <w:szCs w:val="16"/>
          <w:lang w:val="en-US"/>
        </w:rPr>
        <w:t xml:space="preserve">, </w:t>
      </w:r>
      <w:proofErr w:type="spellStart"/>
      <w:r w:rsidRPr="004F6728">
        <w:rPr>
          <w:sz w:val="16"/>
          <w:szCs w:val="16"/>
          <w:lang w:val="en-US"/>
        </w:rPr>
        <w:t>Straatsburg</w:t>
      </w:r>
      <w:proofErr w:type="spellEnd"/>
      <w:r w:rsidRPr="004F6728">
        <w:rPr>
          <w:sz w:val="16"/>
          <w:szCs w:val="16"/>
          <w:lang w:val="en-US"/>
        </w:rPr>
        <w:t>, Council of Europe Publishing, 2016, 94-95.</w:t>
      </w:r>
    </w:p>
  </w:footnote>
  <w:footnote w:id="261">
    <w:p w14:paraId="68340BF5" w14:textId="44258B88"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S. VARADAN, “The Principle of Evolving Capacities under the UN Convention on the Rights of the Child”, </w:t>
      </w:r>
      <w:r w:rsidRPr="004F6728">
        <w:rPr>
          <w:i/>
          <w:iCs/>
          <w:sz w:val="16"/>
          <w:szCs w:val="16"/>
          <w:lang w:val="en-US"/>
        </w:rPr>
        <w:t>The International Journal of Children’s Rights</w:t>
      </w:r>
      <w:r w:rsidRPr="004F6728">
        <w:rPr>
          <w:sz w:val="16"/>
          <w:szCs w:val="16"/>
          <w:lang w:val="en-US"/>
        </w:rPr>
        <w:t xml:space="preserve"> 2019, vol. 27, </w:t>
      </w:r>
      <w:r w:rsidR="00610DF4">
        <w:rPr>
          <w:sz w:val="16"/>
          <w:szCs w:val="16"/>
          <w:lang w:val="en-US"/>
        </w:rPr>
        <w:t xml:space="preserve">(306) </w:t>
      </w:r>
      <w:r w:rsidRPr="004F6728">
        <w:rPr>
          <w:sz w:val="16"/>
          <w:szCs w:val="16"/>
          <w:lang w:val="en-US"/>
        </w:rPr>
        <w:t>314.</w:t>
      </w:r>
    </w:p>
  </w:footnote>
  <w:footnote w:id="262">
    <w:p w14:paraId="06B11600" w14:textId="00D437BA"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Verslag over de herziening van titel II van de Grondwet, om nieuwe bepalingen in te voegen die de bescherming van de rechten van het kind op morele, lichamelijke, geestelijke en seksuele integriteit verzekeren, </w:t>
      </w:r>
      <w:r w:rsidRPr="0086280A">
        <w:rPr>
          <w:i/>
          <w:iCs/>
          <w:sz w:val="16"/>
          <w:szCs w:val="16"/>
          <w:lang w:val="nl-NL"/>
        </w:rPr>
        <w:t>Parl.St.</w:t>
      </w:r>
      <w:r w:rsidRPr="0086280A">
        <w:rPr>
          <w:sz w:val="16"/>
          <w:szCs w:val="16"/>
          <w:lang w:val="nl-NL"/>
        </w:rPr>
        <w:t xml:space="preserve"> Senaat 1999-2000, nr. 2-21/4, 53.</w:t>
      </w:r>
    </w:p>
  </w:footnote>
  <w:footnote w:id="263">
    <w:p w14:paraId="0947A541" w14:textId="6CAD16A0"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 VANDENHOLE, “Twintig jaar kinderrechtenverdrag (1989-2009): een Belgische stand van zaken”, </w:t>
      </w:r>
      <w:r w:rsidRPr="0086280A">
        <w:rPr>
          <w:i/>
          <w:sz w:val="16"/>
          <w:szCs w:val="16"/>
          <w:lang w:val="nl-NL"/>
        </w:rPr>
        <w:t>RW</w:t>
      </w:r>
      <w:r w:rsidRPr="0086280A">
        <w:rPr>
          <w:sz w:val="16"/>
          <w:szCs w:val="16"/>
          <w:lang w:val="nl-NL"/>
        </w:rPr>
        <w:t xml:space="preserve"> 2009-10, </w:t>
      </w:r>
      <w:r w:rsidR="00610DF4">
        <w:rPr>
          <w:sz w:val="16"/>
          <w:szCs w:val="16"/>
          <w:lang w:val="nl-NL"/>
        </w:rPr>
        <w:t xml:space="preserve">(386) </w:t>
      </w:r>
      <w:r w:rsidRPr="0086280A">
        <w:rPr>
          <w:sz w:val="16"/>
          <w:szCs w:val="16"/>
          <w:lang w:val="nl-NL"/>
        </w:rPr>
        <w:t>391 en 393-394.</w:t>
      </w:r>
    </w:p>
  </w:footnote>
  <w:footnote w:id="264">
    <w:p w14:paraId="6D252B9C" w14:textId="6724693B"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T. MAESELE, D. REYNAERT, M. BOUVERNE-DE BIE, R. ROOSE en L. BRADT, “Stromingen in de kinderrechtenbeweging”, </w:t>
      </w:r>
      <w:r w:rsidRPr="0086280A">
        <w:rPr>
          <w:i/>
          <w:iCs/>
          <w:sz w:val="16"/>
          <w:szCs w:val="16"/>
          <w:lang w:val="nl-NL"/>
        </w:rPr>
        <w:t>TJK</w:t>
      </w:r>
      <w:r w:rsidRPr="0086280A">
        <w:rPr>
          <w:sz w:val="16"/>
          <w:szCs w:val="16"/>
          <w:lang w:val="nl-NL"/>
        </w:rPr>
        <w:t xml:space="preserve"> 2008/1, </w:t>
      </w:r>
      <w:r w:rsidR="00610DF4">
        <w:rPr>
          <w:sz w:val="16"/>
          <w:szCs w:val="16"/>
          <w:lang w:val="nl-NL"/>
        </w:rPr>
        <w:t xml:space="preserve">(50) </w:t>
      </w:r>
      <w:r w:rsidRPr="0086280A">
        <w:rPr>
          <w:sz w:val="16"/>
          <w:szCs w:val="16"/>
          <w:lang w:val="nl-NL"/>
        </w:rPr>
        <w:t>53-54.</w:t>
      </w:r>
    </w:p>
  </w:footnote>
  <w:footnote w:id="265">
    <w:p w14:paraId="23730677" w14:textId="6C5B94AC"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 VANDENHOLE, “Twintig jaar kinderrechtenverdrag (1989-2009): een Belgische stand van zaken”, </w:t>
      </w:r>
      <w:r w:rsidRPr="0086280A">
        <w:rPr>
          <w:i/>
          <w:sz w:val="16"/>
          <w:szCs w:val="16"/>
          <w:lang w:val="nl-NL"/>
        </w:rPr>
        <w:t>RW</w:t>
      </w:r>
      <w:r w:rsidRPr="0086280A">
        <w:rPr>
          <w:sz w:val="16"/>
          <w:szCs w:val="16"/>
          <w:lang w:val="nl-NL"/>
        </w:rPr>
        <w:t xml:space="preserve"> 2009-10, </w:t>
      </w:r>
      <w:r w:rsidR="00610DF4">
        <w:rPr>
          <w:sz w:val="16"/>
          <w:szCs w:val="16"/>
          <w:lang w:val="nl-NL"/>
        </w:rPr>
        <w:t xml:space="preserve">(386) </w:t>
      </w:r>
      <w:r w:rsidRPr="0086280A">
        <w:rPr>
          <w:sz w:val="16"/>
          <w:szCs w:val="16"/>
          <w:lang w:val="nl-NL"/>
        </w:rPr>
        <w:t>394.</w:t>
      </w:r>
    </w:p>
  </w:footnote>
  <w:footnote w:id="266">
    <w:p w14:paraId="5C9F9879" w14:textId="69FB4E83"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w:t>
      </w:r>
      <w:r w:rsidR="00A80A70" w:rsidRPr="0086280A">
        <w:rPr>
          <w:sz w:val="16"/>
          <w:szCs w:val="16"/>
          <w:lang w:val="nl-NL"/>
        </w:rPr>
        <w:t>bij</w:t>
      </w:r>
      <w:r w:rsidRPr="0086280A">
        <w:rPr>
          <w:sz w:val="16"/>
          <w:szCs w:val="16"/>
          <w:lang w:val="nl-NL"/>
        </w:rPr>
        <w:t xml:space="preserve">voorbeeld: GwH 23 april 2015, nr. 45/2015, </w:t>
      </w:r>
      <w:r w:rsidRPr="0086280A">
        <w:rPr>
          <w:i/>
          <w:iCs/>
          <w:sz w:val="16"/>
          <w:szCs w:val="16"/>
          <w:lang w:val="nl-NL"/>
        </w:rPr>
        <w:t>Juristenkrant</w:t>
      </w:r>
      <w:r w:rsidRPr="0086280A">
        <w:rPr>
          <w:sz w:val="16"/>
          <w:szCs w:val="16"/>
          <w:lang w:val="nl-NL"/>
        </w:rPr>
        <w:t xml:space="preserve"> 2015, afl. 309, 2, noot K. WEIS: ”Zowel artikel 22</w:t>
      </w:r>
      <w:r w:rsidRPr="0086280A">
        <w:rPr>
          <w:i/>
          <w:iCs/>
          <w:sz w:val="16"/>
          <w:szCs w:val="16"/>
          <w:lang w:val="nl-NL"/>
        </w:rPr>
        <w:t>bis</w:t>
      </w:r>
      <w:r w:rsidRPr="0086280A">
        <w:rPr>
          <w:sz w:val="16"/>
          <w:szCs w:val="16"/>
          <w:lang w:val="nl-NL"/>
        </w:rPr>
        <w:t>, vierde lid Gw. als artikel 3.1 IVRK verplichten de overheid om in de eerste plaats het belang van het kind in aanmerking te nemen in de procedure</w:t>
      </w:r>
      <w:r w:rsidR="00A80A70" w:rsidRPr="0086280A">
        <w:rPr>
          <w:sz w:val="16"/>
          <w:szCs w:val="16"/>
          <w:lang w:val="nl-NL"/>
        </w:rPr>
        <w:t>s</w:t>
      </w:r>
      <w:r w:rsidRPr="0086280A">
        <w:rPr>
          <w:sz w:val="16"/>
          <w:szCs w:val="16"/>
          <w:lang w:val="nl-NL"/>
        </w:rPr>
        <w:t xml:space="preserve"> die op het kind betrekking hebben. Artikel 22</w:t>
      </w:r>
      <w:r w:rsidRPr="0086280A">
        <w:rPr>
          <w:i/>
          <w:iCs/>
          <w:sz w:val="16"/>
          <w:szCs w:val="16"/>
          <w:lang w:val="nl-NL"/>
        </w:rPr>
        <w:t>bis</w:t>
      </w:r>
      <w:r w:rsidRPr="0086280A">
        <w:rPr>
          <w:sz w:val="16"/>
          <w:szCs w:val="16"/>
          <w:lang w:val="nl-NL"/>
        </w:rPr>
        <w:t xml:space="preserve">, vijfde lid </w:t>
      </w:r>
      <w:r w:rsidR="00A80A70" w:rsidRPr="0086280A">
        <w:rPr>
          <w:sz w:val="16"/>
          <w:szCs w:val="16"/>
          <w:lang w:val="nl-NL"/>
        </w:rPr>
        <w:t>Gw.</w:t>
      </w:r>
      <w:r w:rsidRPr="0086280A">
        <w:rPr>
          <w:sz w:val="16"/>
          <w:szCs w:val="16"/>
          <w:lang w:val="nl-NL"/>
        </w:rPr>
        <w:t xml:space="preserve"> geeft de wetgever de opdracht te waarborgen dat het belang van het kind de eerste overweging is. </w:t>
      </w:r>
      <w:r w:rsidRPr="0086280A">
        <w:rPr>
          <w:i/>
          <w:iCs/>
          <w:sz w:val="16"/>
          <w:szCs w:val="16"/>
          <w:lang w:val="nl-NL"/>
        </w:rPr>
        <w:t>Die bepalingen verhinderen de wetgever niet te bepalen vanaf welke leeftijd bepaalde gedragingen mogen worden gesanctioneerd</w:t>
      </w:r>
      <w:r w:rsidRPr="0086280A">
        <w:rPr>
          <w:sz w:val="16"/>
          <w:szCs w:val="16"/>
          <w:lang w:val="nl-NL"/>
        </w:rPr>
        <w:t xml:space="preserve">, maar nopen hem wel ertoe bij de vaststelling van de strafbare gedragingen en bij de regeling van de procedure waarbij de sancties kunnen worden opgelegd, rekening te houden met de bijzondere situatie van de minderjarigen, onder meer op het vlak van hun </w:t>
      </w:r>
      <w:r w:rsidRPr="0086280A">
        <w:rPr>
          <w:i/>
          <w:iCs/>
          <w:sz w:val="16"/>
          <w:szCs w:val="16"/>
          <w:lang w:val="nl-NL"/>
        </w:rPr>
        <w:t>persoonlijkheid en hun maturiteitsgraad</w:t>
      </w:r>
      <w:r w:rsidRPr="0086280A">
        <w:rPr>
          <w:sz w:val="16"/>
          <w:szCs w:val="16"/>
          <w:lang w:val="nl-NL"/>
        </w:rPr>
        <w:t>” (eigen nadruk).</w:t>
      </w:r>
    </w:p>
  </w:footnote>
  <w:footnote w:id="267">
    <w:p w14:paraId="53097423" w14:textId="61374D7E"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 VANDENHOLE, “Twintig jaar kinderrechtenverdrag (1989-2009): een Belgische stand van zaken”, </w:t>
      </w:r>
      <w:r w:rsidRPr="0086280A">
        <w:rPr>
          <w:i/>
          <w:sz w:val="16"/>
          <w:szCs w:val="16"/>
          <w:lang w:val="nl-NL"/>
        </w:rPr>
        <w:t>RW</w:t>
      </w:r>
      <w:r w:rsidRPr="0086280A">
        <w:rPr>
          <w:sz w:val="16"/>
          <w:szCs w:val="16"/>
          <w:lang w:val="nl-NL"/>
        </w:rPr>
        <w:t xml:space="preserve"> 2009-10, </w:t>
      </w:r>
      <w:r w:rsidR="00610DF4">
        <w:rPr>
          <w:sz w:val="16"/>
          <w:szCs w:val="16"/>
          <w:lang w:val="nl-NL"/>
        </w:rPr>
        <w:t xml:space="preserve">(386) </w:t>
      </w:r>
      <w:r w:rsidRPr="0086280A">
        <w:rPr>
          <w:sz w:val="16"/>
          <w:szCs w:val="16"/>
          <w:lang w:val="nl-NL"/>
        </w:rPr>
        <w:t>403.</w:t>
      </w:r>
    </w:p>
  </w:footnote>
  <w:footnote w:id="268">
    <w:p w14:paraId="1B3BC9FB" w14:textId="481736F5"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610DF4">
        <w:rPr>
          <w:sz w:val="16"/>
          <w:szCs w:val="16"/>
        </w:rPr>
        <w:t xml:space="preserve"> </w:t>
      </w:r>
      <w:r w:rsidR="00610DF4" w:rsidRPr="00610DF4">
        <w:rPr>
          <w:sz w:val="16"/>
          <w:szCs w:val="16"/>
        </w:rPr>
        <w:t xml:space="preserve">P. VEERMAN, </w:t>
      </w:r>
      <w:r w:rsidR="00610DF4" w:rsidRPr="00610DF4">
        <w:rPr>
          <w:i/>
          <w:iCs/>
          <w:sz w:val="16"/>
          <w:szCs w:val="16"/>
        </w:rPr>
        <w:t>The Rights of the Child and the Changing image of Childhood</w:t>
      </w:r>
      <w:r w:rsidR="00610DF4" w:rsidRPr="00610DF4">
        <w:rPr>
          <w:sz w:val="16"/>
          <w:szCs w:val="16"/>
        </w:rPr>
        <w:t xml:space="preserve">, Dordrecht, Nijhoff, 1992, 296; </w:t>
      </w:r>
      <w:r w:rsidRPr="00610DF4">
        <w:rPr>
          <w:sz w:val="16"/>
          <w:szCs w:val="16"/>
        </w:rPr>
        <w:t xml:space="preserve">W. </w:t>
      </w:r>
      <w:r w:rsidRPr="0086280A">
        <w:rPr>
          <w:sz w:val="16"/>
          <w:szCs w:val="16"/>
          <w:lang w:val="nl-NL"/>
        </w:rPr>
        <w:t xml:space="preserve">VANDENHOLE, “Twintig jaar kinderrechtenverdrag (1989-2009): een Belgische stand van zaken”, </w:t>
      </w:r>
      <w:r w:rsidRPr="0086280A">
        <w:rPr>
          <w:i/>
          <w:sz w:val="16"/>
          <w:szCs w:val="16"/>
          <w:lang w:val="nl-NL"/>
        </w:rPr>
        <w:t>RW</w:t>
      </w:r>
      <w:r w:rsidRPr="0086280A">
        <w:rPr>
          <w:sz w:val="16"/>
          <w:szCs w:val="16"/>
          <w:lang w:val="nl-NL"/>
        </w:rPr>
        <w:t xml:space="preserve"> 2009-10, </w:t>
      </w:r>
      <w:r w:rsidR="00610DF4">
        <w:rPr>
          <w:sz w:val="16"/>
          <w:szCs w:val="16"/>
          <w:lang w:val="nl-NL"/>
        </w:rPr>
        <w:t xml:space="preserve">(386) </w:t>
      </w:r>
      <w:r w:rsidRPr="0086280A">
        <w:rPr>
          <w:sz w:val="16"/>
          <w:szCs w:val="16"/>
          <w:lang w:val="nl-NL"/>
        </w:rPr>
        <w:t>403.</w:t>
      </w:r>
    </w:p>
  </w:footnote>
  <w:footnote w:id="269">
    <w:p w14:paraId="1742D2D2" w14:textId="7858113E"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F. SWENNEN, </w:t>
      </w:r>
      <w:r w:rsidRPr="0086280A">
        <w:rPr>
          <w:i/>
          <w:iCs/>
          <w:sz w:val="16"/>
          <w:szCs w:val="16"/>
          <w:lang w:val="nl-NL"/>
        </w:rPr>
        <w:t>Het personen- en familierecht</w:t>
      </w:r>
      <w:r w:rsidRPr="0086280A">
        <w:rPr>
          <w:sz w:val="16"/>
          <w:szCs w:val="16"/>
          <w:lang w:val="nl-NL"/>
        </w:rPr>
        <w:t>, Mortsel, Intersentia, 2021, 539.</w:t>
      </w:r>
    </w:p>
  </w:footnote>
  <w:footnote w:id="270">
    <w:p w14:paraId="47F8282D" w14:textId="3DA4228E"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Verslag van de tweede lezing bij het wetsvoorstel tot wijziging van het Burgerlijk Wetboek, in verband met de persoonlijke banden tussen broers en zussen, </w:t>
      </w:r>
      <w:r w:rsidRPr="0086280A">
        <w:rPr>
          <w:i/>
          <w:sz w:val="16"/>
          <w:szCs w:val="16"/>
          <w:lang w:val="nl-NL"/>
        </w:rPr>
        <w:t>Parl.St.</w:t>
      </w:r>
      <w:r w:rsidRPr="0086280A">
        <w:rPr>
          <w:sz w:val="16"/>
          <w:szCs w:val="16"/>
          <w:lang w:val="nl-NL"/>
        </w:rPr>
        <w:t xml:space="preserve"> Kamer 2020-21, nr.</w:t>
      </w:r>
      <w:r w:rsidR="00610DF4">
        <w:rPr>
          <w:sz w:val="16"/>
          <w:szCs w:val="16"/>
          <w:lang w:val="nl-NL"/>
        </w:rPr>
        <w:t xml:space="preserve"> </w:t>
      </w:r>
      <w:r w:rsidRPr="0086280A">
        <w:rPr>
          <w:sz w:val="16"/>
          <w:szCs w:val="16"/>
          <w:lang w:val="nl-NL"/>
        </w:rPr>
        <w:t xml:space="preserve">55-780/010, 18 (opm. J. LIMPENS); F. SWENNEN, </w:t>
      </w:r>
      <w:r w:rsidRPr="0086280A">
        <w:rPr>
          <w:i/>
          <w:iCs/>
          <w:sz w:val="16"/>
          <w:szCs w:val="16"/>
          <w:lang w:val="nl-NL"/>
        </w:rPr>
        <w:t>Het personen- en familierecht (achtste, herziene uitgave)</w:t>
      </w:r>
      <w:r w:rsidRPr="0086280A">
        <w:rPr>
          <w:sz w:val="16"/>
          <w:szCs w:val="16"/>
          <w:lang w:val="nl-NL"/>
        </w:rPr>
        <w:t>, Mortsel, Intersentia, 2023, 551.</w:t>
      </w:r>
    </w:p>
  </w:footnote>
  <w:footnote w:id="271">
    <w:p w14:paraId="78CE3A9B" w14:textId="33DAE1E1"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Cass. 10 februari 2020, </w:t>
      </w:r>
      <w:r w:rsidRPr="0086280A">
        <w:rPr>
          <w:i/>
          <w:iCs/>
          <w:sz w:val="16"/>
          <w:szCs w:val="16"/>
          <w:lang w:val="nl-NL"/>
        </w:rPr>
        <w:t>T.Fam.</w:t>
      </w:r>
      <w:r w:rsidRPr="0086280A">
        <w:rPr>
          <w:sz w:val="16"/>
          <w:szCs w:val="16"/>
          <w:lang w:val="nl-NL"/>
        </w:rPr>
        <w:t xml:space="preserve"> 2020, 198, noot P. SENAEVE; Cass. 25 januari 2021, AR C.17.0574.N, </w:t>
      </w:r>
      <w:r w:rsidRPr="0086280A">
        <w:rPr>
          <w:i/>
          <w:sz w:val="16"/>
          <w:szCs w:val="16"/>
          <w:lang w:val="nl-NL"/>
        </w:rPr>
        <w:t>T.Fam.</w:t>
      </w:r>
      <w:r w:rsidRPr="0086280A">
        <w:rPr>
          <w:sz w:val="16"/>
          <w:szCs w:val="16"/>
          <w:lang w:val="nl-NL"/>
        </w:rPr>
        <w:t xml:space="preserve"> 2022, afl. 5-6, 155:</w:t>
      </w:r>
      <w:r w:rsidR="00253B22">
        <w:rPr>
          <w:sz w:val="16"/>
          <w:szCs w:val="16"/>
          <w:lang w:val="nl-NL"/>
        </w:rPr>
        <w:t xml:space="preserve"> </w:t>
      </w:r>
      <w:r w:rsidRPr="0086280A">
        <w:rPr>
          <w:sz w:val="16"/>
          <w:szCs w:val="16"/>
          <w:lang w:val="nl-NL"/>
        </w:rPr>
        <w:t>”Noch de artikelen 3.1, 9.2 en 12.1 IVRK, noch artikel 22</w:t>
      </w:r>
      <w:r w:rsidRPr="0086280A">
        <w:rPr>
          <w:i/>
          <w:iCs/>
          <w:sz w:val="16"/>
          <w:szCs w:val="16"/>
          <w:lang w:val="nl-NL"/>
        </w:rPr>
        <w:t>bis</w:t>
      </w:r>
      <w:r w:rsidRPr="0086280A">
        <w:rPr>
          <w:sz w:val="16"/>
          <w:szCs w:val="16"/>
          <w:lang w:val="nl-NL"/>
        </w:rPr>
        <w:t xml:space="preserve"> van de Grondwet vereisen dat het minderjarige kind in de gelegenheid wordt gesteld als partij tussen te komen (…)”; C. DECLERCK en G. MATHIEU, “Schets van de procespositie van de niet-ontvoogde minderjarige in het Belgische personen- en familierecht”, </w:t>
      </w:r>
      <w:r w:rsidRPr="0086280A">
        <w:rPr>
          <w:i/>
          <w:sz w:val="16"/>
          <w:szCs w:val="16"/>
          <w:lang w:val="nl-NL"/>
        </w:rPr>
        <w:t>T.Fam.</w:t>
      </w:r>
      <w:r w:rsidRPr="0086280A">
        <w:rPr>
          <w:sz w:val="16"/>
          <w:szCs w:val="16"/>
          <w:lang w:val="nl-NL"/>
        </w:rPr>
        <w:t xml:space="preserve"> 2022, afl. 5-6, </w:t>
      </w:r>
      <w:r w:rsidR="00610DF4">
        <w:rPr>
          <w:sz w:val="16"/>
          <w:szCs w:val="16"/>
          <w:lang w:val="nl-NL"/>
        </w:rPr>
        <w:t xml:space="preserve">(138) </w:t>
      </w:r>
      <w:r w:rsidRPr="0086280A">
        <w:rPr>
          <w:sz w:val="16"/>
          <w:szCs w:val="16"/>
          <w:lang w:val="nl-NL"/>
        </w:rPr>
        <w:t>142-143.</w:t>
      </w:r>
    </w:p>
  </w:footnote>
  <w:footnote w:id="272">
    <w:p w14:paraId="64247EC7" w14:textId="7415C8B0"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T. MAESELE, D. REYNAERT, M. BOUVERNE-DE BIE, R. ROOSE en L. BRADT, “Stromingen in de kinderrechtenbeweging”, </w:t>
      </w:r>
      <w:r w:rsidRPr="0086280A">
        <w:rPr>
          <w:i/>
          <w:iCs/>
          <w:sz w:val="16"/>
          <w:szCs w:val="16"/>
          <w:lang w:val="nl-NL"/>
        </w:rPr>
        <w:t>TJK</w:t>
      </w:r>
      <w:r w:rsidRPr="0086280A">
        <w:rPr>
          <w:sz w:val="16"/>
          <w:szCs w:val="16"/>
          <w:lang w:val="nl-NL"/>
        </w:rPr>
        <w:t xml:space="preserve"> 2008/1, </w:t>
      </w:r>
      <w:r w:rsidR="00610DF4">
        <w:rPr>
          <w:sz w:val="16"/>
          <w:szCs w:val="16"/>
          <w:lang w:val="nl-NL"/>
        </w:rPr>
        <w:t xml:space="preserve">(50) </w:t>
      </w:r>
      <w:r w:rsidRPr="0086280A">
        <w:rPr>
          <w:sz w:val="16"/>
          <w:szCs w:val="16"/>
          <w:lang w:val="nl-NL"/>
        </w:rPr>
        <w:t>54.</w:t>
      </w:r>
    </w:p>
  </w:footnote>
  <w:footnote w:id="273">
    <w:p w14:paraId="669E90E9" w14:textId="0E4DFAAA"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t>
      </w:r>
      <w:r w:rsidR="00A80A70" w:rsidRPr="0086280A">
        <w:rPr>
          <w:i/>
          <w:iCs/>
          <w:sz w:val="16"/>
          <w:szCs w:val="16"/>
          <w:lang w:val="nl-NL"/>
        </w:rPr>
        <w:t>Ibid</w:t>
      </w:r>
      <w:r w:rsidRPr="0086280A">
        <w:rPr>
          <w:sz w:val="16"/>
          <w:szCs w:val="16"/>
          <w:lang w:val="nl-NL"/>
        </w:rPr>
        <w:t>.</w:t>
      </w:r>
    </w:p>
  </w:footnote>
  <w:footnote w:id="274">
    <w:p w14:paraId="0C5A1F0A" w14:textId="3E86B14D"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t>
      </w:r>
      <w:r w:rsidR="00A80A70" w:rsidRPr="0086280A">
        <w:rPr>
          <w:i/>
          <w:iCs/>
          <w:sz w:val="16"/>
          <w:szCs w:val="16"/>
          <w:lang w:val="nl-NL"/>
        </w:rPr>
        <w:t>Ibid.</w:t>
      </w:r>
      <w:r w:rsidRPr="0086280A">
        <w:rPr>
          <w:sz w:val="16"/>
          <w:szCs w:val="16"/>
          <w:lang w:val="nl-NL"/>
        </w:rPr>
        <w:t xml:space="preserve">; </w:t>
      </w:r>
      <w:r w:rsidR="00610DF4">
        <w:rPr>
          <w:sz w:val="16"/>
          <w:szCs w:val="16"/>
          <w:lang w:val="nl-NL"/>
        </w:rPr>
        <w:t xml:space="preserve">zie </w:t>
      </w:r>
      <w:r w:rsidRPr="0086280A">
        <w:rPr>
          <w:sz w:val="16"/>
          <w:szCs w:val="16"/>
          <w:lang w:val="nl-NL"/>
        </w:rPr>
        <w:t>S. DE VISSCHER, D. REYNAERT en M. BOUVERNE-DE BIE, “Kinderrechten als referentiekader voor ‘kindvriendelijkheid’: opvattingen en discussies”, </w:t>
      </w:r>
      <w:r w:rsidRPr="0086280A">
        <w:rPr>
          <w:i/>
          <w:iCs/>
          <w:sz w:val="16"/>
          <w:szCs w:val="16"/>
          <w:lang w:val="nl-NL"/>
        </w:rPr>
        <w:t>TJK</w:t>
      </w:r>
      <w:r w:rsidRPr="0086280A">
        <w:rPr>
          <w:sz w:val="16"/>
          <w:szCs w:val="16"/>
          <w:lang w:val="nl-NL"/>
        </w:rPr>
        <w:t xml:space="preserve"> 2012/1, 40-52.</w:t>
      </w:r>
    </w:p>
  </w:footnote>
  <w:footnote w:id="275">
    <w:p w14:paraId="563CDB06" w14:textId="38865AA4"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 VANDENHOLE, “Twintig jaar kinderrechtenverdrag (1989-2009): een Belgische stand van zaken”, </w:t>
      </w:r>
      <w:r w:rsidRPr="0086280A">
        <w:rPr>
          <w:i/>
          <w:sz w:val="16"/>
          <w:szCs w:val="16"/>
          <w:lang w:val="nl-NL"/>
        </w:rPr>
        <w:t>RW</w:t>
      </w:r>
      <w:r w:rsidRPr="0086280A">
        <w:rPr>
          <w:sz w:val="16"/>
          <w:szCs w:val="16"/>
          <w:lang w:val="nl-NL"/>
        </w:rPr>
        <w:t xml:space="preserve"> 2009-10, </w:t>
      </w:r>
      <w:r w:rsidR="00D673CD">
        <w:rPr>
          <w:sz w:val="16"/>
          <w:szCs w:val="16"/>
          <w:lang w:val="nl-NL"/>
        </w:rPr>
        <w:t xml:space="preserve">(386) </w:t>
      </w:r>
      <w:r w:rsidRPr="0086280A">
        <w:rPr>
          <w:sz w:val="16"/>
          <w:szCs w:val="16"/>
          <w:lang w:val="nl-NL"/>
        </w:rPr>
        <w:t>404.</w:t>
      </w:r>
    </w:p>
  </w:footnote>
  <w:footnote w:id="276">
    <w:p w14:paraId="4F090F77" w14:textId="75148E68" w:rsidR="00C57AF9" w:rsidRPr="00FC391D" w:rsidRDefault="00C57AF9" w:rsidP="00FC391D">
      <w:pPr>
        <w:jc w:val="both"/>
        <w:rPr>
          <w:rFonts w:eastAsia="Verdana" w:cs="Verdana"/>
          <w:sz w:val="16"/>
          <w:szCs w:val="16"/>
          <w:lang w:val="nl-NL"/>
        </w:rPr>
      </w:pPr>
      <w:r w:rsidRPr="0086280A">
        <w:rPr>
          <w:rStyle w:val="Voetnootmarkering"/>
          <w:sz w:val="16"/>
          <w:szCs w:val="16"/>
          <w:lang w:val="nl-NL"/>
        </w:rPr>
        <w:footnoteRef/>
      </w:r>
      <w:r w:rsidRPr="0086280A">
        <w:rPr>
          <w:sz w:val="16"/>
          <w:szCs w:val="16"/>
          <w:lang w:val="nl-NL"/>
        </w:rPr>
        <w:t xml:space="preserve"> </w:t>
      </w:r>
      <w:r w:rsidRPr="0086280A">
        <w:rPr>
          <w:rFonts w:eastAsia="Verdana" w:cs="Verdana"/>
          <w:sz w:val="16"/>
          <w:szCs w:val="16"/>
          <w:lang w:val="nl-NL"/>
        </w:rPr>
        <w:t xml:space="preserve">GwH 28 februari 2019, nr. 36/2019, </w:t>
      </w:r>
      <w:r w:rsidRPr="0086280A">
        <w:rPr>
          <w:rFonts w:eastAsia="Verdana" w:cs="Verdana"/>
          <w:i/>
          <w:sz w:val="16"/>
          <w:szCs w:val="16"/>
          <w:lang w:val="nl-NL"/>
        </w:rPr>
        <w:t>TJK</w:t>
      </w:r>
      <w:r w:rsidRPr="0086280A">
        <w:rPr>
          <w:rFonts w:eastAsia="Verdana" w:cs="Verdana"/>
          <w:sz w:val="16"/>
          <w:szCs w:val="16"/>
          <w:lang w:val="nl-NL"/>
        </w:rPr>
        <w:t xml:space="preserve"> 2019, afl. 4, 452, noot M. BERGHMANS; Cass. 4 november 1999, AR C.99.0111.N, </w:t>
      </w:r>
      <w:r w:rsidRPr="0086280A">
        <w:rPr>
          <w:rFonts w:eastAsia="Verdana" w:cs="Verdana"/>
          <w:i/>
          <w:sz w:val="16"/>
          <w:szCs w:val="16"/>
          <w:lang w:val="nl-NL"/>
        </w:rPr>
        <w:t>Juristenkrant</w:t>
      </w:r>
      <w:r w:rsidRPr="0086280A">
        <w:rPr>
          <w:rFonts w:eastAsia="Verdana" w:cs="Verdana"/>
          <w:sz w:val="16"/>
          <w:szCs w:val="16"/>
          <w:lang w:val="nl-NL"/>
        </w:rPr>
        <w:t xml:space="preserve"> 2000, afl. 2, 4; Cass. 25 januari 2021, AR C.17.0574.N, </w:t>
      </w:r>
      <w:r w:rsidRPr="0086280A">
        <w:rPr>
          <w:rFonts w:eastAsia="Verdana" w:cs="Verdana"/>
          <w:i/>
          <w:sz w:val="16"/>
          <w:szCs w:val="16"/>
          <w:lang w:val="nl-NL"/>
        </w:rPr>
        <w:t>T.Fam.</w:t>
      </w:r>
      <w:r w:rsidRPr="0086280A">
        <w:rPr>
          <w:rFonts w:eastAsia="Verdana" w:cs="Verdana"/>
          <w:sz w:val="16"/>
          <w:szCs w:val="16"/>
          <w:lang w:val="nl-NL"/>
        </w:rPr>
        <w:t xml:space="preserve"> 2022, afl. 5-6, 155</w:t>
      </w:r>
      <w:r w:rsidR="00FC391D">
        <w:rPr>
          <w:rFonts w:eastAsia="Verdana" w:cs="Verdana"/>
          <w:sz w:val="16"/>
          <w:szCs w:val="16"/>
          <w:lang w:val="nl-NL"/>
        </w:rPr>
        <w:t xml:space="preserve">; </w:t>
      </w:r>
      <w:r w:rsidR="00FC391D" w:rsidRPr="0086280A">
        <w:rPr>
          <w:sz w:val="16"/>
          <w:szCs w:val="16"/>
          <w:lang w:val="nl-NL"/>
        </w:rPr>
        <w:t xml:space="preserve">M. MALLIEN, </w:t>
      </w:r>
      <w:r w:rsidR="00FC391D" w:rsidRPr="0086280A">
        <w:rPr>
          <w:i/>
          <w:sz w:val="16"/>
          <w:szCs w:val="16"/>
          <w:lang w:val="nl-NL"/>
        </w:rPr>
        <w:t>Le contentieux judiciaire parental à propos de l’éducation de l’enfant. Hiérarchie et inventaire des principaux critères d’appréciation retenus par les juges</w:t>
      </w:r>
      <w:r w:rsidR="00FC391D" w:rsidRPr="0086280A">
        <w:rPr>
          <w:sz w:val="16"/>
          <w:szCs w:val="16"/>
          <w:lang w:val="nl-NL"/>
        </w:rPr>
        <w:t xml:space="preserve">, Brussel, Larcier, 2017, 108; C. VAN ROY, </w:t>
      </w:r>
      <w:r w:rsidR="00FC391D" w:rsidRPr="0086280A">
        <w:rPr>
          <w:i/>
          <w:sz w:val="16"/>
          <w:szCs w:val="16"/>
          <w:lang w:val="nl-NL"/>
        </w:rPr>
        <w:t>De (on)deelbaarheid van het kind</w:t>
      </w:r>
      <w:r w:rsidR="00FC391D" w:rsidRPr="0086280A">
        <w:rPr>
          <w:sz w:val="16"/>
          <w:szCs w:val="16"/>
          <w:lang w:val="nl-NL"/>
        </w:rPr>
        <w:t>, Antwerpen, Intersentia, 2021, 38</w:t>
      </w:r>
      <w:r w:rsidR="00FC391D">
        <w:rPr>
          <w:sz w:val="16"/>
          <w:szCs w:val="16"/>
          <w:lang w:val="nl-NL"/>
        </w:rPr>
        <w:t xml:space="preserve">; </w:t>
      </w:r>
      <w:r w:rsidRPr="0086280A">
        <w:rPr>
          <w:sz w:val="16"/>
          <w:szCs w:val="16"/>
          <w:lang w:val="nl-NL"/>
        </w:rPr>
        <w:t xml:space="preserve">F. SWENNEN, “Rechten van niet-ouders met betrekking tot minderjarigen” in P. SENAEVE, F. SWENNEN en G. VERSCHELDEN (eds.), </w:t>
      </w:r>
      <w:r w:rsidRPr="0086280A">
        <w:rPr>
          <w:i/>
          <w:sz w:val="16"/>
          <w:szCs w:val="16"/>
          <w:lang w:val="nl-NL"/>
        </w:rPr>
        <w:t>Ouders en kinderen</w:t>
      </w:r>
      <w:r w:rsidRPr="0086280A">
        <w:rPr>
          <w:sz w:val="16"/>
          <w:szCs w:val="16"/>
          <w:lang w:val="nl-NL"/>
        </w:rPr>
        <w:t xml:space="preserve">, Antwerpen, Intersentia, 2013, 268; I. BOONE en E. VERTOMMEN, “Recente ontwikkelingen inzake het ouderlijk gezag, de verblijfsregeling en het recht op persoonlijk contact” in I. BOONE en C. DECLERCK (eds.), </w:t>
      </w:r>
      <w:r w:rsidRPr="0086280A">
        <w:rPr>
          <w:i/>
          <w:iCs/>
          <w:sz w:val="16"/>
          <w:szCs w:val="16"/>
          <w:lang w:val="nl-NL"/>
        </w:rPr>
        <w:t>Themis 2022-2023</w:t>
      </w:r>
      <w:r w:rsidRPr="0086280A">
        <w:rPr>
          <w:sz w:val="16"/>
          <w:szCs w:val="16"/>
          <w:lang w:val="nl-NL"/>
        </w:rPr>
        <w:t>, Antwerpen, Intersentia, 2023, 56</w:t>
      </w:r>
      <w:r w:rsidR="00A80A70" w:rsidRPr="0086280A">
        <w:rPr>
          <w:sz w:val="16"/>
          <w:szCs w:val="16"/>
          <w:lang w:val="nl-NL"/>
        </w:rPr>
        <w:t>.</w:t>
      </w:r>
    </w:p>
  </w:footnote>
  <w:footnote w:id="277">
    <w:p w14:paraId="45FB260C" w14:textId="194EB063" w:rsidR="00C57AF9" w:rsidRPr="00FC391D"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M. MALLIEN, </w:t>
      </w:r>
      <w:r w:rsidRPr="0086280A">
        <w:rPr>
          <w:i/>
          <w:sz w:val="16"/>
          <w:szCs w:val="16"/>
          <w:lang w:val="nl-NL"/>
        </w:rPr>
        <w:t xml:space="preserve">Le contentieux judiciaire parental à propos de l’éducation de l’enfant. </w:t>
      </w:r>
      <w:r w:rsidRPr="00FC391D">
        <w:rPr>
          <w:i/>
          <w:sz w:val="16"/>
          <w:szCs w:val="16"/>
          <w:lang w:val="nl-NL"/>
        </w:rPr>
        <w:t>Hiérarchie et inventaire des principaux critères d’appréciation retenus par les juges</w:t>
      </w:r>
      <w:r w:rsidRPr="00FC391D">
        <w:rPr>
          <w:sz w:val="16"/>
          <w:szCs w:val="16"/>
          <w:lang w:val="nl-NL"/>
        </w:rPr>
        <w:t>, Brussel, Larcier, 2017, 99</w:t>
      </w:r>
      <w:r w:rsidR="00FC391D" w:rsidRPr="00FC391D">
        <w:rPr>
          <w:sz w:val="16"/>
          <w:szCs w:val="16"/>
          <w:lang w:val="nl-NL"/>
        </w:rPr>
        <w:t xml:space="preserve">; </w:t>
      </w:r>
      <w:r w:rsidR="00FC391D" w:rsidRPr="0086280A">
        <w:rPr>
          <w:sz w:val="16"/>
          <w:szCs w:val="16"/>
          <w:lang w:val="nl-NL"/>
        </w:rPr>
        <w:t xml:space="preserve">D. REYNAERT, “Het belang van het kind. Zoektocht naar een lading voor de vlag”, </w:t>
      </w:r>
      <w:r w:rsidR="00FC391D" w:rsidRPr="0086280A">
        <w:rPr>
          <w:i/>
          <w:iCs/>
          <w:sz w:val="16"/>
          <w:szCs w:val="16"/>
          <w:lang w:val="nl-NL"/>
        </w:rPr>
        <w:t>TJK</w:t>
      </w:r>
      <w:r w:rsidR="00FC391D" w:rsidRPr="0086280A">
        <w:rPr>
          <w:sz w:val="16"/>
          <w:szCs w:val="16"/>
          <w:lang w:val="nl-NL"/>
        </w:rPr>
        <w:t xml:space="preserve"> 2007, nr. 4, </w:t>
      </w:r>
      <w:r w:rsidR="00D673CD">
        <w:rPr>
          <w:sz w:val="16"/>
          <w:szCs w:val="16"/>
          <w:lang w:val="nl-NL"/>
        </w:rPr>
        <w:t xml:space="preserve">(203) </w:t>
      </w:r>
      <w:r w:rsidR="00FC391D" w:rsidRPr="0086280A">
        <w:rPr>
          <w:sz w:val="16"/>
          <w:szCs w:val="16"/>
          <w:lang w:val="nl-NL"/>
        </w:rPr>
        <w:t>203-205</w:t>
      </w:r>
      <w:r w:rsidR="00FC391D">
        <w:rPr>
          <w:sz w:val="16"/>
          <w:szCs w:val="16"/>
          <w:lang w:val="nl-NL"/>
        </w:rPr>
        <w:t>.</w:t>
      </w:r>
    </w:p>
  </w:footnote>
  <w:footnote w:id="278">
    <w:p w14:paraId="29297881" w14:textId="28B2A116"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1A149B">
        <w:rPr>
          <w:sz w:val="16"/>
          <w:szCs w:val="16"/>
          <w:lang w:val="nl-NL"/>
        </w:rPr>
        <w:t xml:space="preserve"> Zie ook General Comment no. 14 of the UN Committee on the Rights of the Child on the right of the child to have his or her best interests taken as a primary consideration, 29 mei 2013, CRC/C/GC/14; T. WUYTS, </w:t>
      </w:r>
      <w:r w:rsidRPr="001A149B">
        <w:rPr>
          <w:i/>
          <w:iCs/>
          <w:sz w:val="16"/>
          <w:szCs w:val="16"/>
          <w:lang w:val="nl-NL"/>
        </w:rPr>
        <w:t xml:space="preserve">Ouderlijk gezag, </w:t>
      </w:r>
      <w:r w:rsidRPr="001A149B">
        <w:rPr>
          <w:sz w:val="16"/>
          <w:szCs w:val="16"/>
          <w:lang w:val="nl-NL"/>
        </w:rPr>
        <w:t xml:space="preserve">Antwerpen, Intersentia, 2013, 617-618; C. VAN ROY, C., </w:t>
      </w:r>
      <w:r w:rsidRPr="001A149B">
        <w:rPr>
          <w:i/>
          <w:sz w:val="16"/>
          <w:szCs w:val="16"/>
          <w:lang w:val="nl-NL"/>
        </w:rPr>
        <w:t>De (on)deelbaarheid van het kind</w:t>
      </w:r>
      <w:r w:rsidRPr="001A149B">
        <w:rPr>
          <w:sz w:val="16"/>
          <w:szCs w:val="16"/>
          <w:lang w:val="nl-NL"/>
        </w:rPr>
        <w:t xml:space="preserve">, Antwerpen, Intersentia, 2021, 41-42; D. REYNAERT, “Het belang van het kind. </w:t>
      </w:r>
      <w:r w:rsidRPr="0086280A">
        <w:rPr>
          <w:sz w:val="16"/>
          <w:szCs w:val="16"/>
          <w:lang w:val="nl-NL"/>
        </w:rPr>
        <w:t xml:space="preserve">Zoektocht naar een lading voor de vlag”, </w:t>
      </w:r>
      <w:r w:rsidRPr="0086280A">
        <w:rPr>
          <w:i/>
          <w:iCs/>
          <w:sz w:val="16"/>
          <w:szCs w:val="16"/>
          <w:lang w:val="nl-NL"/>
        </w:rPr>
        <w:t>TJK</w:t>
      </w:r>
      <w:r w:rsidRPr="0086280A">
        <w:rPr>
          <w:sz w:val="16"/>
          <w:szCs w:val="16"/>
          <w:lang w:val="nl-NL"/>
        </w:rPr>
        <w:t xml:space="preserve"> 2007, nr. 4, </w:t>
      </w:r>
      <w:r w:rsidR="00D673CD">
        <w:rPr>
          <w:sz w:val="16"/>
          <w:szCs w:val="16"/>
          <w:lang w:val="nl-NL"/>
        </w:rPr>
        <w:t xml:space="preserve">(203) </w:t>
      </w:r>
      <w:r w:rsidRPr="0086280A">
        <w:rPr>
          <w:sz w:val="16"/>
          <w:szCs w:val="16"/>
          <w:lang w:val="nl-NL"/>
        </w:rPr>
        <w:t>204.</w:t>
      </w:r>
    </w:p>
  </w:footnote>
  <w:footnote w:id="279">
    <w:p w14:paraId="7479C0F8" w14:textId="1DA98561"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T. WUYTS, </w:t>
      </w:r>
      <w:r w:rsidRPr="0086280A">
        <w:rPr>
          <w:i/>
          <w:iCs/>
          <w:sz w:val="16"/>
          <w:szCs w:val="16"/>
          <w:lang w:val="nl-NL"/>
        </w:rPr>
        <w:t xml:space="preserve">Ouderlijk gezag, </w:t>
      </w:r>
      <w:r w:rsidRPr="0086280A">
        <w:rPr>
          <w:sz w:val="16"/>
          <w:szCs w:val="16"/>
          <w:lang w:val="nl-NL"/>
        </w:rPr>
        <w:t>Antwerpen, Intersentia, 2013, 616-617.</w:t>
      </w:r>
    </w:p>
  </w:footnote>
  <w:footnote w:id="280">
    <w:p w14:paraId="23A53250" w14:textId="671BFD22"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Cass. 4 november 1999, AR C.99.0111.N, </w:t>
      </w:r>
      <w:r w:rsidRPr="0086280A">
        <w:rPr>
          <w:i/>
          <w:iCs/>
          <w:sz w:val="16"/>
          <w:szCs w:val="16"/>
          <w:lang w:val="nl-NL"/>
        </w:rPr>
        <w:t>Juristenkrant</w:t>
      </w:r>
      <w:r w:rsidRPr="0086280A">
        <w:rPr>
          <w:sz w:val="16"/>
          <w:szCs w:val="16"/>
          <w:lang w:val="nl-NL"/>
        </w:rPr>
        <w:t xml:space="preserve"> 2000, afl. 2, 4, noot G. VERSCHELDEN; Cass. 4 november 1999, AR C.99.0048.N, </w:t>
      </w:r>
      <w:r w:rsidRPr="0086280A">
        <w:rPr>
          <w:i/>
          <w:iCs/>
          <w:sz w:val="16"/>
          <w:szCs w:val="16"/>
          <w:lang w:val="nl-NL"/>
        </w:rPr>
        <w:t>TJK</w:t>
      </w:r>
      <w:r w:rsidRPr="0086280A">
        <w:rPr>
          <w:sz w:val="16"/>
          <w:szCs w:val="16"/>
          <w:lang w:val="nl-NL"/>
        </w:rPr>
        <w:t xml:space="preserve"> 2000, afl. 2, 62; A. VANDAELE, “De directe werking van en capita selecta uit het Internationaal verdrag inzake de rechten van het kind” in E. VERHELLEN (e.a.), </w:t>
      </w:r>
      <w:r w:rsidRPr="0086280A">
        <w:rPr>
          <w:i/>
          <w:iCs/>
          <w:sz w:val="16"/>
          <w:szCs w:val="16"/>
          <w:lang w:val="nl-NL"/>
        </w:rPr>
        <w:t>Kinderrechtengids</w:t>
      </w:r>
      <w:r w:rsidRPr="0086280A">
        <w:rPr>
          <w:sz w:val="16"/>
          <w:szCs w:val="16"/>
          <w:lang w:val="nl-NL"/>
        </w:rPr>
        <w:t>, Gent, Mys &amp; Breesch, 2003, Deel 1 – 1.1, 17.</w:t>
      </w:r>
    </w:p>
  </w:footnote>
  <w:footnote w:id="281">
    <w:p w14:paraId="6C8057CA" w14:textId="076CF22A"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GwH 2 juli 2015, nr. 101/2015, </w:t>
      </w:r>
      <w:r w:rsidRPr="0086280A">
        <w:rPr>
          <w:i/>
          <w:iCs/>
          <w:sz w:val="16"/>
          <w:szCs w:val="16"/>
          <w:lang w:val="nl-NL"/>
        </w:rPr>
        <w:t>Juristenkrant</w:t>
      </w:r>
      <w:r w:rsidRPr="0086280A">
        <w:rPr>
          <w:sz w:val="16"/>
          <w:szCs w:val="16"/>
          <w:lang w:val="nl-NL"/>
        </w:rPr>
        <w:t xml:space="preserve"> 2015, afl. 315, 7, noot E. DE BOCK; Cass. 14 juni 2019, AR C.18.0430.N, </w:t>
      </w:r>
      <w:r w:rsidRPr="0086280A">
        <w:rPr>
          <w:i/>
          <w:iCs/>
          <w:sz w:val="16"/>
          <w:szCs w:val="16"/>
          <w:lang w:val="nl-NL"/>
        </w:rPr>
        <w:t xml:space="preserve">T.Fam. </w:t>
      </w:r>
      <w:r w:rsidRPr="0086280A">
        <w:rPr>
          <w:sz w:val="16"/>
          <w:szCs w:val="16"/>
          <w:lang w:val="nl-NL"/>
        </w:rPr>
        <w:t xml:space="preserve">2020, afl. 10, 292, noot P. SENAEVE; Vred. Kortrijk 3 oktober 2006, </w:t>
      </w:r>
      <w:r w:rsidRPr="0086280A">
        <w:rPr>
          <w:i/>
          <w:iCs/>
          <w:sz w:val="16"/>
          <w:szCs w:val="16"/>
          <w:lang w:val="nl-NL"/>
        </w:rPr>
        <w:t>RW</w:t>
      </w:r>
      <w:r w:rsidRPr="0086280A">
        <w:rPr>
          <w:sz w:val="16"/>
          <w:szCs w:val="16"/>
          <w:lang w:val="nl-NL"/>
        </w:rPr>
        <w:t xml:space="preserve"> 2007-08, afl. 12, 497; D. REYNAERT, “Het belang van het kind. Zoektocht naar een lading voor de vlag”, </w:t>
      </w:r>
      <w:r w:rsidRPr="0086280A">
        <w:rPr>
          <w:i/>
          <w:iCs/>
          <w:sz w:val="16"/>
          <w:szCs w:val="16"/>
          <w:lang w:val="nl-NL"/>
        </w:rPr>
        <w:t>TJK</w:t>
      </w:r>
      <w:r w:rsidRPr="0086280A">
        <w:rPr>
          <w:sz w:val="16"/>
          <w:szCs w:val="16"/>
          <w:lang w:val="nl-NL"/>
        </w:rPr>
        <w:t xml:space="preserve"> 2007, nr. 4, </w:t>
      </w:r>
      <w:r w:rsidR="00D673CD">
        <w:rPr>
          <w:sz w:val="16"/>
          <w:szCs w:val="16"/>
          <w:lang w:val="nl-NL"/>
        </w:rPr>
        <w:t xml:space="preserve">(203) </w:t>
      </w:r>
      <w:r w:rsidRPr="0086280A">
        <w:rPr>
          <w:sz w:val="16"/>
          <w:szCs w:val="16"/>
          <w:lang w:val="nl-NL"/>
        </w:rPr>
        <w:t>204.</w:t>
      </w:r>
    </w:p>
  </w:footnote>
  <w:footnote w:id="282">
    <w:p w14:paraId="69982C5B" w14:textId="6E555FF8"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GwH 7 maart 2013, nr. 30/2013, </w:t>
      </w:r>
      <w:r w:rsidRPr="0086280A">
        <w:rPr>
          <w:i/>
          <w:iCs/>
          <w:sz w:val="16"/>
          <w:szCs w:val="16"/>
          <w:lang w:val="nl-NL"/>
        </w:rPr>
        <w:t>Juristenkrant</w:t>
      </w:r>
      <w:r w:rsidRPr="0086280A">
        <w:rPr>
          <w:sz w:val="16"/>
          <w:szCs w:val="16"/>
          <w:lang w:val="nl-NL"/>
        </w:rPr>
        <w:t xml:space="preserve"> 2013, afl. 267, 4, noot G. VERSCHELDEN; GwH 7 maart 2013, nr. 30/2013, </w:t>
      </w:r>
      <w:r w:rsidRPr="0086280A">
        <w:rPr>
          <w:i/>
          <w:iCs/>
          <w:sz w:val="16"/>
          <w:szCs w:val="16"/>
          <w:lang w:val="nl-NL"/>
        </w:rPr>
        <w:t>T.Fam.</w:t>
      </w:r>
      <w:r w:rsidRPr="0086280A">
        <w:rPr>
          <w:sz w:val="16"/>
          <w:szCs w:val="16"/>
          <w:lang w:val="nl-NL"/>
        </w:rPr>
        <w:t xml:space="preserve"> 2013, afl. 9, 232.</w:t>
      </w:r>
    </w:p>
  </w:footnote>
  <w:footnote w:id="283">
    <w:p w14:paraId="03552901" w14:textId="28F116DD" w:rsidR="00C57AF9" w:rsidRPr="0086280A" w:rsidRDefault="00C57AF9" w:rsidP="005C4D5C">
      <w:pPr>
        <w:pStyle w:val="Voetnoottekst"/>
        <w:jc w:val="both"/>
        <w:rPr>
          <w:iCs/>
          <w:sz w:val="16"/>
          <w:szCs w:val="16"/>
          <w:lang w:val="nl-NL"/>
        </w:rPr>
      </w:pPr>
      <w:r w:rsidRPr="0086280A">
        <w:rPr>
          <w:rStyle w:val="Voetnootmarkering"/>
          <w:sz w:val="16"/>
          <w:szCs w:val="16"/>
          <w:lang w:val="nl-NL"/>
        </w:rPr>
        <w:footnoteRef/>
      </w:r>
      <w:r w:rsidRPr="0086280A">
        <w:rPr>
          <w:sz w:val="16"/>
          <w:szCs w:val="16"/>
          <w:lang w:val="nl-NL"/>
        </w:rPr>
        <w:t xml:space="preserve"> Zie b</w:t>
      </w:r>
      <w:r w:rsidR="00A80A70" w:rsidRPr="0086280A">
        <w:rPr>
          <w:sz w:val="16"/>
          <w:szCs w:val="16"/>
          <w:lang w:val="nl-NL"/>
        </w:rPr>
        <w:t>ijvoorbeeld</w:t>
      </w:r>
      <w:r w:rsidRPr="0086280A">
        <w:rPr>
          <w:sz w:val="16"/>
          <w:szCs w:val="16"/>
          <w:lang w:val="nl-NL"/>
        </w:rPr>
        <w:t xml:space="preserve"> GwH 28 februari 2019, nr. 36/2019, </w:t>
      </w:r>
      <w:r w:rsidRPr="0086280A">
        <w:rPr>
          <w:iCs/>
          <w:sz w:val="16"/>
          <w:szCs w:val="16"/>
          <w:lang w:val="nl-NL"/>
        </w:rPr>
        <w:t>overw. B.18.1-B.18.2.</w:t>
      </w:r>
    </w:p>
  </w:footnote>
  <w:footnote w:id="284">
    <w:p w14:paraId="10418973" w14:textId="35BA6A75"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U. CERULUS, </w:t>
      </w:r>
      <w:r w:rsidRPr="0086280A">
        <w:rPr>
          <w:i/>
          <w:iCs/>
          <w:sz w:val="16"/>
          <w:szCs w:val="16"/>
          <w:lang w:val="nl-NL"/>
        </w:rPr>
        <w:t>Een statuut voor de zorgouder in het licht van de grondrechtenbescherming</w:t>
      </w:r>
      <w:r w:rsidRPr="0086280A">
        <w:rPr>
          <w:sz w:val="16"/>
          <w:szCs w:val="16"/>
          <w:lang w:val="nl-NL"/>
        </w:rPr>
        <w:t>, Brugge, die Keure, 2019, 173</w:t>
      </w:r>
      <w:r w:rsidR="00FC391D">
        <w:rPr>
          <w:sz w:val="16"/>
          <w:szCs w:val="16"/>
          <w:lang w:val="nl-NL"/>
        </w:rPr>
        <w:t>.</w:t>
      </w:r>
    </w:p>
  </w:footnote>
  <w:footnote w:id="285">
    <w:p w14:paraId="7FB81C55" w14:textId="1D93BBDB"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art</w:t>
      </w:r>
      <w:r w:rsidR="00FC391D">
        <w:rPr>
          <w:sz w:val="16"/>
          <w:szCs w:val="16"/>
          <w:lang w:val="nl-NL"/>
        </w:rPr>
        <w:t>ikel</w:t>
      </w:r>
      <w:r w:rsidRPr="0086280A">
        <w:rPr>
          <w:sz w:val="16"/>
          <w:szCs w:val="16"/>
          <w:lang w:val="nl-NL"/>
        </w:rPr>
        <w:t xml:space="preserve"> 375</w:t>
      </w:r>
      <w:r w:rsidRPr="0086280A">
        <w:rPr>
          <w:i/>
          <w:iCs/>
          <w:sz w:val="16"/>
          <w:szCs w:val="16"/>
          <w:lang w:val="nl-NL"/>
        </w:rPr>
        <w:t>bis</w:t>
      </w:r>
      <w:r w:rsidRPr="0086280A">
        <w:rPr>
          <w:sz w:val="16"/>
          <w:szCs w:val="16"/>
          <w:lang w:val="nl-NL"/>
        </w:rPr>
        <w:t xml:space="preserve">, tweede lid oud BW; C. DECLERCK, “Het recht op persoonlijk contact tussen broers en zussen in de zin van artikel 375bis oud BW”, </w:t>
      </w:r>
      <w:r w:rsidRPr="0086280A">
        <w:rPr>
          <w:i/>
          <w:iCs/>
          <w:sz w:val="16"/>
          <w:szCs w:val="16"/>
          <w:lang w:val="nl-NL"/>
        </w:rPr>
        <w:t>T.Fam.</w:t>
      </w:r>
      <w:r w:rsidRPr="0086280A">
        <w:rPr>
          <w:sz w:val="16"/>
          <w:szCs w:val="16"/>
          <w:lang w:val="nl-NL"/>
        </w:rPr>
        <w:t xml:space="preserve"> 2021, 308.</w:t>
      </w:r>
    </w:p>
  </w:footnote>
  <w:footnote w:id="286">
    <w:p w14:paraId="7F3460D4" w14:textId="3199E177"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Amendement nr. 9 van G. SWENNEN op het wetsontwerp tot het bevoorrechten van een gelijkmatig verdeelde huisvesting van het kind van wie de ouders gescheiden zijn en tot regeling van de gedwongen tenuitvoerlegging inzake huisvesting van het kind, </w:t>
      </w:r>
      <w:r w:rsidRPr="0086280A">
        <w:rPr>
          <w:i/>
          <w:iCs/>
          <w:sz w:val="16"/>
          <w:szCs w:val="16"/>
          <w:lang w:val="nl-NL"/>
        </w:rPr>
        <w:t>Parl.St</w:t>
      </w:r>
      <w:r w:rsidRPr="0086280A">
        <w:rPr>
          <w:sz w:val="16"/>
          <w:szCs w:val="16"/>
          <w:lang w:val="nl-NL"/>
        </w:rPr>
        <w:t xml:space="preserve">. Kamer 2004-05, nr. 51K1673/003, 4; W. VANDENHOLE, “Twintig jaar kinderrechtenverdrag (1989-2009): een Belgische stand van zaken”, </w:t>
      </w:r>
      <w:r w:rsidRPr="0086280A">
        <w:rPr>
          <w:i/>
          <w:sz w:val="16"/>
          <w:szCs w:val="16"/>
          <w:lang w:val="nl-NL"/>
        </w:rPr>
        <w:t>RW</w:t>
      </w:r>
      <w:r w:rsidRPr="0086280A">
        <w:rPr>
          <w:sz w:val="16"/>
          <w:szCs w:val="16"/>
          <w:lang w:val="nl-NL"/>
        </w:rPr>
        <w:t xml:space="preserve"> 2009-10, </w:t>
      </w:r>
      <w:r w:rsidR="00D673CD">
        <w:rPr>
          <w:sz w:val="16"/>
          <w:szCs w:val="16"/>
          <w:lang w:val="nl-NL"/>
        </w:rPr>
        <w:t xml:space="preserve">(386) </w:t>
      </w:r>
      <w:r w:rsidRPr="0086280A">
        <w:rPr>
          <w:sz w:val="16"/>
          <w:szCs w:val="16"/>
          <w:lang w:val="nl-NL"/>
        </w:rPr>
        <w:t>393.</w:t>
      </w:r>
    </w:p>
  </w:footnote>
  <w:footnote w:id="287">
    <w:p w14:paraId="00C5C410" w14:textId="35797538"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 VANDENHOLE, “Twintig jaar kinderrechtenverdrag (1989-2009): een Belgische stand van zaken”, </w:t>
      </w:r>
      <w:r w:rsidRPr="0086280A">
        <w:rPr>
          <w:i/>
          <w:sz w:val="16"/>
          <w:szCs w:val="16"/>
          <w:lang w:val="nl-NL"/>
        </w:rPr>
        <w:t>RW</w:t>
      </w:r>
      <w:r w:rsidRPr="0086280A">
        <w:rPr>
          <w:sz w:val="16"/>
          <w:szCs w:val="16"/>
          <w:lang w:val="nl-NL"/>
        </w:rPr>
        <w:t xml:space="preserve"> 2009-10, </w:t>
      </w:r>
      <w:r w:rsidR="00D673CD">
        <w:rPr>
          <w:sz w:val="16"/>
          <w:szCs w:val="16"/>
          <w:lang w:val="nl-NL"/>
        </w:rPr>
        <w:t xml:space="preserve">(386) </w:t>
      </w:r>
      <w:r w:rsidRPr="0086280A">
        <w:rPr>
          <w:sz w:val="16"/>
          <w:szCs w:val="16"/>
          <w:lang w:val="nl-NL"/>
        </w:rPr>
        <w:t>394.</w:t>
      </w:r>
    </w:p>
  </w:footnote>
  <w:footnote w:id="288">
    <w:p w14:paraId="2795452E" w14:textId="41DCA584"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C. VAN ROY, </w:t>
      </w:r>
      <w:r w:rsidRPr="0086280A">
        <w:rPr>
          <w:i/>
          <w:sz w:val="16"/>
          <w:szCs w:val="16"/>
          <w:lang w:val="nl-NL"/>
        </w:rPr>
        <w:t>De (on)deelbaarheid van het kind</w:t>
      </w:r>
      <w:r w:rsidRPr="0086280A">
        <w:rPr>
          <w:sz w:val="16"/>
          <w:szCs w:val="16"/>
          <w:lang w:val="nl-NL"/>
        </w:rPr>
        <w:t>, Antwerpen, Intersentia, 2021, 111.</w:t>
      </w:r>
    </w:p>
  </w:footnote>
  <w:footnote w:id="289">
    <w:p w14:paraId="79AEE229" w14:textId="3AE0AA90"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General Comment no. 12 of the UN Committee on the Rights of the Child on the right of the child to be heard, 1 juli 2019, CRC/C/GC/12, §74; T. WUYTS, </w:t>
      </w:r>
      <w:r w:rsidRPr="0086280A">
        <w:rPr>
          <w:i/>
          <w:iCs/>
          <w:sz w:val="16"/>
          <w:szCs w:val="16"/>
          <w:lang w:val="nl-NL"/>
        </w:rPr>
        <w:t xml:space="preserve">Ouderlijk gezag, </w:t>
      </w:r>
      <w:r w:rsidRPr="0086280A">
        <w:rPr>
          <w:sz w:val="16"/>
          <w:szCs w:val="16"/>
          <w:lang w:val="nl-NL"/>
        </w:rPr>
        <w:t xml:space="preserve">Antwerpen, Intersentia, 2013, 626; W. VANDENHOLE, “Twintig jaar kinderrechtenverdrag (1989-2009): een Belgische stand van zaken”, </w:t>
      </w:r>
      <w:r w:rsidRPr="0086280A">
        <w:rPr>
          <w:i/>
          <w:iCs/>
          <w:sz w:val="16"/>
          <w:szCs w:val="16"/>
          <w:lang w:val="nl-NL"/>
        </w:rPr>
        <w:t>RW</w:t>
      </w:r>
      <w:r w:rsidRPr="0086280A">
        <w:rPr>
          <w:sz w:val="16"/>
          <w:szCs w:val="16"/>
          <w:lang w:val="nl-NL"/>
        </w:rPr>
        <w:t xml:space="preserve"> 2009-10, </w:t>
      </w:r>
      <w:r w:rsidR="00D673CD">
        <w:rPr>
          <w:sz w:val="16"/>
          <w:szCs w:val="16"/>
          <w:lang w:val="nl-NL"/>
        </w:rPr>
        <w:t>(386) 390</w:t>
      </w:r>
      <w:r w:rsidRPr="0086280A">
        <w:rPr>
          <w:sz w:val="16"/>
          <w:szCs w:val="16"/>
          <w:lang w:val="nl-NL"/>
        </w:rPr>
        <w:t>.</w:t>
      </w:r>
    </w:p>
  </w:footnote>
  <w:footnote w:id="290">
    <w:p w14:paraId="6D2DA97A" w14:textId="77777777"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I. BOONE en E. VERTOMMEN, “Recente ontwikkelingen inzake het ouderlijk gezag, de verblijfsregeling en het recht op persoonlijk contact” in I. BOONE en C. DECLERCK (eds.), </w:t>
      </w:r>
      <w:r w:rsidRPr="0086280A">
        <w:rPr>
          <w:i/>
          <w:iCs/>
          <w:sz w:val="16"/>
          <w:szCs w:val="16"/>
          <w:lang w:val="nl-NL"/>
        </w:rPr>
        <w:t>Themis 2022-2023</w:t>
      </w:r>
      <w:r w:rsidRPr="0086280A">
        <w:rPr>
          <w:sz w:val="16"/>
          <w:szCs w:val="16"/>
          <w:lang w:val="nl-NL"/>
        </w:rPr>
        <w:t>, Antwerpen, Intersentia, 2023, 56.</w:t>
      </w:r>
    </w:p>
  </w:footnote>
  <w:footnote w:id="291">
    <w:p w14:paraId="338FB5D7" w14:textId="0A5E59EC" w:rsidR="00955C9B" w:rsidRPr="00FC391D" w:rsidRDefault="00955C9B" w:rsidP="00955C9B">
      <w:pPr>
        <w:pStyle w:val="Voetnoottekst"/>
        <w:jc w:val="both"/>
        <w:rPr>
          <w:sz w:val="16"/>
          <w:szCs w:val="16"/>
          <w:lang w:val="nl-NL"/>
        </w:rPr>
      </w:pPr>
      <w:r w:rsidRPr="00FC391D">
        <w:rPr>
          <w:rStyle w:val="Voetnootmarkering"/>
          <w:sz w:val="16"/>
          <w:szCs w:val="16"/>
          <w:lang w:val="nl-NL"/>
        </w:rPr>
        <w:footnoteRef/>
      </w:r>
      <w:r w:rsidRPr="00FC391D">
        <w:rPr>
          <w:sz w:val="16"/>
          <w:szCs w:val="16"/>
          <w:lang w:val="nl-NL"/>
        </w:rPr>
        <w:t xml:space="preserve"> Zie bijvoorbeeld </w:t>
      </w:r>
      <w:r w:rsidR="00FC391D" w:rsidRPr="00FC391D">
        <w:rPr>
          <w:sz w:val="16"/>
          <w:szCs w:val="16"/>
          <w:lang w:val="nl-NL"/>
        </w:rPr>
        <w:t xml:space="preserve">KINDERRECHTENCOMMISSARIAAT, “Dossier Spreekrecht: het kind weegt te ligt”, 20 mei 2022, 1-35, </w:t>
      </w:r>
      <w:hyperlink r:id="rId29" w:history="1">
        <w:r w:rsidR="00FC391D" w:rsidRPr="00FC391D">
          <w:rPr>
            <w:rStyle w:val="Hyperlink"/>
            <w:sz w:val="16"/>
            <w:szCs w:val="16"/>
            <w:lang w:val="nl-NL"/>
          </w:rPr>
          <w:t>www.kinderrechten.be/sites/default/files/2022-05/KRC_Dossier_spreekrecht_interactief.pdf</w:t>
        </w:r>
      </w:hyperlink>
      <w:r w:rsidR="00FC391D" w:rsidRPr="00FC391D">
        <w:rPr>
          <w:sz w:val="16"/>
          <w:szCs w:val="16"/>
          <w:lang w:val="nl-NL"/>
        </w:rPr>
        <w:t xml:space="preserve"> (laatste consultatie 13.05.2023); </w:t>
      </w:r>
      <w:r w:rsidRPr="00FC391D">
        <w:rPr>
          <w:sz w:val="16"/>
          <w:szCs w:val="16"/>
          <w:lang w:val="nl-NL"/>
        </w:rPr>
        <w:t xml:space="preserve">S. </w:t>
      </w:r>
      <w:r w:rsidRPr="00FC391D">
        <w:rPr>
          <w:rFonts w:eastAsia="Times New Roman"/>
          <w:sz w:val="16"/>
          <w:szCs w:val="16"/>
          <w:lang w:val="nl-NL"/>
        </w:rPr>
        <w:t xml:space="preserve">VAN RUMST, “Kinderen in de familierechtbank: ‘We hebben een eigen mening’”, </w:t>
      </w:r>
      <w:r w:rsidRPr="00FC391D">
        <w:rPr>
          <w:rFonts w:eastAsia="Times New Roman"/>
          <w:i/>
          <w:iCs/>
          <w:sz w:val="16"/>
          <w:szCs w:val="16"/>
          <w:lang w:val="nl-NL"/>
        </w:rPr>
        <w:t>Sociaal.net</w:t>
      </w:r>
      <w:r w:rsidRPr="00FC391D">
        <w:rPr>
          <w:rFonts w:eastAsia="Times New Roman"/>
          <w:sz w:val="16"/>
          <w:szCs w:val="16"/>
          <w:lang w:val="nl-NL"/>
        </w:rPr>
        <w:t xml:space="preserve"> 1 maart 2023, </w:t>
      </w:r>
      <w:hyperlink r:id="rId30" w:history="1">
        <w:r w:rsidRPr="00FC391D">
          <w:rPr>
            <w:rStyle w:val="Hyperlink"/>
            <w:rFonts w:eastAsia="Times New Roman"/>
            <w:sz w:val="16"/>
            <w:szCs w:val="16"/>
            <w:lang w:val="nl-NL"/>
          </w:rPr>
          <w:t>www.</w:t>
        </w:r>
        <w:r w:rsidRPr="00FC391D">
          <w:rPr>
            <w:rStyle w:val="Hyperlink"/>
            <w:sz w:val="16"/>
            <w:szCs w:val="16"/>
            <w:lang w:val="nl-NL"/>
          </w:rPr>
          <w:t>sociaal.net/achtergrond/spreekrecht-kinderen-in-familierechtbank/</w:t>
        </w:r>
      </w:hyperlink>
      <w:r w:rsidRPr="00FC391D">
        <w:rPr>
          <w:rFonts w:eastAsia="Times New Roman"/>
          <w:sz w:val="16"/>
          <w:szCs w:val="16"/>
          <w:lang w:val="nl-NL"/>
        </w:rPr>
        <w:t xml:space="preserve"> (laatste consultatie </w:t>
      </w:r>
      <w:r w:rsidR="007D660D" w:rsidRPr="00FC391D">
        <w:rPr>
          <w:rFonts w:eastAsia="Times New Roman"/>
          <w:sz w:val="16"/>
          <w:szCs w:val="16"/>
          <w:lang w:val="nl-NL"/>
        </w:rPr>
        <w:t>13</w:t>
      </w:r>
      <w:r w:rsidRPr="00FC391D">
        <w:rPr>
          <w:rFonts w:eastAsia="Times New Roman"/>
          <w:sz w:val="16"/>
          <w:szCs w:val="16"/>
          <w:lang w:val="nl-NL"/>
        </w:rPr>
        <w:t>.0</w:t>
      </w:r>
      <w:r w:rsidR="007D660D" w:rsidRPr="00FC391D">
        <w:rPr>
          <w:rFonts w:eastAsia="Times New Roman"/>
          <w:sz w:val="16"/>
          <w:szCs w:val="16"/>
          <w:lang w:val="nl-NL"/>
        </w:rPr>
        <w:t>5</w:t>
      </w:r>
      <w:r w:rsidRPr="00FC391D">
        <w:rPr>
          <w:rFonts w:eastAsia="Times New Roman"/>
          <w:sz w:val="16"/>
          <w:szCs w:val="16"/>
          <w:lang w:val="nl-NL"/>
        </w:rPr>
        <w:t>.2023)</w:t>
      </w:r>
      <w:r w:rsidRPr="00FC391D">
        <w:rPr>
          <w:sz w:val="16"/>
          <w:szCs w:val="16"/>
          <w:lang w:val="nl-NL"/>
        </w:rPr>
        <w:t>.</w:t>
      </w:r>
    </w:p>
  </w:footnote>
  <w:footnote w:id="292">
    <w:p w14:paraId="0731A68F" w14:textId="77777777"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Artikel 388 oud BW: “De minderjarige is de persoon van het mannelijke of vrouwelijke geslacht die de volle leeftijd van achttien jaar nog niet bereikt heeft”.</w:t>
      </w:r>
    </w:p>
  </w:footnote>
  <w:footnote w:id="293">
    <w:p w14:paraId="16CF5DBF" w14:textId="20AD5DD2"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F. SWENNEN, </w:t>
      </w:r>
      <w:r w:rsidRPr="0086280A">
        <w:rPr>
          <w:i/>
          <w:iCs/>
          <w:sz w:val="16"/>
          <w:szCs w:val="16"/>
          <w:lang w:val="nl-NL"/>
        </w:rPr>
        <w:t>Het personen- en familierecht</w:t>
      </w:r>
      <w:r w:rsidRPr="0086280A">
        <w:rPr>
          <w:sz w:val="16"/>
          <w:szCs w:val="16"/>
          <w:lang w:val="nl-NL"/>
        </w:rPr>
        <w:t xml:space="preserve">, Mortsel, Intersentia, 2021, 277 en 409; S. DEVRIENDT en M. DECOCK, “De impact van mensenrechtelijke instrumenten op de procespositie van de minderjarige”, </w:t>
      </w:r>
      <w:r w:rsidRPr="0086280A">
        <w:rPr>
          <w:i/>
          <w:sz w:val="16"/>
          <w:szCs w:val="16"/>
          <w:lang w:val="nl-NL"/>
        </w:rPr>
        <w:t>TJK</w:t>
      </w:r>
      <w:r w:rsidRPr="0086280A">
        <w:rPr>
          <w:sz w:val="16"/>
          <w:szCs w:val="16"/>
          <w:lang w:val="nl-NL"/>
        </w:rPr>
        <w:t xml:space="preserve"> 2020, nr. 1, </w:t>
      </w:r>
      <w:r w:rsidR="00D673CD">
        <w:rPr>
          <w:sz w:val="16"/>
          <w:szCs w:val="16"/>
          <w:lang w:val="nl-NL"/>
        </w:rPr>
        <w:t xml:space="preserve">(7) </w:t>
      </w:r>
      <w:r w:rsidRPr="0086280A">
        <w:rPr>
          <w:sz w:val="16"/>
          <w:szCs w:val="16"/>
          <w:lang w:val="nl-NL"/>
        </w:rPr>
        <w:t>9.</w:t>
      </w:r>
    </w:p>
  </w:footnote>
  <w:footnote w:id="294">
    <w:p w14:paraId="7B89DA01" w14:textId="6042DEAD"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P. SENAEVE en C. DECLERCK, </w:t>
      </w:r>
      <w:r w:rsidRPr="0086280A">
        <w:rPr>
          <w:i/>
          <w:sz w:val="16"/>
          <w:szCs w:val="16"/>
          <w:lang w:val="nl-NL"/>
        </w:rPr>
        <w:t>Compendium van het personen- en familierecht</w:t>
      </w:r>
      <w:r w:rsidRPr="0086280A">
        <w:rPr>
          <w:sz w:val="16"/>
          <w:szCs w:val="16"/>
          <w:lang w:val="nl-NL"/>
        </w:rPr>
        <w:t xml:space="preserve">, Leuven, Acco, 2020, 445; M. ABOAF, “L’incapacité du mineur: un équilibre délicat entre autonomie et protection” in H. PREUMONT en I. STEVENS, </w:t>
      </w:r>
      <w:r w:rsidRPr="0086280A">
        <w:rPr>
          <w:i/>
          <w:sz w:val="16"/>
          <w:szCs w:val="16"/>
          <w:lang w:val="nl-NL"/>
        </w:rPr>
        <w:t>Les jeunes et le droit</w:t>
      </w:r>
      <w:r w:rsidRPr="0086280A">
        <w:rPr>
          <w:sz w:val="16"/>
          <w:szCs w:val="16"/>
          <w:lang w:val="nl-NL"/>
        </w:rPr>
        <w:t xml:space="preserve">, Limal, Anthemis, 2017, 106; C. DECLERCK en G. MATHIEU, “Schets van de procespositie van de niet-ontvoogde minderjarige in het Belgische personen- en familierecht”, </w:t>
      </w:r>
      <w:r w:rsidRPr="0086280A">
        <w:rPr>
          <w:i/>
          <w:sz w:val="16"/>
          <w:szCs w:val="16"/>
          <w:lang w:val="nl-NL"/>
        </w:rPr>
        <w:t>T.Fam.</w:t>
      </w:r>
      <w:r w:rsidRPr="0086280A">
        <w:rPr>
          <w:sz w:val="16"/>
          <w:szCs w:val="16"/>
          <w:lang w:val="nl-NL"/>
        </w:rPr>
        <w:t xml:space="preserve"> 2022, afl. 5-6, </w:t>
      </w:r>
      <w:r w:rsidR="00D673CD">
        <w:rPr>
          <w:sz w:val="16"/>
          <w:szCs w:val="16"/>
          <w:lang w:val="nl-NL"/>
        </w:rPr>
        <w:t xml:space="preserve">(138) </w:t>
      </w:r>
      <w:r w:rsidRPr="0086280A">
        <w:rPr>
          <w:sz w:val="16"/>
          <w:szCs w:val="16"/>
          <w:lang w:val="nl-NL"/>
        </w:rPr>
        <w:t>138</w:t>
      </w:r>
      <w:r w:rsidR="00D673CD">
        <w:rPr>
          <w:sz w:val="16"/>
          <w:szCs w:val="16"/>
          <w:lang w:val="nl-NL"/>
        </w:rPr>
        <w:t>-139</w:t>
      </w:r>
      <w:r w:rsidRPr="0086280A">
        <w:rPr>
          <w:sz w:val="16"/>
          <w:szCs w:val="16"/>
          <w:lang w:val="nl-NL"/>
        </w:rPr>
        <w:t>.</w:t>
      </w:r>
    </w:p>
  </w:footnote>
  <w:footnote w:id="295">
    <w:p w14:paraId="2C4C18CB" w14:textId="34F7DE71"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P. SENAEVE en C. DECLERCK, </w:t>
      </w:r>
      <w:r w:rsidRPr="0086280A">
        <w:rPr>
          <w:i/>
          <w:sz w:val="16"/>
          <w:szCs w:val="16"/>
          <w:lang w:val="nl-NL"/>
        </w:rPr>
        <w:t>Compendium van het personen- en familierecht</w:t>
      </w:r>
      <w:r w:rsidRPr="0086280A">
        <w:rPr>
          <w:sz w:val="16"/>
          <w:szCs w:val="16"/>
          <w:lang w:val="nl-NL"/>
        </w:rPr>
        <w:t>, Leuven, Acco, 2020, 445.</w:t>
      </w:r>
    </w:p>
  </w:footnote>
  <w:footnote w:id="296">
    <w:p w14:paraId="7E5FE442" w14:textId="6F496696"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I. BOONE en E. VERTOMMEN, “Recente ontwikkelingen inzake het ouderlijk gezag, de verblijfsregeling en het recht op persoonlijk contact” in I. BOONE en C. DECLERCK (eds.), </w:t>
      </w:r>
      <w:r w:rsidRPr="0086280A">
        <w:rPr>
          <w:i/>
          <w:iCs/>
          <w:sz w:val="16"/>
          <w:szCs w:val="16"/>
          <w:lang w:val="nl-NL"/>
        </w:rPr>
        <w:t>Themis 2022-2023</w:t>
      </w:r>
      <w:r w:rsidRPr="0086280A">
        <w:rPr>
          <w:sz w:val="16"/>
          <w:szCs w:val="16"/>
          <w:lang w:val="nl-NL"/>
        </w:rPr>
        <w:t>, Antwerpen, Intersentia, 2023, 61; C. DECLERCK, “Het recht op persoonlijk contact tussen broers en zussen in de zin van artikel 375</w:t>
      </w:r>
      <w:r w:rsidRPr="0086280A">
        <w:rPr>
          <w:i/>
          <w:iCs/>
          <w:sz w:val="16"/>
          <w:szCs w:val="16"/>
          <w:lang w:val="nl-NL"/>
        </w:rPr>
        <w:t>bis</w:t>
      </w:r>
      <w:r w:rsidRPr="0086280A">
        <w:rPr>
          <w:sz w:val="16"/>
          <w:szCs w:val="16"/>
          <w:lang w:val="nl-NL"/>
        </w:rPr>
        <w:t xml:space="preserve"> oud BW”, </w:t>
      </w:r>
      <w:r w:rsidRPr="0086280A">
        <w:rPr>
          <w:i/>
          <w:sz w:val="16"/>
          <w:szCs w:val="16"/>
          <w:lang w:val="nl-NL"/>
        </w:rPr>
        <w:t>T.Fam.</w:t>
      </w:r>
      <w:r w:rsidRPr="0086280A">
        <w:rPr>
          <w:sz w:val="16"/>
          <w:szCs w:val="16"/>
          <w:lang w:val="nl-NL"/>
        </w:rPr>
        <w:t xml:space="preserve"> 2021, nr. 10, </w:t>
      </w:r>
      <w:r w:rsidR="00D673CD">
        <w:rPr>
          <w:sz w:val="16"/>
          <w:szCs w:val="16"/>
          <w:lang w:val="nl-NL"/>
        </w:rPr>
        <w:t xml:space="preserve">(306) </w:t>
      </w:r>
      <w:r w:rsidRPr="0086280A">
        <w:rPr>
          <w:sz w:val="16"/>
          <w:szCs w:val="16"/>
          <w:lang w:val="nl-NL"/>
        </w:rPr>
        <w:t>309.</w:t>
      </w:r>
    </w:p>
  </w:footnote>
  <w:footnote w:id="297">
    <w:p w14:paraId="6CE2039D" w14:textId="222F26D6"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KINDERRECHTENCOMMISSARIAAT, “Advies van 20 juni 2006 betreffende het spreekrecht, zelfstandige rechtsingang en jeugdadvocaten”, nr. 2005-2006/11, </w:t>
      </w:r>
      <w:hyperlink r:id="rId31" w:history="1">
        <w:r w:rsidRPr="0086280A">
          <w:rPr>
            <w:rStyle w:val="Hyperlink"/>
            <w:sz w:val="16"/>
            <w:szCs w:val="16"/>
            <w:lang w:val="nl-NL"/>
          </w:rPr>
          <w:t>www.kinderrechten.be/sites/default/files/2005_2006_11_advies_spreekrecht_zelfstandigerechtsingang_jeugdavocaten.pdf</w:t>
        </w:r>
      </w:hyperlink>
      <w:r w:rsidRPr="0086280A">
        <w:rPr>
          <w:sz w:val="16"/>
          <w:szCs w:val="16"/>
          <w:lang w:val="nl-NL"/>
        </w:rPr>
        <w:t xml:space="preserve">, 5 (laatste consultatie </w:t>
      </w:r>
      <w:r w:rsidR="00E3510C" w:rsidRPr="0086280A">
        <w:rPr>
          <w:sz w:val="16"/>
          <w:szCs w:val="16"/>
          <w:lang w:val="nl-NL"/>
        </w:rPr>
        <w:t>13</w:t>
      </w:r>
      <w:r w:rsidRPr="0086280A">
        <w:rPr>
          <w:sz w:val="16"/>
          <w:szCs w:val="16"/>
          <w:lang w:val="nl-NL"/>
        </w:rPr>
        <w:t>.0</w:t>
      </w:r>
      <w:r w:rsidR="00E3510C" w:rsidRPr="0086280A">
        <w:rPr>
          <w:sz w:val="16"/>
          <w:szCs w:val="16"/>
          <w:lang w:val="nl-NL"/>
        </w:rPr>
        <w:t>5</w:t>
      </w:r>
      <w:r w:rsidRPr="0086280A">
        <w:rPr>
          <w:sz w:val="16"/>
          <w:szCs w:val="16"/>
          <w:lang w:val="nl-NL"/>
        </w:rPr>
        <w:t>.2023).</w:t>
      </w:r>
    </w:p>
  </w:footnote>
  <w:footnote w:id="298">
    <w:p w14:paraId="6589F0B7" w14:textId="7B3DD59F"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voor meer achtergrondinformatie: P. SENAEVE en C. DECLERCK, </w:t>
      </w:r>
      <w:r w:rsidRPr="0086280A">
        <w:rPr>
          <w:i/>
          <w:sz w:val="16"/>
          <w:szCs w:val="16"/>
          <w:lang w:val="nl-NL"/>
        </w:rPr>
        <w:t>Compendium van het personen- en familierecht</w:t>
      </w:r>
      <w:r w:rsidRPr="0086280A">
        <w:rPr>
          <w:sz w:val="16"/>
          <w:szCs w:val="16"/>
          <w:lang w:val="nl-NL"/>
        </w:rPr>
        <w:t xml:space="preserve">, Leuven, Acco, 2020, 445-454; C. DECLERCK en G. MATHIEU, “Schets van de procespositie van de niet-ontvoogde minderjarige in het Belgische personen- en familierecht”, </w:t>
      </w:r>
      <w:r w:rsidRPr="0086280A">
        <w:rPr>
          <w:i/>
          <w:sz w:val="16"/>
          <w:szCs w:val="16"/>
          <w:lang w:val="nl-NL"/>
        </w:rPr>
        <w:t>T.Fam.</w:t>
      </w:r>
      <w:r w:rsidRPr="0086280A">
        <w:rPr>
          <w:sz w:val="16"/>
          <w:szCs w:val="16"/>
          <w:lang w:val="nl-NL"/>
        </w:rPr>
        <w:t xml:space="preserve"> 2022, afl. 5-6, </w:t>
      </w:r>
      <w:r w:rsidR="00D673CD">
        <w:rPr>
          <w:sz w:val="16"/>
          <w:szCs w:val="16"/>
          <w:lang w:val="nl-NL"/>
        </w:rPr>
        <w:t xml:space="preserve">(138) </w:t>
      </w:r>
      <w:r w:rsidRPr="0086280A">
        <w:rPr>
          <w:sz w:val="16"/>
          <w:szCs w:val="16"/>
          <w:lang w:val="nl-NL"/>
        </w:rPr>
        <w:t>139-140.</w:t>
      </w:r>
    </w:p>
  </w:footnote>
  <w:footnote w:id="299">
    <w:p w14:paraId="21B2C87D" w14:textId="4E2051B2"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Minderjarigen kunnen wel rechtshandeling stellen met de toestemming van hun ouders zoals bv. een arbeidsovereenkomst sluiten als jobstudent. Zij mogen vanaf de leeftijd van 16 jaar een testament opstellen. Zij mogen zelf rechtshandeling stellen met een persoonlijk karakter zoals bv. het erkennen van een kind; P. SENAEVE en C. DECLERCK, </w:t>
      </w:r>
      <w:r w:rsidRPr="0086280A">
        <w:rPr>
          <w:i/>
          <w:sz w:val="16"/>
          <w:szCs w:val="16"/>
          <w:lang w:val="nl-NL"/>
        </w:rPr>
        <w:t>Compendium van het personen- en familierecht</w:t>
      </w:r>
      <w:r w:rsidRPr="0086280A">
        <w:rPr>
          <w:sz w:val="16"/>
          <w:szCs w:val="16"/>
          <w:lang w:val="nl-NL"/>
        </w:rPr>
        <w:t xml:space="preserve">, Leuven, Acco, 2020, 445-460; G. VERSCHELDEN, </w:t>
      </w:r>
      <w:r w:rsidRPr="0086280A">
        <w:rPr>
          <w:i/>
          <w:iCs/>
          <w:sz w:val="16"/>
          <w:szCs w:val="16"/>
          <w:lang w:val="nl-NL"/>
        </w:rPr>
        <w:t>Handboek Belgisch Personen-, familie- en relatievermogensrecht</w:t>
      </w:r>
      <w:r w:rsidRPr="0086280A">
        <w:rPr>
          <w:sz w:val="16"/>
          <w:szCs w:val="16"/>
          <w:lang w:val="nl-NL"/>
        </w:rPr>
        <w:t xml:space="preserve">, Brugge, die Keure, 2021, 425-426; M. ABOAF, “L’incapacité du mineur: un équilibre délicat entre autonomie et protection” in H. PREUMONT en I. STEVENS, </w:t>
      </w:r>
      <w:r w:rsidRPr="0086280A">
        <w:rPr>
          <w:i/>
          <w:sz w:val="16"/>
          <w:szCs w:val="16"/>
          <w:lang w:val="nl-NL"/>
        </w:rPr>
        <w:t>Les jeunes et le droit</w:t>
      </w:r>
      <w:r w:rsidRPr="0086280A">
        <w:rPr>
          <w:sz w:val="16"/>
          <w:szCs w:val="16"/>
          <w:lang w:val="nl-NL"/>
        </w:rPr>
        <w:t xml:space="preserve">, Limal, Anthemis, 2017, 110; C. DE BOE, “La place de l’enfant dans le procès civil”, </w:t>
      </w:r>
      <w:r w:rsidRPr="0086280A">
        <w:rPr>
          <w:i/>
          <w:sz w:val="16"/>
          <w:szCs w:val="16"/>
          <w:lang w:val="nl-NL"/>
        </w:rPr>
        <w:t>JTDE</w:t>
      </w:r>
      <w:r w:rsidRPr="0086280A">
        <w:rPr>
          <w:sz w:val="16"/>
          <w:szCs w:val="16"/>
          <w:lang w:val="nl-NL"/>
        </w:rPr>
        <w:t xml:space="preserve"> 2009, </w:t>
      </w:r>
      <w:r w:rsidR="00D673CD">
        <w:rPr>
          <w:sz w:val="16"/>
          <w:szCs w:val="16"/>
          <w:lang w:val="nl-NL"/>
        </w:rPr>
        <w:t xml:space="preserve">(485) </w:t>
      </w:r>
      <w:r w:rsidRPr="0086280A">
        <w:rPr>
          <w:sz w:val="16"/>
          <w:szCs w:val="16"/>
          <w:lang w:val="nl-NL"/>
        </w:rPr>
        <w:t>487-489.</w:t>
      </w:r>
    </w:p>
  </w:footnote>
  <w:footnote w:id="300">
    <w:p w14:paraId="4F3F884E" w14:textId="09E53D2E"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C. DE BOE, “La place de l’enfant dans le procès civil”, </w:t>
      </w:r>
      <w:r w:rsidRPr="0086280A">
        <w:rPr>
          <w:i/>
          <w:sz w:val="16"/>
          <w:szCs w:val="16"/>
          <w:lang w:val="nl-NL"/>
        </w:rPr>
        <w:t>JTDE</w:t>
      </w:r>
      <w:r w:rsidRPr="0086280A">
        <w:rPr>
          <w:sz w:val="16"/>
          <w:szCs w:val="16"/>
          <w:lang w:val="nl-NL"/>
        </w:rPr>
        <w:t xml:space="preserve"> 2009, </w:t>
      </w:r>
      <w:r w:rsidR="00D673CD">
        <w:rPr>
          <w:sz w:val="16"/>
          <w:szCs w:val="16"/>
          <w:lang w:val="nl-NL"/>
        </w:rPr>
        <w:t xml:space="preserve">(485) </w:t>
      </w:r>
      <w:r w:rsidRPr="0086280A">
        <w:rPr>
          <w:sz w:val="16"/>
          <w:szCs w:val="16"/>
          <w:lang w:val="nl-NL"/>
        </w:rPr>
        <w:t>486.</w:t>
      </w:r>
    </w:p>
  </w:footnote>
  <w:footnote w:id="301">
    <w:p w14:paraId="61280E35" w14:textId="0A07743B" w:rsidR="0060757B" w:rsidRPr="0086280A" w:rsidRDefault="0060757B" w:rsidP="0060757B">
      <w:pPr>
        <w:pStyle w:val="Voetnoottekst"/>
        <w:jc w:val="both"/>
        <w:rPr>
          <w:lang w:val="nl-NL"/>
        </w:rPr>
      </w:pPr>
      <w:r w:rsidRPr="0086280A">
        <w:rPr>
          <w:rStyle w:val="Voetnootmarkering"/>
          <w:sz w:val="16"/>
          <w:szCs w:val="16"/>
          <w:lang w:val="nl-NL"/>
        </w:rPr>
        <w:footnoteRef/>
      </w:r>
      <w:r w:rsidRPr="0086280A">
        <w:rPr>
          <w:sz w:val="16"/>
          <w:szCs w:val="16"/>
          <w:lang w:val="nl-NL"/>
        </w:rPr>
        <w:t xml:space="preserve"> Zie C. DECLERCK en G. MATHIEU, “Schets van de procespositie van de niet-ontvoogde minderjarige in het Belgische personen- en familierecht”, </w:t>
      </w:r>
      <w:r w:rsidRPr="0086280A">
        <w:rPr>
          <w:i/>
          <w:sz w:val="16"/>
          <w:szCs w:val="16"/>
          <w:lang w:val="nl-NL"/>
        </w:rPr>
        <w:t>T.Fam.</w:t>
      </w:r>
      <w:r w:rsidRPr="0086280A">
        <w:rPr>
          <w:sz w:val="16"/>
          <w:szCs w:val="16"/>
          <w:lang w:val="nl-NL"/>
        </w:rPr>
        <w:t xml:space="preserve"> 2022, afl. 5-6, </w:t>
      </w:r>
      <w:r w:rsidR="00D673CD">
        <w:rPr>
          <w:sz w:val="16"/>
          <w:szCs w:val="16"/>
          <w:lang w:val="nl-NL"/>
        </w:rPr>
        <w:t xml:space="preserve">(138) </w:t>
      </w:r>
      <w:r w:rsidRPr="0086280A">
        <w:rPr>
          <w:sz w:val="16"/>
          <w:szCs w:val="16"/>
          <w:lang w:val="nl-NL"/>
        </w:rPr>
        <w:t>139-140 en de daarin aangehaalde bronnen.</w:t>
      </w:r>
    </w:p>
  </w:footnote>
  <w:footnote w:id="302">
    <w:p w14:paraId="1B3654D5" w14:textId="53AC6CF4" w:rsidR="00E61413" w:rsidRPr="0086280A" w:rsidRDefault="00E61413" w:rsidP="00E61413">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artikel 331</w:t>
      </w:r>
      <w:r w:rsidRPr="0086280A">
        <w:rPr>
          <w:i/>
          <w:iCs/>
          <w:sz w:val="16"/>
          <w:szCs w:val="16"/>
          <w:lang w:val="nl-NL"/>
        </w:rPr>
        <w:t>sexies</w:t>
      </w:r>
      <w:r w:rsidRPr="0086280A">
        <w:rPr>
          <w:sz w:val="16"/>
          <w:szCs w:val="16"/>
          <w:lang w:val="nl-NL"/>
        </w:rPr>
        <w:t xml:space="preserve"> oud BW, artikel 378, §1, </w:t>
      </w:r>
      <w:r w:rsidR="00F41039" w:rsidRPr="0086280A">
        <w:rPr>
          <w:sz w:val="16"/>
          <w:szCs w:val="16"/>
          <w:lang w:val="nl-NL"/>
        </w:rPr>
        <w:t>zesde</w:t>
      </w:r>
      <w:r w:rsidRPr="0086280A">
        <w:rPr>
          <w:sz w:val="16"/>
          <w:szCs w:val="16"/>
          <w:lang w:val="nl-NL"/>
        </w:rPr>
        <w:t xml:space="preserve"> lid oud BW.</w:t>
      </w:r>
    </w:p>
  </w:footnote>
  <w:footnote w:id="303">
    <w:p w14:paraId="038CE6E9" w14:textId="34F148F8" w:rsidR="00F41039" w:rsidRPr="0086280A" w:rsidRDefault="00F41039" w:rsidP="00671183">
      <w:pPr>
        <w:pStyle w:val="Voetnoottekst"/>
        <w:jc w:val="both"/>
        <w:rPr>
          <w:lang w:val="nl-NL"/>
        </w:rPr>
      </w:pPr>
      <w:r w:rsidRPr="0086280A">
        <w:rPr>
          <w:rStyle w:val="Voetnootmarkering"/>
          <w:sz w:val="16"/>
          <w:szCs w:val="16"/>
          <w:lang w:val="nl-NL"/>
        </w:rPr>
        <w:footnoteRef/>
      </w:r>
      <w:r w:rsidRPr="0086280A">
        <w:rPr>
          <w:sz w:val="16"/>
          <w:szCs w:val="16"/>
          <w:lang w:val="nl-NL"/>
        </w:rPr>
        <w:t xml:space="preserve"> </w:t>
      </w:r>
      <w:r w:rsidR="00671183" w:rsidRPr="0086280A">
        <w:rPr>
          <w:sz w:val="16"/>
          <w:szCs w:val="16"/>
          <w:lang w:val="nl-NL"/>
        </w:rPr>
        <w:t xml:space="preserve">Momenteel is het aanstellen van een voogd </w:t>
      </w:r>
      <w:r w:rsidR="00671183" w:rsidRPr="00F9577E">
        <w:rPr>
          <w:i/>
          <w:iCs/>
          <w:sz w:val="16"/>
          <w:szCs w:val="16"/>
          <w:lang w:val="nl-NL"/>
        </w:rPr>
        <w:t>ad hoc</w:t>
      </w:r>
      <w:r w:rsidR="00671183" w:rsidRPr="0086280A">
        <w:rPr>
          <w:sz w:val="16"/>
          <w:szCs w:val="16"/>
          <w:lang w:val="nl-NL"/>
        </w:rPr>
        <w:t xml:space="preserve"> enkel mogelijk in het kader van ouderlijk goederenbeheer. Er is wel rechtspraak en rechtsleer die aangeeft dat het toepassingsgebied uitgebreider moet worden geïnterpreteerd en dus ook persoonlijke aangelegenheden moet omvatten. Hoe dan ook is de wettekst duidelijk en reflecteert deze op dit ogenblik enkel naar vermogensrechtelijke aangelegenheden. Een uitgebreide bespreking van de voogd ad hoc en de discussie hieromtrent gaat het bestek van dit onderzoek echter te buiten, doordat het momenteel niet kan worden toegepast voor het recht op persoonlijk contact.</w:t>
      </w:r>
    </w:p>
  </w:footnote>
  <w:footnote w:id="304">
    <w:p w14:paraId="7C0A7AFE" w14:textId="4D19D0AC"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Verslag van de eerste lezing bij het wetsvoorstel tot wijziging van het Burgerlijk Wetboek in verband met de persoonlijke banden tussen broers en zussen, </w:t>
      </w:r>
      <w:r w:rsidRPr="0086280A">
        <w:rPr>
          <w:i/>
          <w:sz w:val="16"/>
          <w:szCs w:val="16"/>
          <w:lang w:val="nl-NL"/>
        </w:rPr>
        <w:t>Parl.St.</w:t>
      </w:r>
      <w:r w:rsidRPr="0086280A">
        <w:rPr>
          <w:sz w:val="16"/>
          <w:szCs w:val="16"/>
          <w:lang w:val="nl-NL"/>
        </w:rPr>
        <w:t xml:space="preserve"> Kamer 2020-21, nr. 55-780/007, 5 en 13 (opm. VAN VAERENBERGH); VERENIGING VOOR FAMILIERECHT, “Naar een coherente rechtspositie van broers en zussen? Fundamentele bedenkingen bij wetsvoorstel nr. 55-780”, </w:t>
      </w:r>
      <w:r w:rsidRPr="0086280A">
        <w:rPr>
          <w:i/>
          <w:sz w:val="16"/>
          <w:szCs w:val="16"/>
          <w:lang w:val="nl-NL"/>
        </w:rPr>
        <w:t xml:space="preserve">T.Fam. </w:t>
      </w:r>
      <w:r w:rsidRPr="0086280A">
        <w:rPr>
          <w:sz w:val="16"/>
          <w:szCs w:val="16"/>
          <w:lang w:val="nl-NL"/>
        </w:rPr>
        <w:t xml:space="preserve">2021, </w:t>
      </w:r>
      <w:r w:rsidR="00D673CD">
        <w:rPr>
          <w:sz w:val="16"/>
          <w:szCs w:val="16"/>
          <w:lang w:val="nl-NL"/>
        </w:rPr>
        <w:t xml:space="preserve">(58) </w:t>
      </w:r>
      <w:r w:rsidRPr="0086280A">
        <w:rPr>
          <w:sz w:val="16"/>
          <w:szCs w:val="16"/>
          <w:lang w:val="nl-NL"/>
        </w:rPr>
        <w:t>58-59.</w:t>
      </w:r>
    </w:p>
  </w:footnote>
  <w:footnote w:id="305">
    <w:p w14:paraId="113C3F24" w14:textId="6B7277E2"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P. SENAEVE en C. DECLERCK, </w:t>
      </w:r>
      <w:r w:rsidRPr="0086280A">
        <w:rPr>
          <w:i/>
          <w:sz w:val="16"/>
          <w:szCs w:val="16"/>
          <w:lang w:val="nl-NL"/>
        </w:rPr>
        <w:t>Compendium van het personen- en familierecht</w:t>
      </w:r>
      <w:r w:rsidRPr="0086280A">
        <w:rPr>
          <w:sz w:val="16"/>
          <w:szCs w:val="16"/>
          <w:lang w:val="nl-NL"/>
        </w:rPr>
        <w:t>, Leuven, Acco, 2020, 445-460.</w:t>
      </w:r>
    </w:p>
  </w:footnote>
  <w:footnote w:id="306">
    <w:p w14:paraId="391D5597" w14:textId="59C375B6"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Dit komt wel vaker voor binnen het jeugddelinquentierecht; I. BOONE en E. VERTOMMEN, “Recente ontwikkelingen inzake het ouderlijk gezag, de verblijfsregeling en het recht op persoonlijk contact” in I. BOONE en C. DECLERCK (eds.), </w:t>
      </w:r>
      <w:r w:rsidRPr="0086280A">
        <w:rPr>
          <w:i/>
          <w:iCs/>
          <w:sz w:val="16"/>
          <w:szCs w:val="16"/>
          <w:lang w:val="nl-NL"/>
        </w:rPr>
        <w:t>Themis 2022-2023</w:t>
      </w:r>
      <w:r w:rsidRPr="0086280A">
        <w:rPr>
          <w:sz w:val="16"/>
          <w:szCs w:val="16"/>
          <w:lang w:val="nl-NL"/>
        </w:rPr>
        <w:t>, Antwerpen, Intersentia, 2023, 62.</w:t>
      </w:r>
    </w:p>
  </w:footnote>
  <w:footnote w:id="307">
    <w:p w14:paraId="35694A50" w14:textId="77777777"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t>
      </w:r>
      <w:r w:rsidRPr="0086280A">
        <w:rPr>
          <w:rFonts w:eastAsia="Verdana" w:cs="Verdana"/>
          <w:sz w:val="16"/>
          <w:szCs w:val="16"/>
          <w:lang w:val="nl-NL"/>
        </w:rPr>
        <w:t xml:space="preserve">Wetsvoorstel tot wijziging van het Burgerlijk Wetboek, betreffende de persoonlijke banden tussen broers en zussen, </w:t>
      </w:r>
      <w:r w:rsidRPr="0086280A">
        <w:rPr>
          <w:rFonts w:eastAsia="Verdana" w:cs="Verdana"/>
          <w:i/>
          <w:sz w:val="16"/>
          <w:szCs w:val="16"/>
          <w:lang w:val="nl-NL"/>
        </w:rPr>
        <w:t>Parl.St.</w:t>
      </w:r>
      <w:r w:rsidRPr="0086280A">
        <w:rPr>
          <w:rFonts w:eastAsia="Verdana" w:cs="Verdana"/>
          <w:sz w:val="16"/>
          <w:szCs w:val="16"/>
          <w:lang w:val="nl-NL"/>
        </w:rPr>
        <w:t xml:space="preserve"> Kamer 2020-21, nr. 55-780/11, 11.</w:t>
      </w:r>
    </w:p>
  </w:footnote>
  <w:footnote w:id="308">
    <w:p w14:paraId="2354AB57" w14:textId="287A9FC4"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Art</w:t>
      </w:r>
      <w:r w:rsidR="00F9577E">
        <w:rPr>
          <w:sz w:val="16"/>
          <w:szCs w:val="16"/>
          <w:lang w:val="nl-NL"/>
        </w:rPr>
        <w:t>ikel</w:t>
      </w:r>
      <w:r w:rsidRPr="0086280A">
        <w:rPr>
          <w:sz w:val="16"/>
          <w:szCs w:val="16"/>
          <w:lang w:val="nl-NL"/>
        </w:rPr>
        <w:t xml:space="preserve"> 5 wetsvoorstel (S. ROHONYL en F. DE SMET) tot wijziging van het Burgerlijk Wetboek, in verband met de persoonlijke banden tussen broers en zussen, </w:t>
      </w:r>
      <w:r w:rsidRPr="0086280A">
        <w:rPr>
          <w:i/>
          <w:sz w:val="16"/>
          <w:szCs w:val="16"/>
          <w:lang w:val="nl-NL"/>
        </w:rPr>
        <w:t>Parl.St.</w:t>
      </w:r>
      <w:r w:rsidRPr="0086280A">
        <w:rPr>
          <w:sz w:val="16"/>
          <w:szCs w:val="16"/>
          <w:lang w:val="nl-NL"/>
        </w:rPr>
        <w:t xml:space="preserve"> Kamer 2019-20, nr. 55-780/1, 13-14 </w:t>
      </w:r>
      <w:r w:rsidRPr="0086280A">
        <w:rPr>
          <w:i/>
          <w:sz w:val="16"/>
          <w:szCs w:val="16"/>
          <w:lang w:val="nl-NL"/>
        </w:rPr>
        <w:t>juncto</w:t>
      </w:r>
      <w:r w:rsidRPr="0086280A">
        <w:rPr>
          <w:sz w:val="16"/>
          <w:szCs w:val="16"/>
          <w:lang w:val="nl-NL"/>
        </w:rPr>
        <w:t xml:space="preserve"> amendement nr. 3 (</w:t>
      </w:r>
      <w:r w:rsidR="00F9577E">
        <w:rPr>
          <w:sz w:val="16"/>
          <w:szCs w:val="16"/>
          <w:lang w:val="nl-NL"/>
        </w:rPr>
        <w:t xml:space="preserve">S. </w:t>
      </w:r>
      <w:r w:rsidRPr="0086280A">
        <w:rPr>
          <w:sz w:val="16"/>
          <w:szCs w:val="16"/>
          <w:lang w:val="nl-NL"/>
        </w:rPr>
        <w:t xml:space="preserve">ROHONYL en </w:t>
      </w:r>
      <w:r w:rsidR="00F9577E">
        <w:rPr>
          <w:sz w:val="16"/>
          <w:szCs w:val="16"/>
          <w:lang w:val="nl-NL"/>
        </w:rPr>
        <w:t xml:space="preserve">F. </w:t>
      </w:r>
      <w:r w:rsidRPr="0086280A">
        <w:rPr>
          <w:sz w:val="16"/>
          <w:szCs w:val="16"/>
          <w:lang w:val="nl-NL"/>
        </w:rPr>
        <w:t xml:space="preserve">DE SMET), </w:t>
      </w:r>
      <w:r w:rsidRPr="0086280A">
        <w:rPr>
          <w:i/>
          <w:sz w:val="16"/>
          <w:szCs w:val="16"/>
          <w:lang w:val="nl-NL"/>
        </w:rPr>
        <w:t>Parl.St.</w:t>
      </w:r>
      <w:r w:rsidRPr="0086280A">
        <w:rPr>
          <w:sz w:val="16"/>
          <w:szCs w:val="16"/>
          <w:lang w:val="nl-NL"/>
        </w:rPr>
        <w:t xml:space="preserve"> Kamer 2019-20, nr. 55-780/2, 5; F. SWENNEN, “Rechten van niet-ouders met betrekking tot minderjarigen” in P. SENAEVE, F. SWENNEN en G. VERSCHELDEN (eds.), </w:t>
      </w:r>
      <w:r w:rsidRPr="0086280A">
        <w:rPr>
          <w:i/>
          <w:sz w:val="16"/>
          <w:szCs w:val="16"/>
          <w:lang w:val="nl-NL"/>
        </w:rPr>
        <w:t>Ouders en kinderen</w:t>
      </w:r>
      <w:r w:rsidRPr="0086280A">
        <w:rPr>
          <w:sz w:val="16"/>
          <w:szCs w:val="16"/>
          <w:lang w:val="nl-NL"/>
        </w:rPr>
        <w:t xml:space="preserve">, Antwerpen, Intersentia, 2013, 292, nr. 365: “Is de verzoekende minderjarig, dan rijst het probleem van zijn proces(on)bekwaamheid. Zoals vermeld in nr. 332 hierboven, </w:t>
      </w:r>
      <w:r w:rsidRPr="00F9577E">
        <w:rPr>
          <w:sz w:val="16"/>
          <w:szCs w:val="16"/>
          <w:u w:val="single"/>
          <w:lang w:val="nl-NL"/>
        </w:rPr>
        <w:t>moet</w:t>
      </w:r>
      <w:r w:rsidRPr="0086280A">
        <w:rPr>
          <w:sz w:val="16"/>
          <w:szCs w:val="16"/>
          <w:lang w:val="nl-NL"/>
        </w:rPr>
        <w:t xml:space="preserve"> de vordering van een persoonlijk contact wegens het </w:t>
      </w:r>
      <w:r w:rsidRPr="00F9577E">
        <w:rPr>
          <w:sz w:val="16"/>
          <w:szCs w:val="16"/>
          <w:u w:val="single"/>
          <w:lang w:val="nl-NL"/>
        </w:rPr>
        <w:t>persoonlijke karakter</w:t>
      </w:r>
      <w:r w:rsidRPr="0086280A">
        <w:rPr>
          <w:sz w:val="16"/>
          <w:szCs w:val="16"/>
          <w:lang w:val="nl-NL"/>
        </w:rPr>
        <w:t xml:space="preserve"> ervan </w:t>
      </w:r>
      <w:r w:rsidRPr="00F9577E">
        <w:rPr>
          <w:sz w:val="16"/>
          <w:szCs w:val="16"/>
          <w:u w:val="single"/>
          <w:lang w:val="nl-NL"/>
        </w:rPr>
        <w:t>door</w:t>
      </w:r>
      <w:r w:rsidRPr="0086280A">
        <w:rPr>
          <w:sz w:val="16"/>
          <w:szCs w:val="16"/>
          <w:lang w:val="nl-NL"/>
        </w:rPr>
        <w:t xml:space="preserve"> de </w:t>
      </w:r>
      <w:r w:rsidRPr="00F9577E">
        <w:rPr>
          <w:sz w:val="16"/>
          <w:szCs w:val="16"/>
          <w:u w:val="single"/>
          <w:lang w:val="nl-NL"/>
        </w:rPr>
        <w:t>minderjarige zelf</w:t>
      </w:r>
      <w:r w:rsidRPr="0086280A">
        <w:rPr>
          <w:sz w:val="16"/>
          <w:szCs w:val="16"/>
          <w:lang w:val="nl-NL"/>
        </w:rPr>
        <w:t xml:space="preserve"> kunnen worden </w:t>
      </w:r>
      <w:r w:rsidRPr="00F9577E">
        <w:rPr>
          <w:sz w:val="16"/>
          <w:szCs w:val="16"/>
          <w:u w:val="single"/>
          <w:lang w:val="nl-NL"/>
        </w:rPr>
        <w:t>ingesteld</w:t>
      </w:r>
      <w:r w:rsidRPr="0086280A">
        <w:rPr>
          <w:sz w:val="16"/>
          <w:szCs w:val="16"/>
          <w:lang w:val="nl-NL"/>
        </w:rPr>
        <w:t>”</w:t>
      </w:r>
      <w:r w:rsidR="00F9577E">
        <w:rPr>
          <w:sz w:val="16"/>
          <w:szCs w:val="16"/>
          <w:lang w:val="nl-NL"/>
        </w:rPr>
        <w:t xml:space="preserve"> (eigen nadruk)</w:t>
      </w:r>
      <w:r w:rsidRPr="0086280A">
        <w:rPr>
          <w:sz w:val="16"/>
          <w:szCs w:val="16"/>
          <w:lang w:val="nl-NL"/>
        </w:rPr>
        <w:t>.</w:t>
      </w:r>
    </w:p>
  </w:footnote>
  <w:footnote w:id="309">
    <w:p w14:paraId="7F3D1A82" w14:textId="77777777"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I. BOONE en E. VERTOMMEN, “Recente ontwikkelingen inzake het ouderlijk gezag, de verblijfsregeling en het recht op persoonlijk contact” in I. BOONE en C. DECLERCK (eds.), </w:t>
      </w:r>
      <w:r w:rsidRPr="0086280A">
        <w:rPr>
          <w:i/>
          <w:iCs/>
          <w:sz w:val="16"/>
          <w:szCs w:val="16"/>
          <w:lang w:val="nl-NL"/>
        </w:rPr>
        <w:t>Themis 2022-2023</w:t>
      </w:r>
      <w:r w:rsidRPr="0086280A">
        <w:rPr>
          <w:sz w:val="16"/>
          <w:szCs w:val="16"/>
          <w:lang w:val="nl-NL"/>
        </w:rPr>
        <w:t>, Antwerpen, Intersentia, 2023, 61-62.</w:t>
      </w:r>
    </w:p>
  </w:footnote>
  <w:footnote w:id="310">
    <w:p w14:paraId="38D75A58" w14:textId="47603D6D"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Verslag van de tweede lezing bij het wetsvoorstel tot wijziging van het Burgerlijk Wetboek, in verband met de persoonlijke banden tussen broers en zussen, </w:t>
      </w:r>
      <w:r w:rsidRPr="0086280A">
        <w:rPr>
          <w:i/>
          <w:sz w:val="16"/>
          <w:szCs w:val="16"/>
          <w:lang w:val="nl-NL"/>
        </w:rPr>
        <w:t>Parl.St.</w:t>
      </w:r>
      <w:r w:rsidRPr="0086280A">
        <w:rPr>
          <w:sz w:val="16"/>
          <w:szCs w:val="16"/>
          <w:lang w:val="nl-NL"/>
        </w:rPr>
        <w:t xml:space="preserve"> Kamer 2020-21, nr. 55-780/010, 15-16.</w:t>
      </w:r>
    </w:p>
  </w:footnote>
  <w:footnote w:id="311">
    <w:p w14:paraId="212BBBC2" w14:textId="725E9B3F"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t>
      </w:r>
      <w:r w:rsidR="0017255E" w:rsidRPr="0086280A">
        <w:rPr>
          <w:i/>
          <w:iCs/>
          <w:sz w:val="16"/>
          <w:szCs w:val="16"/>
          <w:lang w:val="nl-NL"/>
        </w:rPr>
        <w:t>Ibid.,</w:t>
      </w:r>
      <w:r w:rsidRPr="0086280A">
        <w:rPr>
          <w:sz w:val="16"/>
          <w:szCs w:val="16"/>
          <w:lang w:val="nl-NL"/>
        </w:rPr>
        <w:t xml:space="preserve"> 18-19.</w:t>
      </w:r>
    </w:p>
  </w:footnote>
  <w:footnote w:id="312">
    <w:p w14:paraId="1F6C670A" w14:textId="034FE8DD"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B. POELEMANS, “De nieuwe regeling van het ouderlijk gezag” in P. SENAEVE (ed.), </w:t>
      </w:r>
      <w:r w:rsidRPr="0086280A">
        <w:rPr>
          <w:i/>
          <w:iCs/>
          <w:sz w:val="16"/>
          <w:szCs w:val="16"/>
          <w:lang w:val="nl-NL"/>
        </w:rPr>
        <w:t>Co-ouderschap en omgangsrecht: commentaar op de Wet van 13 april 1995</w:t>
      </w:r>
      <w:r w:rsidRPr="0086280A">
        <w:rPr>
          <w:sz w:val="16"/>
          <w:szCs w:val="16"/>
          <w:lang w:val="nl-NL"/>
        </w:rPr>
        <w:t>, Antwerpen, Maklu, 1995, 253.</w:t>
      </w:r>
    </w:p>
  </w:footnote>
  <w:footnote w:id="313">
    <w:p w14:paraId="1CB99B6A" w14:textId="7A81B8CE"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K. </w:t>
      </w:r>
      <w:r w:rsidRPr="0086280A">
        <w:rPr>
          <w:rFonts w:eastAsia="Verdana" w:cs="Verdana"/>
          <w:sz w:val="16"/>
          <w:szCs w:val="16"/>
          <w:highlight w:val="white"/>
          <w:lang w:val="nl-NL"/>
        </w:rPr>
        <w:t xml:space="preserve">JACOBS, “Het omgangsrecht in België en Nederland”, </w:t>
      </w:r>
      <w:r w:rsidRPr="0086280A">
        <w:rPr>
          <w:rFonts w:eastAsia="Verdana" w:cs="Verdana"/>
          <w:i/>
          <w:sz w:val="16"/>
          <w:szCs w:val="16"/>
          <w:highlight w:val="white"/>
          <w:lang w:val="nl-NL"/>
        </w:rPr>
        <w:t>TPR</w:t>
      </w:r>
      <w:r w:rsidRPr="0086280A">
        <w:rPr>
          <w:rFonts w:eastAsia="Verdana" w:cs="Verdana"/>
          <w:sz w:val="16"/>
          <w:szCs w:val="16"/>
          <w:highlight w:val="white"/>
          <w:lang w:val="nl-NL"/>
        </w:rPr>
        <w:t xml:space="preserve"> 1996, </w:t>
      </w:r>
      <w:r w:rsidR="00D673CD">
        <w:rPr>
          <w:rFonts w:eastAsia="Verdana" w:cs="Verdana"/>
          <w:sz w:val="16"/>
          <w:szCs w:val="16"/>
          <w:highlight w:val="white"/>
          <w:lang w:val="nl-NL"/>
        </w:rPr>
        <w:t xml:space="preserve">(827) </w:t>
      </w:r>
      <w:r w:rsidRPr="0086280A">
        <w:rPr>
          <w:rFonts w:eastAsia="Verdana" w:cs="Verdana"/>
          <w:sz w:val="16"/>
          <w:szCs w:val="16"/>
          <w:highlight w:val="white"/>
          <w:lang w:val="nl-NL"/>
        </w:rPr>
        <w:t>8</w:t>
      </w:r>
      <w:r w:rsidRPr="0086280A">
        <w:rPr>
          <w:rFonts w:eastAsia="Verdana" w:cs="Verdana"/>
          <w:sz w:val="16"/>
          <w:szCs w:val="16"/>
          <w:lang w:val="nl-NL"/>
        </w:rPr>
        <w:t>70.</w:t>
      </w:r>
    </w:p>
  </w:footnote>
  <w:footnote w:id="314">
    <w:p w14:paraId="29E54ED6" w14:textId="0E37B8EC" w:rsidR="00E25046" w:rsidRPr="0086280A" w:rsidRDefault="00E25046" w:rsidP="00E25046">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artikel 203, §1 oud BW.</w:t>
      </w:r>
    </w:p>
  </w:footnote>
  <w:footnote w:id="315">
    <w:p w14:paraId="76F7E9B2" w14:textId="700D7E0B"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T. WUYTS, </w:t>
      </w:r>
      <w:r w:rsidRPr="0086280A">
        <w:rPr>
          <w:i/>
          <w:iCs/>
          <w:sz w:val="16"/>
          <w:szCs w:val="16"/>
          <w:lang w:val="nl-NL"/>
        </w:rPr>
        <w:t xml:space="preserve">Ouderlijk gezag, </w:t>
      </w:r>
      <w:r w:rsidRPr="0086280A">
        <w:rPr>
          <w:sz w:val="16"/>
          <w:szCs w:val="16"/>
          <w:lang w:val="nl-NL"/>
        </w:rPr>
        <w:t xml:space="preserve">Antwerpen, Intersentia, 2013, 35-36; P. SENAEVE en C. DECLERCK, </w:t>
      </w:r>
      <w:r w:rsidRPr="0086280A">
        <w:rPr>
          <w:i/>
          <w:sz w:val="16"/>
          <w:szCs w:val="16"/>
          <w:lang w:val="nl-NL"/>
        </w:rPr>
        <w:t>Compendium van het personen- en familierecht</w:t>
      </w:r>
      <w:r w:rsidRPr="0086280A">
        <w:rPr>
          <w:sz w:val="16"/>
          <w:szCs w:val="16"/>
          <w:lang w:val="nl-NL"/>
        </w:rPr>
        <w:t xml:space="preserve">, Leuven, Acco, 2020, 354-355; F. SWENNEN, </w:t>
      </w:r>
      <w:r w:rsidRPr="0086280A">
        <w:rPr>
          <w:i/>
          <w:iCs/>
          <w:sz w:val="16"/>
          <w:szCs w:val="16"/>
          <w:lang w:val="nl-NL"/>
        </w:rPr>
        <w:t>Het personen- en familierecht</w:t>
      </w:r>
      <w:r w:rsidRPr="0086280A">
        <w:rPr>
          <w:sz w:val="16"/>
          <w:szCs w:val="16"/>
          <w:lang w:val="nl-NL"/>
        </w:rPr>
        <w:t xml:space="preserve">, Mortsel, Intersentia, 2021, 537; </w:t>
      </w:r>
      <w:r w:rsidR="0017255E" w:rsidRPr="0086280A">
        <w:rPr>
          <w:sz w:val="16"/>
          <w:szCs w:val="16"/>
          <w:lang w:val="nl-NL"/>
        </w:rPr>
        <w:t xml:space="preserve">G. </w:t>
      </w:r>
      <w:r w:rsidRPr="0086280A">
        <w:rPr>
          <w:sz w:val="16"/>
          <w:szCs w:val="16"/>
          <w:lang w:val="nl-NL"/>
        </w:rPr>
        <w:t xml:space="preserve">VERSCHELDEN, </w:t>
      </w:r>
      <w:r w:rsidRPr="0086280A">
        <w:rPr>
          <w:i/>
          <w:iCs/>
          <w:sz w:val="16"/>
          <w:szCs w:val="16"/>
          <w:lang w:val="nl-NL"/>
        </w:rPr>
        <w:t>Handboek Belgisch Personen-, familie- en relatievermogensrecht</w:t>
      </w:r>
      <w:r w:rsidRPr="0086280A">
        <w:rPr>
          <w:sz w:val="16"/>
          <w:szCs w:val="16"/>
          <w:lang w:val="nl-NL"/>
        </w:rPr>
        <w:t xml:space="preserve">, Brugge, die Keure, 2021, 429; F. SWENNEN, </w:t>
      </w:r>
      <w:r w:rsidRPr="0086280A">
        <w:rPr>
          <w:i/>
          <w:iCs/>
          <w:sz w:val="16"/>
          <w:szCs w:val="16"/>
          <w:lang w:val="nl-NL"/>
        </w:rPr>
        <w:t>Het personen- en familierecht (achtste, herziene uitgave)</w:t>
      </w:r>
      <w:r w:rsidRPr="0086280A">
        <w:rPr>
          <w:sz w:val="16"/>
          <w:szCs w:val="16"/>
          <w:lang w:val="nl-NL"/>
        </w:rPr>
        <w:t>, Mortsel, Intersentia, 2023, 549.</w:t>
      </w:r>
    </w:p>
  </w:footnote>
  <w:footnote w:id="316">
    <w:p w14:paraId="2DB61219" w14:textId="6A7EDA3C"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GwH 8 oktober 2003, nr. 134/2003, </w:t>
      </w:r>
      <w:r w:rsidRPr="0086280A">
        <w:rPr>
          <w:i/>
          <w:iCs/>
          <w:sz w:val="16"/>
          <w:szCs w:val="16"/>
          <w:lang w:val="nl-NL"/>
        </w:rPr>
        <w:t>TJK</w:t>
      </w:r>
      <w:r w:rsidRPr="0086280A">
        <w:rPr>
          <w:sz w:val="16"/>
          <w:szCs w:val="16"/>
          <w:lang w:val="nl-NL"/>
        </w:rPr>
        <w:t xml:space="preserve"> 2004, afl. 1, 40-43 noot </w:t>
      </w:r>
      <w:r w:rsidR="00C10CD3" w:rsidRPr="0086280A">
        <w:rPr>
          <w:sz w:val="16"/>
          <w:szCs w:val="16"/>
          <w:lang w:val="nl-NL"/>
        </w:rPr>
        <w:t xml:space="preserve">T. </w:t>
      </w:r>
      <w:r w:rsidRPr="0086280A">
        <w:rPr>
          <w:sz w:val="16"/>
          <w:szCs w:val="16"/>
          <w:lang w:val="nl-NL"/>
        </w:rPr>
        <w:t>ROBERT</w:t>
      </w:r>
      <w:r w:rsidR="0017255E" w:rsidRPr="0086280A">
        <w:rPr>
          <w:sz w:val="16"/>
          <w:szCs w:val="16"/>
          <w:lang w:val="nl-NL"/>
        </w:rPr>
        <w:t xml:space="preserve">; N. GALLUS en D. CARRE, “Les consequences de la separation de fait” in G. BOLIAU (ed.), </w:t>
      </w:r>
      <w:r w:rsidR="0017255E" w:rsidRPr="0086280A">
        <w:rPr>
          <w:i/>
          <w:iCs/>
          <w:sz w:val="16"/>
          <w:szCs w:val="16"/>
          <w:lang w:val="nl-NL"/>
        </w:rPr>
        <w:t xml:space="preserve">Familles: union et désunion. Commentaire practique, </w:t>
      </w:r>
      <w:r w:rsidR="0017255E" w:rsidRPr="0086280A">
        <w:rPr>
          <w:sz w:val="16"/>
          <w:szCs w:val="16"/>
          <w:lang w:val="nl-NL"/>
        </w:rPr>
        <w:t xml:space="preserve">Waterloo, Kluwer, losbl., 213; A. DE WOLF, “De nieuwe regeling van het omgangsrecht” in P. SENAEVE (ed.), </w:t>
      </w:r>
      <w:r w:rsidR="0017255E" w:rsidRPr="0086280A">
        <w:rPr>
          <w:i/>
          <w:iCs/>
          <w:sz w:val="16"/>
          <w:szCs w:val="16"/>
          <w:lang w:val="nl-NL"/>
        </w:rPr>
        <w:t>Co-ouderschap en omgangsrecht: commentaar op de wet van 13 april 1995</w:t>
      </w:r>
      <w:r w:rsidR="0017255E" w:rsidRPr="0086280A">
        <w:rPr>
          <w:sz w:val="16"/>
          <w:szCs w:val="16"/>
          <w:lang w:val="nl-NL"/>
        </w:rPr>
        <w:t xml:space="preserve">, Antwerpen, Maklu, 1995, 201-203; P. SENAEVE en C. DECLERCK, </w:t>
      </w:r>
      <w:r w:rsidR="0017255E" w:rsidRPr="0086280A">
        <w:rPr>
          <w:i/>
          <w:sz w:val="16"/>
          <w:szCs w:val="16"/>
          <w:lang w:val="nl-NL"/>
        </w:rPr>
        <w:t>Compendium van het personen- en familierecht</w:t>
      </w:r>
      <w:r w:rsidR="0017255E" w:rsidRPr="0086280A">
        <w:rPr>
          <w:sz w:val="16"/>
          <w:szCs w:val="16"/>
          <w:lang w:val="nl-NL"/>
        </w:rPr>
        <w:t>, Leuven, Acco, 2020, 389.</w:t>
      </w:r>
    </w:p>
  </w:footnote>
  <w:footnote w:id="317">
    <w:p w14:paraId="3CB7E66A" w14:textId="3B165FB6"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artikel 372 oud BW; Wetsvoorstel betreffende de gezamenlijke uitoefening van het ouderlijk gezag, </w:t>
      </w:r>
      <w:r w:rsidRPr="0086280A">
        <w:rPr>
          <w:i/>
          <w:iCs/>
          <w:sz w:val="16"/>
          <w:szCs w:val="16"/>
          <w:lang w:val="nl-NL"/>
        </w:rPr>
        <w:t>Parl.St.</w:t>
      </w:r>
      <w:r w:rsidRPr="0086280A">
        <w:rPr>
          <w:sz w:val="16"/>
          <w:szCs w:val="16"/>
          <w:lang w:val="nl-NL"/>
        </w:rPr>
        <w:t xml:space="preserve"> Kamer, 1993-94, nr. 1430/1, 3;</w:t>
      </w:r>
      <w:r w:rsidR="00F9577E">
        <w:rPr>
          <w:sz w:val="16"/>
          <w:szCs w:val="16"/>
          <w:lang w:val="nl-NL"/>
        </w:rPr>
        <w:t xml:space="preserve"> </w:t>
      </w:r>
      <w:r w:rsidR="00F9577E" w:rsidRPr="0086280A">
        <w:rPr>
          <w:sz w:val="16"/>
          <w:szCs w:val="16"/>
          <w:lang w:val="nl-NL"/>
        </w:rPr>
        <w:t xml:space="preserve">G. VERSCHELDEN, </w:t>
      </w:r>
      <w:r w:rsidR="00F9577E" w:rsidRPr="0086280A">
        <w:rPr>
          <w:i/>
          <w:iCs/>
          <w:sz w:val="16"/>
          <w:szCs w:val="16"/>
          <w:lang w:val="nl-NL"/>
        </w:rPr>
        <w:t>Handboek Belgisch Personen-, familie- en relatievermogensrecht</w:t>
      </w:r>
      <w:r w:rsidR="00F9577E" w:rsidRPr="0086280A">
        <w:rPr>
          <w:sz w:val="16"/>
          <w:szCs w:val="16"/>
          <w:lang w:val="nl-NL"/>
        </w:rPr>
        <w:t>, Brugge, die Keure, 2021, 433</w:t>
      </w:r>
      <w:r w:rsidR="00F9577E">
        <w:rPr>
          <w:sz w:val="16"/>
          <w:szCs w:val="16"/>
          <w:lang w:val="nl-NL"/>
        </w:rPr>
        <w:t xml:space="preserve">; </w:t>
      </w:r>
      <w:r w:rsidRPr="0086280A">
        <w:rPr>
          <w:sz w:val="16"/>
          <w:szCs w:val="16"/>
          <w:lang w:val="nl-NL"/>
        </w:rPr>
        <w:t xml:space="preserve"> </w:t>
      </w:r>
      <w:r w:rsidR="00F9577E" w:rsidRPr="0086280A">
        <w:rPr>
          <w:sz w:val="16"/>
          <w:szCs w:val="16"/>
          <w:lang w:val="nl-NL"/>
        </w:rPr>
        <w:t xml:space="preserve">K. JACOBS, “Het omgangsrecht in België en Nederland”, </w:t>
      </w:r>
      <w:r w:rsidR="00F9577E" w:rsidRPr="0086280A">
        <w:rPr>
          <w:i/>
          <w:sz w:val="16"/>
          <w:szCs w:val="16"/>
          <w:lang w:val="nl-NL"/>
        </w:rPr>
        <w:t>TPR</w:t>
      </w:r>
      <w:r w:rsidR="00F9577E" w:rsidRPr="0086280A">
        <w:rPr>
          <w:sz w:val="16"/>
          <w:szCs w:val="16"/>
          <w:lang w:val="nl-NL"/>
        </w:rPr>
        <w:t xml:space="preserve"> 1996, </w:t>
      </w:r>
      <w:r w:rsidR="00D673CD">
        <w:rPr>
          <w:sz w:val="16"/>
          <w:szCs w:val="16"/>
          <w:lang w:val="nl-NL"/>
        </w:rPr>
        <w:t xml:space="preserve">(827) </w:t>
      </w:r>
      <w:r w:rsidR="00F9577E" w:rsidRPr="0086280A">
        <w:rPr>
          <w:sz w:val="16"/>
          <w:szCs w:val="16"/>
          <w:lang w:val="nl-NL"/>
        </w:rPr>
        <w:t>834</w:t>
      </w:r>
      <w:r w:rsidR="00F9577E">
        <w:rPr>
          <w:sz w:val="16"/>
          <w:szCs w:val="16"/>
          <w:lang w:val="nl-NL"/>
        </w:rPr>
        <w:t xml:space="preserve">; </w:t>
      </w:r>
      <w:r w:rsidRPr="0086280A">
        <w:rPr>
          <w:sz w:val="16"/>
          <w:szCs w:val="16"/>
          <w:lang w:val="nl-NL"/>
        </w:rPr>
        <w:t xml:space="preserve">S. AUDOORE, “Overzicht van rechtspraak (2003-2011) – De uitoefening van het ouderlijk gezag”, </w:t>
      </w:r>
      <w:r w:rsidRPr="0086280A">
        <w:rPr>
          <w:i/>
          <w:iCs/>
          <w:sz w:val="16"/>
          <w:szCs w:val="16"/>
          <w:lang w:val="nl-NL"/>
        </w:rPr>
        <w:t>T.Fam.</w:t>
      </w:r>
      <w:r w:rsidRPr="0086280A">
        <w:rPr>
          <w:sz w:val="16"/>
          <w:szCs w:val="16"/>
          <w:lang w:val="nl-NL"/>
        </w:rPr>
        <w:t xml:space="preserve"> 2012, afl. 3, </w:t>
      </w:r>
      <w:r w:rsidR="00D673CD">
        <w:rPr>
          <w:sz w:val="16"/>
          <w:szCs w:val="16"/>
          <w:lang w:val="nl-NL"/>
        </w:rPr>
        <w:t xml:space="preserve">(55) </w:t>
      </w:r>
      <w:r w:rsidRPr="0086280A">
        <w:rPr>
          <w:sz w:val="16"/>
          <w:szCs w:val="16"/>
          <w:lang w:val="nl-NL"/>
        </w:rPr>
        <w:t>55.</w:t>
      </w:r>
    </w:p>
  </w:footnote>
  <w:footnote w:id="318">
    <w:p w14:paraId="153AA7BA" w14:textId="4A388D31"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artikel 374, §1 oud BW.</w:t>
      </w:r>
    </w:p>
  </w:footnote>
  <w:footnote w:id="319">
    <w:p w14:paraId="21F17E01" w14:textId="75BF45FA"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Over het principe van gezagsco-ouderschap: Jeugdrb. Brussel 8 juni 1998, </w:t>
      </w:r>
      <w:r w:rsidRPr="0086280A">
        <w:rPr>
          <w:i/>
          <w:iCs/>
          <w:sz w:val="16"/>
          <w:szCs w:val="16"/>
          <w:lang w:val="nl-NL"/>
        </w:rPr>
        <w:t>RW</w:t>
      </w:r>
      <w:r w:rsidRPr="0086280A">
        <w:rPr>
          <w:sz w:val="16"/>
          <w:szCs w:val="16"/>
          <w:lang w:val="nl-NL"/>
        </w:rPr>
        <w:t xml:space="preserve"> 1998-1999, 822; Jeugdrb. Charleroi 23 november 1995, </w:t>
      </w:r>
      <w:r w:rsidRPr="0086280A">
        <w:rPr>
          <w:i/>
          <w:iCs/>
          <w:sz w:val="16"/>
          <w:szCs w:val="16"/>
          <w:lang w:val="nl-NL"/>
        </w:rPr>
        <w:t>RTDF</w:t>
      </w:r>
      <w:r w:rsidRPr="0086280A">
        <w:rPr>
          <w:sz w:val="16"/>
          <w:szCs w:val="16"/>
          <w:lang w:val="nl-NL"/>
        </w:rPr>
        <w:t xml:space="preserve"> 1998, 92; Famrb. Brussel 26 april 2018, </w:t>
      </w:r>
      <w:r w:rsidRPr="0086280A">
        <w:rPr>
          <w:i/>
          <w:iCs/>
          <w:sz w:val="16"/>
          <w:szCs w:val="16"/>
          <w:lang w:val="nl-NL"/>
        </w:rPr>
        <w:t>Act.dr.fam.</w:t>
      </w:r>
      <w:r w:rsidRPr="0086280A">
        <w:rPr>
          <w:sz w:val="16"/>
          <w:szCs w:val="16"/>
          <w:lang w:val="nl-NL"/>
        </w:rPr>
        <w:t xml:space="preserve"> 2018, 111.</w:t>
      </w:r>
    </w:p>
  </w:footnote>
  <w:footnote w:id="320">
    <w:p w14:paraId="0467F506" w14:textId="5BB25F43"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artikel 373, eerste lid oud BW </w:t>
      </w:r>
      <w:r w:rsidRPr="0086280A">
        <w:rPr>
          <w:i/>
          <w:iCs/>
          <w:sz w:val="16"/>
          <w:szCs w:val="16"/>
          <w:lang w:val="nl-NL"/>
        </w:rPr>
        <w:t>juncto</w:t>
      </w:r>
      <w:r w:rsidRPr="0086280A">
        <w:rPr>
          <w:sz w:val="16"/>
          <w:szCs w:val="16"/>
          <w:lang w:val="nl-NL"/>
        </w:rPr>
        <w:t xml:space="preserve"> artikel 374, §1, eerste lid oud BW; I. BOONE, “Gezag over de persoon van de minderjarige”, </w:t>
      </w:r>
      <w:r w:rsidRPr="0086280A">
        <w:rPr>
          <w:i/>
          <w:iCs/>
          <w:sz w:val="16"/>
          <w:szCs w:val="16"/>
          <w:lang w:val="nl-NL"/>
        </w:rPr>
        <w:t>TPR</w:t>
      </w:r>
      <w:r w:rsidRPr="0086280A">
        <w:rPr>
          <w:sz w:val="16"/>
          <w:szCs w:val="16"/>
          <w:lang w:val="nl-NL"/>
        </w:rPr>
        <w:t xml:space="preserve"> 2017, afl. 2-3, </w:t>
      </w:r>
      <w:r w:rsidR="00D673CD">
        <w:rPr>
          <w:sz w:val="16"/>
          <w:szCs w:val="16"/>
          <w:lang w:val="nl-NL"/>
        </w:rPr>
        <w:t xml:space="preserve">(1039) </w:t>
      </w:r>
      <w:r w:rsidRPr="0086280A">
        <w:rPr>
          <w:sz w:val="16"/>
          <w:szCs w:val="16"/>
          <w:lang w:val="nl-NL"/>
        </w:rPr>
        <w:t>1077 en 1080.</w:t>
      </w:r>
    </w:p>
  </w:footnote>
  <w:footnote w:id="321">
    <w:p w14:paraId="4696BCA4" w14:textId="72A190D2"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86280A">
        <w:rPr>
          <w:sz w:val="16"/>
          <w:szCs w:val="16"/>
          <w:lang w:val="nl-NL"/>
        </w:rPr>
        <w:t xml:space="preserve"> P. SENAEVE en C. DECLERCK, </w:t>
      </w:r>
      <w:r w:rsidRPr="0086280A">
        <w:rPr>
          <w:i/>
          <w:sz w:val="16"/>
          <w:szCs w:val="16"/>
          <w:lang w:val="nl-NL"/>
        </w:rPr>
        <w:t>Compendium van het personen- en familierecht</w:t>
      </w:r>
      <w:r w:rsidRPr="0086280A">
        <w:rPr>
          <w:sz w:val="16"/>
          <w:szCs w:val="16"/>
          <w:lang w:val="nl-NL"/>
        </w:rPr>
        <w:t xml:space="preserve">, Leuven, Acco, 2020, 356 en 445-460; R. BOSISIO en P. RONFANI, “Les enfants comme sujets de droit. </w:t>
      </w:r>
      <w:proofErr w:type="spellStart"/>
      <w:r w:rsidRPr="004F6728">
        <w:rPr>
          <w:sz w:val="16"/>
          <w:szCs w:val="16"/>
          <w:lang w:val="en-US"/>
        </w:rPr>
        <w:t>Enjeux</w:t>
      </w:r>
      <w:proofErr w:type="spellEnd"/>
      <w:r w:rsidRPr="004F6728">
        <w:rPr>
          <w:sz w:val="16"/>
          <w:szCs w:val="16"/>
          <w:lang w:val="en-US"/>
        </w:rPr>
        <w:t xml:space="preserve"> et questions en </w:t>
      </w:r>
      <w:proofErr w:type="spellStart"/>
      <w:r w:rsidRPr="004F6728">
        <w:rPr>
          <w:sz w:val="16"/>
          <w:szCs w:val="16"/>
          <w:lang w:val="en-US"/>
        </w:rPr>
        <w:t>débat</w:t>
      </w:r>
      <w:proofErr w:type="spellEnd"/>
      <w:r w:rsidRPr="004F6728">
        <w:rPr>
          <w:sz w:val="16"/>
          <w:szCs w:val="16"/>
          <w:lang w:val="en-US"/>
        </w:rPr>
        <w:t xml:space="preserve">”, </w:t>
      </w:r>
      <w:r w:rsidRPr="004F6728">
        <w:rPr>
          <w:i/>
          <w:sz w:val="16"/>
          <w:szCs w:val="16"/>
          <w:lang w:val="en-US"/>
        </w:rPr>
        <w:t xml:space="preserve">Revue des sciences </w:t>
      </w:r>
      <w:proofErr w:type="spellStart"/>
      <w:r w:rsidRPr="004F6728">
        <w:rPr>
          <w:i/>
          <w:sz w:val="16"/>
          <w:szCs w:val="16"/>
          <w:lang w:val="en-US"/>
        </w:rPr>
        <w:t>sociales</w:t>
      </w:r>
      <w:proofErr w:type="spellEnd"/>
      <w:r w:rsidRPr="004F6728">
        <w:rPr>
          <w:sz w:val="16"/>
          <w:szCs w:val="16"/>
          <w:lang w:val="en-US"/>
        </w:rPr>
        <w:t xml:space="preserve"> 2020, </w:t>
      </w:r>
      <w:r w:rsidR="00D673CD">
        <w:rPr>
          <w:sz w:val="16"/>
          <w:szCs w:val="16"/>
          <w:lang w:val="en-US"/>
        </w:rPr>
        <w:t xml:space="preserve">(28) </w:t>
      </w:r>
      <w:proofErr w:type="spellStart"/>
      <w:r w:rsidR="00D673CD">
        <w:rPr>
          <w:sz w:val="16"/>
          <w:szCs w:val="16"/>
          <w:lang w:val="en-US"/>
        </w:rPr>
        <w:t>randnummer</w:t>
      </w:r>
      <w:proofErr w:type="spellEnd"/>
      <w:r w:rsidRPr="004F6728">
        <w:rPr>
          <w:sz w:val="16"/>
          <w:szCs w:val="16"/>
          <w:lang w:val="en-US"/>
        </w:rPr>
        <w:t xml:space="preserve"> 32-33</w:t>
      </w:r>
      <w:r w:rsidR="00D673CD">
        <w:rPr>
          <w:sz w:val="16"/>
          <w:szCs w:val="16"/>
          <w:lang w:val="en-US"/>
        </w:rPr>
        <w:t>.</w:t>
      </w:r>
    </w:p>
  </w:footnote>
  <w:footnote w:id="322">
    <w:p w14:paraId="14F88EA9" w14:textId="4238AF5D"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artikel 374, §1, vierde lid oud BW.</w:t>
      </w:r>
    </w:p>
  </w:footnote>
  <w:footnote w:id="323">
    <w:p w14:paraId="77334D02" w14:textId="4153721E"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F. SWENNEN, </w:t>
      </w:r>
      <w:r w:rsidRPr="0086280A">
        <w:rPr>
          <w:i/>
          <w:iCs/>
          <w:sz w:val="16"/>
          <w:szCs w:val="16"/>
          <w:lang w:val="nl-NL"/>
        </w:rPr>
        <w:t>Het personen- en familierecht (achtste, herziene uitgave)</w:t>
      </w:r>
      <w:r w:rsidRPr="0086280A">
        <w:rPr>
          <w:sz w:val="16"/>
          <w:szCs w:val="16"/>
          <w:lang w:val="nl-NL"/>
        </w:rPr>
        <w:t>, Mortsel, Intersentia, 2023, 550-551.</w:t>
      </w:r>
    </w:p>
  </w:footnote>
  <w:footnote w:id="324">
    <w:p w14:paraId="3ECC47D3" w14:textId="3CE2D2A8"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GwH 8 oktober 2003, nr. 134/2003, </w:t>
      </w:r>
      <w:r w:rsidRPr="0086280A">
        <w:rPr>
          <w:i/>
          <w:iCs/>
          <w:sz w:val="16"/>
          <w:szCs w:val="16"/>
          <w:lang w:val="nl-NL"/>
        </w:rPr>
        <w:t>TJK</w:t>
      </w:r>
      <w:r w:rsidRPr="0086280A">
        <w:rPr>
          <w:sz w:val="16"/>
          <w:szCs w:val="16"/>
          <w:lang w:val="nl-NL"/>
        </w:rPr>
        <w:t xml:space="preserve"> 2004, afl. 1, 40-43 noot T. ROBERT; T. WUYTS, </w:t>
      </w:r>
      <w:r w:rsidRPr="0086280A">
        <w:rPr>
          <w:i/>
          <w:sz w:val="16"/>
          <w:szCs w:val="16"/>
          <w:lang w:val="nl-NL"/>
        </w:rPr>
        <w:t>Ouderlijk gezag</w:t>
      </w:r>
      <w:r w:rsidRPr="0086280A">
        <w:rPr>
          <w:sz w:val="16"/>
          <w:szCs w:val="16"/>
          <w:lang w:val="nl-NL"/>
        </w:rPr>
        <w:t xml:space="preserve">, Antwerpen, Intersentia, 2013, 373; </w:t>
      </w:r>
      <w:r w:rsidR="0017255E" w:rsidRPr="0086280A">
        <w:rPr>
          <w:sz w:val="16"/>
          <w:szCs w:val="16"/>
          <w:lang w:val="nl-NL"/>
        </w:rPr>
        <w:t xml:space="preserve">U. CERULUS, </w:t>
      </w:r>
      <w:r w:rsidR="0017255E" w:rsidRPr="0086280A">
        <w:rPr>
          <w:i/>
          <w:iCs/>
          <w:sz w:val="16"/>
          <w:szCs w:val="16"/>
          <w:lang w:val="nl-NL"/>
        </w:rPr>
        <w:t>Een statuut voor de zorgouder in het licht van de grondrechtenbescherming</w:t>
      </w:r>
      <w:r w:rsidR="0017255E" w:rsidRPr="0086280A">
        <w:rPr>
          <w:sz w:val="16"/>
          <w:szCs w:val="16"/>
          <w:lang w:val="nl-NL"/>
        </w:rPr>
        <w:t xml:space="preserve">, Brugge, die Keure, 2019, 192; </w:t>
      </w:r>
      <w:r w:rsidRPr="0086280A">
        <w:rPr>
          <w:sz w:val="16"/>
          <w:szCs w:val="16"/>
          <w:lang w:val="nl-NL"/>
        </w:rPr>
        <w:t xml:space="preserve">R. BOSISIO en P. RONFANI, “Les enfants comme sujets de droit. Enjeux et questions en débat”, </w:t>
      </w:r>
      <w:r w:rsidRPr="0086280A">
        <w:rPr>
          <w:i/>
          <w:sz w:val="16"/>
          <w:szCs w:val="16"/>
          <w:lang w:val="nl-NL"/>
        </w:rPr>
        <w:t>Revue des sciences sociales</w:t>
      </w:r>
      <w:r w:rsidRPr="0086280A">
        <w:rPr>
          <w:sz w:val="16"/>
          <w:szCs w:val="16"/>
          <w:lang w:val="nl-NL"/>
        </w:rPr>
        <w:t xml:space="preserve"> 2020, </w:t>
      </w:r>
      <w:r w:rsidR="00D673CD">
        <w:rPr>
          <w:sz w:val="16"/>
          <w:szCs w:val="16"/>
          <w:lang w:val="nl-NL"/>
        </w:rPr>
        <w:t xml:space="preserve">(28) </w:t>
      </w:r>
      <w:r w:rsidRPr="0086280A">
        <w:rPr>
          <w:sz w:val="16"/>
          <w:szCs w:val="16"/>
          <w:lang w:val="nl-NL"/>
        </w:rPr>
        <w:t>28-35.</w:t>
      </w:r>
    </w:p>
  </w:footnote>
  <w:footnote w:id="325">
    <w:p w14:paraId="569FB971" w14:textId="20D9DA63"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U. CERULUS, </w:t>
      </w:r>
      <w:r w:rsidRPr="0086280A">
        <w:rPr>
          <w:i/>
          <w:iCs/>
          <w:sz w:val="16"/>
          <w:szCs w:val="16"/>
          <w:lang w:val="nl-NL"/>
        </w:rPr>
        <w:t>Een statuut voor de zorgouder in het licht van de grondrechtenbescherming</w:t>
      </w:r>
      <w:r w:rsidRPr="0086280A">
        <w:rPr>
          <w:sz w:val="16"/>
          <w:szCs w:val="16"/>
          <w:lang w:val="nl-NL"/>
        </w:rPr>
        <w:t>, Brugge, die Keure, 2019, 199.</w:t>
      </w:r>
    </w:p>
  </w:footnote>
  <w:footnote w:id="326">
    <w:p w14:paraId="238126C3" w14:textId="77777777"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artikel 371-375 oud BW.</w:t>
      </w:r>
    </w:p>
  </w:footnote>
  <w:footnote w:id="327">
    <w:p w14:paraId="0185334A" w14:textId="508166F2"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t>
      </w:r>
      <w:r w:rsidRPr="0086280A">
        <w:rPr>
          <w:rFonts w:eastAsia="Verdana" w:cs="Verdana"/>
          <w:sz w:val="16"/>
          <w:szCs w:val="16"/>
          <w:lang w:val="nl-NL"/>
        </w:rPr>
        <w:t xml:space="preserve">EHRM 13 juni 1979, nr. 6833/74, </w:t>
      </w:r>
      <w:r w:rsidRPr="0086280A">
        <w:rPr>
          <w:rFonts w:eastAsia="Verdana" w:cs="Verdana"/>
          <w:i/>
          <w:sz w:val="16"/>
          <w:szCs w:val="16"/>
          <w:lang w:val="nl-NL"/>
        </w:rPr>
        <w:t xml:space="preserve">Marckx/België, </w:t>
      </w:r>
      <w:r w:rsidRPr="0086280A">
        <w:rPr>
          <w:rFonts w:eastAsia="Verdana" w:cs="Verdana"/>
          <w:iCs/>
          <w:sz w:val="16"/>
          <w:szCs w:val="16"/>
          <w:lang w:val="nl-NL"/>
        </w:rPr>
        <w:t>§31</w:t>
      </w:r>
      <w:r w:rsidRPr="0086280A">
        <w:rPr>
          <w:rFonts w:eastAsia="Verdana" w:cs="Verdana"/>
          <w:i/>
          <w:sz w:val="16"/>
          <w:szCs w:val="16"/>
          <w:lang w:val="nl-NL"/>
        </w:rPr>
        <w:t>.</w:t>
      </w:r>
    </w:p>
  </w:footnote>
  <w:footnote w:id="328">
    <w:p w14:paraId="088B29F4" w14:textId="20D9F458"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Wet 13 april 1995 betreffende de gezamenlijke uitoefening van het ouderlijk gezag, </w:t>
      </w:r>
      <w:r w:rsidRPr="0086280A">
        <w:rPr>
          <w:i/>
          <w:sz w:val="16"/>
          <w:szCs w:val="16"/>
          <w:lang w:val="nl-NL"/>
        </w:rPr>
        <w:t>BS</w:t>
      </w:r>
      <w:r w:rsidRPr="0086280A">
        <w:rPr>
          <w:sz w:val="16"/>
          <w:szCs w:val="16"/>
          <w:lang w:val="nl-NL"/>
        </w:rPr>
        <w:t xml:space="preserve"> 24 mei 1995; E. VERHELLEN, “Het Verdrag inzake de rechten van het kind meerderjarig. Enkele beschouwingen over de implementatie in België”, </w:t>
      </w:r>
      <w:r w:rsidRPr="0086280A">
        <w:rPr>
          <w:i/>
          <w:sz w:val="16"/>
          <w:szCs w:val="16"/>
          <w:lang w:val="nl-NL"/>
        </w:rPr>
        <w:t>TJK</w:t>
      </w:r>
      <w:r w:rsidRPr="0086280A">
        <w:rPr>
          <w:sz w:val="16"/>
          <w:szCs w:val="16"/>
          <w:lang w:val="nl-NL"/>
        </w:rPr>
        <w:t xml:space="preserve"> 2008/1, </w:t>
      </w:r>
      <w:r w:rsidR="00D673CD">
        <w:rPr>
          <w:sz w:val="16"/>
          <w:szCs w:val="16"/>
          <w:lang w:val="nl-NL"/>
        </w:rPr>
        <w:t xml:space="preserve">(11) </w:t>
      </w:r>
      <w:r w:rsidRPr="0086280A">
        <w:rPr>
          <w:sz w:val="16"/>
          <w:szCs w:val="16"/>
          <w:lang w:val="nl-NL"/>
        </w:rPr>
        <w:t>28.</w:t>
      </w:r>
    </w:p>
  </w:footnote>
  <w:footnote w:id="329">
    <w:p w14:paraId="02EB97EB" w14:textId="6D2BA75B"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t>
      </w:r>
      <w:r w:rsidR="0017255E" w:rsidRPr="0086280A">
        <w:rPr>
          <w:sz w:val="16"/>
          <w:szCs w:val="16"/>
          <w:lang w:val="nl-NL"/>
        </w:rPr>
        <w:t xml:space="preserve">P. SENAEVE en C. DECLERCK, </w:t>
      </w:r>
      <w:r w:rsidR="0017255E" w:rsidRPr="0086280A">
        <w:rPr>
          <w:i/>
          <w:sz w:val="16"/>
          <w:szCs w:val="16"/>
          <w:lang w:val="nl-NL"/>
        </w:rPr>
        <w:t>Compendium van het personen- en familierecht</w:t>
      </w:r>
      <w:r w:rsidR="0017255E" w:rsidRPr="0086280A">
        <w:rPr>
          <w:sz w:val="16"/>
          <w:szCs w:val="16"/>
          <w:lang w:val="nl-NL"/>
        </w:rPr>
        <w:t xml:space="preserve">, Leuven, Acco, 2020, 354-356; </w:t>
      </w:r>
      <w:r w:rsidRPr="0086280A">
        <w:rPr>
          <w:sz w:val="16"/>
          <w:szCs w:val="16"/>
          <w:lang w:val="nl-NL"/>
        </w:rPr>
        <w:t xml:space="preserve">C. VAN ROY, </w:t>
      </w:r>
      <w:r w:rsidRPr="0086280A">
        <w:rPr>
          <w:i/>
          <w:sz w:val="16"/>
          <w:szCs w:val="16"/>
          <w:lang w:val="nl-NL"/>
        </w:rPr>
        <w:t>De (on)deelbaarheid van het kind</w:t>
      </w:r>
      <w:r w:rsidRPr="0086280A">
        <w:rPr>
          <w:sz w:val="16"/>
          <w:szCs w:val="16"/>
          <w:lang w:val="nl-NL"/>
        </w:rPr>
        <w:t>, Antwerpen, Intersentia, 2021, 9-10</w:t>
      </w:r>
      <w:r w:rsidR="0017255E" w:rsidRPr="0086280A">
        <w:rPr>
          <w:sz w:val="16"/>
          <w:szCs w:val="16"/>
          <w:lang w:val="nl-NL"/>
        </w:rPr>
        <w:t>.</w:t>
      </w:r>
    </w:p>
  </w:footnote>
  <w:footnote w:id="330">
    <w:p w14:paraId="16F321BD" w14:textId="77777777"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Wet 13 april 1995 betreffende de gezamenlijke uitoefening van het ouderlijk gezag, </w:t>
      </w:r>
      <w:r w:rsidRPr="0086280A">
        <w:rPr>
          <w:i/>
          <w:sz w:val="16"/>
          <w:szCs w:val="16"/>
          <w:lang w:val="nl-NL"/>
        </w:rPr>
        <w:t>BS</w:t>
      </w:r>
      <w:r w:rsidRPr="0086280A">
        <w:rPr>
          <w:sz w:val="16"/>
          <w:szCs w:val="16"/>
          <w:lang w:val="nl-NL"/>
        </w:rPr>
        <w:t xml:space="preserve"> 24 mei 1995.</w:t>
      </w:r>
    </w:p>
  </w:footnote>
  <w:footnote w:id="331">
    <w:p w14:paraId="086214BF" w14:textId="77777777"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P. SENAEVE en P. LEMMENS, </w:t>
      </w:r>
      <w:r w:rsidRPr="0086280A">
        <w:rPr>
          <w:i/>
          <w:sz w:val="16"/>
          <w:szCs w:val="16"/>
          <w:lang w:val="nl-NL"/>
        </w:rPr>
        <w:t>De betekenis van de mensenrechten voor het personen- en familierecht</w:t>
      </w:r>
      <w:r w:rsidRPr="0086280A">
        <w:rPr>
          <w:sz w:val="16"/>
          <w:szCs w:val="16"/>
          <w:lang w:val="nl-NL"/>
        </w:rPr>
        <w:t>, Antwerpen, Intersentia, 2004, 95.</w:t>
      </w:r>
    </w:p>
  </w:footnote>
  <w:footnote w:id="332">
    <w:p w14:paraId="397A1AE1" w14:textId="6F910DDD"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0017255E" w:rsidRPr="0086280A">
        <w:rPr>
          <w:sz w:val="16"/>
          <w:szCs w:val="16"/>
          <w:lang w:val="nl-NL"/>
        </w:rPr>
        <w:t xml:space="preserve"> </w:t>
      </w:r>
      <w:r w:rsidRPr="0086280A">
        <w:rPr>
          <w:sz w:val="16"/>
          <w:szCs w:val="16"/>
          <w:lang w:val="nl-NL"/>
        </w:rPr>
        <w:t xml:space="preserve">G. VERSCHELDEN, </w:t>
      </w:r>
      <w:r w:rsidRPr="0086280A">
        <w:rPr>
          <w:i/>
          <w:iCs/>
          <w:sz w:val="16"/>
          <w:szCs w:val="16"/>
          <w:lang w:val="nl-NL"/>
        </w:rPr>
        <w:t>Handboek Belgisch Personen-, familie- en relatievermogensrecht</w:t>
      </w:r>
      <w:r w:rsidRPr="0086280A">
        <w:rPr>
          <w:sz w:val="16"/>
          <w:szCs w:val="16"/>
          <w:lang w:val="nl-NL"/>
        </w:rPr>
        <w:t>, Brugge, die Keure, 2021, 454-455</w:t>
      </w:r>
      <w:r w:rsidR="0017255E" w:rsidRPr="0086280A">
        <w:rPr>
          <w:sz w:val="16"/>
          <w:szCs w:val="16"/>
          <w:lang w:val="nl-NL"/>
        </w:rPr>
        <w:t xml:space="preserve">; F. SWENNEN, </w:t>
      </w:r>
      <w:r w:rsidR="0017255E" w:rsidRPr="0086280A">
        <w:rPr>
          <w:i/>
          <w:iCs/>
          <w:sz w:val="16"/>
          <w:szCs w:val="16"/>
          <w:lang w:val="nl-NL"/>
        </w:rPr>
        <w:t>Het personen- en familierecht (achtste, herziene uitgave)</w:t>
      </w:r>
      <w:r w:rsidR="0017255E" w:rsidRPr="0086280A">
        <w:rPr>
          <w:sz w:val="16"/>
          <w:szCs w:val="16"/>
          <w:lang w:val="nl-NL"/>
        </w:rPr>
        <w:t>, Mortsel, Intersentia, 2023, 566.</w:t>
      </w:r>
    </w:p>
  </w:footnote>
  <w:footnote w:id="333">
    <w:p w14:paraId="1C65FD70" w14:textId="7BFB94BC"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P. SENAEVE en C. DECLERCK, </w:t>
      </w:r>
      <w:r w:rsidRPr="0086280A">
        <w:rPr>
          <w:i/>
          <w:sz w:val="16"/>
          <w:szCs w:val="16"/>
          <w:lang w:val="nl-NL"/>
        </w:rPr>
        <w:t>Compendium van het personen- en familierecht</w:t>
      </w:r>
      <w:r w:rsidRPr="0086280A">
        <w:rPr>
          <w:sz w:val="16"/>
          <w:szCs w:val="16"/>
          <w:lang w:val="nl-NL"/>
        </w:rPr>
        <w:t xml:space="preserve">, Leuven, Acco, 2020, 355-357; G. VERSCHELDEN, </w:t>
      </w:r>
      <w:r w:rsidRPr="0086280A">
        <w:rPr>
          <w:i/>
          <w:iCs/>
          <w:sz w:val="16"/>
          <w:szCs w:val="16"/>
          <w:lang w:val="nl-NL"/>
        </w:rPr>
        <w:t>Handboek Belgisch Personen-, familie- en relatievermogensrecht</w:t>
      </w:r>
      <w:r w:rsidRPr="0086280A">
        <w:rPr>
          <w:sz w:val="16"/>
          <w:szCs w:val="16"/>
          <w:lang w:val="nl-NL"/>
        </w:rPr>
        <w:t>, Brugge, die Keure, 2021, 439.</w:t>
      </w:r>
    </w:p>
  </w:footnote>
  <w:footnote w:id="334">
    <w:p w14:paraId="5AB4AD92" w14:textId="166E4694" w:rsidR="00C10CD3" w:rsidRPr="0086280A" w:rsidRDefault="00C10CD3" w:rsidP="00C10CD3">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Artikel 374, §1, vierde lid oud BW; zie ook EHRM 23 juni 2005, nr. 48542/99, </w:t>
      </w:r>
      <w:r w:rsidRPr="0086280A">
        <w:rPr>
          <w:i/>
          <w:iCs/>
          <w:sz w:val="16"/>
          <w:szCs w:val="16"/>
          <w:lang w:val="nl-NL"/>
        </w:rPr>
        <w:t>Zawadka/Polen</w:t>
      </w:r>
      <w:r w:rsidRPr="0086280A">
        <w:rPr>
          <w:sz w:val="16"/>
          <w:szCs w:val="16"/>
          <w:lang w:val="nl-NL"/>
        </w:rPr>
        <w:t xml:space="preserve">, §61 en §67, </w:t>
      </w:r>
      <w:r w:rsidRPr="0086280A">
        <w:rPr>
          <w:i/>
          <w:iCs/>
          <w:sz w:val="16"/>
          <w:szCs w:val="16"/>
          <w:lang w:val="nl-NL"/>
        </w:rPr>
        <w:t>RTDF</w:t>
      </w:r>
      <w:r w:rsidRPr="0086280A">
        <w:rPr>
          <w:sz w:val="16"/>
          <w:szCs w:val="16"/>
          <w:lang w:val="nl-NL"/>
        </w:rPr>
        <w:t xml:space="preserve"> 2008, 956, noot M. DEMARET.</w:t>
      </w:r>
    </w:p>
  </w:footnote>
  <w:footnote w:id="335">
    <w:p w14:paraId="0FB8610C" w14:textId="5A438119"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00C10CD3" w:rsidRPr="0086280A">
        <w:rPr>
          <w:sz w:val="16"/>
          <w:szCs w:val="16"/>
          <w:lang w:val="nl-NL"/>
        </w:rPr>
        <w:t xml:space="preserve"> </w:t>
      </w:r>
      <w:r w:rsidRPr="0086280A">
        <w:rPr>
          <w:sz w:val="16"/>
          <w:szCs w:val="16"/>
          <w:lang w:val="nl-NL"/>
        </w:rPr>
        <w:t xml:space="preserve">Bijzonder ernstige redenen zijn bijvoorbeeld verkrachting, incest, mishandeling, verregaande verwaarlozing, jarenlange afwezigheid van belangstelling, psychisch disfunctioneren… zie volgende rechtsleer en de daarin aangehaalde rechtspraak: </w:t>
      </w:r>
      <w:r w:rsidR="00C10CD3" w:rsidRPr="0086280A">
        <w:rPr>
          <w:sz w:val="16"/>
          <w:szCs w:val="16"/>
          <w:lang w:val="nl-NL"/>
        </w:rPr>
        <w:t xml:space="preserve">P. SENAEVE en P. LEMMENS,  </w:t>
      </w:r>
      <w:r w:rsidR="00C10CD3" w:rsidRPr="0086280A">
        <w:rPr>
          <w:i/>
          <w:sz w:val="16"/>
          <w:szCs w:val="16"/>
          <w:lang w:val="nl-NL"/>
        </w:rPr>
        <w:t>De betekenis van de mensenrechten voor het personen- en familierecht</w:t>
      </w:r>
      <w:r w:rsidR="00C10CD3" w:rsidRPr="0086280A">
        <w:rPr>
          <w:sz w:val="16"/>
          <w:szCs w:val="16"/>
          <w:lang w:val="nl-NL"/>
        </w:rPr>
        <w:t xml:space="preserve">, Antwerpen, Intersentia, 2004, 95; </w:t>
      </w:r>
      <w:r w:rsidR="00F9577E" w:rsidRPr="0086280A">
        <w:rPr>
          <w:sz w:val="16"/>
          <w:szCs w:val="16"/>
          <w:lang w:val="nl-NL"/>
        </w:rPr>
        <w:t xml:space="preserve">G. VERSCHELDEN, </w:t>
      </w:r>
      <w:r w:rsidR="00F9577E" w:rsidRPr="0086280A">
        <w:rPr>
          <w:i/>
          <w:iCs/>
          <w:sz w:val="16"/>
          <w:szCs w:val="16"/>
          <w:lang w:val="nl-NL"/>
        </w:rPr>
        <w:t>Handboek Belgisch Personen-, familie- en relatievermogensrecht</w:t>
      </w:r>
      <w:r w:rsidR="00F9577E" w:rsidRPr="0086280A">
        <w:rPr>
          <w:sz w:val="16"/>
          <w:szCs w:val="16"/>
          <w:lang w:val="nl-NL"/>
        </w:rPr>
        <w:t>, Brugge, die Keure, 2021, 440</w:t>
      </w:r>
      <w:r w:rsidR="00F9577E">
        <w:rPr>
          <w:sz w:val="16"/>
          <w:szCs w:val="16"/>
          <w:lang w:val="nl-NL"/>
        </w:rPr>
        <w:t xml:space="preserve">; </w:t>
      </w:r>
      <w:r w:rsidRPr="0086280A">
        <w:rPr>
          <w:sz w:val="16"/>
          <w:szCs w:val="16"/>
          <w:lang w:val="nl-NL"/>
        </w:rPr>
        <w:t xml:space="preserve">F. SWENNEN, “Deel V. Rechten van niet-ouders met betrekking tot minderjarigen” in P. SENAEVE, F. SWENNEN en G. VERSCHELDEN (eds.), </w:t>
      </w:r>
      <w:r w:rsidRPr="0086280A">
        <w:rPr>
          <w:i/>
          <w:sz w:val="16"/>
          <w:szCs w:val="16"/>
          <w:lang w:val="nl-NL"/>
        </w:rPr>
        <w:t>Ouders en kinderen. Afstamming. Gezag &amp; Contact – Alimentatie. Interdisciplinair bekeken</w:t>
      </w:r>
      <w:r w:rsidRPr="0086280A">
        <w:rPr>
          <w:sz w:val="16"/>
          <w:szCs w:val="16"/>
          <w:lang w:val="nl-NL"/>
        </w:rPr>
        <w:t xml:space="preserve">, Antwerpen-Cambridge, Intersentia, 2013, 270, </w:t>
      </w:r>
      <w:r w:rsidR="00C10CD3" w:rsidRPr="0086280A">
        <w:rPr>
          <w:sz w:val="16"/>
          <w:szCs w:val="16"/>
          <w:lang w:val="nl-NL"/>
        </w:rPr>
        <w:t xml:space="preserve">randnummer </w:t>
      </w:r>
      <w:r w:rsidRPr="0086280A">
        <w:rPr>
          <w:sz w:val="16"/>
          <w:szCs w:val="16"/>
          <w:lang w:val="nl-NL"/>
        </w:rPr>
        <w:t xml:space="preserve">333; I. BOONE, “Gezag over de persoon van de minderjarige”, </w:t>
      </w:r>
      <w:r w:rsidRPr="0086280A">
        <w:rPr>
          <w:i/>
          <w:iCs/>
          <w:sz w:val="16"/>
          <w:szCs w:val="16"/>
          <w:lang w:val="nl-NL"/>
        </w:rPr>
        <w:t>TPR</w:t>
      </w:r>
      <w:r w:rsidRPr="0086280A">
        <w:rPr>
          <w:sz w:val="16"/>
          <w:szCs w:val="16"/>
          <w:lang w:val="nl-NL"/>
        </w:rPr>
        <w:t xml:space="preserve"> 2017, afl. 2-3, </w:t>
      </w:r>
      <w:r w:rsidR="00D673CD">
        <w:rPr>
          <w:sz w:val="16"/>
          <w:szCs w:val="16"/>
          <w:lang w:val="nl-NL"/>
        </w:rPr>
        <w:t xml:space="preserve">(1039) </w:t>
      </w:r>
      <w:r w:rsidRPr="0086280A">
        <w:rPr>
          <w:sz w:val="16"/>
          <w:szCs w:val="16"/>
          <w:lang w:val="nl-NL"/>
        </w:rPr>
        <w:t>1082.</w:t>
      </w:r>
    </w:p>
  </w:footnote>
  <w:footnote w:id="336">
    <w:p w14:paraId="1A763367" w14:textId="27A74920"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G. VERSCHELDEN, </w:t>
      </w:r>
      <w:r w:rsidRPr="0086280A">
        <w:rPr>
          <w:i/>
          <w:iCs/>
          <w:sz w:val="16"/>
          <w:szCs w:val="16"/>
          <w:lang w:val="nl-NL"/>
        </w:rPr>
        <w:t>Handboek Belgisch Personen-, familie- en relatievermogensrecht</w:t>
      </w:r>
      <w:r w:rsidRPr="0086280A">
        <w:rPr>
          <w:sz w:val="16"/>
          <w:szCs w:val="16"/>
          <w:lang w:val="nl-NL"/>
        </w:rPr>
        <w:t>, Brugge, die Keure, 2021, 439.</w:t>
      </w:r>
    </w:p>
  </w:footnote>
  <w:footnote w:id="337">
    <w:p w14:paraId="7F21220E" w14:textId="44B315A2" w:rsidR="00C57AF9" w:rsidRPr="0086280A" w:rsidRDefault="00C57AF9" w:rsidP="005C4D5C">
      <w:pPr>
        <w:pStyle w:val="Voetnoottekst"/>
        <w:jc w:val="both"/>
        <w:rPr>
          <w:iCs/>
          <w:sz w:val="16"/>
          <w:szCs w:val="16"/>
          <w:highlight w:val="yellow"/>
          <w:lang w:val="nl-NL"/>
        </w:rPr>
      </w:pPr>
      <w:r w:rsidRPr="0086280A">
        <w:rPr>
          <w:rStyle w:val="Voetnootmarkering"/>
          <w:sz w:val="16"/>
          <w:szCs w:val="16"/>
          <w:lang w:val="nl-NL"/>
        </w:rPr>
        <w:footnoteRef/>
      </w:r>
      <w:r w:rsidRPr="0086280A">
        <w:rPr>
          <w:sz w:val="16"/>
          <w:szCs w:val="16"/>
          <w:lang w:val="nl-NL"/>
        </w:rPr>
        <w:t xml:space="preserve"> Wetsvoorstel betreffende de gezamenlijke uitoefening van het ouderlijk gezag, </w:t>
      </w:r>
      <w:r w:rsidRPr="0086280A">
        <w:rPr>
          <w:i/>
          <w:sz w:val="16"/>
          <w:szCs w:val="16"/>
          <w:lang w:val="nl-NL"/>
        </w:rPr>
        <w:t xml:space="preserve">Parl.St. </w:t>
      </w:r>
      <w:r w:rsidRPr="0086280A">
        <w:rPr>
          <w:sz w:val="16"/>
          <w:szCs w:val="16"/>
          <w:lang w:val="nl-NL"/>
        </w:rPr>
        <w:t xml:space="preserve">Kamer 1993-94, nr. 1430/1, 10; K. JACOBS, “Het omgangsrecht in België en Nederland”, </w:t>
      </w:r>
      <w:r w:rsidRPr="0086280A">
        <w:rPr>
          <w:i/>
          <w:sz w:val="16"/>
          <w:szCs w:val="16"/>
          <w:lang w:val="nl-NL"/>
        </w:rPr>
        <w:t>TPR</w:t>
      </w:r>
      <w:r w:rsidRPr="0086280A">
        <w:rPr>
          <w:sz w:val="16"/>
          <w:szCs w:val="16"/>
          <w:lang w:val="nl-NL"/>
        </w:rPr>
        <w:t xml:space="preserve"> 1996, </w:t>
      </w:r>
      <w:r w:rsidR="00D673CD">
        <w:rPr>
          <w:sz w:val="16"/>
          <w:szCs w:val="16"/>
          <w:lang w:val="nl-NL"/>
        </w:rPr>
        <w:t xml:space="preserve">(827) </w:t>
      </w:r>
      <w:r w:rsidRPr="0086280A">
        <w:rPr>
          <w:sz w:val="16"/>
          <w:szCs w:val="16"/>
          <w:lang w:val="nl-NL"/>
        </w:rPr>
        <w:t>835.</w:t>
      </w:r>
    </w:p>
  </w:footnote>
  <w:footnote w:id="338">
    <w:p w14:paraId="3F51C8A2" w14:textId="7D58E0FB"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bijvoorbeeld Brussel (41</w:t>
      </w:r>
      <w:r w:rsidRPr="0086280A">
        <w:rPr>
          <w:sz w:val="16"/>
          <w:szCs w:val="16"/>
          <w:vertAlign w:val="superscript"/>
          <w:lang w:val="nl-NL"/>
        </w:rPr>
        <w:t>e</w:t>
      </w:r>
      <w:r w:rsidRPr="0086280A">
        <w:rPr>
          <w:sz w:val="16"/>
          <w:szCs w:val="16"/>
          <w:lang w:val="nl-NL"/>
        </w:rPr>
        <w:t xml:space="preserve"> k.) 2 december 2014, </w:t>
      </w:r>
      <w:r w:rsidRPr="0086280A">
        <w:rPr>
          <w:i/>
          <w:iCs/>
          <w:sz w:val="16"/>
          <w:szCs w:val="16"/>
          <w:lang w:val="nl-NL"/>
        </w:rPr>
        <w:t>RTDF</w:t>
      </w:r>
      <w:r w:rsidRPr="0086280A">
        <w:rPr>
          <w:sz w:val="16"/>
          <w:szCs w:val="16"/>
          <w:lang w:val="nl-NL"/>
        </w:rPr>
        <w:t xml:space="preserve"> 2016, afl. 2, 403 (Het recht op persoonlijk contact kan geweigerd worden aan een vader die vijandig is tegenover de moeder van het kind met dramatische gevolgen voor de emotionele en psychologische ontwikkeling van het kind, waartegen het kind absoluut beschermd moet worden); </w:t>
      </w:r>
      <w:r w:rsidR="00C10CD3" w:rsidRPr="0086280A">
        <w:rPr>
          <w:sz w:val="16"/>
          <w:szCs w:val="16"/>
          <w:lang w:val="nl-NL"/>
        </w:rPr>
        <w:t xml:space="preserve">Brussel 26 januari 2016, </w:t>
      </w:r>
      <w:r w:rsidR="00C10CD3" w:rsidRPr="0086280A">
        <w:rPr>
          <w:i/>
          <w:iCs/>
          <w:sz w:val="16"/>
          <w:szCs w:val="16"/>
          <w:lang w:val="nl-NL"/>
        </w:rPr>
        <w:t>Act.dr.fam.</w:t>
      </w:r>
      <w:r w:rsidR="00C10CD3" w:rsidRPr="0086280A">
        <w:rPr>
          <w:sz w:val="16"/>
          <w:szCs w:val="16"/>
          <w:lang w:val="nl-NL"/>
        </w:rPr>
        <w:t xml:space="preserve"> 2017, 46 (Risico op internationale kinderontvoering); </w:t>
      </w:r>
      <w:r w:rsidRPr="0086280A">
        <w:rPr>
          <w:sz w:val="16"/>
          <w:szCs w:val="16"/>
          <w:lang w:val="nl-NL"/>
        </w:rPr>
        <w:t>Antwerpen (3</w:t>
      </w:r>
      <w:r w:rsidRPr="0086280A">
        <w:rPr>
          <w:sz w:val="16"/>
          <w:szCs w:val="16"/>
          <w:vertAlign w:val="superscript"/>
          <w:lang w:val="nl-NL"/>
        </w:rPr>
        <w:t>e</w:t>
      </w:r>
      <w:r w:rsidRPr="0086280A">
        <w:rPr>
          <w:sz w:val="16"/>
          <w:szCs w:val="16"/>
          <w:lang w:val="nl-NL"/>
        </w:rPr>
        <w:t xml:space="preserve"> k.) 12 april 2016, 2016/FA/119, onuitg. (De moeder staat zeer negatief tegenover de vader en deelde haar negatieve gevoelens met de kinderen. De moeder was niet van plan haar houding aan te passen terwijl de vader wel een band wilde opbouwen met de kinderen); Brussel (41</w:t>
      </w:r>
      <w:r w:rsidRPr="0086280A">
        <w:rPr>
          <w:sz w:val="16"/>
          <w:szCs w:val="16"/>
          <w:vertAlign w:val="superscript"/>
          <w:lang w:val="nl-NL"/>
        </w:rPr>
        <w:t>e</w:t>
      </w:r>
      <w:r w:rsidRPr="0086280A">
        <w:rPr>
          <w:sz w:val="16"/>
          <w:szCs w:val="16"/>
          <w:lang w:val="nl-NL"/>
        </w:rPr>
        <w:t xml:space="preserve"> k.) 29 november 2016, </w:t>
      </w:r>
      <w:r w:rsidRPr="0086280A">
        <w:rPr>
          <w:i/>
          <w:iCs/>
          <w:sz w:val="16"/>
          <w:szCs w:val="16"/>
          <w:lang w:val="nl-NL"/>
        </w:rPr>
        <w:t>Act.dr.fam.</w:t>
      </w:r>
      <w:r w:rsidRPr="0086280A">
        <w:rPr>
          <w:sz w:val="16"/>
          <w:szCs w:val="16"/>
          <w:lang w:val="nl-NL"/>
        </w:rPr>
        <w:t xml:space="preserve"> 2017, afl. 1-2, 56 (De vader bleef de feiten van intrafamiliaal geweld ontkennen, waardoor contact met de zoon werd verboden); I. BOONE, “Gezag over de persoon van de minderjarige”, </w:t>
      </w:r>
      <w:r w:rsidRPr="0086280A">
        <w:rPr>
          <w:i/>
          <w:iCs/>
          <w:sz w:val="16"/>
          <w:szCs w:val="16"/>
          <w:lang w:val="nl-NL"/>
        </w:rPr>
        <w:t>TPR</w:t>
      </w:r>
      <w:r w:rsidRPr="0086280A">
        <w:rPr>
          <w:sz w:val="16"/>
          <w:szCs w:val="16"/>
          <w:lang w:val="nl-NL"/>
        </w:rPr>
        <w:t xml:space="preserve"> 2017, afl. 2-3, 1082-1083.</w:t>
      </w:r>
    </w:p>
  </w:footnote>
  <w:footnote w:id="339">
    <w:p w14:paraId="128D8924" w14:textId="28E5625D"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Cass. 3 oktober 2014, AR C.12.0191.N., </w:t>
      </w:r>
      <w:r w:rsidRPr="0086280A">
        <w:rPr>
          <w:i/>
          <w:iCs/>
          <w:sz w:val="16"/>
          <w:szCs w:val="16"/>
          <w:lang w:val="nl-NL"/>
        </w:rPr>
        <w:t>T.Fam.</w:t>
      </w:r>
      <w:r w:rsidRPr="0086280A">
        <w:rPr>
          <w:sz w:val="16"/>
          <w:szCs w:val="16"/>
          <w:lang w:val="nl-NL"/>
        </w:rPr>
        <w:t xml:space="preserve"> 2016, afl. 7, 170-171, noot T. VERCRUYSSE; M. MALLIEN, “L’appréciation par le juge de l’intérêt de l’enfant et la volonté des parents: analyse de deuc arrêts de la Cour de cassation” (noot onder Cass. 3 oktober 2014), </w:t>
      </w:r>
      <w:r w:rsidRPr="0086280A">
        <w:rPr>
          <w:i/>
          <w:iCs/>
          <w:sz w:val="16"/>
          <w:szCs w:val="16"/>
          <w:lang w:val="nl-NL"/>
        </w:rPr>
        <w:t>Act.dr.fam.</w:t>
      </w:r>
      <w:r w:rsidRPr="0086280A">
        <w:rPr>
          <w:sz w:val="16"/>
          <w:szCs w:val="16"/>
          <w:lang w:val="nl-NL"/>
        </w:rPr>
        <w:t xml:space="preserve"> 2015, 232.</w:t>
      </w:r>
    </w:p>
  </w:footnote>
  <w:footnote w:id="340">
    <w:p w14:paraId="53101F7E" w14:textId="2F0EFA1D"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S. AUDOORE, “Overzicht van rechtspraak (2003-2011) – De uitoefening van het ouderlijk gezag”, </w:t>
      </w:r>
      <w:r w:rsidRPr="0086280A">
        <w:rPr>
          <w:i/>
          <w:iCs/>
          <w:sz w:val="16"/>
          <w:szCs w:val="16"/>
          <w:lang w:val="nl-NL"/>
        </w:rPr>
        <w:t>T.Fam.</w:t>
      </w:r>
      <w:r w:rsidRPr="0086280A">
        <w:rPr>
          <w:sz w:val="16"/>
          <w:szCs w:val="16"/>
          <w:lang w:val="nl-NL"/>
        </w:rPr>
        <w:t xml:space="preserve"> 2012, afl. 3, </w:t>
      </w:r>
      <w:r w:rsidR="00D673CD">
        <w:rPr>
          <w:sz w:val="16"/>
          <w:szCs w:val="16"/>
          <w:lang w:val="nl-NL"/>
        </w:rPr>
        <w:t xml:space="preserve">(55) </w:t>
      </w:r>
      <w:r w:rsidRPr="0086280A">
        <w:rPr>
          <w:sz w:val="16"/>
          <w:szCs w:val="16"/>
          <w:lang w:val="nl-NL"/>
        </w:rPr>
        <w:t>55-72 en de daarin aangehaalde rechtspraak.</w:t>
      </w:r>
    </w:p>
  </w:footnote>
  <w:footnote w:id="341">
    <w:p w14:paraId="4B8817A1" w14:textId="79840F58"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K. JACOBS, “Het omgangsrecht in België en Nederland”, </w:t>
      </w:r>
      <w:r w:rsidRPr="0086280A">
        <w:rPr>
          <w:i/>
          <w:sz w:val="16"/>
          <w:szCs w:val="16"/>
          <w:lang w:val="nl-NL"/>
        </w:rPr>
        <w:t>TPR</w:t>
      </w:r>
      <w:r w:rsidRPr="0086280A">
        <w:rPr>
          <w:sz w:val="16"/>
          <w:szCs w:val="16"/>
          <w:lang w:val="nl-NL"/>
        </w:rPr>
        <w:t xml:space="preserve"> 1996, </w:t>
      </w:r>
      <w:r w:rsidR="00D673CD">
        <w:rPr>
          <w:sz w:val="16"/>
          <w:szCs w:val="16"/>
          <w:lang w:val="nl-NL"/>
        </w:rPr>
        <w:t xml:space="preserve">(827) </w:t>
      </w:r>
      <w:r w:rsidRPr="0086280A">
        <w:rPr>
          <w:sz w:val="16"/>
          <w:szCs w:val="16"/>
          <w:lang w:val="nl-NL"/>
        </w:rPr>
        <w:t>835.</w:t>
      </w:r>
    </w:p>
  </w:footnote>
  <w:footnote w:id="342">
    <w:p w14:paraId="42A742E8" w14:textId="2A43BF34"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Namen 16 september 2020, </w:t>
      </w:r>
      <w:r w:rsidRPr="0086280A">
        <w:rPr>
          <w:i/>
          <w:iCs/>
          <w:sz w:val="16"/>
          <w:szCs w:val="16"/>
          <w:lang w:val="nl-NL"/>
        </w:rPr>
        <w:t>Act.dr.fam.</w:t>
      </w:r>
      <w:r w:rsidRPr="0086280A">
        <w:rPr>
          <w:sz w:val="16"/>
          <w:szCs w:val="16"/>
          <w:lang w:val="nl-NL"/>
        </w:rPr>
        <w:t xml:space="preserve"> 2020, afl. 8-9, 213, noot N. MASSANGER: “Bovendien is het niet mogelijk om de ouder van een kind te verplichten om tegen zijn wil een verblijfsrecht of een recht op persoonlijk contact met zijn kind te onderhouden”; F. SWENNEN, </w:t>
      </w:r>
      <w:r w:rsidRPr="0086280A">
        <w:rPr>
          <w:i/>
          <w:iCs/>
          <w:sz w:val="16"/>
          <w:szCs w:val="16"/>
          <w:lang w:val="nl-NL"/>
        </w:rPr>
        <w:t>Het personen- en familierecht (achtste, herziene uitgave)</w:t>
      </w:r>
      <w:r w:rsidRPr="0086280A">
        <w:rPr>
          <w:sz w:val="16"/>
          <w:szCs w:val="16"/>
          <w:lang w:val="nl-NL"/>
        </w:rPr>
        <w:t>, Mortsel, Intersentia, 2023, 553.</w:t>
      </w:r>
    </w:p>
  </w:footnote>
  <w:footnote w:id="343">
    <w:p w14:paraId="02C4A301" w14:textId="3B0F7D3A"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art</w:t>
      </w:r>
      <w:r w:rsidR="00F9577E">
        <w:rPr>
          <w:sz w:val="16"/>
          <w:szCs w:val="16"/>
          <w:lang w:val="nl-NL"/>
        </w:rPr>
        <w:t>ikel</w:t>
      </w:r>
      <w:r w:rsidRPr="0086280A">
        <w:rPr>
          <w:sz w:val="16"/>
          <w:szCs w:val="16"/>
          <w:lang w:val="nl-NL"/>
        </w:rPr>
        <w:t xml:space="preserve"> 10 wet 13 april 1995 betreffende de gezamenlijke uitoefening van het ouderlijk gezag, </w:t>
      </w:r>
      <w:r w:rsidRPr="0086280A">
        <w:rPr>
          <w:i/>
          <w:sz w:val="16"/>
          <w:szCs w:val="16"/>
          <w:lang w:val="nl-NL"/>
        </w:rPr>
        <w:t>BS</w:t>
      </w:r>
      <w:r w:rsidRPr="0086280A">
        <w:rPr>
          <w:sz w:val="16"/>
          <w:szCs w:val="16"/>
          <w:lang w:val="nl-NL"/>
        </w:rPr>
        <w:t xml:space="preserve"> 24 mei 1995; F. SWENNEN, </w:t>
      </w:r>
      <w:r w:rsidRPr="0086280A">
        <w:rPr>
          <w:i/>
          <w:iCs/>
          <w:sz w:val="16"/>
          <w:szCs w:val="16"/>
          <w:lang w:val="nl-NL"/>
        </w:rPr>
        <w:t>Het personen- en familierecht (achtste, herziene uitgave)</w:t>
      </w:r>
      <w:r w:rsidRPr="0086280A">
        <w:rPr>
          <w:sz w:val="16"/>
          <w:szCs w:val="16"/>
          <w:lang w:val="nl-NL"/>
        </w:rPr>
        <w:t>, Mortsel, Intersentia, 2023, 569.</w:t>
      </w:r>
    </w:p>
  </w:footnote>
  <w:footnote w:id="344">
    <w:p w14:paraId="6C9D0285" w14:textId="3B3DE6D6"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GwH 7 februari 2019, nr. 20/2019, </w:t>
      </w:r>
      <w:r w:rsidRPr="0086280A">
        <w:rPr>
          <w:i/>
          <w:iCs/>
          <w:sz w:val="16"/>
          <w:szCs w:val="16"/>
          <w:lang w:val="nl-NL"/>
        </w:rPr>
        <w:t>RW</w:t>
      </w:r>
      <w:r w:rsidRPr="0086280A">
        <w:rPr>
          <w:sz w:val="16"/>
          <w:szCs w:val="16"/>
          <w:lang w:val="nl-NL"/>
        </w:rPr>
        <w:t xml:space="preserve"> 2018-2019, afl. 26, 1160; I. BOONE, “Hoofdstuk IV. Recht op persoonlijk contact” in G. VERSCHELDEN (e.a.), </w:t>
      </w:r>
      <w:r w:rsidRPr="0086280A">
        <w:rPr>
          <w:i/>
          <w:sz w:val="16"/>
          <w:szCs w:val="16"/>
          <w:lang w:val="nl-NL"/>
        </w:rPr>
        <w:t>Overzicht van rechtspraak familierecht (2012-2016)</w:t>
      </w:r>
      <w:r w:rsidRPr="0086280A">
        <w:rPr>
          <w:sz w:val="16"/>
          <w:szCs w:val="16"/>
          <w:lang w:val="nl-NL"/>
        </w:rPr>
        <w:t xml:space="preserve">, </w:t>
      </w:r>
      <w:r w:rsidRPr="0086280A">
        <w:rPr>
          <w:i/>
          <w:sz w:val="16"/>
          <w:szCs w:val="16"/>
          <w:lang w:val="nl-NL"/>
        </w:rPr>
        <w:t>TPR</w:t>
      </w:r>
      <w:r w:rsidRPr="0086280A">
        <w:rPr>
          <w:sz w:val="16"/>
          <w:szCs w:val="16"/>
          <w:lang w:val="nl-NL"/>
        </w:rPr>
        <w:t xml:space="preserve"> 2017, afl. 2-3, 1094-1095.</w:t>
      </w:r>
    </w:p>
  </w:footnote>
  <w:footnote w:id="345">
    <w:p w14:paraId="270BC406" w14:textId="77777777" w:rsidR="00C35952" w:rsidRPr="0086280A" w:rsidRDefault="00C35952" w:rsidP="00C35952">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Dinant 18 augustus 2008, </w:t>
      </w:r>
      <w:r w:rsidRPr="0086280A">
        <w:rPr>
          <w:i/>
          <w:iCs/>
          <w:sz w:val="16"/>
          <w:szCs w:val="16"/>
          <w:lang w:val="nl-NL"/>
        </w:rPr>
        <w:t>Act.dr.fam.</w:t>
      </w:r>
      <w:r w:rsidRPr="0086280A">
        <w:rPr>
          <w:sz w:val="16"/>
          <w:szCs w:val="16"/>
          <w:lang w:val="nl-NL"/>
        </w:rPr>
        <w:t xml:space="preserve"> 2009, afl. 5, 97; R. VASSEUR, “Over het (gebrek aan) grootouderlijk vorderingsrecht inzake ouderlijk gezag” (noot onder Jeugdrb. Gent 10 april 2008 en Brussel 2 maart 2009), </w:t>
      </w:r>
      <w:r w:rsidRPr="0086280A">
        <w:rPr>
          <w:i/>
          <w:iCs/>
          <w:sz w:val="16"/>
          <w:szCs w:val="16"/>
          <w:lang w:val="nl-NL"/>
        </w:rPr>
        <w:t>TJK</w:t>
      </w:r>
      <w:r w:rsidRPr="0086280A">
        <w:rPr>
          <w:sz w:val="16"/>
          <w:szCs w:val="16"/>
          <w:lang w:val="nl-NL"/>
        </w:rPr>
        <w:t xml:space="preserve"> 2009, afl. 4-5, 347-350; L. FERMYN, “Recht op persoonlijk contact van grootouders: (on)splitsbaar van het conflict tussen ouders en grootouders?” (noot onder Brussel 7 juni 2016), </w:t>
      </w:r>
      <w:r w:rsidRPr="0086280A">
        <w:rPr>
          <w:i/>
          <w:iCs/>
          <w:sz w:val="16"/>
          <w:szCs w:val="16"/>
          <w:lang w:val="nl-NL"/>
        </w:rPr>
        <w:t>T.Fam.</w:t>
      </w:r>
      <w:r w:rsidRPr="0086280A">
        <w:rPr>
          <w:sz w:val="16"/>
          <w:szCs w:val="16"/>
          <w:lang w:val="nl-NL"/>
        </w:rPr>
        <w:t xml:space="preserve"> 2016, 195-200.</w:t>
      </w:r>
    </w:p>
  </w:footnote>
  <w:footnote w:id="346">
    <w:p w14:paraId="5E769230" w14:textId="0B3A3F5A"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Cass. 14 oktober 1915, </w:t>
      </w:r>
      <w:r w:rsidRPr="0086280A">
        <w:rPr>
          <w:i/>
          <w:iCs/>
          <w:sz w:val="16"/>
          <w:szCs w:val="16"/>
          <w:lang w:val="nl-NL"/>
        </w:rPr>
        <w:t>Pas.</w:t>
      </w:r>
      <w:r w:rsidRPr="0086280A">
        <w:rPr>
          <w:sz w:val="16"/>
          <w:szCs w:val="16"/>
          <w:lang w:val="nl-NL"/>
        </w:rPr>
        <w:t xml:space="preserve"> 1915-1916, I, 455; Cass. 4 maart 1976, </w:t>
      </w:r>
      <w:r w:rsidRPr="0086280A">
        <w:rPr>
          <w:i/>
          <w:sz w:val="16"/>
          <w:szCs w:val="16"/>
          <w:lang w:val="nl-NL"/>
        </w:rPr>
        <w:t>RW</w:t>
      </w:r>
      <w:r w:rsidRPr="0086280A">
        <w:rPr>
          <w:sz w:val="16"/>
          <w:szCs w:val="16"/>
          <w:lang w:val="nl-NL"/>
        </w:rPr>
        <w:t xml:space="preserve"> 1976-1977, 288, noot </w:t>
      </w:r>
      <w:r w:rsidR="00C10CD3" w:rsidRPr="0086280A">
        <w:rPr>
          <w:sz w:val="16"/>
          <w:szCs w:val="16"/>
          <w:lang w:val="nl-NL"/>
        </w:rPr>
        <w:t xml:space="preserve">H. </w:t>
      </w:r>
      <w:r w:rsidRPr="0086280A">
        <w:rPr>
          <w:sz w:val="16"/>
          <w:szCs w:val="16"/>
          <w:lang w:val="nl-NL"/>
        </w:rPr>
        <w:t>NUYTINCK</w:t>
      </w:r>
      <w:r w:rsidR="00C10CD3" w:rsidRPr="0086280A">
        <w:rPr>
          <w:sz w:val="16"/>
          <w:szCs w:val="16"/>
          <w:lang w:val="nl-NL"/>
        </w:rPr>
        <w:t>,</w:t>
      </w:r>
      <w:r w:rsidRPr="0086280A">
        <w:rPr>
          <w:sz w:val="16"/>
          <w:szCs w:val="16"/>
          <w:lang w:val="nl-NL"/>
        </w:rPr>
        <w:t xml:space="preserve"> </w:t>
      </w:r>
      <w:r w:rsidRPr="0086280A">
        <w:rPr>
          <w:i/>
          <w:sz w:val="16"/>
          <w:szCs w:val="16"/>
          <w:lang w:val="nl-NL"/>
        </w:rPr>
        <w:t>Grootjesarrest</w:t>
      </w:r>
      <w:r w:rsidRPr="0086280A">
        <w:rPr>
          <w:sz w:val="16"/>
          <w:szCs w:val="16"/>
          <w:lang w:val="nl-NL"/>
        </w:rPr>
        <w:t>; zie ook Wetsvoorstel tot wijziging van artikel 375</w:t>
      </w:r>
      <w:r w:rsidRPr="00F9577E">
        <w:rPr>
          <w:i/>
          <w:iCs/>
          <w:sz w:val="16"/>
          <w:szCs w:val="16"/>
          <w:lang w:val="nl-NL"/>
        </w:rPr>
        <w:t>bis</w:t>
      </w:r>
      <w:r w:rsidRPr="0086280A">
        <w:rPr>
          <w:sz w:val="16"/>
          <w:szCs w:val="16"/>
          <w:lang w:val="nl-NL"/>
        </w:rPr>
        <w:t xml:space="preserve"> van het Burgerlijk Wetboek, </w:t>
      </w:r>
      <w:r w:rsidRPr="0086280A">
        <w:rPr>
          <w:i/>
          <w:sz w:val="16"/>
          <w:szCs w:val="16"/>
          <w:lang w:val="nl-NL"/>
        </w:rPr>
        <w:t>Parl.St.</w:t>
      </w:r>
      <w:r w:rsidRPr="0086280A">
        <w:rPr>
          <w:sz w:val="16"/>
          <w:szCs w:val="16"/>
          <w:lang w:val="nl-NL"/>
        </w:rPr>
        <w:t xml:space="preserve"> Kamer 2015-16, nr. 54-1895/001, 4; P. SENAEVE en C. DECLERCK, </w:t>
      </w:r>
      <w:r w:rsidRPr="0086280A">
        <w:rPr>
          <w:i/>
          <w:sz w:val="16"/>
          <w:szCs w:val="16"/>
          <w:lang w:val="nl-NL"/>
        </w:rPr>
        <w:t>Compendium van het personen- en familierecht</w:t>
      </w:r>
      <w:r w:rsidRPr="0086280A">
        <w:rPr>
          <w:sz w:val="16"/>
          <w:szCs w:val="16"/>
          <w:lang w:val="nl-NL"/>
        </w:rPr>
        <w:t xml:space="preserve">, Leuven, Acco, 2020, 688; C. VAN ROY, </w:t>
      </w:r>
      <w:r w:rsidRPr="0086280A">
        <w:rPr>
          <w:i/>
          <w:sz w:val="16"/>
          <w:szCs w:val="16"/>
          <w:lang w:val="nl-NL"/>
        </w:rPr>
        <w:t>De (on)deelbaarheid van het kind</w:t>
      </w:r>
      <w:r w:rsidRPr="0086280A">
        <w:rPr>
          <w:sz w:val="16"/>
          <w:szCs w:val="16"/>
          <w:lang w:val="nl-NL"/>
        </w:rPr>
        <w:t xml:space="preserve">, Antwerpen, Intersentia, 2021, 12; K. JACOBS, “Het omgangsrecht van de grootouders”, </w:t>
      </w:r>
      <w:r w:rsidRPr="0086280A">
        <w:rPr>
          <w:i/>
          <w:sz w:val="16"/>
          <w:szCs w:val="16"/>
          <w:lang w:val="nl-NL"/>
        </w:rPr>
        <w:t>AJT</w:t>
      </w:r>
      <w:r w:rsidRPr="0086280A">
        <w:rPr>
          <w:sz w:val="16"/>
          <w:szCs w:val="16"/>
          <w:lang w:val="nl-NL"/>
        </w:rPr>
        <w:t xml:space="preserve"> 2000-2001, 28-29.</w:t>
      </w:r>
    </w:p>
  </w:footnote>
  <w:footnote w:id="347">
    <w:p w14:paraId="0A770564" w14:textId="1D5B9D24"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I. BOONE, “Hoofdstuk IV. Recht op persoonlijk contact” in G. VERSCHELDEN (e.a.), </w:t>
      </w:r>
      <w:r w:rsidRPr="0086280A">
        <w:rPr>
          <w:i/>
          <w:sz w:val="16"/>
          <w:szCs w:val="16"/>
          <w:lang w:val="nl-NL"/>
        </w:rPr>
        <w:t>Overzicht van rechtspraak familierecht (2012-2016)</w:t>
      </w:r>
      <w:r w:rsidRPr="0086280A">
        <w:rPr>
          <w:sz w:val="16"/>
          <w:szCs w:val="16"/>
          <w:lang w:val="nl-NL"/>
        </w:rPr>
        <w:t xml:space="preserve">, </w:t>
      </w:r>
      <w:r w:rsidRPr="0086280A">
        <w:rPr>
          <w:i/>
          <w:sz w:val="16"/>
          <w:szCs w:val="16"/>
          <w:lang w:val="nl-NL"/>
        </w:rPr>
        <w:t>TPR</w:t>
      </w:r>
      <w:r w:rsidRPr="0086280A">
        <w:rPr>
          <w:sz w:val="16"/>
          <w:szCs w:val="16"/>
          <w:lang w:val="nl-NL"/>
        </w:rPr>
        <w:t xml:space="preserve"> 2017, afl. 2-3, 1090.</w:t>
      </w:r>
    </w:p>
  </w:footnote>
  <w:footnote w:id="348">
    <w:p w14:paraId="5AA71D25" w14:textId="2F2C08FD"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t>
      </w:r>
      <w:r w:rsidRPr="0086280A">
        <w:rPr>
          <w:rFonts w:eastAsia="Verdana" w:cs="Verdana"/>
          <w:sz w:val="16"/>
          <w:szCs w:val="16"/>
          <w:lang w:val="nl-NL"/>
        </w:rPr>
        <w:t>Gent (15</w:t>
      </w:r>
      <w:r w:rsidRPr="0086280A">
        <w:rPr>
          <w:rFonts w:eastAsia="Verdana" w:cs="Verdana"/>
          <w:sz w:val="16"/>
          <w:szCs w:val="16"/>
          <w:vertAlign w:val="superscript"/>
          <w:lang w:val="nl-NL"/>
        </w:rPr>
        <w:t>e</w:t>
      </w:r>
      <w:r w:rsidRPr="0086280A">
        <w:rPr>
          <w:rFonts w:eastAsia="Verdana" w:cs="Verdana"/>
          <w:sz w:val="16"/>
          <w:szCs w:val="16"/>
          <w:lang w:val="nl-NL"/>
        </w:rPr>
        <w:t xml:space="preserve"> k.) 7 februari 2005, nr. 2004/JR/80, </w:t>
      </w:r>
      <w:r w:rsidRPr="0086280A">
        <w:rPr>
          <w:rFonts w:eastAsia="Verdana" w:cs="Verdana"/>
          <w:i/>
          <w:sz w:val="16"/>
          <w:szCs w:val="16"/>
          <w:lang w:val="nl-NL"/>
        </w:rPr>
        <w:t>NJW</w:t>
      </w:r>
      <w:r w:rsidRPr="0086280A">
        <w:rPr>
          <w:rFonts w:eastAsia="Verdana" w:cs="Verdana"/>
          <w:sz w:val="16"/>
          <w:szCs w:val="16"/>
          <w:lang w:val="nl-NL"/>
        </w:rPr>
        <w:t xml:space="preserve"> 2006, afl. 134, 36, noot </w:t>
      </w:r>
      <w:r w:rsidR="00C35952" w:rsidRPr="0086280A">
        <w:rPr>
          <w:rFonts w:eastAsia="Verdana" w:cs="Verdana"/>
          <w:sz w:val="16"/>
          <w:szCs w:val="16"/>
          <w:lang w:val="nl-NL"/>
        </w:rPr>
        <w:t xml:space="preserve">G. </w:t>
      </w:r>
      <w:r w:rsidRPr="0086280A">
        <w:rPr>
          <w:rFonts w:eastAsia="Verdana" w:cs="Verdana"/>
          <w:sz w:val="16"/>
          <w:szCs w:val="16"/>
          <w:lang w:val="nl-NL"/>
        </w:rPr>
        <w:t>VERSCHELDEN</w:t>
      </w:r>
      <w:r w:rsidR="00C35952" w:rsidRPr="0086280A">
        <w:rPr>
          <w:rFonts w:eastAsia="Verdana" w:cs="Verdana"/>
          <w:sz w:val="16"/>
          <w:szCs w:val="16"/>
          <w:lang w:val="nl-NL"/>
        </w:rPr>
        <w:t xml:space="preserve"> </w:t>
      </w:r>
      <w:r w:rsidRPr="0086280A">
        <w:rPr>
          <w:rFonts w:eastAsia="Verdana" w:cs="Verdana"/>
          <w:sz w:val="16"/>
          <w:szCs w:val="16"/>
          <w:lang w:val="nl-NL"/>
        </w:rPr>
        <w:t xml:space="preserve">(Een tweejarig kind dat de verzoeker enkel als baby heeft gekend heeft er geen enkel belang bij om gedwongen geconfronteerd te worden met een volslagen onbekende derde die in onmin leeft met de moeder); Brussel 13 juli 2006, </w:t>
      </w:r>
      <w:r w:rsidRPr="0086280A">
        <w:rPr>
          <w:rFonts w:eastAsia="Verdana" w:cs="Verdana"/>
          <w:i/>
          <w:iCs/>
          <w:sz w:val="16"/>
          <w:szCs w:val="16"/>
          <w:lang w:val="nl-NL"/>
        </w:rPr>
        <w:t xml:space="preserve">JLMB </w:t>
      </w:r>
      <w:r w:rsidRPr="0086280A">
        <w:rPr>
          <w:rFonts w:eastAsia="Verdana" w:cs="Verdana"/>
          <w:sz w:val="16"/>
          <w:szCs w:val="16"/>
          <w:lang w:val="nl-NL"/>
        </w:rPr>
        <w:t>2007, afl. 2, 63 (Wanneer uit de stukken blijkt dat de vader de vaderrol op zich nam gedurende minstens zestien maanden en dat hij regelmatige contacten had met het kind gedurende het samenwonen dat nog ongeveer vijftien maanden heeft geduurd na de geboorte van het kind, staat het bestaan van een bijzondere affectieve band vast).</w:t>
      </w:r>
    </w:p>
  </w:footnote>
  <w:footnote w:id="349">
    <w:p w14:paraId="2596239B" w14:textId="77777777" w:rsidR="00C57AF9" w:rsidRPr="0086280A" w:rsidRDefault="00C57AF9" w:rsidP="005C4D5C">
      <w:pPr>
        <w:jc w:val="both"/>
        <w:rPr>
          <w:rFonts w:eastAsia="Verdana" w:cs="Verdana"/>
          <w:iCs/>
          <w:sz w:val="16"/>
          <w:szCs w:val="16"/>
          <w:lang w:val="nl-NL"/>
        </w:rPr>
      </w:pPr>
      <w:r w:rsidRPr="0086280A">
        <w:rPr>
          <w:rStyle w:val="Voetnootmarkering"/>
          <w:sz w:val="16"/>
          <w:szCs w:val="16"/>
          <w:lang w:val="nl-NL"/>
        </w:rPr>
        <w:footnoteRef/>
      </w:r>
      <w:r w:rsidRPr="0086280A">
        <w:rPr>
          <w:sz w:val="16"/>
          <w:szCs w:val="16"/>
          <w:lang w:val="nl-NL"/>
        </w:rPr>
        <w:t xml:space="preserve"> </w:t>
      </w:r>
      <w:r w:rsidRPr="0086280A">
        <w:rPr>
          <w:rFonts w:eastAsia="Verdana" w:cs="Verdana"/>
          <w:sz w:val="16"/>
          <w:szCs w:val="16"/>
          <w:lang w:val="nl-NL"/>
        </w:rPr>
        <w:t xml:space="preserve">Cass. 16 januari 2009, AR C.07.0563.N, </w:t>
      </w:r>
      <w:r w:rsidRPr="0086280A">
        <w:rPr>
          <w:rFonts w:eastAsia="Verdana" w:cs="Verdana"/>
          <w:i/>
          <w:sz w:val="16"/>
          <w:szCs w:val="16"/>
          <w:lang w:val="nl-NL"/>
        </w:rPr>
        <w:t>T.Fam.</w:t>
      </w:r>
      <w:r w:rsidRPr="0086280A">
        <w:rPr>
          <w:rFonts w:eastAsia="Verdana" w:cs="Verdana"/>
          <w:sz w:val="16"/>
          <w:szCs w:val="16"/>
          <w:lang w:val="nl-NL"/>
        </w:rPr>
        <w:t xml:space="preserve"> 2009, afl. 5, 91, noot R. VASSEUR.</w:t>
      </w:r>
    </w:p>
  </w:footnote>
  <w:footnote w:id="350">
    <w:p w14:paraId="5DCA61A9" w14:textId="77777777"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G. VERSCHELDEN, </w:t>
      </w:r>
      <w:r w:rsidRPr="0086280A">
        <w:rPr>
          <w:i/>
          <w:iCs/>
          <w:sz w:val="16"/>
          <w:szCs w:val="16"/>
          <w:lang w:val="nl-NL"/>
        </w:rPr>
        <w:t>Handboek Belgisch Personen-, familie- en relatievermogensrecht</w:t>
      </w:r>
      <w:r w:rsidRPr="0086280A">
        <w:rPr>
          <w:sz w:val="16"/>
          <w:szCs w:val="16"/>
          <w:lang w:val="nl-NL"/>
        </w:rPr>
        <w:t>, Brugge, die Keure, 2021, 456-457.</w:t>
      </w:r>
    </w:p>
  </w:footnote>
  <w:footnote w:id="351">
    <w:p w14:paraId="661B4D8D" w14:textId="4794E229"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Bijvoorbeeld indien er een risico is op </w:t>
      </w:r>
      <w:r w:rsidR="00D673CD">
        <w:rPr>
          <w:sz w:val="16"/>
          <w:szCs w:val="16"/>
          <w:lang w:val="nl-NL"/>
        </w:rPr>
        <w:t>loyaliteitsconflict</w:t>
      </w:r>
      <w:r w:rsidRPr="0086280A">
        <w:rPr>
          <w:sz w:val="16"/>
          <w:szCs w:val="16"/>
          <w:lang w:val="nl-NL"/>
        </w:rPr>
        <w:t xml:space="preserve"> tussen kind-(groot)ouders: Brussel (41</w:t>
      </w:r>
      <w:r w:rsidRPr="0086280A">
        <w:rPr>
          <w:sz w:val="16"/>
          <w:szCs w:val="16"/>
          <w:vertAlign w:val="superscript"/>
          <w:lang w:val="nl-NL"/>
        </w:rPr>
        <w:t>e</w:t>
      </w:r>
      <w:r w:rsidRPr="0086280A">
        <w:rPr>
          <w:sz w:val="16"/>
          <w:szCs w:val="16"/>
          <w:lang w:val="nl-NL"/>
        </w:rPr>
        <w:t xml:space="preserve"> k.) 2 december 2014, </w:t>
      </w:r>
      <w:r w:rsidRPr="0086280A">
        <w:rPr>
          <w:i/>
          <w:iCs/>
          <w:sz w:val="16"/>
          <w:szCs w:val="16"/>
          <w:lang w:val="nl-NL"/>
        </w:rPr>
        <w:t>RTDF</w:t>
      </w:r>
      <w:r w:rsidRPr="0086280A">
        <w:rPr>
          <w:sz w:val="16"/>
          <w:szCs w:val="16"/>
          <w:lang w:val="nl-NL"/>
        </w:rPr>
        <w:t xml:space="preserve"> 2016, afl. 2, 403.</w:t>
      </w:r>
    </w:p>
  </w:footnote>
  <w:footnote w:id="352">
    <w:p w14:paraId="1B618587" w14:textId="3ED9710F"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Het principieel omgangsrecht van grootouders-kleinkinderen werd bevestigd in 2018, met een verduidelijking dat dit omgangsrecht enkel kan worden ontzegd indien de uitoefening niet in het belang van het kind is: Wet 15 juni 2018 tot wijziging van artikel 375bis van het Burgerlijk Wetboek en de artikelen 1253ter/1, 1253ter/3 en 1253quater van het Gerechtelijk Wetboek, </w:t>
      </w:r>
      <w:r w:rsidRPr="0086280A">
        <w:rPr>
          <w:i/>
          <w:sz w:val="16"/>
          <w:szCs w:val="16"/>
          <w:lang w:val="nl-NL"/>
        </w:rPr>
        <w:t>BS</w:t>
      </w:r>
      <w:r w:rsidRPr="0086280A">
        <w:rPr>
          <w:sz w:val="16"/>
          <w:szCs w:val="16"/>
          <w:lang w:val="nl-NL"/>
        </w:rPr>
        <w:t xml:space="preserve"> 2 juli 2018; F. SWENNEN, </w:t>
      </w:r>
      <w:r w:rsidRPr="0086280A">
        <w:rPr>
          <w:i/>
          <w:iCs/>
          <w:sz w:val="16"/>
          <w:szCs w:val="16"/>
          <w:lang w:val="nl-NL"/>
        </w:rPr>
        <w:t>Het personen- en familierecht (achtste, herziene uitgave)</w:t>
      </w:r>
      <w:r w:rsidRPr="0086280A">
        <w:rPr>
          <w:sz w:val="16"/>
          <w:szCs w:val="16"/>
          <w:lang w:val="nl-NL"/>
        </w:rPr>
        <w:t>, Mortsel, Intersentia, 2023, 572.</w:t>
      </w:r>
    </w:p>
  </w:footnote>
  <w:footnote w:id="353">
    <w:p w14:paraId="5808CA44" w14:textId="430004EC" w:rsidR="00C57AF9" w:rsidRPr="0086280A" w:rsidRDefault="00C57AF9" w:rsidP="005C4D5C">
      <w:pPr>
        <w:jc w:val="both"/>
        <w:rPr>
          <w:rFonts w:eastAsia="Verdana" w:cs="Verdana"/>
          <w:iCs/>
          <w:sz w:val="16"/>
          <w:szCs w:val="16"/>
          <w:lang w:val="nl-NL"/>
        </w:rPr>
      </w:pPr>
      <w:r w:rsidRPr="0086280A">
        <w:rPr>
          <w:rStyle w:val="Voetnootmarkering"/>
          <w:sz w:val="16"/>
          <w:szCs w:val="16"/>
          <w:lang w:val="nl-NL"/>
        </w:rPr>
        <w:footnoteRef/>
      </w:r>
      <w:r w:rsidRPr="0086280A">
        <w:rPr>
          <w:sz w:val="16"/>
          <w:szCs w:val="16"/>
          <w:lang w:val="nl-NL"/>
        </w:rPr>
        <w:t xml:space="preserve"> GwH 10 maart 2004, nr. 38/2004; </w:t>
      </w:r>
      <w:r w:rsidRPr="0086280A">
        <w:rPr>
          <w:rFonts w:eastAsia="Verdana" w:cs="Verdana"/>
          <w:sz w:val="16"/>
          <w:szCs w:val="16"/>
          <w:lang w:val="nl-NL"/>
        </w:rPr>
        <w:t xml:space="preserve">GwH 7 februari 2019, nr. 20/2019; </w:t>
      </w:r>
      <w:r w:rsidRPr="0086280A">
        <w:rPr>
          <w:sz w:val="16"/>
          <w:szCs w:val="16"/>
          <w:lang w:val="nl-NL"/>
        </w:rPr>
        <w:t xml:space="preserve">Cass. 4 maart 1976, </w:t>
      </w:r>
      <w:r w:rsidRPr="0086280A">
        <w:rPr>
          <w:i/>
          <w:sz w:val="16"/>
          <w:szCs w:val="16"/>
          <w:lang w:val="nl-NL"/>
        </w:rPr>
        <w:t>RW</w:t>
      </w:r>
      <w:r w:rsidRPr="0086280A">
        <w:rPr>
          <w:sz w:val="16"/>
          <w:szCs w:val="16"/>
          <w:lang w:val="nl-NL"/>
        </w:rPr>
        <w:t xml:space="preserve"> 1976-1977, 288, noot H. NUYTINCK, </w:t>
      </w:r>
      <w:r w:rsidRPr="0086280A">
        <w:rPr>
          <w:i/>
          <w:sz w:val="16"/>
          <w:szCs w:val="16"/>
          <w:lang w:val="nl-NL"/>
        </w:rPr>
        <w:t>Grootjesarrest</w:t>
      </w:r>
      <w:r w:rsidRPr="0086280A">
        <w:rPr>
          <w:sz w:val="16"/>
          <w:szCs w:val="16"/>
          <w:lang w:val="nl-NL"/>
        </w:rPr>
        <w:t xml:space="preserve">; </w:t>
      </w:r>
      <w:r w:rsidRPr="0086280A">
        <w:rPr>
          <w:rFonts w:eastAsia="Verdana" w:cs="Verdana"/>
          <w:sz w:val="16"/>
          <w:szCs w:val="16"/>
          <w:lang w:val="nl-NL"/>
        </w:rPr>
        <w:t xml:space="preserve">Antwerpen 1 maart 2010, </w:t>
      </w:r>
      <w:r w:rsidRPr="0086280A">
        <w:rPr>
          <w:rFonts w:eastAsia="Verdana" w:cs="Verdana"/>
          <w:i/>
          <w:sz w:val="16"/>
          <w:szCs w:val="16"/>
          <w:lang w:val="nl-NL"/>
        </w:rPr>
        <w:t>T.Fam.</w:t>
      </w:r>
      <w:r w:rsidRPr="0086280A">
        <w:rPr>
          <w:rFonts w:eastAsia="Verdana" w:cs="Verdana"/>
          <w:sz w:val="16"/>
          <w:szCs w:val="16"/>
          <w:lang w:val="nl-NL"/>
        </w:rPr>
        <w:t xml:space="preserve"> 2010, afl. 9, 195; Brussel (19e k.) 18 februari 2005, </w:t>
      </w:r>
      <w:r w:rsidRPr="0086280A">
        <w:rPr>
          <w:rFonts w:eastAsia="Verdana" w:cs="Verdana"/>
          <w:i/>
          <w:sz w:val="16"/>
          <w:szCs w:val="16"/>
          <w:lang w:val="nl-NL"/>
        </w:rPr>
        <w:t>EJ</w:t>
      </w:r>
      <w:r w:rsidRPr="0086280A">
        <w:rPr>
          <w:rFonts w:eastAsia="Verdana" w:cs="Verdana"/>
          <w:sz w:val="16"/>
          <w:szCs w:val="16"/>
          <w:lang w:val="nl-NL"/>
        </w:rPr>
        <w:t xml:space="preserve"> 2005, afl. 3, 43.</w:t>
      </w:r>
    </w:p>
  </w:footnote>
  <w:footnote w:id="354">
    <w:p w14:paraId="5D82D2BF" w14:textId="77777777" w:rsidR="00C57AF9" w:rsidRPr="0086280A" w:rsidRDefault="00C57AF9" w:rsidP="005C4D5C">
      <w:pPr>
        <w:jc w:val="both"/>
        <w:rPr>
          <w:rFonts w:eastAsia="Verdana" w:cs="Verdana"/>
          <w:iCs/>
          <w:sz w:val="16"/>
          <w:szCs w:val="16"/>
          <w:lang w:val="nl-NL"/>
        </w:rPr>
      </w:pPr>
      <w:r w:rsidRPr="0086280A">
        <w:rPr>
          <w:rStyle w:val="Voetnootmarkering"/>
          <w:sz w:val="16"/>
          <w:szCs w:val="16"/>
          <w:lang w:val="nl-NL"/>
        </w:rPr>
        <w:footnoteRef/>
      </w:r>
      <w:r w:rsidRPr="0086280A">
        <w:rPr>
          <w:sz w:val="16"/>
          <w:szCs w:val="16"/>
          <w:lang w:val="nl-NL"/>
        </w:rPr>
        <w:t xml:space="preserve"> </w:t>
      </w:r>
      <w:r w:rsidRPr="0086280A">
        <w:rPr>
          <w:rFonts w:eastAsia="Verdana" w:cs="Verdana"/>
          <w:sz w:val="16"/>
          <w:szCs w:val="16"/>
          <w:lang w:val="nl-NL"/>
        </w:rPr>
        <w:t>GwH 7 februari 2019, nr. 20/2019.</w:t>
      </w:r>
    </w:p>
  </w:footnote>
  <w:footnote w:id="355">
    <w:p w14:paraId="644486C4" w14:textId="023F1D85"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art</w:t>
      </w:r>
      <w:r w:rsidR="00112EE6">
        <w:rPr>
          <w:sz w:val="16"/>
          <w:szCs w:val="16"/>
          <w:lang w:val="nl-NL"/>
        </w:rPr>
        <w:t>ikel</w:t>
      </w:r>
      <w:r w:rsidRPr="0086280A">
        <w:rPr>
          <w:sz w:val="16"/>
          <w:szCs w:val="16"/>
          <w:lang w:val="nl-NL"/>
        </w:rPr>
        <w:t xml:space="preserve"> 60 wet 30 juli 2013 betreffende de invoering van een familie- en jeugdrechtbank, </w:t>
      </w:r>
      <w:r w:rsidRPr="0086280A">
        <w:rPr>
          <w:i/>
          <w:sz w:val="16"/>
          <w:szCs w:val="16"/>
          <w:lang w:val="nl-NL"/>
        </w:rPr>
        <w:t>BS</w:t>
      </w:r>
      <w:r w:rsidRPr="0086280A">
        <w:rPr>
          <w:sz w:val="16"/>
          <w:szCs w:val="16"/>
          <w:lang w:val="nl-NL"/>
        </w:rPr>
        <w:t xml:space="preserve"> 27 september 2013.</w:t>
      </w:r>
    </w:p>
  </w:footnote>
  <w:footnote w:id="356">
    <w:p w14:paraId="33F2F4E8" w14:textId="37D6BBBC"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art</w:t>
      </w:r>
      <w:r w:rsidR="00112EE6">
        <w:rPr>
          <w:sz w:val="16"/>
          <w:szCs w:val="16"/>
          <w:lang w:val="nl-NL"/>
        </w:rPr>
        <w:t>ikel</w:t>
      </w:r>
      <w:r w:rsidRPr="0086280A">
        <w:rPr>
          <w:sz w:val="16"/>
          <w:szCs w:val="16"/>
          <w:lang w:val="nl-NL"/>
        </w:rPr>
        <w:t xml:space="preserve"> 3 wet 15 juni 2018 tot wijziging van artikel 375bis van het Burgerlijk Wetboek en de artikelen 1253ter/1, 1253ter/3 en 1253quater van het Gerechtelijk Wetboek, </w:t>
      </w:r>
      <w:r w:rsidRPr="0086280A">
        <w:rPr>
          <w:i/>
          <w:sz w:val="16"/>
          <w:szCs w:val="16"/>
          <w:lang w:val="nl-NL"/>
        </w:rPr>
        <w:t>BS</w:t>
      </w:r>
      <w:r w:rsidRPr="0086280A">
        <w:rPr>
          <w:sz w:val="16"/>
          <w:szCs w:val="16"/>
          <w:lang w:val="nl-NL"/>
        </w:rPr>
        <w:t xml:space="preserve"> 2 juli 2018; Antwerpen 1 maart 2010, </w:t>
      </w:r>
      <w:r w:rsidRPr="0086280A">
        <w:rPr>
          <w:i/>
          <w:sz w:val="16"/>
          <w:szCs w:val="16"/>
          <w:lang w:val="nl-NL"/>
        </w:rPr>
        <w:t>T.Fam.</w:t>
      </w:r>
      <w:r w:rsidRPr="0086280A">
        <w:rPr>
          <w:sz w:val="16"/>
          <w:szCs w:val="16"/>
          <w:lang w:val="nl-NL"/>
        </w:rPr>
        <w:t xml:space="preserve"> 2010, afl. 9, 195; Leuven 2 oktober 2019, </w:t>
      </w:r>
      <w:r w:rsidRPr="0086280A">
        <w:rPr>
          <w:i/>
          <w:sz w:val="16"/>
          <w:szCs w:val="16"/>
          <w:lang w:val="nl-NL"/>
        </w:rPr>
        <w:t>RW</w:t>
      </w:r>
      <w:r w:rsidRPr="0086280A">
        <w:rPr>
          <w:sz w:val="16"/>
          <w:szCs w:val="16"/>
          <w:lang w:val="nl-NL"/>
        </w:rPr>
        <w:t xml:space="preserve"> 2020-21, afl. 21, 830.</w:t>
      </w:r>
    </w:p>
  </w:footnote>
  <w:footnote w:id="357">
    <w:p w14:paraId="72A34C53" w14:textId="6AD0C244"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artikel 3 wet 20 mei 2021 tot wijziging van het oud Burgerlijk Wetboek, betreffende de persoonlijke banden tussen broers en zussen, </w:t>
      </w:r>
      <w:r w:rsidRPr="0086280A">
        <w:rPr>
          <w:i/>
          <w:sz w:val="16"/>
          <w:szCs w:val="16"/>
          <w:lang w:val="nl-NL"/>
        </w:rPr>
        <w:t>BS</w:t>
      </w:r>
      <w:r w:rsidRPr="0086280A">
        <w:rPr>
          <w:sz w:val="16"/>
          <w:szCs w:val="16"/>
          <w:lang w:val="nl-NL"/>
        </w:rPr>
        <w:t xml:space="preserve"> 9 juni 2021.</w:t>
      </w:r>
    </w:p>
  </w:footnote>
  <w:footnote w:id="358">
    <w:p w14:paraId="7DB3FEF0" w14:textId="4A5A9F8E"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I. BOONE en E. VERTOMMEN, “Recente ontwikkelingen inzake het ouderlijk gezag, de verblijfsregeling en het recht op persoonlijk contact” in I. BOONE en C. DECLERCK (eds.), </w:t>
      </w:r>
      <w:r w:rsidRPr="0086280A">
        <w:rPr>
          <w:i/>
          <w:iCs/>
          <w:sz w:val="16"/>
          <w:szCs w:val="16"/>
          <w:lang w:val="nl-NL"/>
        </w:rPr>
        <w:t>Themis 2022-2023</w:t>
      </w:r>
      <w:r w:rsidRPr="0086280A">
        <w:rPr>
          <w:sz w:val="16"/>
          <w:szCs w:val="16"/>
          <w:lang w:val="nl-NL"/>
        </w:rPr>
        <w:t xml:space="preserve">, Antwerpen, Intersentia, 2023, 52; F. SWENNEN, </w:t>
      </w:r>
      <w:r w:rsidRPr="0086280A">
        <w:rPr>
          <w:i/>
          <w:iCs/>
          <w:sz w:val="16"/>
          <w:szCs w:val="16"/>
          <w:lang w:val="nl-NL"/>
        </w:rPr>
        <w:t>Het personen- en familierecht (achtste, herziene uitgave)</w:t>
      </w:r>
      <w:r w:rsidRPr="0086280A">
        <w:rPr>
          <w:sz w:val="16"/>
          <w:szCs w:val="16"/>
          <w:lang w:val="nl-NL"/>
        </w:rPr>
        <w:t>, Mortsel, Intersentia, 2023, 569.</w:t>
      </w:r>
    </w:p>
  </w:footnote>
  <w:footnote w:id="359">
    <w:p w14:paraId="37BD3178" w14:textId="7958E59E" w:rsidR="00C57AF9" w:rsidRPr="0086280A" w:rsidRDefault="00C57AF9" w:rsidP="005C4D5C">
      <w:pPr>
        <w:jc w:val="both"/>
        <w:rPr>
          <w:rFonts w:eastAsia="Verdana" w:cs="Verdana"/>
          <w:sz w:val="16"/>
          <w:szCs w:val="16"/>
          <w:lang w:val="nl-NL"/>
        </w:rPr>
      </w:pPr>
      <w:r w:rsidRPr="0086280A">
        <w:rPr>
          <w:rStyle w:val="Voetnootmarkering"/>
          <w:sz w:val="16"/>
          <w:szCs w:val="16"/>
          <w:lang w:val="nl-NL"/>
        </w:rPr>
        <w:footnoteRef/>
      </w:r>
      <w:r w:rsidRPr="0086280A">
        <w:rPr>
          <w:sz w:val="16"/>
          <w:szCs w:val="16"/>
          <w:lang w:val="nl-NL"/>
        </w:rPr>
        <w:t xml:space="preserve"> Zie artikel 1004/1, §1 Ger.W.; </w:t>
      </w:r>
      <w:r w:rsidRPr="0086280A">
        <w:rPr>
          <w:rFonts w:eastAsia="Verdana" w:cs="Verdana"/>
          <w:sz w:val="16"/>
          <w:szCs w:val="16"/>
          <w:lang w:val="nl-NL"/>
        </w:rPr>
        <w:t xml:space="preserve">GwH 21 april 2022, nr. 58/2022, </w:t>
      </w:r>
      <w:r w:rsidRPr="0086280A">
        <w:rPr>
          <w:rFonts w:eastAsia="Verdana" w:cs="Verdana"/>
          <w:i/>
          <w:sz w:val="16"/>
          <w:szCs w:val="16"/>
          <w:lang w:val="nl-NL"/>
        </w:rPr>
        <w:t>T.Fam.</w:t>
      </w:r>
      <w:r w:rsidRPr="0086280A">
        <w:rPr>
          <w:rFonts w:eastAsia="Verdana" w:cs="Verdana"/>
          <w:sz w:val="16"/>
          <w:szCs w:val="16"/>
          <w:lang w:val="nl-NL"/>
        </w:rPr>
        <w:t xml:space="preserve"> 2022, afl. 7, 185, noot </w:t>
      </w:r>
      <w:r w:rsidR="002C7C76" w:rsidRPr="0086280A">
        <w:rPr>
          <w:rFonts w:eastAsia="Verdana" w:cs="Verdana"/>
          <w:sz w:val="16"/>
          <w:szCs w:val="16"/>
          <w:lang w:val="nl-NL"/>
        </w:rPr>
        <w:t xml:space="preserve">P. </w:t>
      </w:r>
      <w:r w:rsidRPr="0086280A">
        <w:rPr>
          <w:rFonts w:eastAsia="Verdana" w:cs="Verdana"/>
          <w:sz w:val="16"/>
          <w:szCs w:val="16"/>
          <w:lang w:val="nl-NL"/>
        </w:rPr>
        <w:t>SENAEVE</w:t>
      </w:r>
      <w:r w:rsidR="002C7C76" w:rsidRPr="0086280A">
        <w:rPr>
          <w:rFonts w:eastAsia="Verdana" w:cs="Verdana"/>
          <w:sz w:val="16"/>
          <w:szCs w:val="16"/>
          <w:lang w:val="nl-NL"/>
        </w:rPr>
        <w:t>.</w:t>
      </w:r>
    </w:p>
  </w:footnote>
  <w:footnote w:id="360">
    <w:p w14:paraId="7D4847E0" w14:textId="3FDDEAF2"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F. SWENNEN, “Wie zijn broers en zusters?”, </w:t>
      </w:r>
      <w:r w:rsidRPr="0086280A">
        <w:rPr>
          <w:i/>
          <w:sz w:val="16"/>
          <w:szCs w:val="16"/>
          <w:lang w:val="nl-NL"/>
        </w:rPr>
        <w:t>T.Fam.</w:t>
      </w:r>
      <w:r w:rsidRPr="0086280A">
        <w:rPr>
          <w:sz w:val="16"/>
          <w:szCs w:val="16"/>
          <w:lang w:val="nl-NL"/>
        </w:rPr>
        <w:t xml:space="preserve"> 2021, nr. 10, </w:t>
      </w:r>
      <w:r w:rsidR="00D673CD">
        <w:rPr>
          <w:sz w:val="16"/>
          <w:szCs w:val="16"/>
          <w:lang w:val="nl-NL"/>
        </w:rPr>
        <w:t xml:space="preserve">(292) </w:t>
      </w:r>
      <w:r w:rsidRPr="0086280A">
        <w:rPr>
          <w:sz w:val="16"/>
          <w:szCs w:val="16"/>
          <w:lang w:val="nl-NL"/>
        </w:rPr>
        <w:t>29</w:t>
      </w:r>
      <w:r w:rsidR="00D673CD">
        <w:rPr>
          <w:sz w:val="16"/>
          <w:szCs w:val="16"/>
          <w:lang w:val="nl-NL"/>
        </w:rPr>
        <w:t>3</w:t>
      </w:r>
      <w:r w:rsidRPr="0086280A">
        <w:rPr>
          <w:sz w:val="16"/>
          <w:szCs w:val="16"/>
          <w:lang w:val="nl-NL"/>
        </w:rPr>
        <w:t>-295.</w:t>
      </w:r>
    </w:p>
  </w:footnote>
  <w:footnote w:id="361">
    <w:p w14:paraId="3345158C" w14:textId="5C49621C"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artikel 387</w:t>
      </w:r>
      <w:r w:rsidRPr="0086280A">
        <w:rPr>
          <w:i/>
          <w:iCs/>
          <w:sz w:val="16"/>
          <w:szCs w:val="16"/>
          <w:lang w:val="nl-NL"/>
        </w:rPr>
        <w:t>sexiesdecies</w:t>
      </w:r>
      <w:r w:rsidRPr="0086280A">
        <w:rPr>
          <w:sz w:val="16"/>
          <w:szCs w:val="16"/>
          <w:lang w:val="nl-NL"/>
        </w:rPr>
        <w:t xml:space="preserve"> oud BW; F. SWENNEN, </w:t>
      </w:r>
      <w:r w:rsidRPr="0086280A">
        <w:rPr>
          <w:i/>
          <w:iCs/>
          <w:sz w:val="16"/>
          <w:szCs w:val="16"/>
          <w:lang w:val="nl-NL"/>
        </w:rPr>
        <w:t>Het personen- en familierecht (achtste, herziene uitgave)</w:t>
      </w:r>
      <w:r w:rsidRPr="0086280A">
        <w:rPr>
          <w:sz w:val="16"/>
          <w:szCs w:val="16"/>
          <w:lang w:val="nl-NL"/>
        </w:rPr>
        <w:t>, Mortsel, Intersentia, 2023, 569.</w:t>
      </w:r>
    </w:p>
  </w:footnote>
  <w:footnote w:id="362">
    <w:p w14:paraId="58FA64F8" w14:textId="425D056B"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F. SWENNEN, “Wie zijn broers en zusters?”, </w:t>
      </w:r>
      <w:r w:rsidRPr="0086280A">
        <w:rPr>
          <w:i/>
          <w:sz w:val="16"/>
          <w:szCs w:val="16"/>
          <w:lang w:val="nl-NL"/>
        </w:rPr>
        <w:t>T.Fam.</w:t>
      </w:r>
      <w:r w:rsidRPr="0086280A">
        <w:rPr>
          <w:sz w:val="16"/>
          <w:szCs w:val="16"/>
          <w:lang w:val="nl-NL"/>
        </w:rPr>
        <w:t xml:space="preserve"> 2021, nr. 10, </w:t>
      </w:r>
      <w:r w:rsidR="00D673CD">
        <w:rPr>
          <w:sz w:val="16"/>
          <w:szCs w:val="16"/>
          <w:lang w:val="nl-NL"/>
        </w:rPr>
        <w:t xml:space="preserve">(292) </w:t>
      </w:r>
      <w:r w:rsidRPr="0086280A">
        <w:rPr>
          <w:sz w:val="16"/>
          <w:szCs w:val="16"/>
          <w:lang w:val="nl-NL"/>
        </w:rPr>
        <w:t>29</w:t>
      </w:r>
      <w:r w:rsidR="00D673CD">
        <w:rPr>
          <w:sz w:val="16"/>
          <w:szCs w:val="16"/>
          <w:lang w:val="nl-NL"/>
        </w:rPr>
        <w:t>3</w:t>
      </w:r>
      <w:r w:rsidRPr="0086280A">
        <w:rPr>
          <w:sz w:val="16"/>
          <w:szCs w:val="16"/>
          <w:lang w:val="nl-NL"/>
        </w:rPr>
        <w:t>-295.</w:t>
      </w:r>
    </w:p>
  </w:footnote>
  <w:footnote w:id="363">
    <w:p w14:paraId="78F50415" w14:textId="57F68169"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Wetsvoorstel tot wijziging van het Burgerlijk Wetboek met betrekking tot de wederzijdse rechten en verplichtingen van ouders en kinderen, </w:t>
      </w:r>
      <w:r w:rsidRPr="0086280A">
        <w:rPr>
          <w:i/>
          <w:iCs/>
          <w:sz w:val="16"/>
          <w:szCs w:val="16"/>
          <w:lang w:val="nl-NL"/>
        </w:rPr>
        <w:t xml:space="preserve">Parl.St. </w:t>
      </w:r>
      <w:r w:rsidRPr="0086280A">
        <w:rPr>
          <w:sz w:val="16"/>
          <w:szCs w:val="16"/>
          <w:lang w:val="nl-NL"/>
        </w:rPr>
        <w:t xml:space="preserve">Kamer, 1993-94, nr. 1187/1, 5. </w:t>
      </w:r>
    </w:p>
  </w:footnote>
  <w:footnote w:id="364">
    <w:p w14:paraId="4FA8102A" w14:textId="191947B6"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Wetsvoorstel betreffende de gezamenlijke uitoefening van het ouderlijk gezag, </w:t>
      </w:r>
      <w:r w:rsidRPr="0086280A">
        <w:rPr>
          <w:i/>
          <w:iCs/>
          <w:sz w:val="16"/>
          <w:szCs w:val="16"/>
          <w:lang w:val="nl-NL"/>
        </w:rPr>
        <w:t>Parl.St</w:t>
      </w:r>
      <w:r w:rsidRPr="0086280A">
        <w:rPr>
          <w:sz w:val="16"/>
          <w:szCs w:val="16"/>
          <w:lang w:val="nl-NL"/>
        </w:rPr>
        <w:t>. Kamer 1993-1994, nr. 1430/1, 10.</w:t>
      </w:r>
    </w:p>
  </w:footnote>
  <w:footnote w:id="365">
    <w:p w14:paraId="49759034" w14:textId="643B9690"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K. JACOBS, “Het omgangsrecht in België en Nederland”, </w:t>
      </w:r>
      <w:r w:rsidRPr="0086280A">
        <w:rPr>
          <w:i/>
          <w:iCs/>
          <w:sz w:val="16"/>
          <w:szCs w:val="16"/>
          <w:lang w:val="nl-NL"/>
        </w:rPr>
        <w:t>TPR</w:t>
      </w:r>
      <w:r w:rsidRPr="0086280A">
        <w:rPr>
          <w:sz w:val="16"/>
          <w:szCs w:val="16"/>
          <w:lang w:val="nl-NL"/>
        </w:rPr>
        <w:t xml:space="preserve"> 1996, </w:t>
      </w:r>
      <w:r w:rsidR="00D673CD">
        <w:rPr>
          <w:sz w:val="16"/>
          <w:szCs w:val="16"/>
          <w:lang w:val="nl-NL"/>
        </w:rPr>
        <w:t xml:space="preserve">(827) </w:t>
      </w:r>
      <w:r w:rsidRPr="0086280A">
        <w:rPr>
          <w:sz w:val="16"/>
          <w:szCs w:val="16"/>
          <w:lang w:val="nl-NL"/>
        </w:rPr>
        <w:t>870.</w:t>
      </w:r>
    </w:p>
  </w:footnote>
  <w:footnote w:id="366">
    <w:p w14:paraId="6C513530" w14:textId="4260C4AC"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Wetsvoorstel betreffende de gezamenlijke uitoefening van het ouderlijk gezag, </w:t>
      </w:r>
      <w:r w:rsidRPr="0086280A">
        <w:rPr>
          <w:i/>
          <w:iCs/>
          <w:sz w:val="16"/>
          <w:szCs w:val="16"/>
          <w:lang w:val="nl-NL"/>
        </w:rPr>
        <w:t>Parl.St.</w:t>
      </w:r>
      <w:r w:rsidRPr="0086280A">
        <w:rPr>
          <w:sz w:val="16"/>
          <w:szCs w:val="16"/>
          <w:lang w:val="nl-NL"/>
        </w:rPr>
        <w:t xml:space="preserve"> Kamer, 1993-1994, nr. 1430/1, 6.</w:t>
      </w:r>
    </w:p>
  </w:footnote>
  <w:footnote w:id="367">
    <w:p w14:paraId="6DAC318B" w14:textId="5EF9340E"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A. DE WOLF, “De nieuwe regeling van het omgangsrecht” in </w:t>
      </w:r>
      <w:r w:rsidR="00112EE6">
        <w:rPr>
          <w:sz w:val="16"/>
          <w:szCs w:val="16"/>
          <w:lang w:val="nl-NL"/>
        </w:rPr>
        <w:t xml:space="preserve">P. </w:t>
      </w:r>
      <w:r w:rsidRPr="0086280A">
        <w:rPr>
          <w:sz w:val="16"/>
          <w:szCs w:val="16"/>
          <w:lang w:val="nl-NL"/>
        </w:rPr>
        <w:t xml:space="preserve">SENAEVE (ed.), </w:t>
      </w:r>
      <w:r w:rsidRPr="0086280A">
        <w:rPr>
          <w:i/>
          <w:iCs/>
          <w:sz w:val="16"/>
          <w:szCs w:val="16"/>
          <w:lang w:val="nl-NL"/>
        </w:rPr>
        <w:t>Co-ouderschap en omgangsrecht: commentaar op de wet van 13 april 1995</w:t>
      </w:r>
      <w:r w:rsidRPr="0086280A">
        <w:rPr>
          <w:sz w:val="16"/>
          <w:szCs w:val="16"/>
          <w:lang w:val="nl-NL"/>
        </w:rPr>
        <w:t>, Antwerpen, Maklu, 1995, 256.</w:t>
      </w:r>
    </w:p>
  </w:footnote>
  <w:footnote w:id="368">
    <w:p w14:paraId="0D5ADC82" w14:textId="3A1BD2AF" w:rsidR="00C57AF9" w:rsidRPr="0086280A" w:rsidRDefault="00C57AF9" w:rsidP="005C4D5C">
      <w:pPr>
        <w:pStyle w:val="Voetnoottekst"/>
        <w:jc w:val="both"/>
        <w:rPr>
          <w:b/>
          <w:bCs/>
          <w:iCs/>
          <w:sz w:val="16"/>
          <w:szCs w:val="16"/>
          <w:lang w:val="nl-NL"/>
        </w:rPr>
      </w:pPr>
      <w:r w:rsidRPr="0086280A">
        <w:rPr>
          <w:rStyle w:val="Voetnootmarkering"/>
          <w:sz w:val="16"/>
          <w:szCs w:val="16"/>
          <w:lang w:val="nl-NL"/>
        </w:rPr>
        <w:footnoteRef/>
      </w:r>
      <w:r w:rsidRPr="0086280A">
        <w:rPr>
          <w:sz w:val="16"/>
          <w:szCs w:val="16"/>
          <w:lang w:val="nl-NL"/>
        </w:rPr>
        <w:t xml:space="preserve"> </w:t>
      </w:r>
      <w:r w:rsidRPr="0086280A">
        <w:rPr>
          <w:iCs/>
          <w:sz w:val="16"/>
          <w:szCs w:val="16"/>
          <w:lang w:val="nl-NL"/>
        </w:rPr>
        <w:t xml:space="preserve">Verslag namens de Commissie voor Justitie uitgebracht door de heer Swennen, </w:t>
      </w:r>
      <w:r w:rsidRPr="0086280A">
        <w:rPr>
          <w:i/>
          <w:sz w:val="16"/>
          <w:szCs w:val="16"/>
          <w:lang w:val="nl-NL"/>
        </w:rPr>
        <w:t>Parl.St.</w:t>
      </w:r>
      <w:r w:rsidRPr="0086280A">
        <w:rPr>
          <w:iCs/>
          <w:sz w:val="16"/>
          <w:szCs w:val="16"/>
          <w:lang w:val="nl-NL"/>
        </w:rPr>
        <w:t xml:space="preserve"> Kamer 1993-1994, nr. 1430/4, 12-13.</w:t>
      </w:r>
      <w:r w:rsidRPr="0086280A">
        <w:rPr>
          <w:sz w:val="16"/>
          <w:szCs w:val="16"/>
          <w:lang w:val="nl-NL"/>
        </w:rPr>
        <w:t xml:space="preserve"> </w:t>
      </w:r>
    </w:p>
  </w:footnote>
  <w:footnote w:id="369">
    <w:p w14:paraId="3A1B041B" w14:textId="0C351B8C"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F. SWENNEN, </w:t>
      </w:r>
      <w:r w:rsidRPr="0086280A">
        <w:rPr>
          <w:i/>
          <w:iCs/>
          <w:sz w:val="16"/>
          <w:szCs w:val="16"/>
          <w:lang w:val="nl-NL"/>
        </w:rPr>
        <w:t>Het personen- en familierecht (achtste, herziene uitgave)</w:t>
      </w:r>
      <w:r w:rsidRPr="0086280A">
        <w:rPr>
          <w:sz w:val="16"/>
          <w:szCs w:val="16"/>
          <w:lang w:val="nl-NL"/>
        </w:rPr>
        <w:t xml:space="preserve">, Mortsel, Intersentia, 2023, </w:t>
      </w:r>
      <w:r w:rsidR="00566B1B">
        <w:rPr>
          <w:sz w:val="16"/>
          <w:szCs w:val="16"/>
          <w:lang w:val="nl-NL"/>
        </w:rPr>
        <w:t xml:space="preserve">539 en </w:t>
      </w:r>
      <w:r w:rsidRPr="0086280A">
        <w:rPr>
          <w:sz w:val="16"/>
          <w:szCs w:val="16"/>
          <w:lang w:val="nl-NL"/>
        </w:rPr>
        <w:t>551.</w:t>
      </w:r>
    </w:p>
  </w:footnote>
  <w:footnote w:id="370">
    <w:p w14:paraId="514FCA98" w14:textId="30A193AD"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t>
      </w:r>
      <w:r w:rsidR="002C7C76" w:rsidRPr="0086280A">
        <w:rPr>
          <w:i/>
          <w:iCs/>
          <w:sz w:val="16"/>
          <w:szCs w:val="16"/>
          <w:lang w:val="nl-NL"/>
        </w:rPr>
        <w:t>Ibid.,</w:t>
      </w:r>
      <w:r w:rsidRPr="0086280A">
        <w:rPr>
          <w:sz w:val="16"/>
          <w:szCs w:val="16"/>
          <w:lang w:val="nl-NL"/>
        </w:rPr>
        <w:t xml:space="preserve"> 566.</w:t>
      </w:r>
    </w:p>
  </w:footnote>
  <w:footnote w:id="371">
    <w:p w14:paraId="5352DB20" w14:textId="5560C691"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P. SENAEVE en C. DECLERCK, </w:t>
      </w:r>
      <w:r w:rsidRPr="0086280A">
        <w:rPr>
          <w:i/>
          <w:sz w:val="16"/>
          <w:szCs w:val="16"/>
          <w:lang w:val="nl-NL"/>
        </w:rPr>
        <w:t>Compendium van het personen- en familierecht</w:t>
      </w:r>
      <w:r w:rsidRPr="0086280A">
        <w:rPr>
          <w:sz w:val="16"/>
          <w:szCs w:val="16"/>
          <w:lang w:val="nl-NL"/>
        </w:rPr>
        <w:t>, Leuven, Acco, 2020, 416.</w:t>
      </w:r>
    </w:p>
  </w:footnote>
  <w:footnote w:id="372">
    <w:p w14:paraId="50D25E10" w14:textId="17F38F98" w:rsidR="00C57AF9" w:rsidRPr="0086280A" w:rsidRDefault="00C57AF9" w:rsidP="005C4D5C">
      <w:pPr>
        <w:pStyle w:val="Voetnoottekst"/>
        <w:jc w:val="both"/>
        <w:rPr>
          <w:iCs/>
          <w:sz w:val="16"/>
          <w:szCs w:val="16"/>
          <w:lang w:val="nl-NL"/>
        </w:rPr>
      </w:pPr>
      <w:r w:rsidRPr="0086280A">
        <w:rPr>
          <w:rStyle w:val="Voetnootmarkering"/>
          <w:sz w:val="16"/>
          <w:szCs w:val="16"/>
          <w:lang w:val="nl-NL"/>
        </w:rPr>
        <w:footnoteRef/>
      </w:r>
      <w:r w:rsidRPr="0086280A">
        <w:rPr>
          <w:sz w:val="16"/>
          <w:szCs w:val="16"/>
          <w:lang w:val="nl-NL"/>
        </w:rPr>
        <w:t xml:space="preserve"> Wetsvoorstel tot wijziging van het Burgerlijk Wetboek met betrekking tot de wederzijdse rechten en verplichtingen van ouders en kinderen, </w:t>
      </w:r>
      <w:r w:rsidRPr="0086280A">
        <w:rPr>
          <w:i/>
          <w:sz w:val="16"/>
          <w:szCs w:val="16"/>
          <w:lang w:val="nl-NL"/>
        </w:rPr>
        <w:t>Parl.St.</w:t>
      </w:r>
      <w:r w:rsidRPr="0086280A">
        <w:rPr>
          <w:sz w:val="16"/>
          <w:szCs w:val="16"/>
          <w:lang w:val="nl-NL"/>
        </w:rPr>
        <w:t xml:space="preserve"> Kamer 1993-94, nr. 1187/1, 3 en 9.</w:t>
      </w:r>
    </w:p>
  </w:footnote>
  <w:footnote w:id="373">
    <w:p w14:paraId="65855503" w14:textId="66A5EE7A"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K. JACOBS, “Het omgangsrecht in België en Nederland”, </w:t>
      </w:r>
      <w:r w:rsidRPr="0086280A">
        <w:rPr>
          <w:i/>
          <w:iCs/>
          <w:sz w:val="16"/>
          <w:szCs w:val="16"/>
          <w:lang w:val="nl-NL"/>
        </w:rPr>
        <w:t>TPR</w:t>
      </w:r>
      <w:r w:rsidRPr="0086280A">
        <w:rPr>
          <w:sz w:val="16"/>
          <w:szCs w:val="16"/>
          <w:lang w:val="nl-NL"/>
        </w:rPr>
        <w:t xml:space="preserve"> 1996, </w:t>
      </w:r>
      <w:r w:rsidR="00D673CD">
        <w:rPr>
          <w:sz w:val="16"/>
          <w:szCs w:val="16"/>
          <w:lang w:val="nl-NL"/>
        </w:rPr>
        <w:t xml:space="preserve">(827) </w:t>
      </w:r>
      <w:r w:rsidRPr="0086280A">
        <w:rPr>
          <w:sz w:val="16"/>
          <w:szCs w:val="16"/>
          <w:lang w:val="nl-NL"/>
        </w:rPr>
        <w:t>87</w:t>
      </w:r>
      <w:r w:rsidR="00D673CD">
        <w:rPr>
          <w:sz w:val="16"/>
          <w:szCs w:val="16"/>
          <w:lang w:val="nl-NL"/>
        </w:rPr>
        <w:t>3</w:t>
      </w:r>
      <w:r w:rsidRPr="0086280A">
        <w:rPr>
          <w:sz w:val="16"/>
          <w:szCs w:val="16"/>
          <w:lang w:val="nl-NL"/>
        </w:rPr>
        <w:t>-873.</w:t>
      </w:r>
    </w:p>
  </w:footnote>
  <w:footnote w:id="374">
    <w:p w14:paraId="316F69D9" w14:textId="4B3AF2A5"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F. SWENNEN, </w:t>
      </w:r>
      <w:r w:rsidRPr="0086280A">
        <w:rPr>
          <w:i/>
          <w:iCs/>
          <w:sz w:val="16"/>
          <w:szCs w:val="16"/>
          <w:lang w:val="nl-NL"/>
        </w:rPr>
        <w:t>Het personen- en familierecht (achtste, herziene uitgave)</w:t>
      </w:r>
      <w:r w:rsidRPr="0086280A">
        <w:rPr>
          <w:sz w:val="16"/>
          <w:szCs w:val="16"/>
          <w:lang w:val="nl-NL"/>
        </w:rPr>
        <w:t xml:space="preserve">, Mortsel, Intersentia, 2023, 553; P. SENAEVE en P. LEMMENS, </w:t>
      </w:r>
      <w:r w:rsidRPr="0086280A">
        <w:rPr>
          <w:i/>
          <w:iCs/>
          <w:sz w:val="16"/>
          <w:szCs w:val="16"/>
          <w:lang w:val="nl-NL"/>
        </w:rPr>
        <w:t>De betekenis van de mensenrechten voor het personen- en familierecht</w:t>
      </w:r>
      <w:r w:rsidRPr="0086280A">
        <w:rPr>
          <w:sz w:val="16"/>
          <w:szCs w:val="16"/>
          <w:lang w:val="nl-NL"/>
        </w:rPr>
        <w:t>, Antwerpen, Intersentia, 2004, 95.</w:t>
      </w:r>
    </w:p>
  </w:footnote>
  <w:footnote w:id="375">
    <w:p w14:paraId="1A3C821A" w14:textId="7969A9A1"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K. JACOBS, “Het omgangsrecht in België̈ en Nederland”, </w:t>
      </w:r>
      <w:r w:rsidRPr="0086280A">
        <w:rPr>
          <w:i/>
          <w:iCs/>
          <w:sz w:val="16"/>
          <w:szCs w:val="16"/>
          <w:lang w:val="nl-NL"/>
        </w:rPr>
        <w:t>TPR</w:t>
      </w:r>
      <w:r w:rsidRPr="0086280A">
        <w:rPr>
          <w:sz w:val="16"/>
          <w:szCs w:val="16"/>
          <w:lang w:val="nl-NL"/>
        </w:rPr>
        <w:t xml:space="preserve"> 1996, </w:t>
      </w:r>
      <w:r w:rsidR="00D673CD">
        <w:rPr>
          <w:sz w:val="16"/>
          <w:szCs w:val="16"/>
          <w:lang w:val="nl-NL"/>
        </w:rPr>
        <w:t xml:space="preserve">(827) </w:t>
      </w:r>
      <w:r w:rsidRPr="0086280A">
        <w:rPr>
          <w:sz w:val="16"/>
          <w:szCs w:val="16"/>
          <w:lang w:val="nl-NL"/>
        </w:rPr>
        <w:t>872-873.</w:t>
      </w:r>
    </w:p>
  </w:footnote>
  <w:footnote w:id="376">
    <w:p w14:paraId="3D355573" w14:textId="77777777"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F. SWENNEN, </w:t>
      </w:r>
      <w:r w:rsidRPr="0086280A">
        <w:rPr>
          <w:i/>
          <w:iCs/>
          <w:sz w:val="16"/>
          <w:szCs w:val="16"/>
          <w:lang w:val="nl-NL"/>
        </w:rPr>
        <w:t>Het personen- en familierecht (achtste, herziene uitgave)</w:t>
      </w:r>
      <w:r w:rsidRPr="0086280A">
        <w:rPr>
          <w:sz w:val="16"/>
          <w:szCs w:val="16"/>
          <w:lang w:val="nl-NL"/>
        </w:rPr>
        <w:t>, Mortsel, Intersentia, 2023, 572.</w:t>
      </w:r>
    </w:p>
  </w:footnote>
  <w:footnote w:id="377">
    <w:p w14:paraId="1BD6A016" w14:textId="4D97867C"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t>
      </w:r>
      <w:r w:rsidR="00387759">
        <w:rPr>
          <w:sz w:val="16"/>
          <w:szCs w:val="16"/>
          <w:lang w:val="nl-NL"/>
        </w:rPr>
        <w:t xml:space="preserve">Zie artikel 15 Gw.; </w:t>
      </w:r>
      <w:r w:rsidRPr="0086280A">
        <w:rPr>
          <w:sz w:val="16"/>
          <w:szCs w:val="16"/>
          <w:lang w:val="nl-NL"/>
        </w:rPr>
        <w:t xml:space="preserve">C. VAN ROY, </w:t>
      </w:r>
      <w:r w:rsidRPr="0086280A">
        <w:rPr>
          <w:i/>
          <w:sz w:val="16"/>
          <w:szCs w:val="16"/>
          <w:lang w:val="nl-NL"/>
        </w:rPr>
        <w:t>De (on)deelbaarheid van het kind</w:t>
      </w:r>
      <w:r w:rsidRPr="0086280A">
        <w:rPr>
          <w:sz w:val="16"/>
          <w:szCs w:val="16"/>
          <w:lang w:val="nl-NL"/>
        </w:rPr>
        <w:t>, Antwerpen, Intersentia, 2021, 110.</w:t>
      </w:r>
    </w:p>
  </w:footnote>
  <w:footnote w:id="378">
    <w:p w14:paraId="421BFC50" w14:textId="28202550"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B. POELEMANS, “De nieuwe regeling van het ouderlijk gezag” in P. SENAEVE (ed.), </w:t>
      </w:r>
      <w:r w:rsidRPr="0086280A">
        <w:rPr>
          <w:i/>
          <w:iCs/>
          <w:sz w:val="16"/>
          <w:szCs w:val="16"/>
          <w:lang w:val="nl-NL"/>
        </w:rPr>
        <w:t>Co-ouderschap en omgangsrecht: commentaar op de wet van 13 april 1995</w:t>
      </w:r>
      <w:r w:rsidRPr="0086280A">
        <w:rPr>
          <w:sz w:val="16"/>
          <w:szCs w:val="16"/>
          <w:lang w:val="nl-NL"/>
        </w:rPr>
        <w:t xml:space="preserve">, Antwerpen, Maklu, 1995, 252; </w:t>
      </w:r>
      <w:r w:rsidR="00A50143" w:rsidRPr="0086280A">
        <w:rPr>
          <w:sz w:val="16"/>
          <w:szCs w:val="16"/>
          <w:lang w:val="nl-NL"/>
        </w:rPr>
        <w:t xml:space="preserve">A. DE WOLF, “De nieuwe regeling van het omgangsrecht” in </w:t>
      </w:r>
      <w:r w:rsidR="00112EE6">
        <w:rPr>
          <w:sz w:val="16"/>
          <w:szCs w:val="16"/>
          <w:lang w:val="nl-NL"/>
        </w:rPr>
        <w:t xml:space="preserve">P. </w:t>
      </w:r>
      <w:r w:rsidR="00A50143" w:rsidRPr="0086280A">
        <w:rPr>
          <w:sz w:val="16"/>
          <w:szCs w:val="16"/>
          <w:lang w:val="nl-NL"/>
        </w:rPr>
        <w:t xml:space="preserve">SENAEVE (ed.), </w:t>
      </w:r>
      <w:r w:rsidR="00A50143" w:rsidRPr="0086280A">
        <w:rPr>
          <w:i/>
          <w:iCs/>
          <w:sz w:val="16"/>
          <w:szCs w:val="16"/>
          <w:lang w:val="nl-NL"/>
        </w:rPr>
        <w:t>Co-ouderschap en omgangsrecht: commentaar op de wet van 13 april 1995</w:t>
      </w:r>
      <w:r w:rsidR="00A50143" w:rsidRPr="0086280A">
        <w:rPr>
          <w:sz w:val="16"/>
          <w:szCs w:val="16"/>
          <w:lang w:val="nl-NL"/>
        </w:rPr>
        <w:t xml:space="preserve">, Antwerpen, Maklu, 1995, 252; </w:t>
      </w:r>
      <w:r w:rsidRPr="0086280A">
        <w:rPr>
          <w:sz w:val="16"/>
          <w:szCs w:val="16"/>
          <w:lang w:val="nl-NL"/>
        </w:rPr>
        <w:t xml:space="preserve">S. MOSSELMANS, “Een evolutie op het terrein van het ouderlijk gezag, het omgangsrecht, het hoorrecht van minderjarigen en het recht op informatie van ouders en hun minderjarige kinderen: het EVRM ‘The recommendations on parental responsibilities’ en het IVRK als leidraad?”, </w:t>
      </w:r>
      <w:r w:rsidRPr="0086280A">
        <w:rPr>
          <w:i/>
          <w:sz w:val="16"/>
          <w:szCs w:val="16"/>
          <w:lang w:val="nl-NL"/>
        </w:rPr>
        <w:t>TPR</w:t>
      </w:r>
      <w:r w:rsidRPr="0086280A">
        <w:rPr>
          <w:sz w:val="16"/>
          <w:szCs w:val="16"/>
          <w:lang w:val="nl-NL"/>
        </w:rPr>
        <w:t xml:space="preserve"> 1997, </w:t>
      </w:r>
      <w:r w:rsidR="00D673CD">
        <w:rPr>
          <w:sz w:val="16"/>
          <w:szCs w:val="16"/>
          <w:lang w:val="nl-NL"/>
        </w:rPr>
        <w:t xml:space="preserve">(543) </w:t>
      </w:r>
      <w:r w:rsidRPr="0086280A">
        <w:rPr>
          <w:sz w:val="16"/>
          <w:szCs w:val="16"/>
          <w:lang w:val="nl-NL"/>
        </w:rPr>
        <w:t>604</w:t>
      </w:r>
      <w:r w:rsidR="00A50143" w:rsidRPr="0086280A">
        <w:rPr>
          <w:sz w:val="16"/>
          <w:szCs w:val="16"/>
          <w:lang w:val="nl-NL"/>
        </w:rPr>
        <w:t>.</w:t>
      </w:r>
    </w:p>
  </w:footnote>
  <w:footnote w:id="379">
    <w:p w14:paraId="1855FAEE" w14:textId="0DB10A41"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in dezelfde zin: Wetsvoorstel tot het waarborgen van het omgangsrecht tussen ouders en kinderen en tussen grootouders en kleinkinderen, </w:t>
      </w:r>
      <w:r w:rsidRPr="0086280A">
        <w:rPr>
          <w:i/>
          <w:sz w:val="16"/>
          <w:szCs w:val="16"/>
          <w:lang w:val="nl-NL"/>
        </w:rPr>
        <w:t>Parl.St.</w:t>
      </w:r>
      <w:r w:rsidRPr="0086280A">
        <w:rPr>
          <w:sz w:val="16"/>
          <w:szCs w:val="16"/>
          <w:lang w:val="nl-NL"/>
        </w:rPr>
        <w:t xml:space="preserve"> Kamer 2003-04, nr. 51-0976/001, 9-10.</w:t>
      </w:r>
    </w:p>
  </w:footnote>
  <w:footnote w:id="380">
    <w:p w14:paraId="092C93CE" w14:textId="5217AFD3"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Wet 30 juli 2013 betreffende de invoering van een familie- en jeugdrechtbank, </w:t>
      </w:r>
      <w:r w:rsidRPr="0086280A">
        <w:rPr>
          <w:i/>
          <w:sz w:val="16"/>
          <w:szCs w:val="16"/>
          <w:lang w:val="nl-NL"/>
        </w:rPr>
        <w:t>BS</w:t>
      </w:r>
      <w:r w:rsidRPr="0086280A">
        <w:rPr>
          <w:sz w:val="16"/>
          <w:szCs w:val="16"/>
          <w:lang w:val="nl-NL"/>
        </w:rPr>
        <w:t xml:space="preserve"> 27 september 2013; artikel 387</w:t>
      </w:r>
      <w:r w:rsidRPr="0086280A">
        <w:rPr>
          <w:i/>
          <w:iCs/>
          <w:sz w:val="16"/>
          <w:szCs w:val="16"/>
          <w:lang w:val="nl-NL"/>
        </w:rPr>
        <w:t>bis</w:t>
      </w:r>
      <w:r w:rsidRPr="0086280A">
        <w:rPr>
          <w:sz w:val="16"/>
          <w:szCs w:val="16"/>
          <w:lang w:val="nl-NL"/>
        </w:rPr>
        <w:t xml:space="preserve"> oud BW.</w:t>
      </w:r>
    </w:p>
  </w:footnote>
  <w:footnote w:id="381">
    <w:p w14:paraId="6C87375F" w14:textId="565F2218"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C. DECLERCK, “Het recht op persoonlijk contact tussen broers en zussen in de zin van artikel 375bis oud BW”, </w:t>
      </w:r>
      <w:r w:rsidRPr="0086280A">
        <w:rPr>
          <w:i/>
          <w:iCs/>
          <w:sz w:val="16"/>
          <w:szCs w:val="16"/>
          <w:lang w:val="nl-NL"/>
        </w:rPr>
        <w:t>T.Fam.</w:t>
      </w:r>
      <w:r w:rsidRPr="0086280A">
        <w:rPr>
          <w:sz w:val="16"/>
          <w:szCs w:val="16"/>
          <w:lang w:val="nl-NL"/>
        </w:rPr>
        <w:t xml:space="preserve"> 2021, </w:t>
      </w:r>
      <w:r w:rsidR="00D673CD">
        <w:rPr>
          <w:sz w:val="16"/>
          <w:szCs w:val="16"/>
          <w:lang w:val="nl-NL"/>
        </w:rPr>
        <w:t xml:space="preserve">(306) </w:t>
      </w:r>
      <w:r w:rsidRPr="0086280A">
        <w:rPr>
          <w:sz w:val="16"/>
          <w:szCs w:val="16"/>
          <w:lang w:val="nl-NL"/>
        </w:rPr>
        <w:t>310</w:t>
      </w:r>
      <w:r w:rsidR="00082E2B">
        <w:rPr>
          <w:sz w:val="16"/>
          <w:szCs w:val="16"/>
          <w:lang w:val="nl-NL"/>
        </w:rPr>
        <w:t>.</w:t>
      </w:r>
    </w:p>
  </w:footnote>
  <w:footnote w:id="382">
    <w:p w14:paraId="578E2C63" w14:textId="03BAAB61"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Gent 19 december 2013, </w:t>
      </w:r>
      <w:r w:rsidRPr="0086280A">
        <w:rPr>
          <w:i/>
          <w:iCs/>
          <w:sz w:val="16"/>
          <w:szCs w:val="16"/>
          <w:lang w:val="nl-NL"/>
        </w:rPr>
        <w:t>T.Fam.</w:t>
      </w:r>
      <w:r w:rsidRPr="0086280A">
        <w:rPr>
          <w:sz w:val="16"/>
          <w:szCs w:val="16"/>
          <w:lang w:val="nl-NL"/>
        </w:rPr>
        <w:t xml:space="preserve"> 2015, 115, noot A. VAN THIENEN; </w:t>
      </w:r>
      <w:r w:rsidR="00082E2B" w:rsidRPr="0086280A">
        <w:rPr>
          <w:sz w:val="16"/>
          <w:szCs w:val="16"/>
          <w:lang w:val="nl-NL"/>
        </w:rPr>
        <w:t xml:space="preserve">P. SENAEVE en C. DECLERCK, </w:t>
      </w:r>
      <w:r w:rsidR="00082E2B" w:rsidRPr="0086280A">
        <w:rPr>
          <w:i/>
          <w:sz w:val="16"/>
          <w:szCs w:val="16"/>
          <w:lang w:val="nl-NL"/>
        </w:rPr>
        <w:t>Compendium van het personen- en familierecht</w:t>
      </w:r>
      <w:r w:rsidR="00082E2B" w:rsidRPr="0086280A">
        <w:rPr>
          <w:sz w:val="16"/>
          <w:szCs w:val="16"/>
          <w:lang w:val="nl-NL"/>
        </w:rPr>
        <w:t>, Leuven, Acco, 2020, 450</w:t>
      </w:r>
      <w:r w:rsidR="00082E2B">
        <w:rPr>
          <w:sz w:val="16"/>
          <w:szCs w:val="16"/>
          <w:lang w:val="nl-NL"/>
        </w:rPr>
        <w:t xml:space="preserve">; </w:t>
      </w:r>
      <w:r w:rsidRPr="0086280A">
        <w:rPr>
          <w:sz w:val="16"/>
          <w:szCs w:val="16"/>
          <w:lang w:val="nl-NL"/>
        </w:rPr>
        <w:t xml:space="preserve">I. BOONE en E. VERTOMMEN, “Recente ontwikkelingen inzake het ouderlijk gezag, de verblijfsregeling en het recht op persoonlijk contact” in I. BOONE en C. DECLERCK (eds.), </w:t>
      </w:r>
      <w:r w:rsidRPr="0086280A">
        <w:rPr>
          <w:i/>
          <w:iCs/>
          <w:sz w:val="16"/>
          <w:szCs w:val="16"/>
          <w:lang w:val="nl-NL"/>
        </w:rPr>
        <w:t>Themis 2022-2023</w:t>
      </w:r>
      <w:r w:rsidRPr="0086280A">
        <w:rPr>
          <w:sz w:val="16"/>
          <w:szCs w:val="16"/>
          <w:lang w:val="nl-NL"/>
        </w:rPr>
        <w:t>, Antwerpen, Intersentia, 2023, 62.</w:t>
      </w:r>
    </w:p>
  </w:footnote>
  <w:footnote w:id="383">
    <w:p w14:paraId="6F4BABEB" w14:textId="066EEFA6"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artikel 375</w:t>
      </w:r>
      <w:r w:rsidRPr="0086280A">
        <w:rPr>
          <w:i/>
          <w:iCs/>
          <w:sz w:val="16"/>
          <w:szCs w:val="16"/>
          <w:lang w:val="nl-NL"/>
        </w:rPr>
        <w:t>bis</w:t>
      </w:r>
      <w:r w:rsidRPr="0086280A">
        <w:rPr>
          <w:sz w:val="16"/>
          <w:szCs w:val="16"/>
          <w:lang w:val="nl-NL"/>
        </w:rPr>
        <w:t xml:space="preserve">, tweede lid </w:t>
      </w:r>
      <w:r w:rsidRPr="0086280A">
        <w:rPr>
          <w:i/>
          <w:iCs/>
          <w:sz w:val="16"/>
          <w:szCs w:val="16"/>
          <w:lang w:val="nl-NL"/>
        </w:rPr>
        <w:t>juncto</w:t>
      </w:r>
      <w:r w:rsidRPr="0086280A">
        <w:rPr>
          <w:sz w:val="16"/>
          <w:szCs w:val="16"/>
          <w:lang w:val="nl-NL"/>
        </w:rPr>
        <w:t xml:space="preserve"> </w:t>
      </w:r>
      <w:r w:rsidR="00082E2B">
        <w:rPr>
          <w:sz w:val="16"/>
          <w:szCs w:val="16"/>
          <w:lang w:val="nl-NL"/>
        </w:rPr>
        <w:t xml:space="preserve">artikel </w:t>
      </w:r>
      <w:r w:rsidRPr="0086280A">
        <w:rPr>
          <w:sz w:val="16"/>
          <w:szCs w:val="16"/>
          <w:lang w:val="nl-NL"/>
        </w:rPr>
        <w:t>387</w:t>
      </w:r>
      <w:r w:rsidRPr="0086280A">
        <w:rPr>
          <w:i/>
          <w:iCs/>
          <w:sz w:val="16"/>
          <w:szCs w:val="16"/>
          <w:lang w:val="nl-NL"/>
        </w:rPr>
        <w:t>bis</w:t>
      </w:r>
      <w:r w:rsidRPr="0086280A">
        <w:rPr>
          <w:sz w:val="16"/>
          <w:szCs w:val="16"/>
          <w:lang w:val="nl-NL"/>
        </w:rPr>
        <w:t xml:space="preserve"> oud BW; F. SWENNEN, </w:t>
      </w:r>
      <w:r w:rsidRPr="0086280A">
        <w:rPr>
          <w:i/>
          <w:iCs/>
          <w:sz w:val="16"/>
          <w:szCs w:val="16"/>
          <w:lang w:val="nl-NL"/>
        </w:rPr>
        <w:t>Het personen- en familierecht (achtste, herziene uitgave)</w:t>
      </w:r>
      <w:r w:rsidRPr="0086280A">
        <w:rPr>
          <w:sz w:val="16"/>
          <w:szCs w:val="16"/>
          <w:lang w:val="nl-NL"/>
        </w:rPr>
        <w:t>, Mortsel, Intersentia, 2023, 572.</w:t>
      </w:r>
    </w:p>
  </w:footnote>
  <w:footnote w:id="384">
    <w:p w14:paraId="22FF485A" w14:textId="5DFEA46D"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bv. RvS 22 februari 1989, </w:t>
      </w:r>
      <w:r w:rsidRPr="0086280A">
        <w:rPr>
          <w:i/>
          <w:iCs/>
          <w:sz w:val="16"/>
          <w:szCs w:val="16"/>
          <w:lang w:val="nl-NL"/>
        </w:rPr>
        <w:t>JT</w:t>
      </w:r>
      <w:r w:rsidRPr="0086280A">
        <w:rPr>
          <w:sz w:val="16"/>
          <w:szCs w:val="16"/>
          <w:lang w:val="nl-NL"/>
        </w:rPr>
        <w:t xml:space="preserve"> 1989, 675, noot F. RIGAU</w:t>
      </w:r>
      <w:r w:rsidR="00A13997" w:rsidRPr="0086280A">
        <w:rPr>
          <w:sz w:val="16"/>
          <w:szCs w:val="16"/>
          <w:lang w:val="nl-NL"/>
        </w:rPr>
        <w:t xml:space="preserve">X: </w:t>
      </w:r>
      <w:r w:rsidRPr="0086280A">
        <w:rPr>
          <w:sz w:val="16"/>
          <w:szCs w:val="16"/>
          <w:lang w:val="nl-NL"/>
        </w:rPr>
        <w:t>Hierin werd besloten dat een minderjarige zelfstandig moet kunnen optreden in rechte, telkens zijn persoonlijkheidsrechten (o.a. de eerbiediging van het privé-, familie- en gezinsleven) in het geding zijn en indien hij over voldoende onderscheidingsvermogen bezit. De belangen van de minderjarigen die hier doorwegen zijn elementen van het privéleven.</w:t>
      </w:r>
    </w:p>
  </w:footnote>
  <w:footnote w:id="385">
    <w:p w14:paraId="7B8C32F9" w14:textId="5B6D440E"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bv. </w:t>
      </w:r>
      <w:r w:rsidR="00A13997" w:rsidRPr="0086280A">
        <w:rPr>
          <w:sz w:val="16"/>
          <w:szCs w:val="16"/>
          <w:lang w:val="nl-NL"/>
        </w:rPr>
        <w:t>Luik (16</w:t>
      </w:r>
      <w:r w:rsidR="00A13997" w:rsidRPr="0086280A">
        <w:rPr>
          <w:sz w:val="16"/>
          <w:szCs w:val="16"/>
          <w:vertAlign w:val="superscript"/>
          <w:lang w:val="nl-NL"/>
        </w:rPr>
        <w:t>e</w:t>
      </w:r>
      <w:r w:rsidR="00A13997" w:rsidRPr="0086280A">
        <w:rPr>
          <w:sz w:val="16"/>
          <w:szCs w:val="16"/>
          <w:lang w:val="nl-NL"/>
        </w:rPr>
        <w:t xml:space="preserve"> k.) 28 april 2000, </w:t>
      </w:r>
      <w:r w:rsidR="00A13997" w:rsidRPr="0086280A">
        <w:rPr>
          <w:i/>
          <w:iCs/>
          <w:sz w:val="16"/>
          <w:szCs w:val="16"/>
          <w:lang w:val="nl-NL"/>
        </w:rPr>
        <w:t xml:space="preserve">JLMB </w:t>
      </w:r>
      <w:r w:rsidR="00A13997" w:rsidRPr="0086280A">
        <w:rPr>
          <w:sz w:val="16"/>
          <w:szCs w:val="16"/>
          <w:lang w:val="nl-NL"/>
        </w:rPr>
        <w:t xml:space="preserve">2000; </w:t>
      </w:r>
      <w:r w:rsidRPr="0086280A">
        <w:rPr>
          <w:sz w:val="16"/>
          <w:szCs w:val="16"/>
          <w:lang w:val="nl-NL"/>
        </w:rPr>
        <w:t xml:space="preserve">Aarlen 21 oktober 2003, </w:t>
      </w:r>
      <w:r w:rsidRPr="0086280A">
        <w:rPr>
          <w:i/>
          <w:iCs/>
          <w:sz w:val="16"/>
          <w:szCs w:val="16"/>
          <w:lang w:val="nl-NL"/>
        </w:rPr>
        <w:t>JLMB</w:t>
      </w:r>
      <w:r w:rsidRPr="0086280A">
        <w:rPr>
          <w:sz w:val="16"/>
          <w:szCs w:val="16"/>
          <w:lang w:val="nl-NL"/>
        </w:rPr>
        <w:t xml:space="preserve"> 2005/11, 478-479 (de rechter oordeelt en evalueert hier concreet of de minderjarige over voldoende onderscheidingsvermogen beschikt om alleen in rechte te kunnen handelen); Luik 10 februari 2005, </w:t>
      </w:r>
      <w:r w:rsidRPr="0086280A">
        <w:rPr>
          <w:i/>
          <w:iCs/>
          <w:sz w:val="16"/>
          <w:szCs w:val="16"/>
          <w:lang w:val="nl-NL"/>
        </w:rPr>
        <w:t>Permanence Jeunesse</w:t>
      </w:r>
      <w:r w:rsidRPr="0086280A">
        <w:rPr>
          <w:sz w:val="16"/>
          <w:szCs w:val="16"/>
          <w:lang w:val="nl-NL"/>
        </w:rPr>
        <w:t xml:space="preserve">, balie Luik, 2005, nr. 1, 41 (De rechter erkent uitdrukkelijk het recht op tussenkomst in de procedure voor de minderjarige kinderen van 14 en 16 jaar oud aangaande een verblijfsregeling); Gent 20 juni 2006, </w:t>
      </w:r>
      <w:r w:rsidRPr="0086280A">
        <w:rPr>
          <w:i/>
          <w:iCs/>
          <w:sz w:val="16"/>
          <w:szCs w:val="16"/>
          <w:lang w:val="nl-NL"/>
        </w:rPr>
        <w:t>TJK</w:t>
      </w:r>
      <w:r w:rsidRPr="0086280A">
        <w:rPr>
          <w:sz w:val="16"/>
          <w:szCs w:val="16"/>
          <w:lang w:val="nl-NL"/>
        </w:rPr>
        <w:t xml:space="preserve"> 2007, afl. 1, 35, noot H. PAS (Hier oordeelde het </w:t>
      </w:r>
      <w:r w:rsidR="00082E2B">
        <w:rPr>
          <w:sz w:val="16"/>
          <w:szCs w:val="16"/>
          <w:lang w:val="nl-NL"/>
        </w:rPr>
        <w:t>h</w:t>
      </w:r>
      <w:r w:rsidRPr="0086280A">
        <w:rPr>
          <w:sz w:val="16"/>
          <w:szCs w:val="16"/>
          <w:lang w:val="nl-NL"/>
        </w:rPr>
        <w:t xml:space="preserve">of van beroep dat een vordering die ingesteld wordt door een kind in de procedure omtrent de verblijfsregeling tussen zijn ouders, waarbij aan één ouder het ouderlijk gezag werd toegekend, ontoelaatbaar is. PAS zegt dat het </w:t>
      </w:r>
      <w:r w:rsidR="00082E2B">
        <w:rPr>
          <w:sz w:val="16"/>
          <w:szCs w:val="16"/>
          <w:lang w:val="nl-NL"/>
        </w:rPr>
        <w:t>H</w:t>
      </w:r>
      <w:r w:rsidRPr="0086280A">
        <w:rPr>
          <w:sz w:val="16"/>
          <w:szCs w:val="16"/>
          <w:lang w:val="nl-NL"/>
        </w:rPr>
        <w:t xml:space="preserve">of te kort door de bocht gaat. </w:t>
      </w:r>
      <w:r w:rsidRPr="00082E2B">
        <w:rPr>
          <w:sz w:val="16"/>
          <w:szCs w:val="16"/>
          <w:u w:val="single"/>
          <w:lang w:val="nl-NL"/>
        </w:rPr>
        <w:t>Door de vordering van het kind toe te laten</w:t>
      </w:r>
      <w:r w:rsidRPr="0086280A">
        <w:rPr>
          <w:sz w:val="16"/>
          <w:szCs w:val="16"/>
          <w:lang w:val="nl-NL"/>
        </w:rPr>
        <w:t xml:space="preserve">, had het </w:t>
      </w:r>
      <w:r w:rsidR="00A13997" w:rsidRPr="0086280A">
        <w:rPr>
          <w:sz w:val="16"/>
          <w:szCs w:val="16"/>
          <w:lang w:val="nl-NL"/>
        </w:rPr>
        <w:t>H</w:t>
      </w:r>
      <w:r w:rsidRPr="0086280A">
        <w:rPr>
          <w:sz w:val="16"/>
          <w:szCs w:val="16"/>
          <w:lang w:val="nl-NL"/>
        </w:rPr>
        <w:t xml:space="preserve">of het kind </w:t>
      </w:r>
      <w:r w:rsidRPr="00082E2B">
        <w:rPr>
          <w:sz w:val="16"/>
          <w:szCs w:val="16"/>
          <w:u w:val="single"/>
          <w:lang w:val="nl-NL"/>
        </w:rPr>
        <w:t>erkend als zelfstandig rechtssubject</w:t>
      </w:r>
      <w:r w:rsidRPr="0086280A">
        <w:rPr>
          <w:sz w:val="16"/>
          <w:szCs w:val="16"/>
          <w:lang w:val="nl-NL"/>
        </w:rPr>
        <w:t xml:space="preserve">, ook wat betreft de uitoefening van het ouderlijk gezag door zijn ouders); K. VERSTRAETE, “Ouderlijk gezag. Procedure”, </w:t>
      </w:r>
      <w:r w:rsidRPr="0086280A">
        <w:rPr>
          <w:i/>
          <w:iCs/>
          <w:sz w:val="16"/>
          <w:szCs w:val="16"/>
          <w:lang w:val="nl-NL"/>
        </w:rPr>
        <w:t>TPR</w:t>
      </w:r>
      <w:r w:rsidRPr="0086280A">
        <w:rPr>
          <w:sz w:val="16"/>
          <w:szCs w:val="16"/>
          <w:lang w:val="nl-NL"/>
        </w:rPr>
        <w:t xml:space="preserve"> 2007, afl. 1, </w:t>
      </w:r>
      <w:r w:rsidR="00D673CD">
        <w:rPr>
          <w:sz w:val="16"/>
          <w:szCs w:val="16"/>
          <w:lang w:val="nl-NL"/>
        </w:rPr>
        <w:t xml:space="preserve">(763) </w:t>
      </w:r>
      <w:r w:rsidRPr="0086280A">
        <w:rPr>
          <w:sz w:val="16"/>
          <w:szCs w:val="16"/>
          <w:lang w:val="nl-NL"/>
        </w:rPr>
        <w:t>780-783.</w:t>
      </w:r>
    </w:p>
  </w:footnote>
  <w:footnote w:id="386">
    <w:p w14:paraId="3048CF3E" w14:textId="1DFBFD35" w:rsidR="00AA26F0" w:rsidRPr="0086280A" w:rsidRDefault="00AA26F0" w:rsidP="007A6A75">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w:t>
      </w:r>
      <w:r w:rsidR="00F815C2" w:rsidRPr="0086280A">
        <w:rPr>
          <w:sz w:val="16"/>
          <w:szCs w:val="16"/>
          <w:lang w:val="nl-NL"/>
        </w:rPr>
        <w:t xml:space="preserve">Cass. 10 februari 2020, AR C.15.0200.N., ECLI:BE:CASS:2020:ARR.20200210.3N.9, §1-2; </w:t>
      </w:r>
      <w:r w:rsidRPr="0086280A">
        <w:rPr>
          <w:sz w:val="16"/>
          <w:szCs w:val="16"/>
          <w:lang w:val="nl-NL"/>
        </w:rPr>
        <w:t>Cass. 13 april 2021, AR P.21.0045.N., ECLI:BE:CASS:2021:ARR.20210413.2N.8</w:t>
      </w:r>
      <w:r w:rsidR="00F815C2" w:rsidRPr="0086280A">
        <w:rPr>
          <w:sz w:val="16"/>
          <w:szCs w:val="16"/>
          <w:lang w:val="nl-NL"/>
        </w:rPr>
        <w:t>, §2 en §10</w:t>
      </w:r>
      <w:r w:rsidR="00A13997" w:rsidRPr="0086280A">
        <w:rPr>
          <w:sz w:val="16"/>
          <w:szCs w:val="16"/>
          <w:lang w:val="nl-NL"/>
        </w:rPr>
        <w:t xml:space="preserve">; </w:t>
      </w:r>
      <w:r w:rsidR="007A6A75" w:rsidRPr="0086280A">
        <w:rPr>
          <w:sz w:val="16"/>
          <w:szCs w:val="16"/>
          <w:lang w:val="nl-NL"/>
        </w:rPr>
        <w:t>z</w:t>
      </w:r>
      <w:r w:rsidR="00325ED8" w:rsidRPr="0086280A">
        <w:rPr>
          <w:sz w:val="16"/>
          <w:szCs w:val="16"/>
          <w:lang w:val="nl-NL"/>
        </w:rPr>
        <w:t xml:space="preserve">ie ook </w:t>
      </w:r>
      <w:r w:rsidR="00A13997" w:rsidRPr="0086280A">
        <w:rPr>
          <w:sz w:val="16"/>
          <w:szCs w:val="16"/>
          <w:lang w:val="nl-NL"/>
        </w:rPr>
        <w:t xml:space="preserve">T. WUYTS, </w:t>
      </w:r>
      <w:r w:rsidR="00A13997" w:rsidRPr="0086280A">
        <w:rPr>
          <w:i/>
          <w:iCs/>
          <w:sz w:val="16"/>
          <w:szCs w:val="16"/>
          <w:lang w:val="nl-NL"/>
        </w:rPr>
        <w:t>Ouderlijk gezag</w:t>
      </w:r>
      <w:r w:rsidR="00A13997" w:rsidRPr="0086280A">
        <w:rPr>
          <w:sz w:val="16"/>
          <w:szCs w:val="16"/>
          <w:lang w:val="nl-NL"/>
        </w:rPr>
        <w:t xml:space="preserve">, Antwerpen, Intersentia, 2013, </w:t>
      </w:r>
      <w:r w:rsidR="00325ED8" w:rsidRPr="0086280A">
        <w:rPr>
          <w:sz w:val="16"/>
          <w:szCs w:val="16"/>
          <w:lang w:val="nl-NL"/>
        </w:rPr>
        <w:t>316-317 en de daarin aangehaalde rechtspraak.</w:t>
      </w:r>
    </w:p>
  </w:footnote>
  <w:footnote w:id="387">
    <w:p w14:paraId="5D5A411E" w14:textId="26815F1D" w:rsidR="00325ED8" w:rsidRPr="0086280A" w:rsidRDefault="00325ED8" w:rsidP="007A6A75">
      <w:pPr>
        <w:pStyle w:val="Voetnoottekst"/>
        <w:jc w:val="both"/>
        <w:rPr>
          <w:rFonts w:cs="Verdana"/>
          <w:sz w:val="16"/>
          <w:szCs w:val="16"/>
          <w:lang w:val="nl-NL"/>
        </w:rPr>
      </w:pPr>
      <w:r w:rsidRPr="0086280A">
        <w:rPr>
          <w:rStyle w:val="Voetnootmarkering"/>
          <w:sz w:val="16"/>
          <w:szCs w:val="16"/>
          <w:lang w:val="nl-NL"/>
        </w:rPr>
        <w:footnoteRef/>
      </w:r>
      <w:r w:rsidRPr="0086280A">
        <w:rPr>
          <w:sz w:val="16"/>
          <w:szCs w:val="16"/>
          <w:lang w:val="nl-NL"/>
        </w:rPr>
        <w:t xml:space="preserve"> Zie bv. </w:t>
      </w:r>
      <w:r w:rsidRPr="0086280A">
        <w:rPr>
          <w:rFonts w:eastAsia="Verdana" w:cs="Verdana"/>
          <w:sz w:val="16"/>
          <w:szCs w:val="16"/>
          <w:lang w:val="nl-NL"/>
        </w:rPr>
        <w:t>Cass. 11 maart 1994, AR C.93.0342.N: “(…) de kloof tussen de vader en zijn dochters bijzonder diep is en nu niet overbrugd kan worden en dat de meisjes, minstens thans, ook niet bereid zijn noch gemotiveerd kunnen worden om enige inspanning te doen om de relaties te herstellen.</w:t>
      </w:r>
      <w:r w:rsidR="007A6A75" w:rsidRPr="0086280A">
        <w:rPr>
          <w:rFonts w:eastAsia="Verdana" w:cs="Verdana"/>
          <w:sz w:val="16"/>
          <w:szCs w:val="16"/>
          <w:lang w:val="nl-NL"/>
        </w:rPr>
        <w:t xml:space="preserve">” Hiermee wordt aangehaald dat het eigenlijk contraproductief zou zijn om contacten te verplichten; </w:t>
      </w:r>
      <w:r w:rsidR="007A6A75" w:rsidRPr="0086280A">
        <w:rPr>
          <w:rFonts w:cs="Verdana"/>
          <w:sz w:val="16"/>
          <w:szCs w:val="16"/>
          <w:lang w:val="nl-NL"/>
        </w:rPr>
        <w:t>Brussel (42</w:t>
      </w:r>
      <w:r w:rsidR="007A6A75" w:rsidRPr="0086280A">
        <w:rPr>
          <w:rFonts w:cs="Verdana"/>
          <w:sz w:val="16"/>
          <w:szCs w:val="16"/>
          <w:vertAlign w:val="superscript"/>
          <w:lang w:val="nl-NL"/>
        </w:rPr>
        <w:t>e</w:t>
      </w:r>
      <w:r w:rsidR="007A6A75" w:rsidRPr="0086280A">
        <w:rPr>
          <w:rFonts w:cs="Verdana"/>
          <w:sz w:val="16"/>
          <w:szCs w:val="16"/>
          <w:lang w:val="nl-NL"/>
        </w:rPr>
        <w:t xml:space="preserve"> k.) 4 januari 2022, </w:t>
      </w:r>
      <w:r w:rsidR="007A6A75" w:rsidRPr="0086280A">
        <w:rPr>
          <w:rFonts w:cs="Verdana"/>
          <w:i/>
          <w:iCs/>
          <w:sz w:val="16"/>
          <w:szCs w:val="16"/>
          <w:lang w:val="nl-NL"/>
        </w:rPr>
        <w:t>T.Fam.</w:t>
      </w:r>
      <w:r w:rsidR="007A6A75" w:rsidRPr="0086280A">
        <w:rPr>
          <w:rFonts w:cs="Verdana"/>
          <w:sz w:val="16"/>
          <w:szCs w:val="16"/>
          <w:lang w:val="nl-NL"/>
        </w:rPr>
        <w:t xml:space="preserve"> 2022, nr. 5-6, 161: “(…) dat elke andere beslissing op dit ogenblik riskeert contraproductief te zijn (…)”, thans in het kader van</w:t>
      </w:r>
      <w:r w:rsidR="0063560D">
        <w:rPr>
          <w:rFonts w:cs="Verdana"/>
          <w:sz w:val="16"/>
          <w:szCs w:val="16"/>
          <w:lang w:val="nl-NL"/>
        </w:rPr>
        <w:t xml:space="preserve"> een</w:t>
      </w:r>
      <w:r w:rsidR="007A6A75" w:rsidRPr="0086280A">
        <w:rPr>
          <w:rFonts w:cs="Verdana"/>
          <w:sz w:val="16"/>
          <w:szCs w:val="16"/>
          <w:lang w:val="nl-NL"/>
        </w:rPr>
        <w:t xml:space="preserve"> schoolkeuze.</w:t>
      </w:r>
    </w:p>
  </w:footnote>
  <w:footnote w:id="388">
    <w:p w14:paraId="088E67EC" w14:textId="21A85E94" w:rsidR="00C57AF9" w:rsidRPr="0086280A" w:rsidRDefault="00C57AF9" w:rsidP="007A6A75">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ook eerder aangehaalde rechtspraak.</w:t>
      </w:r>
    </w:p>
  </w:footnote>
  <w:footnote w:id="389">
    <w:p w14:paraId="1C27557F" w14:textId="77777777" w:rsidR="00C57AF9" w:rsidRPr="0086280A" w:rsidRDefault="00C57AF9" w:rsidP="007A6A75">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Brugge 13 januari 1969, </w:t>
      </w:r>
      <w:r w:rsidRPr="0086280A">
        <w:rPr>
          <w:i/>
          <w:iCs/>
          <w:sz w:val="16"/>
          <w:szCs w:val="16"/>
          <w:lang w:val="nl-NL"/>
        </w:rPr>
        <w:t>RW</w:t>
      </w:r>
      <w:r w:rsidRPr="0086280A">
        <w:rPr>
          <w:sz w:val="16"/>
          <w:szCs w:val="16"/>
          <w:lang w:val="nl-NL"/>
        </w:rPr>
        <w:t xml:space="preserve"> 1968-1969, 1138; P. SENAEVE en C. DECLERCK, </w:t>
      </w:r>
      <w:r w:rsidRPr="0086280A">
        <w:rPr>
          <w:i/>
          <w:sz w:val="16"/>
          <w:szCs w:val="16"/>
          <w:lang w:val="nl-NL"/>
        </w:rPr>
        <w:t>Compendium van het personen- en familierecht</w:t>
      </w:r>
      <w:r w:rsidRPr="0086280A">
        <w:rPr>
          <w:sz w:val="16"/>
          <w:szCs w:val="16"/>
          <w:lang w:val="nl-NL"/>
        </w:rPr>
        <w:t>, Leuven, Acco, 2020, 687.</w:t>
      </w:r>
    </w:p>
  </w:footnote>
  <w:footnote w:id="390">
    <w:p w14:paraId="7FCE547F" w14:textId="6F3D9D80"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t>
      </w:r>
      <w:r w:rsidRPr="0086280A">
        <w:rPr>
          <w:rFonts w:eastAsia="Verdana" w:cs="Verdana"/>
          <w:sz w:val="16"/>
          <w:szCs w:val="16"/>
          <w:lang w:val="nl-NL"/>
        </w:rPr>
        <w:t>Gent (5</w:t>
      </w:r>
      <w:r w:rsidRPr="0086280A">
        <w:rPr>
          <w:rFonts w:eastAsia="Verdana" w:cs="Verdana"/>
          <w:sz w:val="16"/>
          <w:szCs w:val="16"/>
          <w:vertAlign w:val="superscript"/>
          <w:lang w:val="nl-NL"/>
        </w:rPr>
        <w:t>e</w:t>
      </w:r>
      <w:r w:rsidRPr="0086280A">
        <w:rPr>
          <w:rFonts w:eastAsia="Verdana" w:cs="Verdana"/>
          <w:sz w:val="16"/>
          <w:szCs w:val="16"/>
          <w:lang w:val="nl-NL"/>
        </w:rPr>
        <w:t xml:space="preserve"> k.) 7 februari 2005, nr. 2004/JR/33 en 2004/JR/111,</w:t>
      </w:r>
      <w:r w:rsidRPr="0086280A">
        <w:rPr>
          <w:rFonts w:eastAsia="Verdana" w:cs="Verdana"/>
          <w:i/>
          <w:iCs/>
          <w:sz w:val="16"/>
          <w:szCs w:val="16"/>
          <w:lang w:val="nl-NL"/>
        </w:rPr>
        <w:t xml:space="preserve"> NJW</w:t>
      </w:r>
      <w:r w:rsidRPr="0086280A">
        <w:rPr>
          <w:rFonts w:eastAsia="Verdana" w:cs="Verdana"/>
          <w:sz w:val="16"/>
          <w:szCs w:val="16"/>
          <w:lang w:val="nl-NL"/>
        </w:rPr>
        <w:t xml:space="preserve"> 2006, afl. 136, 125: “Het bestaan van een bloedband tussen grootouder en kind volstaat om aanspraak te maken op een recht op persoonlijk contact. Een vooraf bestaande genegenheidsband is niet nodig, maar het recht op persoonlijk contact mag niet indruisen tegen het belang van de kinderen. De moeder pakt de zaken verkeerd aan wanneer zij de kinderen vrij laat om al dan niet mee te gaan op bezoek bij de grootouders. Zij moet hen integendeel positief motiveren om met opa en oma mee te gaan.”</w:t>
      </w:r>
    </w:p>
  </w:footnote>
  <w:footnote w:id="391">
    <w:p w14:paraId="4ACF0157" w14:textId="09D8AAE6"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in dezelfde zin: Verslag van de tweede lezing bij het wetsvoorstel tot wijziging van het Burgerlijk Wetboek, in verband met de persoonlijke banden tussen broers en zussen, </w:t>
      </w:r>
      <w:r w:rsidRPr="0086280A">
        <w:rPr>
          <w:i/>
          <w:sz w:val="16"/>
          <w:szCs w:val="16"/>
          <w:lang w:val="nl-NL"/>
        </w:rPr>
        <w:t>Parl.St.</w:t>
      </w:r>
      <w:r w:rsidRPr="0086280A">
        <w:rPr>
          <w:sz w:val="16"/>
          <w:szCs w:val="16"/>
          <w:lang w:val="nl-NL"/>
        </w:rPr>
        <w:t xml:space="preserve"> Kamer 2020-21, nr.</w:t>
      </w:r>
      <w:r w:rsidR="00D673CD">
        <w:rPr>
          <w:sz w:val="16"/>
          <w:szCs w:val="16"/>
          <w:lang w:val="nl-NL"/>
        </w:rPr>
        <w:t xml:space="preserve"> </w:t>
      </w:r>
      <w:r w:rsidRPr="0086280A">
        <w:rPr>
          <w:sz w:val="16"/>
          <w:szCs w:val="16"/>
          <w:lang w:val="nl-NL"/>
        </w:rPr>
        <w:t>55-780/010, 16-18 (opm. J. MAHIEU en opm. J. LIMPENS).</w:t>
      </w:r>
    </w:p>
  </w:footnote>
  <w:footnote w:id="392">
    <w:p w14:paraId="5803B478" w14:textId="0F0D9E24" w:rsidR="00C57AF9" w:rsidRPr="0086280A" w:rsidRDefault="00C57AF9" w:rsidP="005C4D5C">
      <w:pPr>
        <w:pStyle w:val="Voetnoottekst"/>
        <w:jc w:val="both"/>
        <w:rPr>
          <w:iCs/>
          <w:sz w:val="16"/>
          <w:szCs w:val="16"/>
          <w:lang w:val="nl-NL"/>
        </w:rPr>
      </w:pPr>
      <w:r w:rsidRPr="0086280A">
        <w:rPr>
          <w:rStyle w:val="Voetnootmarkering"/>
          <w:sz w:val="16"/>
          <w:szCs w:val="16"/>
          <w:lang w:val="nl-NL"/>
        </w:rPr>
        <w:footnoteRef/>
      </w:r>
      <w:r w:rsidRPr="0086280A">
        <w:rPr>
          <w:sz w:val="16"/>
          <w:szCs w:val="16"/>
          <w:lang w:val="nl-NL"/>
        </w:rPr>
        <w:t xml:space="preserve"> Bergen (33e k.) 13 maart 2019, </w:t>
      </w:r>
      <w:r w:rsidRPr="0086280A">
        <w:rPr>
          <w:i/>
          <w:sz w:val="16"/>
          <w:szCs w:val="16"/>
          <w:lang w:val="nl-NL"/>
        </w:rPr>
        <w:t>Act.dr.fam.</w:t>
      </w:r>
      <w:r w:rsidRPr="0086280A">
        <w:rPr>
          <w:sz w:val="16"/>
          <w:szCs w:val="16"/>
          <w:lang w:val="nl-NL"/>
        </w:rPr>
        <w:t xml:space="preserve"> 2021, afl. 2, 69.</w:t>
      </w:r>
    </w:p>
  </w:footnote>
  <w:footnote w:id="393">
    <w:p w14:paraId="1E9187F9" w14:textId="3A08AD94" w:rsidR="00254C7E" w:rsidRPr="0086280A" w:rsidRDefault="00254C7E" w:rsidP="00EE2F06">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K. GEENS, “De wisselwerking tussen personen- en familierecht en onderwijsrecht. Kinderen, ouders en scholen in de 21</w:t>
      </w:r>
      <w:r w:rsidRPr="0086280A">
        <w:rPr>
          <w:sz w:val="16"/>
          <w:szCs w:val="16"/>
          <w:vertAlign w:val="superscript"/>
          <w:lang w:val="nl-NL"/>
        </w:rPr>
        <w:t>ste</w:t>
      </w:r>
      <w:r w:rsidRPr="0086280A">
        <w:rPr>
          <w:sz w:val="16"/>
          <w:szCs w:val="16"/>
          <w:lang w:val="nl-NL"/>
        </w:rPr>
        <w:t xml:space="preserve"> eeuw”, </w:t>
      </w:r>
      <w:r w:rsidRPr="0086280A">
        <w:rPr>
          <w:i/>
          <w:iCs/>
          <w:sz w:val="16"/>
          <w:szCs w:val="16"/>
          <w:lang w:val="nl-NL"/>
        </w:rPr>
        <w:t>TORB</w:t>
      </w:r>
      <w:r w:rsidRPr="0086280A">
        <w:rPr>
          <w:sz w:val="16"/>
          <w:szCs w:val="16"/>
          <w:lang w:val="nl-NL"/>
        </w:rPr>
        <w:t xml:space="preserve"> 2017-18, nr. 4-5, </w:t>
      </w:r>
      <w:r w:rsidR="00D673CD">
        <w:rPr>
          <w:sz w:val="16"/>
          <w:szCs w:val="16"/>
          <w:lang w:val="nl-NL"/>
        </w:rPr>
        <w:t xml:space="preserve">(245) </w:t>
      </w:r>
      <w:r w:rsidRPr="0086280A">
        <w:rPr>
          <w:sz w:val="16"/>
          <w:szCs w:val="16"/>
          <w:lang w:val="nl-NL"/>
        </w:rPr>
        <w:t>247.</w:t>
      </w:r>
    </w:p>
  </w:footnote>
  <w:footnote w:id="394">
    <w:p w14:paraId="499E0149" w14:textId="044A13E6" w:rsidR="00254C7E" w:rsidRPr="0086280A" w:rsidRDefault="00254C7E" w:rsidP="00EE2F06">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evenwel artikel 1253ter/1 en 1253ter/3 Ger.W.</w:t>
      </w:r>
    </w:p>
  </w:footnote>
  <w:footnote w:id="395">
    <w:p w14:paraId="10A54857" w14:textId="02285B9A" w:rsidR="00254C7E" w:rsidRPr="0086280A" w:rsidRDefault="00254C7E" w:rsidP="00EE2F06">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ook </w:t>
      </w:r>
      <w:r w:rsidR="006B48B2" w:rsidRPr="0086280A">
        <w:rPr>
          <w:sz w:val="16"/>
          <w:szCs w:val="16"/>
          <w:lang w:val="nl-NL"/>
        </w:rPr>
        <w:t>R</w:t>
      </w:r>
      <w:r w:rsidRPr="0086280A">
        <w:rPr>
          <w:sz w:val="16"/>
          <w:szCs w:val="16"/>
          <w:lang w:val="nl-NL"/>
        </w:rPr>
        <w:t xml:space="preserve">. </w:t>
      </w:r>
      <w:r w:rsidR="006B48B2" w:rsidRPr="0086280A">
        <w:rPr>
          <w:sz w:val="16"/>
          <w:szCs w:val="16"/>
          <w:lang w:val="nl-NL"/>
        </w:rPr>
        <w:t>BOONE</w:t>
      </w:r>
      <w:r w:rsidRPr="0086280A">
        <w:rPr>
          <w:sz w:val="16"/>
          <w:szCs w:val="16"/>
          <w:lang w:val="nl-NL"/>
        </w:rPr>
        <w:t xml:space="preserve">, </w:t>
      </w:r>
      <w:r w:rsidR="006B48B2" w:rsidRPr="0086280A">
        <w:rPr>
          <w:sz w:val="16"/>
          <w:szCs w:val="16"/>
          <w:lang w:val="nl-NL"/>
        </w:rPr>
        <w:t xml:space="preserve">“Pleidooi voor een echte kindvriendelijke justitie </w:t>
      </w:r>
      <w:r w:rsidR="006B48B2" w:rsidRPr="0086280A">
        <w:rPr>
          <w:sz w:val="16"/>
          <w:szCs w:val="16"/>
          <w:lang w:val="nl-NL"/>
        </w:rPr>
        <w:sym w:font="Symbol" w:char="F05B"/>
      </w:r>
      <w:r w:rsidR="006B48B2" w:rsidRPr="0086280A">
        <w:rPr>
          <w:sz w:val="16"/>
          <w:szCs w:val="16"/>
          <w:lang w:val="nl-NL"/>
        </w:rPr>
        <w:t>Interview met Evelyn Merckx</w:t>
      </w:r>
      <w:r w:rsidR="006B48B2" w:rsidRPr="0086280A">
        <w:rPr>
          <w:sz w:val="16"/>
          <w:szCs w:val="16"/>
          <w:lang w:val="nl-NL"/>
        </w:rPr>
        <w:sym w:font="Symbol" w:char="F05D"/>
      </w:r>
      <w:r w:rsidR="006B48B2" w:rsidRPr="0086280A">
        <w:rPr>
          <w:sz w:val="16"/>
          <w:szCs w:val="16"/>
          <w:lang w:val="nl-NL"/>
        </w:rPr>
        <w:t xml:space="preserve">”, </w:t>
      </w:r>
      <w:r w:rsidR="006B48B2" w:rsidRPr="0086280A">
        <w:rPr>
          <w:i/>
          <w:iCs/>
          <w:sz w:val="16"/>
          <w:szCs w:val="16"/>
          <w:lang w:val="nl-NL"/>
        </w:rPr>
        <w:t>Juristenkrant</w:t>
      </w:r>
      <w:r w:rsidR="006B48B2" w:rsidRPr="0086280A">
        <w:rPr>
          <w:sz w:val="16"/>
          <w:szCs w:val="16"/>
          <w:lang w:val="nl-NL"/>
        </w:rPr>
        <w:t xml:space="preserve"> 2023, nr. 461, 9.</w:t>
      </w:r>
    </w:p>
  </w:footnote>
  <w:footnote w:id="396">
    <w:p w14:paraId="3AA27A2D" w14:textId="5762B21D" w:rsidR="00C57AF9" w:rsidRPr="0086280A" w:rsidRDefault="00C57AF9" w:rsidP="00EE2F06">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F. SWENNEN, </w:t>
      </w:r>
      <w:r w:rsidRPr="0086280A">
        <w:rPr>
          <w:i/>
          <w:iCs/>
          <w:sz w:val="16"/>
          <w:szCs w:val="16"/>
          <w:lang w:val="nl-NL"/>
        </w:rPr>
        <w:t>Het personen- en familierecht (achtste, herziene uitgave)</w:t>
      </w:r>
      <w:r w:rsidRPr="0086280A">
        <w:rPr>
          <w:sz w:val="16"/>
          <w:szCs w:val="16"/>
          <w:lang w:val="nl-NL"/>
        </w:rPr>
        <w:t>, Mortsel, Intersentia, 2023, 566.</w:t>
      </w:r>
    </w:p>
  </w:footnote>
  <w:footnote w:id="397">
    <w:p w14:paraId="62E392D4" w14:textId="5065CC38" w:rsidR="00C57AF9" w:rsidRPr="0086280A" w:rsidRDefault="00C57AF9" w:rsidP="00EE2F06">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t>
      </w:r>
      <w:r w:rsidR="00B63163" w:rsidRPr="0086280A">
        <w:rPr>
          <w:i/>
          <w:iCs/>
          <w:sz w:val="16"/>
          <w:szCs w:val="16"/>
          <w:lang w:val="nl-NL"/>
        </w:rPr>
        <w:t>Ibid</w:t>
      </w:r>
      <w:r w:rsidRPr="0086280A">
        <w:rPr>
          <w:sz w:val="16"/>
          <w:szCs w:val="16"/>
          <w:lang w:val="nl-NL"/>
        </w:rPr>
        <w:t>.</w:t>
      </w:r>
    </w:p>
  </w:footnote>
  <w:footnote w:id="398">
    <w:p w14:paraId="740A7376" w14:textId="42C2429F" w:rsidR="00C57AF9" w:rsidRPr="0086280A" w:rsidRDefault="00C57AF9" w:rsidP="00EE2F06">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t>
      </w:r>
      <w:r w:rsidR="00AC0396" w:rsidRPr="0086280A">
        <w:rPr>
          <w:sz w:val="16"/>
          <w:szCs w:val="16"/>
          <w:lang w:val="nl-NL"/>
        </w:rPr>
        <w:t xml:space="preserve">Zie </w:t>
      </w:r>
      <w:r w:rsidR="006A6215" w:rsidRPr="0086280A">
        <w:rPr>
          <w:sz w:val="16"/>
          <w:szCs w:val="16"/>
          <w:lang w:val="nl-NL"/>
        </w:rPr>
        <w:t xml:space="preserve">artikel 387ter, vierde en vijfde lid oud BW; </w:t>
      </w:r>
      <w:r w:rsidR="00AC0396" w:rsidRPr="0086280A">
        <w:rPr>
          <w:sz w:val="16"/>
          <w:szCs w:val="16"/>
          <w:lang w:val="nl-NL"/>
        </w:rPr>
        <w:t xml:space="preserve">artikel 431 en 432 Sw.; </w:t>
      </w:r>
      <w:r w:rsidRPr="0086280A">
        <w:rPr>
          <w:sz w:val="16"/>
          <w:szCs w:val="16"/>
          <w:lang w:val="nl-NL"/>
        </w:rPr>
        <w:t xml:space="preserve">I. BOONE, “Gezag over de persoon van de minderjarige”, </w:t>
      </w:r>
      <w:r w:rsidRPr="0086280A">
        <w:rPr>
          <w:i/>
          <w:iCs/>
          <w:sz w:val="16"/>
          <w:szCs w:val="16"/>
          <w:lang w:val="nl-NL"/>
        </w:rPr>
        <w:t>TPR</w:t>
      </w:r>
      <w:r w:rsidRPr="0086280A">
        <w:rPr>
          <w:sz w:val="16"/>
          <w:szCs w:val="16"/>
          <w:lang w:val="nl-NL"/>
        </w:rPr>
        <w:t xml:space="preserve"> 2017, afl. 2-3, </w:t>
      </w:r>
      <w:r w:rsidR="00D673CD">
        <w:rPr>
          <w:sz w:val="16"/>
          <w:szCs w:val="16"/>
          <w:lang w:val="nl-NL"/>
        </w:rPr>
        <w:t xml:space="preserve">(1039) </w:t>
      </w:r>
      <w:r w:rsidRPr="0086280A">
        <w:rPr>
          <w:sz w:val="16"/>
          <w:szCs w:val="16"/>
          <w:lang w:val="nl-NL"/>
        </w:rPr>
        <w:t>1048</w:t>
      </w:r>
      <w:r w:rsidR="003D2DFC" w:rsidRPr="0086280A">
        <w:rPr>
          <w:sz w:val="16"/>
          <w:szCs w:val="16"/>
          <w:lang w:val="nl-NL"/>
        </w:rPr>
        <w:t xml:space="preserve"> en 1101-1103</w:t>
      </w:r>
      <w:r w:rsidRPr="0086280A">
        <w:rPr>
          <w:sz w:val="16"/>
          <w:szCs w:val="16"/>
          <w:lang w:val="nl-NL"/>
        </w:rPr>
        <w:t>.</w:t>
      </w:r>
    </w:p>
  </w:footnote>
  <w:footnote w:id="399">
    <w:p w14:paraId="5DEE4B6C" w14:textId="17D81DFF" w:rsidR="00C57AF9" w:rsidRPr="0086280A" w:rsidRDefault="00C57AF9" w:rsidP="00EE2F06">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S. MOSSELMANS, “Een evolutie op het terrein van het ouderlijk gezag, het omgangsrecht, het hoorrecht van minderjarigen en het recht op informatie van ouders en hun minderjarige kinderen: het EVRM, ‘the recommendation on parental responsibilities’ en het IVRK als leidraad?”, </w:t>
      </w:r>
      <w:r w:rsidRPr="0086280A">
        <w:rPr>
          <w:i/>
          <w:iCs/>
          <w:sz w:val="16"/>
          <w:szCs w:val="16"/>
          <w:lang w:val="nl-NL"/>
        </w:rPr>
        <w:t>TPR</w:t>
      </w:r>
      <w:r w:rsidRPr="0086280A">
        <w:rPr>
          <w:sz w:val="16"/>
          <w:szCs w:val="16"/>
          <w:lang w:val="nl-NL"/>
        </w:rPr>
        <w:t xml:space="preserve"> 1997, </w:t>
      </w:r>
      <w:r w:rsidR="00B81771">
        <w:rPr>
          <w:sz w:val="16"/>
          <w:szCs w:val="16"/>
          <w:lang w:val="nl-NL"/>
        </w:rPr>
        <w:t xml:space="preserve">(543) </w:t>
      </w:r>
      <w:r w:rsidRPr="0086280A">
        <w:rPr>
          <w:sz w:val="16"/>
          <w:szCs w:val="16"/>
          <w:lang w:val="nl-NL"/>
        </w:rPr>
        <w:t>598.</w:t>
      </w:r>
    </w:p>
  </w:footnote>
  <w:footnote w:id="400">
    <w:p w14:paraId="1CFF74E3" w14:textId="1238F641"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bv. Cass. 11 maart 1994, </w:t>
      </w:r>
      <w:r w:rsidRPr="0086280A">
        <w:rPr>
          <w:i/>
          <w:iCs/>
          <w:sz w:val="16"/>
          <w:szCs w:val="16"/>
          <w:lang w:val="nl-NL"/>
        </w:rPr>
        <w:t>EJ</w:t>
      </w:r>
      <w:r w:rsidRPr="0086280A">
        <w:rPr>
          <w:sz w:val="16"/>
          <w:szCs w:val="16"/>
          <w:lang w:val="nl-NL"/>
        </w:rPr>
        <w:t xml:space="preserve"> 1995, 82, noot K. DEKELVER.</w:t>
      </w:r>
    </w:p>
  </w:footnote>
  <w:footnote w:id="401">
    <w:p w14:paraId="170186E6" w14:textId="3C75A6E8"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C. VAN ROY, </w:t>
      </w:r>
      <w:r w:rsidRPr="0086280A">
        <w:rPr>
          <w:i/>
          <w:sz w:val="16"/>
          <w:szCs w:val="16"/>
          <w:lang w:val="nl-NL"/>
        </w:rPr>
        <w:t>De (on)deelbaarheid van het kind</w:t>
      </w:r>
      <w:r w:rsidRPr="0086280A">
        <w:rPr>
          <w:sz w:val="16"/>
          <w:szCs w:val="16"/>
          <w:lang w:val="nl-NL"/>
        </w:rPr>
        <w:t>, Antwerpen, Intersentia, 2021, 38-39.</w:t>
      </w:r>
    </w:p>
  </w:footnote>
  <w:footnote w:id="402">
    <w:p w14:paraId="5A41E382" w14:textId="56DC5A0C"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artikel 1004/1, §6, eerste lid Ger.W.</w:t>
      </w:r>
    </w:p>
  </w:footnote>
  <w:footnote w:id="403">
    <w:p w14:paraId="64847C92" w14:textId="567545F3"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P. SENAEVE, </w:t>
      </w:r>
      <w:r w:rsidRPr="0086280A">
        <w:rPr>
          <w:i/>
          <w:iCs/>
          <w:sz w:val="16"/>
          <w:szCs w:val="16"/>
          <w:lang w:val="nl-NL"/>
        </w:rPr>
        <w:t>Co-ouderschap en omgangsrecht</w:t>
      </w:r>
      <w:r w:rsidRPr="0086280A">
        <w:rPr>
          <w:sz w:val="16"/>
          <w:szCs w:val="16"/>
          <w:lang w:val="nl-NL"/>
        </w:rPr>
        <w:t xml:space="preserve">, Antwerpen, Maklu Uitgevers, 1995, 50; D. VAN GRUNDERBEECK, </w:t>
      </w:r>
      <w:r w:rsidRPr="0086280A">
        <w:rPr>
          <w:i/>
          <w:iCs/>
          <w:sz w:val="16"/>
          <w:szCs w:val="16"/>
          <w:lang w:val="nl-NL"/>
        </w:rPr>
        <w:t>Beginselen van personen- en familierecht</w:t>
      </w:r>
      <w:r w:rsidRPr="0086280A">
        <w:rPr>
          <w:sz w:val="16"/>
          <w:szCs w:val="16"/>
          <w:lang w:val="nl-NL"/>
        </w:rPr>
        <w:t>, Antwerpen, Intersentia, 2003, 605.</w:t>
      </w:r>
    </w:p>
  </w:footnote>
  <w:footnote w:id="404">
    <w:p w14:paraId="52BFAD05" w14:textId="4A4DBF9B"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Art</w:t>
      </w:r>
      <w:r w:rsidR="00E57778">
        <w:rPr>
          <w:sz w:val="16"/>
          <w:szCs w:val="16"/>
          <w:lang w:val="nl-NL"/>
        </w:rPr>
        <w:t>ikel</w:t>
      </w:r>
      <w:r w:rsidRPr="0086280A">
        <w:rPr>
          <w:sz w:val="16"/>
          <w:szCs w:val="16"/>
          <w:lang w:val="nl-NL"/>
        </w:rPr>
        <w:t xml:space="preserve"> 8 EVRM; P. SENAEVE, </w:t>
      </w:r>
      <w:r w:rsidRPr="0086280A">
        <w:rPr>
          <w:i/>
          <w:iCs/>
          <w:sz w:val="16"/>
          <w:szCs w:val="16"/>
          <w:lang w:val="nl-NL"/>
        </w:rPr>
        <w:t>Co- ouderschap en omgangsrecht</w:t>
      </w:r>
      <w:r w:rsidRPr="0086280A">
        <w:rPr>
          <w:sz w:val="16"/>
          <w:szCs w:val="16"/>
          <w:lang w:val="nl-NL"/>
        </w:rPr>
        <w:t>, Antwerpen, Maklu Uitgevers, 1995, 50-51</w:t>
      </w:r>
      <w:r w:rsidR="00E57778">
        <w:rPr>
          <w:sz w:val="16"/>
          <w:szCs w:val="16"/>
          <w:lang w:val="nl-NL"/>
        </w:rPr>
        <w:t xml:space="preserve">; </w:t>
      </w:r>
      <w:r w:rsidR="00E57778" w:rsidRPr="0086280A">
        <w:rPr>
          <w:sz w:val="16"/>
          <w:szCs w:val="16"/>
          <w:lang w:val="nl-NL"/>
        </w:rPr>
        <w:t>K. JACOBS, “Het omgangsrecht in België</w:t>
      </w:r>
      <w:r w:rsidR="00E57778" w:rsidRPr="0086280A">
        <w:rPr>
          <w:rFonts w:ascii="Arial" w:hAnsi="Arial" w:cs="Arial"/>
          <w:sz w:val="16"/>
          <w:szCs w:val="16"/>
          <w:lang w:val="nl-NL"/>
        </w:rPr>
        <w:t>̈</w:t>
      </w:r>
      <w:r w:rsidR="00E57778" w:rsidRPr="0086280A">
        <w:rPr>
          <w:sz w:val="16"/>
          <w:szCs w:val="16"/>
          <w:lang w:val="nl-NL"/>
        </w:rPr>
        <w:t xml:space="preserve"> en Nederland”, </w:t>
      </w:r>
      <w:r w:rsidR="00E57778" w:rsidRPr="0086280A">
        <w:rPr>
          <w:i/>
          <w:iCs/>
          <w:sz w:val="16"/>
          <w:szCs w:val="16"/>
          <w:lang w:val="nl-NL"/>
        </w:rPr>
        <w:t xml:space="preserve">TPR </w:t>
      </w:r>
      <w:r w:rsidR="00E57778" w:rsidRPr="0086280A">
        <w:rPr>
          <w:sz w:val="16"/>
          <w:szCs w:val="16"/>
          <w:lang w:val="nl-NL"/>
        </w:rPr>
        <w:t xml:space="preserve">1996, </w:t>
      </w:r>
      <w:r w:rsidR="00B81771">
        <w:rPr>
          <w:sz w:val="16"/>
          <w:szCs w:val="16"/>
          <w:lang w:val="nl-NL"/>
        </w:rPr>
        <w:t xml:space="preserve">(827) </w:t>
      </w:r>
      <w:r w:rsidR="00E57778" w:rsidRPr="0086280A">
        <w:rPr>
          <w:sz w:val="16"/>
          <w:szCs w:val="16"/>
          <w:lang w:val="nl-NL"/>
        </w:rPr>
        <w:t>872</w:t>
      </w:r>
      <w:r w:rsidR="00E57778">
        <w:rPr>
          <w:sz w:val="16"/>
          <w:szCs w:val="16"/>
          <w:lang w:val="nl-NL"/>
        </w:rPr>
        <w:t>.</w:t>
      </w:r>
    </w:p>
  </w:footnote>
  <w:footnote w:id="405">
    <w:p w14:paraId="7AFB9E6C" w14:textId="2B399E64"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P. SENAEVE, </w:t>
      </w:r>
      <w:r w:rsidRPr="0086280A">
        <w:rPr>
          <w:i/>
          <w:iCs/>
          <w:sz w:val="16"/>
          <w:szCs w:val="16"/>
          <w:lang w:val="nl-NL"/>
        </w:rPr>
        <w:t>Co-ouderschap en omgangsrecht</w:t>
      </w:r>
      <w:r w:rsidRPr="0086280A">
        <w:rPr>
          <w:sz w:val="16"/>
          <w:szCs w:val="16"/>
          <w:lang w:val="nl-NL"/>
        </w:rPr>
        <w:t xml:space="preserve">, Antwerpen, Maklu Uitgevers, 1995, 51: P. SENAEVE en C. DECLERCK, </w:t>
      </w:r>
      <w:r w:rsidRPr="0086280A">
        <w:rPr>
          <w:i/>
          <w:iCs/>
          <w:sz w:val="16"/>
          <w:szCs w:val="16"/>
          <w:lang w:val="nl-NL"/>
        </w:rPr>
        <w:t>Compendium van het personen- en familierecht</w:t>
      </w:r>
      <w:r w:rsidRPr="0086280A">
        <w:rPr>
          <w:sz w:val="16"/>
          <w:szCs w:val="16"/>
          <w:lang w:val="nl-NL"/>
        </w:rPr>
        <w:t>, Leuven, Acco, 2017, 678.</w:t>
      </w:r>
    </w:p>
  </w:footnote>
  <w:footnote w:id="406">
    <w:p w14:paraId="0C7BF833" w14:textId="77777777"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G. VERSCHELDEN, </w:t>
      </w:r>
      <w:r w:rsidRPr="0086280A">
        <w:rPr>
          <w:i/>
          <w:iCs/>
          <w:sz w:val="16"/>
          <w:szCs w:val="16"/>
          <w:lang w:val="nl-NL"/>
        </w:rPr>
        <w:t>Handboek Belgisch Personen-, familie- en relatievermogensrecht</w:t>
      </w:r>
      <w:r w:rsidRPr="0086280A">
        <w:rPr>
          <w:sz w:val="16"/>
          <w:szCs w:val="16"/>
          <w:lang w:val="nl-NL"/>
        </w:rPr>
        <w:t>, Brugge, die Keure, 2021, 453.</w:t>
      </w:r>
    </w:p>
  </w:footnote>
  <w:footnote w:id="407">
    <w:p w14:paraId="0AED74E1" w14:textId="77777777"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F. SWENNEN, </w:t>
      </w:r>
      <w:r w:rsidRPr="0086280A">
        <w:rPr>
          <w:i/>
          <w:iCs/>
          <w:sz w:val="16"/>
          <w:szCs w:val="16"/>
          <w:lang w:val="nl-NL"/>
        </w:rPr>
        <w:t>Het personen- en familierecht (achtste, herziene uitgave)</w:t>
      </w:r>
      <w:r w:rsidRPr="0086280A">
        <w:rPr>
          <w:sz w:val="16"/>
          <w:szCs w:val="16"/>
          <w:lang w:val="nl-NL"/>
        </w:rPr>
        <w:t>, Mortsel, Intersentia, 2023, 540 en 552.</w:t>
      </w:r>
    </w:p>
  </w:footnote>
  <w:footnote w:id="408">
    <w:p w14:paraId="59216588" w14:textId="13835E9E"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Zie in </w:t>
      </w:r>
      <w:proofErr w:type="spellStart"/>
      <w:r w:rsidRPr="004F6728">
        <w:rPr>
          <w:sz w:val="16"/>
          <w:szCs w:val="16"/>
          <w:lang w:val="en-US"/>
        </w:rPr>
        <w:t>dezelfde</w:t>
      </w:r>
      <w:proofErr w:type="spellEnd"/>
      <w:r w:rsidRPr="004F6728">
        <w:rPr>
          <w:sz w:val="16"/>
          <w:szCs w:val="16"/>
          <w:lang w:val="en-US"/>
        </w:rPr>
        <w:t xml:space="preserve"> zin </w:t>
      </w:r>
      <w:proofErr w:type="spellStart"/>
      <w:r w:rsidRPr="004F6728">
        <w:rPr>
          <w:sz w:val="16"/>
          <w:szCs w:val="16"/>
          <w:lang w:val="en-US"/>
        </w:rPr>
        <w:t>ook</w:t>
      </w:r>
      <w:proofErr w:type="spellEnd"/>
      <w:r w:rsidRPr="004F6728">
        <w:rPr>
          <w:sz w:val="16"/>
          <w:szCs w:val="16"/>
          <w:lang w:val="en-US"/>
        </w:rPr>
        <w:t xml:space="preserve"> de </w:t>
      </w:r>
      <w:proofErr w:type="spellStart"/>
      <w:r w:rsidRPr="004F6728">
        <w:rPr>
          <w:sz w:val="16"/>
          <w:szCs w:val="16"/>
          <w:lang w:val="en-US"/>
        </w:rPr>
        <w:t>argumentatie</w:t>
      </w:r>
      <w:proofErr w:type="spellEnd"/>
      <w:r w:rsidRPr="004F6728">
        <w:rPr>
          <w:sz w:val="16"/>
          <w:szCs w:val="16"/>
          <w:lang w:val="en-US"/>
        </w:rPr>
        <w:t xml:space="preserve"> in L. </w:t>
      </w:r>
      <w:r w:rsidRPr="004F6728">
        <w:rPr>
          <w:rFonts w:eastAsia="Verdana" w:cs="Verdana"/>
          <w:sz w:val="16"/>
          <w:szCs w:val="16"/>
          <w:lang w:val="en-US"/>
        </w:rPr>
        <w:t xml:space="preserve">FERGUSON, “Not merely rights for children but children’s rights: The theory gap and the assumption of the importance of children’s rights”, </w:t>
      </w:r>
      <w:r w:rsidRPr="004F6728">
        <w:rPr>
          <w:rFonts w:eastAsia="Verdana" w:cs="Verdana"/>
          <w:i/>
          <w:sz w:val="16"/>
          <w:szCs w:val="16"/>
          <w:lang w:val="en-US"/>
        </w:rPr>
        <w:t>The International Journal of Children’s Rights</w:t>
      </w:r>
      <w:r w:rsidRPr="004F6728">
        <w:rPr>
          <w:rFonts w:eastAsia="Verdana" w:cs="Verdana"/>
          <w:sz w:val="16"/>
          <w:szCs w:val="16"/>
          <w:lang w:val="en-US"/>
        </w:rPr>
        <w:t xml:space="preserve"> 2013, </w:t>
      </w:r>
      <w:proofErr w:type="spellStart"/>
      <w:r w:rsidRPr="004F6728">
        <w:rPr>
          <w:rFonts w:eastAsia="Verdana" w:cs="Verdana"/>
          <w:sz w:val="16"/>
          <w:szCs w:val="16"/>
          <w:lang w:val="en-US"/>
        </w:rPr>
        <w:t>afl</w:t>
      </w:r>
      <w:proofErr w:type="spellEnd"/>
      <w:r w:rsidRPr="004F6728">
        <w:rPr>
          <w:rFonts w:eastAsia="Verdana" w:cs="Verdana"/>
          <w:sz w:val="16"/>
          <w:szCs w:val="16"/>
          <w:lang w:val="en-US"/>
        </w:rPr>
        <w:t xml:space="preserve">. 21, </w:t>
      </w:r>
      <w:r w:rsidR="00B81771">
        <w:rPr>
          <w:rFonts w:eastAsia="Verdana" w:cs="Verdana"/>
          <w:sz w:val="16"/>
          <w:szCs w:val="16"/>
          <w:lang w:val="en-US"/>
        </w:rPr>
        <w:t xml:space="preserve">(177) </w:t>
      </w:r>
      <w:r w:rsidRPr="004F6728">
        <w:rPr>
          <w:rFonts w:eastAsia="Verdana" w:cs="Verdana"/>
          <w:sz w:val="16"/>
          <w:szCs w:val="16"/>
          <w:lang w:val="en-US"/>
        </w:rPr>
        <w:t>191-195.</w:t>
      </w:r>
    </w:p>
  </w:footnote>
  <w:footnote w:id="409">
    <w:p w14:paraId="178E252E" w14:textId="764BA081"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86280A">
        <w:rPr>
          <w:sz w:val="16"/>
          <w:szCs w:val="16"/>
          <w:lang w:val="nl-NL"/>
        </w:rPr>
        <w:t xml:space="preserve"> Cass. 11 maart 1994, AR C.93.0342.N, </w:t>
      </w:r>
      <w:r w:rsidRPr="0086280A">
        <w:rPr>
          <w:i/>
          <w:sz w:val="16"/>
          <w:szCs w:val="16"/>
          <w:lang w:val="nl-NL"/>
        </w:rPr>
        <w:t>EJ</w:t>
      </w:r>
      <w:r w:rsidRPr="0086280A">
        <w:rPr>
          <w:sz w:val="16"/>
          <w:szCs w:val="16"/>
          <w:lang w:val="nl-NL"/>
        </w:rPr>
        <w:t xml:space="preserve"> 1995, 82, noot K. DEKELVER;</w:t>
      </w:r>
      <w:r w:rsidRPr="0086280A">
        <w:rPr>
          <w:rFonts w:eastAsia="Verdana" w:cs="Verdana"/>
          <w:sz w:val="16"/>
          <w:szCs w:val="16"/>
          <w:lang w:val="nl-NL"/>
        </w:rPr>
        <w:t xml:space="preserve"> Cass. 4 november 1999, AR C.99.0048.N, </w:t>
      </w:r>
      <w:r w:rsidRPr="0086280A">
        <w:rPr>
          <w:rFonts w:eastAsia="Verdana" w:cs="Verdana"/>
          <w:i/>
          <w:iCs/>
          <w:sz w:val="16"/>
          <w:szCs w:val="16"/>
          <w:lang w:val="nl-NL"/>
        </w:rPr>
        <w:t>TJK</w:t>
      </w:r>
      <w:r w:rsidRPr="0086280A">
        <w:rPr>
          <w:rFonts w:eastAsia="Verdana" w:cs="Verdana"/>
          <w:sz w:val="16"/>
          <w:szCs w:val="16"/>
          <w:lang w:val="nl-NL"/>
        </w:rPr>
        <w:t xml:space="preserve"> 2000, afl. 2, 62</w:t>
      </w:r>
      <w:r w:rsidRPr="0086280A">
        <w:rPr>
          <w:sz w:val="16"/>
          <w:szCs w:val="16"/>
          <w:lang w:val="nl-NL"/>
        </w:rPr>
        <w:t>; Luik (16</w:t>
      </w:r>
      <w:r w:rsidRPr="0086280A">
        <w:rPr>
          <w:sz w:val="16"/>
          <w:szCs w:val="16"/>
          <w:vertAlign w:val="superscript"/>
          <w:lang w:val="nl-NL"/>
        </w:rPr>
        <w:t>e</w:t>
      </w:r>
      <w:r w:rsidRPr="0086280A">
        <w:rPr>
          <w:sz w:val="16"/>
          <w:szCs w:val="16"/>
          <w:lang w:val="nl-NL"/>
        </w:rPr>
        <w:t xml:space="preserve"> k.) 28 april 2000, </w:t>
      </w:r>
      <w:r w:rsidRPr="0086280A">
        <w:rPr>
          <w:i/>
          <w:iCs/>
          <w:sz w:val="16"/>
          <w:szCs w:val="16"/>
          <w:lang w:val="nl-NL"/>
        </w:rPr>
        <w:t xml:space="preserve">JLMB </w:t>
      </w:r>
      <w:r w:rsidRPr="0086280A">
        <w:rPr>
          <w:sz w:val="16"/>
          <w:szCs w:val="16"/>
          <w:lang w:val="nl-NL"/>
        </w:rPr>
        <w:t>2000, 1085;</w:t>
      </w:r>
      <w:r w:rsidRPr="0086280A">
        <w:rPr>
          <w:i/>
          <w:iCs/>
          <w:sz w:val="16"/>
          <w:szCs w:val="16"/>
          <w:lang w:val="nl-NL"/>
        </w:rPr>
        <w:t xml:space="preserve"> </w:t>
      </w:r>
      <w:r w:rsidRPr="0086280A">
        <w:rPr>
          <w:sz w:val="16"/>
          <w:szCs w:val="16"/>
          <w:lang w:val="nl-NL"/>
        </w:rPr>
        <w:t xml:space="preserve">K. JACOBS, “Het omgangsrecht in België en Nederland”, </w:t>
      </w:r>
      <w:r w:rsidRPr="0086280A">
        <w:rPr>
          <w:i/>
          <w:iCs/>
          <w:sz w:val="16"/>
          <w:szCs w:val="16"/>
          <w:lang w:val="nl-NL"/>
        </w:rPr>
        <w:t>TPR</w:t>
      </w:r>
      <w:r w:rsidRPr="0086280A">
        <w:rPr>
          <w:sz w:val="16"/>
          <w:szCs w:val="16"/>
          <w:lang w:val="nl-NL"/>
        </w:rPr>
        <w:t xml:space="preserve"> 1996, 871; E. VERHELLEN, “Het Verdrag inzake de rechten van het kind meerderjarig. </w:t>
      </w:r>
      <w:proofErr w:type="spellStart"/>
      <w:r w:rsidRPr="004F6728">
        <w:rPr>
          <w:sz w:val="16"/>
          <w:szCs w:val="16"/>
          <w:lang w:val="en-US"/>
        </w:rPr>
        <w:t>Enkele</w:t>
      </w:r>
      <w:proofErr w:type="spellEnd"/>
      <w:r w:rsidRPr="004F6728">
        <w:rPr>
          <w:sz w:val="16"/>
          <w:szCs w:val="16"/>
          <w:lang w:val="en-US"/>
        </w:rPr>
        <w:t xml:space="preserve"> </w:t>
      </w:r>
      <w:proofErr w:type="spellStart"/>
      <w:r w:rsidRPr="004F6728">
        <w:rPr>
          <w:sz w:val="16"/>
          <w:szCs w:val="16"/>
          <w:lang w:val="en-US"/>
        </w:rPr>
        <w:t>beschouwingen</w:t>
      </w:r>
      <w:proofErr w:type="spellEnd"/>
      <w:r w:rsidRPr="004F6728">
        <w:rPr>
          <w:sz w:val="16"/>
          <w:szCs w:val="16"/>
          <w:lang w:val="en-US"/>
        </w:rPr>
        <w:t xml:space="preserve"> over de </w:t>
      </w:r>
      <w:proofErr w:type="spellStart"/>
      <w:r w:rsidRPr="004F6728">
        <w:rPr>
          <w:sz w:val="16"/>
          <w:szCs w:val="16"/>
          <w:lang w:val="en-US"/>
        </w:rPr>
        <w:t>implementatie</w:t>
      </w:r>
      <w:proofErr w:type="spellEnd"/>
      <w:r w:rsidRPr="004F6728">
        <w:rPr>
          <w:sz w:val="16"/>
          <w:szCs w:val="16"/>
          <w:lang w:val="en-US"/>
        </w:rPr>
        <w:t xml:space="preserve"> in </w:t>
      </w:r>
      <w:proofErr w:type="spellStart"/>
      <w:r w:rsidRPr="004F6728">
        <w:rPr>
          <w:sz w:val="16"/>
          <w:szCs w:val="16"/>
          <w:lang w:val="en-US"/>
        </w:rPr>
        <w:t>België</w:t>
      </w:r>
      <w:proofErr w:type="spellEnd"/>
      <w:r w:rsidRPr="004F6728">
        <w:rPr>
          <w:sz w:val="16"/>
          <w:szCs w:val="16"/>
          <w:lang w:val="en-US"/>
        </w:rPr>
        <w:t xml:space="preserve">”, </w:t>
      </w:r>
      <w:r w:rsidRPr="004F6728">
        <w:rPr>
          <w:i/>
          <w:sz w:val="16"/>
          <w:szCs w:val="16"/>
          <w:lang w:val="en-US"/>
        </w:rPr>
        <w:t>TJK</w:t>
      </w:r>
      <w:r w:rsidRPr="004F6728">
        <w:rPr>
          <w:sz w:val="16"/>
          <w:szCs w:val="16"/>
          <w:lang w:val="en-US"/>
        </w:rPr>
        <w:t xml:space="preserve"> 2008/1, </w:t>
      </w:r>
      <w:r w:rsidR="00B81771">
        <w:rPr>
          <w:sz w:val="16"/>
          <w:szCs w:val="16"/>
          <w:lang w:val="en-US"/>
        </w:rPr>
        <w:t xml:space="preserve">(11) </w:t>
      </w:r>
      <w:r w:rsidRPr="004F6728">
        <w:rPr>
          <w:sz w:val="16"/>
          <w:szCs w:val="16"/>
          <w:lang w:val="en-US"/>
        </w:rPr>
        <w:t>29-30.</w:t>
      </w:r>
    </w:p>
  </w:footnote>
  <w:footnote w:id="410">
    <w:p w14:paraId="59E2A692" w14:textId="76740FBB"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Zie </w:t>
      </w:r>
      <w:proofErr w:type="spellStart"/>
      <w:r w:rsidRPr="004F6728">
        <w:rPr>
          <w:sz w:val="16"/>
          <w:szCs w:val="16"/>
          <w:lang w:val="en-US"/>
        </w:rPr>
        <w:t>Slotbeschouwingen</w:t>
      </w:r>
      <w:proofErr w:type="spellEnd"/>
      <w:r w:rsidRPr="004F6728">
        <w:rPr>
          <w:sz w:val="16"/>
          <w:szCs w:val="16"/>
          <w:lang w:val="en-US"/>
        </w:rPr>
        <w:t xml:space="preserve"> van het </w:t>
      </w:r>
      <w:proofErr w:type="spellStart"/>
      <w:r w:rsidRPr="004F6728">
        <w:rPr>
          <w:sz w:val="16"/>
          <w:szCs w:val="16"/>
          <w:lang w:val="en-US"/>
        </w:rPr>
        <w:t>Comité</w:t>
      </w:r>
      <w:proofErr w:type="spellEnd"/>
      <w:r w:rsidRPr="004F6728">
        <w:rPr>
          <w:sz w:val="16"/>
          <w:szCs w:val="16"/>
          <w:lang w:val="en-US"/>
        </w:rPr>
        <w:t xml:space="preserve"> </w:t>
      </w:r>
      <w:proofErr w:type="spellStart"/>
      <w:r w:rsidRPr="004F6728">
        <w:rPr>
          <w:sz w:val="16"/>
          <w:szCs w:val="16"/>
          <w:lang w:val="en-US"/>
        </w:rPr>
        <w:t>voor</w:t>
      </w:r>
      <w:proofErr w:type="spellEnd"/>
      <w:r w:rsidRPr="004F6728">
        <w:rPr>
          <w:sz w:val="16"/>
          <w:szCs w:val="16"/>
          <w:lang w:val="en-US"/>
        </w:rPr>
        <w:t xml:space="preserve"> de </w:t>
      </w:r>
      <w:proofErr w:type="spellStart"/>
      <w:r w:rsidRPr="004F6728">
        <w:rPr>
          <w:sz w:val="16"/>
          <w:szCs w:val="16"/>
          <w:lang w:val="en-US"/>
        </w:rPr>
        <w:t>Rechten</w:t>
      </w:r>
      <w:proofErr w:type="spellEnd"/>
      <w:r w:rsidRPr="004F6728">
        <w:rPr>
          <w:sz w:val="16"/>
          <w:szCs w:val="16"/>
          <w:lang w:val="en-US"/>
        </w:rPr>
        <w:t xml:space="preserve"> van het Kind </w:t>
      </w:r>
      <w:proofErr w:type="spellStart"/>
      <w:r w:rsidRPr="004F6728">
        <w:rPr>
          <w:sz w:val="16"/>
          <w:szCs w:val="16"/>
          <w:lang w:val="en-US"/>
        </w:rPr>
        <w:t>naar</w:t>
      </w:r>
      <w:proofErr w:type="spellEnd"/>
      <w:r w:rsidRPr="004F6728">
        <w:rPr>
          <w:sz w:val="16"/>
          <w:szCs w:val="16"/>
          <w:lang w:val="en-US"/>
        </w:rPr>
        <w:t xml:space="preserve"> </w:t>
      </w:r>
      <w:proofErr w:type="spellStart"/>
      <w:r w:rsidRPr="004F6728">
        <w:rPr>
          <w:sz w:val="16"/>
          <w:szCs w:val="16"/>
          <w:lang w:val="en-US"/>
        </w:rPr>
        <w:t>aanleiding</w:t>
      </w:r>
      <w:proofErr w:type="spellEnd"/>
      <w:r w:rsidRPr="004F6728">
        <w:rPr>
          <w:sz w:val="16"/>
          <w:szCs w:val="16"/>
          <w:lang w:val="en-US"/>
        </w:rPr>
        <w:t xml:space="preserve"> van de </w:t>
      </w:r>
      <w:proofErr w:type="spellStart"/>
      <w:r w:rsidRPr="004F6728">
        <w:rPr>
          <w:sz w:val="16"/>
          <w:szCs w:val="16"/>
          <w:lang w:val="en-US"/>
        </w:rPr>
        <w:t>bespreking</w:t>
      </w:r>
      <w:proofErr w:type="spellEnd"/>
      <w:r w:rsidRPr="004F6728">
        <w:rPr>
          <w:sz w:val="16"/>
          <w:szCs w:val="16"/>
          <w:lang w:val="en-US"/>
        </w:rPr>
        <w:t xml:space="preserve"> van het </w:t>
      </w:r>
      <w:proofErr w:type="spellStart"/>
      <w:r w:rsidRPr="004F6728">
        <w:rPr>
          <w:sz w:val="16"/>
          <w:szCs w:val="16"/>
          <w:lang w:val="en-US"/>
        </w:rPr>
        <w:t>tweede</w:t>
      </w:r>
      <w:proofErr w:type="spellEnd"/>
      <w:r w:rsidRPr="004F6728">
        <w:rPr>
          <w:sz w:val="16"/>
          <w:szCs w:val="16"/>
          <w:lang w:val="en-US"/>
        </w:rPr>
        <w:t xml:space="preserve"> </w:t>
      </w:r>
      <w:proofErr w:type="spellStart"/>
      <w:r w:rsidRPr="004F6728">
        <w:rPr>
          <w:sz w:val="16"/>
          <w:szCs w:val="16"/>
          <w:lang w:val="en-US"/>
        </w:rPr>
        <w:t>Belgische</w:t>
      </w:r>
      <w:proofErr w:type="spellEnd"/>
      <w:r w:rsidRPr="004F6728">
        <w:rPr>
          <w:sz w:val="16"/>
          <w:szCs w:val="16"/>
          <w:lang w:val="en-US"/>
        </w:rPr>
        <w:t xml:space="preserve"> rapport, 7 </w:t>
      </w:r>
      <w:proofErr w:type="spellStart"/>
      <w:r w:rsidRPr="004F6728">
        <w:rPr>
          <w:sz w:val="16"/>
          <w:szCs w:val="16"/>
          <w:lang w:val="en-US"/>
        </w:rPr>
        <w:t>juni</w:t>
      </w:r>
      <w:proofErr w:type="spellEnd"/>
      <w:r w:rsidRPr="004F6728">
        <w:rPr>
          <w:sz w:val="16"/>
          <w:szCs w:val="16"/>
          <w:lang w:val="en-US"/>
        </w:rPr>
        <w:t xml:space="preserve"> 2002 (CRC/C/15/Add.178, §8-9): “The Committee welcomes the information provided by the State party on draft laws concerning the rights of the child, including with respect to adoption, guardianship for unaccompanied minors, access to courts and guarantees of due process. The </w:t>
      </w:r>
      <w:proofErr w:type="spellStart"/>
      <w:r w:rsidRPr="004F6728">
        <w:rPr>
          <w:sz w:val="16"/>
          <w:szCs w:val="16"/>
          <w:lang w:val="en-US"/>
        </w:rPr>
        <w:t>Commitee</w:t>
      </w:r>
      <w:proofErr w:type="spellEnd"/>
      <w:r w:rsidRPr="004F6728">
        <w:rPr>
          <w:sz w:val="16"/>
          <w:szCs w:val="16"/>
          <w:lang w:val="en-US"/>
        </w:rPr>
        <w:t xml:space="preserve"> recommends that the State party: (a) Rigorously review these laws and ensure that they and other laws concerning children as well as administrative regulations, are </w:t>
      </w:r>
      <w:r w:rsidRPr="004F6728">
        <w:rPr>
          <w:sz w:val="16"/>
          <w:szCs w:val="16"/>
          <w:u w:val="single"/>
          <w:lang w:val="en-US"/>
        </w:rPr>
        <w:t>rights-based</w:t>
      </w:r>
      <w:r w:rsidRPr="004F6728">
        <w:rPr>
          <w:sz w:val="16"/>
          <w:szCs w:val="16"/>
          <w:lang w:val="en-US"/>
        </w:rPr>
        <w:t xml:space="preserve"> and conform to international human rights standards, including the Convention; (b) Ensure that adequate provision is made for their effective implementation, including budgetary allocation; (c) Ensure their </w:t>
      </w:r>
      <w:r w:rsidRPr="004F6728">
        <w:rPr>
          <w:sz w:val="16"/>
          <w:szCs w:val="16"/>
          <w:u w:val="single"/>
          <w:lang w:val="en-US"/>
        </w:rPr>
        <w:t>speedy promulgation</w:t>
      </w:r>
      <w:r w:rsidRPr="004F6728">
        <w:rPr>
          <w:sz w:val="16"/>
          <w:szCs w:val="16"/>
          <w:lang w:val="en-US"/>
        </w:rPr>
        <w:t xml:space="preserve">.” (eigen </w:t>
      </w:r>
      <w:proofErr w:type="spellStart"/>
      <w:r w:rsidRPr="004F6728">
        <w:rPr>
          <w:sz w:val="16"/>
          <w:szCs w:val="16"/>
          <w:lang w:val="en-US"/>
        </w:rPr>
        <w:t>nadruk</w:t>
      </w:r>
      <w:proofErr w:type="spellEnd"/>
      <w:r w:rsidRPr="004F6728">
        <w:rPr>
          <w:sz w:val="16"/>
          <w:szCs w:val="16"/>
          <w:lang w:val="en-US"/>
        </w:rPr>
        <w:t>).</w:t>
      </w:r>
    </w:p>
  </w:footnote>
  <w:footnote w:id="411">
    <w:p w14:paraId="0FAE2C40" w14:textId="2D04E0EA"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M. COUZENS, “Autonomy rights versus parental autonomy” in A. ALEN, H. BOSLY, M. DE BIE, J. VANDE LANOTTE </w:t>
      </w:r>
      <w:proofErr w:type="spellStart"/>
      <w:r w:rsidRPr="004F6728">
        <w:rPr>
          <w:sz w:val="16"/>
          <w:szCs w:val="16"/>
          <w:lang w:val="en-US"/>
        </w:rPr>
        <w:t>e.a.</w:t>
      </w:r>
      <w:proofErr w:type="spellEnd"/>
      <w:r w:rsidRPr="004F6728">
        <w:rPr>
          <w:sz w:val="16"/>
          <w:szCs w:val="16"/>
          <w:lang w:val="en-US"/>
        </w:rPr>
        <w:t xml:space="preserve"> (eds.), </w:t>
      </w:r>
      <w:r w:rsidRPr="004F6728">
        <w:rPr>
          <w:i/>
          <w:iCs/>
          <w:sz w:val="16"/>
          <w:szCs w:val="16"/>
          <w:lang w:val="en-US"/>
        </w:rPr>
        <w:t>The UN Children’s Right Convention: theory meets practice</w:t>
      </w:r>
      <w:r w:rsidRPr="004F6728">
        <w:rPr>
          <w:sz w:val="16"/>
          <w:szCs w:val="16"/>
          <w:lang w:val="en-US"/>
        </w:rPr>
        <w:t xml:space="preserve">, </w:t>
      </w:r>
      <w:proofErr w:type="spellStart"/>
      <w:r w:rsidRPr="004F6728">
        <w:rPr>
          <w:sz w:val="16"/>
          <w:szCs w:val="16"/>
          <w:lang w:val="en-US"/>
        </w:rPr>
        <w:t>Antwerpen</w:t>
      </w:r>
      <w:proofErr w:type="spellEnd"/>
      <w:r w:rsidRPr="004F6728">
        <w:rPr>
          <w:sz w:val="16"/>
          <w:szCs w:val="16"/>
          <w:lang w:val="en-US"/>
        </w:rPr>
        <w:t xml:space="preserve">, Intersentia, 2007, 426; T. WUYTS, </w:t>
      </w:r>
      <w:proofErr w:type="spellStart"/>
      <w:r w:rsidRPr="004F6728">
        <w:rPr>
          <w:i/>
          <w:iCs/>
          <w:sz w:val="16"/>
          <w:szCs w:val="16"/>
          <w:lang w:val="en-US"/>
        </w:rPr>
        <w:t>Ouderlijk</w:t>
      </w:r>
      <w:proofErr w:type="spellEnd"/>
      <w:r w:rsidRPr="004F6728">
        <w:rPr>
          <w:i/>
          <w:iCs/>
          <w:sz w:val="16"/>
          <w:szCs w:val="16"/>
          <w:lang w:val="en-US"/>
        </w:rPr>
        <w:t xml:space="preserve"> </w:t>
      </w:r>
      <w:proofErr w:type="spellStart"/>
      <w:r w:rsidRPr="004F6728">
        <w:rPr>
          <w:i/>
          <w:iCs/>
          <w:sz w:val="16"/>
          <w:szCs w:val="16"/>
          <w:lang w:val="en-US"/>
        </w:rPr>
        <w:t>gezag</w:t>
      </w:r>
      <w:proofErr w:type="spellEnd"/>
      <w:r w:rsidRPr="004F6728">
        <w:rPr>
          <w:sz w:val="16"/>
          <w:szCs w:val="16"/>
          <w:lang w:val="en-US"/>
        </w:rPr>
        <w:t xml:space="preserve">, </w:t>
      </w:r>
      <w:proofErr w:type="spellStart"/>
      <w:r w:rsidRPr="004F6728">
        <w:rPr>
          <w:sz w:val="16"/>
          <w:szCs w:val="16"/>
          <w:lang w:val="en-US"/>
        </w:rPr>
        <w:t>Antwerpen</w:t>
      </w:r>
      <w:proofErr w:type="spellEnd"/>
      <w:r w:rsidRPr="004F6728">
        <w:rPr>
          <w:sz w:val="16"/>
          <w:szCs w:val="16"/>
          <w:lang w:val="en-US"/>
        </w:rPr>
        <w:t>, Intersentia, 2013, 627.</w:t>
      </w:r>
    </w:p>
  </w:footnote>
  <w:footnote w:id="412">
    <w:p w14:paraId="2412ED1F" w14:textId="77777777"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T. WUYTS, </w:t>
      </w:r>
      <w:r w:rsidRPr="0086280A">
        <w:rPr>
          <w:i/>
          <w:iCs/>
          <w:sz w:val="16"/>
          <w:szCs w:val="16"/>
          <w:lang w:val="nl-NL"/>
        </w:rPr>
        <w:t>Ouderlijk gezag</w:t>
      </w:r>
      <w:r w:rsidRPr="0086280A">
        <w:rPr>
          <w:sz w:val="16"/>
          <w:szCs w:val="16"/>
          <w:lang w:val="nl-NL"/>
        </w:rPr>
        <w:t>, Antwerpen, Intersentia, 2013, 627.</w:t>
      </w:r>
    </w:p>
  </w:footnote>
  <w:footnote w:id="413">
    <w:p w14:paraId="73D63269" w14:textId="1EF451D6"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Artikel 4 IVRK.</w:t>
      </w:r>
    </w:p>
  </w:footnote>
  <w:footnote w:id="414">
    <w:p w14:paraId="54024362" w14:textId="74BB89FD"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K. JACOBS, “Het omgangsrecht in België en Nederland”, </w:t>
      </w:r>
      <w:r w:rsidRPr="0086280A">
        <w:rPr>
          <w:i/>
          <w:sz w:val="16"/>
          <w:szCs w:val="16"/>
          <w:lang w:val="nl-NL"/>
        </w:rPr>
        <w:t>TPR</w:t>
      </w:r>
      <w:r w:rsidRPr="0086280A">
        <w:rPr>
          <w:sz w:val="16"/>
          <w:szCs w:val="16"/>
          <w:lang w:val="nl-NL"/>
        </w:rPr>
        <w:t xml:space="preserve"> 1996, </w:t>
      </w:r>
      <w:r w:rsidR="00B81771">
        <w:rPr>
          <w:sz w:val="16"/>
          <w:szCs w:val="16"/>
          <w:lang w:val="nl-NL"/>
        </w:rPr>
        <w:t xml:space="preserve">(827) </w:t>
      </w:r>
      <w:r w:rsidRPr="0086280A">
        <w:rPr>
          <w:sz w:val="16"/>
          <w:szCs w:val="16"/>
          <w:lang w:val="nl-NL"/>
        </w:rPr>
        <w:t>834.</w:t>
      </w:r>
    </w:p>
  </w:footnote>
  <w:footnote w:id="415">
    <w:p w14:paraId="4F116442" w14:textId="0E36CCEC"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M.V. ANTOKOLSKAIA en G. VERSCHELDEN, “Kinderen: gezag, verblijf en alimentatie naar Nederlands en Belgisch recht” in K. BOELE-WOELKI en F. SWENNEN (red.), </w:t>
      </w:r>
      <w:r w:rsidRPr="0086280A">
        <w:rPr>
          <w:i/>
          <w:iCs/>
          <w:sz w:val="16"/>
          <w:szCs w:val="16"/>
          <w:lang w:val="nl-NL"/>
        </w:rPr>
        <w:t>Vergelijkenderwijs. Actuele ontwikkelingen in het Belgische en Nederlandse familierecht</w:t>
      </w:r>
      <w:r w:rsidRPr="0086280A">
        <w:rPr>
          <w:sz w:val="16"/>
          <w:szCs w:val="16"/>
          <w:lang w:val="nl-NL"/>
        </w:rPr>
        <w:t>, Den Haag, Boom Juridische Uitgevers, 2012, 191-192.</w:t>
      </w:r>
    </w:p>
  </w:footnote>
  <w:footnote w:id="416">
    <w:p w14:paraId="728AA9DF" w14:textId="4749E836"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P. VLAARDINGERBROEK, “De wetgever laat Jeroen (en vele andere kinderen) niet in de koud staan”, </w:t>
      </w:r>
      <w:r w:rsidRPr="0086280A">
        <w:rPr>
          <w:i/>
          <w:iCs/>
          <w:sz w:val="16"/>
          <w:szCs w:val="16"/>
          <w:lang w:val="nl-NL"/>
        </w:rPr>
        <w:t>FJR (NL)</w:t>
      </w:r>
      <w:r w:rsidRPr="0086280A">
        <w:rPr>
          <w:sz w:val="16"/>
          <w:szCs w:val="16"/>
          <w:lang w:val="nl-NL"/>
        </w:rPr>
        <w:t xml:space="preserve"> 2009, </w:t>
      </w:r>
      <w:r w:rsidR="00B81771">
        <w:rPr>
          <w:sz w:val="16"/>
          <w:szCs w:val="16"/>
          <w:lang w:val="nl-NL"/>
        </w:rPr>
        <w:t xml:space="preserve">(228) </w:t>
      </w:r>
      <w:r w:rsidRPr="0086280A">
        <w:rPr>
          <w:sz w:val="16"/>
          <w:szCs w:val="16"/>
          <w:lang w:val="nl-NL"/>
        </w:rPr>
        <w:t>229.</w:t>
      </w:r>
    </w:p>
  </w:footnote>
  <w:footnote w:id="417">
    <w:p w14:paraId="583F0DC8" w14:textId="06BAD0ED"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P. VLAARDINGERBROEK, K. BLANKMAN, A.P. VAN DER LINDEN, E.C.C. PUNSELIE, W.M. SCHRAMA, </w:t>
      </w:r>
      <w:r w:rsidRPr="0086280A">
        <w:rPr>
          <w:i/>
          <w:iCs/>
          <w:sz w:val="16"/>
          <w:szCs w:val="16"/>
          <w:lang w:val="nl-NL"/>
        </w:rPr>
        <w:t>Het hedendaagse personen- en familierecht</w:t>
      </w:r>
      <w:r w:rsidRPr="0086280A">
        <w:rPr>
          <w:sz w:val="16"/>
          <w:szCs w:val="16"/>
          <w:lang w:val="nl-NL"/>
        </w:rPr>
        <w:t>, Deventer, Wolters Kluwer, 2020, 336-338.</w:t>
      </w:r>
    </w:p>
  </w:footnote>
  <w:footnote w:id="418">
    <w:p w14:paraId="629B1F88" w14:textId="2B2E1EA1"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Artikel 1:1, eerste lid NBW; P. VLAARDINGERBROEK, K. BLANKMAN, A.P. VAN DER LINDEN, E.C.C. PUNSELIE, W.M. SCHRAMA, </w:t>
      </w:r>
      <w:r w:rsidRPr="0086280A">
        <w:rPr>
          <w:i/>
          <w:iCs/>
          <w:sz w:val="16"/>
          <w:szCs w:val="16"/>
          <w:lang w:val="nl-NL"/>
        </w:rPr>
        <w:t>Het hedendaagse personen- en familierecht</w:t>
      </w:r>
      <w:r w:rsidRPr="0086280A">
        <w:rPr>
          <w:sz w:val="16"/>
          <w:szCs w:val="16"/>
          <w:lang w:val="nl-NL"/>
        </w:rPr>
        <w:t>, Deventer, Wolters Kluwer, 2020, 29.</w:t>
      </w:r>
    </w:p>
  </w:footnote>
  <w:footnote w:id="419">
    <w:p w14:paraId="05A986BF" w14:textId="51E6D7AB"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artikel 1:234, eerste lid NBW.</w:t>
      </w:r>
    </w:p>
  </w:footnote>
  <w:footnote w:id="420">
    <w:p w14:paraId="1F91B933" w14:textId="0AA3D035"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P. VLAARDINGERBROEK, K. BLANKMAN, A.P. VAN DER LINDEN, E.C.C. PUNSELIE, W.M. SCHRAMA, </w:t>
      </w:r>
      <w:r w:rsidRPr="0086280A">
        <w:rPr>
          <w:i/>
          <w:iCs/>
          <w:sz w:val="16"/>
          <w:szCs w:val="16"/>
          <w:lang w:val="nl-NL"/>
        </w:rPr>
        <w:t>Het hedendaagse personen- en familierecht</w:t>
      </w:r>
      <w:r w:rsidRPr="0086280A">
        <w:rPr>
          <w:sz w:val="16"/>
          <w:szCs w:val="16"/>
          <w:lang w:val="nl-NL"/>
        </w:rPr>
        <w:t>, Deventer, Wolters Kluwer, 2020, 338.</w:t>
      </w:r>
    </w:p>
  </w:footnote>
  <w:footnote w:id="421">
    <w:p w14:paraId="137B3C26" w14:textId="3D47F6C9"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Artikel 1:234, eerste lid NBW.</w:t>
      </w:r>
    </w:p>
  </w:footnote>
  <w:footnote w:id="422">
    <w:p w14:paraId="23BD9BD4" w14:textId="666A9480"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J. DE BOER, </w:t>
      </w:r>
      <w:r w:rsidRPr="0086280A">
        <w:rPr>
          <w:i/>
          <w:iCs/>
          <w:sz w:val="16"/>
          <w:szCs w:val="16"/>
          <w:lang w:val="nl-NL"/>
        </w:rPr>
        <w:t>Mr. C. Assers Handleiding tot de beoefening van het Nederlands Burgerlijk Recht. I. Personen- en familierecht</w:t>
      </w:r>
      <w:r w:rsidRPr="0086280A">
        <w:rPr>
          <w:sz w:val="16"/>
          <w:szCs w:val="16"/>
          <w:lang w:val="nl-NL"/>
        </w:rPr>
        <w:t xml:space="preserve">, Deventer, Kluwer, 2010, 788; E. GRAS, “Heroverweging van artikel 1:234 BW inzake de handelingsonbekwaamheid van minderjarigen” in J.H. DE GRAAD, C. MAK, F.K. VAN WIJK en L.A. MULDERS, </w:t>
      </w:r>
      <w:r w:rsidRPr="0086280A">
        <w:rPr>
          <w:i/>
          <w:iCs/>
          <w:sz w:val="16"/>
          <w:szCs w:val="16"/>
          <w:lang w:val="nl-NL"/>
        </w:rPr>
        <w:t>Rechten van het kind en autonomie</w:t>
      </w:r>
      <w:r w:rsidRPr="0086280A">
        <w:rPr>
          <w:sz w:val="16"/>
          <w:szCs w:val="16"/>
          <w:lang w:val="nl-NL"/>
        </w:rPr>
        <w:t xml:space="preserve">, Nijmegen, Ars Aequi Libri, 2010, 77; M.J. STEKETEE, A.M. OVERGAAG en K.D. LÜNNEMANN, “Minderjarigen als procespartij? Een onderzoek naar de bijzondere curator en een formele rechtsingang voor minderjarigen”, </w:t>
      </w:r>
      <w:r w:rsidRPr="0086280A">
        <w:rPr>
          <w:i/>
          <w:iCs/>
          <w:sz w:val="16"/>
          <w:szCs w:val="16"/>
          <w:lang w:val="nl-NL"/>
        </w:rPr>
        <w:t>Verwey-Jonker</w:t>
      </w:r>
      <w:r w:rsidRPr="0086280A">
        <w:rPr>
          <w:sz w:val="16"/>
          <w:szCs w:val="16"/>
          <w:lang w:val="nl-NL"/>
        </w:rPr>
        <w:t xml:space="preserve"> oktober 2003.</w:t>
      </w:r>
    </w:p>
  </w:footnote>
  <w:footnote w:id="423">
    <w:p w14:paraId="70EB4080" w14:textId="21CFE4B2"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Bv. het kopen van levensmiddelen, kopen van een buskaartje of cinematicket, aanschaffen van boeken, sport beoefenen…; E. GRAS, “Heroverweging van artikel 1:234 BW inzake de handelingsonbekwaamheid van minderjarigen” in J.H. DE GRAAF, C. MAK, F.K. VAN WIJK en L.A. MULDERS, </w:t>
      </w:r>
      <w:r w:rsidRPr="0086280A">
        <w:rPr>
          <w:i/>
          <w:iCs/>
          <w:sz w:val="16"/>
          <w:szCs w:val="16"/>
          <w:lang w:val="nl-NL"/>
        </w:rPr>
        <w:t>Rechten van het kind en autonomie</w:t>
      </w:r>
      <w:r w:rsidRPr="0086280A">
        <w:rPr>
          <w:sz w:val="16"/>
          <w:szCs w:val="16"/>
          <w:lang w:val="nl-NL"/>
        </w:rPr>
        <w:t>, Nijmegen, Ars Aequi Libri, 2010, 81.</w:t>
      </w:r>
    </w:p>
  </w:footnote>
  <w:footnote w:id="424">
    <w:p w14:paraId="71FD924D" w14:textId="77777777" w:rsidR="00E94F87" w:rsidRPr="0086280A" w:rsidRDefault="00E94F87" w:rsidP="00E94F87">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P. VLAARDINGERBROEK, K. BLANKMAN, A.P. VAN DER LINDEN, E.C.C. PUNSELIE, W.M. SCHRAMA, </w:t>
      </w:r>
      <w:r w:rsidRPr="0086280A">
        <w:rPr>
          <w:i/>
          <w:iCs/>
          <w:sz w:val="16"/>
          <w:szCs w:val="16"/>
          <w:lang w:val="nl-NL"/>
        </w:rPr>
        <w:t>Het hedendaagse personen- en familierecht</w:t>
      </w:r>
      <w:r w:rsidRPr="0086280A">
        <w:rPr>
          <w:sz w:val="16"/>
          <w:szCs w:val="16"/>
          <w:lang w:val="nl-NL"/>
        </w:rPr>
        <w:t>, Deventer, Wolters Kluwer, 2020, 338-339.</w:t>
      </w:r>
    </w:p>
  </w:footnote>
  <w:footnote w:id="425">
    <w:p w14:paraId="5A179A6D" w14:textId="42F71E56"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Artikel 1:247 juncto </w:t>
      </w:r>
      <w:r w:rsidR="00093B9E">
        <w:rPr>
          <w:sz w:val="16"/>
          <w:szCs w:val="16"/>
          <w:lang w:val="nl-NL"/>
        </w:rPr>
        <w:t xml:space="preserve">artikel </w:t>
      </w:r>
      <w:r w:rsidRPr="0086280A">
        <w:rPr>
          <w:sz w:val="16"/>
          <w:szCs w:val="16"/>
          <w:lang w:val="nl-NL"/>
        </w:rPr>
        <w:t xml:space="preserve">1:245, vierde lid NBW; E. JANSEN, “De eigen(aardige) procesbevoegdheid van de minderjarige”, </w:t>
      </w:r>
      <w:r w:rsidRPr="0086280A">
        <w:rPr>
          <w:i/>
          <w:sz w:val="16"/>
          <w:szCs w:val="16"/>
          <w:lang w:val="nl-NL"/>
        </w:rPr>
        <w:t>NJB</w:t>
      </w:r>
      <w:r w:rsidRPr="0086280A">
        <w:rPr>
          <w:sz w:val="16"/>
          <w:szCs w:val="16"/>
          <w:lang w:val="nl-NL"/>
        </w:rPr>
        <w:t xml:space="preserve"> 2016, afl. 30, 2177; W. SCHRAMA en C. MOL, “Een rechtsvergelijkende blik op kinderparticipatie en enkele reflecties”, </w:t>
      </w:r>
      <w:r w:rsidRPr="0086280A">
        <w:rPr>
          <w:i/>
          <w:sz w:val="16"/>
          <w:szCs w:val="16"/>
          <w:lang w:val="nl-NL"/>
        </w:rPr>
        <w:t>T.Fam.</w:t>
      </w:r>
      <w:r w:rsidRPr="0086280A">
        <w:rPr>
          <w:sz w:val="16"/>
          <w:szCs w:val="16"/>
          <w:lang w:val="nl-NL"/>
        </w:rPr>
        <w:t xml:space="preserve"> 2022, nr. 5-6, </w:t>
      </w:r>
      <w:r w:rsidR="00B81771">
        <w:rPr>
          <w:sz w:val="16"/>
          <w:szCs w:val="16"/>
          <w:lang w:val="nl-NL"/>
        </w:rPr>
        <w:t xml:space="preserve">(132) </w:t>
      </w:r>
      <w:r w:rsidRPr="0086280A">
        <w:rPr>
          <w:sz w:val="16"/>
          <w:szCs w:val="16"/>
          <w:lang w:val="nl-NL"/>
        </w:rPr>
        <w:t>135.</w:t>
      </w:r>
    </w:p>
  </w:footnote>
  <w:footnote w:id="426">
    <w:p w14:paraId="5FF6FDA7" w14:textId="3829FF1E"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E. JANSEN, “De eigen(aardige) procesbevoegdheid van de minderjarige”, </w:t>
      </w:r>
      <w:r w:rsidRPr="0086280A">
        <w:rPr>
          <w:i/>
          <w:sz w:val="16"/>
          <w:szCs w:val="16"/>
          <w:lang w:val="nl-NL"/>
        </w:rPr>
        <w:t>NJB</w:t>
      </w:r>
      <w:r w:rsidRPr="0086280A">
        <w:rPr>
          <w:sz w:val="16"/>
          <w:szCs w:val="16"/>
          <w:lang w:val="nl-NL"/>
        </w:rPr>
        <w:t xml:space="preserve"> 2016, afl. 30, </w:t>
      </w:r>
      <w:r w:rsidR="00B81771">
        <w:rPr>
          <w:sz w:val="16"/>
          <w:szCs w:val="16"/>
          <w:lang w:val="nl-NL"/>
        </w:rPr>
        <w:t xml:space="preserve">(2177) </w:t>
      </w:r>
      <w:r w:rsidRPr="0086280A">
        <w:rPr>
          <w:sz w:val="16"/>
          <w:szCs w:val="16"/>
          <w:lang w:val="nl-NL"/>
        </w:rPr>
        <w:t>2178: “Om te beweren dat de minderjarige geen eigen procesbevoegdheid heeft, is in het algemeen naar Nederlands recht onjuist”.</w:t>
      </w:r>
    </w:p>
  </w:footnote>
  <w:footnote w:id="427">
    <w:p w14:paraId="42E93BF9" w14:textId="05665BF4"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P. VLAARDINGERBROEK, K. BLANKMAN, A.P. VAN DER LINDEN, E.C.C. PUNSELIE, W.M. SCHRAMA, </w:t>
      </w:r>
      <w:r w:rsidRPr="0086280A">
        <w:rPr>
          <w:i/>
          <w:iCs/>
          <w:sz w:val="16"/>
          <w:szCs w:val="16"/>
          <w:lang w:val="nl-NL"/>
        </w:rPr>
        <w:t>Het hedendaagse personen- en familierecht</w:t>
      </w:r>
      <w:r w:rsidRPr="0086280A">
        <w:rPr>
          <w:sz w:val="16"/>
          <w:szCs w:val="16"/>
          <w:lang w:val="nl-NL"/>
        </w:rPr>
        <w:t>, Deventer, Wolters Kluwer, 2020, 341.</w:t>
      </w:r>
    </w:p>
  </w:footnote>
  <w:footnote w:id="428">
    <w:p w14:paraId="11D45441" w14:textId="4165CF2E"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artikel 1:377g NBW.</w:t>
      </w:r>
    </w:p>
  </w:footnote>
  <w:footnote w:id="429">
    <w:p w14:paraId="7E0DBE1C" w14:textId="7818D62F"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P. VLAARDINGERBROEK, K. BLANKMAN, A.P. VAN DER LINDEN, E.C.C. PUNSELIE, W.M. SCHRAMA, </w:t>
      </w:r>
      <w:r w:rsidRPr="0086280A">
        <w:rPr>
          <w:i/>
          <w:iCs/>
          <w:sz w:val="16"/>
          <w:szCs w:val="16"/>
          <w:lang w:val="nl-NL"/>
        </w:rPr>
        <w:t>Het hedendaagse personen- en familierecht</w:t>
      </w:r>
      <w:r w:rsidRPr="0086280A">
        <w:rPr>
          <w:sz w:val="16"/>
          <w:szCs w:val="16"/>
          <w:lang w:val="nl-NL"/>
        </w:rPr>
        <w:t>, Deventer, Wolters Kluwer, 2020, 342.</w:t>
      </w:r>
    </w:p>
  </w:footnote>
  <w:footnote w:id="430">
    <w:p w14:paraId="52053C40" w14:textId="2E1B9ABE"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t>
      </w:r>
      <w:r w:rsidR="00093B9E">
        <w:rPr>
          <w:i/>
          <w:iCs/>
          <w:sz w:val="16"/>
          <w:szCs w:val="16"/>
          <w:lang w:val="nl-NL"/>
        </w:rPr>
        <w:t xml:space="preserve">Ibid., </w:t>
      </w:r>
      <w:r w:rsidRPr="0086280A">
        <w:rPr>
          <w:sz w:val="16"/>
          <w:szCs w:val="16"/>
          <w:lang w:val="nl-NL"/>
        </w:rPr>
        <w:t>342-345.</w:t>
      </w:r>
    </w:p>
  </w:footnote>
  <w:footnote w:id="431">
    <w:p w14:paraId="0C3C4284" w14:textId="5AFE60AF"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artikel 1:245, eerste lid NBW.</w:t>
      </w:r>
    </w:p>
  </w:footnote>
  <w:footnote w:id="432">
    <w:p w14:paraId="22C6FE5A" w14:textId="00BD97E1"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P. VLAARDINGERBROEK, K. BLANKMAN, A.P. VAN DER LINDEN, E.C.C. PUNSELIE, W.M. SCHRAMA, </w:t>
      </w:r>
      <w:r w:rsidRPr="0086280A">
        <w:rPr>
          <w:i/>
          <w:iCs/>
          <w:sz w:val="16"/>
          <w:szCs w:val="16"/>
          <w:lang w:val="nl-NL"/>
        </w:rPr>
        <w:t>Het hedendaagse personen- en familierecht</w:t>
      </w:r>
      <w:r w:rsidRPr="0086280A">
        <w:rPr>
          <w:sz w:val="16"/>
          <w:szCs w:val="16"/>
          <w:lang w:val="nl-NL"/>
        </w:rPr>
        <w:t>, Deventer, Wolters Kluwer, 2020, 512-514.</w:t>
      </w:r>
    </w:p>
  </w:footnote>
  <w:footnote w:id="433">
    <w:p w14:paraId="4F7BB9EF" w14:textId="5EF09089"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t>
      </w:r>
      <w:r w:rsidR="002C4C71" w:rsidRPr="0086280A">
        <w:rPr>
          <w:sz w:val="16"/>
          <w:szCs w:val="16"/>
          <w:lang w:val="nl-NL"/>
        </w:rPr>
        <w:t>Zie artikel 1:253</w:t>
      </w:r>
      <w:r w:rsidR="0050778E" w:rsidRPr="0086280A">
        <w:rPr>
          <w:sz w:val="16"/>
          <w:szCs w:val="16"/>
          <w:lang w:val="nl-NL"/>
        </w:rPr>
        <w:t xml:space="preserve">sa </w:t>
      </w:r>
      <w:r w:rsidR="003B5B5D" w:rsidRPr="0086280A">
        <w:rPr>
          <w:sz w:val="16"/>
          <w:szCs w:val="16"/>
          <w:lang w:val="nl-NL"/>
        </w:rPr>
        <w:t>en 1:253t</w:t>
      </w:r>
      <w:r w:rsidR="0050778E" w:rsidRPr="0086280A">
        <w:rPr>
          <w:sz w:val="16"/>
          <w:szCs w:val="16"/>
          <w:lang w:val="nl-NL"/>
        </w:rPr>
        <w:t xml:space="preserve"> </w:t>
      </w:r>
      <w:r w:rsidR="003B5B5D" w:rsidRPr="0086280A">
        <w:rPr>
          <w:sz w:val="16"/>
          <w:szCs w:val="16"/>
          <w:lang w:val="nl-NL"/>
        </w:rPr>
        <w:t xml:space="preserve">ev. </w:t>
      </w:r>
      <w:r w:rsidR="0050778E" w:rsidRPr="0086280A">
        <w:rPr>
          <w:sz w:val="16"/>
          <w:szCs w:val="16"/>
          <w:lang w:val="nl-NL"/>
        </w:rPr>
        <w:t xml:space="preserve">NBW; </w:t>
      </w:r>
      <w:r w:rsidRPr="0086280A">
        <w:rPr>
          <w:sz w:val="16"/>
          <w:szCs w:val="16"/>
          <w:lang w:val="nl-NL"/>
        </w:rPr>
        <w:t xml:space="preserve">P. VLAARDINGERBROEK, K. BLANKMAN, A.P. VAN DER LINDEN, E.C.C. PUNSELIE, W.M. SCHRAMA, </w:t>
      </w:r>
      <w:r w:rsidRPr="0086280A">
        <w:rPr>
          <w:i/>
          <w:iCs/>
          <w:sz w:val="16"/>
          <w:szCs w:val="16"/>
          <w:lang w:val="nl-NL"/>
        </w:rPr>
        <w:t>Het hedendaagse personen- en familierecht</w:t>
      </w:r>
      <w:r w:rsidRPr="0086280A">
        <w:rPr>
          <w:sz w:val="16"/>
          <w:szCs w:val="16"/>
          <w:lang w:val="nl-NL"/>
        </w:rPr>
        <w:t>, Deventer, Wolters Kluwer, 2020, 512-514.</w:t>
      </w:r>
    </w:p>
  </w:footnote>
  <w:footnote w:id="434">
    <w:p w14:paraId="0E6B494E" w14:textId="2495AAD6"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artikel 1:247, eerste lid NBW; M.V. ANTOKOLSKAIA en G. VERSCHELDEN, “Kinderen: gezag, verblijf en alimentatie naar Nederlands en Belgisch recht” in K. BOELE-WOELKI en F. SWENNEN (red.), </w:t>
      </w:r>
      <w:r w:rsidRPr="0086280A">
        <w:rPr>
          <w:i/>
          <w:iCs/>
          <w:sz w:val="16"/>
          <w:szCs w:val="16"/>
          <w:lang w:val="nl-NL"/>
        </w:rPr>
        <w:t>Vergelijkenderwijs. Actuele ontwikkelingen in het Belgische en Nederlandse familierecht</w:t>
      </w:r>
      <w:r w:rsidRPr="0086280A">
        <w:rPr>
          <w:sz w:val="16"/>
          <w:szCs w:val="16"/>
          <w:lang w:val="nl-NL"/>
        </w:rPr>
        <w:t>, Den Haag, Boom Juridische Uitgevers, 2012, 164.</w:t>
      </w:r>
    </w:p>
  </w:footnote>
  <w:footnote w:id="435">
    <w:p w14:paraId="123F4B32" w14:textId="4C59F39E"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P. VLAARDINGERBROEK, K. BLANKMAN, A.P. VAN DER LINDEN, E.C.C. PUNSELIE, W.M. SCHRAMA, </w:t>
      </w:r>
      <w:r w:rsidRPr="0086280A">
        <w:rPr>
          <w:i/>
          <w:iCs/>
          <w:sz w:val="16"/>
          <w:szCs w:val="16"/>
          <w:lang w:val="nl-NL"/>
        </w:rPr>
        <w:t>Het hedendaagse personen- en familierecht</w:t>
      </w:r>
      <w:r w:rsidRPr="0086280A">
        <w:rPr>
          <w:sz w:val="16"/>
          <w:szCs w:val="16"/>
          <w:lang w:val="nl-NL"/>
        </w:rPr>
        <w:t>, Deventer, Wolters Kluwer, 2020, 377-380.</w:t>
      </w:r>
    </w:p>
  </w:footnote>
  <w:footnote w:id="436">
    <w:p w14:paraId="6722EFFF" w14:textId="44912C14"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M.V. ANTOKOLSKAIA en G. VERSCHELDEN, “Kinderen: gezag, verblijf en alimentatie naar Nederlands en Belgisch recht” in K. BOELE-WOELKI en F. SWENNEN (red.), </w:t>
      </w:r>
      <w:r w:rsidRPr="0086280A">
        <w:rPr>
          <w:i/>
          <w:iCs/>
          <w:sz w:val="16"/>
          <w:szCs w:val="16"/>
          <w:lang w:val="nl-NL"/>
        </w:rPr>
        <w:t>Vergelijkenderwijs. Actuele ontwikkelingen in het Belgische en Nederlandse familierecht</w:t>
      </w:r>
      <w:r w:rsidRPr="0086280A">
        <w:rPr>
          <w:sz w:val="16"/>
          <w:szCs w:val="16"/>
          <w:lang w:val="nl-NL"/>
        </w:rPr>
        <w:t>, Den Haag, Boom Juridische Uitgevers, 2012, 165.</w:t>
      </w:r>
    </w:p>
  </w:footnote>
  <w:footnote w:id="437">
    <w:p w14:paraId="16420E80" w14:textId="628D2B58"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t>
      </w:r>
      <w:r w:rsidR="00BD59C3" w:rsidRPr="0086280A">
        <w:rPr>
          <w:sz w:val="16"/>
          <w:szCs w:val="16"/>
          <w:lang w:val="nl-NL"/>
        </w:rPr>
        <w:t xml:space="preserve">Artikel 1:377a, derde lid NBW vermeldt hierbij dat, wanneer verzoeker persoonlijk contact wenst te onderhouden met een kind, de rechter het recht op omgang slechts ontzegt indien (a) omgang ernstig nadeel zou opleveren voor de geestelijke of lichamelijke ontwikkeling van het kind, of (b) de ouder of degene die in een nauwe persoonlijke betrekking staat tot het kind kennelijk ongeschikt of kennelijk niet in staat moet worden geacht tot omgang, of (c) het kind dat twaalf jaren of ouder is, bij zijn verhoor van ernstige bezwaren tegen omgang met zijn ouder of met degene met wie hij in een nauwe persoonlijke betrekking staat heeft doen blijken of (d) omgang anderszins in strijd is met zwaarwegende belangen van het kind; </w:t>
      </w:r>
      <w:r w:rsidRPr="0086280A">
        <w:rPr>
          <w:sz w:val="16"/>
          <w:szCs w:val="16"/>
          <w:lang w:val="nl-NL"/>
        </w:rPr>
        <w:t>HR 16 april 1982, ECLI:NL:HR:1982:AC7596; HR 27 januari 1989, ECLI:NL:HR:1989:AD0612</w:t>
      </w:r>
      <w:r w:rsidR="00BD59C3" w:rsidRPr="0086280A">
        <w:rPr>
          <w:sz w:val="16"/>
          <w:szCs w:val="16"/>
          <w:lang w:val="nl-NL"/>
        </w:rPr>
        <w:t>.</w:t>
      </w:r>
    </w:p>
  </w:footnote>
  <w:footnote w:id="438">
    <w:p w14:paraId="5F3C63AD" w14:textId="0F450890" w:rsidR="00C57AF9" w:rsidRPr="0086280A" w:rsidRDefault="00C57AF9" w:rsidP="005C4D5C">
      <w:pPr>
        <w:pStyle w:val="Voetnoottekst"/>
        <w:jc w:val="both"/>
        <w:rPr>
          <w:iCs/>
          <w:sz w:val="16"/>
          <w:szCs w:val="16"/>
          <w:lang w:val="nl-NL"/>
        </w:rPr>
      </w:pPr>
      <w:r w:rsidRPr="0086280A">
        <w:rPr>
          <w:rStyle w:val="Voetnootmarkering"/>
          <w:sz w:val="16"/>
          <w:szCs w:val="16"/>
          <w:lang w:val="nl-NL"/>
        </w:rPr>
        <w:footnoteRef/>
      </w:r>
      <w:r w:rsidRPr="0086280A">
        <w:rPr>
          <w:sz w:val="16"/>
          <w:szCs w:val="16"/>
          <w:lang w:val="nl-NL"/>
        </w:rPr>
        <w:t xml:space="preserve"> Zie </w:t>
      </w:r>
      <w:r w:rsidRPr="0086280A">
        <w:rPr>
          <w:iCs/>
          <w:sz w:val="16"/>
          <w:szCs w:val="16"/>
          <w:lang w:val="nl-NL"/>
        </w:rPr>
        <w:t>HR 2 mei 1980, ECLI:NL:PHR:1980:AB7478</w:t>
      </w:r>
      <w:r w:rsidR="00BD59C3" w:rsidRPr="0086280A">
        <w:rPr>
          <w:iCs/>
          <w:sz w:val="16"/>
          <w:szCs w:val="16"/>
          <w:lang w:val="nl-NL"/>
        </w:rPr>
        <w:t xml:space="preserve">: </w:t>
      </w:r>
      <w:r w:rsidRPr="0086280A">
        <w:rPr>
          <w:iCs/>
          <w:sz w:val="16"/>
          <w:szCs w:val="16"/>
          <w:lang w:val="nl-NL"/>
        </w:rPr>
        <w:t>(…) brengt niet mee dat de gescheiden ouder, die niet is belast met de voogdij over zijn minderjarige kinderen, aanspraak kan maken op contact met die kinderen, als deze contacten in verband met de aanmerkelijke onrust en spanningen (…) kennelijk in strijd zijn met hun belangen</w:t>
      </w:r>
      <w:r w:rsidR="00BD59C3" w:rsidRPr="0086280A">
        <w:rPr>
          <w:iCs/>
          <w:sz w:val="16"/>
          <w:szCs w:val="16"/>
          <w:lang w:val="nl-NL"/>
        </w:rPr>
        <w:t>;</w:t>
      </w:r>
      <w:r w:rsidRPr="0086280A">
        <w:rPr>
          <w:iCs/>
          <w:sz w:val="16"/>
          <w:szCs w:val="16"/>
          <w:lang w:val="nl-NL"/>
        </w:rPr>
        <w:t xml:space="preserve"> </w:t>
      </w:r>
      <w:r w:rsidRPr="0086280A">
        <w:rPr>
          <w:sz w:val="16"/>
          <w:szCs w:val="16"/>
          <w:lang w:val="nl-NL"/>
        </w:rPr>
        <w:t xml:space="preserve">Hof Amsterdam 6 november 2018, ECLI:NL:GHAMS:2018:4112; Rb. Zeeland-West-Brabant 23 juni 2015, ECLI:NL:RBZWB:2015:4346; P. VLAARDINGERBROEK, K. BLANKMAN, A.P. VAN DER LINDEN, E.C.C. PUNSELIE, W.M. SCHRAMA, </w:t>
      </w:r>
      <w:r w:rsidRPr="0086280A">
        <w:rPr>
          <w:i/>
          <w:iCs/>
          <w:sz w:val="16"/>
          <w:szCs w:val="16"/>
          <w:lang w:val="nl-NL"/>
        </w:rPr>
        <w:t>Het hedendaagse personen- en familierecht</w:t>
      </w:r>
      <w:r w:rsidRPr="0086280A">
        <w:rPr>
          <w:sz w:val="16"/>
          <w:szCs w:val="16"/>
          <w:lang w:val="nl-NL"/>
        </w:rPr>
        <w:t>, Deventer, Wolters Kluwer, 2020, 525-526.</w:t>
      </w:r>
    </w:p>
  </w:footnote>
  <w:footnote w:id="439">
    <w:p w14:paraId="73472E07" w14:textId="67B8D0CA"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t>
      </w:r>
      <w:r w:rsidRPr="0086280A">
        <w:rPr>
          <w:i/>
          <w:iCs/>
          <w:sz w:val="16"/>
          <w:szCs w:val="16"/>
          <w:lang w:val="nl-NL"/>
        </w:rPr>
        <w:t>Ibid.</w:t>
      </w:r>
    </w:p>
  </w:footnote>
  <w:footnote w:id="440">
    <w:p w14:paraId="34DAAD0D" w14:textId="7B2D76BA"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HR 28 augustus 1939, </w:t>
      </w:r>
      <w:r w:rsidRPr="0086280A">
        <w:rPr>
          <w:i/>
          <w:iCs/>
          <w:sz w:val="16"/>
          <w:szCs w:val="16"/>
          <w:lang w:val="nl-NL"/>
        </w:rPr>
        <w:t>NJ</w:t>
      </w:r>
      <w:r w:rsidRPr="0086280A">
        <w:rPr>
          <w:sz w:val="16"/>
          <w:szCs w:val="16"/>
          <w:lang w:val="nl-NL"/>
        </w:rPr>
        <w:t xml:space="preserve"> 1939, 948, noot P. SCHOLTEN: “</w:t>
      </w:r>
      <w:r w:rsidR="00BD59C3" w:rsidRPr="0086280A">
        <w:rPr>
          <w:sz w:val="16"/>
          <w:szCs w:val="16"/>
          <w:lang w:val="nl-NL"/>
        </w:rPr>
        <w:t xml:space="preserve">(…) </w:t>
      </w:r>
      <w:r w:rsidRPr="0086280A">
        <w:rPr>
          <w:sz w:val="16"/>
          <w:szCs w:val="16"/>
          <w:lang w:val="nl-NL"/>
        </w:rPr>
        <w:t>zeker in het belang zal zijn van het kind dat de band met de vader of moeder aan wie na de echtscheiding de voogdij niet is opgedragen, niet geheel wordt verbroken”.</w:t>
      </w:r>
    </w:p>
  </w:footnote>
  <w:footnote w:id="441">
    <w:p w14:paraId="7CCA3D72" w14:textId="388E2322"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Wet 6 mei 1971 houdende herziening van het echtscheidingsrecht, </w:t>
      </w:r>
      <w:r w:rsidRPr="0086280A">
        <w:rPr>
          <w:i/>
          <w:iCs/>
          <w:sz w:val="16"/>
          <w:szCs w:val="16"/>
          <w:lang w:val="nl-NL"/>
        </w:rPr>
        <w:t xml:space="preserve">Stb. </w:t>
      </w:r>
      <w:r w:rsidRPr="0086280A">
        <w:rPr>
          <w:sz w:val="16"/>
          <w:szCs w:val="16"/>
          <w:lang w:val="nl-NL"/>
        </w:rPr>
        <w:t>1971, nr. 290.</w:t>
      </w:r>
    </w:p>
  </w:footnote>
  <w:footnote w:id="442">
    <w:p w14:paraId="75F75A8E" w14:textId="02795769"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K. JACOBS, “Het omgangsrecht in België en Nederland”, </w:t>
      </w:r>
      <w:r w:rsidRPr="0086280A">
        <w:rPr>
          <w:i/>
          <w:iCs/>
          <w:sz w:val="16"/>
          <w:szCs w:val="16"/>
          <w:lang w:val="nl-NL"/>
        </w:rPr>
        <w:t>TPR</w:t>
      </w:r>
      <w:r w:rsidRPr="0086280A">
        <w:rPr>
          <w:sz w:val="16"/>
          <w:szCs w:val="16"/>
          <w:lang w:val="nl-NL"/>
        </w:rPr>
        <w:t xml:space="preserve"> 1996, </w:t>
      </w:r>
      <w:r w:rsidR="00B81771">
        <w:rPr>
          <w:sz w:val="16"/>
          <w:szCs w:val="16"/>
          <w:lang w:val="nl-NL"/>
        </w:rPr>
        <w:t xml:space="preserve">(827) </w:t>
      </w:r>
      <w:r w:rsidRPr="0086280A">
        <w:rPr>
          <w:sz w:val="16"/>
          <w:szCs w:val="16"/>
          <w:lang w:val="nl-NL"/>
        </w:rPr>
        <w:t>830.</w:t>
      </w:r>
    </w:p>
  </w:footnote>
  <w:footnote w:id="443">
    <w:p w14:paraId="2E27EBA3" w14:textId="22DA7E51"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Wet 13 september 1990 houdende nadere regeling van de omgang in verband met scheiding, </w:t>
      </w:r>
      <w:r w:rsidRPr="0086280A">
        <w:rPr>
          <w:i/>
          <w:iCs/>
          <w:sz w:val="16"/>
          <w:szCs w:val="16"/>
          <w:lang w:val="nl-NL"/>
        </w:rPr>
        <w:t>Stb.</w:t>
      </w:r>
      <w:r w:rsidRPr="0086280A">
        <w:rPr>
          <w:sz w:val="16"/>
          <w:szCs w:val="16"/>
          <w:lang w:val="nl-NL"/>
        </w:rPr>
        <w:t xml:space="preserve"> 27 september 1990, nr. 482.</w:t>
      </w:r>
    </w:p>
  </w:footnote>
  <w:footnote w:id="444">
    <w:p w14:paraId="4E18A43E" w14:textId="0563FD5E"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Wet 6 april 1995 </w:t>
      </w:r>
      <w:r w:rsidRPr="0086280A">
        <w:rPr>
          <w:rFonts w:eastAsia="Verdana" w:cs="Verdana"/>
          <w:sz w:val="16"/>
          <w:szCs w:val="16"/>
          <w:lang w:val="nl-NL"/>
        </w:rPr>
        <w:t>tot nadere regeling van het gezag over en van de omgang met minderjarige kinderen</w:t>
      </w:r>
      <w:r w:rsidRPr="0086280A">
        <w:rPr>
          <w:sz w:val="16"/>
          <w:szCs w:val="16"/>
          <w:lang w:val="nl-NL"/>
        </w:rPr>
        <w:t xml:space="preserve">, </w:t>
      </w:r>
      <w:r w:rsidRPr="0086280A">
        <w:rPr>
          <w:i/>
          <w:iCs/>
          <w:sz w:val="16"/>
          <w:szCs w:val="16"/>
          <w:lang w:val="nl-NL"/>
        </w:rPr>
        <w:t>Stb.</w:t>
      </w:r>
      <w:r w:rsidRPr="0086280A">
        <w:rPr>
          <w:sz w:val="16"/>
          <w:szCs w:val="16"/>
          <w:lang w:val="nl-NL"/>
        </w:rPr>
        <w:t xml:space="preserve"> 9 mei 1995.</w:t>
      </w:r>
    </w:p>
  </w:footnote>
  <w:footnote w:id="445">
    <w:p w14:paraId="6E5A762A" w14:textId="45B439C4"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Wet 25 november 2008 tot bevordering voortgezet ouderschap en zorgvuldige scheiding, </w:t>
      </w:r>
      <w:r w:rsidRPr="0086280A">
        <w:rPr>
          <w:i/>
          <w:iCs/>
          <w:sz w:val="16"/>
          <w:szCs w:val="16"/>
          <w:lang w:val="nl-NL"/>
        </w:rPr>
        <w:t>Stb.</w:t>
      </w:r>
      <w:r w:rsidRPr="0086280A">
        <w:rPr>
          <w:sz w:val="16"/>
          <w:szCs w:val="16"/>
          <w:lang w:val="nl-NL"/>
        </w:rPr>
        <w:t xml:space="preserve"> 2008, 500.</w:t>
      </w:r>
    </w:p>
  </w:footnote>
  <w:footnote w:id="446">
    <w:p w14:paraId="6491CC0B" w14:textId="087F6097"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M.V. ANTOKOLSKAIA en G. VERSCHELDEN, “Kinderen: gezag, verblijf en alimentatie naar Nederlands en Belgisch recht” in K. BOELE-WOELKI en F. SWENNEN (red.), </w:t>
      </w:r>
      <w:r w:rsidRPr="0086280A">
        <w:rPr>
          <w:i/>
          <w:iCs/>
          <w:sz w:val="16"/>
          <w:szCs w:val="16"/>
          <w:lang w:val="nl-NL"/>
        </w:rPr>
        <w:t>Vergelijkenderwijs. Actuele ontwikkelingen in het Belgische en Nederlandse familierecht</w:t>
      </w:r>
      <w:r w:rsidRPr="0086280A">
        <w:rPr>
          <w:sz w:val="16"/>
          <w:szCs w:val="16"/>
          <w:lang w:val="nl-NL"/>
        </w:rPr>
        <w:t>, Den Haag, Boom Juridische Uitgevers, 2012, 192.</w:t>
      </w:r>
    </w:p>
  </w:footnote>
  <w:footnote w:id="447">
    <w:p w14:paraId="53ABE7A9" w14:textId="739D9207"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Artikel 1:377a NBW: “Een kind heeft het recht op omgang met zijn ouders en met degene die in een nauwe persoonlijke betrekking tot hem staat. De niet met het gezag belaste ouder heeft het recht op en de verplichting tot omgang met zijn kind”.</w:t>
      </w:r>
    </w:p>
  </w:footnote>
  <w:footnote w:id="448">
    <w:p w14:paraId="1D035A7E" w14:textId="12AA1EEC"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In de MvT wordt overigens expliciet verwezen naar artikel 9 IVRK: Kamerstukken II, 2004-2005, 30 145, nr. 3, 16; </w:t>
      </w:r>
      <w:r w:rsidR="00AD6464" w:rsidRPr="0086280A">
        <w:rPr>
          <w:sz w:val="16"/>
          <w:szCs w:val="16"/>
          <w:lang w:val="nl-NL"/>
        </w:rPr>
        <w:t xml:space="preserve">S.F.M. WORTMANN en J. VAN DUIJVENDIJK-BRAND, </w:t>
      </w:r>
      <w:r w:rsidR="00AD6464" w:rsidRPr="0086280A">
        <w:rPr>
          <w:i/>
          <w:iCs/>
          <w:sz w:val="16"/>
          <w:szCs w:val="16"/>
          <w:lang w:val="nl-NL"/>
        </w:rPr>
        <w:t>Compendium van het personen- en familierecht</w:t>
      </w:r>
      <w:r w:rsidR="00AD6464" w:rsidRPr="0086280A">
        <w:rPr>
          <w:sz w:val="16"/>
          <w:szCs w:val="16"/>
          <w:lang w:val="nl-NL"/>
        </w:rPr>
        <w:t>, Deventer, Wolters Kluwer, 2021, hoofdstuk 13</w:t>
      </w:r>
      <w:r w:rsidR="00AD6464">
        <w:rPr>
          <w:sz w:val="16"/>
          <w:szCs w:val="16"/>
          <w:lang w:val="nl-NL"/>
        </w:rPr>
        <w:t xml:space="preserve">; </w:t>
      </w:r>
      <w:r w:rsidRPr="0086280A">
        <w:rPr>
          <w:sz w:val="16"/>
          <w:szCs w:val="16"/>
          <w:lang w:val="nl-NL"/>
        </w:rPr>
        <w:t xml:space="preserve">S.F.M. WORTMANN, </w:t>
      </w:r>
      <w:r w:rsidRPr="0086280A">
        <w:rPr>
          <w:i/>
          <w:iCs/>
          <w:sz w:val="16"/>
          <w:szCs w:val="16"/>
          <w:lang w:val="nl-NL"/>
        </w:rPr>
        <w:t>“</w:t>
      </w:r>
      <w:r w:rsidRPr="0086280A">
        <w:rPr>
          <w:sz w:val="16"/>
          <w:szCs w:val="16"/>
          <w:lang w:val="nl-NL"/>
        </w:rPr>
        <w:t xml:space="preserve">Commentaar op art. 1:377a BW” in S.F.M. WORTMANN (red.), </w:t>
      </w:r>
      <w:r w:rsidRPr="0086280A">
        <w:rPr>
          <w:i/>
          <w:iCs/>
          <w:sz w:val="16"/>
          <w:szCs w:val="16"/>
          <w:lang w:val="nl-NL"/>
        </w:rPr>
        <w:t>Groene Serie Personen- en familierecht</w:t>
      </w:r>
      <w:r w:rsidRPr="0086280A">
        <w:rPr>
          <w:sz w:val="16"/>
          <w:szCs w:val="16"/>
          <w:lang w:val="nl-NL"/>
        </w:rPr>
        <w:t xml:space="preserve">, Deventer, Wolters Kluwer, bijgewerkt t.e.m. 01.01.2023; P. VLAARDINGERBROEK, “De wetgever laat Jeroen (en vele andere kinderen) niet in de koud staan”, </w:t>
      </w:r>
      <w:r w:rsidRPr="0086280A">
        <w:rPr>
          <w:i/>
          <w:iCs/>
          <w:sz w:val="16"/>
          <w:szCs w:val="16"/>
          <w:lang w:val="nl-NL"/>
        </w:rPr>
        <w:t>FJR (NL)</w:t>
      </w:r>
      <w:r w:rsidRPr="0086280A">
        <w:rPr>
          <w:sz w:val="16"/>
          <w:szCs w:val="16"/>
          <w:lang w:val="nl-NL"/>
        </w:rPr>
        <w:t xml:space="preserve"> 2009, </w:t>
      </w:r>
      <w:r w:rsidR="00B81771">
        <w:rPr>
          <w:sz w:val="16"/>
          <w:szCs w:val="16"/>
          <w:lang w:val="nl-NL"/>
        </w:rPr>
        <w:t xml:space="preserve">(228) </w:t>
      </w:r>
      <w:r w:rsidRPr="0086280A">
        <w:rPr>
          <w:sz w:val="16"/>
          <w:szCs w:val="16"/>
          <w:lang w:val="nl-NL"/>
        </w:rPr>
        <w:t>230.</w:t>
      </w:r>
    </w:p>
  </w:footnote>
  <w:footnote w:id="449">
    <w:p w14:paraId="39DD3BCF" w14:textId="115C0697"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t>
      </w:r>
      <w:r w:rsidR="00AD6464" w:rsidRPr="0086280A">
        <w:rPr>
          <w:sz w:val="16"/>
          <w:szCs w:val="16"/>
          <w:lang w:val="nl-NL"/>
        </w:rPr>
        <w:t xml:space="preserve">P. VLAARDINGERBROEK, K. BLANKMAN, A.P. VAN DER LINDEN, E.C.C. PUNSELIE, W.M. SCHRAMA, </w:t>
      </w:r>
      <w:r w:rsidR="00AD6464" w:rsidRPr="0086280A">
        <w:rPr>
          <w:i/>
          <w:iCs/>
          <w:sz w:val="16"/>
          <w:szCs w:val="16"/>
          <w:lang w:val="nl-NL"/>
        </w:rPr>
        <w:t>Het hedendaagse personen- en familierecht</w:t>
      </w:r>
      <w:r w:rsidR="00AD6464" w:rsidRPr="0086280A">
        <w:rPr>
          <w:sz w:val="16"/>
          <w:szCs w:val="16"/>
          <w:lang w:val="nl-NL"/>
        </w:rPr>
        <w:t>, Deventer, Wolters Kluwer, 2020, 527-534</w:t>
      </w:r>
      <w:r w:rsidR="00AD6464">
        <w:rPr>
          <w:sz w:val="16"/>
          <w:szCs w:val="16"/>
          <w:lang w:val="nl-NL"/>
        </w:rPr>
        <w:t xml:space="preserve">; </w:t>
      </w:r>
      <w:r w:rsidRPr="0086280A">
        <w:rPr>
          <w:sz w:val="16"/>
          <w:szCs w:val="16"/>
          <w:lang w:val="nl-NL"/>
        </w:rPr>
        <w:t xml:space="preserve">S.F.M. WORTMANN, </w:t>
      </w:r>
      <w:r w:rsidRPr="0086280A">
        <w:rPr>
          <w:i/>
          <w:iCs/>
          <w:sz w:val="16"/>
          <w:szCs w:val="16"/>
          <w:lang w:val="nl-NL"/>
        </w:rPr>
        <w:t>“</w:t>
      </w:r>
      <w:r w:rsidRPr="0086280A">
        <w:rPr>
          <w:sz w:val="16"/>
          <w:szCs w:val="16"/>
          <w:lang w:val="nl-NL"/>
        </w:rPr>
        <w:t xml:space="preserve">Commentaar op art. 1:377a BW” in S.F.M. WORTMANN (red.), </w:t>
      </w:r>
      <w:r w:rsidRPr="0086280A">
        <w:rPr>
          <w:i/>
          <w:iCs/>
          <w:sz w:val="16"/>
          <w:szCs w:val="16"/>
          <w:lang w:val="nl-NL"/>
        </w:rPr>
        <w:t>Groene Serie Personen- en familierecht</w:t>
      </w:r>
      <w:r w:rsidRPr="0086280A">
        <w:rPr>
          <w:sz w:val="16"/>
          <w:szCs w:val="16"/>
          <w:lang w:val="nl-NL"/>
        </w:rPr>
        <w:t>, Deventer, Wolters Kluwer, bijgewerkt t.e.m. 01.01.2023.</w:t>
      </w:r>
    </w:p>
  </w:footnote>
  <w:footnote w:id="450">
    <w:p w14:paraId="4EEAF9A4" w14:textId="579ADEEC" w:rsidR="00C57AF9" w:rsidRPr="0086280A" w:rsidRDefault="00C57AF9" w:rsidP="005C4D5C">
      <w:pPr>
        <w:pStyle w:val="Voetnoottekst"/>
        <w:jc w:val="both"/>
        <w:rPr>
          <w:iCs/>
          <w:sz w:val="16"/>
          <w:szCs w:val="16"/>
          <w:lang w:val="nl-NL"/>
        </w:rPr>
      </w:pPr>
      <w:r w:rsidRPr="0086280A">
        <w:rPr>
          <w:rStyle w:val="Voetnootmarkering"/>
          <w:sz w:val="16"/>
          <w:szCs w:val="16"/>
          <w:lang w:val="nl-NL"/>
        </w:rPr>
        <w:footnoteRef/>
      </w:r>
      <w:r w:rsidRPr="0086280A">
        <w:rPr>
          <w:sz w:val="16"/>
          <w:szCs w:val="16"/>
          <w:lang w:val="nl-NL"/>
        </w:rPr>
        <w:t xml:space="preserve"> Zie </w:t>
      </w:r>
      <w:r w:rsidRPr="0086280A">
        <w:rPr>
          <w:iCs/>
          <w:sz w:val="16"/>
          <w:szCs w:val="16"/>
          <w:lang w:val="nl-NL"/>
        </w:rPr>
        <w:t>HR 29 september 2000, ECLI:NL:PHR:2000:AA7284</w:t>
      </w:r>
      <w:r w:rsidR="00BD59C3" w:rsidRPr="0086280A">
        <w:rPr>
          <w:iCs/>
          <w:sz w:val="16"/>
          <w:szCs w:val="16"/>
          <w:lang w:val="nl-NL"/>
        </w:rPr>
        <w:t xml:space="preserve">: </w:t>
      </w:r>
      <w:r w:rsidRPr="0086280A">
        <w:rPr>
          <w:iCs/>
          <w:sz w:val="16"/>
          <w:szCs w:val="16"/>
          <w:lang w:val="nl-NL"/>
        </w:rPr>
        <w:t xml:space="preserve">ook de verwekker van het kind valt onder </w:t>
      </w:r>
      <w:r w:rsidR="00AD6464">
        <w:rPr>
          <w:iCs/>
          <w:sz w:val="16"/>
          <w:szCs w:val="16"/>
          <w:lang w:val="nl-NL"/>
        </w:rPr>
        <w:t>“</w:t>
      </w:r>
      <w:r w:rsidRPr="0086280A">
        <w:rPr>
          <w:iCs/>
          <w:sz w:val="16"/>
          <w:szCs w:val="16"/>
          <w:lang w:val="nl-NL"/>
        </w:rPr>
        <w:t>family life</w:t>
      </w:r>
      <w:r w:rsidR="00AD6464">
        <w:rPr>
          <w:iCs/>
          <w:sz w:val="16"/>
          <w:szCs w:val="16"/>
          <w:lang w:val="nl-NL"/>
        </w:rPr>
        <w:t>”</w:t>
      </w:r>
      <w:r w:rsidRPr="0086280A">
        <w:rPr>
          <w:iCs/>
          <w:sz w:val="16"/>
          <w:szCs w:val="16"/>
          <w:lang w:val="nl-NL"/>
        </w:rPr>
        <w:t>.</w:t>
      </w:r>
    </w:p>
  </w:footnote>
  <w:footnote w:id="451">
    <w:p w14:paraId="7BE0A3D7" w14:textId="5CE817DD"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Hof Amsterdam 26 november 2019, ECLI:NL:GHAMS:2019:4371</w:t>
      </w:r>
      <w:r w:rsidR="00BD59C3" w:rsidRPr="0086280A">
        <w:rPr>
          <w:sz w:val="16"/>
          <w:szCs w:val="16"/>
          <w:lang w:val="nl-NL"/>
        </w:rPr>
        <w:t xml:space="preserve">: </w:t>
      </w:r>
      <w:r w:rsidRPr="0086280A">
        <w:rPr>
          <w:sz w:val="16"/>
          <w:szCs w:val="16"/>
          <w:lang w:val="nl-NL"/>
        </w:rPr>
        <w:t>de vader wou op geen enkele manier contact met zijn dochter. Het Hof oordeelde dat ondanks het bestaan van een wederkerig recht op omgang, en de plicht van de vader tot omgang, deze omgang in strijd is met de zwaarwegende belangen van het kind.</w:t>
      </w:r>
    </w:p>
  </w:footnote>
  <w:footnote w:id="452">
    <w:p w14:paraId="1057A2D5" w14:textId="4F136A8B"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Artikel 1:377a, eerste lid NBW</w:t>
      </w:r>
      <w:r w:rsidR="00BD59C3" w:rsidRPr="0086280A">
        <w:rPr>
          <w:sz w:val="16"/>
          <w:szCs w:val="16"/>
          <w:lang w:val="nl-NL"/>
        </w:rPr>
        <w:t>.</w:t>
      </w:r>
    </w:p>
  </w:footnote>
  <w:footnote w:id="453">
    <w:p w14:paraId="0D0E8E10" w14:textId="1DC0FEAB"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t>
      </w:r>
      <w:r w:rsidR="00BD59C3" w:rsidRPr="0086280A">
        <w:rPr>
          <w:sz w:val="16"/>
          <w:szCs w:val="16"/>
          <w:lang w:val="nl-NL"/>
        </w:rPr>
        <w:t xml:space="preserve">Zie </w:t>
      </w:r>
      <w:r w:rsidRPr="0086280A">
        <w:rPr>
          <w:sz w:val="16"/>
          <w:szCs w:val="16"/>
          <w:lang w:val="nl-NL"/>
        </w:rPr>
        <w:t xml:space="preserve">Hof Arnhem-Leeuwarden 29 maart 2022, ECLI:NL:GHARL:2022:2421; K. JACOBS, “Het omgangsrecht in België en Nederland”, </w:t>
      </w:r>
      <w:r w:rsidRPr="0086280A">
        <w:rPr>
          <w:i/>
          <w:iCs/>
          <w:sz w:val="16"/>
          <w:szCs w:val="16"/>
          <w:lang w:val="nl-NL"/>
        </w:rPr>
        <w:t>TPR</w:t>
      </w:r>
      <w:r w:rsidRPr="0086280A">
        <w:rPr>
          <w:sz w:val="16"/>
          <w:szCs w:val="16"/>
          <w:lang w:val="nl-NL"/>
        </w:rPr>
        <w:t xml:space="preserve"> 1996, 870.</w:t>
      </w:r>
    </w:p>
  </w:footnote>
  <w:footnote w:id="454">
    <w:p w14:paraId="796138A9" w14:textId="44C50215"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ook artikel 1:247 NBW.</w:t>
      </w:r>
    </w:p>
  </w:footnote>
  <w:footnote w:id="455">
    <w:p w14:paraId="1F91D261" w14:textId="1297724F"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t>
      </w:r>
      <w:r w:rsidR="00BD59C3" w:rsidRPr="0086280A">
        <w:rPr>
          <w:sz w:val="16"/>
          <w:szCs w:val="16"/>
          <w:lang w:val="nl-NL"/>
        </w:rPr>
        <w:t xml:space="preserve">Art. 1:377a, lid 1 NBW; </w:t>
      </w:r>
      <w:r w:rsidRPr="0086280A">
        <w:rPr>
          <w:sz w:val="16"/>
          <w:szCs w:val="16"/>
          <w:lang w:val="nl-NL"/>
        </w:rPr>
        <w:t xml:space="preserve">Hof Amsterdam 19 januari 1995, </w:t>
      </w:r>
      <w:r w:rsidRPr="0086280A">
        <w:rPr>
          <w:i/>
          <w:iCs/>
          <w:sz w:val="16"/>
          <w:szCs w:val="16"/>
          <w:lang w:val="nl-NL"/>
        </w:rPr>
        <w:t xml:space="preserve">NJCM-bull </w:t>
      </w:r>
      <w:r w:rsidRPr="0086280A">
        <w:rPr>
          <w:sz w:val="16"/>
          <w:szCs w:val="16"/>
          <w:lang w:val="nl-NL"/>
        </w:rPr>
        <w:t xml:space="preserve">1995, 585, noot T. LOENEN; Hof Arnhem-Leeuwarden 17 mei 2016, </w:t>
      </w:r>
      <w:r w:rsidRPr="0086280A">
        <w:rPr>
          <w:i/>
          <w:iCs/>
          <w:sz w:val="16"/>
          <w:szCs w:val="16"/>
          <w:lang w:val="nl-NL"/>
        </w:rPr>
        <w:t xml:space="preserve">FJR </w:t>
      </w:r>
      <w:r w:rsidRPr="0086280A">
        <w:rPr>
          <w:sz w:val="16"/>
          <w:szCs w:val="16"/>
          <w:lang w:val="nl-NL"/>
        </w:rPr>
        <w:t xml:space="preserve">2016/58, 13; Rb. Amsterdam 12 juli 2007, </w:t>
      </w:r>
      <w:r w:rsidRPr="0086280A">
        <w:rPr>
          <w:i/>
          <w:iCs/>
          <w:sz w:val="16"/>
          <w:szCs w:val="16"/>
          <w:lang w:val="nl-NL"/>
        </w:rPr>
        <w:t xml:space="preserve">RFR </w:t>
      </w:r>
      <w:r w:rsidRPr="0086280A">
        <w:rPr>
          <w:sz w:val="16"/>
          <w:szCs w:val="16"/>
          <w:lang w:val="nl-NL"/>
        </w:rPr>
        <w:t xml:space="preserve">2007, 128; Rb. Breda 14 maart 2011, </w:t>
      </w:r>
      <w:r w:rsidRPr="0086280A">
        <w:rPr>
          <w:i/>
          <w:iCs/>
          <w:sz w:val="16"/>
          <w:szCs w:val="16"/>
          <w:lang w:val="nl-NL"/>
        </w:rPr>
        <w:t xml:space="preserve">RFR </w:t>
      </w:r>
      <w:r w:rsidRPr="0086280A">
        <w:rPr>
          <w:sz w:val="16"/>
          <w:szCs w:val="16"/>
          <w:lang w:val="nl-NL"/>
        </w:rPr>
        <w:t xml:space="preserve">2011, 127; P. VLAARDINGERBROEK, K. BLANKMAN, A.P. VAN DER LINDEN, E.C.C. PUNSELIE en W.M. SCHRAMA, </w:t>
      </w:r>
      <w:r w:rsidRPr="0086280A">
        <w:rPr>
          <w:i/>
          <w:iCs/>
          <w:sz w:val="16"/>
          <w:szCs w:val="16"/>
          <w:lang w:val="nl-NL"/>
        </w:rPr>
        <w:t>Het hedendaagse personen- en familierecht</w:t>
      </w:r>
      <w:r w:rsidRPr="0086280A">
        <w:rPr>
          <w:sz w:val="16"/>
          <w:szCs w:val="16"/>
          <w:lang w:val="nl-NL"/>
        </w:rPr>
        <w:t>, Deventer, Kluwer, 2014, 490.</w:t>
      </w:r>
    </w:p>
  </w:footnote>
  <w:footnote w:id="456">
    <w:p w14:paraId="3977C291" w14:textId="06D15FCB"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HR 28 maart 2014, ECLI:NL:HR:2014:748, noot S.F.M. WORTMANN, §4.6.</w:t>
      </w:r>
    </w:p>
  </w:footnote>
  <w:footnote w:id="457">
    <w:p w14:paraId="0BF53D54" w14:textId="419B972E"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P. VLAARDINGERBROEK, “De wetgever laat Jeroen (en vele andere kinderen) niet in de koud staan”, </w:t>
      </w:r>
      <w:r w:rsidRPr="0086280A">
        <w:rPr>
          <w:i/>
          <w:iCs/>
          <w:sz w:val="16"/>
          <w:szCs w:val="16"/>
          <w:lang w:val="nl-NL"/>
        </w:rPr>
        <w:t>FJR (NL)</w:t>
      </w:r>
      <w:r w:rsidRPr="0086280A">
        <w:rPr>
          <w:sz w:val="16"/>
          <w:szCs w:val="16"/>
          <w:lang w:val="nl-NL"/>
        </w:rPr>
        <w:t xml:space="preserve"> 2009, </w:t>
      </w:r>
      <w:r w:rsidR="00B81771">
        <w:rPr>
          <w:sz w:val="16"/>
          <w:szCs w:val="16"/>
          <w:lang w:val="nl-NL"/>
        </w:rPr>
        <w:t xml:space="preserve">(228) </w:t>
      </w:r>
      <w:r w:rsidRPr="0086280A">
        <w:rPr>
          <w:sz w:val="16"/>
          <w:szCs w:val="16"/>
          <w:lang w:val="nl-NL"/>
        </w:rPr>
        <w:t>229.</w:t>
      </w:r>
    </w:p>
  </w:footnote>
  <w:footnote w:id="458">
    <w:p w14:paraId="57495F92" w14:textId="6CF6AE4E"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Kamerstukken II, 2004-2005, 30 145, nr. 3, 16; zie ook Hof Arnhem-Leeuwarden 17 mei 2016, ECLI:NL:GHARL:2016:4949</w:t>
      </w:r>
      <w:r w:rsidR="00BD59C3" w:rsidRPr="0086280A">
        <w:rPr>
          <w:sz w:val="16"/>
          <w:szCs w:val="16"/>
          <w:lang w:val="nl-NL"/>
        </w:rPr>
        <w:t xml:space="preserve">: </w:t>
      </w:r>
      <w:r w:rsidRPr="0086280A">
        <w:rPr>
          <w:sz w:val="16"/>
          <w:szCs w:val="16"/>
          <w:lang w:val="nl-NL"/>
        </w:rPr>
        <w:t>beide dochters willen graag omgang met de vader, maar de vader wil geen omgang; Hof Arnhem-Leeuwarden 24 mei 2016, ECLI:NL:GHARL:2016:4010</w:t>
      </w:r>
      <w:r w:rsidR="00BD59C3" w:rsidRPr="0086280A">
        <w:rPr>
          <w:sz w:val="16"/>
          <w:szCs w:val="16"/>
          <w:lang w:val="nl-NL"/>
        </w:rPr>
        <w:t xml:space="preserve">: </w:t>
      </w:r>
      <w:r w:rsidRPr="0086280A">
        <w:rPr>
          <w:sz w:val="16"/>
          <w:szCs w:val="16"/>
          <w:lang w:val="nl-NL"/>
        </w:rPr>
        <w:t>de vader wordt veroordeeld de omgangsregeling met zijn zoon na te komen of straffe van een dwangsom.</w:t>
      </w:r>
    </w:p>
  </w:footnote>
  <w:footnote w:id="459">
    <w:p w14:paraId="4E00D7CD" w14:textId="526F45EC"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K. JACOBS, “Het omgangsrecht in België en Nederland”, </w:t>
      </w:r>
      <w:r w:rsidRPr="0086280A">
        <w:rPr>
          <w:i/>
          <w:iCs/>
          <w:sz w:val="16"/>
          <w:szCs w:val="16"/>
          <w:lang w:val="nl-NL"/>
        </w:rPr>
        <w:t>TPR</w:t>
      </w:r>
      <w:r w:rsidRPr="0086280A">
        <w:rPr>
          <w:sz w:val="16"/>
          <w:szCs w:val="16"/>
          <w:lang w:val="nl-NL"/>
        </w:rPr>
        <w:t xml:space="preserve"> 1996, </w:t>
      </w:r>
      <w:r w:rsidR="00B81771">
        <w:rPr>
          <w:sz w:val="16"/>
          <w:szCs w:val="16"/>
          <w:lang w:val="nl-NL"/>
        </w:rPr>
        <w:t xml:space="preserve">(827) </w:t>
      </w:r>
      <w:r w:rsidRPr="0086280A">
        <w:rPr>
          <w:sz w:val="16"/>
          <w:szCs w:val="16"/>
          <w:lang w:val="nl-NL"/>
        </w:rPr>
        <w:t>870.</w:t>
      </w:r>
    </w:p>
  </w:footnote>
  <w:footnote w:id="460">
    <w:p w14:paraId="194E1B63" w14:textId="77777777"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artikel 1:245 </w:t>
      </w:r>
      <w:r w:rsidRPr="0086280A">
        <w:rPr>
          <w:i/>
          <w:iCs/>
          <w:sz w:val="16"/>
          <w:szCs w:val="16"/>
          <w:lang w:val="nl-NL"/>
        </w:rPr>
        <w:t>juncto</w:t>
      </w:r>
      <w:r w:rsidRPr="0086280A">
        <w:rPr>
          <w:sz w:val="16"/>
          <w:szCs w:val="16"/>
          <w:lang w:val="nl-NL"/>
        </w:rPr>
        <w:t xml:space="preserve"> 1:253i, eerste lid NBW.</w:t>
      </w:r>
    </w:p>
  </w:footnote>
  <w:footnote w:id="461">
    <w:p w14:paraId="3F8919DB" w14:textId="70AD1EFC"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Artikel 798, eerste lid Rv.; HR 29 mei 2015, ECLI:NL:HR:2015:1409, noot </w:t>
      </w:r>
      <w:r w:rsidR="00BD59C3" w:rsidRPr="0086280A">
        <w:rPr>
          <w:sz w:val="16"/>
          <w:szCs w:val="16"/>
          <w:lang w:val="nl-NL"/>
        </w:rPr>
        <w:t xml:space="preserve">S.F.M. </w:t>
      </w:r>
      <w:r w:rsidRPr="0086280A">
        <w:rPr>
          <w:sz w:val="16"/>
          <w:szCs w:val="16"/>
          <w:lang w:val="nl-NL"/>
        </w:rPr>
        <w:t>WORTMANN</w:t>
      </w:r>
      <w:r w:rsidR="00BD59C3" w:rsidRPr="0086280A">
        <w:rPr>
          <w:sz w:val="16"/>
          <w:szCs w:val="16"/>
          <w:lang w:val="nl-NL"/>
        </w:rPr>
        <w:t>.</w:t>
      </w:r>
    </w:p>
  </w:footnote>
  <w:footnote w:id="462">
    <w:p w14:paraId="74A2C553" w14:textId="4269251E"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C. ASSERS, </w:t>
      </w:r>
      <w:r w:rsidRPr="0086280A">
        <w:rPr>
          <w:i/>
          <w:sz w:val="16"/>
          <w:szCs w:val="16"/>
          <w:lang w:val="nl-NL"/>
        </w:rPr>
        <w:t>Handleiding tot de beoefening van het Nederlands Burgerlijk Recht-, Personen- en familierecht: De persoon, afstamming en adoptie, gezag en omgang, levensonderhoud, bescherming van de minderjarige</w:t>
      </w:r>
      <w:r w:rsidRPr="0086280A">
        <w:rPr>
          <w:sz w:val="16"/>
          <w:szCs w:val="16"/>
          <w:lang w:val="nl-NL"/>
        </w:rPr>
        <w:t>, Deventer, Wolters Kluwer, 2020, 525-560; M.R. BRUNING, D.J.H. SMEETS, K.G.A. BOLSCHER, J.S. PEPER, R. DE B</w:t>
      </w:r>
      <w:r w:rsidR="00BD59C3" w:rsidRPr="0086280A">
        <w:rPr>
          <w:sz w:val="16"/>
          <w:szCs w:val="16"/>
          <w:lang w:val="nl-NL"/>
        </w:rPr>
        <w:t>OE</w:t>
      </w:r>
      <w:r w:rsidRPr="0086280A">
        <w:rPr>
          <w:sz w:val="16"/>
          <w:szCs w:val="16"/>
          <w:lang w:val="nl-NL"/>
        </w:rPr>
        <w:t xml:space="preserve">R, </w:t>
      </w:r>
      <w:r w:rsidRPr="0086280A">
        <w:rPr>
          <w:i/>
          <w:sz w:val="16"/>
          <w:szCs w:val="16"/>
          <w:lang w:val="nl-NL"/>
        </w:rPr>
        <w:t xml:space="preserve">Kind in proces: van communicatie naar effectieve participatie. Het hoorrecht en de procespositie van minderjarigen in familie- en jeugdzaken, </w:t>
      </w:r>
      <w:r w:rsidRPr="0086280A">
        <w:rPr>
          <w:sz w:val="16"/>
          <w:szCs w:val="16"/>
          <w:lang w:val="nl-NL"/>
        </w:rPr>
        <w:t xml:space="preserve">Nijmegen, Wolf Legal Publishers, 2020, 15; </w:t>
      </w:r>
      <w:r w:rsidR="00AD6464" w:rsidRPr="0086280A">
        <w:rPr>
          <w:sz w:val="16"/>
          <w:szCs w:val="16"/>
          <w:lang w:val="nl-NL"/>
        </w:rPr>
        <w:t xml:space="preserve">M.V. ANTOKOLSKAIA en G. VERSCHELDEN, “Kinderen: gezag, verblijf en alimentatie naar Nederlands en Belgisch recht” in K. BOELE-WOELKI en F. SWENNEN (red.), </w:t>
      </w:r>
      <w:r w:rsidR="00AD6464" w:rsidRPr="0086280A">
        <w:rPr>
          <w:i/>
          <w:iCs/>
          <w:sz w:val="16"/>
          <w:szCs w:val="16"/>
          <w:lang w:val="nl-NL"/>
        </w:rPr>
        <w:t>Vergelijkenderwijs. Actuele ontwikkelingen in het Belgische en Nederlandse familierecht</w:t>
      </w:r>
      <w:r w:rsidR="00AD6464" w:rsidRPr="0086280A">
        <w:rPr>
          <w:sz w:val="16"/>
          <w:szCs w:val="16"/>
          <w:lang w:val="nl-NL"/>
        </w:rPr>
        <w:t>, Den Haag, Boom Juridische Uitgevers, 2012, 192</w:t>
      </w:r>
      <w:r w:rsidR="00AD6464">
        <w:rPr>
          <w:sz w:val="16"/>
          <w:szCs w:val="16"/>
          <w:lang w:val="nl-NL"/>
        </w:rPr>
        <w:t xml:space="preserve">; </w:t>
      </w:r>
      <w:r w:rsidRPr="0086280A">
        <w:rPr>
          <w:sz w:val="16"/>
          <w:szCs w:val="16"/>
          <w:lang w:val="nl-NL"/>
        </w:rPr>
        <w:t xml:space="preserve">A. VAN DER LINDEN, “De rechtspositie van de minderjarige: opnieuw bekeken” in V. SMITS, R. DE JONG en A. VAN DER LINDEN (eds.), </w:t>
      </w:r>
      <w:r w:rsidRPr="0086280A">
        <w:rPr>
          <w:i/>
          <w:sz w:val="16"/>
          <w:szCs w:val="16"/>
          <w:lang w:val="nl-NL"/>
        </w:rPr>
        <w:t>In verbondenheid</w:t>
      </w:r>
      <w:r w:rsidRPr="0086280A">
        <w:rPr>
          <w:sz w:val="16"/>
          <w:szCs w:val="16"/>
          <w:lang w:val="nl-NL"/>
        </w:rPr>
        <w:t>, Alphen aan den Rijn, Kluwer, 2017, 619 p</w:t>
      </w:r>
      <w:r w:rsidR="00174497" w:rsidRPr="0086280A">
        <w:rPr>
          <w:sz w:val="16"/>
          <w:szCs w:val="16"/>
          <w:lang w:val="nl-NL"/>
        </w:rPr>
        <w:t>.</w:t>
      </w:r>
    </w:p>
  </w:footnote>
  <w:footnote w:id="463">
    <w:p w14:paraId="647D6A7F" w14:textId="52656D52"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Artikel 1:377g NBW; HR 21 februari 2020, ECLI:NL:HR:2020:321</w:t>
      </w:r>
      <w:r w:rsidR="00174497" w:rsidRPr="0086280A">
        <w:rPr>
          <w:sz w:val="16"/>
          <w:szCs w:val="16"/>
          <w:lang w:val="nl-NL"/>
        </w:rPr>
        <w:t xml:space="preserve">: </w:t>
      </w:r>
      <w:r w:rsidRPr="0086280A">
        <w:rPr>
          <w:sz w:val="16"/>
          <w:szCs w:val="16"/>
          <w:lang w:val="nl-NL"/>
        </w:rPr>
        <w:t xml:space="preserve">de toepassing van de informele rechtsingang strookt met de gedachte dat een minderjarige die in staat is tot een redelijke waardering van zijn belangen, zich voor de rechter moet kunnen wenden op een eenvoudige en informele wijze; E. JANSEN, “De eigen(aardige) procesbevoegdheid van de minderjarige”, </w:t>
      </w:r>
      <w:r w:rsidRPr="0086280A">
        <w:rPr>
          <w:i/>
          <w:iCs/>
          <w:sz w:val="16"/>
          <w:szCs w:val="16"/>
          <w:lang w:val="nl-NL"/>
        </w:rPr>
        <w:t xml:space="preserve">NJB </w:t>
      </w:r>
      <w:r w:rsidRPr="0086280A">
        <w:rPr>
          <w:sz w:val="16"/>
          <w:szCs w:val="16"/>
          <w:lang w:val="nl-NL"/>
        </w:rPr>
        <w:t xml:space="preserve">2016, afl. 30, </w:t>
      </w:r>
      <w:r w:rsidR="00B81771">
        <w:rPr>
          <w:sz w:val="16"/>
          <w:szCs w:val="16"/>
          <w:lang w:val="nl-NL"/>
        </w:rPr>
        <w:t xml:space="preserve">(2177) </w:t>
      </w:r>
      <w:r w:rsidRPr="0086280A">
        <w:rPr>
          <w:sz w:val="16"/>
          <w:szCs w:val="16"/>
          <w:lang w:val="nl-NL"/>
        </w:rPr>
        <w:t>1565.</w:t>
      </w:r>
    </w:p>
  </w:footnote>
  <w:footnote w:id="464">
    <w:p w14:paraId="34CCF3F1" w14:textId="74167255"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Mogelijk wel met hulp van een kinder- en jongerenrechtswinkel, </w:t>
      </w:r>
      <w:r w:rsidR="00174497" w:rsidRPr="0086280A">
        <w:rPr>
          <w:sz w:val="16"/>
          <w:szCs w:val="16"/>
          <w:lang w:val="nl-NL"/>
        </w:rPr>
        <w:t>zie</w:t>
      </w:r>
      <w:r w:rsidRPr="0086280A">
        <w:rPr>
          <w:sz w:val="16"/>
          <w:szCs w:val="16"/>
          <w:lang w:val="nl-NL"/>
        </w:rPr>
        <w:t xml:space="preserve"> Rb. Zwolle 23 oktober 2003, ECLI:NL:RBZWO:2003:AO1859; N. VAN DER BIJL, M.E. VAN DEN DONGEN en E.J.M. VREEBURG-VAN DER LAAN, </w:t>
      </w:r>
      <w:r w:rsidRPr="0086280A">
        <w:rPr>
          <w:i/>
          <w:iCs/>
          <w:sz w:val="16"/>
          <w:szCs w:val="16"/>
          <w:lang w:val="nl-NL"/>
        </w:rPr>
        <w:t>De bijzondere curator, een lot uit de loterij? Adviesrapport over waarborging van de stem en de belangen van kinderen in de praktijk</w:t>
      </w:r>
      <w:r w:rsidRPr="0086280A">
        <w:rPr>
          <w:sz w:val="16"/>
          <w:szCs w:val="16"/>
          <w:lang w:val="nl-NL"/>
        </w:rPr>
        <w:t xml:space="preserve">, 5 juli 2012, 11-12, </w:t>
      </w:r>
      <w:hyperlink r:id="rId32" w:history="1">
        <w:r w:rsidR="00174497" w:rsidRPr="0086280A">
          <w:rPr>
            <w:rStyle w:val="Hyperlink"/>
            <w:sz w:val="16"/>
            <w:szCs w:val="16"/>
            <w:lang w:val="nl-NL"/>
          </w:rPr>
          <w:t>www.yumpu.com/nl/document/read/20419352/de-bijzondere-curator-een-lot-uit-de-loterij-de-kinderombudsman</w:t>
        </w:r>
      </w:hyperlink>
      <w:r w:rsidRPr="0086280A">
        <w:rPr>
          <w:sz w:val="16"/>
          <w:szCs w:val="16"/>
          <w:lang w:val="nl-NL"/>
        </w:rPr>
        <w:t xml:space="preserve"> (laatste consultatie </w:t>
      </w:r>
      <w:r w:rsidR="00174497" w:rsidRPr="0086280A">
        <w:rPr>
          <w:sz w:val="16"/>
          <w:szCs w:val="16"/>
          <w:lang w:val="nl-NL"/>
        </w:rPr>
        <w:t>13</w:t>
      </w:r>
      <w:r w:rsidRPr="0086280A">
        <w:rPr>
          <w:sz w:val="16"/>
          <w:szCs w:val="16"/>
          <w:lang w:val="nl-NL"/>
        </w:rPr>
        <w:t>.</w:t>
      </w:r>
      <w:r w:rsidR="00174497" w:rsidRPr="0086280A">
        <w:rPr>
          <w:sz w:val="16"/>
          <w:szCs w:val="16"/>
          <w:lang w:val="nl-NL"/>
        </w:rPr>
        <w:t>05</w:t>
      </w:r>
      <w:r w:rsidRPr="0086280A">
        <w:rPr>
          <w:sz w:val="16"/>
          <w:szCs w:val="16"/>
          <w:lang w:val="nl-NL"/>
        </w:rPr>
        <w:t>.2023).</w:t>
      </w:r>
    </w:p>
  </w:footnote>
  <w:footnote w:id="465">
    <w:p w14:paraId="48231A3F" w14:textId="56C1B6DB"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C.Y. BRENDEL, “De kinder- en jongerenrechtswinkel en de informele rechtsingang voor kinderen”, </w:t>
      </w:r>
      <w:r w:rsidRPr="0086280A">
        <w:rPr>
          <w:i/>
          <w:sz w:val="16"/>
          <w:szCs w:val="16"/>
          <w:lang w:val="nl-NL"/>
        </w:rPr>
        <w:t xml:space="preserve">Tijdschrift voor relatierecht en praktijk </w:t>
      </w:r>
      <w:r w:rsidRPr="0086280A">
        <w:rPr>
          <w:sz w:val="16"/>
          <w:szCs w:val="16"/>
          <w:lang w:val="nl-NL"/>
        </w:rPr>
        <w:t>2021, nr. 3, 53.</w:t>
      </w:r>
    </w:p>
  </w:footnote>
  <w:footnote w:id="466">
    <w:p w14:paraId="05B2BEAE" w14:textId="0D0C8973"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Artikel 1:377a, derde lid, c NBW: “De rechter ontzegt het recht op omgang slechts, indien het kind dat twaalf jaren of ouder is, bij zijn verhoor ernstige bezwaren tegen de omgang met zijn ouder of met degene met wie hij in een nauwe persoonlijke betrekking staat heeft doen blijken (…)”; W. SCHRAMA en C. MOL, “Een rechtsvergelijkende blik op kinderparticipatie en enkele reflecties”, </w:t>
      </w:r>
      <w:r w:rsidRPr="0086280A">
        <w:rPr>
          <w:i/>
          <w:sz w:val="16"/>
          <w:szCs w:val="16"/>
          <w:lang w:val="nl-NL"/>
        </w:rPr>
        <w:t>T.Fam.</w:t>
      </w:r>
      <w:r w:rsidRPr="0086280A">
        <w:rPr>
          <w:sz w:val="16"/>
          <w:szCs w:val="16"/>
          <w:lang w:val="nl-NL"/>
        </w:rPr>
        <w:t xml:space="preserve"> 2022, nr. 5-6, </w:t>
      </w:r>
      <w:r w:rsidR="00B81771">
        <w:rPr>
          <w:sz w:val="16"/>
          <w:szCs w:val="16"/>
          <w:lang w:val="nl-NL"/>
        </w:rPr>
        <w:t xml:space="preserve">(132) </w:t>
      </w:r>
      <w:r w:rsidRPr="0086280A">
        <w:rPr>
          <w:sz w:val="16"/>
          <w:szCs w:val="16"/>
          <w:lang w:val="nl-NL"/>
        </w:rPr>
        <w:t>133.</w:t>
      </w:r>
    </w:p>
  </w:footnote>
  <w:footnote w:id="467">
    <w:p w14:paraId="3549B9E1" w14:textId="52BE96C9"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M. FIEGE, </w:t>
      </w:r>
      <w:r w:rsidRPr="0086280A">
        <w:rPr>
          <w:i/>
          <w:iCs/>
          <w:sz w:val="16"/>
          <w:szCs w:val="16"/>
          <w:lang w:val="nl-NL"/>
        </w:rPr>
        <w:t>De autonomie van de minderjarige in het recht</w:t>
      </w:r>
      <w:r w:rsidRPr="0086280A">
        <w:rPr>
          <w:sz w:val="16"/>
          <w:szCs w:val="16"/>
          <w:lang w:val="nl-NL"/>
        </w:rPr>
        <w:t>, Arnhem, Gouda Quint bv, 1993, 106-107; M.J. STEKETEE, A.M. OVERGAAG en K.D. LU</w:t>
      </w:r>
      <w:r w:rsidRPr="0086280A">
        <w:rPr>
          <w:rFonts w:ascii="Arial" w:hAnsi="Arial" w:cs="Arial"/>
          <w:sz w:val="16"/>
          <w:szCs w:val="16"/>
          <w:lang w:val="nl-NL"/>
        </w:rPr>
        <w:t>̈</w:t>
      </w:r>
      <w:r w:rsidRPr="0086280A">
        <w:rPr>
          <w:sz w:val="16"/>
          <w:szCs w:val="16"/>
          <w:lang w:val="nl-NL"/>
        </w:rPr>
        <w:t>NNEMANN, “</w:t>
      </w:r>
      <w:r w:rsidRPr="0086280A">
        <w:rPr>
          <w:i/>
          <w:iCs/>
          <w:sz w:val="16"/>
          <w:szCs w:val="16"/>
          <w:lang w:val="nl-NL"/>
        </w:rPr>
        <w:t>Minderjarigen als procespartij? Een onderzoek naar de bijzondere curator en een formele rechtsingang voor minderjarigen”</w:t>
      </w:r>
      <w:r w:rsidRPr="0086280A">
        <w:rPr>
          <w:sz w:val="16"/>
          <w:szCs w:val="16"/>
          <w:lang w:val="nl-NL"/>
        </w:rPr>
        <w:t xml:space="preserve">, </w:t>
      </w:r>
      <w:r w:rsidRPr="0086280A">
        <w:rPr>
          <w:i/>
          <w:iCs/>
          <w:sz w:val="16"/>
          <w:szCs w:val="16"/>
          <w:lang w:val="nl-NL"/>
        </w:rPr>
        <w:t xml:space="preserve">Verwey-Jonker </w:t>
      </w:r>
      <w:r w:rsidRPr="0086280A">
        <w:rPr>
          <w:sz w:val="16"/>
          <w:szCs w:val="16"/>
          <w:lang w:val="nl-NL"/>
        </w:rPr>
        <w:t xml:space="preserve">oktober 2003; J.H.M. TER HAAR, “De processuele handelingsonbekwaamheid van de minderjarige”, </w:t>
      </w:r>
      <w:r w:rsidRPr="0086280A">
        <w:rPr>
          <w:i/>
          <w:sz w:val="16"/>
          <w:szCs w:val="16"/>
          <w:lang w:val="nl-NL"/>
        </w:rPr>
        <w:t>EB</w:t>
      </w:r>
      <w:r w:rsidRPr="0086280A">
        <w:rPr>
          <w:sz w:val="16"/>
          <w:szCs w:val="16"/>
          <w:lang w:val="nl-NL"/>
        </w:rPr>
        <w:t xml:space="preserve"> 2015, afl. 3, </w:t>
      </w:r>
      <w:r w:rsidR="00B81771">
        <w:rPr>
          <w:sz w:val="16"/>
          <w:szCs w:val="16"/>
          <w:lang w:val="nl-NL"/>
        </w:rPr>
        <w:t xml:space="preserve">(47) </w:t>
      </w:r>
      <w:r w:rsidRPr="0086280A">
        <w:rPr>
          <w:sz w:val="16"/>
          <w:szCs w:val="16"/>
          <w:lang w:val="nl-NL"/>
        </w:rPr>
        <w:t>48-49.</w:t>
      </w:r>
    </w:p>
  </w:footnote>
  <w:footnote w:id="468">
    <w:p w14:paraId="686CCE11" w14:textId="3BD95D60"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t>
      </w:r>
      <w:r w:rsidR="00AD6464" w:rsidRPr="0086280A">
        <w:rPr>
          <w:sz w:val="16"/>
          <w:szCs w:val="16"/>
          <w:lang w:val="nl-NL"/>
        </w:rPr>
        <w:t>M.J. STEKETEE, A.M. OVERGAAG en K.D. LU</w:t>
      </w:r>
      <w:r w:rsidR="00AD6464" w:rsidRPr="0086280A">
        <w:rPr>
          <w:rFonts w:ascii="Arial" w:hAnsi="Arial" w:cs="Arial"/>
          <w:sz w:val="16"/>
          <w:szCs w:val="16"/>
          <w:lang w:val="nl-NL"/>
        </w:rPr>
        <w:t>̈</w:t>
      </w:r>
      <w:r w:rsidR="00AD6464" w:rsidRPr="0086280A">
        <w:rPr>
          <w:sz w:val="16"/>
          <w:szCs w:val="16"/>
          <w:lang w:val="nl-NL"/>
        </w:rPr>
        <w:t>NNEMANN, “</w:t>
      </w:r>
      <w:r w:rsidR="00AD6464" w:rsidRPr="0086280A">
        <w:rPr>
          <w:i/>
          <w:iCs/>
          <w:sz w:val="16"/>
          <w:szCs w:val="16"/>
          <w:lang w:val="nl-NL"/>
        </w:rPr>
        <w:t>Minderjarigen als procespartij? Een onderzoek naar de bijzondere curator en een formele rechtsingang voor minderjarigen”</w:t>
      </w:r>
      <w:r w:rsidR="00AD6464" w:rsidRPr="0086280A">
        <w:rPr>
          <w:sz w:val="16"/>
          <w:szCs w:val="16"/>
          <w:lang w:val="nl-NL"/>
        </w:rPr>
        <w:t xml:space="preserve">, </w:t>
      </w:r>
      <w:r w:rsidR="00AD6464" w:rsidRPr="0086280A">
        <w:rPr>
          <w:i/>
          <w:iCs/>
          <w:sz w:val="16"/>
          <w:szCs w:val="16"/>
          <w:lang w:val="nl-NL"/>
        </w:rPr>
        <w:t xml:space="preserve">Verwey-Jonker </w:t>
      </w:r>
      <w:r w:rsidR="00AD6464" w:rsidRPr="0086280A">
        <w:rPr>
          <w:sz w:val="16"/>
          <w:szCs w:val="16"/>
          <w:lang w:val="nl-NL"/>
        </w:rPr>
        <w:t>oktober 2003</w:t>
      </w:r>
      <w:r w:rsidR="00AD6464">
        <w:rPr>
          <w:sz w:val="16"/>
          <w:szCs w:val="16"/>
          <w:lang w:val="nl-NL"/>
        </w:rPr>
        <w:t xml:space="preserve">; </w:t>
      </w:r>
      <w:r w:rsidRPr="0086280A">
        <w:rPr>
          <w:sz w:val="16"/>
          <w:szCs w:val="16"/>
          <w:lang w:val="nl-NL"/>
        </w:rPr>
        <w:t xml:space="preserve">E. JANSEN, “De eigen(aardige) procesbevoegdheid van de minderjarige”, </w:t>
      </w:r>
      <w:r w:rsidRPr="0086280A">
        <w:rPr>
          <w:i/>
          <w:iCs/>
          <w:sz w:val="16"/>
          <w:szCs w:val="16"/>
          <w:lang w:val="nl-NL"/>
        </w:rPr>
        <w:t xml:space="preserve">NJB </w:t>
      </w:r>
      <w:r w:rsidRPr="0086280A">
        <w:rPr>
          <w:sz w:val="16"/>
          <w:szCs w:val="16"/>
          <w:lang w:val="nl-NL"/>
        </w:rPr>
        <w:t xml:space="preserve">2016, afl. 30, </w:t>
      </w:r>
      <w:r w:rsidR="00B81771">
        <w:rPr>
          <w:sz w:val="16"/>
          <w:szCs w:val="16"/>
          <w:lang w:val="nl-NL"/>
        </w:rPr>
        <w:t xml:space="preserve">(2177) </w:t>
      </w:r>
      <w:r w:rsidRPr="0086280A">
        <w:rPr>
          <w:sz w:val="16"/>
          <w:szCs w:val="16"/>
          <w:lang w:val="nl-NL"/>
        </w:rPr>
        <w:t>1565-1566.</w:t>
      </w:r>
    </w:p>
  </w:footnote>
  <w:footnote w:id="469">
    <w:p w14:paraId="312A6082" w14:textId="591BB18A"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C.J.M. BROUWER-VAN DE PUT en N.W. VERBRUGGEN-VAN HEIJST, “Ambtshalve dwangsom bij niet-nakoming omgangsregeling”, </w:t>
      </w:r>
      <w:r w:rsidRPr="0086280A">
        <w:rPr>
          <w:i/>
          <w:iCs/>
          <w:sz w:val="16"/>
          <w:szCs w:val="16"/>
          <w:lang w:val="nl-NL"/>
        </w:rPr>
        <w:t>EB</w:t>
      </w:r>
      <w:r w:rsidRPr="0086280A">
        <w:rPr>
          <w:sz w:val="16"/>
          <w:szCs w:val="16"/>
          <w:lang w:val="nl-NL"/>
        </w:rPr>
        <w:t xml:space="preserve"> 2022/31, afl. 5, </w:t>
      </w:r>
      <w:r w:rsidR="00B81771">
        <w:rPr>
          <w:sz w:val="16"/>
          <w:szCs w:val="16"/>
          <w:lang w:val="nl-NL"/>
        </w:rPr>
        <w:t xml:space="preserve">(85) </w:t>
      </w:r>
      <w:r w:rsidRPr="0086280A">
        <w:rPr>
          <w:sz w:val="16"/>
          <w:szCs w:val="16"/>
          <w:lang w:val="nl-NL"/>
        </w:rPr>
        <w:t>87.</w:t>
      </w:r>
    </w:p>
  </w:footnote>
  <w:footnote w:id="470">
    <w:p w14:paraId="476C7CE3" w14:textId="4F76E66C"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E. BONGERS en H.A. GERRITSE, “De kinderrechter en omgangsprocedures: oplossings- en interventiemogelijkheden, beperkingen en knelpunten”, </w:t>
      </w:r>
      <w:r w:rsidRPr="0086280A">
        <w:rPr>
          <w:i/>
          <w:iCs/>
          <w:sz w:val="16"/>
          <w:szCs w:val="16"/>
          <w:lang w:val="nl-NL"/>
        </w:rPr>
        <w:t>FJR</w:t>
      </w:r>
      <w:r w:rsidRPr="0086280A">
        <w:rPr>
          <w:sz w:val="16"/>
          <w:szCs w:val="16"/>
          <w:lang w:val="nl-NL"/>
        </w:rPr>
        <w:t xml:space="preserve"> 2009, afl. 9, </w:t>
      </w:r>
      <w:r w:rsidR="00B81771">
        <w:rPr>
          <w:sz w:val="16"/>
          <w:szCs w:val="16"/>
          <w:lang w:val="nl-NL"/>
        </w:rPr>
        <w:t xml:space="preserve">(206) </w:t>
      </w:r>
      <w:r w:rsidRPr="0086280A">
        <w:rPr>
          <w:sz w:val="16"/>
          <w:szCs w:val="16"/>
          <w:lang w:val="nl-NL"/>
        </w:rPr>
        <w:t>206-211.</w:t>
      </w:r>
    </w:p>
  </w:footnote>
  <w:footnote w:id="471">
    <w:p w14:paraId="41C51825" w14:textId="3CE0B7C1"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Rb. Rotterdam 8 juni 2022, ECLI:NL:RBROT:2022:5480</w:t>
      </w:r>
      <w:r w:rsidR="00174497" w:rsidRPr="0086280A">
        <w:rPr>
          <w:sz w:val="16"/>
          <w:szCs w:val="16"/>
          <w:lang w:val="nl-NL"/>
        </w:rPr>
        <w:t>: z</w:t>
      </w:r>
      <w:r w:rsidRPr="0086280A">
        <w:rPr>
          <w:sz w:val="16"/>
          <w:szCs w:val="16"/>
          <w:lang w:val="nl-NL"/>
        </w:rPr>
        <w:t>elfs tussen meerderjarigen bestaat deze verplichting. Vordering tot omgang met een hoogbejaarde en demente grootmoeder toegewezen. Positieve verplichting om omgang met grootmoeder toe te staan, want mentor heeft deze taak.</w:t>
      </w:r>
    </w:p>
  </w:footnote>
  <w:footnote w:id="472">
    <w:p w14:paraId="400B8AFB" w14:textId="33E17B2B"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P. VLAARDINGERBROEK, K. BLANKMAN, A.P. VAN DER LINDEN, E.C.C. PUNSELIE, W.M. SCHRAMA, </w:t>
      </w:r>
      <w:r w:rsidRPr="0086280A">
        <w:rPr>
          <w:i/>
          <w:iCs/>
          <w:sz w:val="16"/>
          <w:szCs w:val="16"/>
          <w:lang w:val="nl-NL"/>
        </w:rPr>
        <w:t>Het hedendaagse personen- en familierecht</w:t>
      </w:r>
      <w:r w:rsidRPr="0086280A">
        <w:rPr>
          <w:sz w:val="16"/>
          <w:szCs w:val="16"/>
          <w:lang w:val="nl-NL"/>
        </w:rPr>
        <w:t>, Deventer, Wolters Kluwer, 2020, 335-336.</w:t>
      </w:r>
    </w:p>
  </w:footnote>
  <w:footnote w:id="473">
    <w:p w14:paraId="43D7D141" w14:textId="4E13AC7A"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En toch heeft de lagere rechtspraak enkele keren een taakstraf opgelegd aan de ouder die zich niet aan de omgangsregeling hield</w:t>
      </w:r>
      <w:r w:rsidR="00174497" w:rsidRPr="0086280A">
        <w:rPr>
          <w:sz w:val="16"/>
          <w:szCs w:val="16"/>
          <w:lang w:val="nl-NL"/>
        </w:rPr>
        <w:t>.</w:t>
      </w:r>
      <w:r w:rsidRPr="0086280A">
        <w:rPr>
          <w:sz w:val="16"/>
          <w:szCs w:val="16"/>
          <w:lang w:val="nl-NL"/>
        </w:rPr>
        <w:t xml:space="preserve"> </w:t>
      </w:r>
      <w:r w:rsidR="00174497" w:rsidRPr="0086280A">
        <w:rPr>
          <w:sz w:val="16"/>
          <w:szCs w:val="16"/>
          <w:lang w:val="nl-NL"/>
        </w:rPr>
        <w:t>Z</w:t>
      </w:r>
      <w:r w:rsidRPr="0086280A">
        <w:rPr>
          <w:sz w:val="16"/>
          <w:szCs w:val="16"/>
          <w:lang w:val="nl-NL"/>
        </w:rPr>
        <w:t xml:space="preserve">ie Brief aan de Tweede Kamer van 11 februari 2000, </w:t>
      </w:r>
      <w:r w:rsidRPr="0086280A">
        <w:rPr>
          <w:i/>
          <w:iCs/>
          <w:sz w:val="16"/>
          <w:szCs w:val="16"/>
          <w:lang w:val="nl-NL"/>
        </w:rPr>
        <w:t xml:space="preserve">Kamerstukken </w:t>
      </w:r>
      <w:r w:rsidRPr="0086280A">
        <w:rPr>
          <w:sz w:val="16"/>
          <w:szCs w:val="16"/>
          <w:lang w:val="nl-NL"/>
        </w:rPr>
        <w:t xml:space="preserve">II 1999/2000, 25 451, nr. 5; P. VLAARDINGERBROEK, K. BLANKMAN, A.P. VAN DER LINDEN, E.C.C. PUNSELIE, W.M. SCHRAMA, </w:t>
      </w:r>
      <w:r w:rsidRPr="0086280A">
        <w:rPr>
          <w:i/>
          <w:iCs/>
          <w:sz w:val="16"/>
          <w:szCs w:val="16"/>
          <w:lang w:val="nl-NL"/>
        </w:rPr>
        <w:t>Het hedendaagse personen- en familierecht</w:t>
      </w:r>
      <w:r w:rsidRPr="0086280A">
        <w:rPr>
          <w:sz w:val="16"/>
          <w:szCs w:val="16"/>
          <w:lang w:val="nl-NL"/>
        </w:rPr>
        <w:t>, Deventer, Wolters Kluwer, 2020, 536.</w:t>
      </w:r>
    </w:p>
  </w:footnote>
  <w:footnote w:id="474">
    <w:p w14:paraId="4E8864CB" w14:textId="76AE8516"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HR 17 januari 2014, ECLI:NL:HR:2014:91, noot S.F.M. WORTMANN</w:t>
      </w:r>
      <w:r w:rsidR="00174497" w:rsidRPr="0086280A">
        <w:rPr>
          <w:sz w:val="16"/>
          <w:szCs w:val="16"/>
          <w:lang w:val="nl-NL"/>
        </w:rPr>
        <w:t xml:space="preserve">: het is de </w:t>
      </w:r>
      <w:r w:rsidRPr="0086280A">
        <w:rPr>
          <w:sz w:val="16"/>
          <w:szCs w:val="16"/>
          <w:lang w:val="nl-NL"/>
        </w:rPr>
        <w:t>taak van de rechter om te bevorderen dat een omgangsregeling tot stand komt, middels een actieve houding; HR 28 maart 2014, ECLI:NL:HR:2014:748: “(…) dit recht wordt, wat de niet met het gezag belaste ouder betreft, gewaarborgd door de artikelen 8 EVRM en 1:377a, lid 1 NBW, en wat het kind aangaat niet alleen door die laatstgenoemde bepaling, maar ook door artikel 9.3 IVRK en 24.3 Handvest van de grondrechten van de EU”.</w:t>
      </w:r>
    </w:p>
  </w:footnote>
  <w:footnote w:id="475">
    <w:p w14:paraId="2570C50B" w14:textId="6931974B"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Hof Den Haag 12 september 2018, ECLI:NL:GHDHA:2018:2549.</w:t>
      </w:r>
    </w:p>
  </w:footnote>
  <w:footnote w:id="476">
    <w:p w14:paraId="5A09BCDE" w14:textId="3CC17BDC"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HR 25 juni 1982, ECLI:NL:HR:1982:AG4421; HR 21 maart 1986, ECLI:NL:HR:1986:AC9280; P. VLAARDINGERBROEK, K. BLANKMAN, A.P. VAN DER LINDEN, E.C.C. PUNSELIE, W.M. SCHRAMA, </w:t>
      </w:r>
      <w:r w:rsidRPr="0086280A">
        <w:rPr>
          <w:i/>
          <w:iCs/>
          <w:sz w:val="16"/>
          <w:szCs w:val="16"/>
          <w:lang w:val="nl-NL"/>
        </w:rPr>
        <w:t>Het hedendaagse personen- en familierecht</w:t>
      </w:r>
      <w:r w:rsidRPr="0086280A">
        <w:rPr>
          <w:sz w:val="16"/>
          <w:szCs w:val="16"/>
          <w:lang w:val="nl-NL"/>
        </w:rPr>
        <w:t>, Deventer, Wolters Kluwer, 2020, 515-516.</w:t>
      </w:r>
    </w:p>
  </w:footnote>
  <w:footnote w:id="477">
    <w:p w14:paraId="2556235B" w14:textId="1B7C8DA8"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Artikel 1:377a, tweede lid NBW.</w:t>
      </w:r>
    </w:p>
  </w:footnote>
  <w:footnote w:id="478">
    <w:p w14:paraId="72F198A0" w14:textId="11F7D833"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t>
      </w:r>
      <w:r w:rsidR="00174497" w:rsidRPr="0086280A">
        <w:rPr>
          <w:sz w:val="16"/>
          <w:szCs w:val="16"/>
          <w:lang w:val="nl-NL"/>
        </w:rPr>
        <w:t>MvT, Kamerstukken II 18964, 3, 13; z</w:t>
      </w:r>
      <w:r w:rsidRPr="0086280A">
        <w:rPr>
          <w:sz w:val="16"/>
          <w:szCs w:val="16"/>
          <w:lang w:val="nl-NL"/>
        </w:rPr>
        <w:t xml:space="preserve">ie Hof Arnhem-Leeuwarden 13 juni 2017, ECLI:NL:GHARL:2017:5114; C.J.M. BROUWER-VAN DE PUT en N.W. VERBRUGGEN-VAN HEIJST, “Ambtshalve dwangsom bij niet-nakoming omgangsregeling”, </w:t>
      </w:r>
      <w:r w:rsidRPr="0086280A">
        <w:rPr>
          <w:i/>
          <w:iCs/>
          <w:sz w:val="16"/>
          <w:szCs w:val="16"/>
          <w:lang w:val="nl-NL"/>
        </w:rPr>
        <w:t>EB</w:t>
      </w:r>
      <w:r w:rsidRPr="0086280A">
        <w:rPr>
          <w:sz w:val="16"/>
          <w:szCs w:val="16"/>
          <w:lang w:val="nl-NL"/>
        </w:rPr>
        <w:t xml:space="preserve"> 2022/31, afl. 5, </w:t>
      </w:r>
      <w:r w:rsidR="00B81771">
        <w:rPr>
          <w:sz w:val="16"/>
          <w:szCs w:val="16"/>
          <w:lang w:val="nl-NL"/>
        </w:rPr>
        <w:t xml:space="preserve">(85) </w:t>
      </w:r>
      <w:r w:rsidRPr="0086280A">
        <w:rPr>
          <w:sz w:val="16"/>
          <w:szCs w:val="16"/>
          <w:lang w:val="nl-NL"/>
        </w:rPr>
        <w:t>85-88.</w:t>
      </w:r>
    </w:p>
  </w:footnote>
  <w:footnote w:id="479">
    <w:p w14:paraId="43C251B7" w14:textId="152FCAF8"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Hof Den Haag 12 januari 2011, ECLI:NL:GHSGR:2011:BP9609; Hof ’s-Hertogenbosch 12 april 2011, ECLI:NL:GHSHE:2011:BQ1361</w:t>
      </w:r>
      <w:r w:rsidR="00174497" w:rsidRPr="0086280A">
        <w:rPr>
          <w:sz w:val="16"/>
          <w:szCs w:val="16"/>
          <w:lang w:val="nl-NL"/>
        </w:rPr>
        <w:t xml:space="preserve">: betreft </w:t>
      </w:r>
      <w:r w:rsidRPr="00AD6464">
        <w:rPr>
          <w:sz w:val="16"/>
          <w:szCs w:val="16"/>
          <w:u w:val="single"/>
          <w:lang w:val="nl-NL"/>
        </w:rPr>
        <w:t>dwangsom voor de moeder per dag</w:t>
      </w:r>
      <w:r w:rsidRPr="0086280A">
        <w:rPr>
          <w:sz w:val="16"/>
          <w:szCs w:val="16"/>
          <w:lang w:val="nl-NL"/>
        </w:rPr>
        <w:t xml:space="preserve"> dat zij de omgangsregeling niet nakomt; Hof ’s-Hertogenbosch 22 augustus 2019, ECLI:NL:GHSHE:2019:3131</w:t>
      </w:r>
      <w:r w:rsidR="00174497" w:rsidRPr="0086280A">
        <w:rPr>
          <w:sz w:val="16"/>
          <w:szCs w:val="16"/>
          <w:lang w:val="nl-NL"/>
        </w:rPr>
        <w:t xml:space="preserve">: </w:t>
      </w:r>
      <w:r w:rsidRPr="0086280A">
        <w:rPr>
          <w:sz w:val="16"/>
          <w:szCs w:val="16"/>
          <w:lang w:val="nl-NL"/>
        </w:rPr>
        <w:t xml:space="preserve">moeder </w:t>
      </w:r>
      <w:r w:rsidR="00174497" w:rsidRPr="0086280A">
        <w:rPr>
          <w:sz w:val="16"/>
          <w:szCs w:val="16"/>
          <w:lang w:val="nl-NL"/>
        </w:rPr>
        <w:t>moet</w:t>
      </w:r>
      <w:r w:rsidRPr="0086280A">
        <w:rPr>
          <w:sz w:val="16"/>
          <w:szCs w:val="16"/>
          <w:lang w:val="nl-NL"/>
        </w:rPr>
        <w:t xml:space="preserve"> meewerken aan een begeleide omgangsregeling wegens haar </w:t>
      </w:r>
      <w:r w:rsidRPr="00AD6464">
        <w:rPr>
          <w:sz w:val="16"/>
          <w:szCs w:val="16"/>
          <w:u w:val="single"/>
          <w:lang w:val="nl-NL"/>
        </w:rPr>
        <w:t>plicht tot contact</w:t>
      </w:r>
      <w:r w:rsidRPr="0086280A">
        <w:rPr>
          <w:sz w:val="16"/>
          <w:szCs w:val="16"/>
          <w:lang w:val="nl-NL"/>
        </w:rPr>
        <w:t xml:space="preserve">, onder verbeurte van een dwangsom; M.V. ANTOKOLSKAIA en G. VERSCHELDEN, “Kinderen: gezag, verblijf en alimentatie naar Nederlands en Belgisch recht” in K. BOELE-WOELKI en F. SWENNEN (red.), </w:t>
      </w:r>
      <w:r w:rsidRPr="0086280A">
        <w:rPr>
          <w:i/>
          <w:iCs/>
          <w:sz w:val="16"/>
          <w:szCs w:val="16"/>
          <w:lang w:val="nl-NL"/>
        </w:rPr>
        <w:t>Vergelijkenderwijs. Actuele ontwikkelingen in het Belgische en Nederlandse familierecht</w:t>
      </w:r>
      <w:r w:rsidRPr="0086280A">
        <w:rPr>
          <w:sz w:val="16"/>
          <w:szCs w:val="16"/>
          <w:lang w:val="nl-NL"/>
        </w:rPr>
        <w:t>, Den Haag, Boom Juridische Uitgevers, 2012, 192.</w:t>
      </w:r>
    </w:p>
  </w:footnote>
  <w:footnote w:id="480">
    <w:p w14:paraId="61C22B21" w14:textId="4FBD8D0C"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Art</w:t>
      </w:r>
      <w:r w:rsidR="00AD6464">
        <w:rPr>
          <w:sz w:val="16"/>
          <w:szCs w:val="16"/>
          <w:lang w:val="nl-NL"/>
        </w:rPr>
        <w:t>ikel</w:t>
      </w:r>
      <w:r w:rsidRPr="0086280A">
        <w:rPr>
          <w:sz w:val="16"/>
          <w:szCs w:val="16"/>
          <w:lang w:val="nl-NL"/>
        </w:rPr>
        <w:t xml:space="preserve"> 1:250 NBW; zie voor een voorbeeld Hof ’s-Hertogenbosch 18 december 2014, ECLI:NL:HGHSHE:2014:5388 en Rb. Noord-Holland 2 juli 2014, ECLI:NL:RBNHO:2014:8244</w:t>
      </w:r>
      <w:r w:rsidR="00174497" w:rsidRPr="0086280A">
        <w:rPr>
          <w:sz w:val="16"/>
          <w:szCs w:val="16"/>
          <w:lang w:val="nl-NL"/>
        </w:rPr>
        <w:t>: d</w:t>
      </w:r>
      <w:r w:rsidRPr="0086280A">
        <w:rPr>
          <w:sz w:val="16"/>
          <w:szCs w:val="16"/>
          <w:lang w:val="nl-NL"/>
        </w:rPr>
        <w:t xml:space="preserve">e bijzondere curator, een orthopedagoog, kreeg de opdracht na te gaan of en zo ja, op welke wijze inhoud kan worden gegeven aan de omgang tussen het kind en de vader; S.F.M. WORTMANN en J. VAN DUIJVENDIJK-BRAND, </w:t>
      </w:r>
      <w:r w:rsidRPr="0086280A">
        <w:rPr>
          <w:i/>
          <w:iCs/>
          <w:sz w:val="16"/>
          <w:szCs w:val="16"/>
          <w:lang w:val="nl-NL"/>
        </w:rPr>
        <w:t>Compendium van het personen- en familierecht</w:t>
      </w:r>
      <w:r w:rsidRPr="0086280A">
        <w:rPr>
          <w:sz w:val="16"/>
          <w:szCs w:val="16"/>
          <w:lang w:val="nl-NL"/>
        </w:rPr>
        <w:t>, Deventer, Wolters Kluwer, 2021, 464 p</w:t>
      </w:r>
      <w:r w:rsidR="00174497" w:rsidRPr="0086280A">
        <w:rPr>
          <w:sz w:val="16"/>
          <w:szCs w:val="16"/>
          <w:lang w:val="nl-NL"/>
        </w:rPr>
        <w:t xml:space="preserve">; C. VAN WAMELEN, “De omgangscurator”, </w:t>
      </w:r>
      <w:r w:rsidR="00174497" w:rsidRPr="0086280A">
        <w:rPr>
          <w:i/>
          <w:sz w:val="16"/>
          <w:szCs w:val="16"/>
          <w:lang w:val="nl-NL"/>
        </w:rPr>
        <w:t>FJR</w:t>
      </w:r>
      <w:r w:rsidR="00174497" w:rsidRPr="0086280A">
        <w:rPr>
          <w:sz w:val="16"/>
          <w:szCs w:val="16"/>
          <w:lang w:val="nl-NL"/>
        </w:rPr>
        <w:t xml:space="preserve"> 1995, afl. 10, 217.</w:t>
      </w:r>
    </w:p>
  </w:footnote>
  <w:footnote w:id="481">
    <w:p w14:paraId="74FFAF4D" w14:textId="35C32485"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P. VLAARDINGERBROEK, K. BLANKMAN, A.P. VAN DER LINDEN, E.C.C. PUNSELIE, W.M. SCHRAMA, </w:t>
      </w:r>
      <w:r w:rsidRPr="0086280A">
        <w:rPr>
          <w:i/>
          <w:iCs/>
          <w:sz w:val="16"/>
          <w:szCs w:val="16"/>
          <w:lang w:val="nl-NL"/>
        </w:rPr>
        <w:t>Het hedendaagse personen- en familierecht</w:t>
      </w:r>
      <w:r w:rsidRPr="0086280A">
        <w:rPr>
          <w:sz w:val="16"/>
          <w:szCs w:val="16"/>
          <w:lang w:val="nl-NL"/>
        </w:rPr>
        <w:t>, Deventer, Wolters Kluwer, 2020, 380-386.</w:t>
      </w:r>
    </w:p>
  </w:footnote>
  <w:footnote w:id="482">
    <w:p w14:paraId="010CE1CA" w14:textId="6797502E"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Hof Den Haag 24 juni 2021, ECLI:NL:GHDHA:2021:1269.</w:t>
      </w:r>
    </w:p>
  </w:footnote>
  <w:footnote w:id="483">
    <w:p w14:paraId="510A7805" w14:textId="0D1D58F3"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P. VLAARDINGERBROEK, K. BLANKMAN, A.P. VAN DER LINDEN, E.C.C. PUNSELIE, W.M. SCHRAMA, </w:t>
      </w:r>
      <w:r w:rsidRPr="0086280A">
        <w:rPr>
          <w:i/>
          <w:iCs/>
          <w:sz w:val="16"/>
          <w:szCs w:val="16"/>
          <w:lang w:val="nl-NL"/>
        </w:rPr>
        <w:t>Het hedendaagse personen- en familierecht</w:t>
      </w:r>
      <w:r w:rsidRPr="0086280A">
        <w:rPr>
          <w:sz w:val="16"/>
          <w:szCs w:val="16"/>
          <w:lang w:val="nl-NL"/>
        </w:rPr>
        <w:t>, Deventer, Wolters Kluwer, 2020, 380-386.</w:t>
      </w:r>
    </w:p>
  </w:footnote>
  <w:footnote w:id="484">
    <w:p w14:paraId="70FD72C4" w14:textId="5898A396" w:rsidR="00C57AF9" w:rsidRPr="0086280A" w:rsidRDefault="00C57AF9" w:rsidP="005C4D5C">
      <w:pPr>
        <w:pStyle w:val="Voetnoottekst"/>
        <w:jc w:val="both"/>
        <w:rPr>
          <w:color w:val="0563C1" w:themeColor="hyperlink"/>
          <w:sz w:val="16"/>
          <w:szCs w:val="16"/>
          <w:u w:val="single"/>
          <w:lang w:val="nl-NL"/>
        </w:rPr>
      </w:pPr>
      <w:r w:rsidRPr="0086280A">
        <w:rPr>
          <w:rStyle w:val="Voetnootmarkering"/>
          <w:sz w:val="16"/>
          <w:szCs w:val="16"/>
          <w:lang w:val="nl-NL"/>
        </w:rPr>
        <w:footnoteRef/>
      </w:r>
      <w:r w:rsidRPr="0086280A">
        <w:rPr>
          <w:sz w:val="16"/>
          <w:szCs w:val="16"/>
          <w:lang w:val="nl-NL"/>
        </w:rPr>
        <w:t xml:space="preserve"> HR 4 februari 2005, ECLI:NL:HR:2005:AR4850, §422</w:t>
      </w:r>
      <w:r w:rsidR="00174497" w:rsidRPr="0086280A">
        <w:rPr>
          <w:sz w:val="16"/>
          <w:szCs w:val="16"/>
          <w:lang w:val="nl-NL"/>
        </w:rPr>
        <w:t xml:space="preserve">: </w:t>
      </w:r>
      <w:r w:rsidRPr="0086280A">
        <w:rPr>
          <w:sz w:val="16"/>
          <w:szCs w:val="16"/>
          <w:lang w:val="nl-NL"/>
        </w:rPr>
        <w:t xml:space="preserve">uit de parlementaire stukken betreffende de omgangscurator blijkt dat het niet de bedoeling was deze te belasten met algemene opvoedingsproblemen. Het moet gaan om een </w:t>
      </w:r>
      <w:r w:rsidRPr="00AD6464">
        <w:rPr>
          <w:sz w:val="16"/>
          <w:szCs w:val="16"/>
          <w:u w:val="single"/>
          <w:lang w:val="nl-NL"/>
        </w:rPr>
        <w:t>wezenlijk conflict</w:t>
      </w:r>
      <w:r w:rsidRPr="0086280A">
        <w:rPr>
          <w:sz w:val="16"/>
          <w:szCs w:val="16"/>
          <w:lang w:val="nl-NL"/>
        </w:rPr>
        <w:t xml:space="preserve"> tussen de minderjarige en de wettelijke vertegenwoordiger; N. VAN DER BIJL, M.E. VAN DEN DONGEN en E.J.M. VREEBURG-VAN DER LAAN, </w:t>
      </w:r>
      <w:r w:rsidRPr="0086280A">
        <w:rPr>
          <w:i/>
          <w:iCs/>
          <w:sz w:val="16"/>
          <w:szCs w:val="16"/>
          <w:lang w:val="nl-NL"/>
        </w:rPr>
        <w:t>De bijzondere curator, een lot uit de loterij? Adviesrapport over waarborging van de stem en de belangen van kinderen in de praktijk</w:t>
      </w:r>
      <w:r w:rsidRPr="0086280A">
        <w:rPr>
          <w:sz w:val="16"/>
          <w:szCs w:val="16"/>
          <w:lang w:val="nl-NL"/>
        </w:rPr>
        <w:t xml:space="preserve">, 5 juli 2012, 14, </w:t>
      </w:r>
      <w:hyperlink r:id="rId33" w:history="1">
        <w:r w:rsidR="00174497" w:rsidRPr="0086280A">
          <w:rPr>
            <w:rStyle w:val="Hyperlink"/>
            <w:sz w:val="16"/>
            <w:szCs w:val="16"/>
            <w:lang w:val="nl-NL"/>
          </w:rPr>
          <w:t>www.yumpu.com/nl/document/read/20419352/de-bijzondere-curator-een-lot-uit-de-loterij-de-kinderombudsman</w:t>
        </w:r>
      </w:hyperlink>
      <w:r w:rsidRPr="0086280A">
        <w:rPr>
          <w:sz w:val="16"/>
          <w:szCs w:val="16"/>
          <w:lang w:val="nl-NL"/>
        </w:rPr>
        <w:t xml:space="preserve"> (laatste consultatie </w:t>
      </w:r>
      <w:r w:rsidR="00174497" w:rsidRPr="0086280A">
        <w:rPr>
          <w:sz w:val="16"/>
          <w:szCs w:val="16"/>
          <w:lang w:val="nl-NL"/>
        </w:rPr>
        <w:t>13</w:t>
      </w:r>
      <w:r w:rsidRPr="0086280A">
        <w:rPr>
          <w:sz w:val="16"/>
          <w:szCs w:val="16"/>
          <w:lang w:val="nl-NL"/>
        </w:rPr>
        <w:t>.</w:t>
      </w:r>
      <w:r w:rsidR="00174497" w:rsidRPr="0086280A">
        <w:rPr>
          <w:sz w:val="16"/>
          <w:szCs w:val="16"/>
          <w:lang w:val="nl-NL"/>
        </w:rPr>
        <w:t>05</w:t>
      </w:r>
      <w:r w:rsidRPr="0086280A">
        <w:rPr>
          <w:sz w:val="16"/>
          <w:szCs w:val="16"/>
          <w:lang w:val="nl-NL"/>
        </w:rPr>
        <w:t xml:space="preserve">.2023); M.V. ANTOKOLSKAIA en G. VERSCHELDEN, “Kinderen: gezag, verblijf en alimentatie naar Nederlands en Belgisch recht” in K. BOELE-WOELKI en F. SWENNEN (red.), </w:t>
      </w:r>
      <w:r w:rsidRPr="0086280A">
        <w:rPr>
          <w:i/>
          <w:iCs/>
          <w:sz w:val="16"/>
          <w:szCs w:val="16"/>
          <w:lang w:val="nl-NL"/>
        </w:rPr>
        <w:t>Vergelijkenderwijs. Actuele ontwikkelingen in het Belgische en Nederlandse familierecht</w:t>
      </w:r>
      <w:r w:rsidRPr="0086280A">
        <w:rPr>
          <w:sz w:val="16"/>
          <w:szCs w:val="16"/>
          <w:lang w:val="nl-NL"/>
        </w:rPr>
        <w:t>, Den Haag, Boom Juridische Uitgevers, 2012, 165.</w:t>
      </w:r>
    </w:p>
  </w:footnote>
  <w:footnote w:id="485">
    <w:p w14:paraId="7D82A71C" w14:textId="57B9D338"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P. VLAARDINGERBROEK, K. BLANKMAN, A.P. VAN DER LINDEN, E.C.C. PUNSELIE, W.M. SCHRAMA, </w:t>
      </w:r>
      <w:r w:rsidRPr="0086280A">
        <w:rPr>
          <w:i/>
          <w:iCs/>
          <w:sz w:val="16"/>
          <w:szCs w:val="16"/>
          <w:lang w:val="nl-NL"/>
        </w:rPr>
        <w:t>Het hedendaagse personen- en familierecht</w:t>
      </w:r>
      <w:r w:rsidRPr="0086280A">
        <w:rPr>
          <w:sz w:val="16"/>
          <w:szCs w:val="16"/>
          <w:lang w:val="nl-NL"/>
        </w:rPr>
        <w:t>, Deventer, Wolters Kluwer, 2020, 380-386.</w:t>
      </w:r>
    </w:p>
  </w:footnote>
  <w:footnote w:id="486">
    <w:p w14:paraId="4628CAFB" w14:textId="29501975"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M.J. STEKETEE, A.M. OVERGAAG en K.D. LÜNNEMANN, </w:t>
      </w:r>
      <w:r w:rsidRPr="0086280A">
        <w:rPr>
          <w:i/>
          <w:sz w:val="16"/>
          <w:szCs w:val="16"/>
          <w:lang w:val="nl-NL"/>
        </w:rPr>
        <w:t>Minderjarigen als procespartij? Een onderzoek naar de bijzondere curator en een formele rechtsingang voor minderjarigen</w:t>
      </w:r>
      <w:r w:rsidRPr="0086280A">
        <w:rPr>
          <w:sz w:val="16"/>
          <w:szCs w:val="16"/>
          <w:lang w:val="nl-NL"/>
        </w:rPr>
        <w:t xml:space="preserve">, oktober 2003, </w:t>
      </w:r>
      <w:hyperlink r:id="rId34" w:history="1">
        <w:r w:rsidRPr="0086280A">
          <w:rPr>
            <w:rStyle w:val="Hyperlink"/>
            <w:sz w:val="16"/>
            <w:szCs w:val="16"/>
            <w:lang w:val="nl-NL"/>
          </w:rPr>
          <w:t>www.verwey-jonker.nl/wp-content/uploads/2020/07/D4393291_def1.pdf</w:t>
        </w:r>
      </w:hyperlink>
      <w:r w:rsidRPr="0086280A">
        <w:rPr>
          <w:sz w:val="16"/>
          <w:szCs w:val="16"/>
          <w:lang w:val="nl-NL"/>
        </w:rPr>
        <w:t xml:space="preserve"> (laatste consultatie </w:t>
      </w:r>
      <w:r w:rsidR="00174497" w:rsidRPr="0086280A">
        <w:rPr>
          <w:sz w:val="16"/>
          <w:szCs w:val="16"/>
          <w:lang w:val="nl-NL"/>
        </w:rPr>
        <w:t>13</w:t>
      </w:r>
      <w:r w:rsidRPr="0086280A">
        <w:rPr>
          <w:sz w:val="16"/>
          <w:szCs w:val="16"/>
          <w:lang w:val="nl-NL"/>
        </w:rPr>
        <w:t>.</w:t>
      </w:r>
      <w:r w:rsidR="00174497" w:rsidRPr="0086280A">
        <w:rPr>
          <w:sz w:val="16"/>
          <w:szCs w:val="16"/>
          <w:lang w:val="nl-NL"/>
        </w:rPr>
        <w:t>05</w:t>
      </w:r>
      <w:r w:rsidRPr="0086280A">
        <w:rPr>
          <w:sz w:val="16"/>
          <w:szCs w:val="16"/>
          <w:lang w:val="nl-NL"/>
        </w:rPr>
        <w:t>.202</w:t>
      </w:r>
      <w:r w:rsidR="006810D8">
        <w:rPr>
          <w:sz w:val="16"/>
          <w:szCs w:val="16"/>
          <w:lang w:val="nl-NL"/>
        </w:rPr>
        <w:t>3</w:t>
      </w:r>
      <w:r w:rsidRPr="0086280A">
        <w:rPr>
          <w:sz w:val="16"/>
          <w:szCs w:val="16"/>
          <w:lang w:val="nl-NL"/>
        </w:rPr>
        <w:t>).</w:t>
      </w:r>
    </w:p>
  </w:footnote>
  <w:footnote w:id="487">
    <w:p w14:paraId="4F1112A7" w14:textId="3D911978"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P. VLAARDINGERBROEK, K. BLANKMAN, A.P. VAN DER LINDEN, E.C.C. PUNSELIE, W.M. SCHRAMA, </w:t>
      </w:r>
      <w:r w:rsidRPr="0086280A">
        <w:rPr>
          <w:i/>
          <w:iCs/>
          <w:sz w:val="16"/>
          <w:szCs w:val="16"/>
          <w:lang w:val="nl-NL"/>
        </w:rPr>
        <w:t>Het hedendaagse personen- en familierecht</w:t>
      </w:r>
      <w:r w:rsidRPr="0086280A">
        <w:rPr>
          <w:sz w:val="16"/>
          <w:szCs w:val="16"/>
          <w:lang w:val="nl-NL"/>
        </w:rPr>
        <w:t xml:space="preserve">, Deventer, Wolters Kluwer, 2020, 384-386; N. VAN DER BIJL, M.E. VAN DEN DONGEN en E.J.M. VREEBURG-VAN DER LAAN, </w:t>
      </w:r>
      <w:r w:rsidRPr="0086280A">
        <w:rPr>
          <w:i/>
          <w:iCs/>
          <w:sz w:val="16"/>
          <w:szCs w:val="16"/>
          <w:lang w:val="nl-NL"/>
        </w:rPr>
        <w:t>De bijzondere curator, een lot uit de loterij? Adviesrapport over waarborging van de stem en de belangen van kinderen in de praktijk</w:t>
      </w:r>
      <w:r w:rsidRPr="0086280A">
        <w:rPr>
          <w:sz w:val="16"/>
          <w:szCs w:val="16"/>
          <w:lang w:val="nl-NL"/>
        </w:rPr>
        <w:t xml:space="preserve">, 5 juli 2012, 45 en 47-48, </w:t>
      </w:r>
      <w:hyperlink r:id="rId35" w:history="1">
        <w:r w:rsidR="00174497" w:rsidRPr="0086280A">
          <w:rPr>
            <w:rStyle w:val="Hyperlink"/>
            <w:sz w:val="16"/>
            <w:szCs w:val="16"/>
            <w:lang w:val="nl-NL"/>
          </w:rPr>
          <w:t>www.yumpu.com/nl/document/read/20419352/de-bijzondere-curator-een-lot-uit-de-loterij-de-kinderombudsman</w:t>
        </w:r>
      </w:hyperlink>
      <w:r w:rsidRPr="0086280A">
        <w:rPr>
          <w:sz w:val="16"/>
          <w:szCs w:val="16"/>
          <w:lang w:val="nl-NL"/>
        </w:rPr>
        <w:t xml:space="preserve"> (laatste consultatie </w:t>
      </w:r>
      <w:r w:rsidR="00174497" w:rsidRPr="0086280A">
        <w:rPr>
          <w:sz w:val="16"/>
          <w:szCs w:val="16"/>
          <w:lang w:val="nl-NL"/>
        </w:rPr>
        <w:t>13</w:t>
      </w:r>
      <w:r w:rsidRPr="0086280A">
        <w:rPr>
          <w:sz w:val="16"/>
          <w:szCs w:val="16"/>
          <w:lang w:val="nl-NL"/>
        </w:rPr>
        <w:t>.</w:t>
      </w:r>
      <w:r w:rsidR="00174497" w:rsidRPr="0086280A">
        <w:rPr>
          <w:sz w:val="16"/>
          <w:szCs w:val="16"/>
          <w:lang w:val="nl-NL"/>
        </w:rPr>
        <w:t>05</w:t>
      </w:r>
      <w:r w:rsidRPr="0086280A">
        <w:rPr>
          <w:sz w:val="16"/>
          <w:szCs w:val="16"/>
          <w:lang w:val="nl-NL"/>
        </w:rPr>
        <w:t>.2023).</w:t>
      </w:r>
    </w:p>
  </w:footnote>
  <w:footnote w:id="488">
    <w:p w14:paraId="28FADFE1" w14:textId="753A7550"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P. VLAARDINGERBROEK, K. BLANKMAN, A.P. VAN DER LINDEN, E.C.C. PUNSELIE, W.M. SCHRAMA, </w:t>
      </w:r>
      <w:r w:rsidRPr="0086280A">
        <w:rPr>
          <w:i/>
          <w:iCs/>
          <w:sz w:val="16"/>
          <w:szCs w:val="16"/>
          <w:lang w:val="nl-NL"/>
        </w:rPr>
        <w:t>Het hedendaagse personen- en familierecht</w:t>
      </w:r>
      <w:r w:rsidRPr="0086280A">
        <w:rPr>
          <w:sz w:val="16"/>
          <w:szCs w:val="16"/>
          <w:lang w:val="nl-NL"/>
        </w:rPr>
        <w:t>, Deventer, Wolters Kluwer, 2020, 384-386.</w:t>
      </w:r>
    </w:p>
  </w:footnote>
  <w:footnote w:id="489">
    <w:p w14:paraId="37132A10" w14:textId="770441EA"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Artikel 2 GG: </w:t>
      </w:r>
      <w:r w:rsidR="00E91F09" w:rsidRPr="0086280A">
        <w:rPr>
          <w:sz w:val="16"/>
          <w:szCs w:val="16"/>
          <w:lang w:val="nl-NL"/>
        </w:rPr>
        <w:t>“</w:t>
      </w:r>
      <w:r w:rsidRPr="0086280A">
        <w:rPr>
          <w:sz w:val="16"/>
          <w:szCs w:val="16"/>
          <w:lang w:val="nl-NL"/>
        </w:rPr>
        <w:t>(1) Jeder hat das Recht auf die freie Entfaltung seiner Persönlichkeit, soweit er nicht die Rechte anderer verletzt und nicht gegen die verfassungsmäßige Ordnung oder das Sittengesetz verstößt. (2) Jeder hat das Recht auf Leben und körperliche Unversehrtheit. Die Freiheit der Person ist unverletzlich. In diese Rechte darf nur auf Grund eines Gesetzes eingegriffen werden</w:t>
      </w:r>
      <w:r w:rsidR="00E91F09" w:rsidRPr="0086280A">
        <w:rPr>
          <w:sz w:val="16"/>
          <w:szCs w:val="16"/>
          <w:lang w:val="nl-NL"/>
        </w:rPr>
        <w:t>”</w:t>
      </w:r>
      <w:r w:rsidR="00C3302C">
        <w:rPr>
          <w:sz w:val="16"/>
          <w:szCs w:val="16"/>
          <w:lang w:val="nl-NL"/>
        </w:rPr>
        <w:t>.</w:t>
      </w:r>
    </w:p>
  </w:footnote>
  <w:footnote w:id="490">
    <w:p w14:paraId="539156D0" w14:textId="0F9BDE2E"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S. LETTMAIER en M.-P. SCHULZ, </w:t>
      </w:r>
      <w:r w:rsidRPr="004F6728">
        <w:rPr>
          <w:i/>
          <w:iCs/>
          <w:sz w:val="16"/>
          <w:szCs w:val="16"/>
          <w:lang w:val="en-US"/>
        </w:rPr>
        <w:t>Family and Succession Law in Germany, fourth edition</w:t>
      </w:r>
      <w:r w:rsidRPr="004F6728">
        <w:rPr>
          <w:sz w:val="16"/>
          <w:szCs w:val="16"/>
          <w:lang w:val="en-US"/>
        </w:rPr>
        <w:t xml:space="preserve">, Alphen </w:t>
      </w:r>
      <w:proofErr w:type="spellStart"/>
      <w:r w:rsidRPr="004F6728">
        <w:rPr>
          <w:sz w:val="16"/>
          <w:szCs w:val="16"/>
          <w:lang w:val="en-US"/>
        </w:rPr>
        <w:t>Aan</w:t>
      </w:r>
      <w:proofErr w:type="spellEnd"/>
      <w:r w:rsidRPr="004F6728">
        <w:rPr>
          <w:sz w:val="16"/>
          <w:szCs w:val="16"/>
          <w:lang w:val="en-US"/>
        </w:rPr>
        <w:t xml:space="preserve"> den Rijn, Kluwer, 2022, </w:t>
      </w:r>
      <w:proofErr w:type="spellStart"/>
      <w:r w:rsidRPr="004F6728">
        <w:rPr>
          <w:sz w:val="16"/>
          <w:szCs w:val="16"/>
          <w:lang w:val="en-US"/>
        </w:rPr>
        <w:t>randnummer</w:t>
      </w:r>
      <w:proofErr w:type="spellEnd"/>
      <w:r w:rsidRPr="004F6728">
        <w:rPr>
          <w:sz w:val="16"/>
          <w:szCs w:val="16"/>
          <w:lang w:val="en-US"/>
        </w:rPr>
        <w:t xml:space="preserve"> 34.</w:t>
      </w:r>
    </w:p>
  </w:footnote>
  <w:footnote w:id="491">
    <w:p w14:paraId="09BC5683" w14:textId="0245999E"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Artikel 104.1 en artikel 105.1 BGB.</w:t>
      </w:r>
    </w:p>
  </w:footnote>
  <w:footnote w:id="492">
    <w:p w14:paraId="2A2CA032" w14:textId="1F88C373"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Artikel 106 BGB.</w:t>
      </w:r>
    </w:p>
  </w:footnote>
  <w:footnote w:id="493">
    <w:p w14:paraId="33D662C4" w14:textId="3BDC31BC"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Artikel 52 Zivilprozessordnung.</w:t>
      </w:r>
    </w:p>
  </w:footnote>
  <w:footnote w:id="494">
    <w:p w14:paraId="01382B41" w14:textId="28BEFB1E"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S. LETTMAIER en M.-P. SCHULZ, </w:t>
      </w:r>
      <w:r w:rsidRPr="0086280A">
        <w:rPr>
          <w:i/>
          <w:iCs/>
          <w:sz w:val="16"/>
          <w:szCs w:val="16"/>
          <w:lang w:val="nl-NL"/>
        </w:rPr>
        <w:t>Family and Succession Law in Germany, fourth edition</w:t>
      </w:r>
      <w:r w:rsidRPr="0086280A">
        <w:rPr>
          <w:sz w:val="16"/>
          <w:szCs w:val="16"/>
          <w:lang w:val="nl-NL"/>
        </w:rPr>
        <w:t>, Alphen Aan den Rijn, Kluwer, 2022, randnummer 35.</w:t>
      </w:r>
    </w:p>
  </w:footnote>
  <w:footnote w:id="495">
    <w:p w14:paraId="49632C67" w14:textId="6EAE731C"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D. SCHWAB, </w:t>
      </w:r>
      <w:r w:rsidRPr="0086280A">
        <w:rPr>
          <w:i/>
          <w:iCs/>
          <w:sz w:val="16"/>
          <w:szCs w:val="16"/>
          <w:lang w:val="nl-NL"/>
        </w:rPr>
        <w:t>Familienrecht</w:t>
      </w:r>
      <w:r w:rsidRPr="0086280A">
        <w:rPr>
          <w:sz w:val="16"/>
          <w:szCs w:val="16"/>
          <w:lang w:val="nl-NL"/>
        </w:rPr>
        <w:t>, München, Beck, 2017, 379.</w:t>
      </w:r>
    </w:p>
  </w:footnote>
  <w:footnote w:id="496">
    <w:p w14:paraId="7BCD2650" w14:textId="08C1BD71"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J. VON STAUDINGER en L.M.P. GUTZEIT (ed</w:t>
      </w:r>
      <w:r w:rsidR="00E91F09" w:rsidRPr="0086280A">
        <w:rPr>
          <w:sz w:val="16"/>
          <w:szCs w:val="16"/>
          <w:lang w:val="nl-NL"/>
        </w:rPr>
        <w:t>s</w:t>
      </w:r>
      <w:r w:rsidRPr="0086280A">
        <w:rPr>
          <w:sz w:val="16"/>
          <w:szCs w:val="16"/>
          <w:lang w:val="nl-NL"/>
        </w:rPr>
        <w:t xml:space="preserve">.), </w:t>
      </w:r>
      <w:r w:rsidRPr="0086280A">
        <w:rPr>
          <w:i/>
          <w:iCs/>
          <w:sz w:val="16"/>
          <w:szCs w:val="16"/>
          <w:lang w:val="nl-NL"/>
        </w:rPr>
        <w:t>Kommentar zum Bürgerlichen Gesetzbuch mit Einführungsgesets und Nebengesetzen. §§ 1684-1717. Elterliche Sorge 3 - Umgangsrecht</w:t>
      </w:r>
      <w:r w:rsidRPr="0086280A">
        <w:rPr>
          <w:sz w:val="16"/>
          <w:szCs w:val="16"/>
          <w:lang w:val="nl-NL"/>
        </w:rPr>
        <w:t>, Otto Schmidt/De Gruyter, 2019, randnummer 23.</w:t>
      </w:r>
    </w:p>
  </w:footnote>
  <w:footnote w:id="497">
    <w:p w14:paraId="20B2E5FF" w14:textId="3A515AD4"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t>
      </w:r>
      <w:r w:rsidR="00C3302C" w:rsidRPr="0086280A">
        <w:rPr>
          <w:sz w:val="16"/>
          <w:szCs w:val="16"/>
          <w:lang w:val="nl-NL"/>
        </w:rPr>
        <w:t xml:space="preserve">D. SCHWAB, </w:t>
      </w:r>
      <w:r w:rsidR="00C3302C" w:rsidRPr="0086280A">
        <w:rPr>
          <w:i/>
          <w:iCs/>
          <w:sz w:val="16"/>
          <w:szCs w:val="16"/>
          <w:lang w:val="nl-NL"/>
        </w:rPr>
        <w:t>Familienrecht</w:t>
      </w:r>
      <w:r w:rsidR="00C3302C" w:rsidRPr="0086280A">
        <w:rPr>
          <w:sz w:val="16"/>
          <w:szCs w:val="16"/>
          <w:lang w:val="nl-NL"/>
        </w:rPr>
        <w:t>, München, Beck, 2017, 377-378</w:t>
      </w:r>
      <w:r w:rsidR="00C3302C">
        <w:rPr>
          <w:sz w:val="16"/>
          <w:szCs w:val="16"/>
          <w:lang w:val="nl-NL"/>
        </w:rPr>
        <w:t xml:space="preserve">; </w:t>
      </w:r>
      <w:r w:rsidRPr="0086280A">
        <w:rPr>
          <w:sz w:val="16"/>
          <w:szCs w:val="16"/>
          <w:lang w:val="nl-NL"/>
        </w:rPr>
        <w:t xml:space="preserve">C. BUDZIKIEWICZ, </w:t>
      </w:r>
      <w:r w:rsidRPr="0086280A">
        <w:rPr>
          <w:i/>
          <w:iCs/>
          <w:sz w:val="16"/>
          <w:szCs w:val="16"/>
          <w:lang w:val="nl-NL"/>
        </w:rPr>
        <w:t>Münchener Kommentar zum Bürgerlichen Gesetzbuch</w:t>
      </w:r>
      <w:r w:rsidRPr="0086280A">
        <w:rPr>
          <w:sz w:val="16"/>
          <w:szCs w:val="16"/>
          <w:lang w:val="nl-NL"/>
        </w:rPr>
        <w:t>, München, Verlag Beck, 2021, BGB §1684 rn. 2-5.</w:t>
      </w:r>
    </w:p>
  </w:footnote>
  <w:footnote w:id="498">
    <w:p w14:paraId="0B503E65" w14:textId="7368799E" w:rsidR="00C57AF9" w:rsidRPr="0086280A" w:rsidRDefault="00C57AF9" w:rsidP="005C4D5C">
      <w:pPr>
        <w:jc w:val="both"/>
        <w:rPr>
          <w:rFonts w:eastAsia="Verdana" w:cs="Verdana"/>
          <w:sz w:val="16"/>
          <w:szCs w:val="16"/>
          <w:lang w:val="nl-NL"/>
        </w:rPr>
      </w:pPr>
      <w:r w:rsidRPr="0086280A">
        <w:rPr>
          <w:rStyle w:val="Voetnootmarkering"/>
          <w:sz w:val="16"/>
          <w:szCs w:val="16"/>
          <w:lang w:val="nl-NL"/>
        </w:rPr>
        <w:footnoteRef/>
      </w:r>
      <w:r w:rsidRPr="0086280A">
        <w:rPr>
          <w:sz w:val="16"/>
          <w:szCs w:val="16"/>
          <w:lang w:val="nl-NL"/>
        </w:rPr>
        <w:t xml:space="preserve"> T. </w:t>
      </w:r>
      <w:r w:rsidRPr="0086280A">
        <w:rPr>
          <w:rFonts w:eastAsia="Verdana" w:cs="Verdana"/>
          <w:sz w:val="16"/>
          <w:szCs w:val="16"/>
          <w:lang w:val="nl-NL"/>
        </w:rPr>
        <w:t xml:space="preserve">FRÖSCHLE, </w:t>
      </w:r>
      <w:r w:rsidRPr="0086280A">
        <w:rPr>
          <w:rFonts w:eastAsia="Verdana" w:cs="Verdana"/>
          <w:i/>
          <w:iCs/>
          <w:sz w:val="16"/>
          <w:szCs w:val="16"/>
          <w:lang w:val="nl-NL"/>
        </w:rPr>
        <w:t>Sorge und Umgang: Elternverantwortung in der Rechtspraxis</w:t>
      </w:r>
      <w:r w:rsidRPr="0086280A">
        <w:rPr>
          <w:rFonts w:eastAsia="Verdana" w:cs="Verdana"/>
          <w:sz w:val="16"/>
          <w:szCs w:val="16"/>
          <w:lang w:val="nl-NL"/>
        </w:rPr>
        <w:t>, Bielefeld, Verlag, 2013, 266.</w:t>
      </w:r>
    </w:p>
  </w:footnote>
  <w:footnote w:id="499">
    <w:p w14:paraId="00E35EA8" w14:textId="32754371"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BUNDESMINISTERIUM DER JUSTIZ, “Das Kindschaftsrecht. Fragen und Antworten zu Abstammung, elterlicher Sorge, Umgang und Unterhalt”, </w:t>
      </w:r>
      <w:r w:rsidRPr="0086280A">
        <w:rPr>
          <w:i/>
          <w:iCs/>
          <w:sz w:val="16"/>
          <w:szCs w:val="16"/>
          <w:lang w:val="nl-NL"/>
        </w:rPr>
        <w:t>Familie und Geselschaft</w:t>
      </w:r>
      <w:r w:rsidRPr="0086280A">
        <w:rPr>
          <w:sz w:val="16"/>
          <w:szCs w:val="16"/>
          <w:lang w:val="nl-NL"/>
        </w:rPr>
        <w:t xml:space="preserve"> januari 2023, 27, </w:t>
      </w:r>
      <w:hyperlink r:id="rId36" w:history="1">
        <w:r w:rsidR="00B23191" w:rsidRPr="0086280A">
          <w:rPr>
            <w:rStyle w:val="Hyperlink"/>
            <w:sz w:val="16"/>
            <w:szCs w:val="16"/>
            <w:lang w:val="nl-NL"/>
          </w:rPr>
          <w:t>www.bmj.de/SharedDocs/Publikationen/DE/Kindschaftsrecht.pdf;jsessionid=20B8061F5339F0139E35C1506B64C3DC.2_cid334?__blob=publicationFile&amp;v=24</w:t>
        </w:r>
      </w:hyperlink>
      <w:r w:rsidRPr="0086280A">
        <w:rPr>
          <w:sz w:val="16"/>
          <w:szCs w:val="16"/>
          <w:lang w:val="nl-NL"/>
        </w:rPr>
        <w:t xml:space="preserve"> (laatste consultatie </w:t>
      </w:r>
      <w:r w:rsidR="00E91F09" w:rsidRPr="0086280A">
        <w:rPr>
          <w:sz w:val="16"/>
          <w:szCs w:val="16"/>
          <w:lang w:val="nl-NL"/>
        </w:rPr>
        <w:t>13</w:t>
      </w:r>
      <w:r w:rsidRPr="0086280A">
        <w:rPr>
          <w:sz w:val="16"/>
          <w:szCs w:val="16"/>
          <w:lang w:val="nl-NL"/>
        </w:rPr>
        <w:t>.</w:t>
      </w:r>
      <w:r w:rsidR="00E91F09" w:rsidRPr="0086280A">
        <w:rPr>
          <w:sz w:val="16"/>
          <w:szCs w:val="16"/>
          <w:lang w:val="nl-NL"/>
        </w:rPr>
        <w:t>05</w:t>
      </w:r>
      <w:r w:rsidRPr="0086280A">
        <w:rPr>
          <w:sz w:val="16"/>
          <w:szCs w:val="16"/>
          <w:lang w:val="nl-NL"/>
        </w:rPr>
        <w:t>.2023).</w:t>
      </w:r>
    </w:p>
  </w:footnote>
  <w:footnote w:id="500">
    <w:p w14:paraId="52F700ED" w14:textId="795FE1D6"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BUNDESMINISTERIUM DER JUSTIZ, “Das Kindschaftsrecht. Fragen und Antworten zu Abstammung, elterlicher Sorge, Umgang und Unterhalt”, </w:t>
      </w:r>
      <w:r w:rsidRPr="0086280A">
        <w:rPr>
          <w:i/>
          <w:iCs/>
          <w:sz w:val="16"/>
          <w:szCs w:val="16"/>
          <w:lang w:val="nl-NL"/>
        </w:rPr>
        <w:t>Familie und Geselschaft</w:t>
      </w:r>
      <w:r w:rsidRPr="0086280A">
        <w:rPr>
          <w:sz w:val="16"/>
          <w:szCs w:val="16"/>
          <w:lang w:val="nl-NL"/>
        </w:rPr>
        <w:t xml:space="preserve"> januari 2023, 30, </w:t>
      </w:r>
      <w:hyperlink r:id="rId37" w:history="1">
        <w:r w:rsidRPr="0086280A">
          <w:rPr>
            <w:rStyle w:val="Hyperlink"/>
            <w:sz w:val="16"/>
            <w:szCs w:val="16"/>
            <w:lang w:val="nl-NL"/>
          </w:rPr>
          <w:t>www.bmj.de/SharedDocs/Publikationen/DE/Kindschaftsrecht.pdf;jsessionid=20B8061F5339F0139E35C1506B64C3DC.2_cid334?__blob=publicationFile&amp;v=24</w:t>
        </w:r>
      </w:hyperlink>
      <w:r w:rsidRPr="0086280A">
        <w:rPr>
          <w:sz w:val="16"/>
          <w:szCs w:val="16"/>
          <w:lang w:val="nl-NL"/>
        </w:rPr>
        <w:t xml:space="preserve"> (laatste consultatie </w:t>
      </w:r>
      <w:r w:rsidR="00E91F09" w:rsidRPr="0086280A">
        <w:rPr>
          <w:sz w:val="16"/>
          <w:szCs w:val="16"/>
          <w:lang w:val="nl-NL"/>
        </w:rPr>
        <w:t>13</w:t>
      </w:r>
      <w:r w:rsidRPr="0086280A">
        <w:rPr>
          <w:sz w:val="16"/>
          <w:szCs w:val="16"/>
          <w:lang w:val="nl-NL"/>
        </w:rPr>
        <w:t>.</w:t>
      </w:r>
      <w:r w:rsidR="00E91F09" w:rsidRPr="0086280A">
        <w:rPr>
          <w:sz w:val="16"/>
          <w:szCs w:val="16"/>
          <w:lang w:val="nl-NL"/>
        </w:rPr>
        <w:t>05</w:t>
      </w:r>
      <w:r w:rsidRPr="0086280A">
        <w:rPr>
          <w:sz w:val="16"/>
          <w:szCs w:val="16"/>
          <w:lang w:val="nl-NL"/>
        </w:rPr>
        <w:t>.2023).</w:t>
      </w:r>
    </w:p>
  </w:footnote>
  <w:footnote w:id="501">
    <w:p w14:paraId="3528EEDC" w14:textId="673463DB"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D. SCHWAB, </w:t>
      </w:r>
      <w:r w:rsidRPr="0086280A">
        <w:rPr>
          <w:i/>
          <w:iCs/>
          <w:sz w:val="16"/>
          <w:szCs w:val="16"/>
          <w:lang w:val="nl-NL"/>
        </w:rPr>
        <w:t>Familienrecht</w:t>
      </w:r>
      <w:r w:rsidRPr="0086280A">
        <w:rPr>
          <w:sz w:val="16"/>
          <w:szCs w:val="16"/>
          <w:lang w:val="nl-NL"/>
        </w:rPr>
        <w:t>, München, Beck, 2017, 385.</w:t>
      </w:r>
    </w:p>
  </w:footnote>
  <w:footnote w:id="502">
    <w:p w14:paraId="7B7DBC3B" w14:textId="0A648A7E"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art</w:t>
      </w:r>
      <w:r w:rsidR="00C3302C">
        <w:rPr>
          <w:sz w:val="16"/>
          <w:szCs w:val="16"/>
          <w:lang w:val="nl-NL"/>
        </w:rPr>
        <w:t>ikel</w:t>
      </w:r>
      <w:r w:rsidRPr="0086280A">
        <w:rPr>
          <w:sz w:val="16"/>
          <w:szCs w:val="16"/>
          <w:lang w:val="nl-NL"/>
        </w:rPr>
        <w:t xml:space="preserve"> 1626, eerste lid BGB; D. SCHWAB, </w:t>
      </w:r>
      <w:r w:rsidRPr="0086280A">
        <w:rPr>
          <w:i/>
          <w:iCs/>
          <w:sz w:val="16"/>
          <w:szCs w:val="16"/>
          <w:lang w:val="nl-NL"/>
        </w:rPr>
        <w:t>Familienrecht</w:t>
      </w:r>
      <w:r w:rsidRPr="0086280A">
        <w:rPr>
          <w:sz w:val="16"/>
          <w:szCs w:val="16"/>
          <w:lang w:val="nl-NL"/>
        </w:rPr>
        <w:t>, München, Beck, 2017, 377.</w:t>
      </w:r>
    </w:p>
  </w:footnote>
  <w:footnote w:id="503">
    <w:p w14:paraId="21AB1D45" w14:textId="66E3DF5C"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Art</w:t>
      </w:r>
      <w:r w:rsidR="00C3302C">
        <w:rPr>
          <w:sz w:val="16"/>
          <w:szCs w:val="16"/>
          <w:lang w:val="nl-NL"/>
        </w:rPr>
        <w:t>ikel</w:t>
      </w:r>
      <w:r w:rsidRPr="0086280A">
        <w:rPr>
          <w:sz w:val="16"/>
          <w:szCs w:val="16"/>
          <w:lang w:val="nl-NL"/>
        </w:rPr>
        <w:t xml:space="preserve"> 6, tweede lid GG; J. GERNHUBER en D. COESTER-WALTJEN, </w:t>
      </w:r>
      <w:r w:rsidRPr="0086280A">
        <w:rPr>
          <w:i/>
          <w:sz w:val="16"/>
          <w:szCs w:val="16"/>
          <w:lang w:val="nl-NL"/>
        </w:rPr>
        <w:t>Familienrecht</w:t>
      </w:r>
      <w:r w:rsidRPr="0086280A">
        <w:rPr>
          <w:sz w:val="16"/>
          <w:szCs w:val="16"/>
          <w:lang w:val="nl-NL"/>
        </w:rPr>
        <w:t>, München, Verlag C.H. Beck, 2010, 38.</w:t>
      </w:r>
    </w:p>
  </w:footnote>
  <w:footnote w:id="504">
    <w:p w14:paraId="3C8EA108" w14:textId="11A38B7C"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Art</w:t>
      </w:r>
      <w:r w:rsidR="00C3302C">
        <w:rPr>
          <w:sz w:val="16"/>
          <w:szCs w:val="16"/>
          <w:lang w:val="nl-NL"/>
        </w:rPr>
        <w:t>ikel</w:t>
      </w:r>
      <w:r w:rsidRPr="0086280A">
        <w:rPr>
          <w:sz w:val="16"/>
          <w:szCs w:val="16"/>
          <w:lang w:val="nl-NL"/>
        </w:rPr>
        <w:t xml:space="preserve"> 6, tweede lid GG.</w:t>
      </w:r>
    </w:p>
  </w:footnote>
  <w:footnote w:id="505">
    <w:p w14:paraId="3AC2D537" w14:textId="6E67C9D9"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J. VON STAUDINGER en L.M.P. GUTZEIT (ed</w:t>
      </w:r>
      <w:r w:rsidR="00E91F09" w:rsidRPr="0086280A">
        <w:rPr>
          <w:sz w:val="16"/>
          <w:szCs w:val="16"/>
          <w:lang w:val="nl-NL"/>
        </w:rPr>
        <w:t>s</w:t>
      </w:r>
      <w:r w:rsidRPr="0086280A">
        <w:rPr>
          <w:sz w:val="16"/>
          <w:szCs w:val="16"/>
          <w:lang w:val="nl-NL"/>
        </w:rPr>
        <w:t xml:space="preserve">.), </w:t>
      </w:r>
      <w:r w:rsidRPr="0086280A">
        <w:rPr>
          <w:i/>
          <w:iCs/>
          <w:sz w:val="16"/>
          <w:szCs w:val="16"/>
          <w:lang w:val="nl-NL"/>
        </w:rPr>
        <w:t>Kommentar zum Bürgerlichen Gesetzbuch mit Einführungsgesets und Nebengesetzen. §§ 1684-1717. Elterliche Sorge 3 - Umgangsrecht</w:t>
      </w:r>
      <w:r w:rsidRPr="0086280A">
        <w:rPr>
          <w:sz w:val="16"/>
          <w:szCs w:val="16"/>
          <w:lang w:val="nl-NL"/>
        </w:rPr>
        <w:t>, Otto Schmidt/De Gruyter, 2019, randnummer 31.</w:t>
      </w:r>
    </w:p>
  </w:footnote>
  <w:footnote w:id="506">
    <w:p w14:paraId="46C475E4" w14:textId="1E7F061A"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Artikel 6 GG: “§1. </w:t>
      </w:r>
      <w:r w:rsidRPr="004F6728">
        <w:rPr>
          <w:sz w:val="16"/>
          <w:szCs w:val="16"/>
          <w:lang w:val="en-US"/>
        </w:rPr>
        <w:t xml:space="preserve">The care and upbringing of children is the natural right of parents and a duty primarily incumbent upon them. The </w:t>
      </w:r>
      <w:r w:rsidR="002A644C">
        <w:rPr>
          <w:sz w:val="16"/>
          <w:szCs w:val="16"/>
          <w:lang w:val="en-US"/>
        </w:rPr>
        <w:t>S</w:t>
      </w:r>
      <w:r w:rsidRPr="004F6728">
        <w:rPr>
          <w:sz w:val="16"/>
          <w:szCs w:val="16"/>
          <w:lang w:val="en-US"/>
        </w:rPr>
        <w:t xml:space="preserve">tate shall watch over them in the performance of this duty. §2. The constitutional rights of children, including their right to development as responsible individuals, must be respected and protected. Children’s best interests must be taken into account in an appropriate manner. The constitutional entitlement of children to a fair hearing in front of the law must be ensured. The primary responsibility of the parents shall remain unaffected.”; BUNDESMINISTERIUM DER JUSTIZ, “Das </w:t>
      </w:r>
      <w:proofErr w:type="spellStart"/>
      <w:r w:rsidRPr="004F6728">
        <w:rPr>
          <w:sz w:val="16"/>
          <w:szCs w:val="16"/>
          <w:lang w:val="en-US"/>
        </w:rPr>
        <w:t>Kindschaftsrecht</w:t>
      </w:r>
      <w:proofErr w:type="spellEnd"/>
      <w:r w:rsidRPr="004F6728">
        <w:rPr>
          <w:sz w:val="16"/>
          <w:szCs w:val="16"/>
          <w:lang w:val="en-US"/>
        </w:rPr>
        <w:t xml:space="preserve">. </w:t>
      </w:r>
      <w:r w:rsidRPr="0086280A">
        <w:rPr>
          <w:sz w:val="16"/>
          <w:szCs w:val="16"/>
          <w:lang w:val="nl-NL"/>
        </w:rPr>
        <w:t xml:space="preserve">Fragen und Antworten zu Abstammung, elterlicher Sorge, Umgang und Unterhalt”, </w:t>
      </w:r>
      <w:r w:rsidRPr="0086280A">
        <w:rPr>
          <w:i/>
          <w:iCs/>
          <w:sz w:val="16"/>
          <w:szCs w:val="16"/>
          <w:lang w:val="nl-NL"/>
        </w:rPr>
        <w:t>Familie und Geselschaft</w:t>
      </w:r>
      <w:r w:rsidRPr="0086280A">
        <w:rPr>
          <w:sz w:val="16"/>
          <w:szCs w:val="16"/>
          <w:lang w:val="nl-NL"/>
        </w:rPr>
        <w:t xml:space="preserve"> januari 2023, 27, </w:t>
      </w:r>
      <w:hyperlink r:id="rId38" w:history="1">
        <w:r w:rsidRPr="0086280A">
          <w:rPr>
            <w:rStyle w:val="Hyperlink"/>
            <w:sz w:val="16"/>
            <w:szCs w:val="16"/>
            <w:lang w:val="nl-NL"/>
          </w:rPr>
          <w:t>www.bmj.de/SharedDocs/Publikationen/DE/Kindschaftsrecht.pdf;jsessionid=20B8061F5339F0139E35C1506B64C3DC.2_cid334?__blob=publicationFile&amp;v=24</w:t>
        </w:r>
      </w:hyperlink>
      <w:r w:rsidRPr="0086280A">
        <w:rPr>
          <w:sz w:val="16"/>
          <w:szCs w:val="16"/>
          <w:lang w:val="nl-NL"/>
        </w:rPr>
        <w:t xml:space="preserve"> (laatste consultatie </w:t>
      </w:r>
      <w:r w:rsidR="00E91F09" w:rsidRPr="0086280A">
        <w:rPr>
          <w:sz w:val="16"/>
          <w:szCs w:val="16"/>
          <w:lang w:val="nl-NL"/>
        </w:rPr>
        <w:t>13</w:t>
      </w:r>
      <w:r w:rsidRPr="0086280A">
        <w:rPr>
          <w:sz w:val="16"/>
          <w:szCs w:val="16"/>
          <w:lang w:val="nl-NL"/>
        </w:rPr>
        <w:t>.</w:t>
      </w:r>
      <w:r w:rsidR="00E91F09" w:rsidRPr="0086280A">
        <w:rPr>
          <w:sz w:val="16"/>
          <w:szCs w:val="16"/>
          <w:lang w:val="nl-NL"/>
        </w:rPr>
        <w:t>05</w:t>
      </w:r>
      <w:r w:rsidRPr="0086280A">
        <w:rPr>
          <w:sz w:val="16"/>
          <w:szCs w:val="16"/>
          <w:lang w:val="nl-NL"/>
        </w:rPr>
        <w:t>.2023).</w:t>
      </w:r>
    </w:p>
  </w:footnote>
  <w:footnote w:id="507">
    <w:p w14:paraId="597419D0" w14:textId="0D1B73D5"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O.L. VON ECKARDSTEIN, R. NIESEL en J. SALZGEBER, “Eltern bleiben Eltern”, </w:t>
      </w:r>
      <w:r w:rsidRPr="0086280A">
        <w:rPr>
          <w:i/>
          <w:iCs/>
          <w:sz w:val="16"/>
          <w:szCs w:val="16"/>
          <w:lang w:val="nl-NL"/>
        </w:rPr>
        <w:t>DAJEB</w:t>
      </w:r>
      <w:r w:rsidRPr="0086280A">
        <w:rPr>
          <w:sz w:val="16"/>
          <w:szCs w:val="16"/>
          <w:lang w:val="nl-NL"/>
        </w:rPr>
        <w:t xml:space="preserve"> 2015, </w:t>
      </w:r>
      <w:hyperlink r:id="rId39" w:history="1">
        <w:r w:rsidRPr="0086280A">
          <w:rPr>
            <w:rStyle w:val="Hyperlink"/>
            <w:sz w:val="16"/>
            <w:szCs w:val="16"/>
            <w:lang w:val="nl-NL"/>
          </w:rPr>
          <w:t>www.bmfsfj.de/resource/blob/93594/3b5e159e1c43754d35ba76b8bbfdc146/eltern-bleiben-eltern-data.pdf</w:t>
        </w:r>
      </w:hyperlink>
      <w:r w:rsidRPr="0086280A">
        <w:rPr>
          <w:sz w:val="16"/>
          <w:szCs w:val="16"/>
          <w:lang w:val="nl-NL"/>
        </w:rPr>
        <w:t xml:space="preserve">, 14 (laatste consultatie </w:t>
      </w:r>
      <w:r w:rsidR="00E91F09" w:rsidRPr="0086280A">
        <w:rPr>
          <w:sz w:val="16"/>
          <w:szCs w:val="16"/>
          <w:lang w:val="nl-NL"/>
        </w:rPr>
        <w:t>13</w:t>
      </w:r>
      <w:r w:rsidRPr="0086280A">
        <w:rPr>
          <w:sz w:val="16"/>
          <w:szCs w:val="16"/>
          <w:lang w:val="nl-NL"/>
        </w:rPr>
        <w:t>.</w:t>
      </w:r>
      <w:r w:rsidR="00E91F09" w:rsidRPr="0086280A">
        <w:rPr>
          <w:sz w:val="16"/>
          <w:szCs w:val="16"/>
          <w:lang w:val="nl-NL"/>
        </w:rPr>
        <w:t>05</w:t>
      </w:r>
      <w:r w:rsidRPr="0086280A">
        <w:rPr>
          <w:sz w:val="16"/>
          <w:szCs w:val="16"/>
          <w:lang w:val="nl-NL"/>
        </w:rPr>
        <w:t>.2023): “Das Umgangsrecht geho</w:t>
      </w:r>
      <w:r w:rsidRPr="0086280A">
        <w:rPr>
          <w:rFonts w:ascii="Arial" w:hAnsi="Arial" w:cs="Arial"/>
          <w:sz w:val="16"/>
          <w:szCs w:val="16"/>
          <w:lang w:val="nl-NL"/>
        </w:rPr>
        <w:t>̈</w:t>
      </w:r>
      <w:r w:rsidRPr="0086280A">
        <w:rPr>
          <w:sz w:val="16"/>
          <w:szCs w:val="16"/>
          <w:lang w:val="nl-NL"/>
        </w:rPr>
        <w:t>rt aber im Interesse der Kinder unbedingt als Erga</w:t>
      </w:r>
      <w:r w:rsidRPr="0086280A">
        <w:rPr>
          <w:rFonts w:ascii="Arial" w:hAnsi="Arial" w:cs="Arial"/>
          <w:sz w:val="16"/>
          <w:szCs w:val="16"/>
          <w:lang w:val="nl-NL"/>
        </w:rPr>
        <w:t>̈</w:t>
      </w:r>
      <w:r w:rsidRPr="0086280A">
        <w:rPr>
          <w:sz w:val="16"/>
          <w:szCs w:val="16"/>
          <w:lang w:val="nl-NL"/>
        </w:rPr>
        <w:t xml:space="preserve">nzung zum alleinigen Sorgerecht dazu. Beides sollten Sie nicht nur als einen gesetzlichen Anspruch oder eine gesetzliche Verpflichtung der Eltern ansehen, </w:t>
      </w:r>
      <w:r w:rsidRPr="0086280A">
        <w:rPr>
          <w:sz w:val="16"/>
          <w:szCs w:val="16"/>
          <w:u w:val="single"/>
          <w:lang w:val="nl-NL"/>
        </w:rPr>
        <w:t>sondern vor allem als Recht der Kinder auf beide Eltern</w:t>
      </w:r>
      <w:r w:rsidRPr="0086280A">
        <w:rPr>
          <w:sz w:val="16"/>
          <w:szCs w:val="16"/>
          <w:lang w:val="nl-NL"/>
        </w:rPr>
        <w:t>”</w:t>
      </w:r>
      <w:r w:rsidR="002A644C">
        <w:rPr>
          <w:sz w:val="16"/>
          <w:szCs w:val="16"/>
          <w:lang w:val="nl-NL"/>
        </w:rPr>
        <w:t xml:space="preserve"> (eigen nadruk)</w:t>
      </w:r>
      <w:r w:rsidR="00C3302C">
        <w:rPr>
          <w:sz w:val="16"/>
          <w:szCs w:val="16"/>
          <w:lang w:val="nl-NL"/>
        </w:rPr>
        <w:t xml:space="preserve">; </w:t>
      </w:r>
      <w:r w:rsidR="00C3302C" w:rsidRPr="0086280A">
        <w:rPr>
          <w:sz w:val="16"/>
          <w:szCs w:val="16"/>
          <w:lang w:val="nl-NL"/>
        </w:rPr>
        <w:t>NATIONAL COALITION GERMANY</w:t>
      </w:r>
      <w:r w:rsidR="00C3302C" w:rsidRPr="0086280A">
        <w:rPr>
          <w:i/>
          <w:iCs/>
          <w:sz w:val="16"/>
          <w:szCs w:val="16"/>
          <w:lang w:val="nl-NL"/>
        </w:rPr>
        <w:t>, Implementation of the UN Convention on the Rights of the Child in Germany</w:t>
      </w:r>
      <w:r w:rsidR="00C3302C" w:rsidRPr="0086280A">
        <w:rPr>
          <w:sz w:val="16"/>
          <w:szCs w:val="16"/>
          <w:lang w:val="nl-NL"/>
        </w:rPr>
        <w:t xml:space="preserve">, 2019, 8, </w:t>
      </w:r>
      <w:hyperlink r:id="rId40" w:history="1">
        <w:r w:rsidR="00C3302C" w:rsidRPr="0086280A">
          <w:rPr>
            <w:rStyle w:val="Hyperlink"/>
            <w:sz w:val="16"/>
            <w:szCs w:val="16"/>
            <w:lang w:val="nl-NL"/>
          </w:rPr>
          <w:t>www.netzwerk-kinderrechte.de</w:t>
        </w:r>
      </w:hyperlink>
      <w:r w:rsidR="00C3302C" w:rsidRPr="0086280A">
        <w:rPr>
          <w:sz w:val="16"/>
          <w:szCs w:val="16"/>
          <w:lang w:val="nl-NL"/>
        </w:rPr>
        <w:t xml:space="preserve"> (laatste consultatie 13.05.2023)</w:t>
      </w:r>
      <w:r w:rsidR="00C3302C">
        <w:rPr>
          <w:sz w:val="16"/>
          <w:szCs w:val="16"/>
          <w:lang w:val="nl-NL"/>
        </w:rPr>
        <w:t>.</w:t>
      </w:r>
    </w:p>
  </w:footnote>
  <w:footnote w:id="508">
    <w:p w14:paraId="0E9B91C5" w14:textId="4820089D"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Art</w:t>
      </w:r>
      <w:r w:rsidR="00C3302C">
        <w:rPr>
          <w:sz w:val="16"/>
          <w:szCs w:val="16"/>
          <w:lang w:val="nl-NL"/>
        </w:rPr>
        <w:t>ikel</w:t>
      </w:r>
      <w:r w:rsidRPr="0086280A">
        <w:rPr>
          <w:sz w:val="16"/>
          <w:szCs w:val="16"/>
          <w:lang w:val="nl-NL"/>
        </w:rPr>
        <w:t xml:space="preserve"> 1684 BGB; </w:t>
      </w:r>
      <w:r w:rsidR="00B23191" w:rsidRPr="0086280A">
        <w:rPr>
          <w:sz w:val="16"/>
          <w:szCs w:val="16"/>
          <w:lang w:val="nl-NL"/>
        </w:rPr>
        <w:t xml:space="preserve">T. RAUSCHER, </w:t>
      </w:r>
      <w:r w:rsidR="00B23191" w:rsidRPr="0086280A">
        <w:rPr>
          <w:i/>
          <w:sz w:val="16"/>
          <w:szCs w:val="16"/>
          <w:lang w:val="nl-NL"/>
        </w:rPr>
        <w:t>Familienrecht</w:t>
      </w:r>
      <w:r w:rsidR="00B23191" w:rsidRPr="0086280A">
        <w:rPr>
          <w:sz w:val="16"/>
          <w:szCs w:val="16"/>
          <w:lang w:val="nl-NL"/>
        </w:rPr>
        <w:t xml:space="preserve">, Heidelberg, C.F. Müller Verlag, 2008, 961; D. SCHWAB, </w:t>
      </w:r>
      <w:r w:rsidR="00B23191" w:rsidRPr="0086280A">
        <w:rPr>
          <w:i/>
          <w:iCs/>
          <w:sz w:val="16"/>
          <w:szCs w:val="16"/>
          <w:lang w:val="nl-NL"/>
        </w:rPr>
        <w:t>Familienrecht</w:t>
      </w:r>
      <w:r w:rsidR="00B23191" w:rsidRPr="0086280A">
        <w:rPr>
          <w:sz w:val="16"/>
          <w:szCs w:val="16"/>
          <w:lang w:val="nl-NL"/>
        </w:rPr>
        <w:t xml:space="preserve">, München, Beck, 2017, 377; P. VLAARDINGERBROEK, “De wetgever laat Jeroen (en vele andere kinderen) niet in de koud staan”, </w:t>
      </w:r>
      <w:r w:rsidR="00B23191" w:rsidRPr="0086280A">
        <w:rPr>
          <w:i/>
          <w:iCs/>
          <w:sz w:val="16"/>
          <w:szCs w:val="16"/>
          <w:lang w:val="nl-NL"/>
        </w:rPr>
        <w:t>FJR (NL)</w:t>
      </w:r>
      <w:r w:rsidR="00B23191" w:rsidRPr="0086280A">
        <w:rPr>
          <w:sz w:val="16"/>
          <w:szCs w:val="16"/>
          <w:lang w:val="nl-NL"/>
        </w:rPr>
        <w:t xml:space="preserve"> 2009, </w:t>
      </w:r>
      <w:r w:rsidR="00B81771">
        <w:rPr>
          <w:sz w:val="16"/>
          <w:szCs w:val="16"/>
          <w:lang w:val="nl-NL"/>
        </w:rPr>
        <w:t xml:space="preserve">(228) </w:t>
      </w:r>
      <w:r w:rsidR="00B23191" w:rsidRPr="0086280A">
        <w:rPr>
          <w:sz w:val="16"/>
          <w:szCs w:val="16"/>
          <w:lang w:val="nl-NL"/>
        </w:rPr>
        <w:t xml:space="preserve">231; </w:t>
      </w:r>
      <w:r w:rsidRPr="0086280A">
        <w:rPr>
          <w:sz w:val="16"/>
          <w:szCs w:val="16"/>
          <w:lang w:val="nl-NL"/>
        </w:rPr>
        <w:t xml:space="preserve">K.P. HORNDASCH, “Das Recht des Kindes auf Umgang”, </w:t>
      </w:r>
      <w:r w:rsidRPr="0086280A">
        <w:rPr>
          <w:i/>
          <w:sz w:val="16"/>
          <w:szCs w:val="16"/>
          <w:lang w:val="nl-NL"/>
        </w:rPr>
        <w:t>FPR</w:t>
      </w:r>
      <w:r w:rsidRPr="0086280A">
        <w:rPr>
          <w:sz w:val="16"/>
          <w:szCs w:val="16"/>
          <w:lang w:val="nl-NL"/>
        </w:rPr>
        <w:t xml:space="preserve"> 2012, </w:t>
      </w:r>
      <w:r w:rsidR="00B81771">
        <w:rPr>
          <w:sz w:val="16"/>
          <w:szCs w:val="16"/>
          <w:lang w:val="nl-NL"/>
        </w:rPr>
        <w:t xml:space="preserve">(208) </w:t>
      </w:r>
      <w:r w:rsidRPr="0086280A">
        <w:rPr>
          <w:sz w:val="16"/>
          <w:szCs w:val="16"/>
          <w:lang w:val="nl-NL"/>
        </w:rPr>
        <w:t>209.</w:t>
      </w:r>
    </w:p>
  </w:footnote>
  <w:footnote w:id="509">
    <w:p w14:paraId="4131B1BE" w14:textId="09514F95"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w:t>
      </w:r>
      <w:hyperlink r:id="rId41" w:history="1">
        <w:r w:rsidRPr="0086280A">
          <w:rPr>
            <w:rStyle w:val="Hyperlink"/>
            <w:sz w:val="16"/>
            <w:szCs w:val="16"/>
            <w:lang w:val="nl-NL"/>
          </w:rPr>
          <w:t>www.gesetze-im-internet.de/bgb/__1684.html</w:t>
        </w:r>
      </w:hyperlink>
      <w:r w:rsidRPr="0086280A">
        <w:rPr>
          <w:sz w:val="16"/>
          <w:szCs w:val="16"/>
          <w:lang w:val="nl-NL"/>
        </w:rPr>
        <w:t xml:space="preserve"> (laatste consultatie </w:t>
      </w:r>
      <w:r w:rsidR="00E91F09" w:rsidRPr="0086280A">
        <w:rPr>
          <w:sz w:val="16"/>
          <w:szCs w:val="16"/>
          <w:lang w:val="nl-NL"/>
        </w:rPr>
        <w:t>13</w:t>
      </w:r>
      <w:r w:rsidRPr="0086280A">
        <w:rPr>
          <w:sz w:val="16"/>
          <w:szCs w:val="16"/>
          <w:lang w:val="nl-NL"/>
        </w:rPr>
        <w:t>.</w:t>
      </w:r>
      <w:r w:rsidR="00E91F09" w:rsidRPr="0086280A">
        <w:rPr>
          <w:sz w:val="16"/>
          <w:szCs w:val="16"/>
          <w:lang w:val="nl-NL"/>
        </w:rPr>
        <w:t>05</w:t>
      </w:r>
      <w:r w:rsidRPr="0086280A">
        <w:rPr>
          <w:sz w:val="16"/>
          <w:szCs w:val="16"/>
          <w:lang w:val="nl-NL"/>
        </w:rPr>
        <w:t>.2023).</w:t>
      </w:r>
    </w:p>
  </w:footnote>
  <w:footnote w:id="510">
    <w:p w14:paraId="6863A96C" w14:textId="1E3E46E0"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T. FRÖSCHLE, </w:t>
      </w:r>
      <w:r w:rsidRPr="0086280A">
        <w:rPr>
          <w:i/>
          <w:iCs/>
          <w:sz w:val="16"/>
          <w:szCs w:val="16"/>
          <w:lang w:val="nl-NL"/>
        </w:rPr>
        <w:t>Sorge und Umgang: Elternverantwortung in der Rechtspraxis</w:t>
      </w:r>
      <w:r w:rsidRPr="0086280A">
        <w:rPr>
          <w:sz w:val="16"/>
          <w:szCs w:val="16"/>
          <w:lang w:val="nl-NL"/>
        </w:rPr>
        <w:t>, Bielefeld, Verlag, 2013, 235-237.</w:t>
      </w:r>
    </w:p>
  </w:footnote>
  <w:footnote w:id="511">
    <w:p w14:paraId="7254A13B" w14:textId="0C1CD419"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R.-D. VEIT, </w:t>
      </w:r>
      <w:r w:rsidRPr="0086280A">
        <w:rPr>
          <w:i/>
          <w:iCs/>
          <w:sz w:val="16"/>
          <w:szCs w:val="16"/>
          <w:lang w:val="nl-NL"/>
        </w:rPr>
        <w:t>Beck’sche Online-Kommentare</w:t>
      </w:r>
      <w:r w:rsidRPr="0086280A">
        <w:rPr>
          <w:sz w:val="16"/>
          <w:szCs w:val="16"/>
          <w:lang w:val="nl-NL"/>
        </w:rPr>
        <w:t>, München, Verlag Beck, editie 01.01. 2023, BGB §1684 rn. 7-8.</w:t>
      </w:r>
    </w:p>
  </w:footnote>
  <w:footnote w:id="512">
    <w:p w14:paraId="5EA7E2FA" w14:textId="29057B9B"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Art</w:t>
      </w:r>
      <w:r w:rsidR="00C3302C">
        <w:rPr>
          <w:sz w:val="16"/>
          <w:szCs w:val="16"/>
          <w:lang w:val="nl-NL"/>
        </w:rPr>
        <w:t>ikel</w:t>
      </w:r>
      <w:r w:rsidRPr="0086280A">
        <w:rPr>
          <w:sz w:val="16"/>
          <w:szCs w:val="16"/>
          <w:lang w:val="nl-NL"/>
        </w:rPr>
        <w:t xml:space="preserve"> 1684, eerste lid BGB;</w:t>
      </w:r>
      <w:r w:rsidR="00B23191" w:rsidRPr="0086280A">
        <w:rPr>
          <w:sz w:val="16"/>
          <w:szCs w:val="16"/>
          <w:lang w:val="nl-NL"/>
        </w:rPr>
        <w:t xml:space="preserve"> D. SCHWAB, </w:t>
      </w:r>
      <w:r w:rsidR="00B23191" w:rsidRPr="0086280A">
        <w:rPr>
          <w:i/>
          <w:iCs/>
          <w:sz w:val="16"/>
          <w:szCs w:val="16"/>
          <w:lang w:val="nl-NL"/>
        </w:rPr>
        <w:t>Familienrecht</w:t>
      </w:r>
      <w:r w:rsidR="00B23191" w:rsidRPr="0086280A">
        <w:rPr>
          <w:sz w:val="16"/>
          <w:szCs w:val="16"/>
          <w:lang w:val="nl-NL"/>
        </w:rPr>
        <w:t>, München, Beck, 2017, 383;</w:t>
      </w:r>
      <w:r w:rsidRPr="0086280A">
        <w:rPr>
          <w:sz w:val="16"/>
          <w:szCs w:val="16"/>
          <w:lang w:val="nl-NL"/>
        </w:rPr>
        <w:t xml:space="preserve"> A. ALTROGGE, “Recht des Kindes auf Umgang mit dem umgangsunwilligen Elternteil”, </w:t>
      </w:r>
      <w:r w:rsidRPr="0086280A">
        <w:rPr>
          <w:i/>
          <w:iCs/>
          <w:sz w:val="16"/>
          <w:szCs w:val="16"/>
          <w:lang w:val="nl-NL"/>
        </w:rPr>
        <w:t>FPR</w:t>
      </w:r>
      <w:r w:rsidRPr="0086280A">
        <w:rPr>
          <w:sz w:val="16"/>
          <w:szCs w:val="16"/>
          <w:lang w:val="nl-NL"/>
        </w:rPr>
        <w:t xml:space="preserve"> 2008, </w:t>
      </w:r>
      <w:r w:rsidR="00B81771">
        <w:rPr>
          <w:sz w:val="16"/>
          <w:szCs w:val="16"/>
          <w:lang w:val="nl-NL"/>
        </w:rPr>
        <w:t xml:space="preserve">(410) </w:t>
      </w:r>
      <w:r w:rsidRPr="0086280A">
        <w:rPr>
          <w:sz w:val="16"/>
          <w:szCs w:val="16"/>
          <w:lang w:val="nl-NL"/>
        </w:rPr>
        <w:t>410.</w:t>
      </w:r>
    </w:p>
  </w:footnote>
  <w:footnote w:id="513">
    <w:p w14:paraId="293FB389" w14:textId="248CA96B"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t>
      </w:r>
      <w:r w:rsidR="00E91F09" w:rsidRPr="0086280A">
        <w:rPr>
          <w:sz w:val="16"/>
          <w:szCs w:val="16"/>
          <w:lang w:val="nl-NL"/>
        </w:rPr>
        <w:t xml:space="preserve">D. SCHWAB, </w:t>
      </w:r>
      <w:r w:rsidR="00E91F09" w:rsidRPr="0086280A">
        <w:rPr>
          <w:i/>
          <w:iCs/>
          <w:sz w:val="16"/>
          <w:szCs w:val="16"/>
          <w:lang w:val="nl-NL"/>
        </w:rPr>
        <w:t>Familienrecht</w:t>
      </w:r>
      <w:r w:rsidR="00E91F09" w:rsidRPr="0086280A">
        <w:rPr>
          <w:sz w:val="16"/>
          <w:szCs w:val="16"/>
          <w:lang w:val="nl-NL"/>
        </w:rPr>
        <w:t xml:space="preserve">, München, Beck, 2017, 380; </w:t>
      </w:r>
      <w:r w:rsidRPr="0086280A">
        <w:rPr>
          <w:sz w:val="16"/>
          <w:szCs w:val="16"/>
          <w:lang w:val="nl-NL"/>
        </w:rPr>
        <w:t xml:space="preserve">A. ALTROGGE, “Das Urteil des BverfG zur zwangsweisen Durchsetzung der Umgangspflicht und die Ordnungsmittel des FamFG”, </w:t>
      </w:r>
      <w:r w:rsidRPr="0086280A">
        <w:rPr>
          <w:i/>
          <w:iCs/>
          <w:sz w:val="16"/>
          <w:szCs w:val="16"/>
          <w:lang w:val="nl-NL"/>
        </w:rPr>
        <w:t>FPR</w:t>
      </w:r>
      <w:r w:rsidRPr="0086280A">
        <w:rPr>
          <w:sz w:val="16"/>
          <w:szCs w:val="16"/>
          <w:lang w:val="nl-NL"/>
        </w:rPr>
        <w:t xml:space="preserve"> 2009, </w:t>
      </w:r>
      <w:r w:rsidR="00B81771">
        <w:rPr>
          <w:sz w:val="16"/>
          <w:szCs w:val="16"/>
          <w:lang w:val="nl-NL"/>
        </w:rPr>
        <w:t xml:space="preserve">(34) </w:t>
      </w:r>
      <w:r w:rsidRPr="0086280A">
        <w:rPr>
          <w:sz w:val="16"/>
          <w:szCs w:val="16"/>
          <w:lang w:val="nl-NL"/>
        </w:rPr>
        <w:t>35-36.</w:t>
      </w:r>
    </w:p>
  </w:footnote>
  <w:footnote w:id="514">
    <w:p w14:paraId="36722545" w14:textId="33FAD0A8"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w:t>
      </w:r>
      <w:r w:rsidR="00B23191" w:rsidRPr="0086280A">
        <w:rPr>
          <w:sz w:val="16"/>
          <w:szCs w:val="16"/>
          <w:lang w:val="nl-NL"/>
        </w:rPr>
        <w:t>art</w:t>
      </w:r>
      <w:r w:rsidR="00C3302C">
        <w:rPr>
          <w:sz w:val="16"/>
          <w:szCs w:val="16"/>
          <w:lang w:val="nl-NL"/>
        </w:rPr>
        <w:t>ikel</w:t>
      </w:r>
      <w:r w:rsidRPr="0086280A">
        <w:rPr>
          <w:sz w:val="16"/>
          <w:szCs w:val="16"/>
          <w:lang w:val="nl-NL"/>
        </w:rPr>
        <w:t xml:space="preserve"> 1685 </w:t>
      </w:r>
      <w:r w:rsidR="00C3302C">
        <w:rPr>
          <w:i/>
          <w:iCs/>
          <w:sz w:val="16"/>
          <w:szCs w:val="16"/>
          <w:lang w:val="nl-NL"/>
        </w:rPr>
        <w:t>juncto</w:t>
      </w:r>
      <w:r w:rsidRPr="0086280A">
        <w:rPr>
          <w:sz w:val="16"/>
          <w:szCs w:val="16"/>
          <w:lang w:val="nl-NL"/>
        </w:rPr>
        <w:t xml:space="preserve"> 1686</w:t>
      </w:r>
      <w:r w:rsidR="00C3302C">
        <w:rPr>
          <w:sz w:val="16"/>
          <w:szCs w:val="16"/>
          <w:lang w:val="nl-NL"/>
        </w:rPr>
        <w:t>a</w:t>
      </w:r>
      <w:r w:rsidRPr="0086280A">
        <w:rPr>
          <w:sz w:val="16"/>
          <w:szCs w:val="16"/>
          <w:lang w:val="nl-NL"/>
        </w:rPr>
        <w:t xml:space="preserve"> BGB; T. </w:t>
      </w:r>
      <w:r w:rsidRPr="0086280A">
        <w:rPr>
          <w:rFonts w:eastAsia="Verdana" w:cs="Verdana"/>
          <w:sz w:val="16"/>
          <w:szCs w:val="16"/>
          <w:lang w:val="nl-NL"/>
        </w:rPr>
        <w:t xml:space="preserve">FRÖSCHLE, </w:t>
      </w:r>
      <w:r w:rsidRPr="0086280A">
        <w:rPr>
          <w:rFonts w:eastAsia="Verdana" w:cs="Verdana"/>
          <w:i/>
          <w:iCs/>
          <w:sz w:val="16"/>
          <w:szCs w:val="16"/>
          <w:lang w:val="nl-NL"/>
        </w:rPr>
        <w:t>Sorge und Umgang: Elternverantwortung in der Rechtspraxis</w:t>
      </w:r>
      <w:r w:rsidRPr="0086280A">
        <w:rPr>
          <w:rFonts w:eastAsia="Verdana" w:cs="Verdana"/>
          <w:sz w:val="16"/>
          <w:szCs w:val="16"/>
          <w:lang w:val="nl-NL"/>
        </w:rPr>
        <w:t xml:space="preserve">, Bielefeld, Verlag, 2013, 275-284; </w:t>
      </w:r>
      <w:r w:rsidRPr="0086280A">
        <w:rPr>
          <w:sz w:val="16"/>
          <w:szCs w:val="16"/>
          <w:lang w:val="nl-NL"/>
        </w:rPr>
        <w:t xml:space="preserve">BUNDESMINISTERIUM DER JUSTIZ, “Das Kindschaftsrecht. Fragen und Antworten zu Abstammung, elterlicher Sorge, Umgang und Unterhalt”, </w:t>
      </w:r>
      <w:r w:rsidRPr="0086280A">
        <w:rPr>
          <w:i/>
          <w:iCs/>
          <w:sz w:val="16"/>
          <w:szCs w:val="16"/>
          <w:lang w:val="nl-NL"/>
        </w:rPr>
        <w:t>Familie und Geselschaft</w:t>
      </w:r>
      <w:r w:rsidRPr="0086280A">
        <w:rPr>
          <w:sz w:val="16"/>
          <w:szCs w:val="16"/>
          <w:lang w:val="nl-NL"/>
        </w:rPr>
        <w:t xml:space="preserve"> januari 2023, 27, </w:t>
      </w:r>
      <w:hyperlink r:id="rId42" w:history="1">
        <w:r w:rsidRPr="0086280A">
          <w:rPr>
            <w:rStyle w:val="Hyperlink"/>
            <w:sz w:val="16"/>
            <w:szCs w:val="16"/>
            <w:lang w:val="nl-NL"/>
          </w:rPr>
          <w:t>www.bmj.de/SharedDocs/Publikationen/DE/Kindschaftsrecht.pdf;jsessionid=20B8061F5339F0139E35C1506B64C3DC.2_cid334?__blob=publicationFile&amp;v=24</w:t>
        </w:r>
      </w:hyperlink>
      <w:r w:rsidRPr="0086280A">
        <w:rPr>
          <w:sz w:val="16"/>
          <w:szCs w:val="16"/>
          <w:lang w:val="nl-NL"/>
        </w:rPr>
        <w:t xml:space="preserve"> (laatste consultatie </w:t>
      </w:r>
      <w:r w:rsidR="00E91F09" w:rsidRPr="0086280A">
        <w:rPr>
          <w:sz w:val="16"/>
          <w:szCs w:val="16"/>
          <w:lang w:val="nl-NL"/>
        </w:rPr>
        <w:t>13</w:t>
      </w:r>
      <w:r w:rsidRPr="0086280A">
        <w:rPr>
          <w:sz w:val="16"/>
          <w:szCs w:val="16"/>
          <w:lang w:val="nl-NL"/>
        </w:rPr>
        <w:t>.</w:t>
      </w:r>
      <w:r w:rsidR="00E91F09" w:rsidRPr="0086280A">
        <w:rPr>
          <w:sz w:val="16"/>
          <w:szCs w:val="16"/>
          <w:lang w:val="nl-NL"/>
        </w:rPr>
        <w:t>05</w:t>
      </w:r>
      <w:r w:rsidRPr="0086280A">
        <w:rPr>
          <w:sz w:val="16"/>
          <w:szCs w:val="16"/>
          <w:lang w:val="nl-NL"/>
        </w:rPr>
        <w:t>.2023).</w:t>
      </w:r>
    </w:p>
  </w:footnote>
  <w:footnote w:id="515">
    <w:p w14:paraId="5E13BE77" w14:textId="37179734"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BUNDESMINISTERIUM DER JUSTIZ, “Das Kindschaftsrecht. Fragen und Antworten zu Abstammung, elterlicher Sorge, Umgang und Unterhalt”, </w:t>
      </w:r>
      <w:r w:rsidRPr="0086280A">
        <w:rPr>
          <w:i/>
          <w:iCs/>
          <w:sz w:val="16"/>
          <w:szCs w:val="16"/>
          <w:lang w:val="nl-NL"/>
        </w:rPr>
        <w:t>Familie und Geselschaft</w:t>
      </w:r>
      <w:r w:rsidRPr="0086280A">
        <w:rPr>
          <w:sz w:val="16"/>
          <w:szCs w:val="16"/>
          <w:lang w:val="nl-NL"/>
        </w:rPr>
        <w:t xml:space="preserve"> januari 2023, 27, </w:t>
      </w:r>
      <w:hyperlink r:id="rId43" w:history="1">
        <w:r w:rsidRPr="0086280A">
          <w:rPr>
            <w:rStyle w:val="Hyperlink"/>
            <w:sz w:val="16"/>
            <w:szCs w:val="16"/>
            <w:lang w:val="nl-NL"/>
          </w:rPr>
          <w:t>www.bmj.de/SharedDocs/Publikationen/DE/Kindschaftsrecht.pdf;jsessionid=20B8061F5339F0139E35C1506B64C3DC.2_cid334?__blob=publicationFile&amp;v=24</w:t>
        </w:r>
      </w:hyperlink>
      <w:r w:rsidRPr="0086280A">
        <w:rPr>
          <w:sz w:val="16"/>
          <w:szCs w:val="16"/>
          <w:lang w:val="nl-NL"/>
        </w:rPr>
        <w:t xml:space="preserve"> (laatste consultatie </w:t>
      </w:r>
      <w:r w:rsidR="0003707A" w:rsidRPr="0086280A">
        <w:rPr>
          <w:sz w:val="16"/>
          <w:szCs w:val="16"/>
          <w:lang w:val="nl-NL"/>
        </w:rPr>
        <w:t>13</w:t>
      </w:r>
      <w:r w:rsidRPr="0086280A">
        <w:rPr>
          <w:sz w:val="16"/>
          <w:szCs w:val="16"/>
          <w:lang w:val="nl-NL"/>
        </w:rPr>
        <w:t>.</w:t>
      </w:r>
      <w:r w:rsidR="0003707A" w:rsidRPr="0086280A">
        <w:rPr>
          <w:sz w:val="16"/>
          <w:szCs w:val="16"/>
          <w:lang w:val="nl-NL"/>
        </w:rPr>
        <w:t>05</w:t>
      </w:r>
      <w:r w:rsidRPr="0086280A">
        <w:rPr>
          <w:sz w:val="16"/>
          <w:szCs w:val="16"/>
          <w:lang w:val="nl-NL"/>
        </w:rPr>
        <w:t>.2023).</w:t>
      </w:r>
    </w:p>
  </w:footnote>
  <w:footnote w:id="516">
    <w:p w14:paraId="4D0998A1" w14:textId="6C68C691"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t>
      </w:r>
      <w:r w:rsidR="0003707A" w:rsidRPr="0086280A">
        <w:rPr>
          <w:i/>
          <w:iCs/>
          <w:sz w:val="16"/>
          <w:szCs w:val="16"/>
          <w:lang w:val="nl-NL"/>
        </w:rPr>
        <w:t>Ibid.</w:t>
      </w:r>
    </w:p>
  </w:footnote>
  <w:footnote w:id="517">
    <w:p w14:paraId="5CDAAA32" w14:textId="76562BED"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Art</w:t>
      </w:r>
      <w:r w:rsidR="00C3302C">
        <w:rPr>
          <w:sz w:val="16"/>
          <w:szCs w:val="16"/>
          <w:lang w:val="nl-NL"/>
        </w:rPr>
        <w:t>ikel</w:t>
      </w:r>
      <w:r w:rsidRPr="0086280A">
        <w:rPr>
          <w:sz w:val="16"/>
          <w:szCs w:val="16"/>
          <w:lang w:val="nl-NL"/>
        </w:rPr>
        <w:t xml:space="preserve"> 1626, eerste lid BGB; BUNDESMINISTERIUM DER JUSTIZ, “Das Kindschaftsrecht. Fragen und Antworten zu Abstammung, elterlicher Sorge, Umgang und Unterhalt”, </w:t>
      </w:r>
      <w:r w:rsidRPr="0086280A">
        <w:rPr>
          <w:i/>
          <w:iCs/>
          <w:sz w:val="16"/>
          <w:szCs w:val="16"/>
          <w:lang w:val="nl-NL"/>
        </w:rPr>
        <w:t>Familie und Geselschaft</w:t>
      </w:r>
      <w:r w:rsidRPr="0086280A">
        <w:rPr>
          <w:sz w:val="16"/>
          <w:szCs w:val="16"/>
          <w:lang w:val="nl-NL"/>
        </w:rPr>
        <w:t xml:space="preserve"> januari 2023, 26, </w:t>
      </w:r>
      <w:hyperlink r:id="rId44" w:history="1">
        <w:r w:rsidRPr="0086280A">
          <w:rPr>
            <w:rStyle w:val="Hyperlink"/>
            <w:sz w:val="16"/>
            <w:szCs w:val="16"/>
            <w:lang w:val="nl-NL"/>
          </w:rPr>
          <w:t>www.bmj.de/SharedDocs/Publikationen/DE/Kindschaftsrecht.pdf;jsessionid=20B8061F5339F0139E35C1506B64C3DC.2_cid334?__blob=publicationFile&amp;v=24</w:t>
        </w:r>
      </w:hyperlink>
      <w:r w:rsidRPr="0086280A">
        <w:rPr>
          <w:sz w:val="16"/>
          <w:szCs w:val="16"/>
          <w:lang w:val="nl-NL"/>
        </w:rPr>
        <w:t xml:space="preserve"> (laatste consultatie </w:t>
      </w:r>
      <w:r w:rsidR="0003707A" w:rsidRPr="0086280A">
        <w:rPr>
          <w:sz w:val="16"/>
          <w:szCs w:val="16"/>
          <w:lang w:val="nl-NL"/>
        </w:rPr>
        <w:t>13</w:t>
      </w:r>
      <w:r w:rsidRPr="0086280A">
        <w:rPr>
          <w:sz w:val="16"/>
          <w:szCs w:val="16"/>
          <w:lang w:val="nl-NL"/>
        </w:rPr>
        <w:t>.</w:t>
      </w:r>
      <w:r w:rsidR="0003707A" w:rsidRPr="0086280A">
        <w:rPr>
          <w:sz w:val="16"/>
          <w:szCs w:val="16"/>
          <w:lang w:val="nl-NL"/>
        </w:rPr>
        <w:t>05</w:t>
      </w:r>
      <w:r w:rsidRPr="0086280A">
        <w:rPr>
          <w:sz w:val="16"/>
          <w:szCs w:val="16"/>
          <w:lang w:val="nl-NL"/>
        </w:rPr>
        <w:t>.2023).</w:t>
      </w:r>
    </w:p>
  </w:footnote>
  <w:footnote w:id="518">
    <w:p w14:paraId="36810ACA" w14:textId="6BD4474F"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t>
      </w:r>
      <w:r w:rsidR="0003707A" w:rsidRPr="0086280A">
        <w:rPr>
          <w:i/>
          <w:iCs/>
          <w:sz w:val="16"/>
          <w:szCs w:val="16"/>
          <w:lang w:val="nl-NL"/>
        </w:rPr>
        <w:t>Ibid.</w:t>
      </w:r>
    </w:p>
  </w:footnote>
  <w:footnote w:id="519">
    <w:p w14:paraId="08E481C3" w14:textId="49C08A86"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J. VON STAUDINGER en L.M.P. GUTZEIT (ed</w:t>
      </w:r>
      <w:r w:rsidR="0003707A" w:rsidRPr="0086280A">
        <w:rPr>
          <w:sz w:val="16"/>
          <w:szCs w:val="16"/>
          <w:lang w:val="nl-NL"/>
        </w:rPr>
        <w:t>s</w:t>
      </w:r>
      <w:r w:rsidRPr="0086280A">
        <w:rPr>
          <w:sz w:val="16"/>
          <w:szCs w:val="16"/>
          <w:lang w:val="nl-NL"/>
        </w:rPr>
        <w:t xml:space="preserve">.), </w:t>
      </w:r>
      <w:r w:rsidRPr="0086280A">
        <w:rPr>
          <w:i/>
          <w:iCs/>
          <w:sz w:val="16"/>
          <w:szCs w:val="16"/>
          <w:lang w:val="nl-NL"/>
        </w:rPr>
        <w:t>Kommentar zum Bürgerlichen Gesetzbuch mit Einführungsgesets und Nebengesetzen. §§ 1684-1717. Elterliche Sorge 3 - Umgangsrecht</w:t>
      </w:r>
      <w:r w:rsidRPr="0086280A">
        <w:rPr>
          <w:sz w:val="16"/>
          <w:szCs w:val="16"/>
          <w:lang w:val="nl-NL"/>
        </w:rPr>
        <w:t>, Otto Schmidt/De Gruyter, 2019, randnummer 60.</w:t>
      </w:r>
    </w:p>
  </w:footnote>
  <w:footnote w:id="520">
    <w:p w14:paraId="43A3C0DF" w14:textId="1C2F7522"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Artikel 159 FamFG; D. SCHWAB, </w:t>
      </w:r>
      <w:r w:rsidRPr="0086280A">
        <w:rPr>
          <w:i/>
          <w:iCs/>
          <w:sz w:val="16"/>
          <w:szCs w:val="16"/>
          <w:lang w:val="nl-NL"/>
        </w:rPr>
        <w:t>Familienrecht</w:t>
      </w:r>
      <w:r w:rsidRPr="0086280A">
        <w:rPr>
          <w:sz w:val="16"/>
          <w:szCs w:val="16"/>
          <w:lang w:val="nl-NL"/>
        </w:rPr>
        <w:t>, München, Beck, 2017, 382.</w:t>
      </w:r>
    </w:p>
  </w:footnote>
  <w:footnote w:id="521">
    <w:p w14:paraId="13858803" w14:textId="6AC95FB6"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BGH 21 oktober 1964, </w:t>
      </w:r>
      <w:r w:rsidRPr="0086280A">
        <w:rPr>
          <w:i/>
          <w:iCs/>
          <w:sz w:val="16"/>
          <w:szCs w:val="16"/>
          <w:lang w:val="nl-NL"/>
        </w:rPr>
        <w:t>NJW</w:t>
      </w:r>
      <w:r w:rsidRPr="0086280A">
        <w:rPr>
          <w:sz w:val="16"/>
          <w:szCs w:val="16"/>
          <w:lang w:val="nl-NL"/>
        </w:rPr>
        <w:t xml:space="preserve"> 1965, §24-25.</w:t>
      </w:r>
    </w:p>
  </w:footnote>
  <w:footnote w:id="522">
    <w:p w14:paraId="4676A5DF" w14:textId="1DA909A5"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BGH 21 oktober 1964, </w:t>
      </w:r>
      <w:r w:rsidRPr="0086280A">
        <w:rPr>
          <w:i/>
          <w:iCs/>
          <w:sz w:val="16"/>
          <w:szCs w:val="16"/>
          <w:lang w:val="nl-NL"/>
        </w:rPr>
        <w:t>NJW</w:t>
      </w:r>
      <w:r w:rsidRPr="0086280A">
        <w:rPr>
          <w:sz w:val="16"/>
          <w:szCs w:val="16"/>
          <w:lang w:val="nl-NL"/>
        </w:rPr>
        <w:t xml:space="preserve"> 1965, §24-25; BVerfG 25 april 2015, ECLI:DE:BVerfG:2015:rk20150425.1bvr332614, §17 en §39; </w:t>
      </w:r>
      <w:r w:rsidR="00ED75D5" w:rsidRPr="0086280A">
        <w:rPr>
          <w:sz w:val="16"/>
          <w:szCs w:val="16"/>
          <w:lang w:val="nl-NL"/>
        </w:rPr>
        <w:t xml:space="preserve">D. SCHWAB, </w:t>
      </w:r>
      <w:r w:rsidR="00ED75D5" w:rsidRPr="0086280A">
        <w:rPr>
          <w:i/>
          <w:iCs/>
          <w:sz w:val="16"/>
          <w:szCs w:val="16"/>
          <w:lang w:val="nl-NL"/>
        </w:rPr>
        <w:t>Familienrecht</w:t>
      </w:r>
      <w:r w:rsidR="00ED75D5" w:rsidRPr="0086280A">
        <w:rPr>
          <w:sz w:val="16"/>
          <w:szCs w:val="16"/>
          <w:lang w:val="nl-NL"/>
        </w:rPr>
        <w:t xml:space="preserve">, München, Beck, 2017, 377; </w:t>
      </w:r>
      <w:r w:rsidRPr="0086280A">
        <w:rPr>
          <w:sz w:val="16"/>
          <w:szCs w:val="16"/>
          <w:lang w:val="nl-NL"/>
        </w:rPr>
        <w:t>J. VON STAUDINGER en L.M.P. GUTZEIT (ed</w:t>
      </w:r>
      <w:r w:rsidR="00ED75D5" w:rsidRPr="0086280A">
        <w:rPr>
          <w:sz w:val="16"/>
          <w:szCs w:val="16"/>
          <w:lang w:val="nl-NL"/>
        </w:rPr>
        <w:t>s</w:t>
      </w:r>
      <w:r w:rsidRPr="0086280A">
        <w:rPr>
          <w:sz w:val="16"/>
          <w:szCs w:val="16"/>
          <w:lang w:val="nl-NL"/>
        </w:rPr>
        <w:t xml:space="preserve">.), </w:t>
      </w:r>
      <w:r w:rsidRPr="0086280A">
        <w:rPr>
          <w:i/>
          <w:iCs/>
          <w:sz w:val="16"/>
          <w:szCs w:val="16"/>
          <w:lang w:val="nl-NL"/>
        </w:rPr>
        <w:t>Kommentar zum Bürgerlichen Gesetzbuch mit Einführungsgesets und Nebengesetzen. §§ 1684-1717. Elterliche Sorge 3 - Umgangsrecht</w:t>
      </w:r>
      <w:r w:rsidRPr="0086280A">
        <w:rPr>
          <w:sz w:val="16"/>
          <w:szCs w:val="16"/>
          <w:lang w:val="nl-NL"/>
        </w:rPr>
        <w:t>, Otto Schmidt/De Gruyter, 2019, randnummer 50</w:t>
      </w:r>
      <w:r w:rsidR="00ED75D5" w:rsidRPr="0086280A">
        <w:rPr>
          <w:sz w:val="16"/>
          <w:szCs w:val="16"/>
          <w:lang w:val="nl-NL"/>
        </w:rPr>
        <w:t>.</w:t>
      </w:r>
    </w:p>
  </w:footnote>
  <w:footnote w:id="523">
    <w:p w14:paraId="1A6D2953" w14:textId="78E3BEB4"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BVerfG 18 februari 1993, </w:t>
      </w:r>
      <w:r w:rsidRPr="0086280A">
        <w:rPr>
          <w:i/>
          <w:iCs/>
          <w:sz w:val="16"/>
          <w:szCs w:val="16"/>
          <w:lang w:val="nl-NL"/>
        </w:rPr>
        <w:t>NJW</w:t>
      </w:r>
      <w:r w:rsidRPr="0086280A">
        <w:rPr>
          <w:sz w:val="16"/>
          <w:szCs w:val="16"/>
          <w:lang w:val="nl-NL"/>
        </w:rPr>
        <w:t xml:space="preserve"> 1993, 2671; J. VON STAUDINGER en L.M.P. GUTZEIT (ed</w:t>
      </w:r>
      <w:r w:rsidR="00ED75D5" w:rsidRPr="0086280A">
        <w:rPr>
          <w:sz w:val="16"/>
          <w:szCs w:val="16"/>
          <w:lang w:val="nl-NL"/>
        </w:rPr>
        <w:t>s</w:t>
      </w:r>
      <w:r w:rsidRPr="0086280A">
        <w:rPr>
          <w:sz w:val="16"/>
          <w:szCs w:val="16"/>
          <w:lang w:val="nl-NL"/>
        </w:rPr>
        <w:t xml:space="preserve">.), </w:t>
      </w:r>
      <w:r w:rsidRPr="0086280A">
        <w:rPr>
          <w:i/>
          <w:iCs/>
          <w:sz w:val="16"/>
          <w:szCs w:val="16"/>
          <w:lang w:val="nl-NL"/>
        </w:rPr>
        <w:t>Kommentar zum Bürgerlichen Gesetzbuch mit Einführungsgesets und Nebengesetzen. §§ 1684-1717. Elterliche Sorge 3 - Umgangsrecht</w:t>
      </w:r>
      <w:r w:rsidRPr="0086280A">
        <w:rPr>
          <w:sz w:val="16"/>
          <w:szCs w:val="16"/>
          <w:lang w:val="nl-NL"/>
        </w:rPr>
        <w:t>, Otto Schmidt/De Gruyter, 2019, randnummer 59.</w:t>
      </w:r>
    </w:p>
  </w:footnote>
  <w:footnote w:id="524">
    <w:p w14:paraId="39EFB911" w14:textId="4B542137"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BVerfG 1 april 2008, ECLI:DE:BVerfG:2008:rs20080401.1bvr162004.</w:t>
      </w:r>
    </w:p>
  </w:footnote>
  <w:footnote w:id="525">
    <w:p w14:paraId="2FEB3223" w14:textId="5417EF55"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J. VON STAUDINGER en L.M.P. GUTZEIT (ed</w:t>
      </w:r>
      <w:r w:rsidR="00ED75D5" w:rsidRPr="0086280A">
        <w:rPr>
          <w:sz w:val="16"/>
          <w:szCs w:val="16"/>
          <w:lang w:val="nl-NL"/>
        </w:rPr>
        <w:t>s</w:t>
      </w:r>
      <w:r w:rsidRPr="0086280A">
        <w:rPr>
          <w:sz w:val="16"/>
          <w:szCs w:val="16"/>
          <w:lang w:val="nl-NL"/>
        </w:rPr>
        <w:t xml:space="preserve">.), </w:t>
      </w:r>
      <w:r w:rsidRPr="0086280A">
        <w:rPr>
          <w:i/>
          <w:iCs/>
          <w:sz w:val="16"/>
          <w:szCs w:val="16"/>
          <w:lang w:val="nl-NL"/>
        </w:rPr>
        <w:t>Kommentar zum Bürgerlichen Gesetzbuch mit Einführungsgesets und Nebengesetzen. §§ 1684-1717. Elterliche Sorge 3 - Umgangsrecht</w:t>
      </w:r>
      <w:r w:rsidRPr="0086280A">
        <w:rPr>
          <w:sz w:val="16"/>
          <w:szCs w:val="16"/>
          <w:lang w:val="nl-NL"/>
        </w:rPr>
        <w:t>, Otto Schmidt/De Gruyter, 2019, randnummer 73.</w:t>
      </w:r>
    </w:p>
  </w:footnote>
  <w:footnote w:id="526">
    <w:p w14:paraId="3DC84E8D" w14:textId="7C4C130C"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A. ALTROGGE, “Das Urteil des BverfG zur zwangsweisen Durchsetzung der Umgangspflicht und die Ordnungsmittel des FamFG”, </w:t>
      </w:r>
      <w:r w:rsidRPr="0086280A">
        <w:rPr>
          <w:i/>
          <w:iCs/>
          <w:sz w:val="16"/>
          <w:szCs w:val="16"/>
          <w:lang w:val="nl-NL"/>
        </w:rPr>
        <w:t>FPR</w:t>
      </w:r>
      <w:r w:rsidRPr="0086280A">
        <w:rPr>
          <w:sz w:val="16"/>
          <w:szCs w:val="16"/>
          <w:lang w:val="nl-NL"/>
        </w:rPr>
        <w:t xml:space="preserve"> 2009, </w:t>
      </w:r>
      <w:r w:rsidR="00B81771">
        <w:rPr>
          <w:sz w:val="16"/>
          <w:szCs w:val="16"/>
          <w:lang w:val="nl-NL"/>
        </w:rPr>
        <w:t xml:space="preserve">(34) </w:t>
      </w:r>
      <w:r w:rsidRPr="0086280A">
        <w:rPr>
          <w:sz w:val="16"/>
          <w:szCs w:val="16"/>
          <w:lang w:val="nl-NL"/>
        </w:rPr>
        <w:t>36.</w:t>
      </w:r>
    </w:p>
  </w:footnote>
  <w:footnote w:id="527">
    <w:p w14:paraId="3C9B8104" w14:textId="6E47C029"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A. ALTROGGE, “Recht das Kindes auf Umgang mit dem Umgangsunwilligen Elternteil”, </w:t>
      </w:r>
      <w:r w:rsidRPr="0086280A">
        <w:rPr>
          <w:i/>
          <w:sz w:val="16"/>
          <w:szCs w:val="16"/>
          <w:lang w:val="nl-NL"/>
        </w:rPr>
        <w:t>FPR</w:t>
      </w:r>
      <w:r w:rsidRPr="0086280A">
        <w:rPr>
          <w:sz w:val="16"/>
          <w:szCs w:val="16"/>
          <w:lang w:val="nl-NL"/>
        </w:rPr>
        <w:t xml:space="preserve"> 2008, </w:t>
      </w:r>
      <w:r w:rsidR="00B81771">
        <w:rPr>
          <w:sz w:val="16"/>
          <w:szCs w:val="16"/>
          <w:lang w:val="nl-NL"/>
        </w:rPr>
        <w:t xml:space="preserve">(410) </w:t>
      </w:r>
      <w:r w:rsidRPr="0086280A">
        <w:rPr>
          <w:sz w:val="16"/>
          <w:szCs w:val="16"/>
          <w:lang w:val="nl-NL"/>
        </w:rPr>
        <w:t xml:space="preserve">412; K.-P. HORNDASH, “Des recht des Kindes auf Umgang”, </w:t>
      </w:r>
      <w:r w:rsidRPr="0086280A">
        <w:rPr>
          <w:i/>
          <w:sz w:val="16"/>
          <w:szCs w:val="16"/>
          <w:lang w:val="nl-NL"/>
        </w:rPr>
        <w:t>FPR</w:t>
      </w:r>
      <w:r w:rsidRPr="0086280A">
        <w:rPr>
          <w:sz w:val="16"/>
          <w:szCs w:val="16"/>
          <w:lang w:val="nl-NL"/>
        </w:rPr>
        <w:t xml:space="preserve"> 2012, </w:t>
      </w:r>
      <w:r w:rsidR="00B81771">
        <w:rPr>
          <w:sz w:val="16"/>
          <w:szCs w:val="16"/>
          <w:lang w:val="nl-NL"/>
        </w:rPr>
        <w:t xml:space="preserve">(208) </w:t>
      </w:r>
      <w:r w:rsidRPr="0086280A">
        <w:rPr>
          <w:sz w:val="16"/>
          <w:szCs w:val="16"/>
          <w:lang w:val="nl-NL"/>
        </w:rPr>
        <w:t>211.</w:t>
      </w:r>
    </w:p>
  </w:footnote>
  <w:footnote w:id="528">
    <w:p w14:paraId="1CC69436" w14:textId="1BE77680"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P. VLAARDINGERBROEK, “De wetgever laat Jeroen (en vele andere kinderen) niet in de koud staan”, </w:t>
      </w:r>
      <w:r w:rsidRPr="0086280A">
        <w:rPr>
          <w:i/>
          <w:iCs/>
          <w:sz w:val="16"/>
          <w:szCs w:val="16"/>
          <w:lang w:val="nl-NL"/>
        </w:rPr>
        <w:t>FJR (NL)</w:t>
      </w:r>
      <w:r w:rsidRPr="0086280A">
        <w:rPr>
          <w:sz w:val="16"/>
          <w:szCs w:val="16"/>
          <w:lang w:val="nl-NL"/>
        </w:rPr>
        <w:t xml:space="preserve"> 2009, </w:t>
      </w:r>
      <w:r w:rsidR="00B81771">
        <w:rPr>
          <w:sz w:val="16"/>
          <w:szCs w:val="16"/>
          <w:lang w:val="nl-NL"/>
        </w:rPr>
        <w:t xml:space="preserve">(228) </w:t>
      </w:r>
      <w:r w:rsidRPr="0086280A">
        <w:rPr>
          <w:sz w:val="16"/>
          <w:szCs w:val="16"/>
          <w:lang w:val="nl-NL"/>
        </w:rPr>
        <w:t xml:space="preserve">232; A. ALTROGGE, “Das Urteil des BverfG zur zwangsweisen Durchsetzung der Umgangspflicht und die Ordnungsmittel des FamFG”, </w:t>
      </w:r>
      <w:r w:rsidRPr="0086280A">
        <w:rPr>
          <w:i/>
          <w:iCs/>
          <w:sz w:val="16"/>
          <w:szCs w:val="16"/>
          <w:lang w:val="nl-NL"/>
        </w:rPr>
        <w:t>FPR</w:t>
      </w:r>
      <w:r w:rsidRPr="0086280A">
        <w:rPr>
          <w:sz w:val="16"/>
          <w:szCs w:val="16"/>
          <w:lang w:val="nl-NL"/>
        </w:rPr>
        <w:t xml:space="preserve"> 2009, </w:t>
      </w:r>
      <w:r w:rsidR="00B81771">
        <w:rPr>
          <w:sz w:val="16"/>
          <w:szCs w:val="16"/>
          <w:lang w:val="nl-NL"/>
        </w:rPr>
        <w:t xml:space="preserve">(34) </w:t>
      </w:r>
      <w:r w:rsidRPr="0086280A">
        <w:rPr>
          <w:sz w:val="16"/>
          <w:szCs w:val="16"/>
          <w:lang w:val="nl-NL"/>
        </w:rPr>
        <w:t>36-38.</w:t>
      </w:r>
    </w:p>
  </w:footnote>
  <w:footnote w:id="529">
    <w:p w14:paraId="40DF19D3" w14:textId="6B74DDF5"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A. ALTROGGE, “Recht des Kindes auf Umgang mit dem umgangsunwilligen Elternteil”, </w:t>
      </w:r>
      <w:r w:rsidRPr="0086280A">
        <w:rPr>
          <w:i/>
          <w:iCs/>
          <w:sz w:val="16"/>
          <w:szCs w:val="16"/>
          <w:lang w:val="nl-NL"/>
        </w:rPr>
        <w:t>FPR</w:t>
      </w:r>
      <w:r w:rsidRPr="0086280A">
        <w:rPr>
          <w:sz w:val="16"/>
          <w:szCs w:val="16"/>
          <w:lang w:val="nl-NL"/>
        </w:rPr>
        <w:t xml:space="preserve"> 2008, </w:t>
      </w:r>
      <w:r w:rsidR="00B81771">
        <w:rPr>
          <w:sz w:val="16"/>
          <w:szCs w:val="16"/>
          <w:lang w:val="nl-NL"/>
        </w:rPr>
        <w:t xml:space="preserve">(410) </w:t>
      </w:r>
      <w:r w:rsidRPr="0086280A">
        <w:rPr>
          <w:sz w:val="16"/>
          <w:szCs w:val="16"/>
          <w:lang w:val="nl-NL"/>
        </w:rPr>
        <w:t>412.</w:t>
      </w:r>
    </w:p>
  </w:footnote>
  <w:footnote w:id="530">
    <w:p w14:paraId="78954D52" w14:textId="6479DADE"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D. SCHWAB, </w:t>
      </w:r>
      <w:r w:rsidRPr="0086280A">
        <w:rPr>
          <w:i/>
          <w:iCs/>
          <w:sz w:val="16"/>
          <w:szCs w:val="16"/>
          <w:lang w:val="nl-NL"/>
        </w:rPr>
        <w:t>Familienrecht</w:t>
      </w:r>
      <w:r w:rsidRPr="0086280A">
        <w:rPr>
          <w:sz w:val="16"/>
          <w:szCs w:val="16"/>
          <w:lang w:val="nl-NL"/>
        </w:rPr>
        <w:t>, München, Beck, 2017, 383.</w:t>
      </w:r>
    </w:p>
  </w:footnote>
  <w:footnote w:id="531">
    <w:p w14:paraId="00C1CDEC" w14:textId="6B4F0B5F"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t>
      </w:r>
      <w:r w:rsidR="00ED75D5" w:rsidRPr="0086280A">
        <w:rPr>
          <w:sz w:val="16"/>
          <w:szCs w:val="16"/>
          <w:lang w:val="nl-NL"/>
        </w:rPr>
        <w:t xml:space="preserve">D. SCHWAB, </w:t>
      </w:r>
      <w:r w:rsidR="00ED75D5" w:rsidRPr="0086280A">
        <w:rPr>
          <w:i/>
          <w:iCs/>
          <w:sz w:val="16"/>
          <w:szCs w:val="16"/>
          <w:lang w:val="nl-NL"/>
        </w:rPr>
        <w:t>Familienrecht</w:t>
      </w:r>
      <w:r w:rsidR="00ED75D5" w:rsidRPr="0086280A">
        <w:rPr>
          <w:sz w:val="16"/>
          <w:szCs w:val="16"/>
          <w:lang w:val="nl-NL"/>
        </w:rPr>
        <w:t xml:space="preserve">, München, Beck, 2017, 382; </w:t>
      </w:r>
      <w:r w:rsidRPr="0086280A">
        <w:rPr>
          <w:sz w:val="16"/>
          <w:szCs w:val="16"/>
          <w:lang w:val="nl-NL"/>
        </w:rPr>
        <w:t xml:space="preserve">A. ALTROGGE, “Recht des Kindes auf Umgang mit dem umgangsunwilligen Elternteil”, </w:t>
      </w:r>
      <w:r w:rsidRPr="0086280A">
        <w:rPr>
          <w:i/>
          <w:iCs/>
          <w:sz w:val="16"/>
          <w:szCs w:val="16"/>
          <w:lang w:val="nl-NL"/>
        </w:rPr>
        <w:t xml:space="preserve">FPR </w:t>
      </w:r>
      <w:r w:rsidRPr="0086280A">
        <w:rPr>
          <w:sz w:val="16"/>
          <w:szCs w:val="16"/>
          <w:lang w:val="nl-NL"/>
        </w:rPr>
        <w:t xml:space="preserve">2008, </w:t>
      </w:r>
      <w:r w:rsidR="00B81771">
        <w:rPr>
          <w:sz w:val="16"/>
          <w:szCs w:val="16"/>
          <w:lang w:val="nl-NL"/>
        </w:rPr>
        <w:t xml:space="preserve">(410) </w:t>
      </w:r>
      <w:r w:rsidRPr="0086280A">
        <w:rPr>
          <w:sz w:val="16"/>
          <w:szCs w:val="16"/>
          <w:lang w:val="nl-NL"/>
        </w:rPr>
        <w:t>411.</w:t>
      </w:r>
    </w:p>
  </w:footnote>
  <w:footnote w:id="532">
    <w:p w14:paraId="7908BDED" w14:textId="33BFB579"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BGH 14 mei 2008, XII ZB 225/06, §15</w:t>
      </w:r>
      <w:r w:rsidR="00ED75D5" w:rsidRPr="0086280A">
        <w:rPr>
          <w:sz w:val="16"/>
          <w:szCs w:val="16"/>
          <w:lang w:val="nl-NL"/>
        </w:rPr>
        <w:t xml:space="preserve">: </w:t>
      </w:r>
      <w:r w:rsidRPr="0086280A">
        <w:rPr>
          <w:sz w:val="16"/>
          <w:szCs w:val="16"/>
          <w:lang w:val="nl-NL"/>
        </w:rPr>
        <w:t xml:space="preserve">het recht van het kind tot contact is een </w:t>
      </w:r>
      <w:r w:rsidRPr="00603D4A">
        <w:rPr>
          <w:sz w:val="16"/>
          <w:szCs w:val="16"/>
          <w:u w:val="single"/>
          <w:lang w:val="nl-NL"/>
        </w:rPr>
        <w:t>eigen, persoonlijk recht</w:t>
      </w:r>
      <w:r w:rsidRPr="0086280A">
        <w:rPr>
          <w:sz w:val="16"/>
          <w:szCs w:val="16"/>
          <w:lang w:val="nl-NL"/>
        </w:rPr>
        <w:t xml:space="preserve">, en kan daardoor </w:t>
      </w:r>
      <w:r w:rsidRPr="00603D4A">
        <w:rPr>
          <w:sz w:val="16"/>
          <w:szCs w:val="16"/>
          <w:u w:val="single"/>
          <w:lang w:val="nl-NL"/>
        </w:rPr>
        <w:t>enkel aanhangig</w:t>
      </w:r>
      <w:r w:rsidRPr="0086280A">
        <w:rPr>
          <w:sz w:val="16"/>
          <w:szCs w:val="16"/>
          <w:lang w:val="nl-NL"/>
        </w:rPr>
        <w:t xml:space="preserve"> gemaakt worden </w:t>
      </w:r>
      <w:r w:rsidRPr="00603D4A">
        <w:rPr>
          <w:sz w:val="16"/>
          <w:szCs w:val="16"/>
          <w:u w:val="single"/>
          <w:lang w:val="nl-NL"/>
        </w:rPr>
        <w:t>door het kind, vertegenwoordigd</w:t>
      </w:r>
      <w:r w:rsidRPr="0086280A">
        <w:rPr>
          <w:sz w:val="16"/>
          <w:szCs w:val="16"/>
          <w:lang w:val="nl-NL"/>
        </w:rPr>
        <w:t xml:space="preserve"> door de ouder die het gezag heeft of, in het geval van belangentegenstellingen, door een bijzondere curator, maar niet door de ouder die in eigen naam het gezag uitoefent</w:t>
      </w:r>
      <w:r w:rsidR="00603D4A">
        <w:rPr>
          <w:sz w:val="16"/>
          <w:szCs w:val="16"/>
          <w:lang w:val="nl-NL"/>
        </w:rPr>
        <w:t xml:space="preserve"> (eigen nadruk)</w:t>
      </w:r>
      <w:r w:rsidR="00ED75D5" w:rsidRPr="0086280A">
        <w:rPr>
          <w:sz w:val="16"/>
          <w:szCs w:val="16"/>
          <w:lang w:val="nl-NL"/>
        </w:rPr>
        <w:t>.</w:t>
      </w:r>
    </w:p>
  </w:footnote>
  <w:footnote w:id="533">
    <w:p w14:paraId="1B769846" w14:textId="57C66DDD"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K.P. HORNDASH, “Das Recht des Kindes auf Umgang”, </w:t>
      </w:r>
      <w:r w:rsidRPr="0086280A">
        <w:rPr>
          <w:i/>
          <w:sz w:val="16"/>
          <w:szCs w:val="16"/>
          <w:lang w:val="nl-NL"/>
        </w:rPr>
        <w:t>FPR</w:t>
      </w:r>
      <w:r w:rsidRPr="0086280A">
        <w:rPr>
          <w:sz w:val="16"/>
          <w:szCs w:val="16"/>
          <w:lang w:val="nl-NL"/>
        </w:rPr>
        <w:t xml:space="preserve"> 2012, </w:t>
      </w:r>
      <w:r w:rsidR="00B81771">
        <w:rPr>
          <w:sz w:val="16"/>
          <w:szCs w:val="16"/>
          <w:lang w:val="nl-NL"/>
        </w:rPr>
        <w:t xml:space="preserve">(208) </w:t>
      </w:r>
      <w:r w:rsidRPr="0086280A">
        <w:rPr>
          <w:sz w:val="16"/>
          <w:szCs w:val="16"/>
          <w:lang w:val="nl-NL"/>
        </w:rPr>
        <w:t>209.</w:t>
      </w:r>
    </w:p>
  </w:footnote>
  <w:footnote w:id="534">
    <w:p w14:paraId="168C35A7" w14:textId="0D91892E"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BVerfG 17 februari 2022, ECLI:DE:BVerfG:2022:rk20220217.1bvr074321, §19.</w:t>
      </w:r>
    </w:p>
  </w:footnote>
  <w:footnote w:id="535">
    <w:p w14:paraId="23E0DB5B" w14:textId="63C3702A"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t>
      </w:r>
      <w:r w:rsidR="00ED75D5" w:rsidRPr="0086280A">
        <w:rPr>
          <w:i/>
          <w:iCs/>
          <w:sz w:val="16"/>
          <w:szCs w:val="16"/>
          <w:lang w:val="nl-NL"/>
        </w:rPr>
        <w:t>Ibid</w:t>
      </w:r>
      <w:r w:rsidRPr="0086280A">
        <w:rPr>
          <w:sz w:val="16"/>
          <w:szCs w:val="16"/>
          <w:lang w:val="nl-NL"/>
        </w:rPr>
        <w:t>.</w:t>
      </w:r>
    </w:p>
  </w:footnote>
  <w:footnote w:id="536">
    <w:p w14:paraId="34403D5F" w14:textId="1C79F070"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t>
      </w:r>
      <w:r w:rsidR="00ED75D5" w:rsidRPr="0086280A">
        <w:rPr>
          <w:i/>
          <w:iCs/>
          <w:sz w:val="16"/>
          <w:szCs w:val="16"/>
          <w:lang w:val="nl-NL"/>
        </w:rPr>
        <w:t>Ibid.,</w:t>
      </w:r>
      <w:r w:rsidRPr="0086280A">
        <w:rPr>
          <w:sz w:val="16"/>
          <w:szCs w:val="16"/>
          <w:lang w:val="nl-NL"/>
        </w:rPr>
        <w:t xml:space="preserve"> §21.</w:t>
      </w:r>
    </w:p>
  </w:footnote>
  <w:footnote w:id="537">
    <w:p w14:paraId="504EBDA8" w14:textId="25B47035"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Bundestag – Drucksache 13/4899, </w:t>
      </w:r>
      <w:r w:rsidRPr="0086280A">
        <w:rPr>
          <w:i/>
          <w:iCs/>
          <w:sz w:val="16"/>
          <w:szCs w:val="16"/>
          <w:lang w:val="nl-NL"/>
        </w:rPr>
        <w:t>Bundesgesetsblatt</w:t>
      </w:r>
      <w:r w:rsidRPr="0086280A">
        <w:rPr>
          <w:sz w:val="16"/>
          <w:szCs w:val="16"/>
          <w:lang w:val="nl-NL"/>
        </w:rPr>
        <w:t xml:space="preserve"> 1997, Teil I, nr. 84, 161-171.</w:t>
      </w:r>
    </w:p>
  </w:footnote>
  <w:footnote w:id="538">
    <w:p w14:paraId="3AFC3A73" w14:textId="28C421FC"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A. ALTROGGE, “Recht des Kindes auf Umgang mit dem umgangsunwilligen Elternteil”, </w:t>
      </w:r>
      <w:r w:rsidRPr="0086280A">
        <w:rPr>
          <w:i/>
          <w:iCs/>
          <w:sz w:val="16"/>
          <w:szCs w:val="16"/>
          <w:lang w:val="nl-NL"/>
        </w:rPr>
        <w:t xml:space="preserve">FPR </w:t>
      </w:r>
      <w:r w:rsidRPr="0086280A">
        <w:rPr>
          <w:sz w:val="16"/>
          <w:szCs w:val="16"/>
          <w:lang w:val="nl-NL"/>
        </w:rPr>
        <w:t xml:space="preserve">2008, </w:t>
      </w:r>
      <w:r w:rsidR="00B81771">
        <w:rPr>
          <w:sz w:val="16"/>
          <w:szCs w:val="16"/>
          <w:lang w:val="nl-NL"/>
        </w:rPr>
        <w:t xml:space="preserve">(410) </w:t>
      </w:r>
      <w:r w:rsidRPr="0086280A">
        <w:rPr>
          <w:sz w:val="16"/>
          <w:szCs w:val="16"/>
          <w:lang w:val="nl-NL"/>
        </w:rPr>
        <w:t>411.</w:t>
      </w:r>
    </w:p>
  </w:footnote>
  <w:footnote w:id="539">
    <w:p w14:paraId="644BB5B4" w14:textId="65A370F4"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BVerfG 1 april 2008, ECLI:DE:BVerfG:2008:rs20080401.1bvr162004.</w:t>
      </w:r>
    </w:p>
  </w:footnote>
  <w:footnote w:id="540">
    <w:p w14:paraId="61BF7011" w14:textId="0D09B143"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J. VON STAUDINGER en L.M.P. GUTZEIT (ed</w:t>
      </w:r>
      <w:r w:rsidR="00ED75D5" w:rsidRPr="0086280A">
        <w:rPr>
          <w:sz w:val="16"/>
          <w:szCs w:val="16"/>
          <w:lang w:val="nl-NL"/>
        </w:rPr>
        <w:t>s</w:t>
      </w:r>
      <w:r w:rsidRPr="0086280A">
        <w:rPr>
          <w:sz w:val="16"/>
          <w:szCs w:val="16"/>
          <w:lang w:val="nl-NL"/>
        </w:rPr>
        <w:t xml:space="preserve">.), </w:t>
      </w:r>
      <w:r w:rsidRPr="0086280A">
        <w:rPr>
          <w:i/>
          <w:iCs/>
          <w:sz w:val="16"/>
          <w:szCs w:val="16"/>
          <w:lang w:val="nl-NL"/>
        </w:rPr>
        <w:t>Kommentar zum Bürgerlichen Gesetzbuch mit Einführungsgesets und Nebengesetzen. §§ 1684-1717. Elterliche Sorge 3 - Umgangsrecht</w:t>
      </w:r>
      <w:r w:rsidRPr="0086280A">
        <w:rPr>
          <w:sz w:val="16"/>
          <w:szCs w:val="16"/>
          <w:lang w:val="nl-NL"/>
        </w:rPr>
        <w:t>, Otto Schmidt/De Gruyter, 2019, randnummer 58.</w:t>
      </w:r>
    </w:p>
  </w:footnote>
  <w:footnote w:id="541">
    <w:p w14:paraId="0D9B7FCC" w14:textId="61D0EDF1"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D. SCHWAB, </w:t>
      </w:r>
      <w:r w:rsidRPr="0086280A">
        <w:rPr>
          <w:i/>
          <w:iCs/>
          <w:sz w:val="16"/>
          <w:szCs w:val="16"/>
          <w:lang w:val="nl-NL"/>
        </w:rPr>
        <w:t>Familienrecht</w:t>
      </w:r>
      <w:r w:rsidRPr="0086280A">
        <w:rPr>
          <w:sz w:val="16"/>
          <w:szCs w:val="16"/>
          <w:lang w:val="nl-NL"/>
        </w:rPr>
        <w:t>, München, Beck, 2017, 379.</w:t>
      </w:r>
    </w:p>
  </w:footnote>
  <w:footnote w:id="542">
    <w:p w14:paraId="7C8C25AA" w14:textId="4F8504E0"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BGH 17 februari 1983, II ZR 147/81; H. VAN ELS, “Zwangweise Durchsetzung der Umgangspflicht”, </w:t>
      </w:r>
      <w:r w:rsidRPr="0086280A">
        <w:rPr>
          <w:i/>
          <w:iCs/>
          <w:sz w:val="16"/>
          <w:szCs w:val="16"/>
          <w:lang w:val="nl-NL"/>
        </w:rPr>
        <w:t xml:space="preserve">FPR </w:t>
      </w:r>
      <w:r w:rsidRPr="0086280A">
        <w:rPr>
          <w:sz w:val="16"/>
          <w:szCs w:val="16"/>
          <w:lang w:val="nl-NL"/>
        </w:rPr>
        <w:t xml:space="preserve">2009, </w:t>
      </w:r>
      <w:r w:rsidR="00B81771">
        <w:rPr>
          <w:sz w:val="16"/>
          <w:szCs w:val="16"/>
          <w:lang w:val="nl-NL"/>
        </w:rPr>
        <w:t>(</w:t>
      </w:r>
      <w:r w:rsidR="004D623E">
        <w:rPr>
          <w:sz w:val="16"/>
          <w:szCs w:val="16"/>
          <w:lang w:val="nl-NL"/>
        </w:rPr>
        <w:t xml:space="preserve">161) </w:t>
      </w:r>
      <w:r w:rsidRPr="0086280A">
        <w:rPr>
          <w:sz w:val="16"/>
          <w:szCs w:val="16"/>
          <w:lang w:val="nl-NL"/>
        </w:rPr>
        <w:t>164-165.</w:t>
      </w:r>
    </w:p>
  </w:footnote>
  <w:footnote w:id="543">
    <w:p w14:paraId="09B03CF9" w14:textId="42600390"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Artikel 50 FGG; BGH 14 mei 2008, XII ZB 225/06, §11: “Entsprechend weist auch das Bundesverfassungsgericht darauf hin, dass die Interessen des (antragstellenden) Kindes mit denen seines ihn vertretenden Elternteils im Einzelfall in Konflikt stehen ko</w:t>
      </w:r>
      <w:r w:rsidRPr="0086280A">
        <w:rPr>
          <w:rFonts w:ascii="Arial" w:hAnsi="Arial" w:cs="Arial"/>
          <w:sz w:val="16"/>
          <w:szCs w:val="16"/>
          <w:lang w:val="nl-NL"/>
        </w:rPr>
        <w:t>̈</w:t>
      </w:r>
      <w:r w:rsidRPr="0086280A">
        <w:rPr>
          <w:sz w:val="16"/>
          <w:szCs w:val="16"/>
          <w:lang w:val="nl-NL"/>
        </w:rPr>
        <w:t>nnen, was die Bestellung eines Verfahrenspflegers nach § 50 FGG erfordern kann”.</w:t>
      </w:r>
    </w:p>
  </w:footnote>
  <w:footnote w:id="544">
    <w:p w14:paraId="603E73B6" w14:textId="1675DD29"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D. SCHWAB, </w:t>
      </w:r>
      <w:r w:rsidRPr="0086280A">
        <w:rPr>
          <w:i/>
          <w:iCs/>
          <w:sz w:val="16"/>
          <w:szCs w:val="16"/>
          <w:lang w:val="nl-NL"/>
        </w:rPr>
        <w:t>Familienrecht</w:t>
      </w:r>
      <w:r w:rsidRPr="0086280A">
        <w:rPr>
          <w:sz w:val="16"/>
          <w:szCs w:val="16"/>
          <w:lang w:val="nl-NL"/>
        </w:rPr>
        <w:t>, München, Beck, 2017, 379.</w:t>
      </w:r>
    </w:p>
  </w:footnote>
  <w:footnote w:id="545">
    <w:p w14:paraId="018D3DBA" w14:textId="13FF26A0"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Art</w:t>
      </w:r>
      <w:r w:rsidR="0019362F">
        <w:rPr>
          <w:sz w:val="16"/>
          <w:szCs w:val="16"/>
          <w:lang w:val="nl-NL"/>
        </w:rPr>
        <w:t>ikel</w:t>
      </w:r>
      <w:r w:rsidRPr="0086280A">
        <w:rPr>
          <w:sz w:val="16"/>
          <w:szCs w:val="16"/>
          <w:lang w:val="nl-NL"/>
        </w:rPr>
        <w:t xml:space="preserve"> 1684, lid 1 BGB; Art</w:t>
      </w:r>
      <w:r w:rsidR="0019362F">
        <w:rPr>
          <w:sz w:val="16"/>
          <w:szCs w:val="16"/>
          <w:lang w:val="nl-NL"/>
        </w:rPr>
        <w:t>ikel</w:t>
      </w:r>
      <w:r w:rsidRPr="0086280A">
        <w:rPr>
          <w:sz w:val="16"/>
          <w:szCs w:val="16"/>
          <w:lang w:val="nl-NL"/>
        </w:rPr>
        <w:t xml:space="preserve"> 33, lid 3 FGG; BGH 11 mei 2005</w:t>
      </w:r>
      <w:r w:rsidRPr="0086280A">
        <w:rPr>
          <w:i/>
          <w:iCs/>
          <w:sz w:val="16"/>
          <w:szCs w:val="16"/>
          <w:lang w:val="nl-NL"/>
        </w:rPr>
        <w:t xml:space="preserve">, FamRZ </w:t>
      </w:r>
      <w:r w:rsidRPr="0086280A">
        <w:rPr>
          <w:sz w:val="16"/>
          <w:szCs w:val="16"/>
          <w:lang w:val="nl-NL"/>
        </w:rPr>
        <w:t>2005, 1471, §37</w:t>
      </w:r>
      <w:r w:rsidR="00ED75D5" w:rsidRPr="0086280A">
        <w:rPr>
          <w:sz w:val="16"/>
          <w:szCs w:val="16"/>
          <w:lang w:val="nl-NL"/>
        </w:rPr>
        <w:t xml:space="preserve">: </w:t>
      </w:r>
      <w:r w:rsidRPr="0086280A">
        <w:rPr>
          <w:sz w:val="16"/>
          <w:szCs w:val="16"/>
          <w:lang w:val="nl-NL"/>
        </w:rPr>
        <w:t xml:space="preserve">Er moet worden onderzocht of het belang van het kind het dreigen met boetes tegen de moeder kan rechtvaardigen; OLG Brandenburg 21 januari 2004, </w:t>
      </w:r>
      <w:r w:rsidRPr="0086280A">
        <w:rPr>
          <w:i/>
          <w:iCs/>
          <w:sz w:val="16"/>
          <w:szCs w:val="16"/>
          <w:lang w:val="nl-NL"/>
        </w:rPr>
        <w:t xml:space="preserve">NJW </w:t>
      </w:r>
      <w:r w:rsidRPr="0086280A">
        <w:rPr>
          <w:sz w:val="16"/>
          <w:szCs w:val="16"/>
          <w:lang w:val="nl-NL"/>
        </w:rPr>
        <w:t>2004, 3786; OLG Mü</w:t>
      </w:r>
      <w:r w:rsidRPr="0086280A">
        <w:rPr>
          <w:rFonts w:ascii="Arial" w:hAnsi="Arial" w:cs="Arial"/>
          <w:sz w:val="16"/>
          <w:szCs w:val="16"/>
          <w:lang w:val="nl-NL"/>
        </w:rPr>
        <w:t>n</w:t>
      </w:r>
      <w:r w:rsidRPr="0086280A">
        <w:rPr>
          <w:sz w:val="16"/>
          <w:szCs w:val="16"/>
          <w:lang w:val="nl-NL"/>
        </w:rPr>
        <w:t xml:space="preserve">chen 29 maart 2005, </w:t>
      </w:r>
      <w:r w:rsidRPr="0086280A">
        <w:rPr>
          <w:i/>
          <w:iCs/>
          <w:sz w:val="16"/>
          <w:szCs w:val="16"/>
          <w:lang w:val="nl-NL"/>
        </w:rPr>
        <w:t xml:space="preserve">FamRZ </w:t>
      </w:r>
      <w:r w:rsidRPr="0086280A">
        <w:rPr>
          <w:sz w:val="16"/>
          <w:szCs w:val="16"/>
          <w:lang w:val="nl-NL"/>
        </w:rPr>
        <w:t xml:space="preserve">2005, 2010; </w:t>
      </w:r>
      <w:r w:rsidR="00ED75D5" w:rsidRPr="0086280A">
        <w:rPr>
          <w:sz w:val="16"/>
          <w:szCs w:val="16"/>
          <w:lang w:val="nl-NL"/>
        </w:rPr>
        <w:t xml:space="preserve">D. SCHWAB, </w:t>
      </w:r>
      <w:r w:rsidR="00ED75D5" w:rsidRPr="0086280A">
        <w:rPr>
          <w:i/>
          <w:iCs/>
          <w:sz w:val="16"/>
          <w:szCs w:val="16"/>
          <w:lang w:val="nl-NL"/>
        </w:rPr>
        <w:t>Familienrecht</w:t>
      </w:r>
      <w:r w:rsidR="00ED75D5" w:rsidRPr="0086280A">
        <w:rPr>
          <w:sz w:val="16"/>
          <w:szCs w:val="16"/>
          <w:lang w:val="nl-NL"/>
        </w:rPr>
        <w:t xml:space="preserve">, München, Beck, 2017, 382-383; </w:t>
      </w:r>
      <w:r w:rsidRPr="0086280A">
        <w:rPr>
          <w:sz w:val="16"/>
          <w:szCs w:val="16"/>
          <w:lang w:val="nl-NL"/>
        </w:rPr>
        <w:t xml:space="preserve">A. ALTROGGE, “Recht des Kindes auf Umgang mit dem umgangsunwilligen Elternteil”, </w:t>
      </w:r>
      <w:r w:rsidRPr="0086280A">
        <w:rPr>
          <w:i/>
          <w:iCs/>
          <w:sz w:val="16"/>
          <w:szCs w:val="16"/>
          <w:lang w:val="nl-NL"/>
        </w:rPr>
        <w:t xml:space="preserve">FPR </w:t>
      </w:r>
      <w:r w:rsidRPr="0086280A">
        <w:rPr>
          <w:sz w:val="16"/>
          <w:szCs w:val="16"/>
          <w:lang w:val="nl-NL"/>
        </w:rPr>
        <w:t xml:space="preserve">2008, </w:t>
      </w:r>
      <w:r w:rsidR="004D623E">
        <w:rPr>
          <w:sz w:val="16"/>
          <w:szCs w:val="16"/>
          <w:lang w:val="nl-NL"/>
        </w:rPr>
        <w:t xml:space="preserve">(410) </w:t>
      </w:r>
      <w:r w:rsidRPr="0086280A">
        <w:rPr>
          <w:sz w:val="16"/>
          <w:szCs w:val="16"/>
          <w:lang w:val="nl-NL"/>
        </w:rPr>
        <w:t xml:space="preserve">411; K.P. HORNDASCH, “Das Recht des Kindes auf Umgang”, </w:t>
      </w:r>
      <w:r w:rsidRPr="0086280A">
        <w:rPr>
          <w:i/>
          <w:iCs/>
          <w:sz w:val="16"/>
          <w:szCs w:val="16"/>
          <w:lang w:val="nl-NL"/>
        </w:rPr>
        <w:t xml:space="preserve">FPR </w:t>
      </w:r>
      <w:r w:rsidRPr="0086280A">
        <w:rPr>
          <w:sz w:val="16"/>
          <w:szCs w:val="16"/>
          <w:lang w:val="nl-NL"/>
        </w:rPr>
        <w:t xml:space="preserve">2012, </w:t>
      </w:r>
      <w:r w:rsidR="004D623E">
        <w:rPr>
          <w:sz w:val="16"/>
          <w:szCs w:val="16"/>
          <w:lang w:val="nl-NL"/>
        </w:rPr>
        <w:t xml:space="preserve">(208) </w:t>
      </w:r>
      <w:r w:rsidRPr="0086280A">
        <w:rPr>
          <w:sz w:val="16"/>
          <w:szCs w:val="16"/>
          <w:lang w:val="nl-NL"/>
        </w:rPr>
        <w:t>209.</w:t>
      </w:r>
    </w:p>
  </w:footnote>
  <w:footnote w:id="546">
    <w:p w14:paraId="76437984" w14:textId="6466AD31"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BVerfG 1 april 2008, ECLI:DE:BVerfG:2008:rs20080401.1bvr162004; </w:t>
      </w:r>
      <w:r w:rsidR="00ED75D5" w:rsidRPr="0086280A">
        <w:rPr>
          <w:sz w:val="16"/>
          <w:szCs w:val="16"/>
          <w:lang w:val="nl-NL"/>
        </w:rPr>
        <w:t xml:space="preserve">H. VAN ELS, “Zwangweise Durchsetzung der Umgangspflicht”, </w:t>
      </w:r>
      <w:r w:rsidR="00ED75D5" w:rsidRPr="0086280A">
        <w:rPr>
          <w:i/>
          <w:iCs/>
          <w:sz w:val="16"/>
          <w:szCs w:val="16"/>
          <w:lang w:val="nl-NL"/>
        </w:rPr>
        <w:t xml:space="preserve">FPR </w:t>
      </w:r>
      <w:r w:rsidR="00ED75D5" w:rsidRPr="0086280A">
        <w:rPr>
          <w:sz w:val="16"/>
          <w:szCs w:val="16"/>
          <w:lang w:val="nl-NL"/>
        </w:rPr>
        <w:t xml:space="preserve">2009, </w:t>
      </w:r>
      <w:r w:rsidR="004D623E">
        <w:rPr>
          <w:sz w:val="16"/>
          <w:szCs w:val="16"/>
          <w:lang w:val="nl-NL"/>
        </w:rPr>
        <w:t xml:space="preserve">(161) </w:t>
      </w:r>
      <w:r w:rsidR="00ED75D5" w:rsidRPr="0086280A">
        <w:rPr>
          <w:sz w:val="16"/>
          <w:szCs w:val="16"/>
          <w:lang w:val="nl-NL"/>
        </w:rPr>
        <w:t xml:space="preserve">165; </w:t>
      </w:r>
      <w:r w:rsidRPr="0086280A">
        <w:rPr>
          <w:sz w:val="16"/>
          <w:szCs w:val="16"/>
          <w:lang w:val="nl-NL"/>
        </w:rPr>
        <w:t xml:space="preserve">K.P. HORNDASCH, “Das Recht des Kindes auf Umgang”, </w:t>
      </w:r>
      <w:r w:rsidRPr="0086280A">
        <w:rPr>
          <w:i/>
          <w:iCs/>
          <w:sz w:val="16"/>
          <w:szCs w:val="16"/>
          <w:lang w:val="nl-NL"/>
        </w:rPr>
        <w:t xml:space="preserve">FPR </w:t>
      </w:r>
      <w:r w:rsidRPr="0086280A">
        <w:rPr>
          <w:sz w:val="16"/>
          <w:szCs w:val="16"/>
          <w:lang w:val="nl-NL"/>
        </w:rPr>
        <w:t xml:space="preserve">2012, </w:t>
      </w:r>
      <w:r w:rsidR="004D623E">
        <w:rPr>
          <w:sz w:val="16"/>
          <w:szCs w:val="16"/>
          <w:lang w:val="nl-NL"/>
        </w:rPr>
        <w:t xml:space="preserve">(208) </w:t>
      </w:r>
      <w:r w:rsidRPr="0086280A">
        <w:rPr>
          <w:sz w:val="16"/>
          <w:szCs w:val="16"/>
          <w:lang w:val="nl-NL"/>
        </w:rPr>
        <w:t>211.</w:t>
      </w:r>
    </w:p>
  </w:footnote>
  <w:footnote w:id="547">
    <w:p w14:paraId="6D6CE62F" w14:textId="44B0E5CF"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BVerfG 17 februari 2022, ECLI:DE:BVerfG:2022:rk20220217.1bvr074321, §27</w:t>
      </w:r>
      <w:r w:rsidR="00ED75D5" w:rsidRPr="0086280A">
        <w:rPr>
          <w:sz w:val="16"/>
          <w:szCs w:val="16"/>
          <w:lang w:val="nl-NL"/>
        </w:rPr>
        <w:t xml:space="preserve">: “Zwar ist nach der Rechtsprechung des Bundesverfassungsgerichts die Androhung der zwangsweisen Durchsetzung der Umgangspflicht regelmäßig nicht geeignet, den mit ihr verfolgten legitimen Zweck zu erreichen und daher verfassungsrechtlich regelmäßig nicht gerechtfertigt. (…) </w:t>
      </w:r>
      <w:r w:rsidR="00DC738F" w:rsidRPr="0086280A">
        <w:rPr>
          <w:sz w:val="16"/>
          <w:szCs w:val="16"/>
          <w:lang w:val="nl-NL"/>
        </w:rPr>
        <w:t>Die Verpflichtung zum Umgangsrecht diene dem Zweck, dem Kind einen Umgang mit seinem Elternteil zu ermöglichen, der zu einer gedeihlichen Persönlichkeitsentwicklung des Kindes beitrage. (…) Da der Umgang nicht nur seine Anwesenheit, sondern auch seine emotionale Zuwendung zum Kind erfordere, könne ein Kind beim Umgang nicht die bezweckte elterliche Zuwendung erleben, sondern müsse spüren, wie es von seinem Elternteil abgelehnt werde, falls dieser seinen Widerwillen nicht ablegen sollte. Dies könne schädigende Auswirkungen auf sein Selbstwertgefühl haben; ein solcher Umgang schade dem Kindeswohl”.</w:t>
      </w:r>
    </w:p>
  </w:footnote>
  <w:footnote w:id="548">
    <w:p w14:paraId="19073167" w14:textId="404602B3"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P. VLAARDINGERBROEK, “De wetgever laat Jeroen (en vele andere kinderen) niet in de koud staan”, </w:t>
      </w:r>
      <w:r w:rsidRPr="0086280A">
        <w:rPr>
          <w:i/>
          <w:iCs/>
          <w:sz w:val="16"/>
          <w:szCs w:val="16"/>
          <w:lang w:val="nl-NL"/>
        </w:rPr>
        <w:t>FJR (NL)</w:t>
      </w:r>
      <w:r w:rsidRPr="0086280A">
        <w:rPr>
          <w:sz w:val="16"/>
          <w:szCs w:val="16"/>
          <w:lang w:val="nl-NL"/>
        </w:rPr>
        <w:t xml:space="preserve"> 2009, </w:t>
      </w:r>
      <w:r w:rsidR="00B81771">
        <w:rPr>
          <w:sz w:val="16"/>
          <w:szCs w:val="16"/>
          <w:lang w:val="nl-NL"/>
        </w:rPr>
        <w:t xml:space="preserve">(228) </w:t>
      </w:r>
      <w:r w:rsidRPr="0086280A">
        <w:rPr>
          <w:sz w:val="16"/>
          <w:szCs w:val="16"/>
          <w:lang w:val="nl-NL"/>
        </w:rPr>
        <w:t>232.</w:t>
      </w:r>
    </w:p>
  </w:footnote>
  <w:footnote w:id="549">
    <w:p w14:paraId="397BB909" w14:textId="4EF34441"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OLG Brandenburg 23 juni 1999, </w:t>
      </w:r>
      <w:r w:rsidRPr="0086280A">
        <w:rPr>
          <w:i/>
          <w:iCs/>
          <w:sz w:val="16"/>
          <w:szCs w:val="16"/>
          <w:lang w:val="nl-NL"/>
        </w:rPr>
        <w:t>FamRZ</w:t>
      </w:r>
      <w:r w:rsidRPr="0086280A">
        <w:rPr>
          <w:sz w:val="16"/>
          <w:szCs w:val="16"/>
          <w:lang w:val="nl-NL"/>
        </w:rPr>
        <w:t xml:space="preserve"> 2000, 1106; D. SCHWAB, </w:t>
      </w:r>
      <w:r w:rsidRPr="0086280A">
        <w:rPr>
          <w:i/>
          <w:iCs/>
          <w:sz w:val="16"/>
          <w:szCs w:val="16"/>
          <w:lang w:val="nl-NL"/>
        </w:rPr>
        <w:t>Familienrecht</w:t>
      </w:r>
      <w:r w:rsidRPr="0086280A">
        <w:rPr>
          <w:sz w:val="16"/>
          <w:szCs w:val="16"/>
          <w:lang w:val="nl-NL"/>
        </w:rPr>
        <w:t>, München, Beck, 2017, 382.</w:t>
      </w:r>
    </w:p>
  </w:footnote>
  <w:footnote w:id="550">
    <w:p w14:paraId="72453A20" w14:textId="3ABC94FA"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H. VAN ELS, “Zwangweise Durchsetzung der Umgangspflicht”, </w:t>
      </w:r>
      <w:r w:rsidRPr="0086280A">
        <w:rPr>
          <w:i/>
          <w:iCs/>
          <w:sz w:val="16"/>
          <w:szCs w:val="16"/>
          <w:lang w:val="nl-NL"/>
        </w:rPr>
        <w:t xml:space="preserve">FPR </w:t>
      </w:r>
      <w:r w:rsidRPr="0086280A">
        <w:rPr>
          <w:sz w:val="16"/>
          <w:szCs w:val="16"/>
          <w:lang w:val="nl-NL"/>
        </w:rPr>
        <w:t xml:space="preserve">2009, </w:t>
      </w:r>
      <w:r w:rsidR="004D623E">
        <w:rPr>
          <w:sz w:val="16"/>
          <w:szCs w:val="16"/>
          <w:lang w:val="nl-NL"/>
        </w:rPr>
        <w:t xml:space="preserve">(161) </w:t>
      </w:r>
      <w:r w:rsidRPr="0086280A">
        <w:rPr>
          <w:sz w:val="16"/>
          <w:szCs w:val="16"/>
          <w:lang w:val="nl-NL"/>
        </w:rPr>
        <w:t>163.</w:t>
      </w:r>
    </w:p>
  </w:footnote>
  <w:footnote w:id="551">
    <w:p w14:paraId="71A9DF22" w14:textId="561BBA9D"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A. ALTROGGE, “Recht des Kindes auf Umgang mit dem umgangsunwilligen Elternteil”, </w:t>
      </w:r>
      <w:r w:rsidRPr="0086280A">
        <w:rPr>
          <w:i/>
          <w:iCs/>
          <w:sz w:val="16"/>
          <w:szCs w:val="16"/>
          <w:lang w:val="nl-NL"/>
        </w:rPr>
        <w:t>FPR</w:t>
      </w:r>
      <w:r w:rsidRPr="0086280A">
        <w:rPr>
          <w:sz w:val="16"/>
          <w:szCs w:val="16"/>
          <w:lang w:val="nl-NL"/>
        </w:rPr>
        <w:t xml:space="preserve"> 2008, </w:t>
      </w:r>
      <w:r w:rsidR="004D623E">
        <w:rPr>
          <w:sz w:val="16"/>
          <w:szCs w:val="16"/>
          <w:lang w:val="nl-NL"/>
        </w:rPr>
        <w:t xml:space="preserve">(410) </w:t>
      </w:r>
      <w:r w:rsidRPr="0086280A">
        <w:rPr>
          <w:sz w:val="16"/>
          <w:szCs w:val="16"/>
          <w:lang w:val="nl-NL"/>
        </w:rPr>
        <w:t xml:space="preserve">410; P. VLAARDINGERBROEK, “De wetgever laat Jeroen (en vele andere kinderen) niet in de kou staan”, </w:t>
      </w:r>
      <w:r w:rsidRPr="0086280A">
        <w:rPr>
          <w:i/>
          <w:iCs/>
          <w:sz w:val="16"/>
          <w:szCs w:val="16"/>
          <w:lang w:val="nl-NL"/>
        </w:rPr>
        <w:t xml:space="preserve">FJR </w:t>
      </w:r>
      <w:r w:rsidRPr="0086280A">
        <w:rPr>
          <w:sz w:val="16"/>
          <w:szCs w:val="16"/>
          <w:lang w:val="nl-NL"/>
        </w:rPr>
        <w:t xml:space="preserve">2009, </w:t>
      </w:r>
      <w:r w:rsidR="00B81771">
        <w:rPr>
          <w:sz w:val="16"/>
          <w:szCs w:val="16"/>
          <w:lang w:val="nl-NL"/>
        </w:rPr>
        <w:t>(228) 2</w:t>
      </w:r>
      <w:r w:rsidRPr="0086280A">
        <w:rPr>
          <w:sz w:val="16"/>
          <w:szCs w:val="16"/>
          <w:lang w:val="nl-NL"/>
        </w:rPr>
        <w:t>86.</w:t>
      </w:r>
    </w:p>
  </w:footnote>
  <w:footnote w:id="552">
    <w:p w14:paraId="5046A796" w14:textId="74592641"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P. VLAARDINGERBROEK, “De wetgever laat Jeroen (en vele andere kinderen) niet in de koud staan”, </w:t>
      </w:r>
      <w:r w:rsidRPr="0086280A">
        <w:rPr>
          <w:i/>
          <w:iCs/>
          <w:sz w:val="16"/>
          <w:szCs w:val="16"/>
          <w:lang w:val="nl-NL"/>
        </w:rPr>
        <w:t>FJR</w:t>
      </w:r>
      <w:r w:rsidRPr="0086280A">
        <w:rPr>
          <w:sz w:val="16"/>
          <w:szCs w:val="16"/>
          <w:lang w:val="nl-NL"/>
        </w:rPr>
        <w:t xml:space="preserve"> 2009, </w:t>
      </w:r>
      <w:r w:rsidR="00B81771">
        <w:rPr>
          <w:sz w:val="16"/>
          <w:szCs w:val="16"/>
          <w:lang w:val="nl-NL"/>
        </w:rPr>
        <w:t xml:space="preserve">(228) </w:t>
      </w:r>
      <w:r w:rsidRPr="0086280A">
        <w:rPr>
          <w:sz w:val="16"/>
          <w:szCs w:val="16"/>
          <w:lang w:val="nl-NL"/>
        </w:rPr>
        <w:t>231-232.</w:t>
      </w:r>
    </w:p>
  </w:footnote>
  <w:footnote w:id="553">
    <w:p w14:paraId="25D032F7" w14:textId="07ED5101"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BVerfG 1 april 2008, ECLI:DE:BVerfG:2008:rs20080401.1bvr162004, §85-86: de inmenging met het recht op persoonlijke vrijheid van artikel 2.1 GG en artikel 1.1 GG is gerechtvaardigd door artikel 6.2 GG dat een plicht oplegt aan de ouders om met hun kind om te gaan indien dit het belang van het kind dient. Een negatieve houding ten opzichte van het kind, kan niet zonder gevolgen voor het kind zijn, waardoor het kind in een situatie van afwijzing terechtkomt. Dit brengt gevaren mee voor de ontwikkeling van het kind. Het kan echter ook niet worden uitgesloten dat een gedwongen contact ertoe zal leiden dat de ouder zich openstelt voor het kind, waardoor gedwongen contact wel</w:t>
      </w:r>
      <w:r w:rsidR="0019362F">
        <w:rPr>
          <w:sz w:val="16"/>
          <w:szCs w:val="16"/>
          <w:lang w:val="nl-NL"/>
        </w:rPr>
        <w:t xml:space="preserve"> én niet</w:t>
      </w:r>
      <w:r w:rsidRPr="0086280A">
        <w:rPr>
          <w:sz w:val="16"/>
          <w:szCs w:val="16"/>
          <w:lang w:val="nl-NL"/>
        </w:rPr>
        <w:t xml:space="preserve"> het belang van het kind dient.</w:t>
      </w:r>
    </w:p>
  </w:footnote>
  <w:footnote w:id="554">
    <w:p w14:paraId="2DC32033" w14:textId="79270DCF"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J. VON STAUDINGER en L.M.P. GUTZEIT (ed.), </w:t>
      </w:r>
      <w:r w:rsidRPr="0086280A">
        <w:rPr>
          <w:i/>
          <w:iCs/>
          <w:sz w:val="16"/>
          <w:szCs w:val="16"/>
          <w:lang w:val="nl-NL"/>
        </w:rPr>
        <w:t>Kommentar zum Bürgerlichen Gesetzbuch mit Einführungsgesets und Nebengesetzen. §§ 1684-1717. Elterliche Sorge 3 - Umgangsrecht</w:t>
      </w:r>
      <w:r w:rsidRPr="0086280A">
        <w:rPr>
          <w:sz w:val="16"/>
          <w:szCs w:val="16"/>
          <w:lang w:val="nl-NL"/>
        </w:rPr>
        <w:t>, Otto Schmidt/De Gruyter, 2019, randnummer 127.</w:t>
      </w:r>
    </w:p>
  </w:footnote>
  <w:footnote w:id="555">
    <w:p w14:paraId="0F08C0D5" w14:textId="7E674FDF" w:rsidR="00C57AF9" w:rsidRPr="0086280A" w:rsidRDefault="00C57AF9" w:rsidP="005C4D5C">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t>
      </w:r>
      <w:r w:rsidR="00DC738F" w:rsidRPr="0086280A">
        <w:rPr>
          <w:sz w:val="16"/>
          <w:szCs w:val="16"/>
          <w:lang w:val="nl-NL"/>
        </w:rPr>
        <w:t xml:space="preserve">D. SCHWAB, </w:t>
      </w:r>
      <w:r w:rsidR="00DC738F" w:rsidRPr="0086280A">
        <w:rPr>
          <w:i/>
          <w:iCs/>
          <w:sz w:val="16"/>
          <w:szCs w:val="16"/>
          <w:lang w:val="nl-NL"/>
        </w:rPr>
        <w:t>Familienrecht</w:t>
      </w:r>
      <w:r w:rsidR="00DC738F" w:rsidRPr="0086280A">
        <w:rPr>
          <w:sz w:val="16"/>
          <w:szCs w:val="16"/>
          <w:lang w:val="nl-NL"/>
        </w:rPr>
        <w:t xml:space="preserve">, München, Beck, 2017, 380; </w:t>
      </w:r>
      <w:r w:rsidRPr="0086280A">
        <w:rPr>
          <w:sz w:val="16"/>
          <w:szCs w:val="16"/>
          <w:lang w:val="nl-NL"/>
        </w:rPr>
        <w:t xml:space="preserve">P. VLAARDINGERBROEK, “De wetgever laat Jeroen (en vele andere kinderen) niet in de koud staan”, </w:t>
      </w:r>
      <w:r w:rsidRPr="0086280A">
        <w:rPr>
          <w:i/>
          <w:iCs/>
          <w:sz w:val="16"/>
          <w:szCs w:val="16"/>
          <w:lang w:val="nl-NL"/>
        </w:rPr>
        <w:t xml:space="preserve">FJR </w:t>
      </w:r>
      <w:r w:rsidRPr="0086280A">
        <w:rPr>
          <w:sz w:val="16"/>
          <w:szCs w:val="16"/>
          <w:lang w:val="nl-NL"/>
        </w:rPr>
        <w:t xml:space="preserve"> 2009, </w:t>
      </w:r>
      <w:r w:rsidR="00B81771">
        <w:rPr>
          <w:sz w:val="16"/>
          <w:szCs w:val="16"/>
          <w:lang w:val="nl-NL"/>
        </w:rPr>
        <w:t>(228) 2</w:t>
      </w:r>
      <w:r w:rsidRPr="0086280A">
        <w:rPr>
          <w:sz w:val="16"/>
          <w:szCs w:val="16"/>
          <w:lang w:val="nl-NL"/>
        </w:rPr>
        <w:t>86.</w:t>
      </w:r>
    </w:p>
  </w:footnote>
  <w:footnote w:id="556">
    <w:p w14:paraId="2D16E00B" w14:textId="201B7CFE"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D. SCHWAB, </w:t>
      </w:r>
      <w:proofErr w:type="spellStart"/>
      <w:r w:rsidRPr="004F6728">
        <w:rPr>
          <w:i/>
          <w:iCs/>
          <w:sz w:val="16"/>
          <w:szCs w:val="16"/>
          <w:lang w:val="en-US"/>
        </w:rPr>
        <w:t>Familienrecht</w:t>
      </w:r>
      <w:proofErr w:type="spellEnd"/>
      <w:r w:rsidRPr="004F6728">
        <w:rPr>
          <w:sz w:val="16"/>
          <w:szCs w:val="16"/>
          <w:lang w:val="en-US"/>
        </w:rPr>
        <w:t>, München, Beck, 2017, 380.</w:t>
      </w:r>
    </w:p>
  </w:footnote>
  <w:footnote w:id="557">
    <w:p w14:paraId="2377886F" w14:textId="6DB01683" w:rsidR="00C57AF9" w:rsidRPr="004F6728" w:rsidRDefault="00C57AF9" w:rsidP="005C4D5C">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w:t>
      </w:r>
      <w:r w:rsidR="00DC738F" w:rsidRPr="004F6728">
        <w:rPr>
          <w:i/>
          <w:iCs/>
          <w:sz w:val="16"/>
          <w:szCs w:val="16"/>
          <w:lang w:val="en-US"/>
        </w:rPr>
        <w:t>Ibid.,</w:t>
      </w:r>
      <w:r w:rsidRPr="004F6728">
        <w:rPr>
          <w:sz w:val="16"/>
          <w:szCs w:val="16"/>
          <w:lang w:val="en-US"/>
        </w:rPr>
        <w:t xml:space="preserve"> 381.</w:t>
      </w:r>
    </w:p>
  </w:footnote>
  <w:footnote w:id="558">
    <w:p w14:paraId="094623A0" w14:textId="296D852C" w:rsidR="00FD479E" w:rsidRPr="00E26F4A" w:rsidRDefault="00FD479E" w:rsidP="00FD479E">
      <w:pPr>
        <w:pStyle w:val="Voetnoottekst"/>
        <w:jc w:val="both"/>
        <w:rPr>
          <w:sz w:val="16"/>
          <w:szCs w:val="16"/>
          <w:lang w:val="nl-NL"/>
        </w:rPr>
      </w:pPr>
      <w:r w:rsidRPr="00E26F4A">
        <w:rPr>
          <w:rStyle w:val="Voetnootmarkering"/>
          <w:sz w:val="16"/>
          <w:szCs w:val="16"/>
          <w:lang w:val="nl-NL"/>
        </w:rPr>
        <w:footnoteRef/>
      </w:r>
      <w:r w:rsidRPr="00E26F4A">
        <w:rPr>
          <w:sz w:val="16"/>
          <w:szCs w:val="16"/>
          <w:lang w:val="nl-NL"/>
        </w:rPr>
        <w:t xml:space="preserve"> Bijvoorbeeld zoals </w:t>
      </w:r>
      <w:hyperlink r:id="rId45" w:history="1">
        <w:r w:rsidR="00857C8A" w:rsidRPr="00E26F4A">
          <w:rPr>
            <w:rStyle w:val="Hyperlink"/>
            <w:sz w:val="16"/>
            <w:szCs w:val="16"/>
            <w:lang w:val="nl-NL"/>
          </w:rPr>
          <w:t>www.jeugdhulp.be/vraag-bemiddeling-aan</w:t>
        </w:r>
      </w:hyperlink>
      <w:r w:rsidRPr="00E26F4A">
        <w:rPr>
          <w:sz w:val="16"/>
          <w:szCs w:val="16"/>
          <w:lang w:val="nl-NL"/>
        </w:rPr>
        <w:t xml:space="preserve"> of </w:t>
      </w:r>
      <w:hyperlink r:id="rId46" w:history="1">
        <w:r w:rsidRPr="00E26F4A">
          <w:rPr>
            <w:rStyle w:val="Hyperlink"/>
            <w:sz w:val="16"/>
            <w:szCs w:val="16"/>
            <w:lang w:val="nl-NL"/>
          </w:rPr>
          <w:t>www.helderrecht.be</w:t>
        </w:r>
      </w:hyperlink>
      <w:r w:rsidRPr="00E26F4A">
        <w:rPr>
          <w:sz w:val="16"/>
          <w:szCs w:val="16"/>
          <w:lang w:val="nl-NL"/>
        </w:rPr>
        <w:t>.</w:t>
      </w:r>
      <w:r w:rsidR="00E069FB" w:rsidRPr="00E26F4A">
        <w:rPr>
          <w:sz w:val="16"/>
          <w:szCs w:val="16"/>
          <w:lang w:val="nl-NL"/>
        </w:rPr>
        <w:t xml:space="preserve"> De website </w:t>
      </w:r>
      <w:hyperlink r:id="rId47" w:history="1">
        <w:r w:rsidR="00E069FB" w:rsidRPr="00E26F4A">
          <w:rPr>
            <w:rStyle w:val="Hyperlink"/>
            <w:sz w:val="16"/>
            <w:szCs w:val="16"/>
            <w:lang w:val="nl-NL"/>
          </w:rPr>
          <w:t>www.scheidingskoffer.be</w:t>
        </w:r>
      </w:hyperlink>
      <w:r w:rsidR="00E069FB" w:rsidRPr="00E26F4A">
        <w:rPr>
          <w:sz w:val="16"/>
          <w:szCs w:val="16"/>
          <w:lang w:val="nl-NL"/>
        </w:rPr>
        <w:t xml:space="preserve"> vormt hiervoor al een goed vertrekpunt</w:t>
      </w:r>
      <w:r w:rsidR="00857C8A" w:rsidRPr="00E26F4A">
        <w:rPr>
          <w:sz w:val="16"/>
          <w:szCs w:val="16"/>
          <w:lang w:val="nl-NL"/>
        </w:rPr>
        <w:t xml:space="preserve"> (laatste consultatie </w:t>
      </w:r>
      <w:r w:rsidR="006810D8" w:rsidRPr="00E26F4A">
        <w:rPr>
          <w:sz w:val="16"/>
          <w:szCs w:val="16"/>
          <w:lang w:val="nl-NL"/>
        </w:rPr>
        <w:t>13</w:t>
      </w:r>
      <w:r w:rsidR="00857C8A" w:rsidRPr="00E26F4A">
        <w:rPr>
          <w:sz w:val="16"/>
          <w:szCs w:val="16"/>
          <w:lang w:val="nl-NL"/>
        </w:rPr>
        <w:t>.0</w:t>
      </w:r>
      <w:r w:rsidR="006810D8" w:rsidRPr="00E26F4A">
        <w:rPr>
          <w:sz w:val="16"/>
          <w:szCs w:val="16"/>
          <w:lang w:val="nl-NL"/>
        </w:rPr>
        <w:t>5</w:t>
      </w:r>
      <w:r w:rsidR="00857C8A" w:rsidRPr="00E26F4A">
        <w:rPr>
          <w:sz w:val="16"/>
          <w:szCs w:val="16"/>
          <w:lang w:val="nl-NL"/>
        </w:rPr>
        <w:t>.2023).</w:t>
      </w:r>
    </w:p>
  </w:footnote>
  <w:footnote w:id="559">
    <w:p w14:paraId="1665AC4E" w14:textId="437E49C1" w:rsidR="000C7187" w:rsidRPr="00E26F4A" w:rsidRDefault="000C7187" w:rsidP="000C7187">
      <w:pPr>
        <w:pStyle w:val="Voetnoottekst"/>
        <w:jc w:val="both"/>
        <w:rPr>
          <w:sz w:val="16"/>
          <w:szCs w:val="16"/>
          <w:lang w:val="nl-NL"/>
        </w:rPr>
      </w:pPr>
      <w:r w:rsidRPr="00E26F4A">
        <w:rPr>
          <w:rStyle w:val="Voetnootmarkering"/>
          <w:sz w:val="16"/>
          <w:szCs w:val="16"/>
        </w:rPr>
        <w:footnoteRef/>
      </w:r>
      <w:r w:rsidRPr="00E26F4A">
        <w:rPr>
          <w:sz w:val="16"/>
          <w:szCs w:val="16"/>
        </w:rPr>
        <w:t xml:space="preserve"> </w:t>
      </w:r>
      <w:r w:rsidRPr="00E26F4A">
        <w:rPr>
          <w:sz w:val="16"/>
          <w:szCs w:val="16"/>
          <w:lang w:val="nl-NL"/>
        </w:rPr>
        <w:t xml:space="preserve">Bijvoorbeeld op </w:t>
      </w:r>
      <w:proofErr w:type="spellStart"/>
      <w:r w:rsidRPr="00E26F4A">
        <w:rPr>
          <w:sz w:val="16"/>
          <w:szCs w:val="16"/>
          <w:lang w:val="nl-NL"/>
        </w:rPr>
        <w:t>TikTok</w:t>
      </w:r>
      <w:proofErr w:type="spellEnd"/>
      <w:r w:rsidRPr="00E26F4A">
        <w:rPr>
          <w:sz w:val="16"/>
          <w:szCs w:val="16"/>
          <w:lang w:val="nl-NL"/>
        </w:rPr>
        <w:t xml:space="preserve">, Instagram, </w:t>
      </w:r>
      <w:proofErr w:type="spellStart"/>
      <w:r w:rsidRPr="00E26F4A">
        <w:rPr>
          <w:sz w:val="16"/>
          <w:szCs w:val="16"/>
          <w:lang w:val="nl-NL"/>
        </w:rPr>
        <w:t>Ketnet</w:t>
      </w:r>
      <w:proofErr w:type="spellEnd"/>
      <w:r w:rsidRPr="00E26F4A">
        <w:rPr>
          <w:sz w:val="16"/>
          <w:szCs w:val="16"/>
          <w:lang w:val="nl-NL"/>
        </w:rPr>
        <w:t xml:space="preserve">, </w:t>
      </w:r>
      <w:proofErr w:type="spellStart"/>
      <w:r w:rsidRPr="00E26F4A">
        <w:rPr>
          <w:sz w:val="16"/>
          <w:szCs w:val="16"/>
          <w:lang w:val="nl-NL"/>
        </w:rPr>
        <w:t>Youtube</w:t>
      </w:r>
      <w:proofErr w:type="spellEnd"/>
      <w:r w:rsidRPr="00E26F4A">
        <w:rPr>
          <w:sz w:val="16"/>
          <w:szCs w:val="16"/>
          <w:lang w:val="nl-NL"/>
        </w:rPr>
        <w:t>… Bijvoorbeeld ook de aanwezigheid in programma’s om laagdrempelig informatie over te geven in een gespeelde scene etc. lijkt mij in dit digitale tijdperk aangeraden.</w:t>
      </w:r>
    </w:p>
  </w:footnote>
  <w:footnote w:id="560">
    <w:p w14:paraId="71568867" w14:textId="749BF9DA" w:rsidR="00C57AF9" w:rsidRPr="0086280A" w:rsidRDefault="00C57AF9" w:rsidP="005C4D5C">
      <w:pPr>
        <w:pStyle w:val="Voetnoottekst"/>
        <w:jc w:val="both"/>
        <w:rPr>
          <w:sz w:val="16"/>
          <w:szCs w:val="16"/>
          <w:lang w:val="nl-NL"/>
        </w:rPr>
      </w:pPr>
      <w:r w:rsidRPr="00E26F4A">
        <w:rPr>
          <w:rStyle w:val="Voetnootmarkering"/>
          <w:sz w:val="16"/>
          <w:szCs w:val="16"/>
          <w:lang w:val="nl-NL"/>
        </w:rPr>
        <w:footnoteRef/>
      </w:r>
      <w:r w:rsidRPr="00E26F4A">
        <w:rPr>
          <w:sz w:val="16"/>
          <w:szCs w:val="16"/>
          <w:lang w:val="nl-NL"/>
        </w:rPr>
        <w:t xml:space="preserve"> KINDERRECHTENCOMMISSARIAAT, </w:t>
      </w:r>
      <w:r w:rsidRPr="00E26F4A">
        <w:rPr>
          <w:i/>
          <w:iCs/>
          <w:sz w:val="16"/>
          <w:szCs w:val="16"/>
          <w:lang w:val="nl-NL"/>
        </w:rPr>
        <w:t>Dossier recht op recht</w:t>
      </w:r>
      <w:r w:rsidRPr="00E26F4A">
        <w:rPr>
          <w:sz w:val="16"/>
          <w:szCs w:val="16"/>
          <w:lang w:val="nl-NL"/>
        </w:rPr>
        <w:t xml:space="preserve">, 2008, 23, </w:t>
      </w:r>
      <w:hyperlink r:id="rId48" w:history="1">
        <w:r w:rsidRPr="00E26F4A">
          <w:rPr>
            <w:rStyle w:val="Hyperlink"/>
            <w:sz w:val="16"/>
            <w:szCs w:val="16"/>
            <w:lang w:val="nl-NL"/>
          </w:rPr>
          <w:t>www.kinderrechtencommissariaat.be/advies/recht-op-recht</w:t>
        </w:r>
      </w:hyperlink>
      <w:r w:rsidRPr="00E26F4A">
        <w:rPr>
          <w:sz w:val="16"/>
          <w:szCs w:val="16"/>
          <w:lang w:val="nl-NL"/>
        </w:rPr>
        <w:t xml:space="preserve"> (laatste consultatie </w:t>
      </w:r>
      <w:r w:rsidR="006810D8" w:rsidRPr="00E26F4A">
        <w:rPr>
          <w:sz w:val="16"/>
          <w:szCs w:val="16"/>
          <w:lang w:val="nl-NL"/>
        </w:rPr>
        <w:t>13</w:t>
      </w:r>
      <w:r w:rsidRPr="00E26F4A">
        <w:rPr>
          <w:sz w:val="16"/>
          <w:szCs w:val="16"/>
          <w:lang w:val="nl-NL"/>
        </w:rPr>
        <w:t>.</w:t>
      </w:r>
      <w:r w:rsidR="00E069FB" w:rsidRPr="00E26F4A">
        <w:rPr>
          <w:sz w:val="16"/>
          <w:szCs w:val="16"/>
          <w:lang w:val="nl-NL"/>
        </w:rPr>
        <w:t>0</w:t>
      </w:r>
      <w:r w:rsidR="006810D8" w:rsidRPr="00E26F4A">
        <w:rPr>
          <w:sz w:val="16"/>
          <w:szCs w:val="16"/>
          <w:lang w:val="nl-NL"/>
        </w:rPr>
        <w:t>5</w:t>
      </w:r>
      <w:r w:rsidRPr="00E26F4A">
        <w:rPr>
          <w:sz w:val="16"/>
          <w:szCs w:val="16"/>
          <w:lang w:val="nl-NL"/>
        </w:rPr>
        <w:t>.2023).</w:t>
      </w:r>
    </w:p>
  </w:footnote>
  <w:footnote w:id="561">
    <w:p w14:paraId="0A00F975" w14:textId="687A0948" w:rsidR="00FD6AC9" w:rsidRPr="0086280A" w:rsidRDefault="00FD6AC9" w:rsidP="00FD6AC9">
      <w:pPr>
        <w:pStyle w:val="Voetnoottekst"/>
        <w:jc w:val="both"/>
        <w:rPr>
          <w:sz w:val="16"/>
          <w:szCs w:val="16"/>
          <w:lang w:val="nl-NL"/>
        </w:rPr>
      </w:pPr>
      <w:r w:rsidRPr="0086280A">
        <w:rPr>
          <w:rStyle w:val="Voetnootmarkering"/>
          <w:sz w:val="16"/>
          <w:szCs w:val="16"/>
          <w:lang w:val="nl-NL"/>
        </w:rPr>
        <w:footnoteRef/>
      </w:r>
      <w:r w:rsidRPr="004F6728">
        <w:rPr>
          <w:sz w:val="16"/>
          <w:szCs w:val="16"/>
          <w:lang w:val="en-US"/>
        </w:rPr>
        <w:t xml:space="preserve"> Zie </w:t>
      </w:r>
      <w:proofErr w:type="spellStart"/>
      <w:r w:rsidRPr="004F6728">
        <w:rPr>
          <w:sz w:val="16"/>
          <w:szCs w:val="16"/>
          <w:lang w:val="en-US"/>
        </w:rPr>
        <w:t>bv</w:t>
      </w:r>
      <w:proofErr w:type="spellEnd"/>
      <w:r w:rsidRPr="004F6728">
        <w:rPr>
          <w:sz w:val="16"/>
          <w:szCs w:val="16"/>
          <w:lang w:val="en-US"/>
        </w:rPr>
        <w:t xml:space="preserve">. General Comment no. 4 of the UN Committee on the Rights of the Child on adolescent health and development in the context of the Convention on the Rights of the Child, 1 </w:t>
      </w:r>
      <w:proofErr w:type="spellStart"/>
      <w:r w:rsidRPr="004F6728">
        <w:rPr>
          <w:sz w:val="16"/>
          <w:szCs w:val="16"/>
          <w:lang w:val="en-US"/>
        </w:rPr>
        <w:t>Juli</w:t>
      </w:r>
      <w:proofErr w:type="spellEnd"/>
      <w:r w:rsidRPr="004F6728">
        <w:rPr>
          <w:sz w:val="16"/>
          <w:szCs w:val="16"/>
          <w:lang w:val="en-US"/>
        </w:rPr>
        <w:t xml:space="preserve"> 2003, CRC/GC/2003/4. </w:t>
      </w:r>
      <w:r w:rsidRPr="0086280A">
        <w:rPr>
          <w:sz w:val="16"/>
          <w:szCs w:val="16"/>
          <w:lang w:val="nl-NL"/>
        </w:rPr>
        <w:t xml:space="preserve">Hier zegt het VN-Kinderrechtencomité dat zij het spijtig vinden dat geen extra aandacht </w:t>
      </w:r>
      <w:r w:rsidR="00A33930">
        <w:rPr>
          <w:sz w:val="16"/>
          <w:szCs w:val="16"/>
          <w:lang w:val="nl-NL"/>
        </w:rPr>
        <w:t>gaat naar</w:t>
      </w:r>
      <w:r w:rsidRPr="0086280A">
        <w:rPr>
          <w:sz w:val="16"/>
          <w:szCs w:val="16"/>
          <w:lang w:val="nl-NL"/>
        </w:rPr>
        <w:t xml:space="preserve"> de verschillende leeftijdsgroepen. De onderzochte rechtsstelsels hanteren </w:t>
      </w:r>
      <w:r w:rsidR="00A33930">
        <w:rPr>
          <w:sz w:val="16"/>
          <w:szCs w:val="16"/>
          <w:lang w:val="nl-NL"/>
        </w:rPr>
        <w:t xml:space="preserve">bovendien </w:t>
      </w:r>
      <w:r w:rsidRPr="0086280A">
        <w:rPr>
          <w:sz w:val="16"/>
          <w:szCs w:val="16"/>
          <w:lang w:val="nl-NL"/>
        </w:rPr>
        <w:t>een “alles-of-niets”-kader, waardoor dit m</w:t>
      </w:r>
      <w:r w:rsidR="00E26F4A">
        <w:rPr>
          <w:sz w:val="16"/>
          <w:szCs w:val="16"/>
          <w:lang w:val="nl-NL"/>
        </w:rPr>
        <w:t>ijns inziens</w:t>
      </w:r>
      <w:r w:rsidRPr="0086280A">
        <w:rPr>
          <w:sz w:val="16"/>
          <w:szCs w:val="16"/>
          <w:lang w:val="nl-NL"/>
        </w:rPr>
        <w:t xml:space="preserve"> ook moet worden aangepast en aangevuld met inzichten uit de opvoedingspsychologie en dergelijke.</w:t>
      </w:r>
    </w:p>
  </w:footnote>
  <w:footnote w:id="562">
    <w:p w14:paraId="09CF6F0B" w14:textId="38858D7D" w:rsidR="008C6387" w:rsidRPr="0090513D" w:rsidRDefault="008C6387" w:rsidP="008C6387">
      <w:pPr>
        <w:pStyle w:val="Voetnoottekst"/>
        <w:jc w:val="both"/>
        <w:rPr>
          <w:sz w:val="16"/>
          <w:szCs w:val="16"/>
          <w:lang w:val="nl-NL"/>
        </w:rPr>
      </w:pPr>
      <w:r w:rsidRPr="0090513D">
        <w:rPr>
          <w:rStyle w:val="Voetnootmarkering"/>
          <w:sz w:val="16"/>
          <w:szCs w:val="16"/>
          <w:lang w:val="nl-NL"/>
        </w:rPr>
        <w:footnoteRef/>
      </w:r>
      <w:r w:rsidRPr="0090513D">
        <w:rPr>
          <w:sz w:val="16"/>
          <w:szCs w:val="16"/>
          <w:lang w:val="nl-NL"/>
        </w:rPr>
        <w:t xml:space="preserve"> Naar voorbeeld van de wegwijzer op </w:t>
      </w:r>
      <w:hyperlink r:id="rId49" w:history="1">
        <w:r w:rsidRPr="0090513D">
          <w:rPr>
            <w:rStyle w:val="Hyperlink"/>
            <w:sz w:val="16"/>
            <w:szCs w:val="16"/>
            <w:lang w:val="nl-NL"/>
          </w:rPr>
          <w:t>www.scheidingskoffer.be</w:t>
        </w:r>
      </w:hyperlink>
      <w:r w:rsidRPr="0090513D">
        <w:rPr>
          <w:sz w:val="16"/>
          <w:szCs w:val="16"/>
          <w:lang w:val="nl-NL"/>
        </w:rPr>
        <w:t xml:space="preserve"> (laatste consultatie </w:t>
      </w:r>
      <w:r w:rsidR="006810D8" w:rsidRPr="0090513D">
        <w:rPr>
          <w:sz w:val="16"/>
          <w:szCs w:val="16"/>
          <w:lang w:val="nl-NL"/>
        </w:rPr>
        <w:t>13</w:t>
      </w:r>
      <w:r w:rsidRPr="0090513D">
        <w:rPr>
          <w:sz w:val="16"/>
          <w:szCs w:val="16"/>
          <w:lang w:val="nl-NL"/>
        </w:rPr>
        <w:t>.0</w:t>
      </w:r>
      <w:r w:rsidR="006810D8" w:rsidRPr="0090513D">
        <w:rPr>
          <w:sz w:val="16"/>
          <w:szCs w:val="16"/>
          <w:lang w:val="nl-NL"/>
        </w:rPr>
        <w:t>5</w:t>
      </w:r>
      <w:r w:rsidRPr="0090513D">
        <w:rPr>
          <w:sz w:val="16"/>
          <w:szCs w:val="16"/>
          <w:lang w:val="nl-NL"/>
        </w:rPr>
        <w:t>.2023).</w:t>
      </w:r>
    </w:p>
  </w:footnote>
  <w:footnote w:id="563">
    <w:p w14:paraId="07D0109A" w14:textId="77777777" w:rsidR="006D7007" w:rsidRPr="004F6728" w:rsidRDefault="006D7007" w:rsidP="006D7007">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RAAD VAN EUROPA, “Explanatory Report to the European Convention on the Exercise of Children’s Rights”, </w:t>
      </w:r>
      <w:r w:rsidRPr="004F6728">
        <w:rPr>
          <w:i/>
          <w:iCs/>
          <w:sz w:val="16"/>
          <w:szCs w:val="16"/>
          <w:lang w:val="en-US"/>
        </w:rPr>
        <w:t>European Treaty Series</w:t>
      </w:r>
      <w:r w:rsidRPr="004F6728">
        <w:rPr>
          <w:sz w:val="16"/>
          <w:szCs w:val="16"/>
          <w:lang w:val="en-US"/>
        </w:rPr>
        <w:t xml:space="preserve"> 1996, no. 160, §1-3, </w:t>
      </w:r>
      <w:hyperlink r:id="rId50" w:history="1">
        <w:r w:rsidRPr="004F6728">
          <w:rPr>
            <w:rStyle w:val="Hyperlink"/>
            <w:sz w:val="16"/>
            <w:szCs w:val="16"/>
            <w:lang w:val="en-US"/>
          </w:rPr>
          <w:t>www.rm.coe.int/16800cb5ee</w:t>
        </w:r>
      </w:hyperlink>
      <w:r w:rsidRPr="004F6728">
        <w:rPr>
          <w:sz w:val="16"/>
          <w:szCs w:val="16"/>
          <w:lang w:val="en-US"/>
        </w:rPr>
        <w:t xml:space="preserve"> (laatste consultatie 13.05.2023).</w:t>
      </w:r>
    </w:p>
  </w:footnote>
  <w:footnote w:id="564">
    <w:p w14:paraId="541994B9" w14:textId="35401CDF" w:rsidR="006D7007" w:rsidRPr="0086280A" w:rsidRDefault="006D7007" w:rsidP="006D7007">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Aanbeveling 874 betreffende een Europees Charter betreffende de Rechten van het Kind, aangenomen door de Parlementaire Vergadering van de Raad van Europa op 4 oktober 1979 (hier werd voorgesteld om het begrip </w:t>
      </w:r>
      <w:r w:rsidR="00386B0D">
        <w:rPr>
          <w:sz w:val="16"/>
          <w:szCs w:val="16"/>
          <w:lang w:val="nl-NL"/>
        </w:rPr>
        <w:t>“</w:t>
      </w:r>
      <w:r w:rsidRPr="0086280A">
        <w:rPr>
          <w:sz w:val="16"/>
          <w:szCs w:val="16"/>
          <w:lang w:val="nl-NL"/>
        </w:rPr>
        <w:t>ouderlijk gezag</w:t>
      </w:r>
      <w:r w:rsidR="00386B0D">
        <w:rPr>
          <w:sz w:val="16"/>
          <w:szCs w:val="16"/>
          <w:lang w:val="nl-NL"/>
        </w:rPr>
        <w:t>”</w:t>
      </w:r>
      <w:r w:rsidRPr="0086280A">
        <w:rPr>
          <w:sz w:val="16"/>
          <w:szCs w:val="16"/>
          <w:lang w:val="nl-NL"/>
        </w:rPr>
        <w:t xml:space="preserve"> te veranderen door </w:t>
      </w:r>
      <w:r w:rsidR="00386B0D">
        <w:rPr>
          <w:sz w:val="16"/>
          <w:szCs w:val="16"/>
          <w:lang w:val="nl-NL"/>
        </w:rPr>
        <w:t>“</w:t>
      </w:r>
      <w:r w:rsidRPr="0086280A">
        <w:rPr>
          <w:sz w:val="16"/>
          <w:szCs w:val="16"/>
          <w:lang w:val="nl-NL"/>
        </w:rPr>
        <w:t>ouderlijke verantwoordelijkheid</w:t>
      </w:r>
      <w:r w:rsidR="00386B0D">
        <w:rPr>
          <w:sz w:val="16"/>
          <w:szCs w:val="16"/>
          <w:lang w:val="nl-NL"/>
        </w:rPr>
        <w:t>”</w:t>
      </w:r>
      <w:r w:rsidRPr="0086280A">
        <w:rPr>
          <w:sz w:val="16"/>
          <w:szCs w:val="16"/>
          <w:lang w:val="nl-NL"/>
        </w:rPr>
        <w:t xml:space="preserve"> en het invoeren van een duidelijke omschrijving aan de positie van het kind als individueel familielid); Aanbeveling 1071 betreffende de bescherming van het kind-onthaal van het kind en van het kleinkind, aangenomen door de Parlementaire Vergadering van de Raad van Europa op 23 maart 1988; Aanbeveling 1074 betreffende het familiebeleid, aangenomen door de Parlementaire Vergadering van de Raad van Europa op 3 mei 1988.</w:t>
      </w:r>
    </w:p>
  </w:footnote>
  <w:footnote w:id="565">
    <w:p w14:paraId="746B608F" w14:textId="77777777" w:rsidR="006D7007" w:rsidRPr="0086280A" w:rsidRDefault="006D7007" w:rsidP="006D7007">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Aanbeveling 1121 betreffende de Rechten van de Kinderen, aangenomen door de Parlementaire Vergadering van de Raad van Europa op 1 februari 1990; RAAD VAN EUROPA, “Explanatory Report to the European Convention on the Exercise of Children’s Rights”, </w:t>
      </w:r>
      <w:r w:rsidRPr="0086280A">
        <w:rPr>
          <w:i/>
          <w:iCs/>
          <w:sz w:val="16"/>
          <w:szCs w:val="16"/>
          <w:lang w:val="nl-NL"/>
        </w:rPr>
        <w:t>European Treaty Series</w:t>
      </w:r>
      <w:r w:rsidRPr="0086280A">
        <w:rPr>
          <w:sz w:val="16"/>
          <w:szCs w:val="16"/>
          <w:lang w:val="nl-NL"/>
        </w:rPr>
        <w:t xml:space="preserve"> 1996, no. 160, 12 p., </w:t>
      </w:r>
      <w:hyperlink r:id="rId51" w:history="1">
        <w:r w:rsidRPr="0086280A">
          <w:rPr>
            <w:rStyle w:val="Hyperlink"/>
            <w:sz w:val="16"/>
            <w:szCs w:val="16"/>
            <w:lang w:val="nl-NL"/>
          </w:rPr>
          <w:t>www.rm.coe.int/16800cb5ee</w:t>
        </w:r>
      </w:hyperlink>
      <w:r w:rsidRPr="0086280A">
        <w:rPr>
          <w:sz w:val="16"/>
          <w:szCs w:val="16"/>
          <w:lang w:val="nl-NL"/>
        </w:rPr>
        <w:t xml:space="preserve"> (laatste consultatie 13.05.2023).</w:t>
      </w:r>
    </w:p>
  </w:footnote>
  <w:footnote w:id="566">
    <w:p w14:paraId="5664489B" w14:textId="77777777" w:rsidR="006D7007" w:rsidRPr="0086280A" w:rsidRDefault="006D7007" w:rsidP="006D7007">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Verdrag 25 januari 1996 inzake de Uitoefening van de Rechten van het Kind, </w:t>
      </w:r>
      <w:r w:rsidRPr="0086280A">
        <w:rPr>
          <w:i/>
          <w:sz w:val="16"/>
          <w:szCs w:val="16"/>
          <w:lang w:val="nl-NL"/>
        </w:rPr>
        <w:t xml:space="preserve">European Treaty Series </w:t>
      </w:r>
      <w:r w:rsidRPr="0086280A">
        <w:rPr>
          <w:sz w:val="16"/>
          <w:szCs w:val="16"/>
          <w:lang w:val="nl-NL"/>
        </w:rPr>
        <w:t xml:space="preserve">1996, nr. 160, 1-8; Artikel 24, §3, Handvest van de Grondrechten van de Europese Unie 7 december 2000, </w:t>
      </w:r>
      <w:r w:rsidRPr="0086280A">
        <w:rPr>
          <w:i/>
          <w:sz w:val="16"/>
          <w:szCs w:val="16"/>
          <w:lang w:val="nl-NL"/>
        </w:rPr>
        <w:t>Pb.L.</w:t>
      </w:r>
      <w:r w:rsidRPr="0086280A">
        <w:rPr>
          <w:sz w:val="16"/>
          <w:szCs w:val="16"/>
          <w:lang w:val="nl-NL"/>
        </w:rPr>
        <w:t xml:space="preserve"> 18 december 2000, afl. 364.</w:t>
      </w:r>
    </w:p>
  </w:footnote>
  <w:footnote w:id="567">
    <w:p w14:paraId="6042497C" w14:textId="77777777" w:rsidR="006D7007" w:rsidRPr="0086280A" w:rsidRDefault="006D7007" w:rsidP="006D7007">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Aanbeveling 1121 betreffende de Rechten van de Kinderen, aangenomen door de Parlementaire Vergadering van de Raad van Europa op 1 februari 1990, punt 6.</w:t>
      </w:r>
    </w:p>
  </w:footnote>
  <w:footnote w:id="568">
    <w:p w14:paraId="6A09F874" w14:textId="77777777" w:rsidR="006D7007" w:rsidRPr="004F6728" w:rsidRDefault="006D7007" w:rsidP="006D7007">
      <w:pPr>
        <w:pStyle w:val="Voetnoottekst"/>
        <w:jc w:val="both"/>
        <w:rPr>
          <w:sz w:val="16"/>
          <w:szCs w:val="16"/>
          <w:lang w:val="en-US"/>
        </w:rPr>
      </w:pPr>
      <w:r w:rsidRPr="0086280A">
        <w:rPr>
          <w:rStyle w:val="Voetnootmarkering"/>
          <w:sz w:val="16"/>
          <w:szCs w:val="16"/>
          <w:lang w:val="nl-NL"/>
        </w:rPr>
        <w:footnoteRef/>
      </w:r>
      <w:r w:rsidRPr="0086280A">
        <w:rPr>
          <w:sz w:val="16"/>
          <w:szCs w:val="16"/>
          <w:lang w:val="nl-NL"/>
        </w:rPr>
        <w:t xml:space="preserve"> J.M. SCHERPE, </w:t>
      </w:r>
      <w:r w:rsidRPr="0086280A">
        <w:rPr>
          <w:i/>
          <w:sz w:val="16"/>
          <w:szCs w:val="16"/>
          <w:lang w:val="nl-NL"/>
        </w:rPr>
        <w:t xml:space="preserve">European Family Law Volume I: the impact of institutions and organisations on European family law, </w:t>
      </w:r>
      <w:r w:rsidRPr="0086280A">
        <w:rPr>
          <w:sz w:val="16"/>
          <w:szCs w:val="16"/>
          <w:lang w:val="nl-NL"/>
        </w:rPr>
        <w:t>Cheltenham, Edward Elgar Publishing,</w:t>
      </w:r>
      <w:r w:rsidRPr="0086280A">
        <w:rPr>
          <w:i/>
          <w:sz w:val="16"/>
          <w:szCs w:val="16"/>
          <w:lang w:val="nl-NL"/>
        </w:rPr>
        <w:t xml:space="preserve"> </w:t>
      </w:r>
      <w:r w:rsidRPr="0086280A">
        <w:rPr>
          <w:sz w:val="16"/>
          <w:szCs w:val="16"/>
          <w:lang w:val="nl-NL"/>
        </w:rPr>
        <w:t xml:space="preserve">2016, 104-105; E. VERHELLEN, “Het Verdrag inzake de rechten van het kind meerderjarig. </w:t>
      </w:r>
      <w:proofErr w:type="spellStart"/>
      <w:r w:rsidRPr="004F6728">
        <w:rPr>
          <w:sz w:val="16"/>
          <w:szCs w:val="16"/>
          <w:lang w:val="en-US"/>
        </w:rPr>
        <w:t>Enkele</w:t>
      </w:r>
      <w:proofErr w:type="spellEnd"/>
      <w:r w:rsidRPr="004F6728">
        <w:rPr>
          <w:sz w:val="16"/>
          <w:szCs w:val="16"/>
          <w:lang w:val="en-US"/>
        </w:rPr>
        <w:t xml:space="preserve"> </w:t>
      </w:r>
      <w:proofErr w:type="spellStart"/>
      <w:r w:rsidRPr="004F6728">
        <w:rPr>
          <w:sz w:val="16"/>
          <w:szCs w:val="16"/>
          <w:lang w:val="en-US"/>
        </w:rPr>
        <w:t>beschouwingen</w:t>
      </w:r>
      <w:proofErr w:type="spellEnd"/>
      <w:r w:rsidRPr="004F6728">
        <w:rPr>
          <w:sz w:val="16"/>
          <w:szCs w:val="16"/>
          <w:lang w:val="en-US"/>
        </w:rPr>
        <w:t xml:space="preserve"> over de </w:t>
      </w:r>
      <w:proofErr w:type="spellStart"/>
      <w:r w:rsidRPr="004F6728">
        <w:rPr>
          <w:sz w:val="16"/>
          <w:szCs w:val="16"/>
          <w:lang w:val="en-US"/>
        </w:rPr>
        <w:t>implementatie</w:t>
      </w:r>
      <w:proofErr w:type="spellEnd"/>
      <w:r w:rsidRPr="004F6728">
        <w:rPr>
          <w:sz w:val="16"/>
          <w:szCs w:val="16"/>
          <w:lang w:val="en-US"/>
        </w:rPr>
        <w:t xml:space="preserve"> in </w:t>
      </w:r>
      <w:proofErr w:type="spellStart"/>
      <w:r w:rsidRPr="004F6728">
        <w:rPr>
          <w:sz w:val="16"/>
          <w:szCs w:val="16"/>
          <w:lang w:val="en-US"/>
        </w:rPr>
        <w:t>België</w:t>
      </w:r>
      <w:proofErr w:type="spellEnd"/>
      <w:r w:rsidRPr="004F6728">
        <w:rPr>
          <w:sz w:val="16"/>
          <w:szCs w:val="16"/>
          <w:lang w:val="en-US"/>
        </w:rPr>
        <w:t xml:space="preserve">”, </w:t>
      </w:r>
      <w:r w:rsidRPr="004F6728">
        <w:rPr>
          <w:i/>
          <w:sz w:val="16"/>
          <w:szCs w:val="16"/>
          <w:lang w:val="en-US"/>
        </w:rPr>
        <w:t>TJK</w:t>
      </w:r>
      <w:r w:rsidRPr="004F6728">
        <w:rPr>
          <w:sz w:val="16"/>
          <w:szCs w:val="16"/>
          <w:lang w:val="en-US"/>
        </w:rPr>
        <w:t xml:space="preserve"> 2008, </w:t>
      </w:r>
      <w:proofErr w:type="spellStart"/>
      <w:r w:rsidRPr="004F6728">
        <w:rPr>
          <w:sz w:val="16"/>
          <w:szCs w:val="16"/>
          <w:lang w:val="en-US"/>
        </w:rPr>
        <w:t>afl</w:t>
      </w:r>
      <w:proofErr w:type="spellEnd"/>
      <w:r w:rsidRPr="004F6728">
        <w:rPr>
          <w:sz w:val="16"/>
          <w:szCs w:val="16"/>
          <w:lang w:val="en-US"/>
        </w:rPr>
        <w:t>. 1, 33.</w:t>
      </w:r>
    </w:p>
  </w:footnote>
  <w:footnote w:id="569">
    <w:p w14:paraId="1B8D7540" w14:textId="77777777" w:rsidR="006D7007" w:rsidRPr="004F6728" w:rsidRDefault="006D7007" w:rsidP="006D7007">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RAAD VAN EUROPA, “Explanatory Report to the European Convention on the Exercise of Children’s Rights”, </w:t>
      </w:r>
      <w:r w:rsidRPr="004F6728">
        <w:rPr>
          <w:i/>
          <w:iCs/>
          <w:sz w:val="16"/>
          <w:szCs w:val="16"/>
          <w:lang w:val="en-US"/>
        </w:rPr>
        <w:t>European Treaty Series</w:t>
      </w:r>
      <w:r w:rsidRPr="004F6728">
        <w:rPr>
          <w:sz w:val="16"/>
          <w:szCs w:val="16"/>
          <w:lang w:val="en-US"/>
        </w:rPr>
        <w:t xml:space="preserve"> 1996, no. 160, §4, </w:t>
      </w:r>
      <w:hyperlink r:id="rId52" w:history="1">
        <w:r w:rsidRPr="004F6728">
          <w:rPr>
            <w:rStyle w:val="Hyperlink"/>
            <w:sz w:val="16"/>
            <w:szCs w:val="16"/>
            <w:lang w:val="en-US"/>
          </w:rPr>
          <w:t>www.rm.coe.int/16800cb5ee</w:t>
        </w:r>
      </w:hyperlink>
      <w:r w:rsidRPr="004F6728">
        <w:rPr>
          <w:sz w:val="16"/>
          <w:szCs w:val="16"/>
          <w:lang w:val="en-US"/>
        </w:rPr>
        <w:t xml:space="preserve"> (laatste consultatie 13.05.2023).</w:t>
      </w:r>
    </w:p>
  </w:footnote>
  <w:footnote w:id="570">
    <w:p w14:paraId="1CD7DC70" w14:textId="77777777" w:rsidR="006D7007" w:rsidRPr="0086280A" w:rsidRDefault="006D7007" w:rsidP="006D7007">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J</w:t>
      </w:r>
      <w:r w:rsidRPr="0086280A">
        <w:rPr>
          <w:rFonts w:eastAsia="Verdana" w:cs="Verdana"/>
          <w:sz w:val="16"/>
          <w:szCs w:val="16"/>
          <w:lang w:val="nl-NL"/>
        </w:rPr>
        <w:t xml:space="preserve">. </w:t>
      </w:r>
      <w:r w:rsidRPr="0086280A">
        <w:rPr>
          <w:rFonts w:cs="Verdana"/>
          <w:sz w:val="16"/>
          <w:szCs w:val="16"/>
          <w:lang w:val="nl-NL"/>
        </w:rPr>
        <w:t xml:space="preserve">PUT, </w:t>
      </w:r>
      <w:r w:rsidRPr="0086280A">
        <w:rPr>
          <w:rFonts w:cs="Verdana"/>
          <w:i/>
          <w:sz w:val="16"/>
          <w:szCs w:val="16"/>
          <w:lang w:val="nl-NL"/>
        </w:rPr>
        <w:t>Handboek Jeugdbeschermingsrecht</w:t>
      </w:r>
      <w:r w:rsidRPr="0086280A">
        <w:rPr>
          <w:rFonts w:cs="Verdana"/>
          <w:sz w:val="16"/>
          <w:szCs w:val="16"/>
          <w:lang w:val="nl-NL"/>
        </w:rPr>
        <w:t xml:space="preserve">, Brugge, die Keure, 2021, </w:t>
      </w:r>
      <w:r w:rsidRPr="0086280A">
        <w:rPr>
          <w:rFonts w:eastAsia="Verdana" w:cs="Verdana"/>
          <w:sz w:val="16"/>
          <w:szCs w:val="16"/>
          <w:lang w:val="nl-NL"/>
        </w:rPr>
        <w:t>100.</w:t>
      </w:r>
    </w:p>
  </w:footnote>
  <w:footnote w:id="571">
    <w:p w14:paraId="20307368" w14:textId="77777777" w:rsidR="006D7007" w:rsidRPr="0086280A" w:rsidRDefault="006D7007" w:rsidP="006D7007">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voor de huidige stand van zaken: </w:t>
      </w:r>
      <w:hyperlink r:id="rId53" w:history="1">
        <w:r w:rsidRPr="0086280A">
          <w:rPr>
            <w:rStyle w:val="Hyperlink"/>
            <w:sz w:val="16"/>
            <w:szCs w:val="16"/>
            <w:lang w:val="nl-NL"/>
          </w:rPr>
          <w:t>www.coe.int/en/web/conventions/full-list?module=signatures-by-treaty&amp;treatynum=160</w:t>
        </w:r>
      </w:hyperlink>
      <w:r w:rsidRPr="0086280A">
        <w:rPr>
          <w:sz w:val="16"/>
          <w:szCs w:val="16"/>
          <w:lang w:val="nl-NL"/>
        </w:rPr>
        <w:t xml:space="preserve"> (laatste consultatie 13.05.2023).</w:t>
      </w:r>
    </w:p>
  </w:footnote>
  <w:footnote w:id="572">
    <w:p w14:paraId="7DC81187" w14:textId="77777777" w:rsidR="006D7007" w:rsidRPr="0086280A" w:rsidRDefault="006D7007" w:rsidP="006D7007">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K. HERBOTS, “Het nieuw Europees Verdrag inzake de uitoefening van de rechten van het kind en de situatie in België”, </w:t>
      </w:r>
      <w:r w:rsidRPr="0086280A">
        <w:rPr>
          <w:i/>
          <w:sz w:val="16"/>
          <w:szCs w:val="16"/>
          <w:lang w:val="nl-NL"/>
        </w:rPr>
        <w:t>TPR</w:t>
      </w:r>
      <w:r w:rsidRPr="0086280A">
        <w:rPr>
          <w:sz w:val="16"/>
          <w:szCs w:val="16"/>
          <w:lang w:val="nl-NL"/>
        </w:rPr>
        <w:t xml:space="preserve"> 1997, 1788.</w:t>
      </w:r>
    </w:p>
  </w:footnote>
  <w:footnote w:id="573">
    <w:p w14:paraId="7F556372" w14:textId="77777777" w:rsidR="006D7007" w:rsidRPr="0086280A" w:rsidRDefault="006D7007" w:rsidP="006D7007">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artikel 1.4 EVURK; voor Duitsland: </w:t>
      </w:r>
      <w:hyperlink r:id="rId54" w:history="1">
        <w:r w:rsidRPr="0086280A">
          <w:rPr>
            <w:rStyle w:val="Hyperlink"/>
            <w:sz w:val="16"/>
            <w:szCs w:val="16"/>
            <w:lang w:val="nl-NL"/>
          </w:rPr>
          <w:t>www.coe.int/en/web/conventions/full-list?module=declarations-by-treaty&amp;numSte=160&amp;codeNature=10&amp;codePays=GER</w:t>
        </w:r>
      </w:hyperlink>
      <w:r w:rsidRPr="0086280A">
        <w:rPr>
          <w:sz w:val="16"/>
          <w:szCs w:val="16"/>
          <w:lang w:val="nl-NL"/>
        </w:rPr>
        <w:t xml:space="preserve"> (laatste consultatie 13.05.2023).</w:t>
      </w:r>
    </w:p>
  </w:footnote>
  <w:footnote w:id="574">
    <w:p w14:paraId="09D512EA" w14:textId="77777777" w:rsidR="006D7007" w:rsidRPr="004F6728" w:rsidRDefault="006D7007" w:rsidP="006D7007">
      <w:pPr>
        <w:pStyle w:val="Voetnoottekst"/>
        <w:jc w:val="both"/>
        <w:rPr>
          <w:sz w:val="16"/>
          <w:szCs w:val="16"/>
          <w:highlight w:val="yellow"/>
          <w:lang w:val="en-US"/>
        </w:rPr>
      </w:pPr>
      <w:r w:rsidRPr="0086280A">
        <w:rPr>
          <w:rStyle w:val="Voetnootmarkering"/>
          <w:sz w:val="16"/>
          <w:szCs w:val="16"/>
          <w:lang w:val="nl-NL"/>
        </w:rPr>
        <w:footnoteRef/>
      </w:r>
      <w:r w:rsidRPr="004F6728">
        <w:rPr>
          <w:sz w:val="16"/>
          <w:szCs w:val="16"/>
          <w:lang w:val="en-US"/>
        </w:rPr>
        <w:t xml:space="preserve"> Preambule </w:t>
      </w:r>
      <w:proofErr w:type="spellStart"/>
      <w:r w:rsidRPr="004F6728">
        <w:rPr>
          <w:sz w:val="16"/>
          <w:szCs w:val="16"/>
          <w:lang w:val="en-US"/>
        </w:rPr>
        <w:t>Verdrag</w:t>
      </w:r>
      <w:proofErr w:type="spellEnd"/>
      <w:r w:rsidRPr="004F6728">
        <w:rPr>
          <w:sz w:val="16"/>
          <w:szCs w:val="16"/>
          <w:lang w:val="en-US"/>
        </w:rPr>
        <w:t xml:space="preserve"> 25 </w:t>
      </w:r>
      <w:proofErr w:type="spellStart"/>
      <w:r w:rsidRPr="004F6728">
        <w:rPr>
          <w:sz w:val="16"/>
          <w:szCs w:val="16"/>
          <w:lang w:val="en-US"/>
        </w:rPr>
        <w:t>januari</w:t>
      </w:r>
      <w:proofErr w:type="spellEnd"/>
      <w:r w:rsidRPr="004F6728">
        <w:rPr>
          <w:sz w:val="16"/>
          <w:szCs w:val="16"/>
          <w:lang w:val="en-US"/>
        </w:rPr>
        <w:t xml:space="preserve"> 1996 </w:t>
      </w:r>
      <w:proofErr w:type="spellStart"/>
      <w:r w:rsidRPr="004F6728">
        <w:rPr>
          <w:sz w:val="16"/>
          <w:szCs w:val="16"/>
          <w:lang w:val="en-US"/>
        </w:rPr>
        <w:t>inzake</w:t>
      </w:r>
      <w:proofErr w:type="spellEnd"/>
      <w:r w:rsidRPr="004F6728">
        <w:rPr>
          <w:sz w:val="16"/>
          <w:szCs w:val="16"/>
          <w:lang w:val="en-US"/>
        </w:rPr>
        <w:t xml:space="preserve"> de </w:t>
      </w:r>
      <w:proofErr w:type="spellStart"/>
      <w:r w:rsidRPr="004F6728">
        <w:rPr>
          <w:sz w:val="16"/>
          <w:szCs w:val="16"/>
          <w:lang w:val="en-US"/>
        </w:rPr>
        <w:t>Uitoefening</w:t>
      </w:r>
      <w:proofErr w:type="spellEnd"/>
      <w:r w:rsidRPr="004F6728">
        <w:rPr>
          <w:sz w:val="16"/>
          <w:szCs w:val="16"/>
          <w:lang w:val="en-US"/>
        </w:rPr>
        <w:t xml:space="preserve"> van de </w:t>
      </w:r>
      <w:proofErr w:type="spellStart"/>
      <w:r w:rsidRPr="004F6728">
        <w:rPr>
          <w:sz w:val="16"/>
          <w:szCs w:val="16"/>
          <w:lang w:val="en-US"/>
        </w:rPr>
        <w:t>Rechten</w:t>
      </w:r>
      <w:proofErr w:type="spellEnd"/>
      <w:r w:rsidRPr="004F6728">
        <w:rPr>
          <w:sz w:val="16"/>
          <w:szCs w:val="16"/>
          <w:lang w:val="en-US"/>
        </w:rPr>
        <w:t xml:space="preserve"> van het Kind, </w:t>
      </w:r>
      <w:r w:rsidRPr="004F6728">
        <w:rPr>
          <w:i/>
          <w:sz w:val="16"/>
          <w:szCs w:val="16"/>
          <w:lang w:val="en-US"/>
        </w:rPr>
        <w:t>European Treaty Series</w:t>
      </w:r>
      <w:r w:rsidRPr="004F6728">
        <w:rPr>
          <w:sz w:val="16"/>
          <w:szCs w:val="16"/>
          <w:lang w:val="en-US"/>
        </w:rPr>
        <w:t xml:space="preserve">, nr. 160: “Having regard to the United Nations Convention on the rights of the child and in particular Article 4 which requires States Parties to undertake all appropriate legislative, administrative and other measures for the implementation of the rights recognized in the said Convention”; P. ALSTON en J. TOBIN, </w:t>
      </w:r>
      <w:r w:rsidRPr="004F6728">
        <w:rPr>
          <w:i/>
          <w:iCs/>
          <w:sz w:val="16"/>
          <w:szCs w:val="16"/>
          <w:lang w:val="en-US"/>
        </w:rPr>
        <w:t>Laying the Foundations for Children’s Rights: An Independent Study of Some Key Legal and Institutional Aspects of the Impact of the Convention on the Rights of the Child</w:t>
      </w:r>
      <w:r w:rsidRPr="004F6728">
        <w:rPr>
          <w:sz w:val="16"/>
          <w:szCs w:val="16"/>
          <w:lang w:val="en-US"/>
        </w:rPr>
        <w:t xml:space="preserve">, UNICEF </w:t>
      </w:r>
      <w:proofErr w:type="spellStart"/>
      <w:r w:rsidRPr="004F6728">
        <w:rPr>
          <w:sz w:val="16"/>
          <w:szCs w:val="16"/>
          <w:lang w:val="en-US"/>
        </w:rPr>
        <w:t>Innocenti</w:t>
      </w:r>
      <w:proofErr w:type="spellEnd"/>
      <w:r w:rsidRPr="004F6728">
        <w:rPr>
          <w:sz w:val="16"/>
          <w:szCs w:val="16"/>
          <w:lang w:val="en-US"/>
        </w:rPr>
        <w:t xml:space="preserve"> Research Centre 3, 2005, 17.</w:t>
      </w:r>
    </w:p>
  </w:footnote>
  <w:footnote w:id="575">
    <w:p w14:paraId="4E435048" w14:textId="03B180D9" w:rsidR="006D7007" w:rsidRPr="0086280A" w:rsidRDefault="006D7007" w:rsidP="006D7007">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t>
      </w:r>
      <w:r w:rsidR="00386B0D" w:rsidRPr="0086280A">
        <w:rPr>
          <w:sz w:val="16"/>
          <w:szCs w:val="16"/>
          <w:lang w:val="nl-NL"/>
        </w:rPr>
        <w:t xml:space="preserve">RAAD VAN EUROPA, “Explanatory Report to the European Convention on the Exercise of Children’s Rights”, </w:t>
      </w:r>
      <w:r w:rsidR="00386B0D" w:rsidRPr="0086280A">
        <w:rPr>
          <w:i/>
          <w:iCs/>
          <w:sz w:val="16"/>
          <w:szCs w:val="16"/>
          <w:lang w:val="nl-NL"/>
        </w:rPr>
        <w:t>European Treaty Series</w:t>
      </w:r>
      <w:r w:rsidR="00386B0D" w:rsidRPr="0086280A">
        <w:rPr>
          <w:sz w:val="16"/>
          <w:szCs w:val="16"/>
          <w:lang w:val="nl-NL"/>
        </w:rPr>
        <w:t xml:space="preserve"> 1996, no. 160, §7-8, </w:t>
      </w:r>
      <w:hyperlink r:id="rId55" w:history="1">
        <w:r w:rsidR="00386B0D" w:rsidRPr="0086280A">
          <w:rPr>
            <w:rStyle w:val="Hyperlink"/>
            <w:sz w:val="16"/>
            <w:szCs w:val="16"/>
            <w:lang w:val="nl-NL"/>
          </w:rPr>
          <w:t>www.rm.coe.int/16800cb5ee</w:t>
        </w:r>
      </w:hyperlink>
      <w:r w:rsidR="00386B0D" w:rsidRPr="0086280A">
        <w:rPr>
          <w:sz w:val="16"/>
          <w:szCs w:val="16"/>
          <w:lang w:val="nl-NL"/>
        </w:rPr>
        <w:t xml:space="preserve"> (laatste consultatie 13.05.2023)</w:t>
      </w:r>
      <w:r w:rsidR="00386B0D">
        <w:rPr>
          <w:sz w:val="16"/>
          <w:szCs w:val="16"/>
          <w:lang w:val="nl-NL"/>
        </w:rPr>
        <w:t xml:space="preserve">; </w:t>
      </w:r>
      <w:r w:rsidRPr="0086280A">
        <w:rPr>
          <w:sz w:val="16"/>
          <w:szCs w:val="16"/>
          <w:lang w:val="nl-NL"/>
        </w:rPr>
        <w:t xml:space="preserve">C. MOL, “Het mensenrechtelijke kader inzake de procespositie van de minderjarige: normen voortvloeiend uit het IVRK, het EVRM en andere Europese bronnen”, </w:t>
      </w:r>
      <w:r w:rsidRPr="0086280A">
        <w:rPr>
          <w:i/>
          <w:sz w:val="16"/>
          <w:szCs w:val="16"/>
          <w:lang w:val="nl-NL"/>
        </w:rPr>
        <w:t>T.Fam.</w:t>
      </w:r>
      <w:r w:rsidRPr="0086280A">
        <w:rPr>
          <w:sz w:val="16"/>
          <w:szCs w:val="16"/>
          <w:lang w:val="nl-NL"/>
        </w:rPr>
        <w:t xml:space="preserve"> 2022, nr. 5-6, </w:t>
      </w:r>
      <w:r w:rsidR="00DD7724">
        <w:rPr>
          <w:sz w:val="16"/>
          <w:szCs w:val="16"/>
          <w:lang w:val="nl-NL"/>
        </w:rPr>
        <w:t xml:space="preserve">(124) </w:t>
      </w:r>
      <w:r w:rsidRPr="0086280A">
        <w:rPr>
          <w:sz w:val="16"/>
          <w:szCs w:val="16"/>
          <w:lang w:val="nl-NL"/>
        </w:rPr>
        <w:t>125.</w:t>
      </w:r>
    </w:p>
  </w:footnote>
  <w:footnote w:id="576">
    <w:p w14:paraId="076BB99E" w14:textId="77777777" w:rsidR="006D7007" w:rsidRPr="0086280A" w:rsidRDefault="006D7007" w:rsidP="006D7007">
      <w:pPr>
        <w:jc w:val="both"/>
        <w:rPr>
          <w:rFonts w:eastAsia="Verdana" w:cs="Verdana"/>
          <w:sz w:val="16"/>
          <w:szCs w:val="16"/>
          <w:lang w:val="nl-NL"/>
        </w:rPr>
      </w:pPr>
      <w:r w:rsidRPr="0086280A">
        <w:rPr>
          <w:rStyle w:val="Voetnootmarkering"/>
          <w:sz w:val="16"/>
          <w:szCs w:val="16"/>
          <w:lang w:val="nl-NL"/>
        </w:rPr>
        <w:footnoteRef/>
      </w:r>
      <w:r w:rsidRPr="0086280A">
        <w:rPr>
          <w:sz w:val="16"/>
          <w:szCs w:val="16"/>
          <w:lang w:val="nl-NL"/>
        </w:rPr>
        <w:t xml:space="preserve"> </w:t>
      </w:r>
      <w:r w:rsidRPr="0086280A">
        <w:rPr>
          <w:rFonts w:eastAsiaTheme="minorHAnsi" w:cstheme="minorBidi"/>
          <w:sz w:val="16"/>
          <w:szCs w:val="16"/>
          <w:lang w:val="nl-NL" w:eastAsia="en-US"/>
        </w:rPr>
        <w:t xml:space="preserve">RAAD VAN EUROPA, </w:t>
      </w:r>
      <w:r w:rsidRPr="0086280A">
        <w:rPr>
          <w:sz w:val="16"/>
          <w:szCs w:val="16"/>
          <w:lang w:val="nl-NL"/>
        </w:rPr>
        <w:t>“</w:t>
      </w:r>
      <w:r w:rsidRPr="0086280A">
        <w:rPr>
          <w:rFonts w:eastAsiaTheme="minorHAnsi" w:cstheme="minorBidi"/>
          <w:sz w:val="16"/>
          <w:szCs w:val="16"/>
          <w:lang w:val="nl-NL" w:eastAsia="en-US"/>
        </w:rPr>
        <w:t>Explanatory Report to the European Convention on the Exercise of Children</w:t>
      </w:r>
      <w:r w:rsidRPr="0086280A">
        <w:rPr>
          <w:sz w:val="16"/>
          <w:szCs w:val="16"/>
          <w:lang w:val="nl-NL"/>
        </w:rPr>
        <w:t>’</w:t>
      </w:r>
      <w:r w:rsidRPr="0086280A">
        <w:rPr>
          <w:rFonts w:eastAsiaTheme="minorHAnsi" w:cstheme="minorBidi"/>
          <w:sz w:val="16"/>
          <w:szCs w:val="16"/>
          <w:lang w:val="nl-NL" w:eastAsia="en-US"/>
        </w:rPr>
        <w:t>s Rights</w:t>
      </w:r>
      <w:r w:rsidRPr="0086280A">
        <w:rPr>
          <w:sz w:val="16"/>
          <w:szCs w:val="16"/>
          <w:lang w:val="nl-NL"/>
        </w:rPr>
        <w:t>”</w:t>
      </w:r>
      <w:r w:rsidRPr="0086280A">
        <w:rPr>
          <w:rFonts w:eastAsiaTheme="minorHAnsi" w:cstheme="minorBidi"/>
          <w:sz w:val="16"/>
          <w:szCs w:val="16"/>
          <w:lang w:val="nl-NL" w:eastAsia="en-US"/>
        </w:rPr>
        <w:t xml:space="preserve">, </w:t>
      </w:r>
      <w:r w:rsidRPr="0086280A">
        <w:rPr>
          <w:rFonts w:eastAsiaTheme="minorHAnsi" w:cstheme="minorBidi"/>
          <w:i/>
          <w:iCs/>
          <w:sz w:val="16"/>
          <w:szCs w:val="16"/>
          <w:lang w:val="nl-NL" w:eastAsia="en-US"/>
        </w:rPr>
        <w:t>European Treaty Series</w:t>
      </w:r>
      <w:r w:rsidRPr="0086280A">
        <w:rPr>
          <w:rFonts w:eastAsiaTheme="minorHAnsi" w:cstheme="minorBidi"/>
          <w:sz w:val="16"/>
          <w:szCs w:val="16"/>
          <w:lang w:val="nl-NL" w:eastAsia="en-US"/>
        </w:rPr>
        <w:t xml:space="preserve"> 1996, no. 160, §7</w:t>
      </w:r>
      <w:r w:rsidRPr="0086280A">
        <w:rPr>
          <w:rFonts w:eastAsia="Verdana" w:cs="Verdana"/>
          <w:sz w:val="16"/>
          <w:szCs w:val="16"/>
          <w:lang w:val="nl-NL"/>
        </w:rPr>
        <w:t xml:space="preserve">; </w:t>
      </w:r>
      <w:r w:rsidRPr="0086280A">
        <w:rPr>
          <w:sz w:val="16"/>
          <w:szCs w:val="16"/>
          <w:lang w:val="nl-NL"/>
        </w:rPr>
        <w:t xml:space="preserve">K. </w:t>
      </w:r>
      <w:r w:rsidRPr="0086280A">
        <w:rPr>
          <w:rFonts w:eastAsia="Verdana" w:cs="Verdana"/>
          <w:sz w:val="16"/>
          <w:szCs w:val="16"/>
          <w:lang w:val="nl-NL"/>
        </w:rPr>
        <w:t xml:space="preserve">HERBOTS, “Het nieuw Europees Verdrag inzake de uitoefening van de rechten van het kind en de situatie in België”, </w:t>
      </w:r>
      <w:r w:rsidRPr="0086280A">
        <w:rPr>
          <w:rFonts w:eastAsia="Verdana" w:cs="Verdana"/>
          <w:i/>
          <w:sz w:val="16"/>
          <w:szCs w:val="16"/>
          <w:lang w:val="nl-NL"/>
        </w:rPr>
        <w:t>TPR</w:t>
      </w:r>
      <w:r w:rsidRPr="0086280A">
        <w:rPr>
          <w:rFonts w:eastAsia="Verdana" w:cs="Verdana"/>
          <w:sz w:val="16"/>
          <w:szCs w:val="16"/>
          <w:lang w:val="nl-NL"/>
        </w:rPr>
        <w:t xml:space="preserve"> 1997, 1767.</w:t>
      </w:r>
    </w:p>
  </w:footnote>
  <w:footnote w:id="577">
    <w:p w14:paraId="4ABCA59C" w14:textId="77777777" w:rsidR="006D7007" w:rsidRPr="004F6728" w:rsidRDefault="006D7007" w:rsidP="006D7007">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Preambule </w:t>
      </w:r>
      <w:proofErr w:type="spellStart"/>
      <w:r w:rsidRPr="004F6728">
        <w:rPr>
          <w:sz w:val="16"/>
          <w:szCs w:val="16"/>
          <w:lang w:val="en-US"/>
        </w:rPr>
        <w:t>Verdrag</w:t>
      </w:r>
      <w:proofErr w:type="spellEnd"/>
      <w:r w:rsidRPr="004F6728">
        <w:rPr>
          <w:sz w:val="16"/>
          <w:szCs w:val="16"/>
          <w:lang w:val="en-US"/>
        </w:rPr>
        <w:t xml:space="preserve"> 25 </w:t>
      </w:r>
      <w:proofErr w:type="spellStart"/>
      <w:r w:rsidRPr="004F6728">
        <w:rPr>
          <w:sz w:val="16"/>
          <w:szCs w:val="16"/>
          <w:lang w:val="en-US"/>
        </w:rPr>
        <w:t>januari</w:t>
      </w:r>
      <w:proofErr w:type="spellEnd"/>
      <w:r w:rsidRPr="004F6728">
        <w:rPr>
          <w:sz w:val="16"/>
          <w:szCs w:val="16"/>
          <w:lang w:val="en-US"/>
        </w:rPr>
        <w:t xml:space="preserve"> 1996 </w:t>
      </w:r>
      <w:proofErr w:type="spellStart"/>
      <w:r w:rsidRPr="004F6728">
        <w:rPr>
          <w:sz w:val="16"/>
          <w:szCs w:val="16"/>
          <w:lang w:val="en-US"/>
        </w:rPr>
        <w:t>inzake</w:t>
      </w:r>
      <w:proofErr w:type="spellEnd"/>
      <w:r w:rsidRPr="004F6728">
        <w:rPr>
          <w:sz w:val="16"/>
          <w:szCs w:val="16"/>
          <w:lang w:val="en-US"/>
        </w:rPr>
        <w:t xml:space="preserve"> de </w:t>
      </w:r>
      <w:proofErr w:type="spellStart"/>
      <w:r w:rsidRPr="004F6728">
        <w:rPr>
          <w:sz w:val="16"/>
          <w:szCs w:val="16"/>
          <w:lang w:val="en-US"/>
        </w:rPr>
        <w:t>Uitoefening</w:t>
      </w:r>
      <w:proofErr w:type="spellEnd"/>
      <w:r w:rsidRPr="004F6728">
        <w:rPr>
          <w:sz w:val="16"/>
          <w:szCs w:val="16"/>
          <w:lang w:val="en-US"/>
        </w:rPr>
        <w:t xml:space="preserve"> van de </w:t>
      </w:r>
      <w:proofErr w:type="spellStart"/>
      <w:r w:rsidRPr="004F6728">
        <w:rPr>
          <w:sz w:val="16"/>
          <w:szCs w:val="16"/>
          <w:lang w:val="en-US"/>
        </w:rPr>
        <w:t>Rechten</w:t>
      </w:r>
      <w:proofErr w:type="spellEnd"/>
      <w:r w:rsidRPr="004F6728">
        <w:rPr>
          <w:sz w:val="16"/>
          <w:szCs w:val="16"/>
          <w:lang w:val="en-US"/>
        </w:rPr>
        <w:t xml:space="preserve"> van het Kind, </w:t>
      </w:r>
      <w:r w:rsidRPr="004F6728">
        <w:rPr>
          <w:i/>
          <w:sz w:val="16"/>
          <w:szCs w:val="16"/>
          <w:lang w:val="en-US"/>
        </w:rPr>
        <w:t>European Treaty Series</w:t>
      </w:r>
      <w:r w:rsidRPr="004F6728">
        <w:rPr>
          <w:sz w:val="16"/>
          <w:szCs w:val="16"/>
          <w:lang w:val="en-US"/>
        </w:rPr>
        <w:t>, nr. 160: “</w:t>
      </w:r>
      <w:proofErr w:type="spellStart"/>
      <w:r w:rsidRPr="004F6728">
        <w:rPr>
          <w:sz w:val="16"/>
          <w:szCs w:val="16"/>
          <w:lang w:val="en-US"/>
        </w:rPr>
        <w:t>Recognising</w:t>
      </w:r>
      <w:proofErr w:type="spellEnd"/>
      <w:r w:rsidRPr="004F6728">
        <w:rPr>
          <w:sz w:val="16"/>
          <w:szCs w:val="16"/>
          <w:lang w:val="en-US"/>
        </w:rPr>
        <w:t xml:space="preserve"> the importance of the parental role in protecting and promoting the rights and best interests of children and considering that, where necessary, States should also engage in such protection and promotion”. </w:t>
      </w:r>
    </w:p>
  </w:footnote>
  <w:footnote w:id="578">
    <w:p w14:paraId="422A28E3" w14:textId="77777777" w:rsidR="006D7007" w:rsidRPr="0086280A" w:rsidRDefault="006D7007" w:rsidP="006D7007">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K. HERBOTS, “Het nieuw Europees Verdrag inzake de uitoefening van de rechten van het kind en de situatie in België”, </w:t>
      </w:r>
      <w:r w:rsidRPr="0086280A">
        <w:rPr>
          <w:i/>
          <w:sz w:val="16"/>
          <w:szCs w:val="16"/>
          <w:lang w:val="nl-NL"/>
        </w:rPr>
        <w:t>TPR</w:t>
      </w:r>
      <w:r w:rsidRPr="0086280A">
        <w:rPr>
          <w:sz w:val="16"/>
          <w:szCs w:val="16"/>
          <w:lang w:val="nl-NL"/>
        </w:rPr>
        <w:t xml:space="preserve"> 1997, 1767.</w:t>
      </w:r>
    </w:p>
  </w:footnote>
  <w:footnote w:id="579">
    <w:p w14:paraId="666F76C9" w14:textId="77777777" w:rsidR="006D7007" w:rsidRPr="004F6728" w:rsidRDefault="006D7007" w:rsidP="006D7007">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w:t>
      </w:r>
      <w:r w:rsidRPr="004F6728">
        <w:rPr>
          <w:i/>
          <w:iCs/>
          <w:sz w:val="16"/>
          <w:szCs w:val="16"/>
          <w:lang w:val="en-US"/>
        </w:rPr>
        <w:t>Ibid.,</w:t>
      </w:r>
      <w:r w:rsidRPr="004F6728">
        <w:rPr>
          <w:sz w:val="16"/>
          <w:szCs w:val="16"/>
          <w:lang w:val="en-US"/>
        </w:rPr>
        <w:t xml:space="preserve"> 1814.</w:t>
      </w:r>
    </w:p>
  </w:footnote>
  <w:footnote w:id="580">
    <w:p w14:paraId="5D2CF38E" w14:textId="77777777" w:rsidR="006D7007" w:rsidRPr="004F6728" w:rsidRDefault="006D7007" w:rsidP="006D7007">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Artikel 5 EVURK: “Parties shall consider </w:t>
      </w:r>
      <w:r w:rsidRPr="004F6728">
        <w:rPr>
          <w:sz w:val="16"/>
          <w:szCs w:val="16"/>
          <w:u w:val="single"/>
          <w:lang w:val="en-US"/>
        </w:rPr>
        <w:t>granting children</w:t>
      </w:r>
      <w:r w:rsidRPr="004F6728">
        <w:rPr>
          <w:sz w:val="16"/>
          <w:szCs w:val="16"/>
          <w:lang w:val="en-US"/>
        </w:rPr>
        <w:t xml:space="preserve"> additional procedural rights in relation to proceedings before a judicial authority affecting them, in particular (…)”.</w:t>
      </w:r>
    </w:p>
  </w:footnote>
  <w:footnote w:id="581">
    <w:p w14:paraId="20887610" w14:textId="77777777" w:rsidR="006D7007" w:rsidRPr="0086280A" w:rsidRDefault="006D7007" w:rsidP="006D7007">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artikel 4.1 EVURK; K. HERBOTS, “Het nieuw Europees Verdrag inzake de uitoefening van de rechten van het kind en de situatie in België”, </w:t>
      </w:r>
      <w:r w:rsidRPr="0086280A">
        <w:rPr>
          <w:i/>
          <w:sz w:val="16"/>
          <w:szCs w:val="16"/>
          <w:lang w:val="nl-NL"/>
        </w:rPr>
        <w:t>TPR</w:t>
      </w:r>
      <w:r w:rsidRPr="0086280A">
        <w:rPr>
          <w:sz w:val="16"/>
          <w:szCs w:val="16"/>
          <w:lang w:val="nl-NL"/>
        </w:rPr>
        <w:t xml:space="preserve"> 1997, 1791.</w:t>
      </w:r>
    </w:p>
  </w:footnote>
  <w:footnote w:id="582">
    <w:p w14:paraId="2E2617BC" w14:textId="77777777" w:rsidR="006D7007" w:rsidRPr="0086280A" w:rsidRDefault="006D7007" w:rsidP="006D7007">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bv. artikel 4.1, 9.1 en 10.1 EVURK.</w:t>
      </w:r>
    </w:p>
  </w:footnote>
  <w:footnote w:id="583">
    <w:p w14:paraId="06694B8F" w14:textId="77777777" w:rsidR="006D7007" w:rsidRPr="0086280A" w:rsidRDefault="006D7007" w:rsidP="006D7007">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K. HERBOTS, “Het nieuw Europees Verdrag inzake de uitoefening van de rechten van het kind en de situatie in België”, </w:t>
      </w:r>
      <w:r w:rsidRPr="0086280A">
        <w:rPr>
          <w:i/>
          <w:sz w:val="16"/>
          <w:szCs w:val="16"/>
          <w:lang w:val="nl-NL"/>
        </w:rPr>
        <w:t>TPR</w:t>
      </w:r>
      <w:r w:rsidRPr="0086280A">
        <w:rPr>
          <w:sz w:val="16"/>
          <w:szCs w:val="16"/>
          <w:lang w:val="nl-NL"/>
        </w:rPr>
        <w:t xml:space="preserve"> 1997, 1773.</w:t>
      </w:r>
    </w:p>
  </w:footnote>
  <w:footnote w:id="584">
    <w:p w14:paraId="108472A3" w14:textId="77777777" w:rsidR="006D7007" w:rsidRPr="0086280A" w:rsidRDefault="006D7007" w:rsidP="006D7007">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t>
      </w:r>
      <w:r w:rsidRPr="0086280A">
        <w:rPr>
          <w:i/>
          <w:iCs/>
          <w:sz w:val="16"/>
          <w:szCs w:val="16"/>
          <w:lang w:val="nl-NL"/>
        </w:rPr>
        <w:t>Ibid.,</w:t>
      </w:r>
      <w:r w:rsidRPr="0086280A">
        <w:rPr>
          <w:sz w:val="16"/>
          <w:szCs w:val="16"/>
          <w:lang w:val="nl-NL"/>
        </w:rPr>
        <w:t xml:space="preserve"> 1774.</w:t>
      </w:r>
    </w:p>
  </w:footnote>
  <w:footnote w:id="585">
    <w:p w14:paraId="442E87D8" w14:textId="77777777" w:rsidR="006D7007" w:rsidRPr="0086280A" w:rsidRDefault="006D7007" w:rsidP="006D7007">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Verdrag 15 mei 2003 inzake contact met kinderen, </w:t>
      </w:r>
      <w:r w:rsidRPr="0086280A">
        <w:rPr>
          <w:i/>
          <w:sz w:val="16"/>
          <w:szCs w:val="16"/>
          <w:lang w:val="nl-NL"/>
        </w:rPr>
        <w:t>European Treaty Series</w:t>
      </w:r>
      <w:r w:rsidRPr="0086280A">
        <w:rPr>
          <w:sz w:val="16"/>
          <w:szCs w:val="16"/>
          <w:lang w:val="nl-NL"/>
        </w:rPr>
        <w:t>, nr. 192.</w:t>
      </w:r>
    </w:p>
  </w:footnote>
  <w:footnote w:id="586">
    <w:p w14:paraId="481E3EE3" w14:textId="77777777" w:rsidR="006D7007" w:rsidRPr="0086280A" w:rsidRDefault="006D7007" w:rsidP="006D7007">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Voorstel (Comm.) voor een besluit van de Raad betreffende de ondertekening door de Europese Gemeenschap van het Verdrag van de Raad van Europa inzake contact met kinderen, 28 januari 2003, COM(2002)520 def – 2003/C 20 E/32.</w:t>
      </w:r>
    </w:p>
  </w:footnote>
  <w:footnote w:id="587">
    <w:p w14:paraId="4B5F6700" w14:textId="77777777" w:rsidR="006D7007" w:rsidRPr="0086280A" w:rsidRDefault="006D7007" w:rsidP="006D7007">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S. JANSEN, “Europees Verdrag inzake de omgang van en met kinderen”, </w:t>
      </w:r>
      <w:r w:rsidRPr="0086280A">
        <w:rPr>
          <w:i/>
          <w:iCs/>
          <w:sz w:val="16"/>
          <w:szCs w:val="16"/>
          <w:lang w:val="nl-NL"/>
        </w:rPr>
        <w:t>FJR</w:t>
      </w:r>
      <w:r w:rsidRPr="0086280A">
        <w:rPr>
          <w:sz w:val="16"/>
          <w:szCs w:val="16"/>
          <w:lang w:val="nl-NL"/>
        </w:rPr>
        <w:t xml:space="preserve"> 2003, 139.</w:t>
      </w:r>
    </w:p>
  </w:footnote>
  <w:footnote w:id="588">
    <w:p w14:paraId="25FF515B" w14:textId="77777777" w:rsidR="006D7007" w:rsidRPr="0086280A" w:rsidRDefault="006D7007" w:rsidP="006D7007">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Tot op heden (mei 2023) is dit verdrag slechts in werking in negen lidstaten van de Raad van Europa zijnde Albanië, Bosnië en Herzegovina, Kroatië, Tsjechië, Malta, Roemenië, San Marino, Turkije en Oekraïne; </w:t>
      </w:r>
      <w:hyperlink r:id="rId56" w:history="1">
        <w:r w:rsidRPr="0086280A">
          <w:rPr>
            <w:rStyle w:val="Hyperlink"/>
            <w:sz w:val="16"/>
            <w:szCs w:val="16"/>
            <w:lang w:val="nl-NL"/>
          </w:rPr>
          <w:t>http://www.coe.int/en/web/conventions/full-list2?module=signatures-by-treaty&amp;treatynum=192</w:t>
        </w:r>
      </w:hyperlink>
      <w:r w:rsidRPr="0086280A">
        <w:rPr>
          <w:sz w:val="16"/>
          <w:szCs w:val="16"/>
          <w:lang w:val="nl-NL"/>
        </w:rPr>
        <w:t xml:space="preserve"> (laatste consultatie 13.05.2023).</w:t>
      </w:r>
    </w:p>
  </w:footnote>
  <w:footnote w:id="589">
    <w:p w14:paraId="4EE0C82E" w14:textId="77777777" w:rsidR="006D7007" w:rsidRPr="004F6728" w:rsidRDefault="006D7007" w:rsidP="006D7007">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Preambule </w:t>
      </w:r>
      <w:proofErr w:type="spellStart"/>
      <w:r w:rsidRPr="004F6728">
        <w:rPr>
          <w:sz w:val="16"/>
          <w:szCs w:val="16"/>
          <w:lang w:val="en-US"/>
        </w:rPr>
        <w:t>Verdrag</w:t>
      </w:r>
      <w:proofErr w:type="spellEnd"/>
      <w:r w:rsidRPr="004F6728">
        <w:rPr>
          <w:sz w:val="16"/>
          <w:szCs w:val="16"/>
          <w:lang w:val="en-US"/>
        </w:rPr>
        <w:t xml:space="preserve"> 15 </w:t>
      </w:r>
      <w:proofErr w:type="spellStart"/>
      <w:r w:rsidRPr="004F6728">
        <w:rPr>
          <w:sz w:val="16"/>
          <w:szCs w:val="16"/>
          <w:lang w:val="en-US"/>
        </w:rPr>
        <w:t>mei</w:t>
      </w:r>
      <w:proofErr w:type="spellEnd"/>
      <w:r w:rsidRPr="004F6728">
        <w:rPr>
          <w:sz w:val="16"/>
          <w:szCs w:val="16"/>
          <w:lang w:val="en-US"/>
        </w:rPr>
        <w:t xml:space="preserve"> 2003 </w:t>
      </w:r>
      <w:proofErr w:type="spellStart"/>
      <w:r w:rsidRPr="004F6728">
        <w:rPr>
          <w:sz w:val="16"/>
          <w:szCs w:val="16"/>
          <w:lang w:val="en-US"/>
        </w:rPr>
        <w:t>inzake</w:t>
      </w:r>
      <w:proofErr w:type="spellEnd"/>
      <w:r w:rsidRPr="004F6728">
        <w:rPr>
          <w:sz w:val="16"/>
          <w:szCs w:val="16"/>
          <w:lang w:val="en-US"/>
        </w:rPr>
        <w:t xml:space="preserve"> contact met </w:t>
      </w:r>
      <w:proofErr w:type="spellStart"/>
      <w:r w:rsidRPr="004F6728">
        <w:rPr>
          <w:sz w:val="16"/>
          <w:szCs w:val="16"/>
          <w:lang w:val="en-US"/>
        </w:rPr>
        <w:t>kinderen</w:t>
      </w:r>
      <w:proofErr w:type="spellEnd"/>
      <w:r w:rsidRPr="004F6728">
        <w:rPr>
          <w:sz w:val="16"/>
          <w:szCs w:val="16"/>
          <w:lang w:val="en-US"/>
        </w:rPr>
        <w:t xml:space="preserve">, </w:t>
      </w:r>
      <w:r w:rsidRPr="004F6728">
        <w:rPr>
          <w:i/>
          <w:sz w:val="16"/>
          <w:szCs w:val="16"/>
          <w:lang w:val="en-US"/>
        </w:rPr>
        <w:t>European Treaty Series</w:t>
      </w:r>
      <w:r w:rsidRPr="004F6728">
        <w:rPr>
          <w:sz w:val="16"/>
          <w:szCs w:val="16"/>
          <w:lang w:val="en-US"/>
        </w:rPr>
        <w:t xml:space="preserve">, nr. 192: “Taking into account Article 9 of the United Nations Convention on the Rights of the Child which provides for the right of a child, who is separated from one or both parents, to maintain personal relations and direct contact with both parents on a regular basis, except when this is contrary to the child’s best interests” en “Aware of the desirability of recognizing not only parents but </w:t>
      </w:r>
      <w:r w:rsidRPr="00386B0D">
        <w:rPr>
          <w:sz w:val="16"/>
          <w:szCs w:val="16"/>
          <w:u w:val="single"/>
          <w:lang w:val="en-US"/>
        </w:rPr>
        <w:t>also children as holders of rights</w:t>
      </w:r>
      <w:r w:rsidRPr="004F6728">
        <w:rPr>
          <w:sz w:val="16"/>
          <w:szCs w:val="16"/>
          <w:lang w:val="en-US"/>
        </w:rPr>
        <w:t>”.</w:t>
      </w:r>
    </w:p>
  </w:footnote>
  <w:footnote w:id="590">
    <w:p w14:paraId="206C686D" w14:textId="77777777" w:rsidR="006D7007" w:rsidRPr="0086280A" w:rsidRDefault="006D7007" w:rsidP="006D7007">
      <w:pPr>
        <w:pStyle w:val="Voetnoottekst"/>
        <w:jc w:val="both"/>
        <w:rPr>
          <w:sz w:val="16"/>
          <w:szCs w:val="16"/>
          <w:lang w:val="nl-NL"/>
        </w:rPr>
      </w:pPr>
      <w:r w:rsidRPr="0086280A">
        <w:rPr>
          <w:rStyle w:val="Voetnootmarkering"/>
          <w:sz w:val="16"/>
          <w:szCs w:val="16"/>
          <w:lang w:val="nl-NL"/>
        </w:rPr>
        <w:footnoteRef/>
      </w:r>
      <w:r w:rsidRPr="004F6728">
        <w:rPr>
          <w:sz w:val="16"/>
          <w:szCs w:val="16"/>
          <w:lang w:val="en-US"/>
        </w:rPr>
        <w:t xml:space="preserve"> RAAD VAN EUROPA, “Explanatory Report to the Convention on Contact concerning Children”, </w:t>
      </w:r>
      <w:r w:rsidRPr="004F6728">
        <w:rPr>
          <w:i/>
          <w:iCs/>
          <w:sz w:val="16"/>
          <w:szCs w:val="16"/>
          <w:lang w:val="en-US"/>
        </w:rPr>
        <w:t>European Treaty Series</w:t>
      </w:r>
      <w:r w:rsidRPr="004F6728">
        <w:rPr>
          <w:sz w:val="16"/>
          <w:szCs w:val="16"/>
          <w:lang w:val="en-US"/>
        </w:rPr>
        <w:t xml:space="preserve"> 2003, no. 192, §11, </w:t>
      </w:r>
      <w:hyperlink r:id="rId57" w:history="1">
        <w:r w:rsidRPr="004F6728">
          <w:rPr>
            <w:rStyle w:val="Hyperlink"/>
            <w:sz w:val="16"/>
            <w:szCs w:val="16"/>
            <w:lang w:val="en-US"/>
          </w:rPr>
          <w:t>www.rm.coe.int/16800d380d</w:t>
        </w:r>
      </w:hyperlink>
      <w:r w:rsidRPr="004F6728">
        <w:rPr>
          <w:sz w:val="16"/>
          <w:szCs w:val="16"/>
          <w:lang w:val="en-US"/>
        </w:rPr>
        <w:t xml:space="preserve"> (laatste consultatie 13.05.2023): “The general principles to be used when making, amending, suspending or revoking contact orders are the generally accepted principles of good practice applied currently by the majority of States. These principles are to be applied in all types of cases, whether or not there is an international element, and can also form a useful basis for parties when making agreements or can be used in the context of issues concerning contact in family mediation”; E. VERHELLEN, “Het </w:t>
      </w:r>
      <w:proofErr w:type="spellStart"/>
      <w:r w:rsidRPr="004F6728">
        <w:rPr>
          <w:sz w:val="16"/>
          <w:szCs w:val="16"/>
          <w:lang w:val="en-US"/>
        </w:rPr>
        <w:t>Verdrag</w:t>
      </w:r>
      <w:proofErr w:type="spellEnd"/>
      <w:r w:rsidRPr="004F6728">
        <w:rPr>
          <w:sz w:val="16"/>
          <w:szCs w:val="16"/>
          <w:lang w:val="en-US"/>
        </w:rPr>
        <w:t xml:space="preserve"> </w:t>
      </w:r>
      <w:proofErr w:type="spellStart"/>
      <w:r w:rsidRPr="004F6728">
        <w:rPr>
          <w:sz w:val="16"/>
          <w:szCs w:val="16"/>
          <w:lang w:val="en-US"/>
        </w:rPr>
        <w:t>inzake</w:t>
      </w:r>
      <w:proofErr w:type="spellEnd"/>
      <w:r w:rsidRPr="004F6728">
        <w:rPr>
          <w:sz w:val="16"/>
          <w:szCs w:val="16"/>
          <w:lang w:val="en-US"/>
        </w:rPr>
        <w:t xml:space="preserve"> de </w:t>
      </w:r>
      <w:proofErr w:type="spellStart"/>
      <w:r w:rsidRPr="004F6728">
        <w:rPr>
          <w:sz w:val="16"/>
          <w:szCs w:val="16"/>
          <w:lang w:val="en-US"/>
        </w:rPr>
        <w:t>rechten</w:t>
      </w:r>
      <w:proofErr w:type="spellEnd"/>
      <w:r w:rsidRPr="004F6728">
        <w:rPr>
          <w:sz w:val="16"/>
          <w:szCs w:val="16"/>
          <w:lang w:val="en-US"/>
        </w:rPr>
        <w:t xml:space="preserve"> van het kind </w:t>
      </w:r>
      <w:proofErr w:type="spellStart"/>
      <w:r w:rsidRPr="004F6728">
        <w:rPr>
          <w:sz w:val="16"/>
          <w:szCs w:val="16"/>
          <w:lang w:val="en-US"/>
        </w:rPr>
        <w:t>meerderjarig</w:t>
      </w:r>
      <w:proofErr w:type="spellEnd"/>
      <w:r w:rsidRPr="004F6728">
        <w:rPr>
          <w:sz w:val="16"/>
          <w:szCs w:val="16"/>
          <w:lang w:val="en-US"/>
        </w:rPr>
        <w:t xml:space="preserve">. </w:t>
      </w:r>
      <w:r w:rsidRPr="0086280A">
        <w:rPr>
          <w:sz w:val="16"/>
          <w:szCs w:val="16"/>
          <w:lang w:val="nl-NL"/>
        </w:rPr>
        <w:t xml:space="preserve">Enkele beschouwingen over de implementatie in België”, </w:t>
      </w:r>
      <w:r w:rsidRPr="0086280A">
        <w:rPr>
          <w:i/>
          <w:sz w:val="16"/>
          <w:szCs w:val="16"/>
          <w:lang w:val="nl-NL"/>
        </w:rPr>
        <w:t>TJK</w:t>
      </w:r>
      <w:r w:rsidRPr="0086280A">
        <w:rPr>
          <w:sz w:val="16"/>
          <w:szCs w:val="16"/>
          <w:lang w:val="nl-NL"/>
        </w:rPr>
        <w:t xml:space="preserve"> 2008/1, 34.</w:t>
      </w:r>
    </w:p>
  </w:footnote>
  <w:footnote w:id="591">
    <w:p w14:paraId="79EEDDA8" w14:textId="77777777" w:rsidR="006D7007" w:rsidRPr="0086280A" w:rsidRDefault="006D7007" w:rsidP="006D7007">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Dit is een letterlijke vertaling van “access to children”.</w:t>
      </w:r>
    </w:p>
  </w:footnote>
  <w:footnote w:id="592">
    <w:p w14:paraId="5BBA81D9" w14:textId="77777777" w:rsidR="006D7007" w:rsidRPr="0086280A" w:rsidRDefault="006D7007" w:rsidP="006D7007">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Dit is een letterlijke vertaling van “contact concerning children”.</w:t>
      </w:r>
    </w:p>
  </w:footnote>
  <w:footnote w:id="593">
    <w:p w14:paraId="1D143993" w14:textId="77777777" w:rsidR="006D7007" w:rsidRPr="0086280A" w:rsidRDefault="006D7007" w:rsidP="006D7007">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RAAD VAN EUROPA, “Explanatory Report to the Convention on Contact concerning Children”, </w:t>
      </w:r>
      <w:r w:rsidRPr="0086280A">
        <w:rPr>
          <w:i/>
          <w:iCs/>
          <w:sz w:val="16"/>
          <w:szCs w:val="16"/>
          <w:lang w:val="nl-NL"/>
        </w:rPr>
        <w:t>European Treaty Series</w:t>
      </w:r>
      <w:r w:rsidRPr="0086280A">
        <w:rPr>
          <w:sz w:val="16"/>
          <w:szCs w:val="16"/>
          <w:lang w:val="nl-NL"/>
        </w:rPr>
        <w:t xml:space="preserve"> 2003, no. 192, §6, </w:t>
      </w:r>
      <w:hyperlink r:id="rId58" w:history="1">
        <w:r w:rsidRPr="0086280A">
          <w:rPr>
            <w:rStyle w:val="Hyperlink"/>
            <w:sz w:val="16"/>
            <w:szCs w:val="16"/>
            <w:lang w:val="nl-NL"/>
          </w:rPr>
          <w:t>www.rm.coe.int/16800d380d</w:t>
        </w:r>
      </w:hyperlink>
      <w:r w:rsidRPr="0086280A">
        <w:rPr>
          <w:sz w:val="16"/>
          <w:szCs w:val="16"/>
          <w:lang w:val="nl-NL"/>
        </w:rPr>
        <w:t xml:space="preserve"> (laatste consultatie 13.05.2023); S. JANSEN, “Europees Verdrag inzake de omgang van en met kinderen”, </w:t>
      </w:r>
      <w:r w:rsidRPr="0086280A">
        <w:rPr>
          <w:i/>
          <w:iCs/>
          <w:sz w:val="16"/>
          <w:szCs w:val="16"/>
          <w:lang w:val="nl-NL"/>
        </w:rPr>
        <w:t>FJR</w:t>
      </w:r>
      <w:r w:rsidRPr="0086280A">
        <w:rPr>
          <w:sz w:val="16"/>
          <w:szCs w:val="16"/>
          <w:lang w:val="nl-NL"/>
        </w:rPr>
        <w:t xml:space="preserve"> 2003, 139.</w:t>
      </w:r>
    </w:p>
  </w:footnote>
  <w:footnote w:id="594">
    <w:p w14:paraId="2BF18AC7" w14:textId="77777777" w:rsidR="006D7007" w:rsidRPr="004F6728" w:rsidRDefault="006D7007" w:rsidP="006D7007">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Artikel 4.1 </w:t>
      </w:r>
      <w:proofErr w:type="spellStart"/>
      <w:r w:rsidRPr="004F6728">
        <w:rPr>
          <w:sz w:val="16"/>
          <w:szCs w:val="16"/>
          <w:lang w:val="en-US"/>
        </w:rPr>
        <w:t>Verdrag</w:t>
      </w:r>
      <w:proofErr w:type="spellEnd"/>
      <w:r w:rsidRPr="004F6728">
        <w:rPr>
          <w:sz w:val="16"/>
          <w:szCs w:val="16"/>
          <w:lang w:val="en-US"/>
        </w:rPr>
        <w:t xml:space="preserve"> </w:t>
      </w:r>
      <w:proofErr w:type="spellStart"/>
      <w:r w:rsidRPr="004F6728">
        <w:rPr>
          <w:sz w:val="16"/>
          <w:szCs w:val="16"/>
          <w:lang w:val="en-US"/>
        </w:rPr>
        <w:t>inzake</w:t>
      </w:r>
      <w:proofErr w:type="spellEnd"/>
      <w:r w:rsidRPr="004F6728">
        <w:rPr>
          <w:sz w:val="16"/>
          <w:szCs w:val="16"/>
          <w:lang w:val="en-US"/>
        </w:rPr>
        <w:t xml:space="preserve"> contact met </w:t>
      </w:r>
      <w:proofErr w:type="spellStart"/>
      <w:r w:rsidRPr="004F6728">
        <w:rPr>
          <w:sz w:val="16"/>
          <w:szCs w:val="16"/>
          <w:lang w:val="en-US"/>
        </w:rPr>
        <w:t>kinderen</w:t>
      </w:r>
      <w:proofErr w:type="spellEnd"/>
      <w:r w:rsidRPr="004F6728">
        <w:rPr>
          <w:sz w:val="16"/>
          <w:szCs w:val="16"/>
          <w:lang w:val="en-US"/>
        </w:rPr>
        <w:t xml:space="preserve">: “a child </w:t>
      </w:r>
      <w:r w:rsidRPr="004F6728">
        <w:rPr>
          <w:sz w:val="16"/>
          <w:szCs w:val="16"/>
          <w:u w:val="single"/>
          <w:lang w:val="en-US"/>
        </w:rPr>
        <w:t>and</w:t>
      </w:r>
      <w:r w:rsidRPr="004F6728">
        <w:rPr>
          <w:sz w:val="16"/>
          <w:szCs w:val="16"/>
          <w:lang w:val="en-US"/>
        </w:rPr>
        <w:t xml:space="preserve"> his or her parents shall </w:t>
      </w:r>
      <w:r w:rsidRPr="004F6728">
        <w:rPr>
          <w:sz w:val="16"/>
          <w:szCs w:val="16"/>
          <w:u w:val="single"/>
          <w:lang w:val="en-US"/>
        </w:rPr>
        <w:t>have</w:t>
      </w:r>
      <w:r w:rsidRPr="004F6728">
        <w:rPr>
          <w:sz w:val="16"/>
          <w:szCs w:val="16"/>
          <w:lang w:val="en-US"/>
        </w:rPr>
        <w:t xml:space="preserve"> the right to obtain and maintain regular contact with each other” (eigen </w:t>
      </w:r>
      <w:proofErr w:type="spellStart"/>
      <w:r w:rsidRPr="004F6728">
        <w:rPr>
          <w:sz w:val="16"/>
          <w:szCs w:val="16"/>
          <w:lang w:val="en-US"/>
        </w:rPr>
        <w:t>nadruk</w:t>
      </w:r>
      <w:proofErr w:type="spellEnd"/>
      <w:r w:rsidRPr="004F6728">
        <w:rPr>
          <w:sz w:val="16"/>
          <w:szCs w:val="16"/>
          <w:lang w:val="en-US"/>
        </w:rPr>
        <w:t xml:space="preserve">); RAAD VAN EUROPA, “Explanatory Report to the Convention on Contact concerning Children”, </w:t>
      </w:r>
      <w:r w:rsidRPr="004F6728">
        <w:rPr>
          <w:i/>
          <w:iCs/>
          <w:sz w:val="16"/>
          <w:szCs w:val="16"/>
          <w:lang w:val="en-US"/>
        </w:rPr>
        <w:t>European Treaty Series</w:t>
      </w:r>
      <w:r w:rsidRPr="004F6728">
        <w:rPr>
          <w:sz w:val="16"/>
          <w:szCs w:val="16"/>
          <w:lang w:val="en-US"/>
        </w:rPr>
        <w:t xml:space="preserve"> 2003, no. 192, §39, </w:t>
      </w:r>
      <w:hyperlink r:id="rId59" w:history="1">
        <w:r w:rsidRPr="004F6728">
          <w:rPr>
            <w:rStyle w:val="Hyperlink"/>
            <w:sz w:val="16"/>
            <w:szCs w:val="16"/>
            <w:lang w:val="en-US"/>
          </w:rPr>
          <w:t>www.rm.coe.int/16800d380d</w:t>
        </w:r>
      </w:hyperlink>
      <w:r w:rsidRPr="004F6728">
        <w:rPr>
          <w:sz w:val="16"/>
          <w:szCs w:val="16"/>
          <w:lang w:val="en-US"/>
        </w:rPr>
        <w:t xml:space="preserve"> (laatste consultatie 13.05.2023).</w:t>
      </w:r>
    </w:p>
  </w:footnote>
  <w:footnote w:id="595">
    <w:p w14:paraId="6C65CDFB" w14:textId="77777777" w:rsidR="006D7007" w:rsidRPr="0086280A" w:rsidRDefault="006D7007" w:rsidP="006D7007">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Toelichting §40 (“fundamental right”) en §41 (“essentially a human right”) Verdrag inzake contact met kinderen; S. JANSEN, “Europees Verdrag inzake de omgang van en met kinderen”, </w:t>
      </w:r>
      <w:r w:rsidRPr="0086280A">
        <w:rPr>
          <w:i/>
          <w:iCs/>
          <w:sz w:val="16"/>
          <w:szCs w:val="16"/>
          <w:lang w:val="nl-NL"/>
        </w:rPr>
        <w:t>FJR</w:t>
      </w:r>
      <w:r w:rsidRPr="0086280A">
        <w:rPr>
          <w:sz w:val="16"/>
          <w:szCs w:val="16"/>
          <w:lang w:val="nl-NL"/>
        </w:rPr>
        <w:t xml:space="preserve"> 2003, 140.</w:t>
      </w:r>
    </w:p>
  </w:footnote>
  <w:footnote w:id="596">
    <w:p w14:paraId="189C0049" w14:textId="77777777" w:rsidR="006D7007" w:rsidRPr="0086280A" w:rsidRDefault="006D7007" w:rsidP="006D7007">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artikel 4.2 Verdrag 15 mei 2003 inzake contact met kinderen, </w:t>
      </w:r>
      <w:r w:rsidRPr="0086280A">
        <w:rPr>
          <w:i/>
          <w:sz w:val="16"/>
          <w:szCs w:val="16"/>
          <w:lang w:val="nl-NL"/>
        </w:rPr>
        <w:t>European Treaty Series</w:t>
      </w:r>
      <w:r w:rsidRPr="0086280A">
        <w:rPr>
          <w:sz w:val="16"/>
          <w:szCs w:val="16"/>
          <w:lang w:val="nl-NL"/>
        </w:rPr>
        <w:t xml:space="preserve">, nr. 192; RAAD VAN EUROPA, “Explanatory Report to the Convention on Contact concerning Children”, </w:t>
      </w:r>
      <w:r w:rsidRPr="0086280A">
        <w:rPr>
          <w:i/>
          <w:iCs/>
          <w:sz w:val="16"/>
          <w:szCs w:val="16"/>
          <w:lang w:val="nl-NL"/>
        </w:rPr>
        <w:t>European Treaty Series</w:t>
      </w:r>
      <w:r w:rsidRPr="0086280A">
        <w:rPr>
          <w:sz w:val="16"/>
          <w:szCs w:val="16"/>
          <w:lang w:val="nl-NL"/>
        </w:rPr>
        <w:t xml:space="preserve"> 2003, no. 192, §24, </w:t>
      </w:r>
      <w:hyperlink r:id="rId60" w:history="1">
        <w:r w:rsidRPr="0086280A">
          <w:rPr>
            <w:rStyle w:val="Hyperlink"/>
            <w:sz w:val="16"/>
            <w:szCs w:val="16"/>
            <w:lang w:val="nl-NL"/>
          </w:rPr>
          <w:t>www.rm.coe.int/16800d380d</w:t>
        </w:r>
      </w:hyperlink>
      <w:r w:rsidRPr="0086280A">
        <w:rPr>
          <w:sz w:val="16"/>
          <w:szCs w:val="16"/>
          <w:lang w:val="nl-NL"/>
        </w:rPr>
        <w:t xml:space="preserve"> (laatste consultatie 13.05.2023).</w:t>
      </w:r>
    </w:p>
  </w:footnote>
  <w:footnote w:id="597">
    <w:p w14:paraId="33C3ABCA" w14:textId="77777777" w:rsidR="006D7007" w:rsidRPr="0086280A" w:rsidRDefault="006D7007" w:rsidP="006D7007">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S. JANSEN, “Europees Verdrag inzake de omgang van en met kinderen”, </w:t>
      </w:r>
      <w:r w:rsidRPr="0086280A">
        <w:rPr>
          <w:i/>
          <w:iCs/>
          <w:sz w:val="16"/>
          <w:szCs w:val="16"/>
          <w:lang w:val="nl-NL"/>
        </w:rPr>
        <w:t>FJR</w:t>
      </w:r>
      <w:r w:rsidRPr="0086280A">
        <w:rPr>
          <w:sz w:val="16"/>
          <w:szCs w:val="16"/>
          <w:lang w:val="nl-NL"/>
        </w:rPr>
        <w:t xml:space="preserve"> 2003, 144-146.</w:t>
      </w:r>
    </w:p>
  </w:footnote>
  <w:footnote w:id="598">
    <w:p w14:paraId="74A231DB" w14:textId="77777777" w:rsidR="006D7007" w:rsidRPr="004F6728" w:rsidRDefault="006D7007" w:rsidP="006D7007">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w:t>
      </w:r>
      <w:proofErr w:type="spellStart"/>
      <w:r w:rsidRPr="004F6728">
        <w:rPr>
          <w:sz w:val="16"/>
          <w:szCs w:val="16"/>
          <w:lang w:val="en-US"/>
        </w:rPr>
        <w:t>Toelichting</w:t>
      </w:r>
      <w:proofErr w:type="spellEnd"/>
      <w:r w:rsidRPr="004F6728">
        <w:rPr>
          <w:sz w:val="16"/>
          <w:szCs w:val="16"/>
          <w:lang w:val="en-US"/>
        </w:rPr>
        <w:t xml:space="preserve"> §46 </w:t>
      </w:r>
      <w:proofErr w:type="spellStart"/>
      <w:r w:rsidRPr="004F6728">
        <w:rPr>
          <w:sz w:val="16"/>
          <w:szCs w:val="16"/>
          <w:lang w:val="en-US"/>
        </w:rPr>
        <w:t>Verdrag</w:t>
      </w:r>
      <w:proofErr w:type="spellEnd"/>
      <w:r w:rsidRPr="004F6728">
        <w:rPr>
          <w:sz w:val="16"/>
          <w:szCs w:val="16"/>
          <w:lang w:val="en-US"/>
        </w:rPr>
        <w:t xml:space="preserve"> </w:t>
      </w:r>
      <w:proofErr w:type="spellStart"/>
      <w:r w:rsidRPr="004F6728">
        <w:rPr>
          <w:sz w:val="16"/>
          <w:szCs w:val="16"/>
          <w:lang w:val="en-US"/>
        </w:rPr>
        <w:t>inzake</w:t>
      </w:r>
      <w:proofErr w:type="spellEnd"/>
      <w:r w:rsidRPr="004F6728">
        <w:rPr>
          <w:sz w:val="16"/>
          <w:szCs w:val="16"/>
          <w:lang w:val="en-US"/>
        </w:rPr>
        <w:t xml:space="preserve"> contact met </w:t>
      </w:r>
      <w:proofErr w:type="spellStart"/>
      <w:r w:rsidRPr="004F6728">
        <w:rPr>
          <w:sz w:val="16"/>
          <w:szCs w:val="16"/>
          <w:lang w:val="en-US"/>
        </w:rPr>
        <w:t>kinderen</w:t>
      </w:r>
      <w:proofErr w:type="spellEnd"/>
      <w:r w:rsidRPr="004F6728">
        <w:rPr>
          <w:sz w:val="16"/>
          <w:szCs w:val="16"/>
          <w:lang w:val="en-US"/>
        </w:rPr>
        <w:t xml:space="preserve">: “Its usefulness resides in the fact that it shows quite graphically that certain factors other than legal factors may indicate that a relationship has sufficient constancy to create family ties”; RAAD VAN EUROPA, “Explanatory Report to the Convention on Contact concerning Children”, </w:t>
      </w:r>
      <w:r w:rsidRPr="004F6728">
        <w:rPr>
          <w:i/>
          <w:iCs/>
          <w:sz w:val="16"/>
          <w:szCs w:val="16"/>
          <w:lang w:val="en-US"/>
        </w:rPr>
        <w:t>European Treaty Series</w:t>
      </w:r>
      <w:r w:rsidRPr="004F6728">
        <w:rPr>
          <w:sz w:val="16"/>
          <w:szCs w:val="16"/>
          <w:lang w:val="en-US"/>
        </w:rPr>
        <w:t xml:space="preserve"> 2003, no. 192, §21 en §34, </w:t>
      </w:r>
      <w:hyperlink r:id="rId61" w:history="1">
        <w:r w:rsidRPr="004F6728">
          <w:rPr>
            <w:rStyle w:val="Hyperlink"/>
            <w:sz w:val="16"/>
            <w:szCs w:val="16"/>
            <w:lang w:val="en-US"/>
          </w:rPr>
          <w:t>www.rm.coe.int/16800d380d</w:t>
        </w:r>
      </w:hyperlink>
      <w:r w:rsidRPr="004F6728">
        <w:rPr>
          <w:sz w:val="16"/>
          <w:szCs w:val="16"/>
          <w:lang w:val="en-US"/>
        </w:rPr>
        <w:t xml:space="preserve"> (laatste consultatie 13.05.2023); S. JANSEN, “</w:t>
      </w:r>
      <w:proofErr w:type="spellStart"/>
      <w:r w:rsidRPr="004F6728">
        <w:rPr>
          <w:sz w:val="16"/>
          <w:szCs w:val="16"/>
          <w:lang w:val="en-US"/>
        </w:rPr>
        <w:t>Europees</w:t>
      </w:r>
      <w:proofErr w:type="spellEnd"/>
      <w:r w:rsidRPr="004F6728">
        <w:rPr>
          <w:sz w:val="16"/>
          <w:szCs w:val="16"/>
          <w:lang w:val="en-US"/>
        </w:rPr>
        <w:t xml:space="preserve"> </w:t>
      </w:r>
      <w:proofErr w:type="spellStart"/>
      <w:r w:rsidRPr="004F6728">
        <w:rPr>
          <w:sz w:val="16"/>
          <w:szCs w:val="16"/>
          <w:lang w:val="en-US"/>
        </w:rPr>
        <w:t>Verdrag</w:t>
      </w:r>
      <w:proofErr w:type="spellEnd"/>
      <w:r w:rsidRPr="004F6728">
        <w:rPr>
          <w:sz w:val="16"/>
          <w:szCs w:val="16"/>
          <w:lang w:val="en-US"/>
        </w:rPr>
        <w:t xml:space="preserve"> </w:t>
      </w:r>
      <w:proofErr w:type="spellStart"/>
      <w:r w:rsidRPr="004F6728">
        <w:rPr>
          <w:sz w:val="16"/>
          <w:szCs w:val="16"/>
          <w:lang w:val="en-US"/>
        </w:rPr>
        <w:t>inzake</w:t>
      </w:r>
      <w:proofErr w:type="spellEnd"/>
      <w:r w:rsidRPr="004F6728">
        <w:rPr>
          <w:sz w:val="16"/>
          <w:szCs w:val="16"/>
          <w:lang w:val="en-US"/>
        </w:rPr>
        <w:t xml:space="preserve"> de </w:t>
      </w:r>
      <w:proofErr w:type="spellStart"/>
      <w:r w:rsidRPr="004F6728">
        <w:rPr>
          <w:sz w:val="16"/>
          <w:szCs w:val="16"/>
          <w:lang w:val="en-US"/>
        </w:rPr>
        <w:t>omgang</w:t>
      </w:r>
      <w:proofErr w:type="spellEnd"/>
      <w:r w:rsidRPr="004F6728">
        <w:rPr>
          <w:sz w:val="16"/>
          <w:szCs w:val="16"/>
          <w:lang w:val="en-US"/>
        </w:rPr>
        <w:t xml:space="preserve"> van en met </w:t>
      </w:r>
      <w:proofErr w:type="spellStart"/>
      <w:r w:rsidRPr="004F6728">
        <w:rPr>
          <w:sz w:val="16"/>
          <w:szCs w:val="16"/>
          <w:lang w:val="en-US"/>
        </w:rPr>
        <w:t>kinderen</w:t>
      </w:r>
      <w:proofErr w:type="spellEnd"/>
      <w:r w:rsidRPr="004F6728">
        <w:rPr>
          <w:sz w:val="16"/>
          <w:szCs w:val="16"/>
          <w:lang w:val="en-US"/>
        </w:rPr>
        <w:t xml:space="preserve">”, </w:t>
      </w:r>
      <w:r w:rsidRPr="004F6728">
        <w:rPr>
          <w:i/>
          <w:iCs/>
          <w:sz w:val="16"/>
          <w:szCs w:val="16"/>
          <w:lang w:val="en-US"/>
        </w:rPr>
        <w:t>FJR</w:t>
      </w:r>
      <w:r w:rsidRPr="004F6728">
        <w:rPr>
          <w:sz w:val="16"/>
          <w:szCs w:val="16"/>
          <w:lang w:val="en-US"/>
        </w:rPr>
        <w:t xml:space="preserve"> 2003, 140-141.</w:t>
      </w:r>
    </w:p>
  </w:footnote>
  <w:footnote w:id="599">
    <w:p w14:paraId="0D5F97B9" w14:textId="77777777" w:rsidR="006D7007" w:rsidRPr="0086280A" w:rsidRDefault="006D7007" w:rsidP="006D7007">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Artikel 2.c Verdrag 15 mei 2003 inzake contact met kinderen, </w:t>
      </w:r>
      <w:r w:rsidRPr="0086280A">
        <w:rPr>
          <w:i/>
          <w:sz w:val="16"/>
          <w:szCs w:val="16"/>
          <w:lang w:val="nl-NL"/>
        </w:rPr>
        <w:t>European Treaty Series</w:t>
      </w:r>
      <w:r w:rsidRPr="0086280A">
        <w:rPr>
          <w:sz w:val="16"/>
          <w:szCs w:val="16"/>
          <w:lang w:val="nl-NL"/>
        </w:rPr>
        <w:t>, nr. 192.</w:t>
      </w:r>
    </w:p>
  </w:footnote>
  <w:footnote w:id="600">
    <w:p w14:paraId="274C3CBF" w14:textId="15B3DE4E" w:rsidR="006D7007" w:rsidRPr="0086280A" w:rsidRDefault="006D7007" w:rsidP="006D7007">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artikel 6 Verdrag 15 mei 2003 inzake contact met kinderen, </w:t>
      </w:r>
      <w:r w:rsidRPr="0086280A">
        <w:rPr>
          <w:i/>
          <w:iCs/>
          <w:sz w:val="16"/>
          <w:szCs w:val="16"/>
          <w:lang w:val="nl-NL"/>
        </w:rPr>
        <w:t>European Treaty Series</w:t>
      </w:r>
      <w:r w:rsidRPr="0086280A">
        <w:rPr>
          <w:sz w:val="16"/>
          <w:szCs w:val="16"/>
          <w:lang w:val="nl-NL"/>
        </w:rPr>
        <w:t xml:space="preserve">, nr. 192; RAAD VAN EUROPA, “Explanatory Report to the Convention on Contact concerning Children”, </w:t>
      </w:r>
      <w:r w:rsidRPr="0086280A">
        <w:rPr>
          <w:i/>
          <w:iCs/>
          <w:sz w:val="16"/>
          <w:szCs w:val="16"/>
          <w:lang w:val="nl-NL"/>
        </w:rPr>
        <w:t>European Treaty Series</w:t>
      </w:r>
      <w:r w:rsidRPr="0086280A">
        <w:rPr>
          <w:sz w:val="16"/>
          <w:szCs w:val="16"/>
          <w:lang w:val="nl-NL"/>
        </w:rPr>
        <w:t xml:space="preserve"> 2003, no. 192, §15 en §32, </w:t>
      </w:r>
      <w:hyperlink r:id="rId62" w:history="1">
        <w:r w:rsidRPr="0086280A">
          <w:rPr>
            <w:rStyle w:val="Hyperlink"/>
            <w:sz w:val="16"/>
            <w:szCs w:val="16"/>
            <w:lang w:val="nl-NL"/>
          </w:rPr>
          <w:t>www.rm.coe.int/16800d380d</w:t>
        </w:r>
      </w:hyperlink>
      <w:r w:rsidRPr="0086280A">
        <w:rPr>
          <w:sz w:val="16"/>
          <w:szCs w:val="16"/>
          <w:lang w:val="nl-NL"/>
        </w:rPr>
        <w:t xml:space="preserve"> (laatste consultatie 13.05.2023).</w:t>
      </w:r>
    </w:p>
  </w:footnote>
  <w:footnote w:id="601">
    <w:p w14:paraId="32C32921" w14:textId="2EE7CCD8" w:rsidR="006D7007" w:rsidRPr="004F6728" w:rsidRDefault="006D7007" w:rsidP="006D7007">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RAAD VAN EUROPA, “Explanatory Report to the Convention on Contact concerning Children”, </w:t>
      </w:r>
      <w:r w:rsidRPr="004F6728">
        <w:rPr>
          <w:i/>
          <w:iCs/>
          <w:sz w:val="16"/>
          <w:szCs w:val="16"/>
          <w:lang w:val="en-US"/>
        </w:rPr>
        <w:t>European Treaty Series</w:t>
      </w:r>
      <w:r w:rsidRPr="004F6728">
        <w:rPr>
          <w:sz w:val="16"/>
          <w:szCs w:val="16"/>
          <w:lang w:val="en-US"/>
        </w:rPr>
        <w:t xml:space="preserve"> 2003, no. 192, §49, </w:t>
      </w:r>
      <w:hyperlink r:id="rId63" w:history="1">
        <w:r w:rsidRPr="004F6728">
          <w:rPr>
            <w:rStyle w:val="Hyperlink"/>
            <w:sz w:val="16"/>
            <w:szCs w:val="16"/>
            <w:lang w:val="en-US"/>
          </w:rPr>
          <w:t>www.rm.coe.int/16800d380d</w:t>
        </w:r>
      </w:hyperlink>
      <w:r w:rsidRPr="004F6728">
        <w:rPr>
          <w:sz w:val="16"/>
          <w:szCs w:val="16"/>
          <w:lang w:val="en-US"/>
        </w:rPr>
        <w:t xml:space="preserve"> (laatste consultatie </w:t>
      </w:r>
      <w:r w:rsidR="006810D8">
        <w:rPr>
          <w:sz w:val="16"/>
          <w:szCs w:val="16"/>
          <w:lang w:val="en-US"/>
        </w:rPr>
        <w:t>13</w:t>
      </w:r>
      <w:r w:rsidRPr="004F6728">
        <w:rPr>
          <w:sz w:val="16"/>
          <w:szCs w:val="16"/>
          <w:lang w:val="en-US"/>
        </w:rPr>
        <w:t>.0</w:t>
      </w:r>
      <w:r w:rsidR="006810D8">
        <w:rPr>
          <w:sz w:val="16"/>
          <w:szCs w:val="16"/>
          <w:lang w:val="en-US"/>
        </w:rPr>
        <w:t>5</w:t>
      </w:r>
      <w:r w:rsidRPr="004F6728">
        <w:rPr>
          <w:sz w:val="16"/>
          <w:szCs w:val="16"/>
          <w:lang w:val="en-US"/>
        </w:rPr>
        <w:t>.2023).</w:t>
      </w:r>
    </w:p>
  </w:footnote>
  <w:footnote w:id="602">
    <w:p w14:paraId="040DA43E" w14:textId="77777777" w:rsidR="006D7007" w:rsidRPr="0086280A" w:rsidRDefault="006D7007" w:rsidP="006D7007">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t>
      </w:r>
      <w:r w:rsidRPr="0086280A">
        <w:rPr>
          <w:i/>
          <w:iCs/>
          <w:sz w:val="16"/>
          <w:szCs w:val="16"/>
          <w:lang w:val="nl-NL"/>
        </w:rPr>
        <w:t>Ibid.</w:t>
      </w:r>
    </w:p>
  </w:footnote>
  <w:footnote w:id="603">
    <w:p w14:paraId="1A629C6B" w14:textId="77777777" w:rsidR="006D7007" w:rsidRPr="0086280A" w:rsidRDefault="006D7007" w:rsidP="006D7007">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t>
      </w:r>
      <w:r w:rsidRPr="0086280A">
        <w:rPr>
          <w:i/>
          <w:iCs/>
          <w:sz w:val="16"/>
          <w:szCs w:val="16"/>
          <w:lang w:val="nl-NL"/>
        </w:rPr>
        <w:t>Ibid.,</w:t>
      </w:r>
      <w:r w:rsidRPr="0086280A">
        <w:rPr>
          <w:sz w:val="16"/>
          <w:szCs w:val="16"/>
          <w:lang w:val="nl-NL"/>
        </w:rPr>
        <w:t xml:space="preserve"> §41.</w:t>
      </w:r>
    </w:p>
  </w:footnote>
  <w:footnote w:id="604">
    <w:p w14:paraId="541769B2" w14:textId="77777777" w:rsidR="006D7007" w:rsidRPr="0086280A" w:rsidRDefault="006D7007" w:rsidP="006D7007">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t>
      </w:r>
      <w:r w:rsidRPr="0086280A">
        <w:rPr>
          <w:i/>
          <w:iCs/>
          <w:sz w:val="16"/>
          <w:szCs w:val="16"/>
          <w:lang w:val="nl-NL"/>
        </w:rPr>
        <w:t>Ibid.,</w:t>
      </w:r>
      <w:r w:rsidRPr="0086280A">
        <w:rPr>
          <w:sz w:val="16"/>
          <w:szCs w:val="16"/>
          <w:lang w:val="nl-NL"/>
        </w:rPr>
        <w:t xml:space="preserve"> §11.</w:t>
      </w:r>
    </w:p>
  </w:footnote>
  <w:footnote w:id="605">
    <w:p w14:paraId="213EADAE" w14:textId="77777777" w:rsidR="006D7007" w:rsidRPr="0086280A" w:rsidRDefault="006D7007" w:rsidP="006D7007">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Handvest van de Grondrechten van de Europese Unie van 12 december 2007, </w:t>
      </w:r>
      <w:r w:rsidRPr="0086280A">
        <w:rPr>
          <w:i/>
          <w:sz w:val="16"/>
          <w:szCs w:val="16"/>
          <w:lang w:val="nl-NL"/>
        </w:rPr>
        <w:t>Pb.C.</w:t>
      </w:r>
      <w:r w:rsidRPr="0086280A">
        <w:rPr>
          <w:sz w:val="16"/>
          <w:szCs w:val="16"/>
          <w:lang w:val="nl-NL"/>
        </w:rPr>
        <w:t xml:space="preserve"> 20 maart 2010.</w:t>
      </w:r>
    </w:p>
  </w:footnote>
  <w:footnote w:id="606">
    <w:p w14:paraId="7C99A1C8" w14:textId="009BD392" w:rsidR="006D7007" w:rsidRPr="0086280A" w:rsidRDefault="006D7007" w:rsidP="006D7007">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art</w:t>
      </w:r>
      <w:r w:rsidR="00386B0D">
        <w:rPr>
          <w:sz w:val="16"/>
          <w:szCs w:val="16"/>
          <w:lang w:val="nl-NL"/>
        </w:rPr>
        <w:t>ikel</w:t>
      </w:r>
      <w:r w:rsidRPr="0086280A">
        <w:rPr>
          <w:sz w:val="16"/>
          <w:szCs w:val="16"/>
          <w:lang w:val="nl-NL"/>
        </w:rPr>
        <w:t xml:space="preserve"> 6.1 VEU </w:t>
      </w:r>
      <w:r w:rsidRPr="0086280A">
        <w:rPr>
          <w:i/>
          <w:iCs/>
          <w:sz w:val="16"/>
          <w:szCs w:val="16"/>
          <w:lang w:val="nl-NL"/>
        </w:rPr>
        <w:t>juncto</w:t>
      </w:r>
      <w:r w:rsidRPr="0086280A">
        <w:rPr>
          <w:sz w:val="16"/>
          <w:szCs w:val="16"/>
          <w:lang w:val="nl-NL"/>
        </w:rPr>
        <w:t xml:space="preserve"> art</w:t>
      </w:r>
      <w:r w:rsidR="00386B0D">
        <w:rPr>
          <w:sz w:val="16"/>
          <w:szCs w:val="16"/>
          <w:lang w:val="nl-NL"/>
        </w:rPr>
        <w:t>ikel</w:t>
      </w:r>
      <w:r w:rsidRPr="0086280A">
        <w:rPr>
          <w:sz w:val="16"/>
          <w:szCs w:val="16"/>
          <w:lang w:val="nl-NL"/>
        </w:rPr>
        <w:t xml:space="preserve"> 51.1 HvEU; W. VANDENHOLE, “Kinderrechten in universele en Europese mensenrechtenverdragen” in W. VANDENHOLE (ed.), </w:t>
      </w:r>
      <w:r w:rsidRPr="0086280A">
        <w:rPr>
          <w:i/>
          <w:iCs/>
          <w:sz w:val="16"/>
          <w:szCs w:val="16"/>
          <w:lang w:val="nl-NL"/>
        </w:rPr>
        <w:t>Kinderrechten in België</w:t>
      </w:r>
      <w:r w:rsidRPr="0086280A">
        <w:rPr>
          <w:sz w:val="16"/>
          <w:szCs w:val="16"/>
          <w:lang w:val="nl-NL"/>
        </w:rPr>
        <w:t>, Antwerpen, Intersentia, 2008, 7.</w:t>
      </w:r>
    </w:p>
  </w:footnote>
  <w:footnote w:id="607">
    <w:p w14:paraId="2CE070FD" w14:textId="77777777" w:rsidR="006D7007" w:rsidRPr="0086280A" w:rsidRDefault="006D7007" w:rsidP="006D7007">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K. LENAERTS en P. VAN NUFFEL, </w:t>
      </w:r>
      <w:r w:rsidRPr="0086280A">
        <w:rPr>
          <w:i/>
          <w:iCs/>
          <w:sz w:val="16"/>
          <w:szCs w:val="16"/>
          <w:lang w:val="nl-NL"/>
        </w:rPr>
        <w:t>Europees recht (zevende editie</w:t>
      </w:r>
      <w:r w:rsidRPr="0086280A">
        <w:rPr>
          <w:sz w:val="16"/>
          <w:szCs w:val="16"/>
          <w:lang w:val="nl-NL"/>
        </w:rPr>
        <w:t>), Antwerpen, Intersentia, 2023, 585.</w:t>
      </w:r>
    </w:p>
  </w:footnote>
  <w:footnote w:id="608">
    <w:p w14:paraId="395B7327" w14:textId="77777777" w:rsidR="006D7007" w:rsidRPr="004F6728" w:rsidRDefault="006D7007" w:rsidP="006D7007">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w:t>
      </w:r>
      <w:r w:rsidRPr="004F6728">
        <w:rPr>
          <w:i/>
          <w:iCs/>
          <w:sz w:val="16"/>
          <w:szCs w:val="16"/>
          <w:lang w:val="en-US"/>
        </w:rPr>
        <w:t>Ibid</w:t>
      </w:r>
      <w:r w:rsidRPr="004F6728">
        <w:rPr>
          <w:sz w:val="16"/>
          <w:szCs w:val="16"/>
          <w:lang w:val="en-US"/>
        </w:rPr>
        <w:t>.</w:t>
      </w:r>
    </w:p>
  </w:footnote>
  <w:footnote w:id="609">
    <w:p w14:paraId="045D5F76" w14:textId="7B9DA869" w:rsidR="006D7007" w:rsidRPr="004F6728" w:rsidRDefault="006D7007" w:rsidP="006D7007">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Zie </w:t>
      </w:r>
      <w:proofErr w:type="spellStart"/>
      <w:r w:rsidRPr="004F6728">
        <w:rPr>
          <w:sz w:val="16"/>
          <w:szCs w:val="16"/>
          <w:lang w:val="en-US"/>
        </w:rPr>
        <w:t>art</w:t>
      </w:r>
      <w:r w:rsidR="00386B0D">
        <w:rPr>
          <w:sz w:val="16"/>
          <w:szCs w:val="16"/>
          <w:lang w:val="en-US"/>
        </w:rPr>
        <w:t>ikel</w:t>
      </w:r>
      <w:proofErr w:type="spellEnd"/>
      <w:r w:rsidRPr="004F6728">
        <w:rPr>
          <w:sz w:val="16"/>
          <w:szCs w:val="16"/>
          <w:lang w:val="en-US"/>
        </w:rPr>
        <w:t xml:space="preserve"> 6 VEU; C. MCGLYNN, “Rights for children?: the potential impact of the European Union Charter of Fundamental Rights”, </w:t>
      </w:r>
      <w:r w:rsidRPr="004F6728">
        <w:rPr>
          <w:i/>
          <w:iCs/>
          <w:sz w:val="16"/>
          <w:szCs w:val="16"/>
          <w:lang w:val="en-US"/>
        </w:rPr>
        <w:t>European Public Law</w:t>
      </w:r>
      <w:r w:rsidRPr="004F6728">
        <w:rPr>
          <w:sz w:val="16"/>
          <w:szCs w:val="16"/>
          <w:lang w:val="en-US"/>
        </w:rPr>
        <w:t>, vol. 8, nr. 3, 391-392.</w:t>
      </w:r>
    </w:p>
  </w:footnote>
  <w:footnote w:id="610">
    <w:p w14:paraId="0D23DF80" w14:textId="77777777" w:rsidR="006D7007" w:rsidRPr="0086280A" w:rsidRDefault="006D7007" w:rsidP="006D7007">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W. VANDENHOLE, “Kinderrechten in universele en Europese mensenrechtenverdragen” in W. VANDENHOLE (ed.), </w:t>
      </w:r>
      <w:r w:rsidRPr="0086280A">
        <w:rPr>
          <w:i/>
          <w:iCs/>
          <w:sz w:val="16"/>
          <w:szCs w:val="16"/>
          <w:lang w:val="nl-NL"/>
        </w:rPr>
        <w:t>Kinderrechten in België</w:t>
      </w:r>
      <w:r w:rsidRPr="0086280A">
        <w:rPr>
          <w:sz w:val="16"/>
          <w:szCs w:val="16"/>
          <w:lang w:val="nl-NL"/>
        </w:rPr>
        <w:t xml:space="preserve">, Antwerpen, Intersentia, 2008, 6; K. LENAERTS en P. VAN NUFFEL, </w:t>
      </w:r>
      <w:r w:rsidRPr="0086280A">
        <w:rPr>
          <w:i/>
          <w:iCs/>
          <w:sz w:val="16"/>
          <w:szCs w:val="16"/>
          <w:lang w:val="nl-NL"/>
        </w:rPr>
        <w:t>Europees recht (zevende editie</w:t>
      </w:r>
      <w:r w:rsidRPr="0086280A">
        <w:rPr>
          <w:sz w:val="16"/>
          <w:szCs w:val="16"/>
          <w:lang w:val="nl-NL"/>
        </w:rPr>
        <w:t>), Antwerpen, Intersentia, 2023, 595.</w:t>
      </w:r>
    </w:p>
  </w:footnote>
  <w:footnote w:id="611">
    <w:p w14:paraId="3441FCBB" w14:textId="77777777" w:rsidR="006D7007" w:rsidRPr="0086280A" w:rsidRDefault="006D7007" w:rsidP="006D7007">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artikel 6.1 VEU en artikel 51.2 HvEU: “Dit Handvest breidt het toepassingsgebied van het recht van de Unie niet verder uit dan de bevoegdheden van de Unie reiken, schept geen nieuwe bevoegdheden of taken voor de Unie, noch wijzigt het de in de Verdragen omschreven bevoegdheden en taken”. </w:t>
      </w:r>
    </w:p>
  </w:footnote>
  <w:footnote w:id="612">
    <w:p w14:paraId="6289537E" w14:textId="77777777" w:rsidR="006D7007" w:rsidRPr="0086280A" w:rsidRDefault="006D7007" w:rsidP="006D7007">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K. LENAERTS en P. VAN NUFFEL, </w:t>
      </w:r>
      <w:r w:rsidRPr="0086280A">
        <w:rPr>
          <w:i/>
          <w:iCs/>
          <w:sz w:val="16"/>
          <w:szCs w:val="16"/>
          <w:lang w:val="nl-NL"/>
        </w:rPr>
        <w:t>Europees recht (zevende editie</w:t>
      </w:r>
      <w:r w:rsidRPr="0086280A">
        <w:rPr>
          <w:sz w:val="16"/>
          <w:szCs w:val="16"/>
          <w:lang w:val="nl-NL"/>
        </w:rPr>
        <w:t>), Antwerpen, Intersentia, 2023, 596.</w:t>
      </w:r>
    </w:p>
  </w:footnote>
  <w:footnote w:id="613">
    <w:p w14:paraId="49550681" w14:textId="77777777" w:rsidR="006D7007" w:rsidRPr="0086280A" w:rsidRDefault="006D7007" w:rsidP="006D7007">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artikel 52.3 HvEU.</w:t>
      </w:r>
    </w:p>
  </w:footnote>
  <w:footnote w:id="614">
    <w:p w14:paraId="5DE754C2" w14:textId="77777777" w:rsidR="006D7007" w:rsidRPr="0086280A" w:rsidRDefault="006D7007" w:rsidP="006D7007">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Zie bv. EHRM 11 juli 2002, nr. 28957/95, </w:t>
      </w:r>
      <w:r w:rsidRPr="0086280A">
        <w:rPr>
          <w:i/>
          <w:iCs/>
          <w:sz w:val="16"/>
          <w:szCs w:val="16"/>
          <w:lang w:val="nl-NL"/>
        </w:rPr>
        <w:t>Goodwin/Verenigd Koninkrijk</w:t>
      </w:r>
      <w:r w:rsidRPr="0086280A">
        <w:rPr>
          <w:sz w:val="16"/>
          <w:szCs w:val="16"/>
          <w:lang w:val="nl-NL"/>
        </w:rPr>
        <w:t xml:space="preserve">, §94-104; K. LENAERTS en P. VAN NUFFEL, </w:t>
      </w:r>
      <w:r w:rsidRPr="0086280A">
        <w:rPr>
          <w:i/>
          <w:iCs/>
          <w:sz w:val="16"/>
          <w:szCs w:val="16"/>
          <w:lang w:val="nl-NL"/>
        </w:rPr>
        <w:t>Europees recht (zevende editie</w:t>
      </w:r>
      <w:r w:rsidRPr="0086280A">
        <w:rPr>
          <w:sz w:val="16"/>
          <w:szCs w:val="16"/>
          <w:lang w:val="nl-NL"/>
        </w:rPr>
        <w:t>), Antwerpen, Intersentia, 2023, 599.</w:t>
      </w:r>
    </w:p>
  </w:footnote>
  <w:footnote w:id="615">
    <w:p w14:paraId="0EAB84C6" w14:textId="77777777" w:rsidR="006D7007" w:rsidRPr="004F6728" w:rsidRDefault="006D7007" w:rsidP="006D7007">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w:t>
      </w:r>
      <w:r w:rsidRPr="004F6728">
        <w:rPr>
          <w:i/>
          <w:iCs/>
          <w:sz w:val="16"/>
          <w:szCs w:val="16"/>
          <w:lang w:val="en-US"/>
        </w:rPr>
        <w:t>Ibid.</w:t>
      </w:r>
      <w:r w:rsidRPr="004F6728">
        <w:rPr>
          <w:sz w:val="16"/>
          <w:szCs w:val="16"/>
          <w:lang w:val="en-US"/>
        </w:rPr>
        <w:t>, 601.</w:t>
      </w:r>
    </w:p>
  </w:footnote>
  <w:footnote w:id="616">
    <w:p w14:paraId="651161CA" w14:textId="77777777" w:rsidR="006D7007" w:rsidRPr="004F6728" w:rsidRDefault="006D7007" w:rsidP="006D7007">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EUROPEAN UNION AGENCY FOR FUNDAMENTAL RIGHTS AND COUNCIL OF EUROPE</w:t>
      </w:r>
      <w:r w:rsidRPr="004F6728">
        <w:rPr>
          <w:i/>
          <w:sz w:val="16"/>
          <w:szCs w:val="16"/>
          <w:lang w:val="en-US"/>
        </w:rPr>
        <w:t>, Handbook on European law relating to the rights of the child</w:t>
      </w:r>
      <w:r w:rsidRPr="004F6728">
        <w:rPr>
          <w:sz w:val="16"/>
          <w:szCs w:val="16"/>
          <w:lang w:val="en-US"/>
        </w:rPr>
        <w:t xml:space="preserve">, Luxemburg, Bureau </w:t>
      </w:r>
      <w:proofErr w:type="spellStart"/>
      <w:r w:rsidRPr="004F6728">
        <w:rPr>
          <w:sz w:val="16"/>
          <w:szCs w:val="16"/>
          <w:lang w:val="en-US"/>
        </w:rPr>
        <w:t>voor</w:t>
      </w:r>
      <w:proofErr w:type="spellEnd"/>
      <w:r w:rsidRPr="004F6728">
        <w:rPr>
          <w:sz w:val="16"/>
          <w:szCs w:val="16"/>
          <w:lang w:val="en-US"/>
        </w:rPr>
        <w:t xml:space="preserve"> </w:t>
      </w:r>
      <w:proofErr w:type="spellStart"/>
      <w:r w:rsidRPr="004F6728">
        <w:rPr>
          <w:sz w:val="16"/>
          <w:szCs w:val="16"/>
          <w:lang w:val="en-US"/>
        </w:rPr>
        <w:t>publicaties</w:t>
      </w:r>
      <w:proofErr w:type="spellEnd"/>
      <w:r w:rsidRPr="004F6728">
        <w:rPr>
          <w:sz w:val="16"/>
          <w:szCs w:val="16"/>
          <w:lang w:val="en-US"/>
        </w:rPr>
        <w:t xml:space="preserve"> van de </w:t>
      </w:r>
      <w:proofErr w:type="spellStart"/>
      <w:r w:rsidRPr="004F6728">
        <w:rPr>
          <w:sz w:val="16"/>
          <w:szCs w:val="16"/>
          <w:lang w:val="en-US"/>
        </w:rPr>
        <w:t>Europese</w:t>
      </w:r>
      <w:proofErr w:type="spellEnd"/>
      <w:r w:rsidRPr="004F6728">
        <w:rPr>
          <w:sz w:val="16"/>
          <w:szCs w:val="16"/>
          <w:lang w:val="en-US"/>
        </w:rPr>
        <w:t xml:space="preserve"> </w:t>
      </w:r>
      <w:proofErr w:type="spellStart"/>
      <w:r w:rsidRPr="004F6728">
        <w:rPr>
          <w:sz w:val="16"/>
          <w:szCs w:val="16"/>
          <w:lang w:val="en-US"/>
        </w:rPr>
        <w:t>Unie</w:t>
      </w:r>
      <w:proofErr w:type="spellEnd"/>
      <w:r w:rsidRPr="004F6728">
        <w:rPr>
          <w:sz w:val="16"/>
          <w:szCs w:val="16"/>
          <w:lang w:val="en-US"/>
        </w:rPr>
        <w:t>, 2022, 18.</w:t>
      </w:r>
    </w:p>
  </w:footnote>
  <w:footnote w:id="617">
    <w:p w14:paraId="66E1759F" w14:textId="77777777" w:rsidR="006D7007" w:rsidRPr="0086280A" w:rsidRDefault="006D7007" w:rsidP="006D7007">
      <w:pPr>
        <w:pStyle w:val="Voetnoottekst"/>
        <w:jc w:val="both"/>
        <w:rPr>
          <w:sz w:val="16"/>
          <w:szCs w:val="16"/>
          <w:lang w:val="nl-NL"/>
        </w:rPr>
      </w:pPr>
      <w:r w:rsidRPr="0086280A">
        <w:rPr>
          <w:rStyle w:val="Voetnootmarkering"/>
          <w:sz w:val="16"/>
          <w:szCs w:val="16"/>
          <w:lang w:val="nl-NL"/>
        </w:rPr>
        <w:footnoteRef/>
      </w:r>
      <w:r w:rsidRPr="0086280A">
        <w:rPr>
          <w:sz w:val="16"/>
          <w:szCs w:val="16"/>
          <w:lang w:val="nl-NL"/>
        </w:rPr>
        <w:t xml:space="preserve"> De invloeden vanuit het IVRK worden ook onderstreept in de EU-agenda voor de rechten van het kind: “De normen en beginselen van het IVRK moeten het beleid en de maatregelen van de EU die van invloed zijn op de rechten van het kind, blijven aansturen” zie Mededeling (Comm.) voor een EU-agenda voor de rechten van het kind, 15 februari 2011, COM(2011) 0060 def.; EUROPEAN UNION AGENCY FOR FUNDAMENTAL RIGHTS AND COUNCIL OF EUROPE</w:t>
      </w:r>
      <w:r w:rsidRPr="0086280A">
        <w:rPr>
          <w:i/>
          <w:sz w:val="16"/>
          <w:szCs w:val="16"/>
          <w:lang w:val="nl-NL"/>
        </w:rPr>
        <w:t>, Handbook on European law relating to the rights of the child</w:t>
      </w:r>
      <w:r w:rsidRPr="0086280A">
        <w:rPr>
          <w:sz w:val="16"/>
          <w:szCs w:val="16"/>
          <w:lang w:val="nl-NL"/>
        </w:rPr>
        <w:t xml:space="preserve">, Luxemburg, Bureau voor publicaties van de Europese Unie, 2022, 28; C. MCGLYNN, “Rights for children?: the potential impact of the European Union Charter of Fundamental Rights”, </w:t>
      </w:r>
      <w:r w:rsidRPr="0086280A">
        <w:rPr>
          <w:i/>
          <w:iCs/>
          <w:sz w:val="16"/>
          <w:szCs w:val="16"/>
          <w:lang w:val="nl-NL"/>
        </w:rPr>
        <w:t>European Public Law</w:t>
      </w:r>
      <w:r w:rsidRPr="0086280A">
        <w:rPr>
          <w:sz w:val="16"/>
          <w:szCs w:val="16"/>
          <w:lang w:val="nl-NL"/>
        </w:rPr>
        <w:t>, vol. 8, nr. 3, 394-395.</w:t>
      </w:r>
    </w:p>
  </w:footnote>
  <w:footnote w:id="618">
    <w:p w14:paraId="726A3C89" w14:textId="77777777" w:rsidR="006D7007" w:rsidRPr="004F6728" w:rsidRDefault="006D7007" w:rsidP="006D7007">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EUROPEAN UNION AGENCY FOR FUNDAMENTAL RIGHTS AND COUNCIL OF EUROPE</w:t>
      </w:r>
      <w:r w:rsidRPr="004F6728">
        <w:rPr>
          <w:i/>
          <w:sz w:val="16"/>
          <w:szCs w:val="16"/>
          <w:lang w:val="en-US"/>
        </w:rPr>
        <w:t>, Handbook on European law relating to the rights of the child</w:t>
      </w:r>
      <w:r w:rsidRPr="004F6728">
        <w:rPr>
          <w:sz w:val="16"/>
          <w:szCs w:val="16"/>
          <w:lang w:val="en-US"/>
        </w:rPr>
        <w:t xml:space="preserve">, Luxemburg, Bureau </w:t>
      </w:r>
      <w:proofErr w:type="spellStart"/>
      <w:r w:rsidRPr="004F6728">
        <w:rPr>
          <w:sz w:val="16"/>
          <w:szCs w:val="16"/>
          <w:lang w:val="en-US"/>
        </w:rPr>
        <w:t>voor</w:t>
      </w:r>
      <w:proofErr w:type="spellEnd"/>
      <w:r w:rsidRPr="004F6728">
        <w:rPr>
          <w:sz w:val="16"/>
          <w:szCs w:val="16"/>
          <w:lang w:val="en-US"/>
        </w:rPr>
        <w:t xml:space="preserve"> </w:t>
      </w:r>
      <w:proofErr w:type="spellStart"/>
      <w:r w:rsidRPr="004F6728">
        <w:rPr>
          <w:sz w:val="16"/>
          <w:szCs w:val="16"/>
          <w:lang w:val="en-US"/>
        </w:rPr>
        <w:t>publicaties</w:t>
      </w:r>
      <w:proofErr w:type="spellEnd"/>
      <w:r w:rsidRPr="004F6728">
        <w:rPr>
          <w:sz w:val="16"/>
          <w:szCs w:val="16"/>
          <w:lang w:val="en-US"/>
        </w:rPr>
        <w:t xml:space="preserve"> van de </w:t>
      </w:r>
      <w:proofErr w:type="spellStart"/>
      <w:r w:rsidRPr="004F6728">
        <w:rPr>
          <w:sz w:val="16"/>
          <w:szCs w:val="16"/>
          <w:lang w:val="en-US"/>
        </w:rPr>
        <w:t>Europese</w:t>
      </w:r>
      <w:proofErr w:type="spellEnd"/>
      <w:r w:rsidRPr="004F6728">
        <w:rPr>
          <w:sz w:val="16"/>
          <w:szCs w:val="16"/>
          <w:lang w:val="en-US"/>
        </w:rPr>
        <w:t xml:space="preserve"> </w:t>
      </w:r>
      <w:proofErr w:type="spellStart"/>
      <w:r w:rsidRPr="004F6728">
        <w:rPr>
          <w:sz w:val="16"/>
          <w:szCs w:val="16"/>
          <w:lang w:val="en-US"/>
        </w:rPr>
        <w:t>Unie</w:t>
      </w:r>
      <w:proofErr w:type="spellEnd"/>
      <w:r w:rsidRPr="004F6728">
        <w:rPr>
          <w:sz w:val="16"/>
          <w:szCs w:val="16"/>
          <w:lang w:val="en-US"/>
        </w:rPr>
        <w:t>, 2022, 83.</w:t>
      </w:r>
    </w:p>
  </w:footnote>
  <w:footnote w:id="619">
    <w:p w14:paraId="70A1438F" w14:textId="77777777" w:rsidR="006D7007" w:rsidRPr="004F6728" w:rsidRDefault="006D7007" w:rsidP="006D7007">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w:t>
      </w:r>
      <w:r w:rsidRPr="004F6728">
        <w:rPr>
          <w:i/>
          <w:iCs/>
          <w:sz w:val="16"/>
          <w:szCs w:val="16"/>
          <w:lang w:val="en-US"/>
        </w:rPr>
        <w:t>Ibid</w:t>
      </w:r>
      <w:r w:rsidRPr="004F6728">
        <w:rPr>
          <w:sz w:val="16"/>
          <w:szCs w:val="16"/>
          <w:lang w:val="en-US"/>
        </w:rPr>
        <w:t>.</w:t>
      </w:r>
    </w:p>
  </w:footnote>
  <w:footnote w:id="620">
    <w:p w14:paraId="75A9C573" w14:textId="77777777" w:rsidR="006D7007" w:rsidRPr="004F6728" w:rsidRDefault="006D7007" w:rsidP="006D7007">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C. MCGLYNN, “Rights for children?: the potential impact of the European Union Charter of Fundamental Rights”, </w:t>
      </w:r>
      <w:r w:rsidRPr="004F6728">
        <w:rPr>
          <w:i/>
          <w:iCs/>
          <w:sz w:val="16"/>
          <w:szCs w:val="16"/>
          <w:lang w:val="en-US"/>
        </w:rPr>
        <w:t>European Public Law</w:t>
      </w:r>
      <w:r w:rsidRPr="004F6728">
        <w:rPr>
          <w:sz w:val="16"/>
          <w:szCs w:val="16"/>
          <w:lang w:val="en-US"/>
        </w:rPr>
        <w:t>, vol. 8, nr. 3, 398-399.</w:t>
      </w:r>
    </w:p>
  </w:footnote>
  <w:footnote w:id="621">
    <w:p w14:paraId="0D08BA67" w14:textId="77777777" w:rsidR="006D7007" w:rsidRPr="004F6728" w:rsidRDefault="006D7007" w:rsidP="006D7007">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P. ALSTON en J. TOBIN, </w:t>
      </w:r>
      <w:r w:rsidRPr="004F6728">
        <w:rPr>
          <w:i/>
          <w:iCs/>
          <w:sz w:val="16"/>
          <w:szCs w:val="16"/>
          <w:lang w:val="en-US"/>
        </w:rPr>
        <w:t>Laying the Foundations for Children’s Rights: An Independent Study of Some Key Legal and Institutional Aspects of the Impact of the Convention on the Rights of the Child</w:t>
      </w:r>
      <w:r w:rsidRPr="004F6728">
        <w:rPr>
          <w:sz w:val="16"/>
          <w:szCs w:val="16"/>
          <w:lang w:val="en-US"/>
        </w:rPr>
        <w:t xml:space="preserve">, UNICEF </w:t>
      </w:r>
      <w:proofErr w:type="spellStart"/>
      <w:r w:rsidRPr="004F6728">
        <w:rPr>
          <w:sz w:val="16"/>
          <w:szCs w:val="16"/>
          <w:lang w:val="en-US"/>
        </w:rPr>
        <w:t>Innocenti</w:t>
      </w:r>
      <w:proofErr w:type="spellEnd"/>
      <w:r w:rsidRPr="004F6728">
        <w:rPr>
          <w:sz w:val="16"/>
          <w:szCs w:val="16"/>
          <w:lang w:val="en-US"/>
        </w:rPr>
        <w:t xml:space="preserve"> Research Centre 3, 2005, 20.</w:t>
      </w:r>
    </w:p>
  </w:footnote>
  <w:footnote w:id="622">
    <w:p w14:paraId="22E3AB01" w14:textId="5D07A414" w:rsidR="006D7007" w:rsidRPr="004F6728" w:rsidRDefault="006D7007" w:rsidP="006D7007">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w:t>
      </w:r>
      <w:r w:rsidR="00386B0D" w:rsidRPr="004F6728">
        <w:rPr>
          <w:sz w:val="16"/>
          <w:szCs w:val="16"/>
          <w:lang w:val="en-US"/>
        </w:rPr>
        <w:t>EUROPEES PARLEMENT, RAAD VAN DE EUROPESE UNIE, EUROPESE COMMISSIE, “</w:t>
      </w:r>
      <w:proofErr w:type="spellStart"/>
      <w:r w:rsidR="00386B0D" w:rsidRPr="004F6728">
        <w:rPr>
          <w:sz w:val="16"/>
          <w:szCs w:val="16"/>
          <w:lang w:val="en-US"/>
        </w:rPr>
        <w:t>Toelichtingen</w:t>
      </w:r>
      <w:proofErr w:type="spellEnd"/>
      <w:r w:rsidR="00386B0D" w:rsidRPr="004F6728">
        <w:rPr>
          <w:sz w:val="16"/>
          <w:szCs w:val="16"/>
          <w:lang w:val="en-US"/>
        </w:rPr>
        <w:t xml:space="preserve"> bij het </w:t>
      </w:r>
      <w:proofErr w:type="spellStart"/>
      <w:r w:rsidR="00386B0D" w:rsidRPr="004F6728">
        <w:rPr>
          <w:sz w:val="16"/>
          <w:szCs w:val="16"/>
          <w:lang w:val="en-US"/>
        </w:rPr>
        <w:t>Handvest</w:t>
      </w:r>
      <w:proofErr w:type="spellEnd"/>
      <w:r w:rsidR="00386B0D" w:rsidRPr="004F6728">
        <w:rPr>
          <w:sz w:val="16"/>
          <w:szCs w:val="16"/>
          <w:lang w:val="en-US"/>
        </w:rPr>
        <w:t xml:space="preserve"> van de </w:t>
      </w:r>
      <w:proofErr w:type="spellStart"/>
      <w:r w:rsidR="00386B0D" w:rsidRPr="004F6728">
        <w:rPr>
          <w:sz w:val="16"/>
          <w:szCs w:val="16"/>
          <w:lang w:val="en-US"/>
        </w:rPr>
        <w:t>grondrechten</w:t>
      </w:r>
      <w:proofErr w:type="spellEnd"/>
      <w:r w:rsidR="00386B0D" w:rsidRPr="004F6728">
        <w:rPr>
          <w:sz w:val="16"/>
          <w:szCs w:val="16"/>
          <w:lang w:val="en-US"/>
        </w:rPr>
        <w:t>”, 2007, 2007/C 303/02, PB 2007 C 303, 17-35</w:t>
      </w:r>
      <w:r w:rsidR="00386B0D">
        <w:rPr>
          <w:sz w:val="16"/>
          <w:szCs w:val="16"/>
          <w:lang w:val="en-US"/>
        </w:rPr>
        <w:t xml:space="preserve">; </w:t>
      </w:r>
      <w:r w:rsidRPr="004F6728">
        <w:rPr>
          <w:sz w:val="16"/>
          <w:szCs w:val="16"/>
          <w:lang w:val="en-US"/>
        </w:rPr>
        <w:t>EUROPEAN UNION AGENCY FOR FUNDAMENTAL RIGHTS AND COUNCIL OF EUROPE</w:t>
      </w:r>
      <w:r w:rsidRPr="004F6728">
        <w:rPr>
          <w:i/>
          <w:sz w:val="16"/>
          <w:szCs w:val="16"/>
          <w:lang w:val="en-US"/>
        </w:rPr>
        <w:t>, Handbook on European law relating to the rights of the child</w:t>
      </w:r>
      <w:r w:rsidRPr="004F6728">
        <w:rPr>
          <w:sz w:val="16"/>
          <w:szCs w:val="16"/>
          <w:lang w:val="en-US"/>
        </w:rPr>
        <w:t xml:space="preserve">, Luxemburg, Bureau </w:t>
      </w:r>
      <w:proofErr w:type="spellStart"/>
      <w:r w:rsidRPr="004F6728">
        <w:rPr>
          <w:sz w:val="16"/>
          <w:szCs w:val="16"/>
          <w:lang w:val="en-US"/>
        </w:rPr>
        <w:t>voor</w:t>
      </w:r>
      <w:proofErr w:type="spellEnd"/>
      <w:r w:rsidRPr="004F6728">
        <w:rPr>
          <w:sz w:val="16"/>
          <w:szCs w:val="16"/>
          <w:lang w:val="en-US"/>
        </w:rPr>
        <w:t xml:space="preserve"> </w:t>
      </w:r>
      <w:proofErr w:type="spellStart"/>
      <w:r w:rsidRPr="004F6728">
        <w:rPr>
          <w:sz w:val="16"/>
          <w:szCs w:val="16"/>
          <w:lang w:val="en-US"/>
        </w:rPr>
        <w:t>publicaties</w:t>
      </w:r>
      <w:proofErr w:type="spellEnd"/>
      <w:r w:rsidRPr="004F6728">
        <w:rPr>
          <w:sz w:val="16"/>
          <w:szCs w:val="16"/>
          <w:lang w:val="en-US"/>
        </w:rPr>
        <w:t xml:space="preserve"> van de </w:t>
      </w:r>
      <w:proofErr w:type="spellStart"/>
      <w:r w:rsidRPr="004F6728">
        <w:rPr>
          <w:sz w:val="16"/>
          <w:szCs w:val="16"/>
          <w:lang w:val="en-US"/>
        </w:rPr>
        <w:t>Europese</w:t>
      </w:r>
      <w:proofErr w:type="spellEnd"/>
      <w:r w:rsidRPr="004F6728">
        <w:rPr>
          <w:sz w:val="16"/>
          <w:szCs w:val="16"/>
          <w:lang w:val="en-US"/>
        </w:rPr>
        <w:t xml:space="preserve"> </w:t>
      </w:r>
      <w:proofErr w:type="spellStart"/>
      <w:r w:rsidRPr="004F6728">
        <w:rPr>
          <w:sz w:val="16"/>
          <w:szCs w:val="16"/>
          <w:lang w:val="en-US"/>
        </w:rPr>
        <w:t>Unie</w:t>
      </w:r>
      <w:proofErr w:type="spellEnd"/>
      <w:r w:rsidRPr="004F6728">
        <w:rPr>
          <w:sz w:val="16"/>
          <w:szCs w:val="16"/>
          <w:lang w:val="en-US"/>
        </w:rPr>
        <w:t>, 2022, 80.</w:t>
      </w:r>
    </w:p>
  </w:footnote>
  <w:footnote w:id="623">
    <w:p w14:paraId="132417F0" w14:textId="77777777" w:rsidR="006D7007" w:rsidRPr="004F6728" w:rsidRDefault="006D7007" w:rsidP="006D7007">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Zie </w:t>
      </w:r>
      <w:proofErr w:type="spellStart"/>
      <w:r w:rsidRPr="004F6728">
        <w:rPr>
          <w:sz w:val="16"/>
          <w:szCs w:val="16"/>
          <w:lang w:val="en-US"/>
        </w:rPr>
        <w:t>bv</w:t>
      </w:r>
      <w:proofErr w:type="spellEnd"/>
      <w:r w:rsidRPr="004F6728">
        <w:rPr>
          <w:sz w:val="16"/>
          <w:szCs w:val="16"/>
          <w:lang w:val="en-US"/>
        </w:rPr>
        <w:t xml:space="preserve">. HvJ-EU 23 </w:t>
      </w:r>
      <w:proofErr w:type="spellStart"/>
      <w:r w:rsidRPr="004F6728">
        <w:rPr>
          <w:sz w:val="16"/>
          <w:szCs w:val="16"/>
          <w:lang w:val="en-US"/>
        </w:rPr>
        <w:t>december</w:t>
      </w:r>
      <w:proofErr w:type="spellEnd"/>
      <w:r w:rsidRPr="004F6728">
        <w:rPr>
          <w:sz w:val="16"/>
          <w:szCs w:val="16"/>
          <w:lang w:val="en-US"/>
        </w:rPr>
        <w:t xml:space="preserve"> 2009, C-403/09 PPU, </w:t>
      </w:r>
      <w:proofErr w:type="spellStart"/>
      <w:r w:rsidRPr="004F6728">
        <w:rPr>
          <w:i/>
          <w:iCs/>
          <w:sz w:val="16"/>
          <w:szCs w:val="16"/>
          <w:lang w:val="en-US"/>
        </w:rPr>
        <w:t>Jasna</w:t>
      </w:r>
      <w:proofErr w:type="spellEnd"/>
      <w:r w:rsidRPr="004F6728">
        <w:rPr>
          <w:i/>
          <w:iCs/>
          <w:sz w:val="16"/>
          <w:szCs w:val="16"/>
          <w:lang w:val="en-US"/>
        </w:rPr>
        <w:t xml:space="preserve"> </w:t>
      </w:r>
      <w:proofErr w:type="spellStart"/>
      <w:r w:rsidRPr="004F6728">
        <w:rPr>
          <w:i/>
          <w:iCs/>
          <w:sz w:val="16"/>
          <w:szCs w:val="16"/>
          <w:lang w:val="en-US"/>
        </w:rPr>
        <w:t>Deticek</w:t>
      </w:r>
      <w:proofErr w:type="spellEnd"/>
      <w:r w:rsidRPr="004F6728">
        <w:rPr>
          <w:i/>
          <w:iCs/>
          <w:sz w:val="16"/>
          <w:szCs w:val="16"/>
          <w:lang w:val="en-US"/>
        </w:rPr>
        <w:t xml:space="preserve">/Maurizio </w:t>
      </w:r>
      <w:proofErr w:type="spellStart"/>
      <w:r w:rsidRPr="004F6728">
        <w:rPr>
          <w:i/>
          <w:iCs/>
          <w:sz w:val="16"/>
          <w:szCs w:val="16"/>
          <w:lang w:val="en-US"/>
        </w:rPr>
        <w:t>Sgueglia</w:t>
      </w:r>
      <w:proofErr w:type="spellEnd"/>
      <w:r w:rsidRPr="004F6728">
        <w:rPr>
          <w:sz w:val="16"/>
          <w:szCs w:val="16"/>
          <w:lang w:val="en-US"/>
        </w:rPr>
        <w:t>, §59; EUROPEAN UNION AGENCY FOR FUNDAMENTAL RIGHTS AND COUNCIL OF EUROPE</w:t>
      </w:r>
      <w:r w:rsidRPr="004F6728">
        <w:rPr>
          <w:i/>
          <w:sz w:val="16"/>
          <w:szCs w:val="16"/>
          <w:lang w:val="en-US"/>
        </w:rPr>
        <w:t>, Handbook on European law relating to the rights of the child</w:t>
      </w:r>
      <w:r w:rsidRPr="004F6728">
        <w:rPr>
          <w:sz w:val="16"/>
          <w:szCs w:val="16"/>
          <w:lang w:val="en-US"/>
        </w:rPr>
        <w:t xml:space="preserve">, Luxemburg, Bureau </w:t>
      </w:r>
      <w:proofErr w:type="spellStart"/>
      <w:r w:rsidRPr="004F6728">
        <w:rPr>
          <w:sz w:val="16"/>
          <w:szCs w:val="16"/>
          <w:lang w:val="en-US"/>
        </w:rPr>
        <w:t>voor</w:t>
      </w:r>
      <w:proofErr w:type="spellEnd"/>
      <w:r w:rsidRPr="004F6728">
        <w:rPr>
          <w:sz w:val="16"/>
          <w:szCs w:val="16"/>
          <w:lang w:val="en-US"/>
        </w:rPr>
        <w:t xml:space="preserve"> </w:t>
      </w:r>
      <w:proofErr w:type="spellStart"/>
      <w:r w:rsidRPr="004F6728">
        <w:rPr>
          <w:sz w:val="16"/>
          <w:szCs w:val="16"/>
          <w:lang w:val="en-US"/>
        </w:rPr>
        <w:t>publicaties</w:t>
      </w:r>
      <w:proofErr w:type="spellEnd"/>
      <w:r w:rsidRPr="004F6728">
        <w:rPr>
          <w:sz w:val="16"/>
          <w:szCs w:val="16"/>
          <w:lang w:val="en-US"/>
        </w:rPr>
        <w:t xml:space="preserve"> van de </w:t>
      </w:r>
      <w:proofErr w:type="spellStart"/>
      <w:r w:rsidRPr="004F6728">
        <w:rPr>
          <w:sz w:val="16"/>
          <w:szCs w:val="16"/>
          <w:lang w:val="en-US"/>
        </w:rPr>
        <w:t>Europese</w:t>
      </w:r>
      <w:proofErr w:type="spellEnd"/>
      <w:r w:rsidRPr="004F6728">
        <w:rPr>
          <w:sz w:val="16"/>
          <w:szCs w:val="16"/>
          <w:lang w:val="en-US"/>
        </w:rPr>
        <w:t xml:space="preserve"> </w:t>
      </w:r>
      <w:proofErr w:type="spellStart"/>
      <w:r w:rsidRPr="004F6728">
        <w:rPr>
          <w:sz w:val="16"/>
          <w:szCs w:val="16"/>
          <w:lang w:val="en-US"/>
        </w:rPr>
        <w:t>Unie</w:t>
      </w:r>
      <w:proofErr w:type="spellEnd"/>
      <w:r w:rsidRPr="004F6728">
        <w:rPr>
          <w:sz w:val="16"/>
          <w:szCs w:val="16"/>
          <w:lang w:val="en-US"/>
        </w:rPr>
        <w:t>, 2022, 84.</w:t>
      </w:r>
    </w:p>
  </w:footnote>
  <w:footnote w:id="624">
    <w:p w14:paraId="6AB70C1B" w14:textId="77777777" w:rsidR="006D7007" w:rsidRPr="004F6728" w:rsidRDefault="006D7007" w:rsidP="006D7007">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EUROPEAN UNION AGENCY FOR FUNDAMENTAL RIGHTS AND COUNCIL OF EUROPE</w:t>
      </w:r>
      <w:r w:rsidRPr="004F6728">
        <w:rPr>
          <w:i/>
          <w:sz w:val="16"/>
          <w:szCs w:val="16"/>
          <w:lang w:val="en-US"/>
        </w:rPr>
        <w:t>, Handbook on European law relating to the rights of the child</w:t>
      </w:r>
      <w:r w:rsidRPr="004F6728">
        <w:rPr>
          <w:sz w:val="16"/>
          <w:szCs w:val="16"/>
          <w:lang w:val="en-US"/>
        </w:rPr>
        <w:t xml:space="preserve">, Luxemburg, Bureau </w:t>
      </w:r>
      <w:proofErr w:type="spellStart"/>
      <w:r w:rsidRPr="004F6728">
        <w:rPr>
          <w:sz w:val="16"/>
          <w:szCs w:val="16"/>
          <w:lang w:val="en-US"/>
        </w:rPr>
        <w:t>voor</w:t>
      </w:r>
      <w:proofErr w:type="spellEnd"/>
      <w:r w:rsidRPr="004F6728">
        <w:rPr>
          <w:sz w:val="16"/>
          <w:szCs w:val="16"/>
          <w:lang w:val="en-US"/>
        </w:rPr>
        <w:t xml:space="preserve"> </w:t>
      </w:r>
      <w:proofErr w:type="spellStart"/>
      <w:r w:rsidRPr="004F6728">
        <w:rPr>
          <w:sz w:val="16"/>
          <w:szCs w:val="16"/>
          <w:lang w:val="en-US"/>
        </w:rPr>
        <w:t>publicaties</w:t>
      </w:r>
      <w:proofErr w:type="spellEnd"/>
      <w:r w:rsidRPr="004F6728">
        <w:rPr>
          <w:sz w:val="16"/>
          <w:szCs w:val="16"/>
          <w:lang w:val="en-US"/>
        </w:rPr>
        <w:t xml:space="preserve"> van de </w:t>
      </w:r>
      <w:proofErr w:type="spellStart"/>
      <w:r w:rsidRPr="004F6728">
        <w:rPr>
          <w:sz w:val="16"/>
          <w:szCs w:val="16"/>
          <w:lang w:val="en-US"/>
        </w:rPr>
        <w:t>Europese</w:t>
      </w:r>
      <w:proofErr w:type="spellEnd"/>
      <w:r w:rsidRPr="004F6728">
        <w:rPr>
          <w:sz w:val="16"/>
          <w:szCs w:val="16"/>
          <w:lang w:val="en-US"/>
        </w:rPr>
        <w:t xml:space="preserve"> </w:t>
      </w:r>
      <w:proofErr w:type="spellStart"/>
      <w:r w:rsidRPr="004F6728">
        <w:rPr>
          <w:sz w:val="16"/>
          <w:szCs w:val="16"/>
          <w:lang w:val="en-US"/>
        </w:rPr>
        <w:t>Unie</w:t>
      </w:r>
      <w:proofErr w:type="spellEnd"/>
      <w:r w:rsidRPr="004F6728">
        <w:rPr>
          <w:sz w:val="16"/>
          <w:szCs w:val="16"/>
          <w:lang w:val="en-US"/>
        </w:rPr>
        <w:t>, 2022, 26-27.</w:t>
      </w:r>
    </w:p>
  </w:footnote>
  <w:footnote w:id="625">
    <w:p w14:paraId="0B585150" w14:textId="77777777" w:rsidR="006D7007" w:rsidRPr="004F6728" w:rsidRDefault="006D7007" w:rsidP="006D7007">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C. MCGLYNN, “Rights for children?: the potential impact of the European Union Charter of Fundamental Rights”, </w:t>
      </w:r>
      <w:r w:rsidRPr="004F6728">
        <w:rPr>
          <w:i/>
          <w:iCs/>
          <w:sz w:val="16"/>
          <w:szCs w:val="16"/>
          <w:lang w:val="en-US"/>
        </w:rPr>
        <w:t>European Public Law</w:t>
      </w:r>
      <w:r w:rsidRPr="004F6728">
        <w:rPr>
          <w:sz w:val="16"/>
          <w:szCs w:val="16"/>
          <w:lang w:val="en-US"/>
        </w:rPr>
        <w:t>, vol. 8, nr. 3, 400.</w:t>
      </w:r>
    </w:p>
  </w:footnote>
  <w:footnote w:id="626">
    <w:p w14:paraId="563413F2" w14:textId="77777777" w:rsidR="006D7007" w:rsidRPr="004F6728" w:rsidRDefault="006D7007" w:rsidP="006D7007">
      <w:pPr>
        <w:pStyle w:val="Voetnoottekst"/>
        <w:jc w:val="both"/>
        <w:rPr>
          <w:sz w:val="16"/>
          <w:szCs w:val="16"/>
          <w:lang w:val="en-US"/>
        </w:rPr>
      </w:pPr>
      <w:r w:rsidRPr="0086280A">
        <w:rPr>
          <w:rStyle w:val="Voetnootmarkering"/>
          <w:sz w:val="16"/>
          <w:szCs w:val="16"/>
          <w:lang w:val="nl-NL"/>
        </w:rPr>
        <w:footnoteRef/>
      </w:r>
      <w:r w:rsidRPr="004F6728">
        <w:rPr>
          <w:sz w:val="16"/>
          <w:szCs w:val="16"/>
          <w:lang w:val="en-US"/>
        </w:rPr>
        <w:t xml:space="preserve"> P. ALSTON en J. TOBIN, </w:t>
      </w:r>
      <w:r w:rsidRPr="004F6728">
        <w:rPr>
          <w:i/>
          <w:iCs/>
          <w:sz w:val="16"/>
          <w:szCs w:val="16"/>
          <w:lang w:val="en-US"/>
        </w:rPr>
        <w:t>Laying the Foundations for Children’s Rights: An Independent Study of Some Key Legal and Institutional Aspects of the Impact of the Convention on the Rights of the Child</w:t>
      </w:r>
      <w:r w:rsidRPr="004F6728">
        <w:rPr>
          <w:sz w:val="16"/>
          <w:szCs w:val="16"/>
          <w:lang w:val="en-US"/>
        </w:rPr>
        <w:t xml:space="preserve">, UNICEF </w:t>
      </w:r>
      <w:proofErr w:type="spellStart"/>
      <w:r w:rsidRPr="004F6728">
        <w:rPr>
          <w:sz w:val="16"/>
          <w:szCs w:val="16"/>
          <w:lang w:val="en-US"/>
        </w:rPr>
        <w:t>Innocenti</w:t>
      </w:r>
      <w:proofErr w:type="spellEnd"/>
      <w:r w:rsidRPr="004F6728">
        <w:rPr>
          <w:sz w:val="16"/>
          <w:szCs w:val="16"/>
          <w:lang w:val="en-US"/>
        </w:rPr>
        <w:t xml:space="preserve"> Research Centre 3, 2005, 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B3F8" w14:textId="77777777" w:rsidR="007C7390" w:rsidRDefault="007C739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5D591" w14:textId="77777777" w:rsidR="007C7390" w:rsidRDefault="007C739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20758" w14:textId="77777777" w:rsidR="007C7390" w:rsidRDefault="007C739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0D96"/>
    <w:multiLevelType w:val="hybridMultilevel"/>
    <w:tmpl w:val="F7D8BC9A"/>
    <w:lvl w:ilvl="0" w:tplc="BC28BC3C">
      <w:start w:val="14"/>
      <w:numFmt w:val="bullet"/>
      <w:lvlText w:val=""/>
      <w:lvlJc w:val="left"/>
      <w:pPr>
        <w:ind w:left="720" w:hanging="360"/>
      </w:pPr>
      <w:rPr>
        <w:rFonts w:ascii="Wingdings" w:eastAsia="Verdana" w:hAnsi="Wingdings"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A01764"/>
    <w:multiLevelType w:val="hybridMultilevel"/>
    <w:tmpl w:val="F4CA8FD2"/>
    <w:lvl w:ilvl="0" w:tplc="F32A4B6A">
      <w:start w:val="1"/>
      <w:numFmt w:val="decimal"/>
      <w:lvlText w:val="%1."/>
      <w:lvlJc w:val="left"/>
      <w:pPr>
        <w:ind w:left="360" w:hanging="360"/>
      </w:pPr>
      <w:rPr>
        <w:rFonts w:hint="default"/>
        <w:b/>
        <w:bCs/>
        <w:i w:val="0"/>
        <w:iCs/>
        <w:color w:val="auto"/>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FF21E0A"/>
    <w:multiLevelType w:val="multilevel"/>
    <w:tmpl w:val="A948A6E4"/>
    <w:lvl w:ilvl="0">
      <w:start w:val="1"/>
      <w:numFmt w:val="bullet"/>
      <w:lvlText w:val="-"/>
      <w:lvlJc w:val="left"/>
      <w:pPr>
        <w:ind w:left="720" w:hanging="360"/>
      </w:pPr>
      <w:rPr>
        <w:sz w:val="15"/>
        <w:szCs w:val="15"/>
        <w:u w:val="none"/>
      </w:rPr>
    </w:lvl>
    <w:lvl w:ilvl="1">
      <w:start w:val="1"/>
      <w:numFmt w:val="bullet"/>
      <w:lvlText w:val="o"/>
      <w:lvlJc w:val="left"/>
      <w:pPr>
        <w:ind w:left="1636" w:hanging="360"/>
      </w:pPr>
      <w:rPr>
        <w:rFonts w:ascii="Courier New" w:hAnsi="Courier New" w:cs="Courier New" w:hint="default"/>
      </w:rPr>
    </w:lvl>
    <w:lvl w:ilvl="2">
      <w:start w:val="1"/>
      <w:numFmt w:val="bullet"/>
      <w:lvlText w:val="-"/>
      <w:lvlJc w:val="left"/>
      <w:pPr>
        <w:ind w:left="1636" w:hanging="360"/>
      </w:pPr>
      <w:rPr>
        <w:u w:val="none"/>
      </w:rPr>
    </w:lvl>
    <w:lvl w:ilvl="3">
      <w:start w:val="1"/>
      <w:numFmt w:val="bullet"/>
      <w:lvlText w:val="-"/>
      <w:lvlJc w:val="left"/>
      <w:pPr>
        <w:ind w:left="2628"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1F3584"/>
    <w:multiLevelType w:val="hybridMultilevel"/>
    <w:tmpl w:val="5ABC2FF2"/>
    <w:lvl w:ilvl="0" w:tplc="A5681C84">
      <w:start w:val="22"/>
      <w:numFmt w:val="bullet"/>
      <w:lvlText w:val=""/>
      <w:lvlJc w:val="left"/>
      <w:pPr>
        <w:ind w:left="1060" w:hanging="360"/>
      </w:pPr>
      <w:rPr>
        <w:rFonts w:ascii="Wingdings" w:eastAsia="Verdana" w:hAnsi="Wingdings" w:cs="Verdana" w:hint="default"/>
        <w:i w:val="0"/>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4" w15:restartNumberingAfterBreak="0">
    <w:nsid w:val="4F1C30B5"/>
    <w:multiLevelType w:val="hybridMultilevel"/>
    <w:tmpl w:val="018EF52C"/>
    <w:lvl w:ilvl="0" w:tplc="269C7978">
      <w:start w:val="1"/>
      <w:numFmt w:val="decimal"/>
      <w:lvlText w:val="%1."/>
      <w:lvlJc w:val="left"/>
      <w:pPr>
        <w:ind w:left="0" w:firstLine="0"/>
      </w:pPr>
      <w:rPr>
        <w:rFonts w:hint="default"/>
        <w:b/>
        <w:bCs/>
        <w:i w:val="0"/>
        <w:iCs/>
        <w:color w:val="auto"/>
        <w14:textOutline w14:w="0" w14:cap="rnd" w14:cmpd="sng" w14:algn="ctr">
          <w14:noFill/>
          <w14:prstDash w14:val="solid"/>
          <w14:bevel/>
        </w14:textOutline>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553107E3"/>
    <w:multiLevelType w:val="hybridMultilevel"/>
    <w:tmpl w:val="B6265FD2"/>
    <w:lvl w:ilvl="0" w:tplc="1026FCAA">
      <w:start w:val="1"/>
      <w:numFmt w:val="upperLetter"/>
      <w:pStyle w:val="Kop2"/>
      <w:lvlText w:val="%1."/>
      <w:lvlJc w:val="left"/>
      <w:pPr>
        <w:ind w:left="360" w:hanging="360"/>
      </w:pPr>
    </w:lvl>
    <w:lvl w:ilvl="1" w:tplc="67BC1CD0">
      <w:start w:val="5"/>
      <w:numFmt w:val="bullet"/>
      <w:lvlText w:val="-"/>
      <w:lvlJc w:val="left"/>
      <w:pPr>
        <w:ind w:left="1080" w:hanging="360"/>
      </w:pPr>
      <w:rPr>
        <w:rFonts w:ascii="Verdana" w:eastAsiaTheme="minorHAnsi" w:hAnsi="Verdana" w:cstheme="minorBidi" w:hint="default"/>
        <w:b/>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5A7B7897"/>
    <w:multiLevelType w:val="hybridMultilevel"/>
    <w:tmpl w:val="1BBA1C3C"/>
    <w:lvl w:ilvl="0" w:tplc="7EC007C6">
      <w:start w:val="1"/>
      <w:numFmt w:val="lowerLetter"/>
      <w:pStyle w:val="Kop3"/>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6BD35974"/>
    <w:multiLevelType w:val="hybridMultilevel"/>
    <w:tmpl w:val="FC4A4558"/>
    <w:lvl w:ilvl="0" w:tplc="CD7A3E56">
      <w:start w:val="14"/>
      <w:numFmt w:val="bullet"/>
      <w:lvlText w:val=""/>
      <w:lvlJc w:val="left"/>
      <w:pPr>
        <w:ind w:left="720" w:hanging="360"/>
      </w:pPr>
      <w:rPr>
        <w:rFonts w:ascii="Wingdings" w:eastAsia="Verdana" w:hAnsi="Wingdings"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55951938">
    <w:abstractNumId w:val="5"/>
  </w:num>
  <w:num w:numId="2" w16cid:durableId="1457868541">
    <w:abstractNumId w:val="6"/>
  </w:num>
  <w:num w:numId="3" w16cid:durableId="204828992">
    <w:abstractNumId w:val="4"/>
  </w:num>
  <w:num w:numId="4" w16cid:durableId="162012161">
    <w:abstractNumId w:val="1"/>
  </w:num>
  <w:num w:numId="5" w16cid:durableId="584149983">
    <w:abstractNumId w:val="2"/>
  </w:num>
  <w:num w:numId="6" w16cid:durableId="91897691">
    <w:abstractNumId w:val="3"/>
  </w:num>
  <w:num w:numId="7" w16cid:durableId="775246967">
    <w:abstractNumId w:val="5"/>
  </w:num>
  <w:num w:numId="8" w16cid:durableId="153113113">
    <w:abstractNumId w:val="5"/>
  </w:num>
  <w:num w:numId="9" w16cid:durableId="447314358">
    <w:abstractNumId w:val="6"/>
  </w:num>
  <w:num w:numId="10" w16cid:durableId="67923373">
    <w:abstractNumId w:val="6"/>
  </w:num>
  <w:num w:numId="11" w16cid:durableId="768890379">
    <w:abstractNumId w:val="6"/>
  </w:num>
  <w:num w:numId="12" w16cid:durableId="1267812470">
    <w:abstractNumId w:val="6"/>
  </w:num>
  <w:num w:numId="13" w16cid:durableId="366948142">
    <w:abstractNumId w:val="6"/>
  </w:num>
  <w:num w:numId="14" w16cid:durableId="875433667">
    <w:abstractNumId w:val="6"/>
  </w:num>
  <w:num w:numId="15" w16cid:durableId="1682270243">
    <w:abstractNumId w:val="5"/>
  </w:num>
  <w:num w:numId="16" w16cid:durableId="850798443">
    <w:abstractNumId w:val="5"/>
  </w:num>
  <w:num w:numId="17" w16cid:durableId="458299846">
    <w:abstractNumId w:val="6"/>
  </w:num>
  <w:num w:numId="18" w16cid:durableId="502160348">
    <w:abstractNumId w:val="6"/>
  </w:num>
  <w:num w:numId="19" w16cid:durableId="1486507312">
    <w:abstractNumId w:val="6"/>
  </w:num>
  <w:num w:numId="20" w16cid:durableId="1220894576">
    <w:abstractNumId w:val="6"/>
  </w:num>
  <w:num w:numId="21" w16cid:durableId="1964190231">
    <w:abstractNumId w:val="6"/>
  </w:num>
  <w:num w:numId="22" w16cid:durableId="966468778">
    <w:abstractNumId w:val="6"/>
  </w:num>
  <w:num w:numId="23" w16cid:durableId="1488744718">
    <w:abstractNumId w:val="6"/>
  </w:num>
  <w:num w:numId="24" w16cid:durableId="2045136837">
    <w:abstractNumId w:val="6"/>
  </w:num>
  <w:num w:numId="25" w16cid:durableId="1968967744">
    <w:abstractNumId w:val="6"/>
  </w:num>
  <w:num w:numId="26" w16cid:durableId="1191987918">
    <w:abstractNumId w:val="6"/>
  </w:num>
  <w:num w:numId="27" w16cid:durableId="1854341815">
    <w:abstractNumId w:val="6"/>
  </w:num>
  <w:num w:numId="28" w16cid:durableId="175535408">
    <w:abstractNumId w:val="6"/>
  </w:num>
  <w:num w:numId="29" w16cid:durableId="146898500">
    <w:abstractNumId w:val="6"/>
  </w:num>
  <w:num w:numId="30" w16cid:durableId="38215332">
    <w:abstractNumId w:val="6"/>
  </w:num>
  <w:num w:numId="31" w16cid:durableId="1779637440">
    <w:abstractNumId w:val="5"/>
  </w:num>
  <w:num w:numId="32" w16cid:durableId="219750763">
    <w:abstractNumId w:val="6"/>
  </w:num>
  <w:num w:numId="33" w16cid:durableId="2019113621">
    <w:abstractNumId w:val="6"/>
  </w:num>
  <w:num w:numId="34" w16cid:durableId="1796679192">
    <w:abstractNumId w:val="6"/>
  </w:num>
  <w:num w:numId="35" w16cid:durableId="1606644935">
    <w:abstractNumId w:val="6"/>
  </w:num>
  <w:num w:numId="36" w16cid:durableId="358744956">
    <w:abstractNumId w:val="6"/>
  </w:num>
  <w:num w:numId="37" w16cid:durableId="1162044919">
    <w:abstractNumId w:val="6"/>
  </w:num>
  <w:num w:numId="38" w16cid:durableId="495000869">
    <w:abstractNumId w:val="6"/>
  </w:num>
  <w:num w:numId="39" w16cid:durableId="540168704">
    <w:abstractNumId w:val="6"/>
  </w:num>
  <w:num w:numId="40" w16cid:durableId="1450276410">
    <w:abstractNumId w:val="6"/>
  </w:num>
  <w:num w:numId="41" w16cid:durableId="241112099">
    <w:abstractNumId w:val="6"/>
  </w:num>
  <w:num w:numId="42" w16cid:durableId="314728234">
    <w:abstractNumId w:val="0"/>
  </w:num>
  <w:num w:numId="43" w16cid:durableId="206338379">
    <w:abstractNumId w:val="7"/>
  </w:num>
  <w:num w:numId="44" w16cid:durableId="1975868782">
    <w:abstractNumId w:val="5"/>
  </w:num>
  <w:num w:numId="45" w16cid:durableId="111525081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activeWritingStyle w:appName="MSWord" w:lang="nl-NL"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1A"/>
    <w:rsid w:val="00000078"/>
    <w:rsid w:val="000001F2"/>
    <w:rsid w:val="0000139B"/>
    <w:rsid w:val="000025BB"/>
    <w:rsid w:val="00002E1A"/>
    <w:rsid w:val="00003889"/>
    <w:rsid w:val="000046E7"/>
    <w:rsid w:val="00005B4C"/>
    <w:rsid w:val="00010B56"/>
    <w:rsid w:val="00011A16"/>
    <w:rsid w:val="00011B23"/>
    <w:rsid w:val="00012976"/>
    <w:rsid w:val="00014A54"/>
    <w:rsid w:val="00014ED3"/>
    <w:rsid w:val="000152F3"/>
    <w:rsid w:val="00015E3A"/>
    <w:rsid w:val="000214C6"/>
    <w:rsid w:val="00023B89"/>
    <w:rsid w:val="000253A4"/>
    <w:rsid w:val="000262C1"/>
    <w:rsid w:val="00026D80"/>
    <w:rsid w:val="000271B6"/>
    <w:rsid w:val="00031274"/>
    <w:rsid w:val="00033875"/>
    <w:rsid w:val="00034275"/>
    <w:rsid w:val="00034454"/>
    <w:rsid w:val="00034541"/>
    <w:rsid w:val="00034CBE"/>
    <w:rsid w:val="0003707A"/>
    <w:rsid w:val="00040B02"/>
    <w:rsid w:val="00041767"/>
    <w:rsid w:val="00041F6A"/>
    <w:rsid w:val="00042333"/>
    <w:rsid w:val="00043CA6"/>
    <w:rsid w:val="00043E6F"/>
    <w:rsid w:val="00043FF5"/>
    <w:rsid w:val="000443EB"/>
    <w:rsid w:val="000449EA"/>
    <w:rsid w:val="000477DC"/>
    <w:rsid w:val="000505BA"/>
    <w:rsid w:val="00050879"/>
    <w:rsid w:val="000508F2"/>
    <w:rsid w:val="00050E28"/>
    <w:rsid w:val="000515F1"/>
    <w:rsid w:val="00053138"/>
    <w:rsid w:val="00053876"/>
    <w:rsid w:val="00054E69"/>
    <w:rsid w:val="00056DC8"/>
    <w:rsid w:val="000573E7"/>
    <w:rsid w:val="00057D2C"/>
    <w:rsid w:val="000602F7"/>
    <w:rsid w:val="000606B1"/>
    <w:rsid w:val="00060D04"/>
    <w:rsid w:val="000611E0"/>
    <w:rsid w:val="00061F40"/>
    <w:rsid w:val="000638F8"/>
    <w:rsid w:val="00065431"/>
    <w:rsid w:val="00067366"/>
    <w:rsid w:val="00071103"/>
    <w:rsid w:val="0007135E"/>
    <w:rsid w:val="000715CA"/>
    <w:rsid w:val="00071876"/>
    <w:rsid w:val="000728FB"/>
    <w:rsid w:val="000748A8"/>
    <w:rsid w:val="0007791D"/>
    <w:rsid w:val="000800FD"/>
    <w:rsid w:val="0008010C"/>
    <w:rsid w:val="00081B25"/>
    <w:rsid w:val="0008273F"/>
    <w:rsid w:val="00082E2B"/>
    <w:rsid w:val="0008316A"/>
    <w:rsid w:val="00083569"/>
    <w:rsid w:val="00083B07"/>
    <w:rsid w:val="00083F2F"/>
    <w:rsid w:val="00084DE6"/>
    <w:rsid w:val="000855B7"/>
    <w:rsid w:val="000857EF"/>
    <w:rsid w:val="00085878"/>
    <w:rsid w:val="00086510"/>
    <w:rsid w:val="00086993"/>
    <w:rsid w:val="00086D58"/>
    <w:rsid w:val="00090B95"/>
    <w:rsid w:val="00091140"/>
    <w:rsid w:val="0009125B"/>
    <w:rsid w:val="00092F10"/>
    <w:rsid w:val="000939DC"/>
    <w:rsid w:val="00093B9E"/>
    <w:rsid w:val="00093FA4"/>
    <w:rsid w:val="00094F5F"/>
    <w:rsid w:val="000959D3"/>
    <w:rsid w:val="00095EB4"/>
    <w:rsid w:val="00096C7F"/>
    <w:rsid w:val="000A1577"/>
    <w:rsid w:val="000A2044"/>
    <w:rsid w:val="000A26AF"/>
    <w:rsid w:val="000A342A"/>
    <w:rsid w:val="000A36FA"/>
    <w:rsid w:val="000A4020"/>
    <w:rsid w:val="000A4256"/>
    <w:rsid w:val="000A430C"/>
    <w:rsid w:val="000A45CE"/>
    <w:rsid w:val="000A517A"/>
    <w:rsid w:val="000A5B07"/>
    <w:rsid w:val="000A6D71"/>
    <w:rsid w:val="000B0714"/>
    <w:rsid w:val="000B108F"/>
    <w:rsid w:val="000B166E"/>
    <w:rsid w:val="000B3F9B"/>
    <w:rsid w:val="000B5005"/>
    <w:rsid w:val="000B5241"/>
    <w:rsid w:val="000B53FA"/>
    <w:rsid w:val="000B54B0"/>
    <w:rsid w:val="000B5A52"/>
    <w:rsid w:val="000B6F97"/>
    <w:rsid w:val="000C054D"/>
    <w:rsid w:val="000C0CD1"/>
    <w:rsid w:val="000C0D54"/>
    <w:rsid w:val="000C28E1"/>
    <w:rsid w:val="000C36B9"/>
    <w:rsid w:val="000C3751"/>
    <w:rsid w:val="000C3E9E"/>
    <w:rsid w:val="000C4315"/>
    <w:rsid w:val="000C4E60"/>
    <w:rsid w:val="000C67D5"/>
    <w:rsid w:val="000C7187"/>
    <w:rsid w:val="000D02DA"/>
    <w:rsid w:val="000D0D83"/>
    <w:rsid w:val="000D1B4D"/>
    <w:rsid w:val="000D1CE3"/>
    <w:rsid w:val="000D4A77"/>
    <w:rsid w:val="000D4B4A"/>
    <w:rsid w:val="000E0990"/>
    <w:rsid w:val="000E0F9D"/>
    <w:rsid w:val="000E1631"/>
    <w:rsid w:val="000E18A4"/>
    <w:rsid w:val="000E1B86"/>
    <w:rsid w:val="000E2E17"/>
    <w:rsid w:val="000E6078"/>
    <w:rsid w:val="000F0E6E"/>
    <w:rsid w:val="000F1FFE"/>
    <w:rsid w:val="000F23D8"/>
    <w:rsid w:val="000F3AA5"/>
    <w:rsid w:val="000F3E74"/>
    <w:rsid w:val="000F496C"/>
    <w:rsid w:val="000F53E1"/>
    <w:rsid w:val="000F55D3"/>
    <w:rsid w:val="000F567D"/>
    <w:rsid w:val="000F5DBC"/>
    <w:rsid w:val="000F644D"/>
    <w:rsid w:val="000F6BE5"/>
    <w:rsid w:val="000F6EEE"/>
    <w:rsid w:val="00100223"/>
    <w:rsid w:val="001003EB"/>
    <w:rsid w:val="00101022"/>
    <w:rsid w:val="0010130F"/>
    <w:rsid w:val="00101873"/>
    <w:rsid w:val="001018C5"/>
    <w:rsid w:val="00101B57"/>
    <w:rsid w:val="00101E65"/>
    <w:rsid w:val="00102A3A"/>
    <w:rsid w:val="00104FC5"/>
    <w:rsid w:val="001057A7"/>
    <w:rsid w:val="00106354"/>
    <w:rsid w:val="00106AB8"/>
    <w:rsid w:val="00106ECA"/>
    <w:rsid w:val="00111958"/>
    <w:rsid w:val="00111DD8"/>
    <w:rsid w:val="00112074"/>
    <w:rsid w:val="00112EE6"/>
    <w:rsid w:val="00113FE8"/>
    <w:rsid w:val="00116B33"/>
    <w:rsid w:val="00117B8D"/>
    <w:rsid w:val="00120F70"/>
    <w:rsid w:val="001221C7"/>
    <w:rsid w:val="0012267F"/>
    <w:rsid w:val="001232A7"/>
    <w:rsid w:val="001236B8"/>
    <w:rsid w:val="00123A52"/>
    <w:rsid w:val="00123BC6"/>
    <w:rsid w:val="0012420A"/>
    <w:rsid w:val="001242E1"/>
    <w:rsid w:val="00124392"/>
    <w:rsid w:val="00125055"/>
    <w:rsid w:val="001255C7"/>
    <w:rsid w:val="00127F24"/>
    <w:rsid w:val="001300E8"/>
    <w:rsid w:val="00132E81"/>
    <w:rsid w:val="00133575"/>
    <w:rsid w:val="0013367D"/>
    <w:rsid w:val="0013587B"/>
    <w:rsid w:val="00136DB6"/>
    <w:rsid w:val="001370CC"/>
    <w:rsid w:val="00140133"/>
    <w:rsid w:val="00140FD9"/>
    <w:rsid w:val="00141D90"/>
    <w:rsid w:val="00142E0B"/>
    <w:rsid w:val="00145343"/>
    <w:rsid w:val="00145A98"/>
    <w:rsid w:val="00145CDE"/>
    <w:rsid w:val="001460DC"/>
    <w:rsid w:val="001465FF"/>
    <w:rsid w:val="00146924"/>
    <w:rsid w:val="00146B12"/>
    <w:rsid w:val="0014720F"/>
    <w:rsid w:val="001503ED"/>
    <w:rsid w:val="00150460"/>
    <w:rsid w:val="00151B94"/>
    <w:rsid w:val="0015222D"/>
    <w:rsid w:val="00152BEB"/>
    <w:rsid w:val="001530FF"/>
    <w:rsid w:val="00153B17"/>
    <w:rsid w:val="00154AA6"/>
    <w:rsid w:val="001560C8"/>
    <w:rsid w:val="00157E2A"/>
    <w:rsid w:val="00161B6F"/>
    <w:rsid w:val="0016225C"/>
    <w:rsid w:val="00162625"/>
    <w:rsid w:val="00164E79"/>
    <w:rsid w:val="00164EC2"/>
    <w:rsid w:val="0016510C"/>
    <w:rsid w:val="00165963"/>
    <w:rsid w:val="00165D7E"/>
    <w:rsid w:val="001708A9"/>
    <w:rsid w:val="00170AC2"/>
    <w:rsid w:val="00170C4F"/>
    <w:rsid w:val="00171005"/>
    <w:rsid w:val="001714B7"/>
    <w:rsid w:val="0017255E"/>
    <w:rsid w:val="00173EB5"/>
    <w:rsid w:val="00174497"/>
    <w:rsid w:val="00175A47"/>
    <w:rsid w:val="001762B4"/>
    <w:rsid w:val="00177416"/>
    <w:rsid w:val="00177A78"/>
    <w:rsid w:val="001802DB"/>
    <w:rsid w:val="00180987"/>
    <w:rsid w:val="00180E30"/>
    <w:rsid w:val="00181583"/>
    <w:rsid w:val="00181A29"/>
    <w:rsid w:val="00183403"/>
    <w:rsid w:val="0018349D"/>
    <w:rsid w:val="001837DE"/>
    <w:rsid w:val="001839E8"/>
    <w:rsid w:val="00184030"/>
    <w:rsid w:val="00186212"/>
    <w:rsid w:val="0018726A"/>
    <w:rsid w:val="0019023C"/>
    <w:rsid w:val="0019061F"/>
    <w:rsid w:val="00191584"/>
    <w:rsid w:val="0019362F"/>
    <w:rsid w:val="00194796"/>
    <w:rsid w:val="001957B6"/>
    <w:rsid w:val="001958EB"/>
    <w:rsid w:val="00195AB9"/>
    <w:rsid w:val="001960E9"/>
    <w:rsid w:val="00196991"/>
    <w:rsid w:val="00196DC6"/>
    <w:rsid w:val="001A149B"/>
    <w:rsid w:val="001A1875"/>
    <w:rsid w:val="001A1FE1"/>
    <w:rsid w:val="001B01C6"/>
    <w:rsid w:val="001B3828"/>
    <w:rsid w:val="001B40B9"/>
    <w:rsid w:val="001B50FD"/>
    <w:rsid w:val="001B6AF2"/>
    <w:rsid w:val="001C06A0"/>
    <w:rsid w:val="001C09A7"/>
    <w:rsid w:val="001C0A36"/>
    <w:rsid w:val="001C0C0C"/>
    <w:rsid w:val="001C278E"/>
    <w:rsid w:val="001C71E9"/>
    <w:rsid w:val="001D253E"/>
    <w:rsid w:val="001D3D88"/>
    <w:rsid w:val="001D4492"/>
    <w:rsid w:val="001D4C66"/>
    <w:rsid w:val="001D574A"/>
    <w:rsid w:val="001D6547"/>
    <w:rsid w:val="001E0FCB"/>
    <w:rsid w:val="001E2114"/>
    <w:rsid w:val="001E3436"/>
    <w:rsid w:val="001E3737"/>
    <w:rsid w:val="001E3E46"/>
    <w:rsid w:val="001E42C3"/>
    <w:rsid w:val="001E5F0A"/>
    <w:rsid w:val="001E72A6"/>
    <w:rsid w:val="001E7426"/>
    <w:rsid w:val="001F0727"/>
    <w:rsid w:val="001F18B1"/>
    <w:rsid w:val="001F50AD"/>
    <w:rsid w:val="001F5825"/>
    <w:rsid w:val="001F665B"/>
    <w:rsid w:val="00200A0F"/>
    <w:rsid w:val="00200B74"/>
    <w:rsid w:val="00201B35"/>
    <w:rsid w:val="002031AB"/>
    <w:rsid w:val="00204908"/>
    <w:rsid w:val="0020572A"/>
    <w:rsid w:val="00207260"/>
    <w:rsid w:val="002073E7"/>
    <w:rsid w:val="002103A7"/>
    <w:rsid w:val="00210534"/>
    <w:rsid w:val="00212B3E"/>
    <w:rsid w:val="00215B1F"/>
    <w:rsid w:val="00220643"/>
    <w:rsid w:val="00221276"/>
    <w:rsid w:val="00221293"/>
    <w:rsid w:val="0022214B"/>
    <w:rsid w:val="00224414"/>
    <w:rsid w:val="00224D55"/>
    <w:rsid w:val="00224DAF"/>
    <w:rsid w:val="00225BB3"/>
    <w:rsid w:val="0023093D"/>
    <w:rsid w:val="002322DF"/>
    <w:rsid w:val="002325E0"/>
    <w:rsid w:val="00234017"/>
    <w:rsid w:val="002361BF"/>
    <w:rsid w:val="00236800"/>
    <w:rsid w:val="00240A28"/>
    <w:rsid w:val="00241268"/>
    <w:rsid w:val="00241A3B"/>
    <w:rsid w:val="00242B6B"/>
    <w:rsid w:val="00243962"/>
    <w:rsid w:val="00245F00"/>
    <w:rsid w:val="00246A33"/>
    <w:rsid w:val="002479F1"/>
    <w:rsid w:val="00251E45"/>
    <w:rsid w:val="00252B2E"/>
    <w:rsid w:val="00252D42"/>
    <w:rsid w:val="00253B22"/>
    <w:rsid w:val="00254C7E"/>
    <w:rsid w:val="002551CB"/>
    <w:rsid w:val="00255681"/>
    <w:rsid w:val="0025650F"/>
    <w:rsid w:val="00256E34"/>
    <w:rsid w:val="0025702F"/>
    <w:rsid w:val="00260163"/>
    <w:rsid w:val="002601A1"/>
    <w:rsid w:val="002617F0"/>
    <w:rsid w:val="00262778"/>
    <w:rsid w:val="002628A1"/>
    <w:rsid w:val="00262E40"/>
    <w:rsid w:val="00262E84"/>
    <w:rsid w:val="0026324F"/>
    <w:rsid w:val="0026363C"/>
    <w:rsid w:val="00263BA5"/>
    <w:rsid w:val="00265391"/>
    <w:rsid w:val="00265430"/>
    <w:rsid w:val="002678B2"/>
    <w:rsid w:val="002708D5"/>
    <w:rsid w:val="00270B0E"/>
    <w:rsid w:val="00275A04"/>
    <w:rsid w:val="002763B0"/>
    <w:rsid w:val="00276618"/>
    <w:rsid w:val="00276DDC"/>
    <w:rsid w:val="00277B52"/>
    <w:rsid w:val="002808D7"/>
    <w:rsid w:val="00282838"/>
    <w:rsid w:val="00282ED3"/>
    <w:rsid w:val="00283244"/>
    <w:rsid w:val="002834EC"/>
    <w:rsid w:val="00283828"/>
    <w:rsid w:val="002846C6"/>
    <w:rsid w:val="00285170"/>
    <w:rsid w:val="0028519B"/>
    <w:rsid w:val="00286050"/>
    <w:rsid w:val="002875B0"/>
    <w:rsid w:val="002908F0"/>
    <w:rsid w:val="00290BBB"/>
    <w:rsid w:val="0029157E"/>
    <w:rsid w:val="00291726"/>
    <w:rsid w:val="00292677"/>
    <w:rsid w:val="00292727"/>
    <w:rsid w:val="0029395D"/>
    <w:rsid w:val="00295562"/>
    <w:rsid w:val="00297A22"/>
    <w:rsid w:val="002A01D3"/>
    <w:rsid w:val="002A339A"/>
    <w:rsid w:val="002A563F"/>
    <w:rsid w:val="002A5AFF"/>
    <w:rsid w:val="002A5F8E"/>
    <w:rsid w:val="002A644C"/>
    <w:rsid w:val="002A7965"/>
    <w:rsid w:val="002B18ED"/>
    <w:rsid w:val="002B2474"/>
    <w:rsid w:val="002B38AF"/>
    <w:rsid w:val="002B4FB7"/>
    <w:rsid w:val="002B5AEC"/>
    <w:rsid w:val="002B6711"/>
    <w:rsid w:val="002B7323"/>
    <w:rsid w:val="002C115A"/>
    <w:rsid w:val="002C1A31"/>
    <w:rsid w:val="002C2204"/>
    <w:rsid w:val="002C2799"/>
    <w:rsid w:val="002C40B2"/>
    <w:rsid w:val="002C4C71"/>
    <w:rsid w:val="002C6652"/>
    <w:rsid w:val="002C70C8"/>
    <w:rsid w:val="002C7ADB"/>
    <w:rsid w:val="002C7C76"/>
    <w:rsid w:val="002D0380"/>
    <w:rsid w:val="002D0DF6"/>
    <w:rsid w:val="002D0E6E"/>
    <w:rsid w:val="002D19D1"/>
    <w:rsid w:val="002D2045"/>
    <w:rsid w:val="002D4CCA"/>
    <w:rsid w:val="002D6320"/>
    <w:rsid w:val="002D7533"/>
    <w:rsid w:val="002E3449"/>
    <w:rsid w:val="002E34E6"/>
    <w:rsid w:val="002E440D"/>
    <w:rsid w:val="002E47FF"/>
    <w:rsid w:val="002E66B0"/>
    <w:rsid w:val="002E7E59"/>
    <w:rsid w:val="002F00A8"/>
    <w:rsid w:val="002F0713"/>
    <w:rsid w:val="002F2C26"/>
    <w:rsid w:val="002F3B3C"/>
    <w:rsid w:val="002F4981"/>
    <w:rsid w:val="002F5083"/>
    <w:rsid w:val="002F6088"/>
    <w:rsid w:val="002F6600"/>
    <w:rsid w:val="002F6F05"/>
    <w:rsid w:val="002F6F37"/>
    <w:rsid w:val="002F7880"/>
    <w:rsid w:val="003003F6"/>
    <w:rsid w:val="00303588"/>
    <w:rsid w:val="0030385B"/>
    <w:rsid w:val="00303F74"/>
    <w:rsid w:val="00304072"/>
    <w:rsid w:val="003042B9"/>
    <w:rsid w:val="00304B6E"/>
    <w:rsid w:val="00304F90"/>
    <w:rsid w:val="00304FE4"/>
    <w:rsid w:val="00306151"/>
    <w:rsid w:val="0030720C"/>
    <w:rsid w:val="00310729"/>
    <w:rsid w:val="00310B7A"/>
    <w:rsid w:val="00310DD8"/>
    <w:rsid w:val="00311632"/>
    <w:rsid w:val="00311953"/>
    <w:rsid w:val="00314344"/>
    <w:rsid w:val="003165A9"/>
    <w:rsid w:val="00316CBB"/>
    <w:rsid w:val="00317EAD"/>
    <w:rsid w:val="0032050A"/>
    <w:rsid w:val="003257AE"/>
    <w:rsid w:val="0032599D"/>
    <w:rsid w:val="00325ED8"/>
    <w:rsid w:val="0032687E"/>
    <w:rsid w:val="00326BF2"/>
    <w:rsid w:val="0032728D"/>
    <w:rsid w:val="003278B1"/>
    <w:rsid w:val="00330705"/>
    <w:rsid w:val="00330CAD"/>
    <w:rsid w:val="0033250F"/>
    <w:rsid w:val="00332E3B"/>
    <w:rsid w:val="003352DD"/>
    <w:rsid w:val="00336600"/>
    <w:rsid w:val="00340842"/>
    <w:rsid w:val="00341273"/>
    <w:rsid w:val="003424A5"/>
    <w:rsid w:val="00343512"/>
    <w:rsid w:val="00345099"/>
    <w:rsid w:val="00345F2E"/>
    <w:rsid w:val="00351C93"/>
    <w:rsid w:val="0035225B"/>
    <w:rsid w:val="00352A56"/>
    <w:rsid w:val="00352C9A"/>
    <w:rsid w:val="003538CC"/>
    <w:rsid w:val="00353BAC"/>
    <w:rsid w:val="00355A24"/>
    <w:rsid w:val="00356A90"/>
    <w:rsid w:val="00357B75"/>
    <w:rsid w:val="0036143D"/>
    <w:rsid w:val="00361A56"/>
    <w:rsid w:val="00361F91"/>
    <w:rsid w:val="00361FAC"/>
    <w:rsid w:val="00361FF8"/>
    <w:rsid w:val="00362CAA"/>
    <w:rsid w:val="0036369A"/>
    <w:rsid w:val="00364805"/>
    <w:rsid w:val="00365737"/>
    <w:rsid w:val="00366AA0"/>
    <w:rsid w:val="00366C25"/>
    <w:rsid w:val="003673B5"/>
    <w:rsid w:val="0037064B"/>
    <w:rsid w:val="00370EF4"/>
    <w:rsid w:val="00371D7C"/>
    <w:rsid w:val="003728A7"/>
    <w:rsid w:val="00372FCA"/>
    <w:rsid w:val="00376210"/>
    <w:rsid w:val="00376286"/>
    <w:rsid w:val="00376F40"/>
    <w:rsid w:val="00377311"/>
    <w:rsid w:val="00377AEE"/>
    <w:rsid w:val="0038036F"/>
    <w:rsid w:val="003803A5"/>
    <w:rsid w:val="00381F6E"/>
    <w:rsid w:val="0038261C"/>
    <w:rsid w:val="00382874"/>
    <w:rsid w:val="00384D05"/>
    <w:rsid w:val="00385F8D"/>
    <w:rsid w:val="003869A5"/>
    <w:rsid w:val="00386B0D"/>
    <w:rsid w:val="00387459"/>
    <w:rsid w:val="00387759"/>
    <w:rsid w:val="003877E9"/>
    <w:rsid w:val="0039083C"/>
    <w:rsid w:val="003912C7"/>
    <w:rsid w:val="003923B3"/>
    <w:rsid w:val="00392DA3"/>
    <w:rsid w:val="00392F04"/>
    <w:rsid w:val="00393D73"/>
    <w:rsid w:val="003948F3"/>
    <w:rsid w:val="00396C94"/>
    <w:rsid w:val="00396E1E"/>
    <w:rsid w:val="00397F19"/>
    <w:rsid w:val="003A10D3"/>
    <w:rsid w:val="003A1C3D"/>
    <w:rsid w:val="003A1E8D"/>
    <w:rsid w:val="003A300C"/>
    <w:rsid w:val="003A34D1"/>
    <w:rsid w:val="003A37B3"/>
    <w:rsid w:val="003A54E2"/>
    <w:rsid w:val="003A5CCA"/>
    <w:rsid w:val="003A5DFB"/>
    <w:rsid w:val="003A67B8"/>
    <w:rsid w:val="003A6EB8"/>
    <w:rsid w:val="003A77D6"/>
    <w:rsid w:val="003B0CAE"/>
    <w:rsid w:val="003B357F"/>
    <w:rsid w:val="003B40DB"/>
    <w:rsid w:val="003B4F7C"/>
    <w:rsid w:val="003B5486"/>
    <w:rsid w:val="003B55AA"/>
    <w:rsid w:val="003B596F"/>
    <w:rsid w:val="003B5B5D"/>
    <w:rsid w:val="003B6264"/>
    <w:rsid w:val="003B6977"/>
    <w:rsid w:val="003B6DE7"/>
    <w:rsid w:val="003B7567"/>
    <w:rsid w:val="003B79EF"/>
    <w:rsid w:val="003C1585"/>
    <w:rsid w:val="003C2191"/>
    <w:rsid w:val="003C2C35"/>
    <w:rsid w:val="003C4D51"/>
    <w:rsid w:val="003C4FCE"/>
    <w:rsid w:val="003C7BD2"/>
    <w:rsid w:val="003C7E97"/>
    <w:rsid w:val="003D08AB"/>
    <w:rsid w:val="003D09E3"/>
    <w:rsid w:val="003D13B7"/>
    <w:rsid w:val="003D186B"/>
    <w:rsid w:val="003D18DA"/>
    <w:rsid w:val="003D2DFC"/>
    <w:rsid w:val="003D3D5B"/>
    <w:rsid w:val="003D473C"/>
    <w:rsid w:val="003D5129"/>
    <w:rsid w:val="003D5877"/>
    <w:rsid w:val="003D5F29"/>
    <w:rsid w:val="003D6457"/>
    <w:rsid w:val="003D7BB1"/>
    <w:rsid w:val="003D7F9D"/>
    <w:rsid w:val="003E0561"/>
    <w:rsid w:val="003E115F"/>
    <w:rsid w:val="003E354A"/>
    <w:rsid w:val="003E757A"/>
    <w:rsid w:val="003E7D0C"/>
    <w:rsid w:val="003F05C3"/>
    <w:rsid w:val="003F1054"/>
    <w:rsid w:val="003F1CA4"/>
    <w:rsid w:val="003F2704"/>
    <w:rsid w:val="003F3E27"/>
    <w:rsid w:val="003F5203"/>
    <w:rsid w:val="003F5539"/>
    <w:rsid w:val="003F705D"/>
    <w:rsid w:val="003F78D1"/>
    <w:rsid w:val="003F7CCA"/>
    <w:rsid w:val="004003D4"/>
    <w:rsid w:val="0040050D"/>
    <w:rsid w:val="00402E00"/>
    <w:rsid w:val="00403371"/>
    <w:rsid w:val="0040527F"/>
    <w:rsid w:val="00406ABB"/>
    <w:rsid w:val="00410F6D"/>
    <w:rsid w:val="00412DA8"/>
    <w:rsid w:val="00412F3D"/>
    <w:rsid w:val="00414512"/>
    <w:rsid w:val="004160DE"/>
    <w:rsid w:val="00416C65"/>
    <w:rsid w:val="00417022"/>
    <w:rsid w:val="00417657"/>
    <w:rsid w:val="00417B29"/>
    <w:rsid w:val="004208A9"/>
    <w:rsid w:val="00422323"/>
    <w:rsid w:val="0042308F"/>
    <w:rsid w:val="0042324D"/>
    <w:rsid w:val="00423416"/>
    <w:rsid w:val="004238AE"/>
    <w:rsid w:val="00426D83"/>
    <w:rsid w:val="0043132E"/>
    <w:rsid w:val="00431712"/>
    <w:rsid w:val="00431CD4"/>
    <w:rsid w:val="00432C26"/>
    <w:rsid w:val="00432CB7"/>
    <w:rsid w:val="00435062"/>
    <w:rsid w:val="004358A3"/>
    <w:rsid w:val="0043777D"/>
    <w:rsid w:val="004415F5"/>
    <w:rsid w:val="00441DD4"/>
    <w:rsid w:val="0044235A"/>
    <w:rsid w:val="00442521"/>
    <w:rsid w:val="0044310D"/>
    <w:rsid w:val="00445D3F"/>
    <w:rsid w:val="00446088"/>
    <w:rsid w:val="00446A40"/>
    <w:rsid w:val="00446F07"/>
    <w:rsid w:val="00450086"/>
    <w:rsid w:val="00451DF7"/>
    <w:rsid w:val="004527B6"/>
    <w:rsid w:val="0045328D"/>
    <w:rsid w:val="00453418"/>
    <w:rsid w:val="0045452F"/>
    <w:rsid w:val="00454681"/>
    <w:rsid w:val="004547F4"/>
    <w:rsid w:val="00454FAC"/>
    <w:rsid w:val="00457715"/>
    <w:rsid w:val="00460FB4"/>
    <w:rsid w:val="004610B3"/>
    <w:rsid w:val="004624BB"/>
    <w:rsid w:val="00462C04"/>
    <w:rsid w:val="00463139"/>
    <w:rsid w:val="00463254"/>
    <w:rsid w:val="00464F3C"/>
    <w:rsid w:val="0046633D"/>
    <w:rsid w:val="004667FA"/>
    <w:rsid w:val="004673E5"/>
    <w:rsid w:val="0047035E"/>
    <w:rsid w:val="00470808"/>
    <w:rsid w:val="00470899"/>
    <w:rsid w:val="0047133A"/>
    <w:rsid w:val="004730EC"/>
    <w:rsid w:val="00475B44"/>
    <w:rsid w:val="0047696A"/>
    <w:rsid w:val="004777F1"/>
    <w:rsid w:val="00480EA6"/>
    <w:rsid w:val="004813A9"/>
    <w:rsid w:val="004829E0"/>
    <w:rsid w:val="00482FA9"/>
    <w:rsid w:val="004832A9"/>
    <w:rsid w:val="004847ED"/>
    <w:rsid w:val="00484E27"/>
    <w:rsid w:val="00485C36"/>
    <w:rsid w:val="0048791A"/>
    <w:rsid w:val="00487EB8"/>
    <w:rsid w:val="004906E1"/>
    <w:rsid w:val="00491C1C"/>
    <w:rsid w:val="00493308"/>
    <w:rsid w:val="00493743"/>
    <w:rsid w:val="00493981"/>
    <w:rsid w:val="00495BA1"/>
    <w:rsid w:val="00496CDC"/>
    <w:rsid w:val="00497113"/>
    <w:rsid w:val="00497426"/>
    <w:rsid w:val="004A04DD"/>
    <w:rsid w:val="004A0FA6"/>
    <w:rsid w:val="004A17CC"/>
    <w:rsid w:val="004A3842"/>
    <w:rsid w:val="004A3C92"/>
    <w:rsid w:val="004A4FA4"/>
    <w:rsid w:val="004A67A3"/>
    <w:rsid w:val="004A6C31"/>
    <w:rsid w:val="004A7336"/>
    <w:rsid w:val="004A7720"/>
    <w:rsid w:val="004A7D66"/>
    <w:rsid w:val="004B00FC"/>
    <w:rsid w:val="004B0760"/>
    <w:rsid w:val="004B153D"/>
    <w:rsid w:val="004B1E2E"/>
    <w:rsid w:val="004B3847"/>
    <w:rsid w:val="004B3B9A"/>
    <w:rsid w:val="004B42A4"/>
    <w:rsid w:val="004B4A3F"/>
    <w:rsid w:val="004B4C33"/>
    <w:rsid w:val="004B4C48"/>
    <w:rsid w:val="004B4F70"/>
    <w:rsid w:val="004B5483"/>
    <w:rsid w:val="004B58A5"/>
    <w:rsid w:val="004C0863"/>
    <w:rsid w:val="004C2AC6"/>
    <w:rsid w:val="004C48D4"/>
    <w:rsid w:val="004C55E2"/>
    <w:rsid w:val="004C5812"/>
    <w:rsid w:val="004C5902"/>
    <w:rsid w:val="004C6B29"/>
    <w:rsid w:val="004C71C6"/>
    <w:rsid w:val="004C7523"/>
    <w:rsid w:val="004D0111"/>
    <w:rsid w:val="004D0D0A"/>
    <w:rsid w:val="004D2C87"/>
    <w:rsid w:val="004D31FA"/>
    <w:rsid w:val="004D4050"/>
    <w:rsid w:val="004D498E"/>
    <w:rsid w:val="004D623E"/>
    <w:rsid w:val="004D631D"/>
    <w:rsid w:val="004D7D39"/>
    <w:rsid w:val="004E0854"/>
    <w:rsid w:val="004E250A"/>
    <w:rsid w:val="004E3406"/>
    <w:rsid w:val="004E4E42"/>
    <w:rsid w:val="004E5A8C"/>
    <w:rsid w:val="004E6D09"/>
    <w:rsid w:val="004F1610"/>
    <w:rsid w:val="004F179E"/>
    <w:rsid w:val="004F1913"/>
    <w:rsid w:val="004F5C99"/>
    <w:rsid w:val="004F5F90"/>
    <w:rsid w:val="004F650F"/>
    <w:rsid w:val="004F6728"/>
    <w:rsid w:val="004F6A73"/>
    <w:rsid w:val="004F7467"/>
    <w:rsid w:val="004F784C"/>
    <w:rsid w:val="00500008"/>
    <w:rsid w:val="00502FDC"/>
    <w:rsid w:val="00504B8A"/>
    <w:rsid w:val="0050644D"/>
    <w:rsid w:val="0050757C"/>
    <w:rsid w:val="00507625"/>
    <w:rsid w:val="0050768C"/>
    <w:rsid w:val="0050778E"/>
    <w:rsid w:val="00511F88"/>
    <w:rsid w:val="0051205D"/>
    <w:rsid w:val="00512906"/>
    <w:rsid w:val="0051315E"/>
    <w:rsid w:val="00515326"/>
    <w:rsid w:val="005157FC"/>
    <w:rsid w:val="00516EEF"/>
    <w:rsid w:val="00521592"/>
    <w:rsid w:val="0052174D"/>
    <w:rsid w:val="00521A06"/>
    <w:rsid w:val="005220E6"/>
    <w:rsid w:val="00522F68"/>
    <w:rsid w:val="005231A0"/>
    <w:rsid w:val="005233E5"/>
    <w:rsid w:val="00523CD7"/>
    <w:rsid w:val="00523E0B"/>
    <w:rsid w:val="00524966"/>
    <w:rsid w:val="00525E72"/>
    <w:rsid w:val="005311BD"/>
    <w:rsid w:val="005318F0"/>
    <w:rsid w:val="0053198A"/>
    <w:rsid w:val="00532302"/>
    <w:rsid w:val="00532598"/>
    <w:rsid w:val="00532C76"/>
    <w:rsid w:val="00532F99"/>
    <w:rsid w:val="00533332"/>
    <w:rsid w:val="005345A9"/>
    <w:rsid w:val="00535FDC"/>
    <w:rsid w:val="0053603C"/>
    <w:rsid w:val="00536BD7"/>
    <w:rsid w:val="005371DD"/>
    <w:rsid w:val="005376A8"/>
    <w:rsid w:val="005400BF"/>
    <w:rsid w:val="00540208"/>
    <w:rsid w:val="0054055C"/>
    <w:rsid w:val="005405B3"/>
    <w:rsid w:val="005412B8"/>
    <w:rsid w:val="0054232F"/>
    <w:rsid w:val="005425AD"/>
    <w:rsid w:val="00543979"/>
    <w:rsid w:val="00543E97"/>
    <w:rsid w:val="005441C7"/>
    <w:rsid w:val="005441E3"/>
    <w:rsid w:val="00544DF9"/>
    <w:rsid w:val="005457BC"/>
    <w:rsid w:val="00545C9D"/>
    <w:rsid w:val="00546331"/>
    <w:rsid w:val="00546E3A"/>
    <w:rsid w:val="00547A17"/>
    <w:rsid w:val="0055126C"/>
    <w:rsid w:val="005515C7"/>
    <w:rsid w:val="00551EE0"/>
    <w:rsid w:val="00552119"/>
    <w:rsid w:val="005526C9"/>
    <w:rsid w:val="005529E2"/>
    <w:rsid w:val="00553045"/>
    <w:rsid w:val="00556B6C"/>
    <w:rsid w:val="00556F42"/>
    <w:rsid w:val="0055752E"/>
    <w:rsid w:val="00557845"/>
    <w:rsid w:val="00557CD4"/>
    <w:rsid w:val="00557FCD"/>
    <w:rsid w:val="0056393E"/>
    <w:rsid w:val="00563C2A"/>
    <w:rsid w:val="005641EE"/>
    <w:rsid w:val="00566B1B"/>
    <w:rsid w:val="005673EC"/>
    <w:rsid w:val="005679F5"/>
    <w:rsid w:val="00567F44"/>
    <w:rsid w:val="00570A41"/>
    <w:rsid w:val="00571D07"/>
    <w:rsid w:val="00572534"/>
    <w:rsid w:val="00572AE6"/>
    <w:rsid w:val="00572B69"/>
    <w:rsid w:val="0057662F"/>
    <w:rsid w:val="00577A5E"/>
    <w:rsid w:val="0058078E"/>
    <w:rsid w:val="00582117"/>
    <w:rsid w:val="0058281F"/>
    <w:rsid w:val="005843C4"/>
    <w:rsid w:val="00584A97"/>
    <w:rsid w:val="00584C78"/>
    <w:rsid w:val="00585B0B"/>
    <w:rsid w:val="005934A5"/>
    <w:rsid w:val="005952C2"/>
    <w:rsid w:val="00595B7B"/>
    <w:rsid w:val="005A076E"/>
    <w:rsid w:val="005A08F7"/>
    <w:rsid w:val="005A13EB"/>
    <w:rsid w:val="005A1E20"/>
    <w:rsid w:val="005A22FD"/>
    <w:rsid w:val="005A485E"/>
    <w:rsid w:val="005A5ED5"/>
    <w:rsid w:val="005B1993"/>
    <w:rsid w:val="005B27B9"/>
    <w:rsid w:val="005B2C05"/>
    <w:rsid w:val="005B3863"/>
    <w:rsid w:val="005B6C19"/>
    <w:rsid w:val="005B7C50"/>
    <w:rsid w:val="005C1B2F"/>
    <w:rsid w:val="005C250F"/>
    <w:rsid w:val="005C381F"/>
    <w:rsid w:val="005C42BC"/>
    <w:rsid w:val="005C4445"/>
    <w:rsid w:val="005C4D5C"/>
    <w:rsid w:val="005C58AC"/>
    <w:rsid w:val="005C59FE"/>
    <w:rsid w:val="005C6830"/>
    <w:rsid w:val="005C6C93"/>
    <w:rsid w:val="005C79DF"/>
    <w:rsid w:val="005D08B2"/>
    <w:rsid w:val="005D0AF6"/>
    <w:rsid w:val="005D0D4A"/>
    <w:rsid w:val="005D0F3C"/>
    <w:rsid w:val="005D1AE8"/>
    <w:rsid w:val="005D2BDD"/>
    <w:rsid w:val="005D36FC"/>
    <w:rsid w:val="005D59F2"/>
    <w:rsid w:val="005D5B0C"/>
    <w:rsid w:val="005D5F4F"/>
    <w:rsid w:val="005D78A3"/>
    <w:rsid w:val="005E027E"/>
    <w:rsid w:val="005E2DBE"/>
    <w:rsid w:val="005E309B"/>
    <w:rsid w:val="005E4BAE"/>
    <w:rsid w:val="005E719D"/>
    <w:rsid w:val="005F2568"/>
    <w:rsid w:val="005F3763"/>
    <w:rsid w:val="005F43A2"/>
    <w:rsid w:val="005F5204"/>
    <w:rsid w:val="005F684D"/>
    <w:rsid w:val="005F69F2"/>
    <w:rsid w:val="006001B0"/>
    <w:rsid w:val="00600979"/>
    <w:rsid w:val="0060177B"/>
    <w:rsid w:val="00601BF2"/>
    <w:rsid w:val="00601CB0"/>
    <w:rsid w:val="0060297E"/>
    <w:rsid w:val="006033DB"/>
    <w:rsid w:val="00603612"/>
    <w:rsid w:val="006039E4"/>
    <w:rsid w:val="00603D4A"/>
    <w:rsid w:val="00605906"/>
    <w:rsid w:val="0060757B"/>
    <w:rsid w:val="00610DF4"/>
    <w:rsid w:val="00611390"/>
    <w:rsid w:val="00611D64"/>
    <w:rsid w:val="00612454"/>
    <w:rsid w:val="00612820"/>
    <w:rsid w:val="00613F09"/>
    <w:rsid w:val="00615C86"/>
    <w:rsid w:val="00615D3E"/>
    <w:rsid w:val="00621A97"/>
    <w:rsid w:val="0062345F"/>
    <w:rsid w:val="00623931"/>
    <w:rsid w:val="00623ED3"/>
    <w:rsid w:val="006250B3"/>
    <w:rsid w:val="006251DE"/>
    <w:rsid w:val="00626446"/>
    <w:rsid w:val="006274EB"/>
    <w:rsid w:val="00627919"/>
    <w:rsid w:val="00631696"/>
    <w:rsid w:val="00634A25"/>
    <w:rsid w:val="0063560D"/>
    <w:rsid w:val="006402BF"/>
    <w:rsid w:val="0064035C"/>
    <w:rsid w:val="0064564C"/>
    <w:rsid w:val="00645C00"/>
    <w:rsid w:val="00647141"/>
    <w:rsid w:val="006528B7"/>
    <w:rsid w:val="00652AA0"/>
    <w:rsid w:val="006548AE"/>
    <w:rsid w:val="00654A72"/>
    <w:rsid w:val="00655DBF"/>
    <w:rsid w:val="00660F3F"/>
    <w:rsid w:val="006613FB"/>
    <w:rsid w:val="00662879"/>
    <w:rsid w:val="00662A48"/>
    <w:rsid w:val="00662DCD"/>
    <w:rsid w:val="00662E41"/>
    <w:rsid w:val="00663683"/>
    <w:rsid w:val="00663925"/>
    <w:rsid w:val="00664049"/>
    <w:rsid w:val="006646BA"/>
    <w:rsid w:val="0066493B"/>
    <w:rsid w:val="00665568"/>
    <w:rsid w:val="00665715"/>
    <w:rsid w:val="00665FFF"/>
    <w:rsid w:val="00666C63"/>
    <w:rsid w:val="0067011F"/>
    <w:rsid w:val="00670FDE"/>
    <w:rsid w:val="00671183"/>
    <w:rsid w:val="00671A1A"/>
    <w:rsid w:val="00671BA3"/>
    <w:rsid w:val="00671DFD"/>
    <w:rsid w:val="00672812"/>
    <w:rsid w:val="00672BA0"/>
    <w:rsid w:val="006731A8"/>
    <w:rsid w:val="00673E5B"/>
    <w:rsid w:val="00674169"/>
    <w:rsid w:val="00675505"/>
    <w:rsid w:val="0067560E"/>
    <w:rsid w:val="0067571D"/>
    <w:rsid w:val="0067613A"/>
    <w:rsid w:val="00677910"/>
    <w:rsid w:val="00677D8A"/>
    <w:rsid w:val="00677E65"/>
    <w:rsid w:val="006800ED"/>
    <w:rsid w:val="00680DD1"/>
    <w:rsid w:val="006810D8"/>
    <w:rsid w:val="00681D15"/>
    <w:rsid w:val="00683121"/>
    <w:rsid w:val="006839D2"/>
    <w:rsid w:val="006845A4"/>
    <w:rsid w:val="006853FA"/>
    <w:rsid w:val="00686D4D"/>
    <w:rsid w:val="0068785A"/>
    <w:rsid w:val="00687A7B"/>
    <w:rsid w:val="00690065"/>
    <w:rsid w:val="006905E0"/>
    <w:rsid w:val="00692633"/>
    <w:rsid w:val="00694173"/>
    <w:rsid w:val="0069469B"/>
    <w:rsid w:val="00694C9C"/>
    <w:rsid w:val="006963D2"/>
    <w:rsid w:val="006A138A"/>
    <w:rsid w:val="006A14DD"/>
    <w:rsid w:val="006A2625"/>
    <w:rsid w:val="006A2C06"/>
    <w:rsid w:val="006A34F6"/>
    <w:rsid w:val="006A4519"/>
    <w:rsid w:val="006A45A7"/>
    <w:rsid w:val="006A4F5A"/>
    <w:rsid w:val="006A5E08"/>
    <w:rsid w:val="006A6215"/>
    <w:rsid w:val="006A63B9"/>
    <w:rsid w:val="006A6922"/>
    <w:rsid w:val="006A74A1"/>
    <w:rsid w:val="006A750A"/>
    <w:rsid w:val="006B3004"/>
    <w:rsid w:val="006B40A1"/>
    <w:rsid w:val="006B48B2"/>
    <w:rsid w:val="006B55E2"/>
    <w:rsid w:val="006B5B1A"/>
    <w:rsid w:val="006B5C19"/>
    <w:rsid w:val="006B62BA"/>
    <w:rsid w:val="006B68FB"/>
    <w:rsid w:val="006B6A22"/>
    <w:rsid w:val="006C300E"/>
    <w:rsid w:val="006C32AC"/>
    <w:rsid w:val="006C3B75"/>
    <w:rsid w:val="006C4051"/>
    <w:rsid w:val="006C494F"/>
    <w:rsid w:val="006C4ADD"/>
    <w:rsid w:val="006C5653"/>
    <w:rsid w:val="006C61B7"/>
    <w:rsid w:val="006C680D"/>
    <w:rsid w:val="006C6D00"/>
    <w:rsid w:val="006D0A30"/>
    <w:rsid w:val="006D0E25"/>
    <w:rsid w:val="006D24B8"/>
    <w:rsid w:val="006D3605"/>
    <w:rsid w:val="006D3BD0"/>
    <w:rsid w:val="006D41D6"/>
    <w:rsid w:val="006D5DC5"/>
    <w:rsid w:val="006D7007"/>
    <w:rsid w:val="006D770E"/>
    <w:rsid w:val="006D7E56"/>
    <w:rsid w:val="006D7F57"/>
    <w:rsid w:val="006E0912"/>
    <w:rsid w:val="006E2CA5"/>
    <w:rsid w:val="006E4899"/>
    <w:rsid w:val="006E6239"/>
    <w:rsid w:val="006E7CA2"/>
    <w:rsid w:val="006F0244"/>
    <w:rsid w:val="006F2022"/>
    <w:rsid w:val="006F207B"/>
    <w:rsid w:val="006F3097"/>
    <w:rsid w:val="006F3233"/>
    <w:rsid w:val="006F35FE"/>
    <w:rsid w:val="006F4820"/>
    <w:rsid w:val="006F5A3F"/>
    <w:rsid w:val="006F741F"/>
    <w:rsid w:val="007002C8"/>
    <w:rsid w:val="007014FE"/>
    <w:rsid w:val="007026BD"/>
    <w:rsid w:val="00702A4C"/>
    <w:rsid w:val="00703446"/>
    <w:rsid w:val="007053D2"/>
    <w:rsid w:val="0070573C"/>
    <w:rsid w:val="00706FCB"/>
    <w:rsid w:val="00707437"/>
    <w:rsid w:val="00707EE7"/>
    <w:rsid w:val="0071003F"/>
    <w:rsid w:val="00710FDA"/>
    <w:rsid w:val="0071104B"/>
    <w:rsid w:val="007119DC"/>
    <w:rsid w:val="00711C88"/>
    <w:rsid w:val="0071413F"/>
    <w:rsid w:val="007147A3"/>
    <w:rsid w:val="00714D9C"/>
    <w:rsid w:val="007170D6"/>
    <w:rsid w:val="007172AF"/>
    <w:rsid w:val="0071771A"/>
    <w:rsid w:val="00717BC2"/>
    <w:rsid w:val="007201A6"/>
    <w:rsid w:val="007207C9"/>
    <w:rsid w:val="00721122"/>
    <w:rsid w:val="00723562"/>
    <w:rsid w:val="007235C2"/>
    <w:rsid w:val="00723FFA"/>
    <w:rsid w:val="0072456D"/>
    <w:rsid w:val="007248EE"/>
    <w:rsid w:val="00725F3F"/>
    <w:rsid w:val="00727C84"/>
    <w:rsid w:val="007306DB"/>
    <w:rsid w:val="00732B67"/>
    <w:rsid w:val="00733C91"/>
    <w:rsid w:val="007344E6"/>
    <w:rsid w:val="00740985"/>
    <w:rsid w:val="0074123C"/>
    <w:rsid w:val="00743DFA"/>
    <w:rsid w:val="00745B3D"/>
    <w:rsid w:val="0074631A"/>
    <w:rsid w:val="00747F8D"/>
    <w:rsid w:val="007509B2"/>
    <w:rsid w:val="00751699"/>
    <w:rsid w:val="00752604"/>
    <w:rsid w:val="00754AB6"/>
    <w:rsid w:val="00755874"/>
    <w:rsid w:val="007564F1"/>
    <w:rsid w:val="00761453"/>
    <w:rsid w:val="00762487"/>
    <w:rsid w:val="00763648"/>
    <w:rsid w:val="0076388C"/>
    <w:rsid w:val="00764127"/>
    <w:rsid w:val="00764719"/>
    <w:rsid w:val="007663C9"/>
    <w:rsid w:val="00766E5C"/>
    <w:rsid w:val="00767053"/>
    <w:rsid w:val="0077052B"/>
    <w:rsid w:val="00772430"/>
    <w:rsid w:val="00772858"/>
    <w:rsid w:val="007731CF"/>
    <w:rsid w:val="00773741"/>
    <w:rsid w:val="007741DF"/>
    <w:rsid w:val="007749DA"/>
    <w:rsid w:val="0077541B"/>
    <w:rsid w:val="0077608D"/>
    <w:rsid w:val="00776E8F"/>
    <w:rsid w:val="00777D3A"/>
    <w:rsid w:val="00780F85"/>
    <w:rsid w:val="0078160E"/>
    <w:rsid w:val="00782256"/>
    <w:rsid w:val="00783612"/>
    <w:rsid w:val="0078417C"/>
    <w:rsid w:val="007849A9"/>
    <w:rsid w:val="0078607F"/>
    <w:rsid w:val="00787476"/>
    <w:rsid w:val="007913E7"/>
    <w:rsid w:val="0079149D"/>
    <w:rsid w:val="00791813"/>
    <w:rsid w:val="00793162"/>
    <w:rsid w:val="00795466"/>
    <w:rsid w:val="00795525"/>
    <w:rsid w:val="007960FB"/>
    <w:rsid w:val="0079646C"/>
    <w:rsid w:val="0079775F"/>
    <w:rsid w:val="007A123F"/>
    <w:rsid w:val="007A17D0"/>
    <w:rsid w:val="007A26E0"/>
    <w:rsid w:val="007A2EF4"/>
    <w:rsid w:val="007A32A6"/>
    <w:rsid w:val="007A3396"/>
    <w:rsid w:val="007A3849"/>
    <w:rsid w:val="007A4C05"/>
    <w:rsid w:val="007A5356"/>
    <w:rsid w:val="007A6A75"/>
    <w:rsid w:val="007A752D"/>
    <w:rsid w:val="007A7594"/>
    <w:rsid w:val="007B2036"/>
    <w:rsid w:val="007B2426"/>
    <w:rsid w:val="007B4013"/>
    <w:rsid w:val="007B634A"/>
    <w:rsid w:val="007C054F"/>
    <w:rsid w:val="007C2599"/>
    <w:rsid w:val="007C29EE"/>
    <w:rsid w:val="007C3591"/>
    <w:rsid w:val="007C4D74"/>
    <w:rsid w:val="007C6633"/>
    <w:rsid w:val="007C7390"/>
    <w:rsid w:val="007D0590"/>
    <w:rsid w:val="007D0864"/>
    <w:rsid w:val="007D2A3B"/>
    <w:rsid w:val="007D337E"/>
    <w:rsid w:val="007D51F0"/>
    <w:rsid w:val="007D591D"/>
    <w:rsid w:val="007D660D"/>
    <w:rsid w:val="007E0E8F"/>
    <w:rsid w:val="007E386B"/>
    <w:rsid w:val="007E403E"/>
    <w:rsid w:val="007E4BB0"/>
    <w:rsid w:val="007E61DE"/>
    <w:rsid w:val="007E771A"/>
    <w:rsid w:val="007E778A"/>
    <w:rsid w:val="007F14C1"/>
    <w:rsid w:val="007F1FA8"/>
    <w:rsid w:val="007F30FF"/>
    <w:rsid w:val="007F35A7"/>
    <w:rsid w:val="007F3AD1"/>
    <w:rsid w:val="007F4117"/>
    <w:rsid w:val="007F47B8"/>
    <w:rsid w:val="007F6DF9"/>
    <w:rsid w:val="007F7642"/>
    <w:rsid w:val="0080047D"/>
    <w:rsid w:val="008039BC"/>
    <w:rsid w:val="00804819"/>
    <w:rsid w:val="008054D3"/>
    <w:rsid w:val="008054F8"/>
    <w:rsid w:val="00806319"/>
    <w:rsid w:val="008079DF"/>
    <w:rsid w:val="008105B5"/>
    <w:rsid w:val="008115F8"/>
    <w:rsid w:val="00814476"/>
    <w:rsid w:val="0081562C"/>
    <w:rsid w:val="00815E26"/>
    <w:rsid w:val="00816CF7"/>
    <w:rsid w:val="00816EE7"/>
    <w:rsid w:val="00817AB8"/>
    <w:rsid w:val="00820D53"/>
    <w:rsid w:val="0082172C"/>
    <w:rsid w:val="0082229D"/>
    <w:rsid w:val="00822C1F"/>
    <w:rsid w:val="00823960"/>
    <w:rsid w:val="00823FDC"/>
    <w:rsid w:val="008248A9"/>
    <w:rsid w:val="00824F78"/>
    <w:rsid w:val="008253B0"/>
    <w:rsid w:val="008261CA"/>
    <w:rsid w:val="00826D39"/>
    <w:rsid w:val="00826F41"/>
    <w:rsid w:val="008276BB"/>
    <w:rsid w:val="00827DB2"/>
    <w:rsid w:val="00831E72"/>
    <w:rsid w:val="008329A0"/>
    <w:rsid w:val="00832C24"/>
    <w:rsid w:val="0083425D"/>
    <w:rsid w:val="008354CD"/>
    <w:rsid w:val="00836B0E"/>
    <w:rsid w:val="00837A4C"/>
    <w:rsid w:val="00840C3D"/>
    <w:rsid w:val="0084166C"/>
    <w:rsid w:val="00842A12"/>
    <w:rsid w:val="0084611F"/>
    <w:rsid w:val="008467F3"/>
    <w:rsid w:val="008500D6"/>
    <w:rsid w:val="008511D6"/>
    <w:rsid w:val="00851374"/>
    <w:rsid w:val="008536D9"/>
    <w:rsid w:val="0085483D"/>
    <w:rsid w:val="00855258"/>
    <w:rsid w:val="00856E2F"/>
    <w:rsid w:val="00856E95"/>
    <w:rsid w:val="00857C8A"/>
    <w:rsid w:val="00860752"/>
    <w:rsid w:val="00860A77"/>
    <w:rsid w:val="008615BD"/>
    <w:rsid w:val="0086280A"/>
    <w:rsid w:val="00862ACA"/>
    <w:rsid w:val="008659D0"/>
    <w:rsid w:val="00866DCB"/>
    <w:rsid w:val="0086716F"/>
    <w:rsid w:val="008673C0"/>
    <w:rsid w:val="008674A9"/>
    <w:rsid w:val="00867C72"/>
    <w:rsid w:val="00867F2B"/>
    <w:rsid w:val="00867F3B"/>
    <w:rsid w:val="00870068"/>
    <w:rsid w:val="00870842"/>
    <w:rsid w:val="00871B11"/>
    <w:rsid w:val="0087237B"/>
    <w:rsid w:val="00877588"/>
    <w:rsid w:val="00877BBB"/>
    <w:rsid w:val="00880B1B"/>
    <w:rsid w:val="00880F9D"/>
    <w:rsid w:val="00882B8A"/>
    <w:rsid w:val="0088378B"/>
    <w:rsid w:val="0088405F"/>
    <w:rsid w:val="008848F2"/>
    <w:rsid w:val="00885B47"/>
    <w:rsid w:val="00885FA0"/>
    <w:rsid w:val="00886337"/>
    <w:rsid w:val="00890BBF"/>
    <w:rsid w:val="00891507"/>
    <w:rsid w:val="00893480"/>
    <w:rsid w:val="00894D01"/>
    <w:rsid w:val="00895CD5"/>
    <w:rsid w:val="00895EF0"/>
    <w:rsid w:val="008969F1"/>
    <w:rsid w:val="008970EA"/>
    <w:rsid w:val="008978D3"/>
    <w:rsid w:val="00897F71"/>
    <w:rsid w:val="008A08D2"/>
    <w:rsid w:val="008A47F6"/>
    <w:rsid w:val="008A6669"/>
    <w:rsid w:val="008A6BC2"/>
    <w:rsid w:val="008A7904"/>
    <w:rsid w:val="008B0511"/>
    <w:rsid w:val="008B0E32"/>
    <w:rsid w:val="008B198E"/>
    <w:rsid w:val="008B24BD"/>
    <w:rsid w:val="008B2EB6"/>
    <w:rsid w:val="008B3583"/>
    <w:rsid w:val="008B37B5"/>
    <w:rsid w:val="008B4790"/>
    <w:rsid w:val="008B4DC8"/>
    <w:rsid w:val="008B5776"/>
    <w:rsid w:val="008B6A15"/>
    <w:rsid w:val="008B7485"/>
    <w:rsid w:val="008B7BA8"/>
    <w:rsid w:val="008C0B48"/>
    <w:rsid w:val="008C157E"/>
    <w:rsid w:val="008C6387"/>
    <w:rsid w:val="008C66DC"/>
    <w:rsid w:val="008C7074"/>
    <w:rsid w:val="008D0526"/>
    <w:rsid w:val="008D1B31"/>
    <w:rsid w:val="008D3124"/>
    <w:rsid w:val="008D393F"/>
    <w:rsid w:val="008D4CFC"/>
    <w:rsid w:val="008D5A96"/>
    <w:rsid w:val="008E0739"/>
    <w:rsid w:val="008E0EC7"/>
    <w:rsid w:val="008E162C"/>
    <w:rsid w:val="008E2D05"/>
    <w:rsid w:val="008E32F2"/>
    <w:rsid w:val="008E3D48"/>
    <w:rsid w:val="008E4DB3"/>
    <w:rsid w:val="008E51E6"/>
    <w:rsid w:val="008E72AF"/>
    <w:rsid w:val="008F08DF"/>
    <w:rsid w:val="008F0D64"/>
    <w:rsid w:val="008F1A6F"/>
    <w:rsid w:val="008F23CD"/>
    <w:rsid w:val="008F3AFC"/>
    <w:rsid w:val="008F5C8E"/>
    <w:rsid w:val="008F68DC"/>
    <w:rsid w:val="008F6C96"/>
    <w:rsid w:val="009017E9"/>
    <w:rsid w:val="00901F79"/>
    <w:rsid w:val="00902264"/>
    <w:rsid w:val="00903A59"/>
    <w:rsid w:val="00903CE8"/>
    <w:rsid w:val="0090491D"/>
    <w:rsid w:val="00904AE9"/>
    <w:rsid w:val="0090513D"/>
    <w:rsid w:val="0090617B"/>
    <w:rsid w:val="009061F7"/>
    <w:rsid w:val="0090795B"/>
    <w:rsid w:val="00907B38"/>
    <w:rsid w:val="00907DCB"/>
    <w:rsid w:val="00910BDB"/>
    <w:rsid w:val="009114C6"/>
    <w:rsid w:val="00911DC8"/>
    <w:rsid w:val="00912378"/>
    <w:rsid w:val="009153C3"/>
    <w:rsid w:val="00915708"/>
    <w:rsid w:val="00916067"/>
    <w:rsid w:val="00917884"/>
    <w:rsid w:val="00917B2D"/>
    <w:rsid w:val="00917E5F"/>
    <w:rsid w:val="00920558"/>
    <w:rsid w:val="00921474"/>
    <w:rsid w:val="0092362A"/>
    <w:rsid w:val="009238A9"/>
    <w:rsid w:val="009238C0"/>
    <w:rsid w:val="00924010"/>
    <w:rsid w:val="00925D07"/>
    <w:rsid w:val="00925DE1"/>
    <w:rsid w:val="00926598"/>
    <w:rsid w:val="00927F5A"/>
    <w:rsid w:val="00931962"/>
    <w:rsid w:val="009320AB"/>
    <w:rsid w:val="009350CB"/>
    <w:rsid w:val="009401CF"/>
    <w:rsid w:val="00940949"/>
    <w:rsid w:val="00941316"/>
    <w:rsid w:val="009414AB"/>
    <w:rsid w:val="00941546"/>
    <w:rsid w:val="0094177F"/>
    <w:rsid w:val="00941F21"/>
    <w:rsid w:val="00942E9C"/>
    <w:rsid w:val="009433F3"/>
    <w:rsid w:val="009439D9"/>
    <w:rsid w:val="009445DA"/>
    <w:rsid w:val="009447A3"/>
    <w:rsid w:val="00950962"/>
    <w:rsid w:val="0095123A"/>
    <w:rsid w:val="00952088"/>
    <w:rsid w:val="009520BC"/>
    <w:rsid w:val="00953F6E"/>
    <w:rsid w:val="0095491E"/>
    <w:rsid w:val="00954ADA"/>
    <w:rsid w:val="0095572B"/>
    <w:rsid w:val="00955C9B"/>
    <w:rsid w:val="0095625F"/>
    <w:rsid w:val="00956755"/>
    <w:rsid w:val="00956925"/>
    <w:rsid w:val="0095737D"/>
    <w:rsid w:val="0096055C"/>
    <w:rsid w:val="0096167E"/>
    <w:rsid w:val="009621E8"/>
    <w:rsid w:val="00963480"/>
    <w:rsid w:val="009640AA"/>
    <w:rsid w:val="009643F4"/>
    <w:rsid w:val="009649BF"/>
    <w:rsid w:val="00964CEB"/>
    <w:rsid w:val="009652DC"/>
    <w:rsid w:val="0096539F"/>
    <w:rsid w:val="009653A7"/>
    <w:rsid w:val="0096540C"/>
    <w:rsid w:val="009654C4"/>
    <w:rsid w:val="00965612"/>
    <w:rsid w:val="00965A08"/>
    <w:rsid w:val="00965D27"/>
    <w:rsid w:val="00966BB0"/>
    <w:rsid w:val="0096766B"/>
    <w:rsid w:val="009710CE"/>
    <w:rsid w:val="00971AA8"/>
    <w:rsid w:val="0097203D"/>
    <w:rsid w:val="00973451"/>
    <w:rsid w:val="009735C7"/>
    <w:rsid w:val="00973835"/>
    <w:rsid w:val="00976067"/>
    <w:rsid w:val="0097678D"/>
    <w:rsid w:val="009768CE"/>
    <w:rsid w:val="00976927"/>
    <w:rsid w:val="00980AD5"/>
    <w:rsid w:val="00981553"/>
    <w:rsid w:val="009858C4"/>
    <w:rsid w:val="009866F0"/>
    <w:rsid w:val="00986F0E"/>
    <w:rsid w:val="0099290A"/>
    <w:rsid w:val="0099593E"/>
    <w:rsid w:val="00995E5D"/>
    <w:rsid w:val="00995EF0"/>
    <w:rsid w:val="00997323"/>
    <w:rsid w:val="00997652"/>
    <w:rsid w:val="009A0AEE"/>
    <w:rsid w:val="009A1941"/>
    <w:rsid w:val="009A1B42"/>
    <w:rsid w:val="009A1C57"/>
    <w:rsid w:val="009A1D12"/>
    <w:rsid w:val="009A3FFB"/>
    <w:rsid w:val="009A4954"/>
    <w:rsid w:val="009A5E6E"/>
    <w:rsid w:val="009A6714"/>
    <w:rsid w:val="009A7D14"/>
    <w:rsid w:val="009B0326"/>
    <w:rsid w:val="009B068F"/>
    <w:rsid w:val="009B10DA"/>
    <w:rsid w:val="009B3C43"/>
    <w:rsid w:val="009B3FAB"/>
    <w:rsid w:val="009B460A"/>
    <w:rsid w:val="009B4D56"/>
    <w:rsid w:val="009B5980"/>
    <w:rsid w:val="009B7510"/>
    <w:rsid w:val="009C0EAA"/>
    <w:rsid w:val="009C1675"/>
    <w:rsid w:val="009C1B02"/>
    <w:rsid w:val="009C239E"/>
    <w:rsid w:val="009C2660"/>
    <w:rsid w:val="009C2BF6"/>
    <w:rsid w:val="009C5E15"/>
    <w:rsid w:val="009C6DE9"/>
    <w:rsid w:val="009C704C"/>
    <w:rsid w:val="009C78CD"/>
    <w:rsid w:val="009C79B5"/>
    <w:rsid w:val="009D206F"/>
    <w:rsid w:val="009D2805"/>
    <w:rsid w:val="009D2E81"/>
    <w:rsid w:val="009D482D"/>
    <w:rsid w:val="009D4BE4"/>
    <w:rsid w:val="009D57A6"/>
    <w:rsid w:val="009D5E79"/>
    <w:rsid w:val="009D63DD"/>
    <w:rsid w:val="009D73B8"/>
    <w:rsid w:val="009D7B0B"/>
    <w:rsid w:val="009E062B"/>
    <w:rsid w:val="009E1A96"/>
    <w:rsid w:val="009E20AA"/>
    <w:rsid w:val="009E261C"/>
    <w:rsid w:val="009E345E"/>
    <w:rsid w:val="009E49CE"/>
    <w:rsid w:val="009E4C3D"/>
    <w:rsid w:val="009E4F71"/>
    <w:rsid w:val="009E5369"/>
    <w:rsid w:val="009E6274"/>
    <w:rsid w:val="009E69C3"/>
    <w:rsid w:val="009F13E9"/>
    <w:rsid w:val="009F141C"/>
    <w:rsid w:val="009F1706"/>
    <w:rsid w:val="009F208E"/>
    <w:rsid w:val="009F339F"/>
    <w:rsid w:val="009F35BF"/>
    <w:rsid w:val="009F427D"/>
    <w:rsid w:val="009F4B4D"/>
    <w:rsid w:val="009F516C"/>
    <w:rsid w:val="009F5E6B"/>
    <w:rsid w:val="009F6439"/>
    <w:rsid w:val="009F6BE8"/>
    <w:rsid w:val="009F7A84"/>
    <w:rsid w:val="009F7F35"/>
    <w:rsid w:val="00A01578"/>
    <w:rsid w:val="00A03A25"/>
    <w:rsid w:val="00A04A1E"/>
    <w:rsid w:val="00A05137"/>
    <w:rsid w:val="00A05EF7"/>
    <w:rsid w:val="00A06014"/>
    <w:rsid w:val="00A07FC6"/>
    <w:rsid w:val="00A10425"/>
    <w:rsid w:val="00A10931"/>
    <w:rsid w:val="00A13997"/>
    <w:rsid w:val="00A141B7"/>
    <w:rsid w:val="00A14273"/>
    <w:rsid w:val="00A14CA8"/>
    <w:rsid w:val="00A158E3"/>
    <w:rsid w:val="00A16180"/>
    <w:rsid w:val="00A1761C"/>
    <w:rsid w:val="00A17CB8"/>
    <w:rsid w:val="00A17E14"/>
    <w:rsid w:val="00A221E3"/>
    <w:rsid w:val="00A23A81"/>
    <w:rsid w:val="00A26422"/>
    <w:rsid w:val="00A26E71"/>
    <w:rsid w:val="00A2788D"/>
    <w:rsid w:val="00A27E3B"/>
    <w:rsid w:val="00A30957"/>
    <w:rsid w:val="00A30C64"/>
    <w:rsid w:val="00A3255C"/>
    <w:rsid w:val="00A337BB"/>
    <w:rsid w:val="00A33930"/>
    <w:rsid w:val="00A33CFE"/>
    <w:rsid w:val="00A340EB"/>
    <w:rsid w:val="00A350DA"/>
    <w:rsid w:val="00A3525D"/>
    <w:rsid w:val="00A3552B"/>
    <w:rsid w:val="00A362D6"/>
    <w:rsid w:val="00A36A95"/>
    <w:rsid w:val="00A36CCE"/>
    <w:rsid w:val="00A371D1"/>
    <w:rsid w:val="00A37216"/>
    <w:rsid w:val="00A40B00"/>
    <w:rsid w:val="00A40BA9"/>
    <w:rsid w:val="00A4344B"/>
    <w:rsid w:val="00A43EF3"/>
    <w:rsid w:val="00A44382"/>
    <w:rsid w:val="00A46F5D"/>
    <w:rsid w:val="00A50143"/>
    <w:rsid w:val="00A50CB0"/>
    <w:rsid w:val="00A525C2"/>
    <w:rsid w:val="00A5350D"/>
    <w:rsid w:val="00A542A7"/>
    <w:rsid w:val="00A54FFC"/>
    <w:rsid w:val="00A564FE"/>
    <w:rsid w:val="00A568D5"/>
    <w:rsid w:val="00A56947"/>
    <w:rsid w:val="00A572C3"/>
    <w:rsid w:val="00A574EC"/>
    <w:rsid w:val="00A57A68"/>
    <w:rsid w:val="00A57F31"/>
    <w:rsid w:val="00A615C2"/>
    <w:rsid w:val="00A63B82"/>
    <w:rsid w:val="00A63B8B"/>
    <w:rsid w:val="00A6428B"/>
    <w:rsid w:val="00A64E87"/>
    <w:rsid w:val="00A655D0"/>
    <w:rsid w:val="00A66232"/>
    <w:rsid w:val="00A6711A"/>
    <w:rsid w:val="00A67C8C"/>
    <w:rsid w:val="00A70C06"/>
    <w:rsid w:val="00A723BB"/>
    <w:rsid w:val="00A72650"/>
    <w:rsid w:val="00A72AB1"/>
    <w:rsid w:val="00A74B82"/>
    <w:rsid w:val="00A75C12"/>
    <w:rsid w:val="00A77646"/>
    <w:rsid w:val="00A779A8"/>
    <w:rsid w:val="00A804BE"/>
    <w:rsid w:val="00A80A70"/>
    <w:rsid w:val="00A81E7B"/>
    <w:rsid w:val="00A832ED"/>
    <w:rsid w:val="00A84AE7"/>
    <w:rsid w:val="00A84E36"/>
    <w:rsid w:val="00A85A4F"/>
    <w:rsid w:val="00A90620"/>
    <w:rsid w:val="00A91FA1"/>
    <w:rsid w:val="00A9417F"/>
    <w:rsid w:val="00A949B2"/>
    <w:rsid w:val="00A94B8B"/>
    <w:rsid w:val="00A9559D"/>
    <w:rsid w:val="00A975FE"/>
    <w:rsid w:val="00A97725"/>
    <w:rsid w:val="00A97A0A"/>
    <w:rsid w:val="00AA0774"/>
    <w:rsid w:val="00AA0B6E"/>
    <w:rsid w:val="00AA1070"/>
    <w:rsid w:val="00AA26F0"/>
    <w:rsid w:val="00AA311F"/>
    <w:rsid w:val="00AA7C6C"/>
    <w:rsid w:val="00AB06BA"/>
    <w:rsid w:val="00AB0851"/>
    <w:rsid w:val="00AB2A22"/>
    <w:rsid w:val="00AB2FC9"/>
    <w:rsid w:val="00AB3E4C"/>
    <w:rsid w:val="00AB42E0"/>
    <w:rsid w:val="00AB562B"/>
    <w:rsid w:val="00AB5DD9"/>
    <w:rsid w:val="00AB629D"/>
    <w:rsid w:val="00AB660B"/>
    <w:rsid w:val="00AB7086"/>
    <w:rsid w:val="00AB71F1"/>
    <w:rsid w:val="00AB76DB"/>
    <w:rsid w:val="00AB7A93"/>
    <w:rsid w:val="00AC0396"/>
    <w:rsid w:val="00AC19F9"/>
    <w:rsid w:val="00AC1E86"/>
    <w:rsid w:val="00AC268E"/>
    <w:rsid w:val="00AC2AA9"/>
    <w:rsid w:val="00AC325C"/>
    <w:rsid w:val="00AC6E03"/>
    <w:rsid w:val="00AD01F7"/>
    <w:rsid w:val="00AD053B"/>
    <w:rsid w:val="00AD06B5"/>
    <w:rsid w:val="00AD1115"/>
    <w:rsid w:val="00AD1244"/>
    <w:rsid w:val="00AD212E"/>
    <w:rsid w:val="00AD6464"/>
    <w:rsid w:val="00AD65C0"/>
    <w:rsid w:val="00AD6A18"/>
    <w:rsid w:val="00AD7A9A"/>
    <w:rsid w:val="00AE0130"/>
    <w:rsid w:val="00AE042F"/>
    <w:rsid w:val="00AE0FC7"/>
    <w:rsid w:val="00AE1FC7"/>
    <w:rsid w:val="00AE3DED"/>
    <w:rsid w:val="00AE4541"/>
    <w:rsid w:val="00AE65F8"/>
    <w:rsid w:val="00AE6677"/>
    <w:rsid w:val="00AE6D70"/>
    <w:rsid w:val="00AE79A5"/>
    <w:rsid w:val="00AF04D3"/>
    <w:rsid w:val="00AF25ED"/>
    <w:rsid w:val="00AF32B9"/>
    <w:rsid w:val="00AF433E"/>
    <w:rsid w:val="00AF7C8C"/>
    <w:rsid w:val="00B00067"/>
    <w:rsid w:val="00B0069B"/>
    <w:rsid w:val="00B00CE7"/>
    <w:rsid w:val="00B00FC0"/>
    <w:rsid w:val="00B01061"/>
    <w:rsid w:val="00B01E55"/>
    <w:rsid w:val="00B037A0"/>
    <w:rsid w:val="00B06B77"/>
    <w:rsid w:val="00B06BCC"/>
    <w:rsid w:val="00B073AA"/>
    <w:rsid w:val="00B10233"/>
    <w:rsid w:val="00B1073D"/>
    <w:rsid w:val="00B11FFB"/>
    <w:rsid w:val="00B12D2A"/>
    <w:rsid w:val="00B14065"/>
    <w:rsid w:val="00B14CEF"/>
    <w:rsid w:val="00B17DA2"/>
    <w:rsid w:val="00B205D6"/>
    <w:rsid w:val="00B21472"/>
    <w:rsid w:val="00B2162C"/>
    <w:rsid w:val="00B21CB6"/>
    <w:rsid w:val="00B22453"/>
    <w:rsid w:val="00B2283D"/>
    <w:rsid w:val="00B23191"/>
    <w:rsid w:val="00B23DA3"/>
    <w:rsid w:val="00B23E02"/>
    <w:rsid w:val="00B24B8B"/>
    <w:rsid w:val="00B24EE0"/>
    <w:rsid w:val="00B24F99"/>
    <w:rsid w:val="00B25148"/>
    <w:rsid w:val="00B279D3"/>
    <w:rsid w:val="00B27D70"/>
    <w:rsid w:val="00B27DAB"/>
    <w:rsid w:val="00B301BA"/>
    <w:rsid w:val="00B30B7A"/>
    <w:rsid w:val="00B31E90"/>
    <w:rsid w:val="00B324B1"/>
    <w:rsid w:val="00B32C24"/>
    <w:rsid w:val="00B3377A"/>
    <w:rsid w:val="00B33BBA"/>
    <w:rsid w:val="00B33DCA"/>
    <w:rsid w:val="00B34780"/>
    <w:rsid w:val="00B35298"/>
    <w:rsid w:val="00B363C4"/>
    <w:rsid w:val="00B41031"/>
    <w:rsid w:val="00B41BD9"/>
    <w:rsid w:val="00B42BEF"/>
    <w:rsid w:val="00B42C10"/>
    <w:rsid w:val="00B4373A"/>
    <w:rsid w:val="00B44F57"/>
    <w:rsid w:val="00B452BD"/>
    <w:rsid w:val="00B458A2"/>
    <w:rsid w:val="00B463D0"/>
    <w:rsid w:val="00B46735"/>
    <w:rsid w:val="00B4768B"/>
    <w:rsid w:val="00B476B7"/>
    <w:rsid w:val="00B50C57"/>
    <w:rsid w:val="00B52CED"/>
    <w:rsid w:val="00B55EC6"/>
    <w:rsid w:val="00B567CE"/>
    <w:rsid w:val="00B5728A"/>
    <w:rsid w:val="00B61BA1"/>
    <w:rsid w:val="00B625EE"/>
    <w:rsid w:val="00B62AAC"/>
    <w:rsid w:val="00B63163"/>
    <w:rsid w:val="00B64978"/>
    <w:rsid w:val="00B6515C"/>
    <w:rsid w:val="00B652EA"/>
    <w:rsid w:val="00B656DD"/>
    <w:rsid w:val="00B657E9"/>
    <w:rsid w:val="00B65C2C"/>
    <w:rsid w:val="00B65E8C"/>
    <w:rsid w:val="00B66A77"/>
    <w:rsid w:val="00B66F0B"/>
    <w:rsid w:val="00B67934"/>
    <w:rsid w:val="00B71A43"/>
    <w:rsid w:val="00B72057"/>
    <w:rsid w:val="00B73787"/>
    <w:rsid w:val="00B74ABA"/>
    <w:rsid w:val="00B77D6B"/>
    <w:rsid w:val="00B815A5"/>
    <w:rsid w:val="00B81771"/>
    <w:rsid w:val="00B824EE"/>
    <w:rsid w:val="00B82753"/>
    <w:rsid w:val="00B82891"/>
    <w:rsid w:val="00B8302A"/>
    <w:rsid w:val="00B83739"/>
    <w:rsid w:val="00B84E70"/>
    <w:rsid w:val="00B85B47"/>
    <w:rsid w:val="00B86CCE"/>
    <w:rsid w:val="00B86FB0"/>
    <w:rsid w:val="00B870B8"/>
    <w:rsid w:val="00B8793D"/>
    <w:rsid w:val="00B87A65"/>
    <w:rsid w:val="00B903C7"/>
    <w:rsid w:val="00B913E7"/>
    <w:rsid w:val="00B91988"/>
    <w:rsid w:val="00B93A45"/>
    <w:rsid w:val="00B94A97"/>
    <w:rsid w:val="00B95426"/>
    <w:rsid w:val="00B95908"/>
    <w:rsid w:val="00B96BD0"/>
    <w:rsid w:val="00BA22B8"/>
    <w:rsid w:val="00BA3A68"/>
    <w:rsid w:val="00BA6E20"/>
    <w:rsid w:val="00BB046A"/>
    <w:rsid w:val="00BB15B9"/>
    <w:rsid w:val="00BB2382"/>
    <w:rsid w:val="00BB34A2"/>
    <w:rsid w:val="00BB528E"/>
    <w:rsid w:val="00BB5EC1"/>
    <w:rsid w:val="00BB621A"/>
    <w:rsid w:val="00BB6B08"/>
    <w:rsid w:val="00BB77E1"/>
    <w:rsid w:val="00BB7D84"/>
    <w:rsid w:val="00BC0058"/>
    <w:rsid w:val="00BC0142"/>
    <w:rsid w:val="00BC0327"/>
    <w:rsid w:val="00BC397A"/>
    <w:rsid w:val="00BC3FD4"/>
    <w:rsid w:val="00BC4524"/>
    <w:rsid w:val="00BC6034"/>
    <w:rsid w:val="00BC7018"/>
    <w:rsid w:val="00BC723F"/>
    <w:rsid w:val="00BD04AC"/>
    <w:rsid w:val="00BD0850"/>
    <w:rsid w:val="00BD0AD3"/>
    <w:rsid w:val="00BD0D23"/>
    <w:rsid w:val="00BD2733"/>
    <w:rsid w:val="00BD39A8"/>
    <w:rsid w:val="00BD59C3"/>
    <w:rsid w:val="00BD5C78"/>
    <w:rsid w:val="00BE240A"/>
    <w:rsid w:val="00BE2CE1"/>
    <w:rsid w:val="00BE3B22"/>
    <w:rsid w:val="00BE3DD3"/>
    <w:rsid w:val="00BE42E9"/>
    <w:rsid w:val="00BE62BC"/>
    <w:rsid w:val="00BE6722"/>
    <w:rsid w:val="00BE6F04"/>
    <w:rsid w:val="00BF0C52"/>
    <w:rsid w:val="00BF1BDA"/>
    <w:rsid w:val="00BF2EFE"/>
    <w:rsid w:val="00BF47A9"/>
    <w:rsid w:val="00BF4F10"/>
    <w:rsid w:val="00BF6237"/>
    <w:rsid w:val="00BF652C"/>
    <w:rsid w:val="00BF7514"/>
    <w:rsid w:val="00BF7D53"/>
    <w:rsid w:val="00BF7ED4"/>
    <w:rsid w:val="00C0083F"/>
    <w:rsid w:val="00C00B84"/>
    <w:rsid w:val="00C014C0"/>
    <w:rsid w:val="00C01AD4"/>
    <w:rsid w:val="00C02FF7"/>
    <w:rsid w:val="00C04D14"/>
    <w:rsid w:val="00C04E7D"/>
    <w:rsid w:val="00C05815"/>
    <w:rsid w:val="00C0599D"/>
    <w:rsid w:val="00C0600D"/>
    <w:rsid w:val="00C076B7"/>
    <w:rsid w:val="00C0794F"/>
    <w:rsid w:val="00C106C3"/>
    <w:rsid w:val="00C106E9"/>
    <w:rsid w:val="00C10CD3"/>
    <w:rsid w:val="00C11C34"/>
    <w:rsid w:val="00C122C0"/>
    <w:rsid w:val="00C122FF"/>
    <w:rsid w:val="00C1287D"/>
    <w:rsid w:val="00C12F6A"/>
    <w:rsid w:val="00C1366D"/>
    <w:rsid w:val="00C14311"/>
    <w:rsid w:val="00C16652"/>
    <w:rsid w:val="00C1790A"/>
    <w:rsid w:val="00C20D71"/>
    <w:rsid w:val="00C20F2B"/>
    <w:rsid w:val="00C21260"/>
    <w:rsid w:val="00C22E03"/>
    <w:rsid w:val="00C23114"/>
    <w:rsid w:val="00C23168"/>
    <w:rsid w:val="00C2466B"/>
    <w:rsid w:val="00C24A88"/>
    <w:rsid w:val="00C24E39"/>
    <w:rsid w:val="00C2515C"/>
    <w:rsid w:val="00C26292"/>
    <w:rsid w:val="00C27307"/>
    <w:rsid w:val="00C302F2"/>
    <w:rsid w:val="00C31DC1"/>
    <w:rsid w:val="00C31EB4"/>
    <w:rsid w:val="00C328BB"/>
    <w:rsid w:val="00C3302C"/>
    <w:rsid w:val="00C35952"/>
    <w:rsid w:val="00C36A37"/>
    <w:rsid w:val="00C4136C"/>
    <w:rsid w:val="00C433C8"/>
    <w:rsid w:val="00C435F5"/>
    <w:rsid w:val="00C4442B"/>
    <w:rsid w:val="00C44768"/>
    <w:rsid w:val="00C447DA"/>
    <w:rsid w:val="00C5081E"/>
    <w:rsid w:val="00C5123C"/>
    <w:rsid w:val="00C51CFB"/>
    <w:rsid w:val="00C529AF"/>
    <w:rsid w:val="00C52ABA"/>
    <w:rsid w:val="00C53909"/>
    <w:rsid w:val="00C55A7F"/>
    <w:rsid w:val="00C55F15"/>
    <w:rsid w:val="00C57AF9"/>
    <w:rsid w:val="00C60E91"/>
    <w:rsid w:val="00C615E0"/>
    <w:rsid w:val="00C62070"/>
    <w:rsid w:val="00C62405"/>
    <w:rsid w:val="00C62924"/>
    <w:rsid w:val="00C650B1"/>
    <w:rsid w:val="00C661EE"/>
    <w:rsid w:val="00C6668B"/>
    <w:rsid w:val="00C66AAF"/>
    <w:rsid w:val="00C66EAF"/>
    <w:rsid w:val="00C673AD"/>
    <w:rsid w:val="00C67755"/>
    <w:rsid w:val="00C7044F"/>
    <w:rsid w:val="00C70672"/>
    <w:rsid w:val="00C73CC2"/>
    <w:rsid w:val="00C7405A"/>
    <w:rsid w:val="00C74EE9"/>
    <w:rsid w:val="00C76730"/>
    <w:rsid w:val="00C768E7"/>
    <w:rsid w:val="00C77224"/>
    <w:rsid w:val="00C77FC3"/>
    <w:rsid w:val="00C8039C"/>
    <w:rsid w:val="00C808FF"/>
    <w:rsid w:val="00C82098"/>
    <w:rsid w:val="00C830A2"/>
    <w:rsid w:val="00C83203"/>
    <w:rsid w:val="00C83636"/>
    <w:rsid w:val="00C84CB1"/>
    <w:rsid w:val="00C8524C"/>
    <w:rsid w:val="00C85C2A"/>
    <w:rsid w:val="00C85EBB"/>
    <w:rsid w:val="00C85FA3"/>
    <w:rsid w:val="00C865CE"/>
    <w:rsid w:val="00C87DE5"/>
    <w:rsid w:val="00C87F79"/>
    <w:rsid w:val="00C90E48"/>
    <w:rsid w:val="00C91128"/>
    <w:rsid w:val="00C920B6"/>
    <w:rsid w:val="00C93C32"/>
    <w:rsid w:val="00C94528"/>
    <w:rsid w:val="00C94965"/>
    <w:rsid w:val="00C94C11"/>
    <w:rsid w:val="00C96682"/>
    <w:rsid w:val="00CA0285"/>
    <w:rsid w:val="00CA06C2"/>
    <w:rsid w:val="00CA096D"/>
    <w:rsid w:val="00CA09CE"/>
    <w:rsid w:val="00CA123D"/>
    <w:rsid w:val="00CA154B"/>
    <w:rsid w:val="00CA160D"/>
    <w:rsid w:val="00CA29C0"/>
    <w:rsid w:val="00CA3125"/>
    <w:rsid w:val="00CA3999"/>
    <w:rsid w:val="00CA4116"/>
    <w:rsid w:val="00CA4167"/>
    <w:rsid w:val="00CA5DF9"/>
    <w:rsid w:val="00CB0A50"/>
    <w:rsid w:val="00CB31AF"/>
    <w:rsid w:val="00CB378D"/>
    <w:rsid w:val="00CB3CA3"/>
    <w:rsid w:val="00CB40D6"/>
    <w:rsid w:val="00CB43C0"/>
    <w:rsid w:val="00CB5E29"/>
    <w:rsid w:val="00CB5FBE"/>
    <w:rsid w:val="00CB68AB"/>
    <w:rsid w:val="00CB6E20"/>
    <w:rsid w:val="00CC0AF5"/>
    <w:rsid w:val="00CC3D4B"/>
    <w:rsid w:val="00CC68F1"/>
    <w:rsid w:val="00CC6A89"/>
    <w:rsid w:val="00CC6D7D"/>
    <w:rsid w:val="00CC7B48"/>
    <w:rsid w:val="00CD0668"/>
    <w:rsid w:val="00CD2AEF"/>
    <w:rsid w:val="00CD2DFC"/>
    <w:rsid w:val="00CD3433"/>
    <w:rsid w:val="00CD35F8"/>
    <w:rsid w:val="00CD3751"/>
    <w:rsid w:val="00CD3983"/>
    <w:rsid w:val="00CD54F6"/>
    <w:rsid w:val="00CE1B1D"/>
    <w:rsid w:val="00CE2744"/>
    <w:rsid w:val="00CE27DF"/>
    <w:rsid w:val="00CE423D"/>
    <w:rsid w:val="00CE4497"/>
    <w:rsid w:val="00CE4EAE"/>
    <w:rsid w:val="00CE57AE"/>
    <w:rsid w:val="00CE6568"/>
    <w:rsid w:val="00CE6871"/>
    <w:rsid w:val="00CE7122"/>
    <w:rsid w:val="00CE7677"/>
    <w:rsid w:val="00CE7C27"/>
    <w:rsid w:val="00CE7E2E"/>
    <w:rsid w:val="00CF062D"/>
    <w:rsid w:val="00CF10A6"/>
    <w:rsid w:val="00CF1769"/>
    <w:rsid w:val="00CF1ADD"/>
    <w:rsid w:val="00CF286E"/>
    <w:rsid w:val="00CF2EAF"/>
    <w:rsid w:val="00CF3C6A"/>
    <w:rsid w:val="00CF4D79"/>
    <w:rsid w:val="00CF5BFB"/>
    <w:rsid w:val="00CF6E01"/>
    <w:rsid w:val="00CF7634"/>
    <w:rsid w:val="00CF7FF4"/>
    <w:rsid w:val="00D00041"/>
    <w:rsid w:val="00D00E12"/>
    <w:rsid w:val="00D034FE"/>
    <w:rsid w:val="00D03F0C"/>
    <w:rsid w:val="00D051AF"/>
    <w:rsid w:val="00D06A66"/>
    <w:rsid w:val="00D06FAB"/>
    <w:rsid w:val="00D07966"/>
    <w:rsid w:val="00D07F6B"/>
    <w:rsid w:val="00D11A0C"/>
    <w:rsid w:val="00D11E0B"/>
    <w:rsid w:val="00D122D9"/>
    <w:rsid w:val="00D14322"/>
    <w:rsid w:val="00D148FD"/>
    <w:rsid w:val="00D15ED8"/>
    <w:rsid w:val="00D16B88"/>
    <w:rsid w:val="00D17336"/>
    <w:rsid w:val="00D20372"/>
    <w:rsid w:val="00D2053D"/>
    <w:rsid w:val="00D21B75"/>
    <w:rsid w:val="00D21E06"/>
    <w:rsid w:val="00D22BA9"/>
    <w:rsid w:val="00D2365B"/>
    <w:rsid w:val="00D23973"/>
    <w:rsid w:val="00D25159"/>
    <w:rsid w:val="00D260BD"/>
    <w:rsid w:val="00D265F7"/>
    <w:rsid w:val="00D271F5"/>
    <w:rsid w:val="00D272FF"/>
    <w:rsid w:val="00D2788F"/>
    <w:rsid w:val="00D302AF"/>
    <w:rsid w:val="00D30552"/>
    <w:rsid w:val="00D3141C"/>
    <w:rsid w:val="00D318CE"/>
    <w:rsid w:val="00D31943"/>
    <w:rsid w:val="00D31B1C"/>
    <w:rsid w:val="00D31C72"/>
    <w:rsid w:val="00D327E0"/>
    <w:rsid w:val="00D32C89"/>
    <w:rsid w:val="00D33531"/>
    <w:rsid w:val="00D335C2"/>
    <w:rsid w:val="00D365FF"/>
    <w:rsid w:val="00D36E7B"/>
    <w:rsid w:val="00D37A2B"/>
    <w:rsid w:val="00D41C62"/>
    <w:rsid w:val="00D41D44"/>
    <w:rsid w:val="00D42218"/>
    <w:rsid w:val="00D425F0"/>
    <w:rsid w:val="00D42FCD"/>
    <w:rsid w:val="00D433C1"/>
    <w:rsid w:val="00D437A2"/>
    <w:rsid w:val="00D45012"/>
    <w:rsid w:val="00D46C5A"/>
    <w:rsid w:val="00D46FB0"/>
    <w:rsid w:val="00D47027"/>
    <w:rsid w:val="00D476E8"/>
    <w:rsid w:val="00D479D0"/>
    <w:rsid w:val="00D50124"/>
    <w:rsid w:val="00D50A6C"/>
    <w:rsid w:val="00D52530"/>
    <w:rsid w:val="00D52810"/>
    <w:rsid w:val="00D53FFB"/>
    <w:rsid w:val="00D5407D"/>
    <w:rsid w:val="00D55404"/>
    <w:rsid w:val="00D565F2"/>
    <w:rsid w:val="00D56AC3"/>
    <w:rsid w:val="00D56D5A"/>
    <w:rsid w:val="00D60BAA"/>
    <w:rsid w:val="00D6250A"/>
    <w:rsid w:val="00D62935"/>
    <w:rsid w:val="00D62A52"/>
    <w:rsid w:val="00D63FF5"/>
    <w:rsid w:val="00D6561B"/>
    <w:rsid w:val="00D65A42"/>
    <w:rsid w:val="00D65F4B"/>
    <w:rsid w:val="00D673CD"/>
    <w:rsid w:val="00D67FDA"/>
    <w:rsid w:val="00D725B3"/>
    <w:rsid w:val="00D7454C"/>
    <w:rsid w:val="00D748FC"/>
    <w:rsid w:val="00D74CE2"/>
    <w:rsid w:val="00D76726"/>
    <w:rsid w:val="00D80ECB"/>
    <w:rsid w:val="00D80EF1"/>
    <w:rsid w:val="00D81DC0"/>
    <w:rsid w:val="00D825D4"/>
    <w:rsid w:val="00D82984"/>
    <w:rsid w:val="00D83224"/>
    <w:rsid w:val="00D83850"/>
    <w:rsid w:val="00D83DA7"/>
    <w:rsid w:val="00D841C5"/>
    <w:rsid w:val="00D85D50"/>
    <w:rsid w:val="00D873C8"/>
    <w:rsid w:val="00D875DF"/>
    <w:rsid w:val="00D87C0D"/>
    <w:rsid w:val="00D94394"/>
    <w:rsid w:val="00D96332"/>
    <w:rsid w:val="00D9690B"/>
    <w:rsid w:val="00D96B78"/>
    <w:rsid w:val="00DA1678"/>
    <w:rsid w:val="00DA17D5"/>
    <w:rsid w:val="00DA1B95"/>
    <w:rsid w:val="00DA1ED9"/>
    <w:rsid w:val="00DA3AB7"/>
    <w:rsid w:val="00DA3ECE"/>
    <w:rsid w:val="00DA515E"/>
    <w:rsid w:val="00DA65FA"/>
    <w:rsid w:val="00DB023C"/>
    <w:rsid w:val="00DB0802"/>
    <w:rsid w:val="00DB2763"/>
    <w:rsid w:val="00DB27F1"/>
    <w:rsid w:val="00DB51AC"/>
    <w:rsid w:val="00DB532E"/>
    <w:rsid w:val="00DB543F"/>
    <w:rsid w:val="00DB6174"/>
    <w:rsid w:val="00DC031B"/>
    <w:rsid w:val="00DC03C9"/>
    <w:rsid w:val="00DC0461"/>
    <w:rsid w:val="00DC0D66"/>
    <w:rsid w:val="00DC0FA9"/>
    <w:rsid w:val="00DC18FD"/>
    <w:rsid w:val="00DC28C8"/>
    <w:rsid w:val="00DC3FD4"/>
    <w:rsid w:val="00DC4993"/>
    <w:rsid w:val="00DC54D5"/>
    <w:rsid w:val="00DC60F9"/>
    <w:rsid w:val="00DC6B35"/>
    <w:rsid w:val="00DC6BA9"/>
    <w:rsid w:val="00DC6CBE"/>
    <w:rsid w:val="00DC6FCC"/>
    <w:rsid w:val="00DC738F"/>
    <w:rsid w:val="00DD037D"/>
    <w:rsid w:val="00DD293F"/>
    <w:rsid w:val="00DD59AC"/>
    <w:rsid w:val="00DD6990"/>
    <w:rsid w:val="00DD7724"/>
    <w:rsid w:val="00DE0343"/>
    <w:rsid w:val="00DE285E"/>
    <w:rsid w:val="00DE29AD"/>
    <w:rsid w:val="00DE426A"/>
    <w:rsid w:val="00DE65A0"/>
    <w:rsid w:val="00DF1418"/>
    <w:rsid w:val="00DF17AD"/>
    <w:rsid w:val="00DF2E2B"/>
    <w:rsid w:val="00DF360C"/>
    <w:rsid w:val="00DF3653"/>
    <w:rsid w:val="00DF396E"/>
    <w:rsid w:val="00DF408C"/>
    <w:rsid w:val="00DF465E"/>
    <w:rsid w:val="00DF4D5B"/>
    <w:rsid w:val="00DF539B"/>
    <w:rsid w:val="00DF7130"/>
    <w:rsid w:val="00DF79DD"/>
    <w:rsid w:val="00E02372"/>
    <w:rsid w:val="00E026B9"/>
    <w:rsid w:val="00E02FEF"/>
    <w:rsid w:val="00E034B4"/>
    <w:rsid w:val="00E046DD"/>
    <w:rsid w:val="00E06909"/>
    <w:rsid w:val="00E069FB"/>
    <w:rsid w:val="00E06C56"/>
    <w:rsid w:val="00E078B5"/>
    <w:rsid w:val="00E1072D"/>
    <w:rsid w:val="00E10EDC"/>
    <w:rsid w:val="00E1141A"/>
    <w:rsid w:val="00E11A4D"/>
    <w:rsid w:val="00E1259F"/>
    <w:rsid w:val="00E125E7"/>
    <w:rsid w:val="00E12626"/>
    <w:rsid w:val="00E12969"/>
    <w:rsid w:val="00E14976"/>
    <w:rsid w:val="00E15E2A"/>
    <w:rsid w:val="00E15FAB"/>
    <w:rsid w:val="00E16D62"/>
    <w:rsid w:val="00E17084"/>
    <w:rsid w:val="00E20D3D"/>
    <w:rsid w:val="00E243D0"/>
    <w:rsid w:val="00E25046"/>
    <w:rsid w:val="00E2691E"/>
    <w:rsid w:val="00E26F4A"/>
    <w:rsid w:val="00E26FAA"/>
    <w:rsid w:val="00E27B14"/>
    <w:rsid w:val="00E305F7"/>
    <w:rsid w:val="00E306FE"/>
    <w:rsid w:val="00E30953"/>
    <w:rsid w:val="00E31AA8"/>
    <w:rsid w:val="00E31C92"/>
    <w:rsid w:val="00E32B11"/>
    <w:rsid w:val="00E33804"/>
    <w:rsid w:val="00E33F76"/>
    <w:rsid w:val="00E348A0"/>
    <w:rsid w:val="00E3510C"/>
    <w:rsid w:val="00E35284"/>
    <w:rsid w:val="00E35EB6"/>
    <w:rsid w:val="00E41D70"/>
    <w:rsid w:val="00E41DC3"/>
    <w:rsid w:val="00E43285"/>
    <w:rsid w:val="00E45442"/>
    <w:rsid w:val="00E454D2"/>
    <w:rsid w:val="00E455DE"/>
    <w:rsid w:val="00E45F74"/>
    <w:rsid w:val="00E46A7D"/>
    <w:rsid w:val="00E47D14"/>
    <w:rsid w:val="00E503B2"/>
    <w:rsid w:val="00E50955"/>
    <w:rsid w:val="00E50B2C"/>
    <w:rsid w:val="00E51A37"/>
    <w:rsid w:val="00E51C3F"/>
    <w:rsid w:val="00E5233D"/>
    <w:rsid w:val="00E56563"/>
    <w:rsid w:val="00E56844"/>
    <w:rsid w:val="00E57778"/>
    <w:rsid w:val="00E602D1"/>
    <w:rsid w:val="00E60B4B"/>
    <w:rsid w:val="00E61413"/>
    <w:rsid w:val="00E61589"/>
    <w:rsid w:val="00E61842"/>
    <w:rsid w:val="00E61ED6"/>
    <w:rsid w:val="00E635F8"/>
    <w:rsid w:val="00E64841"/>
    <w:rsid w:val="00E661DF"/>
    <w:rsid w:val="00E6677F"/>
    <w:rsid w:val="00E67BC4"/>
    <w:rsid w:val="00E704C8"/>
    <w:rsid w:val="00E7088B"/>
    <w:rsid w:val="00E717EC"/>
    <w:rsid w:val="00E7198F"/>
    <w:rsid w:val="00E7275C"/>
    <w:rsid w:val="00E72CFB"/>
    <w:rsid w:val="00E7305E"/>
    <w:rsid w:val="00E7359B"/>
    <w:rsid w:val="00E73F41"/>
    <w:rsid w:val="00E74826"/>
    <w:rsid w:val="00E7518C"/>
    <w:rsid w:val="00E759BA"/>
    <w:rsid w:val="00E75BEB"/>
    <w:rsid w:val="00E7622F"/>
    <w:rsid w:val="00E768FA"/>
    <w:rsid w:val="00E77430"/>
    <w:rsid w:val="00E81EB9"/>
    <w:rsid w:val="00E81F94"/>
    <w:rsid w:val="00E82CC0"/>
    <w:rsid w:val="00E83757"/>
    <w:rsid w:val="00E840A4"/>
    <w:rsid w:val="00E84671"/>
    <w:rsid w:val="00E85A87"/>
    <w:rsid w:val="00E879C8"/>
    <w:rsid w:val="00E902DA"/>
    <w:rsid w:val="00E9072B"/>
    <w:rsid w:val="00E91A68"/>
    <w:rsid w:val="00E91F09"/>
    <w:rsid w:val="00E94F87"/>
    <w:rsid w:val="00E9567F"/>
    <w:rsid w:val="00E961A6"/>
    <w:rsid w:val="00E97923"/>
    <w:rsid w:val="00EA0506"/>
    <w:rsid w:val="00EA200B"/>
    <w:rsid w:val="00EA236D"/>
    <w:rsid w:val="00EA2789"/>
    <w:rsid w:val="00EA3B0D"/>
    <w:rsid w:val="00EA48DB"/>
    <w:rsid w:val="00EA6499"/>
    <w:rsid w:val="00EA6900"/>
    <w:rsid w:val="00EA7A23"/>
    <w:rsid w:val="00EA7E38"/>
    <w:rsid w:val="00EB0AB0"/>
    <w:rsid w:val="00EB0BED"/>
    <w:rsid w:val="00EB0FBE"/>
    <w:rsid w:val="00EB33EE"/>
    <w:rsid w:val="00EB4028"/>
    <w:rsid w:val="00EB4CC2"/>
    <w:rsid w:val="00EB57B4"/>
    <w:rsid w:val="00EB6140"/>
    <w:rsid w:val="00EB68FE"/>
    <w:rsid w:val="00EB7105"/>
    <w:rsid w:val="00EB7C40"/>
    <w:rsid w:val="00EB7FCD"/>
    <w:rsid w:val="00EC0B14"/>
    <w:rsid w:val="00EC0C0E"/>
    <w:rsid w:val="00EC0D2E"/>
    <w:rsid w:val="00EC10D5"/>
    <w:rsid w:val="00EC28D1"/>
    <w:rsid w:val="00EC2E54"/>
    <w:rsid w:val="00EC4832"/>
    <w:rsid w:val="00EC48B2"/>
    <w:rsid w:val="00EC4E3D"/>
    <w:rsid w:val="00EC541E"/>
    <w:rsid w:val="00EC6570"/>
    <w:rsid w:val="00EC667D"/>
    <w:rsid w:val="00EC799E"/>
    <w:rsid w:val="00ED05D1"/>
    <w:rsid w:val="00ED07E8"/>
    <w:rsid w:val="00ED2F8B"/>
    <w:rsid w:val="00ED3B78"/>
    <w:rsid w:val="00ED524E"/>
    <w:rsid w:val="00ED5792"/>
    <w:rsid w:val="00ED5ECF"/>
    <w:rsid w:val="00ED66F2"/>
    <w:rsid w:val="00ED68DA"/>
    <w:rsid w:val="00ED6F59"/>
    <w:rsid w:val="00ED75D5"/>
    <w:rsid w:val="00ED7B5B"/>
    <w:rsid w:val="00ED7E90"/>
    <w:rsid w:val="00EE09DA"/>
    <w:rsid w:val="00EE0DB9"/>
    <w:rsid w:val="00EE21DC"/>
    <w:rsid w:val="00EE22E8"/>
    <w:rsid w:val="00EE2F06"/>
    <w:rsid w:val="00EE2F0D"/>
    <w:rsid w:val="00EE3133"/>
    <w:rsid w:val="00EE68CF"/>
    <w:rsid w:val="00EE6B1B"/>
    <w:rsid w:val="00EE6BC4"/>
    <w:rsid w:val="00EE7667"/>
    <w:rsid w:val="00EF0180"/>
    <w:rsid w:val="00EF08F7"/>
    <w:rsid w:val="00EF0924"/>
    <w:rsid w:val="00EF0A8D"/>
    <w:rsid w:val="00EF346C"/>
    <w:rsid w:val="00EF4B7D"/>
    <w:rsid w:val="00F00230"/>
    <w:rsid w:val="00F01248"/>
    <w:rsid w:val="00F017B1"/>
    <w:rsid w:val="00F03A89"/>
    <w:rsid w:val="00F03B25"/>
    <w:rsid w:val="00F04204"/>
    <w:rsid w:val="00F051F2"/>
    <w:rsid w:val="00F053BC"/>
    <w:rsid w:val="00F058C7"/>
    <w:rsid w:val="00F06A57"/>
    <w:rsid w:val="00F06F91"/>
    <w:rsid w:val="00F07570"/>
    <w:rsid w:val="00F07E77"/>
    <w:rsid w:val="00F10A96"/>
    <w:rsid w:val="00F1192A"/>
    <w:rsid w:val="00F11A2E"/>
    <w:rsid w:val="00F13C1D"/>
    <w:rsid w:val="00F13FB7"/>
    <w:rsid w:val="00F140B1"/>
    <w:rsid w:val="00F15185"/>
    <w:rsid w:val="00F16352"/>
    <w:rsid w:val="00F211B9"/>
    <w:rsid w:val="00F2151C"/>
    <w:rsid w:val="00F22F44"/>
    <w:rsid w:val="00F2457B"/>
    <w:rsid w:val="00F25A54"/>
    <w:rsid w:val="00F26FD4"/>
    <w:rsid w:val="00F309DD"/>
    <w:rsid w:val="00F319D5"/>
    <w:rsid w:val="00F31AE4"/>
    <w:rsid w:val="00F31FF6"/>
    <w:rsid w:val="00F32822"/>
    <w:rsid w:val="00F3413F"/>
    <w:rsid w:val="00F34BAE"/>
    <w:rsid w:val="00F35E0C"/>
    <w:rsid w:val="00F36D9D"/>
    <w:rsid w:val="00F37DBC"/>
    <w:rsid w:val="00F4026E"/>
    <w:rsid w:val="00F40A74"/>
    <w:rsid w:val="00F40BC3"/>
    <w:rsid w:val="00F41039"/>
    <w:rsid w:val="00F41450"/>
    <w:rsid w:val="00F4363A"/>
    <w:rsid w:val="00F4397D"/>
    <w:rsid w:val="00F44EF7"/>
    <w:rsid w:val="00F453B2"/>
    <w:rsid w:val="00F456CF"/>
    <w:rsid w:val="00F45775"/>
    <w:rsid w:val="00F46511"/>
    <w:rsid w:val="00F50B71"/>
    <w:rsid w:val="00F5197E"/>
    <w:rsid w:val="00F52335"/>
    <w:rsid w:val="00F53BBE"/>
    <w:rsid w:val="00F54255"/>
    <w:rsid w:val="00F56DE0"/>
    <w:rsid w:val="00F578B9"/>
    <w:rsid w:val="00F62B22"/>
    <w:rsid w:val="00F64CAE"/>
    <w:rsid w:val="00F67E1E"/>
    <w:rsid w:val="00F70605"/>
    <w:rsid w:val="00F70E66"/>
    <w:rsid w:val="00F725F6"/>
    <w:rsid w:val="00F72FA0"/>
    <w:rsid w:val="00F7580D"/>
    <w:rsid w:val="00F765CC"/>
    <w:rsid w:val="00F76F8E"/>
    <w:rsid w:val="00F77002"/>
    <w:rsid w:val="00F815C2"/>
    <w:rsid w:val="00F82C68"/>
    <w:rsid w:val="00F83044"/>
    <w:rsid w:val="00F83A3E"/>
    <w:rsid w:val="00F84E30"/>
    <w:rsid w:val="00F861CD"/>
    <w:rsid w:val="00F8625E"/>
    <w:rsid w:val="00F86BC1"/>
    <w:rsid w:val="00F903F6"/>
    <w:rsid w:val="00F91A64"/>
    <w:rsid w:val="00F91B5C"/>
    <w:rsid w:val="00F92120"/>
    <w:rsid w:val="00F929C6"/>
    <w:rsid w:val="00F92CA0"/>
    <w:rsid w:val="00F93007"/>
    <w:rsid w:val="00F93DCA"/>
    <w:rsid w:val="00F93EB2"/>
    <w:rsid w:val="00F94200"/>
    <w:rsid w:val="00F94B56"/>
    <w:rsid w:val="00F952D1"/>
    <w:rsid w:val="00F9577E"/>
    <w:rsid w:val="00F97BCE"/>
    <w:rsid w:val="00FA0BE6"/>
    <w:rsid w:val="00FA0D01"/>
    <w:rsid w:val="00FA168E"/>
    <w:rsid w:val="00FA25F8"/>
    <w:rsid w:val="00FA3F31"/>
    <w:rsid w:val="00FA41BF"/>
    <w:rsid w:val="00FA5868"/>
    <w:rsid w:val="00FA7F91"/>
    <w:rsid w:val="00FB0D69"/>
    <w:rsid w:val="00FB17B1"/>
    <w:rsid w:val="00FB2D3A"/>
    <w:rsid w:val="00FB3F40"/>
    <w:rsid w:val="00FB441C"/>
    <w:rsid w:val="00FB4DDF"/>
    <w:rsid w:val="00FB5FD7"/>
    <w:rsid w:val="00FB68EC"/>
    <w:rsid w:val="00FB7374"/>
    <w:rsid w:val="00FC1448"/>
    <w:rsid w:val="00FC2E13"/>
    <w:rsid w:val="00FC36F4"/>
    <w:rsid w:val="00FC391D"/>
    <w:rsid w:val="00FC4323"/>
    <w:rsid w:val="00FC43B9"/>
    <w:rsid w:val="00FC4761"/>
    <w:rsid w:val="00FC6E94"/>
    <w:rsid w:val="00FC7208"/>
    <w:rsid w:val="00FC7825"/>
    <w:rsid w:val="00FD00BF"/>
    <w:rsid w:val="00FD2286"/>
    <w:rsid w:val="00FD2D75"/>
    <w:rsid w:val="00FD3946"/>
    <w:rsid w:val="00FD479E"/>
    <w:rsid w:val="00FD4E48"/>
    <w:rsid w:val="00FD583B"/>
    <w:rsid w:val="00FD5A46"/>
    <w:rsid w:val="00FD600E"/>
    <w:rsid w:val="00FD6AC9"/>
    <w:rsid w:val="00FD7B38"/>
    <w:rsid w:val="00FE0349"/>
    <w:rsid w:val="00FE08C2"/>
    <w:rsid w:val="00FE1926"/>
    <w:rsid w:val="00FE1A55"/>
    <w:rsid w:val="00FE5835"/>
    <w:rsid w:val="00FE6FF6"/>
    <w:rsid w:val="00FE7321"/>
    <w:rsid w:val="00FF19C2"/>
    <w:rsid w:val="00FF242D"/>
    <w:rsid w:val="00FF284C"/>
    <w:rsid w:val="00FF2C08"/>
    <w:rsid w:val="00FF30E0"/>
    <w:rsid w:val="00FF32E6"/>
    <w:rsid w:val="00FF38A7"/>
    <w:rsid w:val="00FF3E0E"/>
    <w:rsid w:val="00FF40E6"/>
    <w:rsid w:val="00FF4A11"/>
    <w:rsid w:val="00FF52E2"/>
    <w:rsid w:val="00FF6E85"/>
    <w:rsid w:val="00FF778E"/>
    <w:rsid w:val="00FF7CEB"/>
    <w:rsid w:val="00FF7E9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231103"/>
  <w15:chartTrackingRefBased/>
  <w15:docId w15:val="{5E01A3AB-8029-4CBD-A903-79A02FF8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6232"/>
    <w:pPr>
      <w:spacing w:after="0" w:line="240" w:lineRule="auto"/>
    </w:pPr>
    <w:rPr>
      <w:rFonts w:ascii="Verdana" w:eastAsia="Times New Roman" w:hAnsi="Verdana" w:cs="Times New Roman"/>
      <w:sz w:val="18"/>
      <w:szCs w:val="24"/>
      <w:lang w:eastAsia="nl-NL"/>
    </w:rPr>
  </w:style>
  <w:style w:type="paragraph" w:styleId="Kop1">
    <w:name w:val="heading 1"/>
    <w:basedOn w:val="Standaard"/>
    <w:next w:val="Standaard"/>
    <w:link w:val="Kop1Char"/>
    <w:uiPriority w:val="9"/>
    <w:qFormat/>
    <w:rsid w:val="00E1141A"/>
    <w:pPr>
      <w:keepNext/>
      <w:keepLines/>
      <w:spacing w:before="240" w:after="120" w:line="360" w:lineRule="auto"/>
      <w:outlineLvl w:val="0"/>
    </w:pPr>
    <w:rPr>
      <w:rFonts w:eastAsiaTheme="majorEastAsia" w:cstheme="majorBidi"/>
      <w:b/>
      <w:szCs w:val="32"/>
      <w:lang w:eastAsia="en-US"/>
    </w:rPr>
  </w:style>
  <w:style w:type="paragraph" w:styleId="Kop2">
    <w:name w:val="heading 2"/>
    <w:basedOn w:val="Standaard"/>
    <w:next w:val="Standaard"/>
    <w:link w:val="Kop2Char"/>
    <w:uiPriority w:val="9"/>
    <w:unhideWhenUsed/>
    <w:qFormat/>
    <w:rsid w:val="004D0111"/>
    <w:pPr>
      <w:keepNext/>
      <w:keepLines/>
      <w:numPr>
        <w:numId w:val="1"/>
      </w:numPr>
      <w:spacing w:after="120" w:line="360" w:lineRule="auto"/>
      <w:outlineLvl w:val="1"/>
    </w:pPr>
    <w:rPr>
      <w:rFonts w:eastAsiaTheme="majorEastAsia" w:cstheme="majorBidi"/>
      <w:b/>
      <w:szCs w:val="26"/>
      <w:lang w:eastAsia="en-US"/>
    </w:rPr>
  </w:style>
  <w:style w:type="paragraph" w:styleId="Kop3">
    <w:name w:val="heading 3"/>
    <w:basedOn w:val="Standaard"/>
    <w:next w:val="Standaard"/>
    <w:link w:val="Kop3Char"/>
    <w:uiPriority w:val="9"/>
    <w:unhideWhenUsed/>
    <w:qFormat/>
    <w:rsid w:val="00611D64"/>
    <w:pPr>
      <w:keepNext/>
      <w:keepLines/>
      <w:numPr>
        <w:numId w:val="2"/>
      </w:numPr>
      <w:spacing w:before="240" w:after="120" w:line="360" w:lineRule="auto"/>
      <w:outlineLvl w:val="2"/>
    </w:pPr>
    <w:rPr>
      <w:rFonts w:eastAsiaTheme="majorEastAsia" w:cstheme="majorBidi"/>
      <w:b/>
      <w:lang w:eastAsia="en-US"/>
    </w:rPr>
  </w:style>
  <w:style w:type="paragraph" w:styleId="Kop4">
    <w:name w:val="heading 4"/>
    <w:basedOn w:val="Standaard"/>
    <w:next w:val="Standaard"/>
    <w:link w:val="Kop4Char"/>
    <w:uiPriority w:val="9"/>
    <w:unhideWhenUsed/>
    <w:qFormat/>
    <w:rsid w:val="00475B44"/>
    <w:pPr>
      <w:keepNext/>
      <w:keepLines/>
      <w:spacing w:before="40" w:line="360" w:lineRule="auto"/>
      <w:outlineLvl w:val="3"/>
    </w:pPr>
    <w:rPr>
      <w:rFonts w:asciiTheme="majorHAnsi" w:eastAsiaTheme="majorEastAsia" w:hAnsiTheme="majorHAnsi" w:cstheme="majorBidi"/>
      <w:i/>
      <w:iCs/>
      <w:color w:val="2F5496" w:themeColor="accent1" w:themeShade="BF"/>
      <w:szCs w:val="22"/>
      <w:lang w:eastAsia="en-US"/>
    </w:rPr>
  </w:style>
  <w:style w:type="paragraph" w:styleId="Kop5">
    <w:name w:val="heading 5"/>
    <w:basedOn w:val="Standaard"/>
    <w:next w:val="Standaard"/>
    <w:link w:val="Kop5Char"/>
    <w:uiPriority w:val="9"/>
    <w:unhideWhenUsed/>
    <w:qFormat/>
    <w:rsid w:val="00C7044F"/>
    <w:pPr>
      <w:keepNext/>
      <w:keepLines/>
      <w:spacing w:before="40" w:line="360" w:lineRule="auto"/>
      <w:outlineLvl w:val="4"/>
    </w:pPr>
    <w:rPr>
      <w:rFonts w:asciiTheme="majorHAnsi" w:eastAsiaTheme="majorEastAsia" w:hAnsiTheme="majorHAnsi" w:cstheme="majorBidi"/>
      <w:color w:val="2F5496" w:themeColor="accent1" w:themeShade="BF"/>
      <w:szCs w:val="22"/>
      <w:lang w:eastAsia="en-US"/>
    </w:rPr>
  </w:style>
  <w:style w:type="paragraph" w:styleId="Kop6">
    <w:name w:val="heading 6"/>
    <w:basedOn w:val="Standaard"/>
    <w:next w:val="Standaard"/>
    <w:link w:val="Kop6Char"/>
    <w:uiPriority w:val="9"/>
    <w:unhideWhenUsed/>
    <w:qFormat/>
    <w:rsid w:val="004F1610"/>
    <w:pPr>
      <w:keepNext/>
      <w:keepLines/>
      <w:spacing w:before="40" w:line="360" w:lineRule="auto"/>
      <w:outlineLvl w:val="5"/>
    </w:pPr>
    <w:rPr>
      <w:rFonts w:asciiTheme="majorHAnsi" w:eastAsiaTheme="majorEastAsia" w:hAnsiTheme="majorHAnsi" w:cstheme="majorBidi"/>
      <w:color w:val="1F3763" w:themeColor="accent1" w:themeShade="7F"/>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1141A"/>
    <w:pPr>
      <w:tabs>
        <w:tab w:val="center" w:pos="4536"/>
        <w:tab w:val="right" w:pos="9072"/>
      </w:tabs>
    </w:pPr>
    <w:rPr>
      <w:rFonts w:eastAsiaTheme="minorHAnsi" w:cstheme="minorBidi"/>
      <w:szCs w:val="22"/>
      <w:lang w:eastAsia="en-US"/>
    </w:rPr>
  </w:style>
  <w:style w:type="character" w:customStyle="1" w:styleId="KoptekstChar">
    <w:name w:val="Koptekst Char"/>
    <w:basedOn w:val="Standaardalinea-lettertype"/>
    <w:link w:val="Koptekst"/>
    <w:uiPriority w:val="99"/>
    <w:rsid w:val="00E1141A"/>
    <w:rPr>
      <w:rFonts w:ascii="Verdana" w:hAnsi="Verdana"/>
      <w:sz w:val="18"/>
    </w:rPr>
  </w:style>
  <w:style w:type="paragraph" w:styleId="Voettekst">
    <w:name w:val="footer"/>
    <w:basedOn w:val="Standaard"/>
    <w:link w:val="VoettekstChar"/>
    <w:uiPriority w:val="99"/>
    <w:unhideWhenUsed/>
    <w:rsid w:val="00E1141A"/>
    <w:pPr>
      <w:tabs>
        <w:tab w:val="center" w:pos="4536"/>
        <w:tab w:val="right" w:pos="9072"/>
      </w:tabs>
    </w:pPr>
    <w:rPr>
      <w:rFonts w:eastAsiaTheme="minorHAnsi" w:cstheme="minorBidi"/>
      <w:szCs w:val="22"/>
      <w:lang w:eastAsia="en-US"/>
    </w:rPr>
  </w:style>
  <w:style w:type="character" w:customStyle="1" w:styleId="VoettekstChar">
    <w:name w:val="Voettekst Char"/>
    <w:basedOn w:val="Standaardalinea-lettertype"/>
    <w:link w:val="Voettekst"/>
    <w:uiPriority w:val="99"/>
    <w:rsid w:val="00E1141A"/>
    <w:rPr>
      <w:rFonts w:ascii="Verdana" w:hAnsi="Verdana"/>
      <w:sz w:val="18"/>
    </w:rPr>
  </w:style>
  <w:style w:type="character" w:customStyle="1" w:styleId="Kop1Char">
    <w:name w:val="Kop 1 Char"/>
    <w:basedOn w:val="Standaardalinea-lettertype"/>
    <w:link w:val="Kop1"/>
    <w:uiPriority w:val="9"/>
    <w:rsid w:val="00E1141A"/>
    <w:rPr>
      <w:rFonts w:ascii="Verdana" w:eastAsiaTheme="majorEastAsia" w:hAnsi="Verdana" w:cstheme="majorBidi"/>
      <w:b/>
      <w:sz w:val="24"/>
      <w:szCs w:val="32"/>
    </w:rPr>
  </w:style>
  <w:style w:type="paragraph" w:styleId="Kopvaninhoudsopgave">
    <w:name w:val="TOC Heading"/>
    <w:basedOn w:val="Kop1"/>
    <w:next w:val="Standaard"/>
    <w:uiPriority w:val="39"/>
    <w:unhideWhenUsed/>
    <w:qFormat/>
    <w:rsid w:val="00E1141A"/>
    <w:pPr>
      <w:spacing w:after="0" w:line="259" w:lineRule="auto"/>
      <w:outlineLvl w:val="9"/>
    </w:pPr>
    <w:rPr>
      <w:rFonts w:asciiTheme="majorHAnsi" w:hAnsiTheme="majorHAnsi"/>
      <w:b w:val="0"/>
      <w:color w:val="2F5496" w:themeColor="accent1" w:themeShade="BF"/>
      <w:sz w:val="32"/>
      <w:lang w:eastAsia="nl-BE"/>
    </w:rPr>
  </w:style>
  <w:style w:type="paragraph" w:styleId="Inhopg1">
    <w:name w:val="toc 1"/>
    <w:basedOn w:val="Standaard"/>
    <w:next w:val="Standaard"/>
    <w:autoRedefine/>
    <w:uiPriority w:val="39"/>
    <w:unhideWhenUsed/>
    <w:rsid w:val="00D83DA7"/>
    <w:pPr>
      <w:spacing w:before="120" w:after="120"/>
    </w:pPr>
    <w:rPr>
      <w:rFonts w:asciiTheme="minorHAnsi" w:hAnsiTheme="minorHAnsi" w:cstheme="minorHAnsi"/>
      <w:b/>
      <w:bCs/>
      <w:caps/>
      <w:sz w:val="20"/>
      <w:szCs w:val="20"/>
    </w:rPr>
  </w:style>
  <w:style w:type="character" w:styleId="Hyperlink">
    <w:name w:val="Hyperlink"/>
    <w:basedOn w:val="Standaardalinea-lettertype"/>
    <w:uiPriority w:val="99"/>
    <w:unhideWhenUsed/>
    <w:rsid w:val="00E1141A"/>
    <w:rPr>
      <w:color w:val="0563C1" w:themeColor="hyperlink"/>
      <w:u w:val="single"/>
    </w:rPr>
  </w:style>
  <w:style w:type="character" w:customStyle="1" w:styleId="Kop2Char">
    <w:name w:val="Kop 2 Char"/>
    <w:basedOn w:val="Standaardalinea-lettertype"/>
    <w:link w:val="Kop2"/>
    <w:uiPriority w:val="9"/>
    <w:rsid w:val="004D0111"/>
    <w:rPr>
      <w:rFonts w:ascii="Verdana" w:eastAsiaTheme="majorEastAsia" w:hAnsi="Verdana" w:cstheme="majorBidi"/>
      <w:b/>
      <w:sz w:val="18"/>
      <w:szCs w:val="26"/>
    </w:rPr>
  </w:style>
  <w:style w:type="character" w:customStyle="1" w:styleId="Kop3Char">
    <w:name w:val="Kop 3 Char"/>
    <w:basedOn w:val="Standaardalinea-lettertype"/>
    <w:link w:val="Kop3"/>
    <w:uiPriority w:val="9"/>
    <w:rsid w:val="00611D64"/>
    <w:rPr>
      <w:rFonts w:ascii="Verdana" w:eastAsiaTheme="majorEastAsia" w:hAnsi="Verdana" w:cstheme="majorBidi"/>
      <w:b/>
      <w:sz w:val="18"/>
      <w:szCs w:val="24"/>
    </w:rPr>
  </w:style>
  <w:style w:type="paragraph" w:styleId="Inhopg2">
    <w:name w:val="toc 2"/>
    <w:basedOn w:val="Standaard"/>
    <w:next w:val="Standaard"/>
    <w:autoRedefine/>
    <w:uiPriority w:val="39"/>
    <w:unhideWhenUsed/>
    <w:rsid w:val="004D0111"/>
    <w:pPr>
      <w:ind w:left="180"/>
    </w:pPr>
    <w:rPr>
      <w:rFonts w:asciiTheme="minorHAnsi" w:hAnsiTheme="minorHAnsi" w:cstheme="minorHAnsi"/>
      <w:smallCaps/>
      <w:sz w:val="20"/>
      <w:szCs w:val="20"/>
    </w:rPr>
  </w:style>
  <w:style w:type="paragraph" w:styleId="Inhopg3">
    <w:name w:val="toc 3"/>
    <w:basedOn w:val="Standaard"/>
    <w:next w:val="Standaard"/>
    <w:autoRedefine/>
    <w:uiPriority w:val="39"/>
    <w:unhideWhenUsed/>
    <w:rsid w:val="004D0111"/>
    <w:pPr>
      <w:ind w:left="360"/>
    </w:pPr>
    <w:rPr>
      <w:rFonts w:asciiTheme="minorHAnsi" w:hAnsiTheme="minorHAnsi" w:cstheme="minorHAnsi"/>
      <w:i/>
      <w:iCs/>
      <w:sz w:val="20"/>
      <w:szCs w:val="20"/>
    </w:rPr>
  </w:style>
  <w:style w:type="paragraph" w:styleId="Lijstalinea">
    <w:name w:val="List Paragraph"/>
    <w:basedOn w:val="Standaard"/>
    <w:uiPriority w:val="34"/>
    <w:qFormat/>
    <w:rsid w:val="005405B3"/>
    <w:pPr>
      <w:spacing w:after="120" w:line="360" w:lineRule="auto"/>
      <w:ind w:left="720"/>
      <w:contextualSpacing/>
    </w:pPr>
    <w:rPr>
      <w:rFonts w:eastAsiaTheme="minorHAnsi" w:cstheme="minorBidi"/>
      <w:szCs w:val="22"/>
      <w:lang w:eastAsia="en-US"/>
    </w:rPr>
  </w:style>
  <w:style w:type="paragraph" w:styleId="Inhopg4">
    <w:name w:val="toc 4"/>
    <w:basedOn w:val="Standaard"/>
    <w:next w:val="Standaard"/>
    <w:autoRedefine/>
    <w:uiPriority w:val="39"/>
    <w:semiHidden/>
    <w:unhideWhenUsed/>
    <w:rsid w:val="0013587B"/>
    <w:pPr>
      <w:ind w:left="540"/>
    </w:pPr>
    <w:rPr>
      <w:rFonts w:asciiTheme="minorHAnsi" w:hAnsiTheme="minorHAnsi" w:cstheme="minorHAnsi"/>
      <w:szCs w:val="18"/>
    </w:rPr>
  </w:style>
  <w:style w:type="paragraph" w:styleId="Inhopg5">
    <w:name w:val="toc 5"/>
    <w:basedOn w:val="Standaard"/>
    <w:next w:val="Standaard"/>
    <w:autoRedefine/>
    <w:uiPriority w:val="39"/>
    <w:semiHidden/>
    <w:unhideWhenUsed/>
    <w:rsid w:val="0013587B"/>
    <w:pPr>
      <w:ind w:left="720"/>
    </w:pPr>
    <w:rPr>
      <w:rFonts w:asciiTheme="minorHAnsi" w:hAnsiTheme="minorHAnsi" w:cstheme="minorHAnsi"/>
      <w:szCs w:val="18"/>
    </w:rPr>
  </w:style>
  <w:style w:type="paragraph" w:styleId="Inhopg6">
    <w:name w:val="toc 6"/>
    <w:basedOn w:val="Standaard"/>
    <w:next w:val="Standaard"/>
    <w:autoRedefine/>
    <w:uiPriority w:val="39"/>
    <w:semiHidden/>
    <w:unhideWhenUsed/>
    <w:rsid w:val="0013587B"/>
    <w:pPr>
      <w:ind w:left="900"/>
    </w:pPr>
    <w:rPr>
      <w:rFonts w:asciiTheme="minorHAnsi" w:hAnsiTheme="minorHAnsi" w:cstheme="minorHAnsi"/>
      <w:szCs w:val="18"/>
    </w:rPr>
  </w:style>
  <w:style w:type="paragraph" w:styleId="Inhopg7">
    <w:name w:val="toc 7"/>
    <w:basedOn w:val="Standaard"/>
    <w:next w:val="Standaard"/>
    <w:autoRedefine/>
    <w:uiPriority w:val="39"/>
    <w:semiHidden/>
    <w:unhideWhenUsed/>
    <w:rsid w:val="0013587B"/>
    <w:pPr>
      <w:ind w:left="1080"/>
    </w:pPr>
    <w:rPr>
      <w:rFonts w:asciiTheme="minorHAnsi" w:hAnsiTheme="minorHAnsi" w:cstheme="minorHAnsi"/>
      <w:szCs w:val="18"/>
    </w:rPr>
  </w:style>
  <w:style w:type="paragraph" w:styleId="Inhopg8">
    <w:name w:val="toc 8"/>
    <w:basedOn w:val="Standaard"/>
    <w:next w:val="Standaard"/>
    <w:autoRedefine/>
    <w:uiPriority w:val="39"/>
    <w:semiHidden/>
    <w:unhideWhenUsed/>
    <w:rsid w:val="0013587B"/>
    <w:pPr>
      <w:ind w:left="1260"/>
    </w:pPr>
    <w:rPr>
      <w:rFonts w:asciiTheme="minorHAnsi" w:hAnsiTheme="minorHAnsi" w:cstheme="minorHAnsi"/>
      <w:szCs w:val="18"/>
    </w:rPr>
  </w:style>
  <w:style w:type="paragraph" w:styleId="Inhopg9">
    <w:name w:val="toc 9"/>
    <w:basedOn w:val="Standaard"/>
    <w:next w:val="Standaard"/>
    <w:autoRedefine/>
    <w:uiPriority w:val="39"/>
    <w:semiHidden/>
    <w:unhideWhenUsed/>
    <w:rsid w:val="0013587B"/>
    <w:pPr>
      <w:ind w:left="1440"/>
    </w:pPr>
    <w:rPr>
      <w:rFonts w:asciiTheme="minorHAnsi" w:hAnsiTheme="minorHAnsi" w:cstheme="minorHAnsi"/>
      <w:szCs w:val="18"/>
    </w:rPr>
  </w:style>
  <w:style w:type="paragraph" w:styleId="Voetnoottekst">
    <w:name w:val="footnote text"/>
    <w:basedOn w:val="Standaard"/>
    <w:link w:val="VoetnoottekstChar"/>
    <w:uiPriority w:val="99"/>
    <w:semiHidden/>
    <w:unhideWhenUsed/>
    <w:rsid w:val="003A6EB8"/>
    <w:rPr>
      <w:rFonts w:eastAsiaTheme="minorHAnsi" w:cstheme="minorBidi"/>
      <w:sz w:val="20"/>
      <w:szCs w:val="20"/>
      <w:lang w:eastAsia="en-US"/>
    </w:rPr>
  </w:style>
  <w:style w:type="character" w:customStyle="1" w:styleId="VoetnoottekstChar">
    <w:name w:val="Voetnoottekst Char"/>
    <w:basedOn w:val="Standaardalinea-lettertype"/>
    <w:link w:val="Voetnoottekst"/>
    <w:uiPriority w:val="99"/>
    <w:semiHidden/>
    <w:rsid w:val="003A6EB8"/>
    <w:rPr>
      <w:rFonts w:ascii="Verdana" w:hAnsi="Verdana"/>
      <w:sz w:val="20"/>
      <w:szCs w:val="20"/>
    </w:rPr>
  </w:style>
  <w:style w:type="character" w:styleId="Voetnootmarkering">
    <w:name w:val="footnote reference"/>
    <w:basedOn w:val="Standaardalinea-lettertype"/>
    <w:uiPriority w:val="99"/>
    <w:semiHidden/>
    <w:unhideWhenUsed/>
    <w:rsid w:val="003A6EB8"/>
    <w:rPr>
      <w:vertAlign w:val="superscript"/>
    </w:rPr>
  </w:style>
  <w:style w:type="paragraph" w:styleId="Normaalweb">
    <w:name w:val="Normal (Web)"/>
    <w:basedOn w:val="Standaard"/>
    <w:uiPriority w:val="99"/>
    <w:unhideWhenUsed/>
    <w:rsid w:val="003A6EB8"/>
    <w:pPr>
      <w:spacing w:before="100" w:beforeAutospacing="1" w:after="100" w:afterAutospacing="1"/>
    </w:pPr>
  </w:style>
  <w:style w:type="character" w:customStyle="1" w:styleId="Kop4Char">
    <w:name w:val="Kop 4 Char"/>
    <w:basedOn w:val="Standaardalinea-lettertype"/>
    <w:link w:val="Kop4"/>
    <w:uiPriority w:val="9"/>
    <w:rsid w:val="00475B44"/>
    <w:rPr>
      <w:rFonts w:asciiTheme="majorHAnsi" w:eastAsiaTheme="majorEastAsia" w:hAnsiTheme="majorHAnsi" w:cstheme="majorBidi"/>
      <w:i/>
      <w:iCs/>
      <w:color w:val="2F5496" w:themeColor="accent1" w:themeShade="BF"/>
      <w:sz w:val="18"/>
    </w:rPr>
  </w:style>
  <w:style w:type="character" w:customStyle="1" w:styleId="Kop6Char">
    <w:name w:val="Kop 6 Char"/>
    <w:basedOn w:val="Standaardalinea-lettertype"/>
    <w:link w:val="Kop6"/>
    <w:uiPriority w:val="9"/>
    <w:rsid w:val="004F1610"/>
    <w:rPr>
      <w:rFonts w:asciiTheme="majorHAnsi" w:eastAsiaTheme="majorEastAsia" w:hAnsiTheme="majorHAnsi" w:cstheme="majorBidi"/>
      <w:color w:val="1F3763" w:themeColor="accent1" w:themeShade="7F"/>
      <w:sz w:val="18"/>
    </w:rPr>
  </w:style>
  <w:style w:type="character" w:customStyle="1" w:styleId="Onopgelostemelding1">
    <w:name w:val="Onopgeloste melding1"/>
    <w:basedOn w:val="Standaardalinea-lettertype"/>
    <w:uiPriority w:val="99"/>
    <w:semiHidden/>
    <w:unhideWhenUsed/>
    <w:rsid w:val="004F1610"/>
    <w:rPr>
      <w:color w:val="605E5C"/>
      <w:shd w:val="clear" w:color="auto" w:fill="E1DFDD"/>
    </w:rPr>
  </w:style>
  <w:style w:type="character" w:styleId="Verwijzingopmerking">
    <w:name w:val="annotation reference"/>
    <w:basedOn w:val="Standaardalinea-lettertype"/>
    <w:uiPriority w:val="99"/>
    <w:semiHidden/>
    <w:unhideWhenUsed/>
    <w:rsid w:val="006A74A1"/>
    <w:rPr>
      <w:sz w:val="16"/>
      <w:szCs w:val="16"/>
    </w:rPr>
  </w:style>
  <w:style w:type="paragraph" w:styleId="Tekstopmerking">
    <w:name w:val="annotation text"/>
    <w:basedOn w:val="Standaard"/>
    <w:link w:val="TekstopmerkingChar"/>
    <w:uiPriority w:val="99"/>
    <w:unhideWhenUsed/>
    <w:rsid w:val="006A74A1"/>
    <w:pPr>
      <w:spacing w:after="120"/>
    </w:pPr>
    <w:rPr>
      <w:rFonts w:eastAsiaTheme="minorHAnsi" w:cstheme="minorBidi"/>
      <w:sz w:val="20"/>
      <w:szCs w:val="20"/>
      <w:lang w:eastAsia="en-US"/>
    </w:rPr>
  </w:style>
  <w:style w:type="character" w:customStyle="1" w:styleId="TekstopmerkingChar">
    <w:name w:val="Tekst opmerking Char"/>
    <w:basedOn w:val="Standaardalinea-lettertype"/>
    <w:link w:val="Tekstopmerking"/>
    <w:uiPriority w:val="99"/>
    <w:rsid w:val="006A74A1"/>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6A74A1"/>
    <w:rPr>
      <w:b/>
      <w:bCs/>
    </w:rPr>
  </w:style>
  <w:style w:type="character" w:customStyle="1" w:styleId="OnderwerpvanopmerkingChar">
    <w:name w:val="Onderwerp van opmerking Char"/>
    <w:basedOn w:val="TekstopmerkingChar"/>
    <w:link w:val="Onderwerpvanopmerking"/>
    <w:uiPriority w:val="99"/>
    <w:semiHidden/>
    <w:rsid w:val="006A74A1"/>
    <w:rPr>
      <w:rFonts w:ascii="Verdana" w:hAnsi="Verdana"/>
      <w:b/>
      <w:bCs/>
      <w:sz w:val="20"/>
      <w:szCs w:val="20"/>
    </w:rPr>
  </w:style>
  <w:style w:type="paragraph" w:styleId="Ballontekst">
    <w:name w:val="Balloon Text"/>
    <w:basedOn w:val="Standaard"/>
    <w:link w:val="BallontekstChar"/>
    <w:uiPriority w:val="99"/>
    <w:semiHidden/>
    <w:unhideWhenUsed/>
    <w:rsid w:val="006A74A1"/>
    <w:rPr>
      <w:rFonts w:eastAsiaTheme="minorHAnsi"/>
      <w:szCs w:val="18"/>
      <w:lang w:eastAsia="en-US"/>
    </w:rPr>
  </w:style>
  <w:style w:type="character" w:customStyle="1" w:styleId="BallontekstChar">
    <w:name w:val="Ballontekst Char"/>
    <w:basedOn w:val="Standaardalinea-lettertype"/>
    <w:link w:val="Ballontekst"/>
    <w:uiPriority w:val="99"/>
    <w:semiHidden/>
    <w:rsid w:val="006A74A1"/>
    <w:rPr>
      <w:rFonts w:ascii="Times New Roman" w:hAnsi="Times New Roman" w:cs="Times New Roman"/>
      <w:sz w:val="18"/>
      <w:szCs w:val="18"/>
    </w:rPr>
  </w:style>
  <w:style w:type="table" w:styleId="Tabelraster">
    <w:name w:val="Table Grid"/>
    <w:basedOn w:val="Standaardtabel"/>
    <w:uiPriority w:val="39"/>
    <w:rsid w:val="00A33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
    <w:name w:val="Grid Table 1 Light"/>
    <w:basedOn w:val="Standaardtabel"/>
    <w:uiPriority w:val="46"/>
    <w:rsid w:val="00A33CF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Onopgemaaktetabel5">
    <w:name w:val="Plain Table 5"/>
    <w:basedOn w:val="Standaardtabel"/>
    <w:uiPriority w:val="45"/>
    <w:rsid w:val="00A33CF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3">
    <w:name w:val="Plain Table 3"/>
    <w:basedOn w:val="Standaardtabel"/>
    <w:uiPriority w:val="43"/>
    <w:rsid w:val="00A33CF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Regelnummer">
    <w:name w:val="line number"/>
    <w:basedOn w:val="Standaardalinea-lettertype"/>
    <w:uiPriority w:val="99"/>
    <w:semiHidden/>
    <w:unhideWhenUsed/>
    <w:rsid w:val="00981553"/>
  </w:style>
  <w:style w:type="character" w:styleId="GevolgdeHyperlink">
    <w:name w:val="FollowedHyperlink"/>
    <w:basedOn w:val="Standaardalinea-lettertype"/>
    <w:uiPriority w:val="99"/>
    <w:semiHidden/>
    <w:unhideWhenUsed/>
    <w:rsid w:val="00897F71"/>
    <w:rPr>
      <w:color w:val="954F72" w:themeColor="followedHyperlink"/>
      <w:u w:val="single"/>
    </w:rPr>
  </w:style>
  <w:style w:type="paragraph" w:styleId="Revisie">
    <w:name w:val="Revision"/>
    <w:hidden/>
    <w:uiPriority w:val="99"/>
    <w:semiHidden/>
    <w:rsid w:val="00E45442"/>
    <w:pPr>
      <w:spacing w:after="0" w:line="240" w:lineRule="auto"/>
    </w:pPr>
    <w:rPr>
      <w:rFonts w:ascii="Verdana" w:hAnsi="Verdana"/>
      <w:sz w:val="18"/>
    </w:rPr>
  </w:style>
  <w:style w:type="character" w:customStyle="1" w:styleId="Kop5Char">
    <w:name w:val="Kop 5 Char"/>
    <w:basedOn w:val="Standaardalinea-lettertype"/>
    <w:link w:val="Kop5"/>
    <w:uiPriority w:val="9"/>
    <w:rsid w:val="00C7044F"/>
    <w:rPr>
      <w:rFonts w:asciiTheme="majorHAnsi" w:eastAsiaTheme="majorEastAsia" w:hAnsiTheme="majorHAnsi" w:cstheme="majorBidi"/>
      <w:color w:val="2F5496" w:themeColor="accent1" w:themeShade="BF"/>
      <w:sz w:val="18"/>
    </w:rPr>
  </w:style>
  <w:style w:type="character" w:customStyle="1" w:styleId="apple-converted-space">
    <w:name w:val="apple-converted-space"/>
    <w:basedOn w:val="Standaardalinea-lettertype"/>
    <w:rsid w:val="00D96332"/>
  </w:style>
  <w:style w:type="character" w:styleId="Paginanummer">
    <w:name w:val="page number"/>
    <w:basedOn w:val="Standaardalinea-lettertype"/>
    <w:uiPriority w:val="99"/>
    <w:semiHidden/>
    <w:unhideWhenUsed/>
    <w:rsid w:val="000800FD"/>
  </w:style>
  <w:style w:type="character" w:customStyle="1" w:styleId="UnresolvedMention1">
    <w:name w:val="Unresolved Mention1"/>
    <w:basedOn w:val="Standaardalinea-lettertype"/>
    <w:uiPriority w:val="99"/>
    <w:semiHidden/>
    <w:unhideWhenUsed/>
    <w:rsid w:val="005C250F"/>
    <w:rPr>
      <w:color w:val="605E5C"/>
      <w:shd w:val="clear" w:color="auto" w:fill="E1DFDD"/>
    </w:rPr>
  </w:style>
  <w:style w:type="character" w:customStyle="1" w:styleId="Onopgelostemelding2">
    <w:name w:val="Onopgeloste melding2"/>
    <w:basedOn w:val="Standaardalinea-lettertype"/>
    <w:uiPriority w:val="99"/>
    <w:semiHidden/>
    <w:unhideWhenUsed/>
    <w:rsid w:val="005526C9"/>
    <w:rPr>
      <w:color w:val="605E5C"/>
      <w:shd w:val="clear" w:color="auto" w:fill="E1DFDD"/>
    </w:rPr>
  </w:style>
  <w:style w:type="character" w:customStyle="1" w:styleId="footnoteid">
    <w:name w:val="footnote_id"/>
    <w:basedOn w:val="Standaardalinea-lettertype"/>
    <w:rsid w:val="00F07E77"/>
  </w:style>
  <w:style w:type="character" w:styleId="Onopgelostemelding">
    <w:name w:val="Unresolved Mention"/>
    <w:basedOn w:val="Standaardalinea-lettertype"/>
    <w:uiPriority w:val="99"/>
    <w:semiHidden/>
    <w:unhideWhenUsed/>
    <w:rsid w:val="00174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5459">
      <w:bodyDiv w:val="1"/>
      <w:marLeft w:val="0"/>
      <w:marRight w:val="0"/>
      <w:marTop w:val="0"/>
      <w:marBottom w:val="0"/>
      <w:divBdr>
        <w:top w:val="none" w:sz="0" w:space="0" w:color="auto"/>
        <w:left w:val="none" w:sz="0" w:space="0" w:color="auto"/>
        <w:bottom w:val="none" w:sz="0" w:space="0" w:color="auto"/>
        <w:right w:val="none" w:sz="0" w:space="0" w:color="auto"/>
      </w:divBdr>
    </w:div>
    <w:div w:id="13923346">
      <w:bodyDiv w:val="1"/>
      <w:marLeft w:val="0"/>
      <w:marRight w:val="0"/>
      <w:marTop w:val="0"/>
      <w:marBottom w:val="0"/>
      <w:divBdr>
        <w:top w:val="none" w:sz="0" w:space="0" w:color="auto"/>
        <w:left w:val="none" w:sz="0" w:space="0" w:color="auto"/>
        <w:bottom w:val="none" w:sz="0" w:space="0" w:color="auto"/>
        <w:right w:val="none" w:sz="0" w:space="0" w:color="auto"/>
      </w:divBdr>
      <w:divsChild>
        <w:div w:id="1625037065">
          <w:marLeft w:val="0"/>
          <w:marRight w:val="0"/>
          <w:marTop w:val="0"/>
          <w:marBottom w:val="0"/>
          <w:divBdr>
            <w:top w:val="none" w:sz="0" w:space="0" w:color="auto"/>
            <w:left w:val="none" w:sz="0" w:space="0" w:color="auto"/>
            <w:bottom w:val="none" w:sz="0" w:space="0" w:color="auto"/>
            <w:right w:val="none" w:sz="0" w:space="0" w:color="auto"/>
          </w:divBdr>
          <w:divsChild>
            <w:div w:id="495538898">
              <w:marLeft w:val="0"/>
              <w:marRight w:val="0"/>
              <w:marTop w:val="0"/>
              <w:marBottom w:val="0"/>
              <w:divBdr>
                <w:top w:val="none" w:sz="0" w:space="0" w:color="auto"/>
                <w:left w:val="none" w:sz="0" w:space="0" w:color="auto"/>
                <w:bottom w:val="none" w:sz="0" w:space="0" w:color="auto"/>
                <w:right w:val="none" w:sz="0" w:space="0" w:color="auto"/>
              </w:divBdr>
              <w:divsChild>
                <w:div w:id="13514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873">
      <w:bodyDiv w:val="1"/>
      <w:marLeft w:val="0"/>
      <w:marRight w:val="0"/>
      <w:marTop w:val="0"/>
      <w:marBottom w:val="0"/>
      <w:divBdr>
        <w:top w:val="none" w:sz="0" w:space="0" w:color="auto"/>
        <w:left w:val="none" w:sz="0" w:space="0" w:color="auto"/>
        <w:bottom w:val="none" w:sz="0" w:space="0" w:color="auto"/>
        <w:right w:val="none" w:sz="0" w:space="0" w:color="auto"/>
      </w:divBdr>
      <w:divsChild>
        <w:div w:id="548542299">
          <w:marLeft w:val="0"/>
          <w:marRight w:val="0"/>
          <w:marTop w:val="0"/>
          <w:marBottom w:val="0"/>
          <w:divBdr>
            <w:top w:val="none" w:sz="0" w:space="0" w:color="auto"/>
            <w:left w:val="none" w:sz="0" w:space="0" w:color="auto"/>
            <w:bottom w:val="none" w:sz="0" w:space="0" w:color="auto"/>
            <w:right w:val="none" w:sz="0" w:space="0" w:color="auto"/>
          </w:divBdr>
          <w:divsChild>
            <w:div w:id="1162350721">
              <w:marLeft w:val="0"/>
              <w:marRight w:val="0"/>
              <w:marTop w:val="0"/>
              <w:marBottom w:val="0"/>
              <w:divBdr>
                <w:top w:val="none" w:sz="0" w:space="0" w:color="auto"/>
                <w:left w:val="none" w:sz="0" w:space="0" w:color="auto"/>
                <w:bottom w:val="none" w:sz="0" w:space="0" w:color="auto"/>
                <w:right w:val="none" w:sz="0" w:space="0" w:color="auto"/>
              </w:divBdr>
              <w:divsChild>
                <w:div w:id="181108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6241">
      <w:bodyDiv w:val="1"/>
      <w:marLeft w:val="0"/>
      <w:marRight w:val="0"/>
      <w:marTop w:val="0"/>
      <w:marBottom w:val="0"/>
      <w:divBdr>
        <w:top w:val="none" w:sz="0" w:space="0" w:color="auto"/>
        <w:left w:val="none" w:sz="0" w:space="0" w:color="auto"/>
        <w:bottom w:val="none" w:sz="0" w:space="0" w:color="auto"/>
        <w:right w:val="none" w:sz="0" w:space="0" w:color="auto"/>
      </w:divBdr>
    </w:div>
    <w:div w:id="102305651">
      <w:bodyDiv w:val="1"/>
      <w:marLeft w:val="0"/>
      <w:marRight w:val="0"/>
      <w:marTop w:val="0"/>
      <w:marBottom w:val="0"/>
      <w:divBdr>
        <w:top w:val="none" w:sz="0" w:space="0" w:color="auto"/>
        <w:left w:val="none" w:sz="0" w:space="0" w:color="auto"/>
        <w:bottom w:val="none" w:sz="0" w:space="0" w:color="auto"/>
        <w:right w:val="none" w:sz="0" w:space="0" w:color="auto"/>
      </w:divBdr>
    </w:div>
    <w:div w:id="118453053">
      <w:bodyDiv w:val="1"/>
      <w:marLeft w:val="0"/>
      <w:marRight w:val="0"/>
      <w:marTop w:val="0"/>
      <w:marBottom w:val="0"/>
      <w:divBdr>
        <w:top w:val="none" w:sz="0" w:space="0" w:color="auto"/>
        <w:left w:val="none" w:sz="0" w:space="0" w:color="auto"/>
        <w:bottom w:val="none" w:sz="0" w:space="0" w:color="auto"/>
        <w:right w:val="none" w:sz="0" w:space="0" w:color="auto"/>
      </w:divBdr>
      <w:divsChild>
        <w:div w:id="534149465">
          <w:marLeft w:val="0"/>
          <w:marRight w:val="0"/>
          <w:marTop w:val="0"/>
          <w:marBottom w:val="0"/>
          <w:divBdr>
            <w:top w:val="none" w:sz="0" w:space="0" w:color="auto"/>
            <w:left w:val="none" w:sz="0" w:space="0" w:color="auto"/>
            <w:bottom w:val="none" w:sz="0" w:space="0" w:color="auto"/>
            <w:right w:val="none" w:sz="0" w:space="0" w:color="auto"/>
          </w:divBdr>
          <w:divsChild>
            <w:div w:id="1364668000">
              <w:marLeft w:val="0"/>
              <w:marRight w:val="0"/>
              <w:marTop w:val="0"/>
              <w:marBottom w:val="0"/>
              <w:divBdr>
                <w:top w:val="none" w:sz="0" w:space="0" w:color="auto"/>
                <w:left w:val="none" w:sz="0" w:space="0" w:color="auto"/>
                <w:bottom w:val="none" w:sz="0" w:space="0" w:color="auto"/>
                <w:right w:val="none" w:sz="0" w:space="0" w:color="auto"/>
              </w:divBdr>
              <w:divsChild>
                <w:div w:id="72522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90118">
      <w:bodyDiv w:val="1"/>
      <w:marLeft w:val="0"/>
      <w:marRight w:val="0"/>
      <w:marTop w:val="0"/>
      <w:marBottom w:val="0"/>
      <w:divBdr>
        <w:top w:val="none" w:sz="0" w:space="0" w:color="auto"/>
        <w:left w:val="none" w:sz="0" w:space="0" w:color="auto"/>
        <w:bottom w:val="none" w:sz="0" w:space="0" w:color="auto"/>
        <w:right w:val="none" w:sz="0" w:space="0" w:color="auto"/>
      </w:divBdr>
      <w:divsChild>
        <w:div w:id="1047222498">
          <w:marLeft w:val="0"/>
          <w:marRight w:val="0"/>
          <w:marTop w:val="0"/>
          <w:marBottom w:val="0"/>
          <w:divBdr>
            <w:top w:val="none" w:sz="0" w:space="0" w:color="auto"/>
            <w:left w:val="none" w:sz="0" w:space="0" w:color="auto"/>
            <w:bottom w:val="none" w:sz="0" w:space="0" w:color="auto"/>
            <w:right w:val="none" w:sz="0" w:space="0" w:color="auto"/>
          </w:divBdr>
          <w:divsChild>
            <w:div w:id="1238907346">
              <w:marLeft w:val="0"/>
              <w:marRight w:val="0"/>
              <w:marTop w:val="0"/>
              <w:marBottom w:val="0"/>
              <w:divBdr>
                <w:top w:val="none" w:sz="0" w:space="0" w:color="auto"/>
                <w:left w:val="none" w:sz="0" w:space="0" w:color="auto"/>
                <w:bottom w:val="none" w:sz="0" w:space="0" w:color="auto"/>
                <w:right w:val="none" w:sz="0" w:space="0" w:color="auto"/>
              </w:divBdr>
              <w:divsChild>
                <w:div w:id="830681550">
                  <w:marLeft w:val="0"/>
                  <w:marRight w:val="0"/>
                  <w:marTop w:val="0"/>
                  <w:marBottom w:val="0"/>
                  <w:divBdr>
                    <w:top w:val="none" w:sz="0" w:space="0" w:color="auto"/>
                    <w:left w:val="none" w:sz="0" w:space="0" w:color="auto"/>
                    <w:bottom w:val="none" w:sz="0" w:space="0" w:color="auto"/>
                    <w:right w:val="none" w:sz="0" w:space="0" w:color="auto"/>
                  </w:divBdr>
                  <w:divsChild>
                    <w:div w:id="15522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12080">
      <w:bodyDiv w:val="1"/>
      <w:marLeft w:val="0"/>
      <w:marRight w:val="0"/>
      <w:marTop w:val="0"/>
      <w:marBottom w:val="0"/>
      <w:divBdr>
        <w:top w:val="none" w:sz="0" w:space="0" w:color="auto"/>
        <w:left w:val="none" w:sz="0" w:space="0" w:color="auto"/>
        <w:bottom w:val="none" w:sz="0" w:space="0" w:color="auto"/>
        <w:right w:val="none" w:sz="0" w:space="0" w:color="auto"/>
      </w:divBdr>
    </w:div>
    <w:div w:id="184903326">
      <w:bodyDiv w:val="1"/>
      <w:marLeft w:val="0"/>
      <w:marRight w:val="0"/>
      <w:marTop w:val="0"/>
      <w:marBottom w:val="0"/>
      <w:divBdr>
        <w:top w:val="none" w:sz="0" w:space="0" w:color="auto"/>
        <w:left w:val="none" w:sz="0" w:space="0" w:color="auto"/>
        <w:bottom w:val="none" w:sz="0" w:space="0" w:color="auto"/>
        <w:right w:val="none" w:sz="0" w:space="0" w:color="auto"/>
      </w:divBdr>
      <w:divsChild>
        <w:div w:id="2037267527">
          <w:marLeft w:val="0"/>
          <w:marRight w:val="0"/>
          <w:marTop w:val="0"/>
          <w:marBottom w:val="0"/>
          <w:divBdr>
            <w:top w:val="none" w:sz="0" w:space="0" w:color="auto"/>
            <w:left w:val="none" w:sz="0" w:space="0" w:color="auto"/>
            <w:bottom w:val="none" w:sz="0" w:space="0" w:color="auto"/>
            <w:right w:val="none" w:sz="0" w:space="0" w:color="auto"/>
          </w:divBdr>
          <w:divsChild>
            <w:div w:id="568467301">
              <w:marLeft w:val="0"/>
              <w:marRight w:val="0"/>
              <w:marTop w:val="0"/>
              <w:marBottom w:val="0"/>
              <w:divBdr>
                <w:top w:val="none" w:sz="0" w:space="0" w:color="auto"/>
                <w:left w:val="none" w:sz="0" w:space="0" w:color="auto"/>
                <w:bottom w:val="none" w:sz="0" w:space="0" w:color="auto"/>
                <w:right w:val="none" w:sz="0" w:space="0" w:color="auto"/>
              </w:divBdr>
              <w:divsChild>
                <w:div w:id="1642153920">
                  <w:marLeft w:val="0"/>
                  <w:marRight w:val="0"/>
                  <w:marTop w:val="0"/>
                  <w:marBottom w:val="0"/>
                  <w:divBdr>
                    <w:top w:val="none" w:sz="0" w:space="0" w:color="auto"/>
                    <w:left w:val="none" w:sz="0" w:space="0" w:color="auto"/>
                    <w:bottom w:val="none" w:sz="0" w:space="0" w:color="auto"/>
                    <w:right w:val="none" w:sz="0" w:space="0" w:color="auto"/>
                  </w:divBdr>
                  <w:divsChild>
                    <w:div w:id="1828594116">
                      <w:marLeft w:val="0"/>
                      <w:marRight w:val="0"/>
                      <w:marTop w:val="0"/>
                      <w:marBottom w:val="0"/>
                      <w:divBdr>
                        <w:top w:val="none" w:sz="0" w:space="0" w:color="auto"/>
                        <w:left w:val="none" w:sz="0" w:space="0" w:color="auto"/>
                        <w:bottom w:val="none" w:sz="0" w:space="0" w:color="auto"/>
                        <w:right w:val="none" w:sz="0" w:space="0" w:color="auto"/>
                      </w:divBdr>
                      <w:divsChild>
                        <w:div w:id="1328438174">
                          <w:marLeft w:val="0"/>
                          <w:marRight w:val="0"/>
                          <w:marTop w:val="0"/>
                          <w:marBottom w:val="0"/>
                          <w:divBdr>
                            <w:top w:val="none" w:sz="0" w:space="0" w:color="auto"/>
                            <w:left w:val="none" w:sz="0" w:space="0" w:color="auto"/>
                            <w:bottom w:val="none" w:sz="0" w:space="0" w:color="auto"/>
                            <w:right w:val="none" w:sz="0" w:space="0" w:color="auto"/>
                          </w:divBdr>
                        </w:div>
                        <w:div w:id="169518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709320">
      <w:bodyDiv w:val="1"/>
      <w:marLeft w:val="0"/>
      <w:marRight w:val="0"/>
      <w:marTop w:val="0"/>
      <w:marBottom w:val="0"/>
      <w:divBdr>
        <w:top w:val="none" w:sz="0" w:space="0" w:color="auto"/>
        <w:left w:val="none" w:sz="0" w:space="0" w:color="auto"/>
        <w:bottom w:val="none" w:sz="0" w:space="0" w:color="auto"/>
        <w:right w:val="none" w:sz="0" w:space="0" w:color="auto"/>
      </w:divBdr>
    </w:div>
    <w:div w:id="253172781">
      <w:bodyDiv w:val="1"/>
      <w:marLeft w:val="0"/>
      <w:marRight w:val="0"/>
      <w:marTop w:val="0"/>
      <w:marBottom w:val="0"/>
      <w:divBdr>
        <w:top w:val="none" w:sz="0" w:space="0" w:color="auto"/>
        <w:left w:val="none" w:sz="0" w:space="0" w:color="auto"/>
        <w:bottom w:val="none" w:sz="0" w:space="0" w:color="auto"/>
        <w:right w:val="none" w:sz="0" w:space="0" w:color="auto"/>
      </w:divBdr>
      <w:divsChild>
        <w:div w:id="1726836130">
          <w:marLeft w:val="0"/>
          <w:marRight w:val="0"/>
          <w:marTop w:val="0"/>
          <w:marBottom w:val="0"/>
          <w:divBdr>
            <w:top w:val="none" w:sz="0" w:space="0" w:color="auto"/>
            <w:left w:val="none" w:sz="0" w:space="0" w:color="auto"/>
            <w:bottom w:val="none" w:sz="0" w:space="0" w:color="auto"/>
            <w:right w:val="none" w:sz="0" w:space="0" w:color="auto"/>
          </w:divBdr>
          <w:divsChild>
            <w:div w:id="1310940709">
              <w:marLeft w:val="0"/>
              <w:marRight w:val="0"/>
              <w:marTop w:val="0"/>
              <w:marBottom w:val="0"/>
              <w:divBdr>
                <w:top w:val="none" w:sz="0" w:space="0" w:color="auto"/>
                <w:left w:val="none" w:sz="0" w:space="0" w:color="auto"/>
                <w:bottom w:val="none" w:sz="0" w:space="0" w:color="auto"/>
                <w:right w:val="none" w:sz="0" w:space="0" w:color="auto"/>
              </w:divBdr>
              <w:divsChild>
                <w:div w:id="6831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04638">
      <w:bodyDiv w:val="1"/>
      <w:marLeft w:val="0"/>
      <w:marRight w:val="0"/>
      <w:marTop w:val="0"/>
      <w:marBottom w:val="0"/>
      <w:divBdr>
        <w:top w:val="none" w:sz="0" w:space="0" w:color="auto"/>
        <w:left w:val="none" w:sz="0" w:space="0" w:color="auto"/>
        <w:bottom w:val="none" w:sz="0" w:space="0" w:color="auto"/>
        <w:right w:val="none" w:sz="0" w:space="0" w:color="auto"/>
      </w:divBdr>
    </w:div>
    <w:div w:id="292365384">
      <w:bodyDiv w:val="1"/>
      <w:marLeft w:val="0"/>
      <w:marRight w:val="0"/>
      <w:marTop w:val="0"/>
      <w:marBottom w:val="0"/>
      <w:divBdr>
        <w:top w:val="none" w:sz="0" w:space="0" w:color="auto"/>
        <w:left w:val="none" w:sz="0" w:space="0" w:color="auto"/>
        <w:bottom w:val="none" w:sz="0" w:space="0" w:color="auto"/>
        <w:right w:val="none" w:sz="0" w:space="0" w:color="auto"/>
      </w:divBdr>
      <w:divsChild>
        <w:div w:id="635766661">
          <w:marLeft w:val="0"/>
          <w:marRight w:val="0"/>
          <w:marTop w:val="0"/>
          <w:marBottom w:val="0"/>
          <w:divBdr>
            <w:top w:val="none" w:sz="0" w:space="0" w:color="auto"/>
            <w:left w:val="none" w:sz="0" w:space="0" w:color="auto"/>
            <w:bottom w:val="none" w:sz="0" w:space="0" w:color="auto"/>
            <w:right w:val="none" w:sz="0" w:space="0" w:color="auto"/>
          </w:divBdr>
          <w:divsChild>
            <w:div w:id="2021857082">
              <w:marLeft w:val="0"/>
              <w:marRight w:val="0"/>
              <w:marTop w:val="0"/>
              <w:marBottom w:val="0"/>
              <w:divBdr>
                <w:top w:val="none" w:sz="0" w:space="0" w:color="auto"/>
                <w:left w:val="none" w:sz="0" w:space="0" w:color="auto"/>
                <w:bottom w:val="none" w:sz="0" w:space="0" w:color="auto"/>
                <w:right w:val="none" w:sz="0" w:space="0" w:color="auto"/>
              </w:divBdr>
              <w:divsChild>
                <w:div w:id="9369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221193">
      <w:bodyDiv w:val="1"/>
      <w:marLeft w:val="0"/>
      <w:marRight w:val="0"/>
      <w:marTop w:val="0"/>
      <w:marBottom w:val="0"/>
      <w:divBdr>
        <w:top w:val="none" w:sz="0" w:space="0" w:color="auto"/>
        <w:left w:val="none" w:sz="0" w:space="0" w:color="auto"/>
        <w:bottom w:val="none" w:sz="0" w:space="0" w:color="auto"/>
        <w:right w:val="none" w:sz="0" w:space="0" w:color="auto"/>
      </w:divBdr>
    </w:div>
    <w:div w:id="298455867">
      <w:bodyDiv w:val="1"/>
      <w:marLeft w:val="0"/>
      <w:marRight w:val="0"/>
      <w:marTop w:val="0"/>
      <w:marBottom w:val="0"/>
      <w:divBdr>
        <w:top w:val="none" w:sz="0" w:space="0" w:color="auto"/>
        <w:left w:val="none" w:sz="0" w:space="0" w:color="auto"/>
        <w:bottom w:val="none" w:sz="0" w:space="0" w:color="auto"/>
        <w:right w:val="none" w:sz="0" w:space="0" w:color="auto"/>
      </w:divBdr>
    </w:div>
    <w:div w:id="342129765">
      <w:bodyDiv w:val="1"/>
      <w:marLeft w:val="0"/>
      <w:marRight w:val="0"/>
      <w:marTop w:val="0"/>
      <w:marBottom w:val="0"/>
      <w:divBdr>
        <w:top w:val="none" w:sz="0" w:space="0" w:color="auto"/>
        <w:left w:val="none" w:sz="0" w:space="0" w:color="auto"/>
        <w:bottom w:val="none" w:sz="0" w:space="0" w:color="auto"/>
        <w:right w:val="none" w:sz="0" w:space="0" w:color="auto"/>
      </w:divBdr>
    </w:div>
    <w:div w:id="345257004">
      <w:bodyDiv w:val="1"/>
      <w:marLeft w:val="0"/>
      <w:marRight w:val="0"/>
      <w:marTop w:val="0"/>
      <w:marBottom w:val="0"/>
      <w:divBdr>
        <w:top w:val="none" w:sz="0" w:space="0" w:color="auto"/>
        <w:left w:val="none" w:sz="0" w:space="0" w:color="auto"/>
        <w:bottom w:val="none" w:sz="0" w:space="0" w:color="auto"/>
        <w:right w:val="none" w:sz="0" w:space="0" w:color="auto"/>
      </w:divBdr>
      <w:divsChild>
        <w:div w:id="282544964">
          <w:marLeft w:val="0"/>
          <w:marRight w:val="0"/>
          <w:marTop w:val="0"/>
          <w:marBottom w:val="0"/>
          <w:divBdr>
            <w:top w:val="none" w:sz="0" w:space="0" w:color="auto"/>
            <w:left w:val="none" w:sz="0" w:space="0" w:color="auto"/>
            <w:bottom w:val="none" w:sz="0" w:space="0" w:color="auto"/>
            <w:right w:val="none" w:sz="0" w:space="0" w:color="auto"/>
          </w:divBdr>
          <w:divsChild>
            <w:div w:id="671949720">
              <w:marLeft w:val="0"/>
              <w:marRight w:val="0"/>
              <w:marTop w:val="0"/>
              <w:marBottom w:val="0"/>
              <w:divBdr>
                <w:top w:val="none" w:sz="0" w:space="0" w:color="auto"/>
                <w:left w:val="none" w:sz="0" w:space="0" w:color="auto"/>
                <w:bottom w:val="none" w:sz="0" w:space="0" w:color="auto"/>
                <w:right w:val="none" w:sz="0" w:space="0" w:color="auto"/>
              </w:divBdr>
              <w:divsChild>
                <w:div w:id="19738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6534">
      <w:bodyDiv w:val="1"/>
      <w:marLeft w:val="0"/>
      <w:marRight w:val="0"/>
      <w:marTop w:val="0"/>
      <w:marBottom w:val="0"/>
      <w:divBdr>
        <w:top w:val="none" w:sz="0" w:space="0" w:color="auto"/>
        <w:left w:val="none" w:sz="0" w:space="0" w:color="auto"/>
        <w:bottom w:val="none" w:sz="0" w:space="0" w:color="auto"/>
        <w:right w:val="none" w:sz="0" w:space="0" w:color="auto"/>
      </w:divBdr>
    </w:div>
    <w:div w:id="363943259">
      <w:bodyDiv w:val="1"/>
      <w:marLeft w:val="0"/>
      <w:marRight w:val="0"/>
      <w:marTop w:val="0"/>
      <w:marBottom w:val="0"/>
      <w:divBdr>
        <w:top w:val="none" w:sz="0" w:space="0" w:color="auto"/>
        <w:left w:val="none" w:sz="0" w:space="0" w:color="auto"/>
        <w:bottom w:val="none" w:sz="0" w:space="0" w:color="auto"/>
        <w:right w:val="none" w:sz="0" w:space="0" w:color="auto"/>
      </w:divBdr>
    </w:div>
    <w:div w:id="381557692">
      <w:bodyDiv w:val="1"/>
      <w:marLeft w:val="0"/>
      <w:marRight w:val="0"/>
      <w:marTop w:val="0"/>
      <w:marBottom w:val="0"/>
      <w:divBdr>
        <w:top w:val="none" w:sz="0" w:space="0" w:color="auto"/>
        <w:left w:val="none" w:sz="0" w:space="0" w:color="auto"/>
        <w:bottom w:val="none" w:sz="0" w:space="0" w:color="auto"/>
        <w:right w:val="none" w:sz="0" w:space="0" w:color="auto"/>
      </w:divBdr>
    </w:div>
    <w:div w:id="423839139">
      <w:bodyDiv w:val="1"/>
      <w:marLeft w:val="0"/>
      <w:marRight w:val="0"/>
      <w:marTop w:val="0"/>
      <w:marBottom w:val="0"/>
      <w:divBdr>
        <w:top w:val="none" w:sz="0" w:space="0" w:color="auto"/>
        <w:left w:val="none" w:sz="0" w:space="0" w:color="auto"/>
        <w:bottom w:val="none" w:sz="0" w:space="0" w:color="auto"/>
        <w:right w:val="none" w:sz="0" w:space="0" w:color="auto"/>
      </w:divBdr>
      <w:divsChild>
        <w:div w:id="155999449">
          <w:marLeft w:val="0"/>
          <w:marRight w:val="0"/>
          <w:marTop w:val="0"/>
          <w:marBottom w:val="0"/>
          <w:divBdr>
            <w:top w:val="none" w:sz="0" w:space="0" w:color="auto"/>
            <w:left w:val="none" w:sz="0" w:space="0" w:color="auto"/>
            <w:bottom w:val="none" w:sz="0" w:space="0" w:color="auto"/>
            <w:right w:val="none" w:sz="0" w:space="0" w:color="auto"/>
          </w:divBdr>
          <w:divsChild>
            <w:div w:id="1344892509">
              <w:marLeft w:val="0"/>
              <w:marRight w:val="0"/>
              <w:marTop w:val="0"/>
              <w:marBottom w:val="0"/>
              <w:divBdr>
                <w:top w:val="none" w:sz="0" w:space="0" w:color="auto"/>
                <w:left w:val="none" w:sz="0" w:space="0" w:color="auto"/>
                <w:bottom w:val="none" w:sz="0" w:space="0" w:color="auto"/>
                <w:right w:val="none" w:sz="0" w:space="0" w:color="auto"/>
              </w:divBdr>
              <w:divsChild>
                <w:div w:id="14594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974363">
      <w:bodyDiv w:val="1"/>
      <w:marLeft w:val="0"/>
      <w:marRight w:val="0"/>
      <w:marTop w:val="0"/>
      <w:marBottom w:val="0"/>
      <w:divBdr>
        <w:top w:val="none" w:sz="0" w:space="0" w:color="auto"/>
        <w:left w:val="none" w:sz="0" w:space="0" w:color="auto"/>
        <w:bottom w:val="none" w:sz="0" w:space="0" w:color="auto"/>
        <w:right w:val="none" w:sz="0" w:space="0" w:color="auto"/>
      </w:divBdr>
      <w:divsChild>
        <w:div w:id="1375929108">
          <w:marLeft w:val="0"/>
          <w:marRight w:val="0"/>
          <w:marTop w:val="0"/>
          <w:marBottom w:val="0"/>
          <w:divBdr>
            <w:top w:val="none" w:sz="0" w:space="0" w:color="auto"/>
            <w:left w:val="none" w:sz="0" w:space="0" w:color="auto"/>
            <w:bottom w:val="none" w:sz="0" w:space="0" w:color="auto"/>
            <w:right w:val="none" w:sz="0" w:space="0" w:color="auto"/>
          </w:divBdr>
          <w:divsChild>
            <w:div w:id="341396487">
              <w:marLeft w:val="0"/>
              <w:marRight w:val="0"/>
              <w:marTop w:val="0"/>
              <w:marBottom w:val="0"/>
              <w:divBdr>
                <w:top w:val="none" w:sz="0" w:space="0" w:color="auto"/>
                <w:left w:val="none" w:sz="0" w:space="0" w:color="auto"/>
                <w:bottom w:val="none" w:sz="0" w:space="0" w:color="auto"/>
                <w:right w:val="none" w:sz="0" w:space="0" w:color="auto"/>
              </w:divBdr>
              <w:divsChild>
                <w:div w:id="123963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636402">
      <w:bodyDiv w:val="1"/>
      <w:marLeft w:val="0"/>
      <w:marRight w:val="0"/>
      <w:marTop w:val="0"/>
      <w:marBottom w:val="0"/>
      <w:divBdr>
        <w:top w:val="none" w:sz="0" w:space="0" w:color="auto"/>
        <w:left w:val="none" w:sz="0" w:space="0" w:color="auto"/>
        <w:bottom w:val="none" w:sz="0" w:space="0" w:color="auto"/>
        <w:right w:val="none" w:sz="0" w:space="0" w:color="auto"/>
      </w:divBdr>
    </w:div>
    <w:div w:id="459303031">
      <w:bodyDiv w:val="1"/>
      <w:marLeft w:val="0"/>
      <w:marRight w:val="0"/>
      <w:marTop w:val="0"/>
      <w:marBottom w:val="0"/>
      <w:divBdr>
        <w:top w:val="none" w:sz="0" w:space="0" w:color="auto"/>
        <w:left w:val="none" w:sz="0" w:space="0" w:color="auto"/>
        <w:bottom w:val="none" w:sz="0" w:space="0" w:color="auto"/>
        <w:right w:val="none" w:sz="0" w:space="0" w:color="auto"/>
      </w:divBdr>
    </w:div>
    <w:div w:id="500318615">
      <w:bodyDiv w:val="1"/>
      <w:marLeft w:val="0"/>
      <w:marRight w:val="0"/>
      <w:marTop w:val="0"/>
      <w:marBottom w:val="0"/>
      <w:divBdr>
        <w:top w:val="none" w:sz="0" w:space="0" w:color="auto"/>
        <w:left w:val="none" w:sz="0" w:space="0" w:color="auto"/>
        <w:bottom w:val="none" w:sz="0" w:space="0" w:color="auto"/>
        <w:right w:val="none" w:sz="0" w:space="0" w:color="auto"/>
      </w:divBdr>
    </w:div>
    <w:div w:id="510291410">
      <w:bodyDiv w:val="1"/>
      <w:marLeft w:val="0"/>
      <w:marRight w:val="0"/>
      <w:marTop w:val="0"/>
      <w:marBottom w:val="0"/>
      <w:divBdr>
        <w:top w:val="none" w:sz="0" w:space="0" w:color="auto"/>
        <w:left w:val="none" w:sz="0" w:space="0" w:color="auto"/>
        <w:bottom w:val="none" w:sz="0" w:space="0" w:color="auto"/>
        <w:right w:val="none" w:sz="0" w:space="0" w:color="auto"/>
      </w:divBdr>
      <w:divsChild>
        <w:div w:id="1377389594">
          <w:marLeft w:val="0"/>
          <w:marRight w:val="0"/>
          <w:marTop w:val="0"/>
          <w:marBottom w:val="0"/>
          <w:divBdr>
            <w:top w:val="none" w:sz="0" w:space="0" w:color="auto"/>
            <w:left w:val="none" w:sz="0" w:space="0" w:color="auto"/>
            <w:bottom w:val="none" w:sz="0" w:space="0" w:color="auto"/>
            <w:right w:val="none" w:sz="0" w:space="0" w:color="auto"/>
          </w:divBdr>
          <w:divsChild>
            <w:div w:id="1599604055">
              <w:marLeft w:val="0"/>
              <w:marRight w:val="0"/>
              <w:marTop w:val="0"/>
              <w:marBottom w:val="0"/>
              <w:divBdr>
                <w:top w:val="none" w:sz="0" w:space="0" w:color="auto"/>
                <w:left w:val="none" w:sz="0" w:space="0" w:color="auto"/>
                <w:bottom w:val="none" w:sz="0" w:space="0" w:color="auto"/>
                <w:right w:val="none" w:sz="0" w:space="0" w:color="auto"/>
              </w:divBdr>
              <w:divsChild>
                <w:div w:id="54880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79264">
      <w:bodyDiv w:val="1"/>
      <w:marLeft w:val="0"/>
      <w:marRight w:val="0"/>
      <w:marTop w:val="0"/>
      <w:marBottom w:val="0"/>
      <w:divBdr>
        <w:top w:val="none" w:sz="0" w:space="0" w:color="auto"/>
        <w:left w:val="none" w:sz="0" w:space="0" w:color="auto"/>
        <w:bottom w:val="none" w:sz="0" w:space="0" w:color="auto"/>
        <w:right w:val="none" w:sz="0" w:space="0" w:color="auto"/>
      </w:divBdr>
      <w:divsChild>
        <w:div w:id="1857649803">
          <w:marLeft w:val="0"/>
          <w:marRight w:val="0"/>
          <w:marTop w:val="0"/>
          <w:marBottom w:val="0"/>
          <w:divBdr>
            <w:top w:val="none" w:sz="0" w:space="0" w:color="auto"/>
            <w:left w:val="none" w:sz="0" w:space="0" w:color="auto"/>
            <w:bottom w:val="none" w:sz="0" w:space="0" w:color="auto"/>
            <w:right w:val="none" w:sz="0" w:space="0" w:color="auto"/>
          </w:divBdr>
          <w:divsChild>
            <w:div w:id="1932620230">
              <w:marLeft w:val="0"/>
              <w:marRight w:val="0"/>
              <w:marTop w:val="0"/>
              <w:marBottom w:val="0"/>
              <w:divBdr>
                <w:top w:val="none" w:sz="0" w:space="0" w:color="auto"/>
                <w:left w:val="none" w:sz="0" w:space="0" w:color="auto"/>
                <w:bottom w:val="none" w:sz="0" w:space="0" w:color="auto"/>
                <w:right w:val="none" w:sz="0" w:space="0" w:color="auto"/>
              </w:divBdr>
              <w:divsChild>
                <w:div w:id="37370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53259">
      <w:bodyDiv w:val="1"/>
      <w:marLeft w:val="0"/>
      <w:marRight w:val="0"/>
      <w:marTop w:val="0"/>
      <w:marBottom w:val="0"/>
      <w:divBdr>
        <w:top w:val="none" w:sz="0" w:space="0" w:color="auto"/>
        <w:left w:val="none" w:sz="0" w:space="0" w:color="auto"/>
        <w:bottom w:val="none" w:sz="0" w:space="0" w:color="auto"/>
        <w:right w:val="none" w:sz="0" w:space="0" w:color="auto"/>
      </w:divBdr>
      <w:divsChild>
        <w:div w:id="53281072">
          <w:marLeft w:val="0"/>
          <w:marRight w:val="0"/>
          <w:marTop w:val="0"/>
          <w:marBottom w:val="0"/>
          <w:divBdr>
            <w:top w:val="none" w:sz="0" w:space="0" w:color="auto"/>
            <w:left w:val="none" w:sz="0" w:space="0" w:color="auto"/>
            <w:bottom w:val="none" w:sz="0" w:space="0" w:color="auto"/>
            <w:right w:val="none" w:sz="0" w:space="0" w:color="auto"/>
          </w:divBdr>
          <w:divsChild>
            <w:div w:id="305398774">
              <w:marLeft w:val="0"/>
              <w:marRight w:val="0"/>
              <w:marTop w:val="0"/>
              <w:marBottom w:val="0"/>
              <w:divBdr>
                <w:top w:val="none" w:sz="0" w:space="0" w:color="auto"/>
                <w:left w:val="none" w:sz="0" w:space="0" w:color="auto"/>
                <w:bottom w:val="none" w:sz="0" w:space="0" w:color="auto"/>
                <w:right w:val="none" w:sz="0" w:space="0" w:color="auto"/>
              </w:divBdr>
              <w:divsChild>
                <w:div w:id="1504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985020">
      <w:bodyDiv w:val="1"/>
      <w:marLeft w:val="0"/>
      <w:marRight w:val="0"/>
      <w:marTop w:val="0"/>
      <w:marBottom w:val="0"/>
      <w:divBdr>
        <w:top w:val="none" w:sz="0" w:space="0" w:color="auto"/>
        <w:left w:val="none" w:sz="0" w:space="0" w:color="auto"/>
        <w:bottom w:val="none" w:sz="0" w:space="0" w:color="auto"/>
        <w:right w:val="none" w:sz="0" w:space="0" w:color="auto"/>
      </w:divBdr>
    </w:div>
    <w:div w:id="578565356">
      <w:bodyDiv w:val="1"/>
      <w:marLeft w:val="0"/>
      <w:marRight w:val="0"/>
      <w:marTop w:val="0"/>
      <w:marBottom w:val="0"/>
      <w:divBdr>
        <w:top w:val="none" w:sz="0" w:space="0" w:color="auto"/>
        <w:left w:val="none" w:sz="0" w:space="0" w:color="auto"/>
        <w:bottom w:val="none" w:sz="0" w:space="0" w:color="auto"/>
        <w:right w:val="none" w:sz="0" w:space="0" w:color="auto"/>
      </w:divBdr>
      <w:divsChild>
        <w:div w:id="1659726649">
          <w:marLeft w:val="0"/>
          <w:marRight w:val="0"/>
          <w:marTop w:val="0"/>
          <w:marBottom w:val="0"/>
          <w:divBdr>
            <w:top w:val="none" w:sz="0" w:space="0" w:color="auto"/>
            <w:left w:val="none" w:sz="0" w:space="0" w:color="auto"/>
            <w:bottom w:val="none" w:sz="0" w:space="0" w:color="auto"/>
            <w:right w:val="none" w:sz="0" w:space="0" w:color="auto"/>
          </w:divBdr>
          <w:divsChild>
            <w:div w:id="1993217702">
              <w:marLeft w:val="0"/>
              <w:marRight w:val="0"/>
              <w:marTop w:val="0"/>
              <w:marBottom w:val="0"/>
              <w:divBdr>
                <w:top w:val="none" w:sz="0" w:space="0" w:color="auto"/>
                <w:left w:val="none" w:sz="0" w:space="0" w:color="auto"/>
                <w:bottom w:val="none" w:sz="0" w:space="0" w:color="auto"/>
                <w:right w:val="none" w:sz="0" w:space="0" w:color="auto"/>
              </w:divBdr>
              <w:divsChild>
                <w:div w:id="13106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6011">
      <w:bodyDiv w:val="1"/>
      <w:marLeft w:val="0"/>
      <w:marRight w:val="0"/>
      <w:marTop w:val="0"/>
      <w:marBottom w:val="0"/>
      <w:divBdr>
        <w:top w:val="none" w:sz="0" w:space="0" w:color="auto"/>
        <w:left w:val="none" w:sz="0" w:space="0" w:color="auto"/>
        <w:bottom w:val="none" w:sz="0" w:space="0" w:color="auto"/>
        <w:right w:val="none" w:sz="0" w:space="0" w:color="auto"/>
      </w:divBdr>
      <w:divsChild>
        <w:div w:id="1981300831">
          <w:marLeft w:val="0"/>
          <w:marRight w:val="0"/>
          <w:marTop w:val="0"/>
          <w:marBottom w:val="0"/>
          <w:divBdr>
            <w:top w:val="none" w:sz="0" w:space="0" w:color="auto"/>
            <w:left w:val="none" w:sz="0" w:space="0" w:color="auto"/>
            <w:bottom w:val="none" w:sz="0" w:space="0" w:color="auto"/>
            <w:right w:val="none" w:sz="0" w:space="0" w:color="auto"/>
          </w:divBdr>
          <w:divsChild>
            <w:div w:id="861210337">
              <w:marLeft w:val="0"/>
              <w:marRight w:val="0"/>
              <w:marTop w:val="0"/>
              <w:marBottom w:val="0"/>
              <w:divBdr>
                <w:top w:val="none" w:sz="0" w:space="0" w:color="auto"/>
                <w:left w:val="none" w:sz="0" w:space="0" w:color="auto"/>
                <w:bottom w:val="none" w:sz="0" w:space="0" w:color="auto"/>
                <w:right w:val="none" w:sz="0" w:space="0" w:color="auto"/>
              </w:divBdr>
              <w:divsChild>
                <w:div w:id="201425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7864">
      <w:bodyDiv w:val="1"/>
      <w:marLeft w:val="0"/>
      <w:marRight w:val="0"/>
      <w:marTop w:val="0"/>
      <w:marBottom w:val="0"/>
      <w:divBdr>
        <w:top w:val="none" w:sz="0" w:space="0" w:color="auto"/>
        <w:left w:val="none" w:sz="0" w:space="0" w:color="auto"/>
        <w:bottom w:val="none" w:sz="0" w:space="0" w:color="auto"/>
        <w:right w:val="none" w:sz="0" w:space="0" w:color="auto"/>
      </w:divBdr>
      <w:divsChild>
        <w:div w:id="815103076">
          <w:marLeft w:val="0"/>
          <w:marRight w:val="0"/>
          <w:marTop w:val="0"/>
          <w:marBottom w:val="0"/>
          <w:divBdr>
            <w:top w:val="none" w:sz="0" w:space="0" w:color="auto"/>
            <w:left w:val="none" w:sz="0" w:space="0" w:color="auto"/>
            <w:bottom w:val="none" w:sz="0" w:space="0" w:color="auto"/>
            <w:right w:val="none" w:sz="0" w:space="0" w:color="auto"/>
          </w:divBdr>
          <w:divsChild>
            <w:div w:id="363755116">
              <w:marLeft w:val="0"/>
              <w:marRight w:val="0"/>
              <w:marTop w:val="0"/>
              <w:marBottom w:val="0"/>
              <w:divBdr>
                <w:top w:val="none" w:sz="0" w:space="0" w:color="auto"/>
                <w:left w:val="none" w:sz="0" w:space="0" w:color="auto"/>
                <w:bottom w:val="none" w:sz="0" w:space="0" w:color="auto"/>
                <w:right w:val="none" w:sz="0" w:space="0" w:color="auto"/>
              </w:divBdr>
              <w:divsChild>
                <w:div w:id="19205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11125">
      <w:bodyDiv w:val="1"/>
      <w:marLeft w:val="0"/>
      <w:marRight w:val="0"/>
      <w:marTop w:val="0"/>
      <w:marBottom w:val="0"/>
      <w:divBdr>
        <w:top w:val="none" w:sz="0" w:space="0" w:color="auto"/>
        <w:left w:val="none" w:sz="0" w:space="0" w:color="auto"/>
        <w:bottom w:val="none" w:sz="0" w:space="0" w:color="auto"/>
        <w:right w:val="none" w:sz="0" w:space="0" w:color="auto"/>
      </w:divBdr>
      <w:divsChild>
        <w:div w:id="1467700604">
          <w:marLeft w:val="0"/>
          <w:marRight w:val="0"/>
          <w:marTop w:val="0"/>
          <w:marBottom w:val="0"/>
          <w:divBdr>
            <w:top w:val="none" w:sz="0" w:space="0" w:color="auto"/>
            <w:left w:val="none" w:sz="0" w:space="0" w:color="auto"/>
            <w:bottom w:val="none" w:sz="0" w:space="0" w:color="auto"/>
            <w:right w:val="none" w:sz="0" w:space="0" w:color="auto"/>
          </w:divBdr>
          <w:divsChild>
            <w:div w:id="1233738377">
              <w:marLeft w:val="0"/>
              <w:marRight w:val="0"/>
              <w:marTop w:val="0"/>
              <w:marBottom w:val="0"/>
              <w:divBdr>
                <w:top w:val="none" w:sz="0" w:space="0" w:color="auto"/>
                <w:left w:val="none" w:sz="0" w:space="0" w:color="auto"/>
                <w:bottom w:val="none" w:sz="0" w:space="0" w:color="auto"/>
                <w:right w:val="none" w:sz="0" w:space="0" w:color="auto"/>
              </w:divBdr>
              <w:divsChild>
                <w:div w:id="68806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8753">
      <w:bodyDiv w:val="1"/>
      <w:marLeft w:val="0"/>
      <w:marRight w:val="0"/>
      <w:marTop w:val="0"/>
      <w:marBottom w:val="0"/>
      <w:divBdr>
        <w:top w:val="none" w:sz="0" w:space="0" w:color="auto"/>
        <w:left w:val="none" w:sz="0" w:space="0" w:color="auto"/>
        <w:bottom w:val="none" w:sz="0" w:space="0" w:color="auto"/>
        <w:right w:val="none" w:sz="0" w:space="0" w:color="auto"/>
      </w:divBdr>
    </w:div>
    <w:div w:id="650594447">
      <w:bodyDiv w:val="1"/>
      <w:marLeft w:val="0"/>
      <w:marRight w:val="0"/>
      <w:marTop w:val="0"/>
      <w:marBottom w:val="0"/>
      <w:divBdr>
        <w:top w:val="none" w:sz="0" w:space="0" w:color="auto"/>
        <w:left w:val="none" w:sz="0" w:space="0" w:color="auto"/>
        <w:bottom w:val="none" w:sz="0" w:space="0" w:color="auto"/>
        <w:right w:val="none" w:sz="0" w:space="0" w:color="auto"/>
      </w:divBdr>
    </w:div>
    <w:div w:id="664630682">
      <w:bodyDiv w:val="1"/>
      <w:marLeft w:val="0"/>
      <w:marRight w:val="0"/>
      <w:marTop w:val="0"/>
      <w:marBottom w:val="0"/>
      <w:divBdr>
        <w:top w:val="none" w:sz="0" w:space="0" w:color="auto"/>
        <w:left w:val="none" w:sz="0" w:space="0" w:color="auto"/>
        <w:bottom w:val="none" w:sz="0" w:space="0" w:color="auto"/>
        <w:right w:val="none" w:sz="0" w:space="0" w:color="auto"/>
      </w:divBdr>
    </w:div>
    <w:div w:id="680281392">
      <w:bodyDiv w:val="1"/>
      <w:marLeft w:val="0"/>
      <w:marRight w:val="0"/>
      <w:marTop w:val="0"/>
      <w:marBottom w:val="0"/>
      <w:divBdr>
        <w:top w:val="none" w:sz="0" w:space="0" w:color="auto"/>
        <w:left w:val="none" w:sz="0" w:space="0" w:color="auto"/>
        <w:bottom w:val="none" w:sz="0" w:space="0" w:color="auto"/>
        <w:right w:val="none" w:sz="0" w:space="0" w:color="auto"/>
      </w:divBdr>
    </w:div>
    <w:div w:id="680662602">
      <w:bodyDiv w:val="1"/>
      <w:marLeft w:val="0"/>
      <w:marRight w:val="0"/>
      <w:marTop w:val="0"/>
      <w:marBottom w:val="0"/>
      <w:divBdr>
        <w:top w:val="none" w:sz="0" w:space="0" w:color="auto"/>
        <w:left w:val="none" w:sz="0" w:space="0" w:color="auto"/>
        <w:bottom w:val="none" w:sz="0" w:space="0" w:color="auto"/>
        <w:right w:val="none" w:sz="0" w:space="0" w:color="auto"/>
      </w:divBdr>
    </w:div>
    <w:div w:id="710231897">
      <w:bodyDiv w:val="1"/>
      <w:marLeft w:val="0"/>
      <w:marRight w:val="0"/>
      <w:marTop w:val="0"/>
      <w:marBottom w:val="0"/>
      <w:divBdr>
        <w:top w:val="none" w:sz="0" w:space="0" w:color="auto"/>
        <w:left w:val="none" w:sz="0" w:space="0" w:color="auto"/>
        <w:bottom w:val="none" w:sz="0" w:space="0" w:color="auto"/>
        <w:right w:val="none" w:sz="0" w:space="0" w:color="auto"/>
      </w:divBdr>
      <w:divsChild>
        <w:div w:id="2054501744">
          <w:marLeft w:val="0"/>
          <w:marRight w:val="0"/>
          <w:marTop w:val="0"/>
          <w:marBottom w:val="0"/>
          <w:divBdr>
            <w:top w:val="none" w:sz="0" w:space="0" w:color="auto"/>
            <w:left w:val="none" w:sz="0" w:space="0" w:color="auto"/>
            <w:bottom w:val="none" w:sz="0" w:space="0" w:color="auto"/>
            <w:right w:val="none" w:sz="0" w:space="0" w:color="auto"/>
          </w:divBdr>
          <w:divsChild>
            <w:div w:id="767772880">
              <w:marLeft w:val="0"/>
              <w:marRight w:val="0"/>
              <w:marTop w:val="0"/>
              <w:marBottom w:val="0"/>
              <w:divBdr>
                <w:top w:val="none" w:sz="0" w:space="0" w:color="auto"/>
                <w:left w:val="none" w:sz="0" w:space="0" w:color="auto"/>
                <w:bottom w:val="none" w:sz="0" w:space="0" w:color="auto"/>
                <w:right w:val="none" w:sz="0" w:space="0" w:color="auto"/>
              </w:divBdr>
              <w:divsChild>
                <w:div w:id="708263501">
                  <w:marLeft w:val="0"/>
                  <w:marRight w:val="0"/>
                  <w:marTop w:val="0"/>
                  <w:marBottom w:val="0"/>
                  <w:divBdr>
                    <w:top w:val="none" w:sz="0" w:space="0" w:color="auto"/>
                    <w:left w:val="none" w:sz="0" w:space="0" w:color="auto"/>
                    <w:bottom w:val="none" w:sz="0" w:space="0" w:color="auto"/>
                    <w:right w:val="none" w:sz="0" w:space="0" w:color="auto"/>
                  </w:divBdr>
                  <w:divsChild>
                    <w:div w:id="5730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536477">
      <w:bodyDiv w:val="1"/>
      <w:marLeft w:val="0"/>
      <w:marRight w:val="0"/>
      <w:marTop w:val="0"/>
      <w:marBottom w:val="0"/>
      <w:divBdr>
        <w:top w:val="none" w:sz="0" w:space="0" w:color="auto"/>
        <w:left w:val="none" w:sz="0" w:space="0" w:color="auto"/>
        <w:bottom w:val="none" w:sz="0" w:space="0" w:color="auto"/>
        <w:right w:val="none" w:sz="0" w:space="0" w:color="auto"/>
      </w:divBdr>
      <w:divsChild>
        <w:div w:id="1310355088">
          <w:marLeft w:val="0"/>
          <w:marRight w:val="0"/>
          <w:marTop w:val="0"/>
          <w:marBottom w:val="0"/>
          <w:divBdr>
            <w:top w:val="none" w:sz="0" w:space="0" w:color="auto"/>
            <w:left w:val="none" w:sz="0" w:space="0" w:color="auto"/>
            <w:bottom w:val="none" w:sz="0" w:space="0" w:color="auto"/>
            <w:right w:val="none" w:sz="0" w:space="0" w:color="auto"/>
          </w:divBdr>
          <w:divsChild>
            <w:div w:id="534469994">
              <w:marLeft w:val="0"/>
              <w:marRight w:val="0"/>
              <w:marTop w:val="0"/>
              <w:marBottom w:val="0"/>
              <w:divBdr>
                <w:top w:val="none" w:sz="0" w:space="0" w:color="auto"/>
                <w:left w:val="none" w:sz="0" w:space="0" w:color="auto"/>
                <w:bottom w:val="none" w:sz="0" w:space="0" w:color="auto"/>
                <w:right w:val="none" w:sz="0" w:space="0" w:color="auto"/>
              </w:divBdr>
              <w:divsChild>
                <w:div w:id="6120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20161">
      <w:bodyDiv w:val="1"/>
      <w:marLeft w:val="0"/>
      <w:marRight w:val="0"/>
      <w:marTop w:val="0"/>
      <w:marBottom w:val="0"/>
      <w:divBdr>
        <w:top w:val="none" w:sz="0" w:space="0" w:color="auto"/>
        <w:left w:val="none" w:sz="0" w:space="0" w:color="auto"/>
        <w:bottom w:val="none" w:sz="0" w:space="0" w:color="auto"/>
        <w:right w:val="none" w:sz="0" w:space="0" w:color="auto"/>
      </w:divBdr>
      <w:divsChild>
        <w:div w:id="1431394351">
          <w:marLeft w:val="0"/>
          <w:marRight w:val="0"/>
          <w:marTop w:val="0"/>
          <w:marBottom w:val="0"/>
          <w:divBdr>
            <w:top w:val="none" w:sz="0" w:space="0" w:color="auto"/>
            <w:left w:val="none" w:sz="0" w:space="0" w:color="auto"/>
            <w:bottom w:val="none" w:sz="0" w:space="0" w:color="auto"/>
            <w:right w:val="none" w:sz="0" w:space="0" w:color="auto"/>
          </w:divBdr>
          <w:divsChild>
            <w:div w:id="1947107085">
              <w:marLeft w:val="0"/>
              <w:marRight w:val="0"/>
              <w:marTop w:val="0"/>
              <w:marBottom w:val="0"/>
              <w:divBdr>
                <w:top w:val="none" w:sz="0" w:space="0" w:color="auto"/>
                <w:left w:val="none" w:sz="0" w:space="0" w:color="auto"/>
                <w:bottom w:val="none" w:sz="0" w:space="0" w:color="auto"/>
                <w:right w:val="none" w:sz="0" w:space="0" w:color="auto"/>
              </w:divBdr>
              <w:divsChild>
                <w:div w:id="4554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009322">
      <w:bodyDiv w:val="1"/>
      <w:marLeft w:val="0"/>
      <w:marRight w:val="0"/>
      <w:marTop w:val="0"/>
      <w:marBottom w:val="0"/>
      <w:divBdr>
        <w:top w:val="none" w:sz="0" w:space="0" w:color="auto"/>
        <w:left w:val="none" w:sz="0" w:space="0" w:color="auto"/>
        <w:bottom w:val="none" w:sz="0" w:space="0" w:color="auto"/>
        <w:right w:val="none" w:sz="0" w:space="0" w:color="auto"/>
      </w:divBdr>
      <w:divsChild>
        <w:div w:id="1949774809">
          <w:marLeft w:val="0"/>
          <w:marRight w:val="0"/>
          <w:marTop w:val="0"/>
          <w:marBottom w:val="0"/>
          <w:divBdr>
            <w:top w:val="none" w:sz="0" w:space="0" w:color="auto"/>
            <w:left w:val="none" w:sz="0" w:space="0" w:color="auto"/>
            <w:bottom w:val="none" w:sz="0" w:space="0" w:color="auto"/>
            <w:right w:val="none" w:sz="0" w:space="0" w:color="auto"/>
          </w:divBdr>
          <w:divsChild>
            <w:div w:id="585650345">
              <w:marLeft w:val="0"/>
              <w:marRight w:val="0"/>
              <w:marTop w:val="0"/>
              <w:marBottom w:val="0"/>
              <w:divBdr>
                <w:top w:val="none" w:sz="0" w:space="0" w:color="auto"/>
                <w:left w:val="none" w:sz="0" w:space="0" w:color="auto"/>
                <w:bottom w:val="none" w:sz="0" w:space="0" w:color="auto"/>
                <w:right w:val="none" w:sz="0" w:space="0" w:color="auto"/>
              </w:divBdr>
              <w:divsChild>
                <w:div w:id="965811967">
                  <w:marLeft w:val="0"/>
                  <w:marRight w:val="0"/>
                  <w:marTop w:val="0"/>
                  <w:marBottom w:val="0"/>
                  <w:divBdr>
                    <w:top w:val="none" w:sz="0" w:space="0" w:color="auto"/>
                    <w:left w:val="none" w:sz="0" w:space="0" w:color="auto"/>
                    <w:bottom w:val="none" w:sz="0" w:space="0" w:color="auto"/>
                    <w:right w:val="none" w:sz="0" w:space="0" w:color="auto"/>
                  </w:divBdr>
                  <w:divsChild>
                    <w:div w:id="4389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54782">
      <w:bodyDiv w:val="1"/>
      <w:marLeft w:val="0"/>
      <w:marRight w:val="0"/>
      <w:marTop w:val="0"/>
      <w:marBottom w:val="0"/>
      <w:divBdr>
        <w:top w:val="none" w:sz="0" w:space="0" w:color="auto"/>
        <w:left w:val="none" w:sz="0" w:space="0" w:color="auto"/>
        <w:bottom w:val="none" w:sz="0" w:space="0" w:color="auto"/>
        <w:right w:val="none" w:sz="0" w:space="0" w:color="auto"/>
      </w:divBdr>
      <w:divsChild>
        <w:div w:id="352271689">
          <w:marLeft w:val="0"/>
          <w:marRight w:val="0"/>
          <w:marTop w:val="0"/>
          <w:marBottom w:val="0"/>
          <w:divBdr>
            <w:top w:val="none" w:sz="0" w:space="0" w:color="auto"/>
            <w:left w:val="none" w:sz="0" w:space="0" w:color="auto"/>
            <w:bottom w:val="none" w:sz="0" w:space="0" w:color="auto"/>
            <w:right w:val="none" w:sz="0" w:space="0" w:color="auto"/>
          </w:divBdr>
          <w:divsChild>
            <w:div w:id="1556502995">
              <w:marLeft w:val="0"/>
              <w:marRight w:val="0"/>
              <w:marTop w:val="0"/>
              <w:marBottom w:val="0"/>
              <w:divBdr>
                <w:top w:val="none" w:sz="0" w:space="0" w:color="auto"/>
                <w:left w:val="none" w:sz="0" w:space="0" w:color="auto"/>
                <w:bottom w:val="none" w:sz="0" w:space="0" w:color="auto"/>
                <w:right w:val="none" w:sz="0" w:space="0" w:color="auto"/>
              </w:divBdr>
              <w:divsChild>
                <w:div w:id="51873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22105">
      <w:bodyDiv w:val="1"/>
      <w:marLeft w:val="0"/>
      <w:marRight w:val="0"/>
      <w:marTop w:val="0"/>
      <w:marBottom w:val="0"/>
      <w:divBdr>
        <w:top w:val="none" w:sz="0" w:space="0" w:color="auto"/>
        <w:left w:val="none" w:sz="0" w:space="0" w:color="auto"/>
        <w:bottom w:val="none" w:sz="0" w:space="0" w:color="auto"/>
        <w:right w:val="none" w:sz="0" w:space="0" w:color="auto"/>
      </w:divBdr>
      <w:divsChild>
        <w:div w:id="1368289459">
          <w:marLeft w:val="0"/>
          <w:marRight w:val="0"/>
          <w:marTop w:val="0"/>
          <w:marBottom w:val="0"/>
          <w:divBdr>
            <w:top w:val="none" w:sz="0" w:space="0" w:color="auto"/>
            <w:left w:val="none" w:sz="0" w:space="0" w:color="auto"/>
            <w:bottom w:val="none" w:sz="0" w:space="0" w:color="auto"/>
            <w:right w:val="none" w:sz="0" w:space="0" w:color="auto"/>
          </w:divBdr>
          <w:divsChild>
            <w:div w:id="2107338992">
              <w:marLeft w:val="0"/>
              <w:marRight w:val="0"/>
              <w:marTop w:val="0"/>
              <w:marBottom w:val="0"/>
              <w:divBdr>
                <w:top w:val="none" w:sz="0" w:space="0" w:color="auto"/>
                <w:left w:val="none" w:sz="0" w:space="0" w:color="auto"/>
                <w:bottom w:val="none" w:sz="0" w:space="0" w:color="auto"/>
                <w:right w:val="none" w:sz="0" w:space="0" w:color="auto"/>
              </w:divBdr>
              <w:divsChild>
                <w:div w:id="156776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58108">
      <w:bodyDiv w:val="1"/>
      <w:marLeft w:val="0"/>
      <w:marRight w:val="0"/>
      <w:marTop w:val="0"/>
      <w:marBottom w:val="0"/>
      <w:divBdr>
        <w:top w:val="none" w:sz="0" w:space="0" w:color="auto"/>
        <w:left w:val="none" w:sz="0" w:space="0" w:color="auto"/>
        <w:bottom w:val="none" w:sz="0" w:space="0" w:color="auto"/>
        <w:right w:val="none" w:sz="0" w:space="0" w:color="auto"/>
      </w:divBdr>
    </w:div>
    <w:div w:id="833110900">
      <w:bodyDiv w:val="1"/>
      <w:marLeft w:val="0"/>
      <w:marRight w:val="0"/>
      <w:marTop w:val="0"/>
      <w:marBottom w:val="0"/>
      <w:divBdr>
        <w:top w:val="none" w:sz="0" w:space="0" w:color="auto"/>
        <w:left w:val="none" w:sz="0" w:space="0" w:color="auto"/>
        <w:bottom w:val="none" w:sz="0" w:space="0" w:color="auto"/>
        <w:right w:val="none" w:sz="0" w:space="0" w:color="auto"/>
      </w:divBdr>
      <w:divsChild>
        <w:div w:id="1732121426">
          <w:marLeft w:val="0"/>
          <w:marRight w:val="0"/>
          <w:marTop w:val="0"/>
          <w:marBottom w:val="0"/>
          <w:divBdr>
            <w:top w:val="none" w:sz="0" w:space="0" w:color="auto"/>
            <w:left w:val="none" w:sz="0" w:space="0" w:color="auto"/>
            <w:bottom w:val="none" w:sz="0" w:space="0" w:color="auto"/>
            <w:right w:val="none" w:sz="0" w:space="0" w:color="auto"/>
          </w:divBdr>
          <w:divsChild>
            <w:div w:id="202602921">
              <w:marLeft w:val="0"/>
              <w:marRight w:val="0"/>
              <w:marTop w:val="0"/>
              <w:marBottom w:val="0"/>
              <w:divBdr>
                <w:top w:val="none" w:sz="0" w:space="0" w:color="auto"/>
                <w:left w:val="none" w:sz="0" w:space="0" w:color="auto"/>
                <w:bottom w:val="none" w:sz="0" w:space="0" w:color="auto"/>
                <w:right w:val="none" w:sz="0" w:space="0" w:color="auto"/>
              </w:divBdr>
              <w:divsChild>
                <w:div w:id="3324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01003">
      <w:bodyDiv w:val="1"/>
      <w:marLeft w:val="0"/>
      <w:marRight w:val="0"/>
      <w:marTop w:val="0"/>
      <w:marBottom w:val="0"/>
      <w:divBdr>
        <w:top w:val="none" w:sz="0" w:space="0" w:color="auto"/>
        <w:left w:val="none" w:sz="0" w:space="0" w:color="auto"/>
        <w:bottom w:val="none" w:sz="0" w:space="0" w:color="auto"/>
        <w:right w:val="none" w:sz="0" w:space="0" w:color="auto"/>
      </w:divBdr>
    </w:div>
    <w:div w:id="843398292">
      <w:bodyDiv w:val="1"/>
      <w:marLeft w:val="0"/>
      <w:marRight w:val="0"/>
      <w:marTop w:val="0"/>
      <w:marBottom w:val="0"/>
      <w:divBdr>
        <w:top w:val="none" w:sz="0" w:space="0" w:color="auto"/>
        <w:left w:val="none" w:sz="0" w:space="0" w:color="auto"/>
        <w:bottom w:val="none" w:sz="0" w:space="0" w:color="auto"/>
        <w:right w:val="none" w:sz="0" w:space="0" w:color="auto"/>
      </w:divBdr>
      <w:divsChild>
        <w:div w:id="1825003424">
          <w:marLeft w:val="0"/>
          <w:marRight w:val="0"/>
          <w:marTop w:val="0"/>
          <w:marBottom w:val="0"/>
          <w:divBdr>
            <w:top w:val="none" w:sz="0" w:space="0" w:color="auto"/>
            <w:left w:val="none" w:sz="0" w:space="0" w:color="auto"/>
            <w:bottom w:val="none" w:sz="0" w:space="0" w:color="auto"/>
            <w:right w:val="none" w:sz="0" w:space="0" w:color="auto"/>
          </w:divBdr>
          <w:divsChild>
            <w:div w:id="1630667088">
              <w:marLeft w:val="0"/>
              <w:marRight w:val="0"/>
              <w:marTop w:val="0"/>
              <w:marBottom w:val="0"/>
              <w:divBdr>
                <w:top w:val="none" w:sz="0" w:space="0" w:color="auto"/>
                <w:left w:val="none" w:sz="0" w:space="0" w:color="auto"/>
                <w:bottom w:val="none" w:sz="0" w:space="0" w:color="auto"/>
                <w:right w:val="none" w:sz="0" w:space="0" w:color="auto"/>
              </w:divBdr>
              <w:divsChild>
                <w:div w:id="20007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82851">
      <w:bodyDiv w:val="1"/>
      <w:marLeft w:val="0"/>
      <w:marRight w:val="0"/>
      <w:marTop w:val="0"/>
      <w:marBottom w:val="0"/>
      <w:divBdr>
        <w:top w:val="none" w:sz="0" w:space="0" w:color="auto"/>
        <w:left w:val="none" w:sz="0" w:space="0" w:color="auto"/>
        <w:bottom w:val="none" w:sz="0" w:space="0" w:color="auto"/>
        <w:right w:val="none" w:sz="0" w:space="0" w:color="auto"/>
      </w:divBdr>
      <w:divsChild>
        <w:div w:id="990719374">
          <w:marLeft w:val="0"/>
          <w:marRight w:val="0"/>
          <w:marTop w:val="0"/>
          <w:marBottom w:val="0"/>
          <w:divBdr>
            <w:top w:val="none" w:sz="0" w:space="0" w:color="auto"/>
            <w:left w:val="none" w:sz="0" w:space="0" w:color="auto"/>
            <w:bottom w:val="none" w:sz="0" w:space="0" w:color="auto"/>
            <w:right w:val="none" w:sz="0" w:space="0" w:color="auto"/>
          </w:divBdr>
          <w:divsChild>
            <w:div w:id="817040143">
              <w:marLeft w:val="0"/>
              <w:marRight w:val="0"/>
              <w:marTop w:val="0"/>
              <w:marBottom w:val="0"/>
              <w:divBdr>
                <w:top w:val="none" w:sz="0" w:space="0" w:color="auto"/>
                <w:left w:val="none" w:sz="0" w:space="0" w:color="auto"/>
                <w:bottom w:val="none" w:sz="0" w:space="0" w:color="auto"/>
                <w:right w:val="none" w:sz="0" w:space="0" w:color="auto"/>
              </w:divBdr>
              <w:divsChild>
                <w:div w:id="80866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56838">
      <w:bodyDiv w:val="1"/>
      <w:marLeft w:val="0"/>
      <w:marRight w:val="0"/>
      <w:marTop w:val="0"/>
      <w:marBottom w:val="0"/>
      <w:divBdr>
        <w:top w:val="none" w:sz="0" w:space="0" w:color="auto"/>
        <w:left w:val="none" w:sz="0" w:space="0" w:color="auto"/>
        <w:bottom w:val="none" w:sz="0" w:space="0" w:color="auto"/>
        <w:right w:val="none" w:sz="0" w:space="0" w:color="auto"/>
      </w:divBdr>
      <w:divsChild>
        <w:div w:id="97919080">
          <w:marLeft w:val="0"/>
          <w:marRight w:val="0"/>
          <w:marTop w:val="0"/>
          <w:marBottom w:val="0"/>
          <w:divBdr>
            <w:top w:val="none" w:sz="0" w:space="0" w:color="auto"/>
            <w:left w:val="none" w:sz="0" w:space="0" w:color="auto"/>
            <w:bottom w:val="none" w:sz="0" w:space="0" w:color="auto"/>
            <w:right w:val="none" w:sz="0" w:space="0" w:color="auto"/>
          </w:divBdr>
          <w:divsChild>
            <w:div w:id="1311406432">
              <w:marLeft w:val="0"/>
              <w:marRight w:val="0"/>
              <w:marTop w:val="0"/>
              <w:marBottom w:val="0"/>
              <w:divBdr>
                <w:top w:val="none" w:sz="0" w:space="0" w:color="auto"/>
                <w:left w:val="none" w:sz="0" w:space="0" w:color="auto"/>
                <w:bottom w:val="none" w:sz="0" w:space="0" w:color="auto"/>
                <w:right w:val="none" w:sz="0" w:space="0" w:color="auto"/>
              </w:divBdr>
              <w:divsChild>
                <w:div w:id="20961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5679">
      <w:bodyDiv w:val="1"/>
      <w:marLeft w:val="0"/>
      <w:marRight w:val="0"/>
      <w:marTop w:val="0"/>
      <w:marBottom w:val="0"/>
      <w:divBdr>
        <w:top w:val="none" w:sz="0" w:space="0" w:color="auto"/>
        <w:left w:val="none" w:sz="0" w:space="0" w:color="auto"/>
        <w:bottom w:val="none" w:sz="0" w:space="0" w:color="auto"/>
        <w:right w:val="none" w:sz="0" w:space="0" w:color="auto"/>
      </w:divBdr>
      <w:divsChild>
        <w:div w:id="505286245">
          <w:marLeft w:val="0"/>
          <w:marRight w:val="0"/>
          <w:marTop w:val="0"/>
          <w:marBottom w:val="0"/>
          <w:divBdr>
            <w:top w:val="none" w:sz="0" w:space="0" w:color="auto"/>
            <w:left w:val="none" w:sz="0" w:space="0" w:color="auto"/>
            <w:bottom w:val="none" w:sz="0" w:space="0" w:color="auto"/>
            <w:right w:val="none" w:sz="0" w:space="0" w:color="auto"/>
          </w:divBdr>
          <w:divsChild>
            <w:div w:id="841238891">
              <w:marLeft w:val="0"/>
              <w:marRight w:val="0"/>
              <w:marTop w:val="0"/>
              <w:marBottom w:val="0"/>
              <w:divBdr>
                <w:top w:val="none" w:sz="0" w:space="0" w:color="auto"/>
                <w:left w:val="none" w:sz="0" w:space="0" w:color="auto"/>
                <w:bottom w:val="none" w:sz="0" w:space="0" w:color="auto"/>
                <w:right w:val="none" w:sz="0" w:space="0" w:color="auto"/>
              </w:divBdr>
              <w:divsChild>
                <w:div w:id="10350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18584">
      <w:bodyDiv w:val="1"/>
      <w:marLeft w:val="0"/>
      <w:marRight w:val="0"/>
      <w:marTop w:val="0"/>
      <w:marBottom w:val="0"/>
      <w:divBdr>
        <w:top w:val="none" w:sz="0" w:space="0" w:color="auto"/>
        <w:left w:val="none" w:sz="0" w:space="0" w:color="auto"/>
        <w:bottom w:val="none" w:sz="0" w:space="0" w:color="auto"/>
        <w:right w:val="none" w:sz="0" w:space="0" w:color="auto"/>
      </w:divBdr>
      <w:divsChild>
        <w:div w:id="445733138">
          <w:marLeft w:val="0"/>
          <w:marRight w:val="0"/>
          <w:marTop w:val="0"/>
          <w:marBottom w:val="0"/>
          <w:divBdr>
            <w:top w:val="none" w:sz="0" w:space="0" w:color="auto"/>
            <w:left w:val="none" w:sz="0" w:space="0" w:color="auto"/>
            <w:bottom w:val="none" w:sz="0" w:space="0" w:color="auto"/>
            <w:right w:val="none" w:sz="0" w:space="0" w:color="auto"/>
          </w:divBdr>
          <w:divsChild>
            <w:div w:id="1047291251">
              <w:marLeft w:val="0"/>
              <w:marRight w:val="0"/>
              <w:marTop w:val="0"/>
              <w:marBottom w:val="0"/>
              <w:divBdr>
                <w:top w:val="none" w:sz="0" w:space="0" w:color="auto"/>
                <w:left w:val="none" w:sz="0" w:space="0" w:color="auto"/>
                <w:bottom w:val="none" w:sz="0" w:space="0" w:color="auto"/>
                <w:right w:val="none" w:sz="0" w:space="0" w:color="auto"/>
              </w:divBdr>
              <w:divsChild>
                <w:div w:id="10149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09378">
      <w:bodyDiv w:val="1"/>
      <w:marLeft w:val="0"/>
      <w:marRight w:val="0"/>
      <w:marTop w:val="0"/>
      <w:marBottom w:val="0"/>
      <w:divBdr>
        <w:top w:val="none" w:sz="0" w:space="0" w:color="auto"/>
        <w:left w:val="none" w:sz="0" w:space="0" w:color="auto"/>
        <w:bottom w:val="none" w:sz="0" w:space="0" w:color="auto"/>
        <w:right w:val="none" w:sz="0" w:space="0" w:color="auto"/>
      </w:divBdr>
    </w:div>
    <w:div w:id="917130012">
      <w:bodyDiv w:val="1"/>
      <w:marLeft w:val="0"/>
      <w:marRight w:val="0"/>
      <w:marTop w:val="0"/>
      <w:marBottom w:val="0"/>
      <w:divBdr>
        <w:top w:val="none" w:sz="0" w:space="0" w:color="auto"/>
        <w:left w:val="none" w:sz="0" w:space="0" w:color="auto"/>
        <w:bottom w:val="none" w:sz="0" w:space="0" w:color="auto"/>
        <w:right w:val="none" w:sz="0" w:space="0" w:color="auto"/>
      </w:divBdr>
      <w:divsChild>
        <w:div w:id="1722243560">
          <w:marLeft w:val="0"/>
          <w:marRight w:val="0"/>
          <w:marTop w:val="0"/>
          <w:marBottom w:val="0"/>
          <w:divBdr>
            <w:top w:val="none" w:sz="0" w:space="0" w:color="auto"/>
            <w:left w:val="none" w:sz="0" w:space="0" w:color="auto"/>
            <w:bottom w:val="none" w:sz="0" w:space="0" w:color="auto"/>
            <w:right w:val="none" w:sz="0" w:space="0" w:color="auto"/>
          </w:divBdr>
          <w:divsChild>
            <w:div w:id="1734618521">
              <w:marLeft w:val="0"/>
              <w:marRight w:val="0"/>
              <w:marTop w:val="0"/>
              <w:marBottom w:val="0"/>
              <w:divBdr>
                <w:top w:val="none" w:sz="0" w:space="0" w:color="auto"/>
                <w:left w:val="none" w:sz="0" w:space="0" w:color="auto"/>
                <w:bottom w:val="none" w:sz="0" w:space="0" w:color="auto"/>
                <w:right w:val="none" w:sz="0" w:space="0" w:color="auto"/>
              </w:divBdr>
              <w:divsChild>
                <w:div w:id="6554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947870">
      <w:bodyDiv w:val="1"/>
      <w:marLeft w:val="0"/>
      <w:marRight w:val="0"/>
      <w:marTop w:val="0"/>
      <w:marBottom w:val="0"/>
      <w:divBdr>
        <w:top w:val="none" w:sz="0" w:space="0" w:color="auto"/>
        <w:left w:val="none" w:sz="0" w:space="0" w:color="auto"/>
        <w:bottom w:val="none" w:sz="0" w:space="0" w:color="auto"/>
        <w:right w:val="none" w:sz="0" w:space="0" w:color="auto"/>
      </w:divBdr>
    </w:div>
    <w:div w:id="966357346">
      <w:bodyDiv w:val="1"/>
      <w:marLeft w:val="0"/>
      <w:marRight w:val="0"/>
      <w:marTop w:val="0"/>
      <w:marBottom w:val="0"/>
      <w:divBdr>
        <w:top w:val="none" w:sz="0" w:space="0" w:color="auto"/>
        <w:left w:val="none" w:sz="0" w:space="0" w:color="auto"/>
        <w:bottom w:val="none" w:sz="0" w:space="0" w:color="auto"/>
        <w:right w:val="none" w:sz="0" w:space="0" w:color="auto"/>
      </w:divBdr>
    </w:div>
    <w:div w:id="996759601">
      <w:bodyDiv w:val="1"/>
      <w:marLeft w:val="0"/>
      <w:marRight w:val="0"/>
      <w:marTop w:val="0"/>
      <w:marBottom w:val="0"/>
      <w:divBdr>
        <w:top w:val="none" w:sz="0" w:space="0" w:color="auto"/>
        <w:left w:val="none" w:sz="0" w:space="0" w:color="auto"/>
        <w:bottom w:val="none" w:sz="0" w:space="0" w:color="auto"/>
        <w:right w:val="none" w:sz="0" w:space="0" w:color="auto"/>
      </w:divBdr>
      <w:divsChild>
        <w:div w:id="552935508">
          <w:marLeft w:val="0"/>
          <w:marRight w:val="0"/>
          <w:marTop w:val="0"/>
          <w:marBottom w:val="0"/>
          <w:divBdr>
            <w:top w:val="none" w:sz="0" w:space="0" w:color="auto"/>
            <w:left w:val="none" w:sz="0" w:space="0" w:color="auto"/>
            <w:bottom w:val="none" w:sz="0" w:space="0" w:color="auto"/>
            <w:right w:val="none" w:sz="0" w:space="0" w:color="auto"/>
          </w:divBdr>
          <w:divsChild>
            <w:div w:id="834953981">
              <w:marLeft w:val="0"/>
              <w:marRight w:val="0"/>
              <w:marTop w:val="0"/>
              <w:marBottom w:val="0"/>
              <w:divBdr>
                <w:top w:val="none" w:sz="0" w:space="0" w:color="auto"/>
                <w:left w:val="none" w:sz="0" w:space="0" w:color="auto"/>
                <w:bottom w:val="none" w:sz="0" w:space="0" w:color="auto"/>
                <w:right w:val="none" w:sz="0" w:space="0" w:color="auto"/>
              </w:divBdr>
              <w:divsChild>
                <w:div w:id="3847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268809">
      <w:bodyDiv w:val="1"/>
      <w:marLeft w:val="0"/>
      <w:marRight w:val="0"/>
      <w:marTop w:val="0"/>
      <w:marBottom w:val="0"/>
      <w:divBdr>
        <w:top w:val="none" w:sz="0" w:space="0" w:color="auto"/>
        <w:left w:val="none" w:sz="0" w:space="0" w:color="auto"/>
        <w:bottom w:val="none" w:sz="0" w:space="0" w:color="auto"/>
        <w:right w:val="none" w:sz="0" w:space="0" w:color="auto"/>
      </w:divBdr>
      <w:divsChild>
        <w:div w:id="1322389537">
          <w:marLeft w:val="0"/>
          <w:marRight w:val="0"/>
          <w:marTop w:val="0"/>
          <w:marBottom w:val="0"/>
          <w:divBdr>
            <w:top w:val="none" w:sz="0" w:space="0" w:color="auto"/>
            <w:left w:val="none" w:sz="0" w:space="0" w:color="auto"/>
            <w:bottom w:val="none" w:sz="0" w:space="0" w:color="auto"/>
            <w:right w:val="none" w:sz="0" w:space="0" w:color="auto"/>
          </w:divBdr>
          <w:divsChild>
            <w:div w:id="1227835776">
              <w:marLeft w:val="0"/>
              <w:marRight w:val="0"/>
              <w:marTop w:val="0"/>
              <w:marBottom w:val="0"/>
              <w:divBdr>
                <w:top w:val="none" w:sz="0" w:space="0" w:color="auto"/>
                <w:left w:val="none" w:sz="0" w:space="0" w:color="auto"/>
                <w:bottom w:val="none" w:sz="0" w:space="0" w:color="auto"/>
                <w:right w:val="none" w:sz="0" w:space="0" w:color="auto"/>
              </w:divBdr>
              <w:divsChild>
                <w:div w:id="53951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83873">
      <w:bodyDiv w:val="1"/>
      <w:marLeft w:val="0"/>
      <w:marRight w:val="0"/>
      <w:marTop w:val="0"/>
      <w:marBottom w:val="0"/>
      <w:divBdr>
        <w:top w:val="none" w:sz="0" w:space="0" w:color="auto"/>
        <w:left w:val="none" w:sz="0" w:space="0" w:color="auto"/>
        <w:bottom w:val="none" w:sz="0" w:space="0" w:color="auto"/>
        <w:right w:val="none" w:sz="0" w:space="0" w:color="auto"/>
      </w:divBdr>
    </w:div>
    <w:div w:id="1032069959">
      <w:bodyDiv w:val="1"/>
      <w:marLeft w:val="0"/>
      <w:marRight w:val="0"/>
      <w:marTop w:val="0"/>
      <w:marBottom w:val="0"/>
      <w:divBdr>
        <w:top w:val="none" w:sz="0" w:space="0" w:color="auto"/>
        <w:left w:val="none" w:sz="0" w:space="0" w:color="auto"/>
        <w:bottom w:val="none" w:sz="0" w:space="0" w:color="auto"/>
        <w:right w:val="none" w:sz="0" w:space="0" w:color="auto"/>
      </w:divBdr>
      <w:divsChild>
        <w:div w:id="1620842833">
          <w:marLeft w:val="0"/>
          <w:marRight w:val="0"/>
          <w:marTop w:val="0"/>
          <w:marBottom w:val="0"/>
          <w:divBdr>
            <w:top w:val="none" w:sz="0" w:space="0" w:color="auto"/>
            <w:left w:val="none" w:sz="0" w:space="0" w:color="auto"/>
            <w:bottom w:val="none" w:sz="0" w:space="0" w:color="auto"/>
            <w:right w:val="none" w:sz="0" w:space="0" w:color="auto"/>
          </w:divBdr>
          <w:divsChild>
            <w:div w:id="1237935424">
              <w:marLeft w:val="0"/>
              <w:marRight w:val="0"/>
              <w:marTop w:val="0"/>
              <w:marBottom w:val="0"/>
              <w:divBdr>
                <w:top w:val="none" w:sz="0" w:space="0" w:color="auto"/>
                <w:left w:val="none" w:sz="0" w:space="0" w:color="auto"/>
                <w:bottom w:val="none" w:sz="0" w:space="0" w:color="auto"/>
                <w:right w:val="none" w:sz="0" w:space="0" w:color="auto"/>
              </w:divBdr>
              <w:divsChild>
                <w:div w:id="143860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34392">
      <w:bodyDiv w:val="1"/>
      <w:marLeft w:val="0"/>
      <w:marRight w:val="0"/>
      <w:marTop w:val="0"/>
      <w:marBottom w:val="0"/>
      <w:divBdr>
        <w:top w:val="none" w:sz="0" w:space="0" w:color="auto"/>
        <w:left w:val="none" w:sz="0" w:space="0" w:color="auto"/>
        <w:bottom w:val="none" w:sz="0" w:space="0" w:color="auto"/>
        <w:right w:val="none" w:sz="0" w:space="0" w:color="auto"/>
      </w:divBdr>
    </w:div>
    <w:div w:id="1050880758">
      <w:bodyDiv w:val="1"/>
      <w:marLeft w:val="0"/>
      <w:marRight w:val="0"/>
      <w:marTop w:val="0"/>
      <w:marBottom w:val="0"/>
      <w:divBdr>
        <w:top w:val="none" w:sz="0" w:space="0" w:color="auto"/>
        <w:left w:val="none" w:sz="0" w:space="0" w:color="auto"/>
        <w:bottom w:val="none" w:sz="0" w:space="0" w:color="auto"/>
        <w:right w:val="none" w:sz="0" w:space="0" w:color="auto"/>
      </w:divBdr>
      <w:divsChild>
        <w:div w:id="1803302183">
          <w:marLeft w:val="0"/>
          <w:marRight w:val="0"/>
          <w:marTop w:val="0"/>
          <w:marBottom w:val="0"/>
          <w:divBdr>
            <w:top w:val="none" w:sz="0" w:space="0" w:color="auto"/>
            <w:left w:val="none" w:sz="0" w:space="0" w:color="auto"/>
            <w:bottom w:val="none" w:sz="0" w:space="0" w:color="auto"/>
            <w:right w:val="none" w:sz="0" w:space="0" w:color="auto"/>
          </w:divBdr>
          <w:divsChild>
            <w:div w:id="416635743">
              <w:marLeft w:val="0"/>
              <w:marRight w:val="0"/>
              <w:marTop w:val="0"/>
              <w:marBottom w:val="0"/>
              <w:divBdr>
                <w:top w:val="none" w:sz="0" w:space="0" w:color="auto"/>
                <w:left w:val="none" w:sz="0" w:space="0" w:color="auto"/>
                <w:bottom w:val="none" w:sz="0" w:space="0" w:color="auto"/>
                <w:right w:val="none" w:sz="0" w:space="0" w:color="auto"/>
              </w:divBdr>
              <w:divsChild>
                <w:div w:id="61232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775676">
      <w:bodyDiv w:val="1"/>
      <w:marLeft w:val="0"/>
      <w:marRight w:val="0"/>
      <w:marTop w:val="0"/>
      <w:marBottom w:val="0"/>
      <w:divBdr>
        <w:top w:val="none" w:sz="0" w:space="0" w:color="auto"/>
        <w:left w:val="none" w:sz="0" w:space="0" w:color="auto"/>
        <w:bottom w:val="none" w:sz="0" w:space="0" w:color="auto"/>
        <w:right w:val="none" w:sz="0" w:space="0" w:color="auto"/>
      </w:divBdr>
      <w:divsChild>
        <w:div w:id="1136948864">
          <w:marLeft w:val="0"/>
          <w:marRight w:val="0"/>
          <w:marTop w:val="0"/>
          <w:marBottom w:val="0"/>
          <w:divBdr>
            <w:top w:val="none" w:sz="0" w:space="0" w:color="auto"/>
            <w:left w:val="none" w:sz="0" w:space="0" w:color="auto"/>
            <w:bottom w:val="none" w:sz="0" w:space="0" w:color="auto"/>
            <w:right w:val="none" w:sz="0" w:space="0" w:color="auto"/>
          </w:divBdr>
          <w:divsChild>
            <w:div w:id="2126002001">
              <w:marLeft w:val="0"/>
              <w:marRight w:val="0"/>
              <w:marTop w:val="0"/>
              <w:marBottom w:val="0"/>
              <w:divBdr>
                <w:top w:val="none" w:sz="0" w:space="0" w:color="auto"/>
                <w:left w:val="none" w:sz="0" w:space="0" w:color="auto"/>
                <w:bottom w:val="none" w:sz="0" w:space="0" w:color="auto"/>
                <w:right w:val="none" w:sz="0" w:space="0" w:color="auto"/>
              </w:divBdr>
              <w:divsChild>
                <w:div w:id="1783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534620">
      <w:bodyDiv w:val="1"/>
      <w:marLeft w:val="0"/>
      <w:marRight w:val="0"/>
      <w:marTop w:val="0"/>
      <w:marBottom w:val="0"/>
      <w:divBdr>
        <w:top w:val="none" w:sz="0" w:space="0" w:color="auto"/>
        <w:left w:val="none" w:sz="0" w:space="0" w:color="auto"/>
        <w:bottom w:val="none" w:sz="0" w:space="0" w:color="auto"/>
        <w:right w:val="none" w:sz="0" w:space="0" w:color="auto"/>
      </w:divBdr>
    </w:div>
    <w:div w:id="1102796870">
      <w:bodyDiv w:val="1"/>
      <w:marLeft w:val="0"/>
      <w:marRight w:val="0"/>
      <w:marTop w:val="0"/>
      <w:marBottom w:val="0"/>
      <w:divBdr>
        <w:top w:val="none" w:sz="0" w:space="0" w:color="auto"/>
        <w:left w:val="none" w:sz="0" w:space="0" w:color="auto"/>
        <w:bottom w:val="none" w:sz="0" w:space="0" w:color="auto"/>
        <w:right w:val="none" w:sz="0" w:space="0" w:color="auto"/>
      </w:divBdr>
    </w:div>
    <w:div w:id="1135295915">
      <w:bodyDiv w:val="1"/>
      <w:marLeft w:val="0"/>
      <w:marRight w:val="0"/>
      <w:marTop w:val="0"/>
      <w:marBottom w:val="0"/>
      <w:divBdr>
        <w:top w:val="none" w:sz="0" w:space="0" w:color="auto"/>
        <w:left w:val="none" w:sz="0" w:space="0" w:color="auto"/>
        <w:bottom w:val="none" w:sz="0" w:space="0" w:color="auto"/>
        <w:right w:val="none" w:sz="0" w:space="0" w:color="auto"/>
      </w:divBdr>
    </w:div>
    <w:div w:id="1138499952">
      <w:bodyDiv w:val="1"/>
      <w:marLeft w:val="0"/>
      <w:marRight w:val="0"/>
      <w:marTop w:val="0"/>
      <w:marBottom w:val="0"/>
      <w:divBdr>
        <w:top w:val="none" w:sz="0" w:space="0" w:color="auto"/>
        <w:left w:val="none" w:sz="0" w:space="0" w:color="auto"/>
        <w:bottom w:val="none" w:sz="0" w:space="0" w:color="auto"/>
        <w:right w:val="none" w:sz="0" w:space="0" w:color="auto"/>
      </w:divBdr>
    </w:div>
    <w:div w:id="1172451348">
      <w:bodyDiv w:val="1"/>
      <w:marLeft w:val="0"/>
      <w:marRight w:val="0"/>
      <w:marTop w:val="0"/>
      <w:marBottom w:val="0"/>
      <w:divBdr>
        <w:top w:val="none" w:sz="0" w:space="0" w:color="auto"/>
        <w:left w:val="none" w:sz="0" w:space="0" w:color="auto"/>
        <w:bottom w:val="none" w:sz="0" w:space="0" w:color="auto"/>
        <w:right w:val="none" w:sz="0" w:space="0" w:color="auto"/>
      </w:divBdr>
    </w:div>
    <w:div w:id="1181967390">
      <w:bodyDiv w:val="1"/>
      <w:marLeft w:val="0"/>
      <w:marRight w:val="0"/>
      <w:marTop w:val="0"/>
      <w:marBottom w:val="0"/>
      <w:divBdr>
        <w:top w:val="none" w:sz="0" w:space="0" w:color="auto"/>
        <w:left w:val="none" w:sz="0" w:space="0" w:color="auto"/>
        <w:bottom w:val="none" w:sz="0" w:space="0" w:color="auto"/>
        <w:right w:val="none" w:sz="0" w:space="0" w:color="auto"/>
      </w:divBdr>
    </w:div>
    <w:div w:id="1192458224">
      <w:bodyDiv w:val="1"/>
      <w:marLeft w:val="0"/>
      <w:marRight w:val="0"/>
      <w:marTop w:val="0"/>
      <w:marBottom w:val="0"/>
      <w:divBdr>
        <w:top w:val="none" w:sz="0" w:space="0" w:color="auto"/>
        <w:left w:val="none" w:sz="0" w:space="0" w:color="auto"/>
        <w:bottom w:val="none" w:sz="0" w:space="0" w:color="auto"/>
        <w:right w:val="none" w:sz="0" w:space="0" w:color="auto"/>
      </w:divBdr>
    </w:div>
    <w:div w:id="1206912566">
      <w:bodyDiv w:val="1"/>
      <w:marLeft w:val="0"/>
      <w:marRight w:val="0"/>
      <w:marTop w:val="0"/>
      <w:marBottom w:val="0"/>
      <w:divBdr>
        <w:top w:val="none" w:sz="0" w:space="0" w:color="auto"/>
        <w:left w:val="none" w:sz="0" w:space="0" w:color="auto"/>
        <w:bottom w:val="none" w:sz="0" w:space="0" w:color="auto"/>
        <w:right w:val="none" w:sz="0" w:space="0" w:color="auto"/>
      </w:divBdr>
    </w:div>
    <w:div w:id="1219323794">
      <w:bodyDiv w:val="1"/>
      <w:marLeft w:val="0"/>
      <w:marRight w:val="0"/>
      <w:marTop w:val="0"/>
      <w:marBottom w:val="0"/>
      <w:divBdr>
        <w:top w:val="none" w:sz="0" w:space="0" w:color="auto"/>
        <w:left w:val="none" w:sz="0" w:space="0" w:color="auto"/>
        <w:bottom w:val="none" w:sz="0" w:space="0" w:color="auto"/>
        <w:right w:val="none" w:sz="0" w:space="0" w:color="auto"/>
      </w:divBdr>
      <w:divsChild>
        <w:div w:id="606347595">
          <w:marLeft w:val="0"/>
          <w:marRight w:val="0"/>
          <w:marTop w:val="0"/>
          <w:marBottom w:val="0"/>
          <w:divBdr>
            <w:top w:val="none" w:sz="0" w:space="0" w:color="auto"/>
            <w:left w:val="none" w:sz="0" w:space="0" w:color="auto"/>
            <w:bottom w:val="none" w:sz="0" w:space="0" w:color="auto"/>
            <w:right w:val="none" w:sz="0" w:space="0" w:color="auto"/>
          </w:divBdr>
          <w:divsChild>
            <w:div w:id="123282088">
              <w:marLeft w:val="0"/>
              <w:marRight w:val="0"/>
              <w:marTop w:val="0"/>
              <w:marBottom w:val="0"/>
              <w:divBdr>
                <w:top w:val="none" w:sz="0" w:space="0" w:color="auto"/>
                <w:left w:val="none" w:sz="0" w:space="0" w:color="auto"/>
                <w:bottom w:val="none" w:sz="0" w:space="0" w:color="auto"/>
                <w:right w:val="none" w:sz="0" w:space="0" w:color="auto"/>
              </w:divBdr>
              <w:divsChild>
                <w:div w:id="151776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943910">
      <w:bodyDiv w:val="1"/>
      <w:marLeft w:val="0"/>
      <w:marRight w:val="0"/>
      <w:marTop w:val="0"/>
      <w:marBottom w:val="0"/>
      <w:divBdr>
        <w:top w:val="none" w:sz="0" w:space="0" w:color="auto"/>
        <w:left w:val="none" w:sz="0" w:space="0" w:color="auto"/>
        <w:bottom w:val="none" w:sz="0" w:space="0" w:color="auto"/>
        <w:right w:val="none" w:sz="0" w:space="0" w:color="auto"/>
      </w:divBdr>
      <w:divsChild>
        <w:div w:id="772014155">
          <w:marLeft w:val="0"/>
          <w:marRight w:val="0"/>
          <w:marTop w:val="0"/>
          <w:marBottom w:val="0"/>
          <w:divBdr>
            <w:top w:val="none" w:sz="0" w:space="0" w:color="auto"/>
            <w:left w:val="none" w:sz="0" w:space="0" w:color="auto"/>
            <w:bottom w:val="none" w:sz="0" w:space="0" w:color="auto"/>
            <w:right w:val="none" w:sz="0" w:space="0" w:color="auto"/>
          </w:divBdr>
          <w:divsChild>
            <w:div w:id="1462069320">
              <w:marLeft w:val="0"/>
              <w:marRight w:val="0"/>
              <w:marTop w:val="0"/>
              <w:marBottom w:val="0"/>
              <w:divBdr>
                <w:top w:val="none" w:sz="0" w:space="0" w:color="auto"/>
                <w:left w:val="none" w:sz="0" w:space="0" w:color="auto"/>
                <w:bottom w:val="none" w:sz="0" w:space="0" w:color="auto"/>
                <w:right w:val="none" w:sz="0" w:space="0" w:color="auto"/>
              </w:divBdr>
              <w:divsChild>
                <w:div w:id="182524158">
                  <w:marLeft w:val="0"/>
                  <w:marRight w:val="0"/>
                  <w:marTop w:val="0"/>
                  <w:marBottom w:val="0"/>
                  <w:divBdr>
                    <w:top w:val="none" w:sz="0" w:space="0" w:color="auto"/>
                    <w:left w:val="none" w:sz="0" w:space="0" w:color="auto"/>
                    <w:bottom w:val="none" w:sz="0" w:space="0" w:color="auto"/>
                    <w:right w:val="none" w:sz="0" w:space="0" w:color="auto"/>
                  </w:divBdr>
                  <w:divsChild>
                    <w:div w:id="193396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943216">
      <w:bodyDiv w:val="1"/>
      <w:marLeft w:val="0"/>
      <w:marRight w:val="0"/>
      <w:marTop w:val="0"/>
      <w:marBottom w:val="0"/>
      <w:divBdr>
        <w:top w:val="none" w:sz="0" w:space="0" w:color="auto"/>
        <w:left w:val="none" w:sz="0" w:space="0" w:color="auto"/>
        <w:bottom w:val="none" w:sz="0" w:space="0" w:color="auto"/>
        <w:right w:val="none" w:sz="0" w:space="0" w:color="auto"/>
      </w:divBdr>
      <w:divsChild>
        <w:div w:id="1912035563">
          <w:marLeft w:val="0"/>
          <w:marRight w:val="0"/>
          <w:marTop w:val="0"/>
          <w:marBottom w:val="0"/>
          <w:divBdr>
            <w:top w:val="none" w:sz="0" w:space="0" w:color="auto"/>
            <w:left w:val="none" w:sz="0" w:space="0" w:color="auto"/>
            <w:bottom w:val="none" w:sz="0" w:space="0" w:color="auto"/>
            <w:right w:val="none" w:sz="0" w:space="0" w:color="auto"/>
          </w:divBdr>
          <w:divsChild>
            <w:div w:id="160389923">
              <w:marLeft w:val="0"/>
              <w:marRight w:val="0"/>
              <w:marTop w:val="0"/>
              <w:marBottom w:val="0"/>
              <w:divBdr>
                <w:top w:val="none" w:sz="0" w:space="0" w:color="auto"/>
                <w:left w:val="none" w:sz="0" w:space="0" w:color="auto"/>
                <w:bottom w:val="none" w:sz="0" w:space="0" w:color="auto"/>
                <w:right w:val="none" w:sz="0" w:space="0" w:color="auto"/>
              </w:divBdr>
              <w:divsChild>
                <w:div w:id="11093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60440">
      <w:bodyDiv w:val="1"/>
      <w:marLeft w:val="0"/>
      <w:marRight w:val="0"/>
      <w:marTop w:val="0"/>
      <w:marBottom w:val="0"/>
      <w:divBdr>
        <w:top w:val="none" w:sz="0" w:space="0" w:color="auto"/>
        <w:left w:val="none" w:sz="0" w:space="0" w:color="auto"/>
        <w:bottom w:val="none" w:sz="0" w:space="0" w:color="auto"/>
        <w:right w:val="none" w:sz="0" w:space="0" w:color="auto"/>
      </w:divBdr>
      <w:divsChild>
        <w:div w:id="1346518569">
          <w:marLeft w:val="0"/>
          <w:marRight w:val="0"/>
          <w:marTop w:val="0"/>
          <w:marBottom w:val="0"/>
          <w:divBdr>
            <w:top w:val="none" w:sz="0" w:space="0" w:color="auto"/>
            <w:left w:val="none" w:sz="0" w:space="0" w:color="auto"/>
            <w:bottom w:val="none" w:sz="0" w:space="0" w:color="auto"/>
            <w:right w:val="none" w:sz="0" w:space="0" w:color="auto"/>
          </w:divBdr>
          <w:divsChild>
            <w:div w:id="324742629">
              <w:marLeft w:val="0"/>
              <w:marRight w:val="0"/>
              <w:marTop w:val="0"/>
              <w:marBottom w:val="0"/>
              <w:divBdr>
                <w:top w:val="none" w:sz="0" w:space="0" w:color="auto"/>
                <w:left w:val="none" w:sz="0" w:space="0" w:color="auto"/>
                <w:bottom w:val="none" w:sz="0" w:space="0" w:color="auto"/>
                <w:right w:val="none" w:sz="0" w:space="0" w:color="auto"/>
              </w:divBdr>
              <w:divsChild>
                <w:div w:id="574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639360">
      <w:bodyDiv w:val="1"/>
      <w:marLeft w:val="0"/>
      <w:marRight w:val="0"/>
      <w:marTop w:val="0"/>
      <w:marBottom w:val="0"/>
      <w:divBdr>
        <w:top w:val="none" w:sz="0" w:space="0" w:color="auto"/>
        <w:left w:val="none" w:sz="0" w:space="0" w:color="auto"/>
        <w:bottom w:val="none" w:sz="0" w:space="0" w:color="auto"/>
        <w:right w:val="none" w:sz="0" w:space="0" w:color="auto"/>
      </w:divBdr>
      <w:divsChild>
        <w:div w:id="1113331298">
          <w:marLeft w:val="0"/>
          <w:marRight w:val="0"/>
          <w:marTop w:val="0"/>
          <w:marBottom w:val="0"/>
          <w:divBdr>
            <w:top w:val="none" w:sz="0" w:space="0" w:color="auto"/>
            <w:left w:val="none" w:sz="0" w:space="0" w:color="auto"/>
            <w:bottom w:val="none" w:sz="0" w:space="0" w:color="auto"/>
            <w:right w:val="none" w:sz="0" w:space="0" w:color="auto"/>
          </w:divBdr>
          <w:divsChild>
            <w:div w:id="233324036">
              <w:marLeft w:val="0"/>
              <w:marRight w:val="0"/>
              <w:marTop w:val="0"/>
              <w:marBottom w:val="0"/>
              <w:divBdr>
                <w:top w:val="none" w:sz="0" w:space="0" w:color="auto"/>
                <w:left w:val="none" w:sz="0" w:space="0" w:color="auto"/>
                <w:bottom w:val="none" w:sz="0" w:space="0" w:color="auto"/>
                <w:right w:val="none" w:sz="0" w:space="0" w:color="auto"/>
              </w:divBdr>
              <w:divsChild>
                <w:div w:id="2784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936968">
      <w:bodyDiv w:val="1"/>
      <w:marLeft w:val="0"/>
      <w:marRight w:val="0"/>
      <w:marTop w:val="0"/>
      <w:marBottom w:val="0"/>
      <w:divBdr>
        <w:top w:val="none" w:sz="0" w:space="0" w:color="auto"/>
        <w:left w:val="none" w:sz="0" w:space="0" w:color="auto"/>
        <w:bottom w:val="none" w:sz="0" w:space="0" w:color="auto"/>
        <w:right w:val="none" w:sz="0" w:space="0" w:color="auto"/>
      </w:divBdr>
      <w:divsChild>
        <w:div w:id="1651399288">
          <w:marLeft w:val="0"/>
          <w:marRight w:val="0"/>
          <w:marTop w:val="0"/>
          <w:marBottom w:val="0"/>
          <w:divBdr>
            <w:top w:val="none" w:sz="0" w:space="0" w:color="auto"/>
            <w:left w:val="none" w:sz="0" w:space="0" w:color="auto"/>
            <w:bottom w:val="none" w:sz="0" w:space="0" w:color="auto"/>
            <w:right w:val="none" w:sz="0" w:space="0" w:color="auto"/>
          </w:divBdr>
          <w:divsChild>
            <w:div w:id="1619414518">
              <w:marLeft w:val="0"/>
              <w:marRight w:val="0"/>
              <w:marTop w:val="0"/>
              <w:marBottom w:val="0"/>
              <w:divBdr>
                <w:top w:val="none" w:sz="0" w:space="0" w:color="auto"/>
                <w:left w:val="none" w:sz="0" w:space="0" w:color="auto"/>
                <w:bottom w:val="none" w:sz="0" w:space="0" w:color="auto"/>
                <w:right w:val="none" w:sz="0" w:space="0" w:color="auto"/>
              </w:divBdr>
              <w:divsChild>
                <w:div w:id="1506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27296">
      <w:bodyDiv w:val="1"/>
      <w:marLeft w:val="0"/>
      <w:marRight w:val="0"/>
      <w:marTop w:val="0"/>
      <w:marBottom w:val="0"/>
      <w:divBdr>
        <w:top w:val="none" w:sz="0" w:space="0" w:color="auto"/>
        <w:left w:val="none" w:sz="0" w:space="0" w:color="auto"/>
        <w:bottom w:val="none" w:sz="0" w:space="0" w:color="auto"/>
        <w:right w:val="none" w:sz="0" w:space="0" w:color="auto"/>
      </w:divBdr>
      <w:divsChild>
        <w:div w:id="1445222798">
          <w:marLeft w:val="0"/>
          <w:marRight w:val="0"/>
          <w:marTop w:val="0"/>
          <w:marBottom w:val="0"/>
          <w:divBdr>
            <w:top w:val="none" w:sz="0" w:space="0" w:color="auto"/>
            <w:left w:val="none" w:sz="0" w:space="0" w:color="auto"/>
            <w:bottom w:val="none" w:sz="0" w:space="0" w:color="auto"/>
            <w:right w:val="none" w:sz="0" w:space="0" w:color="auto"/>
          </w:divBdr>
          <w:divsChild>
            <w:div w:id="2005427670">
              <w:marLeft w:val="0"/>
              <w:marRight w:val="0"/>
              <w:marTop w:val="0"/>
              <w:marBottom w:val="0"/>
              <w:divBdr>
                <w:top w:val="none" w:sz="0" w:space="0" w:color="auto"/>
                <w:left w:val="none" w:sz="0" w:space="0" w:color="auto"/>
                <w:bottom w:val="none" w:sz="0" w:space="0" w:color="auto"/>
                <w:right w:val="none" w:sz="0" w:space="0" w:color="auto"/>
              </w:divBdr>
              <w:divsChild>
                <w:div w:id="41655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173032">
      <w:bodyDiv w:val="1"/>
      <w:marLeft w:val="0"/>
      <w:marRight w:val="0"/>
      <w:marTop w:val="0"/>
      <w:marBottom w:val="0"/>
      <w:divBdr>
        <w:top w:val="none" w:sz="0" w:space="0" w:color="auto"/>
        <w:left w:val="none" w:sz="0" w:space="0" w:color="auto"/>
        <w:bottom w:val="none" w:sz="0" w:space="0" w:color="auto"/>
        <w:right w:val="none" w:sz="0" w:space="0" w:color="auto"/>
      </w:divBdr>
    </w:div>
    <w:div w:id="1367490517">
      <w:bodyDiv w:val="1"/>
      <w:marLeft w:val="0"/>
      <w:marRight w:val="0"/>
      <w:marTop w:val="0"/>
      <w:marBottom w:val="0"/>
      <w:divBdr>
        <w:top w:val="none" w:sz="0" w:space="0" w:color="auto"/>
        <w:left w:val="none" w:sz="0" w:space="0" w:color="auto"/>
        <w:bottom w:val="none" w:sz="0" w:space="0" w:color="auto"/>
        <w:right w:val="none" w:sz="0" w:space="0" w:color="auto"/>
      </w:divBdr>
      <w:divsChild>
        <w:div w:id="1676957297">
          <w:marLeft w:val="0"/>
          <w:marRight w:val="0"/>
          <w:marTop w:val="0"/>
          <w:marBottom w:val="0"/>
          <w:divBdr>
            <w:top w:val="none" w:sz="0" w:space="0" w:color="auto"/>
            <w:left w:val="none" w:sz="0" w:space="0" w:color="auto"/>
            <w:bottom w:val="none" w:sz="0" w:space="0" w:color="auto"/>
            <w:right w:val="none" w:sz="0" w:space="0" w:color="auto"/>
          </w:divBdr>
          <w:divsChild>
            <w:div w:id="208155100">
              <w:marLeft w:val="0"/>
              <w:marRight w:val="0"/>
              <w:marTop w:val="0"/>
              <w:marBottom w:val="0"/>
              <w:divBdr>
                <w:top w:val="none" w:sz="0" w:space="0" w:color="auto"/>
                <w:left w:val="none" w:sz="0" w:space="0" w:color="auto"/>
                <w:bottom w:val="none" w:sz="0" w:space="0" w:color="auto"/>
                <w:right w:val="none" w:sz="0" w:space="0" w:color="auto"/>
              </w:divBdr>
              <w:divsChild>
                <w:div w:id="43024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69054">
      <w:bodyDiv w:val="1"/>
      <w:marLeft w:val="0"/>
      <w:marRight w:val="0"/>
      <w:marTop w:val="0"/>
      <w:marBottom w:val="0"/>
      <w:divBdr>
        <w:top w:val="none" w:sz="0" w:space="0" w:color="auto"/>
        <w:left w:val="none" w:sz="0" w:space="0" w:color="auto"/>
        <w:bottom w:val="none" w:sz="0" w:space="0" w:color="auto"/>
        <w:right w:val="none" w:sz="0" w:space="0" w:color="auto"/>
      </w:divBdr>
      <w:divsChild>
        <w:div w:id="468254755">
          <w:marLeft w:val="0"/>
          <w:marRight w:val="0"/>
          <w:marTop w:val="0"/>
          <w:marBottom w:val="0"/>
          <w:divBdr>
            <w:top w:val="none" w:sz="0" w:space="0" w:color="auto"/>
            <w:left w:val="none" w:sz="0" w:space="0" w:color="auto"/>
            <w:bottom w:val="none" w:sz="0" w:space="0" w:color="auto"/>
            <w:right w:val="none" w:sz="0" w:space="0" w:color="auto"/>
          </w:divBdr>
          <w:divsChild>
            <w:div w:id="856313018">
              <w:marLeft w:val="0"/>
              <w:marRight w:val="0"/>
              <w:marTop w:val="0"/>
              <w:marBottom w:val="0"/>
              <w:divBdr>
                <w:top w:val="none" w:sz="0" w:space="0" w:color="auto"/>
                <w:left w:val="none" w:sz="0" w:space="0" w:color="auto"/>
                <w:bottom w:val="none" w:sz="0" w:space="0" w:color="auto"/>
                <w:right w:val="none" w:sz="0" w:space="0" w:color="auto"/>
              </w:divBdr>
              <w:divsChild>
                <w:div w:id="2014214584">
                  <w:marLeft w:val="0"/>
                  <w:marRight w:val="0"/>
                  <w:marTop w:val="0"/>
                  <w:marBottom w:val="0"/>
                  <w:divBdr>
                    <w:top w:val="none" w:sz="0" w:space="0" w:color="auto"/>
                    <w:left w:val="none" w:sz="0" w:space="0" w:color="auto"/>
                    <w:bottom w:val="none" w:sz="0" w:space="0" w:color="auto"/>
                    <w:right w:val="none" w:sz="0" w:space="0" w:color="auto"/>
                  </w:divBdr>
                  <w:divsChild>
                    <w:div w:id="2377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870079">
      <w:bodyDiv w:val="1"/>
      <w:marLeft w:val="0"/>
      <w:marRight w:val="0"/>
      <w:marTop w:val="0"/>
      <w:marBottom w:val="0"/>
      <w:divBdr>
        <w:top w:val="none" w:sz="0" w:space="0" w:color="auto"/>
        <w:left w:val="none" w:sz="0" w:space="0" w:color="auto"/>
        <w:bottom w:val="none" w:sz="0" w:space="0" w:color="auto"/>
        <w:right w:val="none" w:sz="0" w:space="0" w:color="auto"/>
      </w:divBdr>
      <w:divsChild>
        <w:div w:id="1910993860">
          <w:marLeft w:val="0"/>
          <w:marRight w:val="0"/>
          <w:marTop w:val="0"/>
          <w:marBottom w:val="0"/>
          <w:divBdr>
            <w:top w:val="none" w:sz="0" w:space="0" w:color="auto"/>
            <w:left w:val="none" w:sz="0" w:space="0" w:color="auto"/>
            <w:bottom w:val="none" w:sz="0" w:space="0" w:color="auto"/>
            <w:right w:val="none" w:sz="0" w:space="0" w:color="auto"/>
          </w:divBdr>
          <w:divsChild>
            <w:div w:id="2017924527">
              <w:marLeft w:val="0"/>
              <w:marRight w:val="0"/>
              <w:marTop w:val="0"/>
              <w:marBottom w:val="0"/>
              <w:divBdr>
                <w:top w:val="none" w:sz="0" w:space="0" w:color="auto"/>
                <w:left w:val="none" w:sz="0" w:space="0" w:color="auto"/>
                <w:bottom w:val="none" w:sz="0" w:space="0" w:color="auto"/>
                <w:right w:val="none" w:sz="0" w:space="0" w:color="auto"/>
              </w:divBdr>
              <w:divsChild>
                <w:div w:id="8211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28078">
      <w:bodyDiv w:val="1"/>
      <w:marLeft w:val="0"/>
      <w:marRight w:val="0"/>
      <w:marTop w:val="0"/>
      <w:marBottom w:val="0"/>
      <w:divBdr>
        <w:top w:val="none" w:sz="0" w:space="0" w:color="auto"/>
        <w:left w:val="none" w:sz="0" w:space="0" w:color="auto"/>
        <w:bottom w:val="none" w:sz="0" w:space="0" w:color="auto"/>
        <w:right w:val="none" w:sz="0" w:space="0" w:color="auto"/>
      </w:divBdr>
      <w:divsChild>
        <w:div w:id="491141490">
          <w:marLeft w:val="0"/>
          <w:marRight w:val="0"/>
          <w:marTop w:val="0"/>
          <w:marBottom w:val="0"/>
          <w:divBdr>
            <w:top w:val="none" w:sz="0" w:space="0" w:color="auto"/>
            <w:left w:val="none" w:sz="0" w:space="0" w:color="auto"/>
            <w:bottom w:val="none" w:sz="0" w:space="0" w:color="auto"/>
            <w:right w:val="none" w:sz="0" w:space="0" w:color="auto"/>
          </w:divBdr>
          <w:divsChild>
            <w:div w:id="1879704083">
              <w:marLeft w:val="0"/>
              <w:marRight w:val="0"/>
              <w:marTop w:val="0"/>
              <w:marBottom w:val="0"/>
              <w:divBdr>
                <w:top w:val="none" w:sz="0" w:space="0" w:color="auto"/>
                <w:left w:val="none" w:sz="0" w:space="0" w:color="auto"/>
                <w:bottom w:val="none" w:sz="0" w:space="0" w:color="auto"/>
                <w:right w:val="none" w:sz="0" w:space="0" w:color="auto"/>
              </w:divBdr>
              <w:divsChild>
                <w:div w:id="90780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19759">
      <w:bodyDiv w:val="1"/>
      <w:marLeft w:val="0"/>
      <w:marRight w:val="0"/>
      <w:marTop w:val="0"/>
      <w:marBottom w:val="0"/>
      <w:divBdr>
        <w:top w:val="none" w:sz="0" w:space="0" w:color="auto"/>
        <w:left w:val="none" w:sz="0" w:space="0" w:color="auto"/>
        <w:bottom w:val="none" w:sz="0" w:space="0" w:color="auto"/>
        <w:right w:val="none" w:sz="0" w:space="0" w:color="auto"/>
      </w:divBdr>
      <w:divsChild>
        <w:div w:id="743796729">
          <w:marLeft w:val="0"/>
          <w:marRight w:val="0"/>
          <w:marTop w:val="0"/>
          <w:marBottom w:val="0"/>
          <w:divBdr>
            <w:top w:val="none" w:sz="0" w:space="0" w:color="auto"/>
            <w:left w:val="none" w:sz="0" w:space="0" w:color="auto"/>
            <w:bottom w:val="none" w:sz="0" w:space="0" w:color="auto"/>
            <w:right w:val="none" w:sz="0" w:space="0" w:color="auto"/>
          </w:divBdr>
          <w:divsChild>
            <w:div w:id="356735197">
              <w:marLeft w:val="0"/>
              <w:marRight w:val="0"/>
              <w:marTop w:val="0"/>
              <w:marBottom w:val="0"/>
              <w:divBdr>
                <w:top w:val="none" w:sz="0" w:space="0" w:color="auto"/>
                <w:left w:val="none" w:sz="0" w:space="0" w:color="auto"/>
                <w:bottom w:val="none" w:sz="0" w:space="0" w:color="auto"/>
                <w:right w:val="none" w:sz="0" w:space="0" w:color="auto"/>
              </w:divBdr>
              <w:divsChild>
                <w:div w:id="206289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877754">
      <w:bodyDiv w:val="1"/>
      <w:marLeft w:val="0"/>
      <w:marRight w:val="0"/>
      <w:marTop w:val="0"/>
      <w:marBottom w:val="0"/>
      <w:divBdr>
        <w:top w:val="none" w:sz="0" w:space="0" w:color="auto"/>
        <w:left w:val="none" w:sz="0" w:space="0" w:color="auto"/>
        <w:bottom w:val="none" w:sz="0" w:space="0" w:color="auto"/>
        <w:right w:val="none" w:sz="0" w:space="0" w:color="auto"/>
      </w:divBdr>
      <w:divsChild>
        <w:div w:id="45375720">
          <w:marLeft w:val="0"/>
          <w:marRight w:val="0"/>
          <w:marTop w:val="0"/>
          <w:marBottom w:val="0"/>
          <w:divBdr>
            <w:top w:val="none" w:sz="0" w:space="0" w:color="auto"/>
            <w:left w:val="none" w:sz="0" w:space="0" w:color="auto"/>
            <w:bottom w:val="none" w:sz="0" w:space="0" w:color="auto"/>
            <w:right w:val="none" w:sz="0" w:space="0" w:color="auto"/>
          </w:divBdr>
          <w:divsChild>
            <w:div w:id="1436752414">
              <w:marLeft w:val="0"/>
              <w:marRight w:val="0"/>
              <w:marTop w:val="0"/>
              <w:marBottom w:val="0"/>
              <w:divBdr>
                <w:top w:val="none" w:sz="0" w:space="0" w:color="auto"/>
                <w:left w:val="none" w:sz="0" w:space="0" w:color="auto"/>
                <w:bottom w:val="none" w:sz="0" w:space="0" w:color="auto"/>
                <w:right w:val="none" w:sz="0" w:space="0" w:color="auto"/>
              </w:divBdr>
              <w:divsChild>
                <w:div w:id="34205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29341">
      <w:bodyDiv w:val="1"/>
      <w:marLeft w:val="0"/>
      <w:marRight w:val="0"/>
      <w:marTop w:val="0"/>
      <w:marBottom w:val="0"/>
      <w:divBdr>
        <w:top w:val="none" w:sz="0" w:space="0" w:color="auto"/>
        <w:left w:val="none" w:sz="0" w:space="0" w:color="auto"/>
        <w:bottom w:val="none" w:sz="0" w:space="0" w:color="auto"/>
        <w:right w:val="none" w:sz="0" w:space="0" w:color="auto"/>
      </w:divBdr>
    </w:div>
    <w:div w:id="1475372969">
      <w:bodyDiv w:val="1"/>
      <w:marLeft w:val="0"/>
      <w:marRight w:val="0"/>
      <w:marTop w:val="0"/>
      <w:marBottom w:val="0"/>
      <w:divBdr>
        <w:top w:val="none" w:sz="0" w:space="0" w:color="auto"/>
        <w:left w:val="none" w:sz="0" w:space="0" w:color="auto"/>
        <w:bottom w:val="none" w:sz="0" w:space="0" w:color="auto"/>
        <w:right w:val="none" w:sz="0" w:space="0" w:color="auto"/>
      </w:divBdr>
      <w:divsChild>
        <w:div w:id="1654604860">
          <w:marLeft w:val="0"/>
          <w:marRight w:val="0"/>
          <w:marTop w:val="0"/>
          <w:marBottom w:val="0"/>
          <w:divBdr>
            <w:top w:val="none" w:sz="0" w:space="0" w:color="auto"/>
            <w:left w:val="none" w:sz="0" w:space="0" w:color="auto"/>
            <w:bottom w:val="none" w:sz="0" w:space="0" w:color="auto"/>
            <w:right w:val="none" w:sz="0" w:space="0" w:color="auto"/>
          </w:divBdr>
          <w:divsChild>
            <w:div w:id="119082014">
              <w:marLeft w:val="0"/>
              <w:marRight w:val="0"/>
              <w:marTop w:val="0"/>
              <w:marBottom w:val="0"/>
              <w:divBdr>
                <w:top w:val="none" w:sz="0" w:space="0" w:color="auto"/>
                <w:left w:val="none" w:sz="0" w:space="0" w:color="auto"/>
                <w:bottom w:val="none" w:sz="0" w:space="0" w:color="auto"/>
                <w:right w:val="none" w:sz="0" w:space="0" w:color="auto"/>
              </w:divBdr>
              <w:divsChild>
                <w:div w:id="601642567">
                  <w:marLeft w:val="0"/>
                  <w:marRight w:val="0"/>
                  <w:marTop w:val="0"/>
                  <w:marBottom w:val="0"/>
                  <w:divBdr>
                    <w:top w:val="none" w:sz="0" w:space="0" w:color="auto"/>
                    <w:left w:val="none" w:sz="0" w:space="0" w:color="auto"/>
                    <w:bottom w:val="none" w:sz="0" w:space="0" w:color="auto"/>
                    <w:right w:val="none" w:sz="0" w:space="0" w:color="auto"/>
                  </w:divBdr>
                  <w:divsChild>
                    <w:div w:id="176272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47954">
      <w:bodyDiv w:val="1"/>
      <w:marLeft w:val="0"/>
      <w:marRight w:val="0"/>
      <w:marTop w:val="0"/>
      <w:marBottom w:val="0"/>
      <w:divBdr>
        <w:top w:val="none" w:sz="0" w:space="0" w:color="auto"/>
        <w:left w:val="none" w:sz="0" w:space="0" w:color="auto"/>
        <w:bottom w:val="none" w:sz="0" w:space="0" w:color="auto"/>
        <w:right w:val="none" w:sz="0" w:space="0" w:color="auto"/>
      </w:divBdr>
      <w:divsChild>
        <w:div w:id="450712064">
          <w:marLeft w:val="0"/>
          <w:marRight w:val="0"/>
          <w:marTop w:val="0"/>
          <w:marBottom w:val="0"/>
          <w:divBdr>
            <w:top w:val="none" w:sz="0" w:space="0" w:color="auto"/>
            <w:left w:val="none" w:sz="0" w:space="0" w:color="auto"/>
            <w:bottom w:val="none" w:sz="0" w:space="0" w:color="auto"/>
            <w:right w:val="none" w:sz="0" w:space="0" w:color="auto"/>
          </w:divBdr>
          <w:divsChild>
            <w:div w:id="1499076347">
              <w:marLeft w:val="0"/>
              <w:marRight w:val="0"/>
              <w:marTop w:val="0"/>
              <w:marBottom w:val="0"/>
              <w:divBdr>
                <w:top w:val="none" w:sz="0" w:space="0" w:color="auto"/>
                <w:left w:val="none" w:sz="0" w:space="0" w:color="auto"/>
                <w:bottom w:val="none" w:sz="0" w:space="0" w:color="auto"/>
                <w:right w:val="none" w:sz="0" w:space="0" w:color="auto"/>
              </w:divBdr>
              <w:divsChild>
                <w:div w:id="251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7055">
      <w:bodyDiv w:val="1"/>
      <w:marLeft w:val="0"/>
      <w:marRight w:val="0"/>
      <w:marTop w:val="0"/>
      <w:marBottom w:val="0"/>
      <w:divBdr>
        <w:top w:val="none" w:sz="0" w:space="0" w:color="auto"/>
        <w:left w:val="none" w:sz="0" w:space="0" w:color="auto"/>
        <w:bottom w:val="none" w:sz="0" w:space="0" w:color="auto"/>
        <w:right w:val="none" w:sz="0" w:space="0" w:color="auto"/>
      </w:divBdr>
      <w:divsChild>
        <w:div w:id="2049598420">
          <w:marLeft w:val="0"/>
          <w:marRight w:val="0"/>
          <w:marTop w:val="0"/>
          <w:marBottom w:val="0"/>
          <w:divBdr>
            <w:top w:val="none" w:sz="0" w:space="0" w:color="auto"/>
            <w:left w:val="none" w:sz="0" w:space="0" w:color="auto"/>
            <w:bottom w:val="none" w:sz="0" w:space="0" w:color="auto"/>
            <w:right w:val="none" w:sz="0" w:space="0" w:color="auto"/>
          </w:divBdr>
          <w:divsChild>
            <w:div w:id="731931598">
              <w:marLeft w:val="0"/>
              <w:marRight w:val="0"/>
              <w:marTop w:val="0"/>
              <w:marBottom w:val="0"/>
              <w:divBdr>
                <w:top w:val="none" w:sz="0" w:space="0" w:color="auto"/>
                <w:left w:val="none" w:sz="0" w:space="0" w:color="auto"/>
                <w:bottom w:val="none" w:sz="0" w:space="0" w:color="auto"/>
                <w:right w:val="none" w:sz="0" w:space="0" w:color="auto"/>
              </w:divBdr>
              <w:divsChild>
                <w:div w:id="13220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17863">
      <w:bodyDiv w:val="1"/>
      <w:marLeft w:val="0"/>
      <w:marRight w:val="0"/>
      <w:marTop w:val="0"/>
      <w:marBottom w:val="0"/>
      <w:divBdr>
        <w:top w:val="none" w:sz="0" w:space="0" w:color="auto"/>
        <w:left w:val="none" w:sz="0" w:space="0" w:color="auto"/>
        <w:bottom w:val="none" w:sz="0" w:space="0" w:color="auto"/>
        <w:right w:val="none" w:sz="0" w:space="0" w:color="auto"/>
      </w:divBdr>
      <w:divsChild>
        <w:div w:id="2016615208">
          <w:marLeft w:val="0"/>
          <w:marRight w:val="0"/>
          <w:marTop w:val="0"/>
          <w:marBottom w:val="0"/>
          <w:divBdr>
            <w:top w:val="none" w:sz="0" w:space="0" w:color="auto"/>
            <w:left w:val="none" w:sz="0" w:space="0" w:color="auto"/>
            <w:bottom w:val="none" w:sz="0" w:space="0" w:color="auto"/>
            <w:right w:val="none" w:sz="0" w:space="0" w:color="auto"/>
          </w:divBdr>
          <w:divsChild>
            <w:div w:id="1447116397">
              <w:marLeft w:val="0"/>
              <w:marRight w:val="0"/>
              <w:marTop w:val="0"/>
              <w:marBottom w:val="0"/>
              <w:divBdr>
                <w:top w:val="none" w:sz="0" w:space="0" w:color="auto"/>
                <w:left w:val="none" w:sz="0" w:space="0" w:color="auto"/>
                <w:bottom w:val="none" w:sz="0" w:space="0" w:color="auto"/>
                <w:right w:val="none" w:sz="0" w:space="0" w:color="auto"/>
              </w:divBdr>
              <w:divsChild>
                <w:div w:id="147483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6372">
      <w:bodyDiv w:val="1"/>
      <w:marLeft w:val="0"/>
      <w:marRight w:val="0"/>
      <w:marTop w:val="0"/>
      <w:marBottom w:val="0"/>
      <w:divBdr>
        <w:top w:val="none" w:sz="0" w:space="0" w:color="auto"/>
        <w:left w:val="none" w:sz="0" w:space="0" w:color="auto"/>
        <w:bottom w:val="none" w:sz="0" w:space="0" w:color="auto"/>
        <w:right w:val="none" w:sz="0" w:space="0" w:color="auto"/>
      </w:divBdr>
      <w:divsChild>
        <w:div w:id="1029917657">
          <w:marLeft w:val="0"/>
          <w:marRight w:val="0"/>
          <w:marTop w:val="0"/>
          <w:marBottom w:val="0"/>
          <w:divBdr>
            <w:top w:val="none" w:sz="0" w:space="0" w:color="auto"/>
            <w:left w:val="none" w:sz="0" w:space="0" w:color="auto"/>
            <w:bottom w:val="none" w:sz="0" w:space="0" w:color="auto"/>
            <w:right w:val="none" w:sz="0" w:space="0" w:color="auto"/>
          </w:divBdr>
          <w:divsChild>
            <w:div w:id="1266035827">
              <w:marLeft w:val="0"/>
              <w:marRight w:val="0"/>
              <w:marTop w:val="0"/>
              <w:marBottom w:val="0"/>
              <w:divBdr>
                <w:top w:val="none" w:sz="0" w:space="0" w:color="auto"/>
                <w:left w:val="none" w:sz="0" w:space="0" w:color="auto"/>
                <w:bottom w:val="none" w:sz="0" w:space="0" w:color="auto"/>
                <w:right w:val="none" w:sz="0" w:space="0" w:color="auto"/>
              </w:divBdr>
              <w:divsChild>
                <w:div w:id="1738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22930">
      <w:bodyDiv w:val="1"/>
      <w:marLeft w:val="0"/>
      <w:marRight w:val="0"/>
      <w:marTop w:val="0"/>
      <w:marBottom w:val="0"/>
      <w:divBdr>
        <w:top w:val="none" w:sz="0" w:space="0" w:color="auto"/>
        <w:left w:val="none" w:sz="0" w:space="0" w:color="auto"/>
        <w:bottom w:val="none" w:sz="0" w:space="0" w:color="auto"/>
        <w:right w:val="none" w:sz="0" w:space="0" w:color="auto"/>
      </w:divBdr>
    </w:div>
    <w:div w:id="1516307474">
      <w:bodyDiv w:val="1"/>
      <w:marLeft w:val="0"/>
      <w:marRight w:val="0"/>
      <w:marTop w:val="0"/>
      <w:marBottom w:val="0"/>
      <w:divBdr>
        <w:top w:val="none" w:sz="0" w:space="0" w:color="auto"/>
        <w:left w:val="none" w:sz="0" w:space="0" w:color="auto"/>
        <w:bottom w:val="none" w:sz="0" w:space="0" w:color="auto"/>
        <w:right w:val="none" w:sz="0" w:space="0" w:color="auto"/>
      </w:divBdr>
      <w:divsChild>
        <w:div w:id="1184781113">
          <w:marLeft w:val="0"/>
          <w:marRight w:val="0"/>
          <w:marTop w:val="0"/>
          <w:marBottom w:val="0"/>
          <w:divBdr>
            <w:top w:val="none" w:sz="0" w:space="0" w:color="auto"/>
            <w:left w:val="none" w:sz="0" w:space="0" w:color="auto"/>
            <w:bottom w:val="none" w:sz="0" w:space="0" w:color="auto"/>
            <w:right w:val="none" w:sz="0" w:space="0" w:color="auto"/>
          </w:divBdr>
          <w:divsChild>
            <w:div w:id="1798450538">
              <w:marLeft w:val="0"/>
              <w:marRight w:val="0"/>
              <w:marTop w:val="0"/>
              <w:marBottom w:val="0"/>
              <w:divBdr>
                <w:top w:val="none" w:sz="0" w:space="0" w:color="auto"/>
                <w:left w:val="none" w:sz="0" w:space="0" w:color="auto"/>
                <w:bottom w:val="none" w:sz="0" w:space="0" w:color="auto"/>
                <w:right w:val="none" w:sz="0" w:space="0" w:color="auto"/>
              </w:divBdr>
              <w:divsChild>
                <w:div w:id="66324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30176">
      <w:bodyDiv w:val="1"/>
      <w:marLeft w:val="0"/>
      <w:marRight w:val="0"/>
      <w:marTop w:val="0"/>
      <w:marBottom w:val="0"/>
      <w:divBdr>
        <w:top w:val="none" w:sz="0" w:space="0" w:color="auto"/>
        <w:left w:val="none" w:sz="0" w:space="0" w:color="auto"/>
        <w:bottom w:val="none" w:sz="0" w:space="0" w:color="auto"/>
        <w:right w:val="none" w:sz="0" w:space="0" w:color="auto"/>
      </w:divBdr>
      <w:divsChild>
        <w:div w:id="750586306">
          <w:marLeft w:val="0"/>
          <w:marRight w:val="0"/>
          <w:marTop w:val="0"/>
          <w:marBottom w:val="0"/>
          <w:divBdr>
            <w:top w:val="none" w:sz="0" w:space="0" w:color="auto"/>
            <w:left w:val="none" w:sz="0" w:space="0" w:color="auto"/>
            <w:bottom w:val="none" w:sz="0" w:space="0" w:color="auto"/>
            <w:right w:val="none" w:sz="0" w:space="0" w:color="auto"/>
          </w:divBdr>
          <w:divsChild>
            <w:div w:id="1142699013">
              <w:marLeft w:val="0"/>
              <w:marRight w:val="0"/>
              <w:marTop w:val="0"/>
              <w:marBottom w:val="0"/>
              <w:divBdr>
                <w:top w:val="none" w:sz="0" w:space="0" w:color="auto"/>
                <w:left w:val="none" w:sz="0" w:space="0" w:color="auto"/>
                <w:bottom w:val="none" w:sz="0" w:space="0" w:color="auto"/>
                <w:right w:val="none" w:sz="0" w:space="0" w:color="auto"/>
              </w:divBdr>
              <w:divsChild>
                <w:div w:id="56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02813">
      <w:bodyDiv w:val="1"/>
      <w:marLeft w:val="0"/>
      <w:marRight w:val="0"/>
      <w:marTop w:val="0"/>
      <w:marBottom w:val="0"/>
      <w:divBdr>
        <w:top w:val="none" w:sz="0" w:space="0" w:color="auto"/>
        <w:left w:val="none" w:sz="0" w:space="0" w:color="auto"/>
        <w:bottom w:val="none" w:sz="0" w:space="0" w:color="auto"/>
        <w:right w:val="none" w:sz="0" w:space="0" w:color="auto"/>
      </w:divBdr>
      <w:divsChild>
        <w:div w:id="1270502871">
          <w:marLeft w:val="0"/>
          <w:marRight w:val="0"/>
          <w:marTop w:val="0"/>
          <w:marBottom w:val="200"/>
          <w:divBdr>
            <w:top w:val="none" w:sz="0" w:space="0" w:color="auto"/>
            <w:left w:val="none" w:sz="0" w:space="0" w:color="auto"/>
            <w:bottom w:val="none" w:sz="0" w:space="0" w:color="auto"/>
            <w:right w:val="none" w:sz="0" w:space="0" w:color="auto"/>
          </w:divBdr>
        </w:div>
        <w:div w:id="766971413">
          <w:marLeft w:val="0"/>
          <w:marRight w:val="0"/>
          <w:marTop w:val="0"/>
          <w:marBottom w:val="200"/>
          <w:divBdr>
            <w:top w:val="none" w:sz="0" w:space="0" w:color="auto"/>
            <w:left w:val="none" w:sz="0" w:space="0" w:color="auto"/>
            <w:bottom w:val="none" w:sz="0" w:space="0" w:color="auto"/>
            <w:right w:val="none" w:sz="0" w:space="0" w:color="auto"/>
          </w:divBdr>
        </w:div>
        <w:div w:id="1280333208">
          <w:marLeft w:val="0"/>
          <w:marRight w:val="0"/>
          <w:marTop w:val="0"/>
          <w:marBottom w:val="200"/>
          <w:divBdr>
            <w:top w:val="none" w:sz="0" w:space="0" w:color="auto"/>
            <w:left w:val="none" w:sz="0" w:space="0" w:color="auto"/>
            <w:bottom w:val="none" w:sz="0" w:space="0" w:color="auto"/>
            <w:right w:val="none" w:sz="0" w:space="0" w:color="auto"/>
          </w:divBdr>
        </w:div>
      </w:divsChild>
    </w:div>
    <w:div w:id="1548109196">
      <w:bodyDiv w:val="1"/>
      <w:marLeft w:val="0"/>
      <w:marRight w:val="0"/>
      <w:marTop w:val="0"/>
      <w:marBottom w:val="0"/>
      <w:divBdr>
        <w:top w:val="none" w:sz="0" w:space="0" w:color="auto"/>
        <w:left w:val="none" w:sz="0" w:space="0" w:color="auto"/>
        <w:bottom w:val="none" w:sz="0" w:space="0" w:color="auto"/>
        <w:right w:val="none" w:sz="0" w:space="0" w:color="auto"/>
      </w:divBdr>
      <w:divsChild>
        <w:div w:id="364410801">
          <w:marLeft w:val="0"/>
          <w:marRight w:val="0"/>
          <w:marTop w:val="0"/>
          <w:marBottom w:val="0"/>
          <w:divBdr>
            <w:top w:val="none" w:sz="0" w:space="0" w:color="auto"/>
            <w:left w:val="none" w:sz="0" w:space="0" w:color="auto"/>
            <w:bottom w:val="none" w:sz="0" w:space="0" w:color="auto"/>
            <w:right w:val="none" w:sz="0" w:space="0" w:color="auto"/>
          </w:divBdr>
          <w:divsChild>
            <w:div w:id="1004550035">
              <w:marLeft w:val="0"/>
              <w:marRight w:val="0"/>
              <w:marTop w:val="0"/>
              <w:marBottom w:val="0"/>
              <w:divBdr>
                <w:top w:val="none" w:sz="0" w:space="0" w:color="auto"/>
                <w:left w:val="none" w:sz="0" w:space="0" w:color="auto"/>
                <w:bottom w:val="none" w:sz="0" w:space="0" w:color="auto"/>
                <w:right w:val="none" w:sz="0" w:space="0" w:color="auto"/>
              </w:divBdr>
              <w:divsChild>
                <w:div w:id="19206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66846">
      <w:bodyDiv w:val="1"/>
      <w:marLeft w:val="0"/>
      <w:marRight w:val="0"/>
      <w:marTop w:val="0"/>
      <w:marBottom w:val="0"/>
      <w:divBdr>
        <w:top w:val="none" w:sz="0" w:space="0" w:color="auto"/>
        <w:left w:val="none" w:sz="0" w:space="0" w:color="auto"/>
        <w:bottom w:val="none" w:sz="0" w:space="0" w:color="auto"/>
        <w:right w:val="none" w:sz="0" w:space="0" w:color="auto"/>
      </w:divBdr>
      <w:divsChild>
        <w:div w:id="163858099">
          <w:marLeft w:val="0"/>
          <w:marRight w:val="0"/>
          <w:marTop w:val="0"/>
          <w:marBottom w:val="0"/>
          <w:divBdr>
            <w:top w:val="none" w:sz="0" w:space="0" w:color="auto"/>
            <w:left w:val="none" w:sz="0" w:space="0" w:color="auto"/>
            <w:bottom w:val="none" w:sz="0" w:space="0" w:color="auto"/>
            <w:right w:val="none" w:sz="0" w:space="0" w:color="auto"/>
          </w:divBdr>
          <w:divsChild>
            <w:div w:id="1510754132">
              <w:marLeft w:val="0"/>
              <w:marRight w:val="0"/>
              <w:marTop w:val="0"/>
              <w:marBottom w:val="0"/>
              <w:divBdr>
                <w:top w:val="none" w:sz="0" w:space="0" w:color="auto"/>
                <w:left w:val="none" w:sz="0" w:space="0" w:color="auto"/>
                <w:bottom w:val="none" w:sz="0" w:space="0" w:color="auto"/>
                <w:right w:val="none" w:sz="0" w:space="0" w:color="auto"/>
              </w:divBdr>
              <w:divsChild>
                <w:div w:id="1953395299">
                  <w:marLeft w:val="0"/>
                  <w:marRight w:val="0"/>
                  <w:marTop w:val="0"/>
                  <w:marBottom w:val="0"/>
                  <w:divBdr>
                    <w:top w:val="none" w:sz="0" w:space="0" w:color="auto"/>
                    <w:left w:val="none" w:sz="0" w:space="0" w:color="auto"/>
                    <w:bottom w:val="none" w:sz="0" w:space="0" w:color="auto"/>
                    <w:right w:val="none" w:sz="0" w:space="0" w:color="auto"/>
                  </w:divBdr>
                  <w:divsChild>
                    <w:div w:id="91655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1863">
      <w:bodyDiv w:val="1"/>
      <w:marLeft w:val="0"/>
      <w:marRight w:val="0"/>
      <w:marTop w:val="0"/>
      <w:marBottom w:val="0"/>
      <w:divBdr>
        <w:top w:val="none" w:sz="0" w:space="0" w:color="auto"/>
        <w:left w:val="none" w:sz="0" w:space="0" w:color="auto"/>
        <w:bottom w:val="none" w:sz="0" w:space="0" w:color="auto"/>
        <w:right w:val="none" w:sz="0" w:space="0" w:color="auto"/>
      </w:divBdr>
      <w:divsChild>
        <w:div w:id="1238327715">
          <w:marLeft w:val="0"/>
          <w:marRight w:val="0"/>
          <w:marTop w:val="0"/>
          <w:marBottom w:val="0"/>
          <w:divBdr>
            <w:top w:val="none" w:sz="0" w:space="0" w:color="auto"/>
            <w:left w:val="none" w:sz="0" w:space="0" w:color="auto"/>
            <w:bottom w:val="none" w:sz="0" w:space="0" w:color="auto"/>
            <w:right w:val="none" w:sz="0" w:space="0" w:color="auto"/>
          </w:divBdr>
          <w:divsChild>
            <w:div w:id="1216042102">
              <w:marLeft w:val="0"/>
              <w:marRight w:val="0"/>
              <w:marTop w:val="0"/>
              <w:marBottom w:val="0"/>
              <w:divBdr>
                <w:top w:val="none" w:sz="0" w:space="0" w:color="auto"/>
                <w:left w:val="none" w:sz="0" w:space="0" w:color="auto"/>
                <w:bottom w:val="none" w:sz="0" w:space="0" w:color="auto"/>
                <w:right w:val="none" w:sz="0" w:space="0" w:color="auto"/>
              </w:divBdr>
              <w:divsChild>
                <w:div w:id="3109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79764">
      <w:bodyDiv w:val="1"/>
      <w:marLeft w:val="0"/>
      <w:marRight w:val="0"/>
      <w:marTop w:val="0"/>
      <w:marBottom w:val="0"/>
      <w:divBdr>
        <w:top w:val="none" w:sz="0" w:space="0" w:color="auto"/>
        <w:left w:val="none" w:sz="0" w:space="0" w:color="auto"/>
        <w:bottom w:val="none" w:sz="0" w:space="0" w:color="auto"/>
        <w:right w:val="none" w:sz="0" w:space="0" w:color="auto"/>
      </w:divBdr>
      <w:divsChild>
        <w:div w:id="1602299716">
          <w:marLeft w:val="0"/>
          <w:marRight w:val="0"/>
          <w:marTop w:val="0"/>
          <w:marBottom w:val="0"/>
          <w:divBdr>
            <w:top w:val="none" w:sz="0" w:space="0" w:color="auto"/>
            <w:left w:val="none" w:sz="0" w:space="0" w:color="auto"/>
            <w:bottom w:val="none" w:sz="0" w:space="0" w:color="auto"/>
            <w:right w:val="none" w:sz="0" w:space="0" w:color="auto"/>
          </w:divBdr>
          <w:divsChild>
            <w:div w:id="855311079">
              <w:marLeft w:val="0"/>
              <w:marRight w:val="0"/>
              <w:marTop w:val="0"/>
              <w:marBottom w:val="0"/>
              <w:divBdr>
                <w:top w:val="none" w:sz="0" w:space="0" w:color="auto"/>
                <w:left w:val="none" w:sz="0" w:space="0" w:color="auto"/>
                <w:bottom w:val="none" w:sz="0" w:space="0" w:color="auto"/>
                <w:right w:val="none" w:sz="0" w:space="0" w:color="auto"/>
              </w:divBdr>
              <w:divsChild>
                <w:div w:id="19069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563535">
      <w:bodyDiv w:val="1"/>
      <w:marLeft w:val="0"/>
      <w:marRight w:val="0"/>
      <w:marTop w:val="0"/>
      <w:marBottom w:val="0"/>
      <w:divBdr>
        <w:top w:val="none" w:sz="0" w:space="0" w:color="auto"/>
        <w:left w:val="none" w:sz="0" w:space="0" w:color="auto"/>
        <w:bottom w:val="none" w:sz="0" w:space="0" w:color="auto"/>
        <w:right w:val="none" w:sz="0" w:space="0" w:color="auto"/>
      </w:divBdr>
    </w:div>
    <w:div w:id="1641809861">
      <w:bodyDiv w:val="1"/>
      <w:marLeft w:val="0"/>
      <w:marRight w:val="0"/>
      <w:marTop w:val="0"/>
      <w:marBottom w:val="0"/>
      <w:divBdr>
        <w:top w:val="none" w:sz="0" w:space="0" w:color="auto"/>
        <w:left w:val="none" w:sz="0" w:space="0" w:color="auto"/>
        <w:bottom w:val="none" w:sz="0" w:space="0" w:color="auto"/>
        <w:right w:val="none" w:sz="0" w:space="0" w:color="auto"/>
      </w:divBdr>
      <w:divsChild>
        <w:div w:id="421418349">
          <w:marLeft w:val="0"/>
          <w:marRight w:val="0"/>
          <w:marTop w:val="0"/>
          <w:marBottom w:val="0"/>
          <w:divBdr>
            <w:top w:val="none" w:sz="0" w:space="0" w:color="auto"/>
            <w:left w:val="none" w:sz="0" w:space="0" w:color="auto"/>
            <w:bottom w:val="none" w:sz="0" w:space="0" w:color="auto"/>
            <w:right w:val="none" w:sz="0" w:space="0" w:color="auto"/>
          </w:divBdr>
          <w:divsChild>
            <w:div w:id="1208953352">
              <w:marLeft w:val="0"/>
              <w:marRight w:val="0"/>
              <w:marTop w:val="0"/>
              <w:marBottom w:val="0"/>
              <w:divBdr>
                <w:top w:val="none" w:sz="0" w:space="0" w:color="auto"/>
                <w:left w:val="none" w:sz="0" w:space="0" w:color="auto"/>
                <w:bottom w:val="none" w:sz="0" w:space="0" w:color="auto"/>
                <w:right w:val="none" w:sz="0" w:space="0" w:color="auto"/>
              </w:divBdr>
              <w:divsChild>
                <w:div w:id="127594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78116">
      <w:bodyDiv w:val="1"/>
      <w:marLeft w:val="0"/>
      <w:marRight w:val="0"/>
      <w:marTop w:val="0"/>
      <w:marBottom w:val="0"/>
      <w:divBdr>
        <w:top w:val="none" w:sz="0" w:space="0" w:color="auto"/>
        <w:left w:val="none" w:sz="0" w:space="0" w:color="auto"/>
        <w:bottom w:val="none" w:sz="0" w:space="0" w:color="auto"/>
        <w:right w:val="none" w:sz="0" w:space="0" w:color="auto"/>
      </w:divBdr>
      <w:divsChild>
        <w:div w:id="1759208524">
          <w:marLeft w:val="0"/>
          <w:marRight w:val="0"/>
          <w:marTop w:val="0"/>
          <w:marBottom w:val="0"/>
          <w:divBdr>
            <w:top w:val="none" w:sz="0" w:space="0" w:color="auto"/>
            <w:left w:val="none" w:sz="0" w:space="0" w:color="auto"/>
            <w:bottom w:val="none" w:sz="0" w:space="0" w:color="auto"/>
            <w:right w:val="none" w:sz="0" w:space="0" w:color="auto"/>
          </w:divBdr>
          <w:divsChild>
            <w:div w:id="940068422">
              <w:marLeft w:val="0"/>
              <w:marRight w:val="0"/>
              <w:marTop w:val="0"/>
              <w:marBottom w:val="0"/>
              <w:divBdr>
                <w:top w:val="none" w:sz="0" w:space="0" w:color="auto"/>
                <w:left w:val="none" w:sz="0" w:space="0" w:color="auto"/>
                <w:bottom w:val="none" w:sz="0" w:space="0" w:color="auto"/>
                <w:right w:val="none" w:sz="0" w:space="0" w:color="auto"/>
              </w:divBdr>
              <w:divsChild>
                <w:div w:id="254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741469">
      <w:bodyDiv w:val="1"/>
      <w:marLeft w:val="0"/>
      <w:marRight w:val="0"/>
      <w:marTop w:val="0"/>
      <w:marBottom w:val="0"/>
      <w:divBdr>
        <w:top w:val="none" w:sz="0" w:space="0" w:color="auto"/>
        <w:left w:val="none" w:sz="0" w:space="0" w:color="auto"/>
        <w:bottom w:val="none" w:sz="0" w:space="0" w:color="auto"/>
        <w:right w:val="none" w:sz="0" w:space="0" w:color="auto"/>
      </w:divBdr>
    </w:div>
    <w:div w:id="1656104598">
      <w:bodyDiv w:val="1"/>
      <w:marLeft w:val="0"/>
      <w:marRight w:val="0"/>
      <w:marTop w:val="0"/>
      <w:marBottom w:val="0"/>
      <w:divBdr>
        <w:top w:val="none" w:sz="0" w:space="0" w:color="auto"/>
        <w:left w:val="none" w:sz="0" w:space="0" w:color="auto"/>
        <w:bottom w:val="none" w:sz="0" w:space="0" w:color="auto"/>
        <w:right w:val="none" w:sz="0" w:space="0" w:color="auto"/>
      </w:divBdr>
      <w:divsChild>
        <w:div w:id="616449291">
          <w:marLeft w:val="0"/>
          <w:marRight w:val="0"/>
          <w:marTop w:val="0"/>
          <w:marBottom w:val="0"/>
          <w:divBdr>
            <w:top w:val="none" w:sz="0" w:space="0" w:color="auto"/>
            <w:left w:val="none" w:sz="0" w:space="0" w:color="auto"/>
            <w:bottom w:val="none" w:sz="0" w:space="0" w:color="auto"/>
            <w:right w:val="none" w:sz="0" w:space="0" w:color="auto"/>
          </w:divBdr>
          <w:divsChild>
            <w:div w:id="342128075">
              <w:marLeft w:val="0"/>
              <w:marRight w:val="0"/>
              <w:marTop w:val="0"/>
              <w:marBottom w:val="0"/>
              <w:divBdr>
                <w:top w:val="none" w:sz="0" w:space="0" w:color="auto"/>
                <w:left w:val="none" w:sz="0" w:space="0" w:color="auto"/>
                <w:bottom w:val="none" w:sz="0" w:space="0" w:color="auto"/>
                <w:right w:val="none" w:sz="0" w:space="0" w:color="auto"/>
              </w:divBdr>
              <w:divsChild>
                <w:div w:id="43787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28084">
      <w:bodyDiv w:val="1"/>
      <w:marLeft w:val="0"/>
      <w:marRight w:val="0"/>
      <w:marTop w:val="0"/>
      <w:marBottom w:val="0"/>
      <w:divBdr>
        <w:top w:val="none" w:sz="0" w:space="0" w:color="auto"/>
        <w:left w:val="none" w:sz="0" w:space="0" w:color="auto"/>
        <w:bottom w:val="none" w:sz="0" w:space="0" w:color="auto"/>
        <w:right w:val="none" w:sz="0" w:space="0" w:color="auto"/>
      </w:divBdr>
      <w:divsChild>
        <w:div w:id="1267732258">
          <w:marLeft w:val="0"/>
          <w:marRight w:val="0"/>
          <w:marTop w:val="0"/>
          <w:marBottom w:val="0"/>
          <w:divBdr>
            <w:top w:val="none" w:sz="0" w:space="0" w:color="auto"/>
            <w:left w:val="none" w:sz="0" w:space="0" w:color="auto"/>
            <w:bottom w:val="none" w:sz="0" w:space="0" w:color="auto"/>
            <w:right w:val="none" w:sz="0" w:space="0" w:color="auto"/>
          </w:divBdr>
        </w:div>
        <w:div w:id="143207099">
          <w:marLeft w:val="0"/>
          <w:marRight w:val="0"/>
          <w:marTop w:val="0"/>
          <w:marBottom w:val="0"/>
          <w:divBdr>
            <w:top w:val="none" w:sz="0" w:space="0" w:color="auto"/>
            <w:left w:val="none" w:sz="0" w:space="0" w:color="auto"/>
            <w:bottom w:val="none" w:sz="0" w:space="0" w:color="auto"/>
            <w:right w:val="none" w:sz="0" w:space="0" w:color="auto"/>
          </w:divBdr>
        </w:div>
      </w:divsChild>
    </w:div>
    <w:div w:id="1680309042">
      <w:bodyDiv w:val="1"/>
      <w:marLeft w:val="0"/>
      <w:marRight w:val="0"/>
      <w:marTop w:val="0"/>
      <w:marBottom w:val="0"/>
      <w:divBdr>
        <w:top w:val="none" w:sz="0" w:space="0" w:color="auto"/>
        <w:left w:val="none" w:sz="0" w:space="0" w:color="auto"/>
        <w:bottom w:val="none" w:sz="0" w:space="0" w:color="auto"/>
        <w:right w:val="none" w:sz="0" w:space="0" w:color="auto"/>
      </w:divBdr>
      <w:divsChild>
        <w:div w:id="1473407653">
          <w:marLeft w:val="0"/>
          <w:marRight w:val="0"/>
          <w:marTop w:val="0"/>
          <w:marBottom w:val="0"/>
          <w:divBdr>
            <w:top w:val="none" w:sz="0" w:space="0" w:color="auto"/>
            <w:left w:val="none" w:sz="0" w:space="0" w:color="auto"/>
            <w:bottom w:val="none" w:sz="0" w:space="0" w:color="auto"/>
            <w:right w:val="none" w:sz="0" w:space="0" w:color="auto"/>
          </w:divBdr>
          <w:divsChild>
            <w:div w:id="673338046">
              <w:marLeft w:val="0"/>
              <w:marRight w:val="0"/>
              <w:marTop w:val="0"/>
              <w:marBottom w:val="0"/>
              <w:divBdr>
                <w:top w:val="none" w:sz="0" w:space="0" w:color="auto"/>
                <w:left w:val="none" w:sz="0" w:space="0" w:color="auto"/>
                <w:bottom w:val="none" w:sz="0" w:space="0" w:color="auto"/>
                <w:right w:val="none" w:sz="0" w:space="0" w:color="auto"/>
              </w:divBdr>
              <w:divsChild>
                <w:div w:id="170513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566920">
      <w:bodyDiv w:val="1"/>
      <w:marLeft w:val="0"/>
      <w:marRight w:val="0"/>
      <w:marTop w:val="0"/>
      <w:marBottom w:val="0"/>
      <w:divBdr>
        <w:top w:val="none" w:sz="0" w:space="0" w:color="auto"/>
        <w:left w:val="none" w:sz="0" w:space="0" w:color="auto"/>
        <w:bottom w:val="none" w:sz="0" w:space="0" w:color="auto"/>
        <w:right w:val="none" w:sz="0" w:space="0" w:color="auto"/>
      </w:divBdr>
    </w:div>
    <w:div w:id="1724988012">
      <w:bodyDiv w:val="1"/>
      <w:marLeft w:val="0"/>
      <w:marRight w:val="0"/>
      <w:marTop w:val="0"/>
      <w:marBottom w:val="0"/>
      <w:divBdr>
        <w:top w:val="none" w:sz="0" w:space="0" w:color="auto"/>
        <w:left w:val="none" w:sz="0" w:space="0" w:color="auto"/>
        <w:bottom w:val="none" w:sz="0" w:space="0" w:color="auto"/>
        <w:right w:val="none" w:sz="0" w:space="0" w:color="auto"/>
      </w:divBdr>
      <w:divsChild>
        <w:div w:id="202912604">
          <w:marLeft w:val="0"/>
          <w:marRight w:val="0"/>
          <w:marTop w:val="0"/>
          <w:marBottom w:val="0"/>
          <w:divBdr>
            <w:top w:val="none" w:sz="0" w:space="0" w:color="auto"/>
            <w:left w:val="none" w:sz="0" w:space="0" w:color="auto"/>
            <w:bottom w:val="none" w:sz="0" w:space="0" w:color="auto"/>
            <w:right w:val="none" w:sz="0" w:space="0" w:color="auto"/>
          </w:divBdr>
          <w:divsChild>
            <w:div w:id="1306471217">
              <w:marLeft w:val="0"/>
              <w:marRight w:val="0"/>
              <w:marTop w:val="0"/>
              <w:marBottom w:val="0"/>
              <w:divBdr>
                <w:top w:val="none" w:sz="0" w:space="0" w:color="auto"/>
                <w:left w:val="none" w:sz="0" w:space="0" w:color="auto"/>
                <w:bottom w:val="none" w:sz="0" w:space="0" w:color="auto"/>
                <w:right w:val="none" w:sz="0" w:space="0" w:color="auto"/>
              </w:divBdr>
              <w:divsChild>
                <w:div w:id="14419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876540">
      <w:bodyDiv w:val="1"/>
      <w:marLeft w:val="0"/>
      <w:marRight w:val="0"/>
      <w:marTop w:val="0"/>
      <w:marBottom w:val="0"/>
      <w:divBdr>
        <w:top w:val="none" w:sz="0" w:space="0" w:color="auto"/>
        <w:left w:val="none" w:sz="0" w:space="0" w:color="auto"/>
        <w:bottom w:val="none" w:sz="0" w:space="0" w:color="auto"/>
        <w:right w:val="none" w:sz="0" w:space="0" w:color="auto"/>
      </w:divBdr>
      <w:divsChild>
        <w:div w:id="1339116652">
          <w:marLeft w:val="0"/>
          <w:marRight w:val="0"/>
          <w:marTop w:val="0"/>
          <w:marBottom w:val="0"/>
          <w:divBdr>
            <w:top w:val="none" w:sz="0" w:space="0" w:color="auto"/>
            <w:left w:val="none" w:sz="0" w:space="0" w:color="auto"/>
            <w:bottom w:val="none" w:sz="0" w:space="0" w:color="auto"/>
            <w:right w:val="none" w:sz="0" w:space="0" w:color="auto"/>
          </w:divBdr>
          <w:divsChild>
            <w:div w:id="1658145542">
              <w:marLeft w:val="0"/>
              <w:marRight w:val="0"/>
              <w:marTop w:val="0"/>
              <w:marBottom w:val="0"/>
              <w:divBdr>
                <w:top w:val="none" w:sz="0" w:space="0" w:color="auto"/>
                <w:left w:val="none" w:sz="0" w:space="0" w:color="auto"/>
                <w:bottom w:val="none" w:sz="0" w:space="0" w:color="auto"/>
                <w:right w:val="none" w:sz="0" w:space="0" w:color="auto"/>
              </w:divBdr>
              <w:divsChild>
                <w:div w:id="21176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60292">
      <w:bodyDiv w:val="1"/>
      <w:marLeft w:val="0"/>
      <w:marRight w:val="0"/>
      <w:marTop w:val="0"/>
      <w:marBottom w:val="0"/>
      <w:divBdr>
        <w:top w:val="none" w:sz="0" w:space="0" w:color="auto"/>
        <w:left w:val="none" w:sz="0" w:space="0" w:color="auto"/>
        <w:bottom w:val="none" w:sz="0" w:space="0" w:color="auto"/>
        <w:right w:val="none" w:sz="0" w:space="0" w:color="auto"/>
      </w:divBdr>
      <w:divsChild>
        <w:div w:id="1191266075">
          <w:marLeft w:val="0"/>
          <w:marRight w:val="0"/>
          <w:marTop w:val="0"/>
          <w:marBottom w:val="0"/>
          <w:divBdr>
            <w:top w:val="none" w:sz="0" w:space="0" w:color="auto"/>
            <w:left w:val="none" w:sz="0" w:space="0" w:color="auto"/>
            <w:bottom w:val="none" w:sz="0" w:space="0" w:color="auto"/>
            <w:right w:val="none" w:sz="0" w:space="0" w:color="auto"/>
          </w:divBdr>
          <w:divsChild>
            <w:div w:id="1341617532">
              <w:marLeft w:val="0"/>
              <w:marRight w:val="0"/>
              <w:marTop w:val="0"/>
              <w:marBottom w:val="0"/>
              <w:divBdr>
                <w:top w:val="none" w:sz="0" w:space="0" w:color="auto"/>
                <w:left w:val="none" w:sz="0" w:space="0" w:color="auto"/>
                <w:bottom w:val="none" w:sz="0" w:space="0" w:color="auto"/>
                <w:right w:val="none" w:sz="0" w:space="0" w:color="auto"/>
              </w:divBdr>
              <w:divsChild>
                <w:div w:id="95140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44201">
      <w:bodyDiv w:val="1"/>
      <w:marLeft w:val="0"/>
      <w:marRight w:val="0"/>
      <w:marTop w:val="0"/>
      <w:marBottom w:val="0"/>
      <w:divBdr>
        <w:top w:val="none" w:sz="0" w:space="0" w:color="auto"/>
        <w:left w:val="none" w:sz="0" w:space="0" w:color="auto"/>
        <w:bottom w:val="none" w:sz="0" w:space="0" w:color="auto"/>
        <w:right w:val="none" w:sz="0" w:space="0" w:color="auto"/>
      </w:divBdr>
    </w:div>
    <w:div w:id="1767463224">
      <w:bodyDiv w:val="1"/>
      <w:marLeft w:val="0"/>
      <w:marRight w:val="0"/>
      <w:marTop w:val="0"/>
      <w:marBottom w:val="0"/>
      <w:divBdr>
        <w:top w:val="none" w:sz="0" w:space="0" w:color="auto"/>
        <w:left w:val="none" w:sz="0" w:space="0" w:color="auto"/>
        <w:bottom w:val="none" w:sz="0" w:space="0" w:color="auto"/>
        <w:right w:val="none" w:sz="0" w:space="0" w:color="auto"/>
      </w:divBdr>
    </w:div>
    <w:div w:id="1773741392">
      <w:bodyDiv w:val="1"/>
      <w:marLeft w:val="0"/>
      <w:marRight w:val="0"/>
      <w:marTop w:val="0"/>
      <w:marBottom w:val="0"/>
      <w:divBdr>
        <w:top w:val="none" w:sz="0" w:space="0" w:color="auto"/>
        <w:left w:val="none" w:sz="0" w:space="0" w:color="auto"/>
        <w:bottom w:val="none" w:sz="0" w:space="0" w:color="auto"/>
        <w:right w:val="none" w:sz="0" w:space="0" w:color="auto"/>
      </w:divBdr>
      <w:divsChild>
        <w:div w:id="295457517">
          <w:marLeft w:val="0"/>
          <w:marRight w:val="0"/>
          <w:marTop w:val="0"/>
          <w:marBottom w:val="0"/>
          <w:divBdr>
            <w:top w:val="none" w:sz="0" w:space="0" w:color="auto"/>
            <w:left w:val="none" w:sz="0" w:space="0" w:color="auto"/>
            <w:bottom w:val="none" w:sz="0" w:space="0" w:color="auto"/>
            <w:right w:val="none" w:sz="0" w:space="0" w:color="auto"/>
          </w:divBdr>
          <w:divsChild>
            <w:div w:id="653066868">
              <w:marLeft w:val="0"/>
              <w:marRight w:val="0"/>
              <w:marTop w:val="0"/>
              <w:marBottom w:val="0"/>
              <w:divBdr>
                <w:top w:val="none" w:sz="0" w:space="0" w:color="auto"/>
                <w:left w:val="none" w:sz="0" w:space="0" w:color="auto"/>
                <w:bottom w:val="none" w:sz="0" w:space="0" w:color="auto"/>
                <w:right w:val="none" w:sz="0" w:space="0" w:color="auto"/>
              </w:divBdr>
              <w:divsChild>
                <w:div w:id="3689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175119">
      <w:bodyDiv w:val="1"/>
      <w:marLeft w:val="0"/>
      <w:marRight w:val="0"/>
      <w:marTop w:val="0"/>
      <w:marBottom w:val="0"/>
      <w:divBdr>
        <w:top w:val="none" w:sz="0" w:space="0" w:color="auto"/>
        <w:left w:val="none" w:sz="0" w:space="0" w:color="auto"/>
        <w:bottom w:val="none" w:sz="0" w:space="0" w:color="auto"/>
        <w:right w:val="none" w:sz="0" w:space="0" w:color="auto"/>
      </w:divBdr>
      <w:divsChild>
        <w:div w:id="483011847">
          <w:marLeft w:val="0"/>
          <w:marRight w:val="0"/>
          <w:marTop w:val="0"/>
          <w:marBottom w:val="0"/>
          <w:divBdr>
            <w:top w:val="none" w:sz="0" w:space="0" w:color="auto"/>
            <w:left w:val="none" w:sz="0" w:space="0" w:color="auto"/>
            <w:bottom w:val="none" w:sz="0" w:space="0" w:color="auto"/>
            <w:right w:val="none" w:sz="0" w:space="0" w:color="auto"/>
          </w:divBdr>
          <w:divsChild>
            <w:div w:id="1419251040">
              <w:marLeft w:val="0"/>
              <w:marRight w:val="0"/>
              <w:marTop w:val="0"/>
              <w:marBottom w:val="0"/>
              <w:divBdr>
                <w:top w:val="none" w:sz="0" w:space="0" w:color="auto"/>
                <w:left w:val="none" w:sz="0" w:space="0" w:color="auto"/>
                <w:bottom w:val="none" w:sz="0" w:space="0" w:color="auto"/>
                <w:right w:val="none" w:sz="0" w:space="0" w:color="auto"/>
              </w:divBdr>
              <w:divsChild>
                <w:div w:id="14828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00285">
      <w:bodyDiv w:val="1"/>
      <w:marLeft w:val="0"/>
      <w:marRight w:val="0"/>
      <w:marTop w:val="0"/>
      <w:marBottom w:val="0"/>
      <w:divBdr>
        <w:top w:val="none" w:sz="0" w:space="0" w:color="auto"/>
        <w:left w:val="none" w:sz="0" w:space="0" w:color="auto"/>
        <w:bottom w:val="none" w:sz="0" w:space="0" w:color="auto"/>
        <w:right w:val="none" w:sz="0" w:space="0" w:color="auto"/>
      </w:divBdr>
      <w:divsChild>
        <w:div w:id="322583375">
          <w:marLeft w:val="0"/>
          <w:marRight w:val="0"/>
          <w:marTop w:val="0"/>
          <w:marBottom w:val="0"/>
          <w:divBdr>
            <w:top w:val="none" w:sz="0" w:space="0" w:color="auto"/>
            <w:left w:val="none" w:sz="0" w:space="0" w:color="auto"/>
            <w:bottom w:val="none" w:sz="0" w:space="0" w:color="auto"/>
            <w:right w:val="none" w:sz="0" w:space="0" w:color="auto"/>
          </w:divBdr>
          <w:divsChild>
            <w:div w:id="2010524282">
              <w:marLeft w:val="0"/>
              <w:marRight w:val="0"/>
              <w:marTop w:val="0"/>
              <w:marBottom w:val="0"/>
              <w:divBdr>
                <w:top w:val="none" w:sz="0" w:space="0" w:color="auto"/>
                <w:left w:val="none" w:sz="0" w:space="0" w:color="auto"/>
                <w:bottom w:val="none" w:sz="0" w:space="0" w:color="auto"/>
                <w:right w:val="none" w:sz="0" w:space="0" w:color="auto"/>
              </w:divBdr>
              <w:divsChild>
                <w:div w:id="10735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198528">
      <w:bodyDiv w:val="1"/>
      <w:marLeft w:val="0"/>
      <w:marRight w:val="0"/>
      <w:marTop w:val="0"/>
      <w:marBottom w:val="0"/>
      <w:divBdr>
        <w:top w:val="none" w:sz="0" w:space="0" w:color="auto"/>
        <w:left w:val="none" w:sz="0" w:space="0" w:color="auto"/>
        <w:bottom w:val="none" w:sz="0" w:space="0" w:color="auto"/>
        <w:right w:val="none" w:sz="0" w:space="0" w:color="auto"/>
      </w:divBdr>
      <w:divsChild>
        <w:div w:id="382600248">
          <w:marLeft w:val="0"/>
          <w:marRight w:val="0"/>
          <w:marTop w:val="0"/>
          <w:marBottom w:val="0"/>
          <w:divBdr>
            <w:top w:val="none" w:sz="0" w:space="0" w:color="auto"/>
            <w:left w:val="none" w:sz="0" w:space="0" w:color="auto"/>
            <w:bottom w:val="none" w:sz="0" w:space="0" w:color="auto"/>
            <w:right w:val="none" w:sz="0" w:space="0" w:color="auto"/>
          </w:divBdr>
          <w:divsChild>
            <w:div w:id="1856262607">
              <w:marLeft w:val="0"/>
              <w:marRight w:val="0"/>
              <w:marTop w:val="0"/>
              <w:marBottom w:val="0"/>
              <w:divBdr>
                <w:top w:val="none" w:sz="0" w:space="0" w:color="auto"/>
                <w:left w:val="none" w:sz="0" w:space="0" w:color="auto"/>
                <w:bottom w:val="none" w:sz="0" w:space="0" w:color="auto"/>
                <w:right w:val="none" w:sz="0" w:space="0" w:color="auto"/>
              </w:divBdr>
              <w:divsChild>
                <w:div w:id="607616172">
                  <w:marLeft w:val="0"/>
                  <w:marRight w:val="0"/>
                  <w:marTop w:val="0"/>
                  <w:marBottom w:val="0"/>
                  <w:divBdr>
                    <w:top w:val="none" w:sz="0" w:space="0" w:color="auto"/>
                    <w:left w:val="none" w:sz="0" w:space="0" w:color="auto"/>
                    <w:bottom w:val="none" w:sz="0" w:space="0" w:color="auto"/>
                    <w:right w:val="none" w:sz="0" w:space="0" w:color="auto"/>
                  </w:divBdr>
                  <w:divsChild>
                    <w:div w:id="782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159007">
      <w:bodyDiv w:val="1"/>
      <w:marLeft w:val="0"/>
      <w:marRight w:val="0"/>
      <w:marTop w:val="0"/>
      <w:marBottom w:val="0"/>
      <w:divBdr>
        <w:top w:val="none" w:sz="0" w:space="0" w:color="auto"/>
        <w:left w:val="none" w:sz="0" w:space="0" w:color="auto"/>
        <w:bottom w:val="none" w:sz="0" w:space="0" w:color="auto"/>
        <w:right w:val="none" w:sz="0" w:space="0" w:color="auto"/>
      </w:divBdr>
      <w:divsChild>
        <w:div w:id="1839617109">
          <w:marLeft w:val="0"/>
          <w:marRight w:val="0"/>
          <w:marTop w:val="0"/>
          <w:marBottom w:val="0"/>
          <w:divBdr>
            <w:top w:val="none" w:sz="0" w:space="0" w:color="auto"/>
            <w:left w:val="none" w:sz="0" w:space="0" w:color="auto"/>
            <w:bottom w:val="none" w:sz="0" w:space="0" w:color="auto"/>
            <w:right w:val="none" w:sz="0" w:space="0" w:color="auto"/>
          </w:divBdr>
          <w:divsChild>
            <w:div w:id="741290090">
              <w:marLeft w:val="0"/>
              <w:marRight w:val="0"/>
              <w:marTop w:val="0"/>
              <w:marBottom w:val="0"/>
              <w:divBdr>
                <w:top w:val="none" w:sz="0" w:space="0" w:color="auto"/>
                <w:left w:val="none" w:sz="0" w:space="0" w:color="auto"/>
                <w:bottom w:val="none" w:sz="0" w:space="0" w:color="auto"/>
                <w:right w:val="none" w:sz="0" w:space="0" w:color="auto"/>
              </w:divBdr>
              <w:divsChild>
                <w:div w:id="10841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641928">
      <w:bodyDiv w:val="1"/>
      <w:marLeft w:val="0"/>
      <w:marRight w:val="0"/>
      <w:marTop w:val="0"/>
      <w:marBottom w:val="0"/>
      <w:divBdr>
        <w:top w:val="none" w:sz="0" w:space="0" w:color="auto"/>
        <w:left w:val="none" w:sz="0" w:space="0" w:color="auto"/>
        <w:bottom w:val="none" w:sz="0" w:space="0" w:color="auto"/>
        <w:right w:val="none" w:sz="0" w:space="0" w:color="auto"/>
      </w:divBdr>
      <w:divsChild>
        <w:div w:id="1611014349">
          <w:marLeft w:val="0"/>
          <w:marRight w:val="0"/>
          <w:marTop w:val="0"/>
          <w:marBottom w:val="0"/>
          <w:divBdr>
            <w:top w:val="none" w:sz="0" w:space="0" w:color="auto"/>
            <w:left w:val="none" w:sz="0" w:space="0" w:color="auto"/>
            <w:bottom w:val="none" w:sz="0" w:space="0" w:color="auto"/>
            <w:right w:val="none" w:sz="0" w:space="0" w:color="auto"/>
          </w:divBdr>
          <w:divsChild>
            <w:div w:id="1455557128">
              <w:marLeft w:val="0"/>
              <w:marRight w:val="0"/>
              <w:marTop w:val="0"/>
              <w:marBottom w:val="0"/>
              <w:divBdr>
                <w:top w:val="none" w:sz="0" w:space="0" w:color="auto"/>
                <w:left w:val="none" w:sz="0" w:space="0" w:color="auto"/>
                <w:bottom w:val="none" w:sz="0" w:space="0" w:color="auto"/>
                <w:right w:val="none" w:sz="0" w:space="0" w:color="auto"/>
              </w:divBdr>
              <w:divsChild>
                <w:div w:id="1330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25171">
      <w:bodyDiv w:val="1"/>
      <w:marLeft w:val="0"/>
      <w:marRight w:val="0"/>
      <w:marTop w:val="0"/>
      <w:marBottom w:val="0"/>
      <w:divBdr>
        <w:top w:val="none" w:sz="0" w:space="0" w:color="auto"/>
        <w:left w:val="none" w:sz="0" w:space="0" w:color="auto"/>
        <w:bottom w:val="none" w:sz="0" w:space="0" w:color="auto"/>
        <w:right w:val="none" w:sz="0" w:space="0" w:color="auto"/>
      </w:divBdr>
    </w:div>
    <w:div w:id="1842306693">
      <w:bodyDiv w:val="1"/>
      <w:marLeft w:val="0"/>
      <w:marRight w:val="0"/>
      <w:marTop w:val="0"/>
      <w:marBottom w:val="0"/>
      <w:divBdr>
        <w:top w:val="none" w:sz="0" w:space="0" w:color="auto"/>
        <w:left w:val="none" w:sz="0" w:space="0" w:color="auto"/>
        <w:bottom w:val="none" w:sz="0" w:space="0" w:color="auto"/>
        <w:right w:val="none" w:sz="0" w:space="0" w:color="auto"/>
      </w:divBdr>
      <w:divsChild>
        <w:div w:id="713576853">
          <w:marLeft w:val="0"/>
          <w:marRight w:val="0"/>
          <w:marTop w:val="0"/>
          <w:marBottom w:val="0"/>
          <w:divBdr>
            <w:top w:val="none" w:sz="0" w:space="0" w:color="auto"/>
            <w:left w:val="none" w:sz="0" w:space="0" w:color="auto"/>
            <w:bottom w:val="none" w:sz="0" w:space="0" w:color="auto"/>
            <w:right w:val="none" w:sz="0" w:space="0" w:color="auto"/>
          </w:divBdr>
          <w:divsChild>
            <w:div w:id="842280707">
              <w:marLeft w:val="0"/>
              <w:marRight w:val="0"/>
              <w:marTop w:val="0"/>
              <w:marBottom w:val="0"/>
              <w:divBdr>
                <w:top w:val="none" w:sz="0" w:space="0" w:color="auto"/>
                <w:left w:val="none" w:sz="0" w:space="0" w:color="auto"/>
                <w:bottom w:val="none" w:sz="0" w:space="0" w:color="auto"/>
                <w:right w:val="none" w:sz="0" w:space="0" w:color="auto"/>
              </w:divBdr>
              <w:divsChild>
                <w:div w:id="35161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77421">
      <w:bodyDiv w:val="1"/>
      <w:marLeft w:val="0"/>
      <w:marRight w:val="0"/>
      <w:marTop w:val="0"/>
      <w:marBottom w:val="0"/>
      <w:divBdr>
        <w:top w:val="none" w:sz="0" w:space="0" w:color="auto"/>
        <w:left w:val="none" w:sz="0" w:space="0" w:color="auto"/>
        <w:bottom w:val="none" w:sz="0" w:space="0" w:color="auto"/>
        <w:right w:val="none" w:sz="0" w:space="0" w:color="auto"/>
      </w:divBdr>
      <w:divsChild>
        <w:div w:id="1419669965">
          <w:marLeft w:val="0"/>
          <w:marRight w:val="0"/>
          <w:marTop w:val="0"/>
          <w:marBottom w:val="0"/>
          <w:divBdr>
            <w:top w:val="none" w:sz="0" w:space="0" w:color="auto"/>
            <w:left w:val="none" w:sz="0" w:space="0" w:color="auto"/>
            <w:bottom w:val="none" w:sz="0" w:space="0" w:color="auto"/>
            <w:right w:val="none" w:sz="0" w:space="0" w:color="auto"/>
          </w:divBdr>
          <w:divsChild>
            <w:div w:id="1263562191">
              <w:marLeft w:val="0"/>
              <w:marRight w:val="0"/>
              <w:marTop w:val="0"/>
              <w:marBottom w:val="0"/>
              <w:divBdr>
                <w:top w:val="none" w:sz="0" w:space="0" w:color="auto"/>
                <w:left w:val="none" w:sz="0" w:space="0" w:color="auto"/>
                <w:bottom w:val="none" w:sz="0" w:space="0" w:color="auto"/>
                <w:right w:val="none" w:sz="0" w:space="0" w:color="auto"/>
              </w:divBdr>
              <w:divsChild>
                <w:div w:id="12311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33291">
      <w:bodyDiv w:val="1"/>
      <w:marLeft w:val="0"/>
      <w:marRight w:val="0"/>
      <w:marTop w:val="0"/>
      <w:marBottom w:val="0"/>
      <w:divBdr>
        <w:top w:val="none" w:sz="0" w:space="0" w:color="auto"/>
        <w:left w:val="none" w:sz="0" w:space="0" w:color="auto"/>
        <w:bottom w:val="none" w:sz="0" w:space="0" w:color="auto"/>
        <w:right w:val="none" w:sz="0" w:space="0" w:color="auto"/>
      </w:divBdr>
      <w:divsChild>
        <w:div w:id="2028211724">
          <w:marLeft w:val="0"/>
          <w:marRight w:val="0"/>
          <w:marTop w:val="0"/>
          <w:marBottom w:val="0"/>
          <w:divBdr>
            <w:top w:val="none" w:sz="0" w:space="0" w:color="auto"/>
            <w:left w:val="none" w:sz="0" w:space="0" w:color="auto"/>
            <w:bottom w:val="none" w:sz="0" w:space="0" w:color="auto"/>
            <w:right w:val="none" w:sz="0" w:space="0" w:color="auto"/>
          </w:divBdr>
          <w:divsChild>
            <w:div w:id="1527597368">
              <w:marLeft w:val="0"/>
              <w:marRight w:val="0"/>
              <w:marTop w:val="0"/>
              <w:marBottom w:val="0"/>
              <w:divBdr>
                <w:top w:val="none" w:sz="0" w:space="0" w:color="auto"/>
                <w:left w:val="none" w:sz="0" w:space="0" w:color="auto"/>
                <w:bottom w:val="none" w:sz="0" w:space="0" w:color="auto"/>
                <w:right w:val="none" w:sz="0" w:space="0" w:color="auto"/>
              </w:divBdr>
              <w:divsChild>
                <w:div w:id="101754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37549">
      <w:bodyDiv w:val="1"/>
      <w:marLeft w:val="0"/>
      <w:marRight w:val="0"/>
      <w:marTop w:val="0"/>
      <w:marBottom w:val="0"/>
      <w:divBdr>
        <w:top w:val="none" w:sz="0" w:space="0" w:color="auto"/>
        <w:left w:val="none" w:sz="0" w:space="0" w:color="auto"/>
        <w:bottom w:val="none" w:sz="0" w:space="0" w:color="auto"/>
        <w:right w:val="none" w:sz="0" w:space="0" w:color="auto"/>
      </w:divBdr>
      <w:divsChild>
        <w:div w:id="1954945489">
          <w:marLeft w:val="0"/>
          <w:marRight w:val="0"/>
          <w:marTop w:val="0"/>
          <w:marBottom w:val="0"/>
          <w:divBdr>
            <w:top w:val="none" w:sz="0" w:space="0" w:color="auto"/>
            <w:left w:val="none" w:sz="0" w:space="0" w:color="auto"/>
            <w:bottom w:val="none" w:sz="0" w:space="0" w:color="auto"/>
            <w:right w:val="none" w:sz="0" w:space="0" w:color="auto"/>
          </w:divBdr>
          <w:divsChild>
            <w:div w:id="547836186">
              <w:marLeft w:val="0"/>
              <w:marRight w:val="0"/>
              <w:marTop w:val="0"/>
              <w:marBottom w:val="0"/>
              <w:divBdr>
                <w:top w:val="none" w:sz="0" w:space="0" w:color="auto"/>
                <w:left w:val="none" w:sz="0" w:space="0" w:color="auto"/>
                <w:bottom w:val="none" w:sz="0" w:space="0" w:color="auto"/>
                <w:right w:val="none" w:sz="0" w:space="0" w:color="auto"/>
              </w:divBdr>
              <w:divsChild>
                <w:div w:id="670331359">
                  <w:marLeft w:val="0"/>
                  <w:marRight w:val="0"/>
                  <w:marTop w:val="0"/>
                  <w:marBottom w:val="0"/>
                  <w:divBdr>
                    <w:top w:val="none" w:sz="0" w:space="0" w:color="auto"/>
                    <w:left w:val="none" w:sz="0" w:space="0" w:color="auto"/>
                    <w:bottom w:val="none" w:sz="0" w:space="0" w:color="auto"/>
                    <w:right w:val="none" w:sz="0" w:space="0" w:color="auto"/>
                  </w:divBdr>
                  <w:divsChild>
                    <w:div w:id="1866289152">
                      <w:marLeft w:val="0"/>
                      <w:marRight w:val="0"/>
                      <w:marTop w:val="0"/>
                      <w:marBottom w:val="0"/>
                      <w:divBdr>
                        <w:top w:val="none" w:sz="0" w:space="0" w:color="auto"/>
                        <w:left w:val="none" w:sz="0" w:space="0" w:color="auto"/>
                        <w:bottom w:val="none" w:sz="0" w:space="0" w:color="auto"/>
                        <w:right w:val="none" w:sz="0" w:space="0" w:color="auto"/>
                      </w:divBdr>
                      <w:divsChild>
                        <w:div w:id="1882328781">
                          <w:marLeft w:val="0"/>
                          <w:marRight w:val="0"/>
                          <w:marTop w:val="0"/>
                          <w:marBottom w:val="0"/>
                          <w:divBdr>
                            <w:top w:val="none" w:sz="0" w:space="0" w:color="auto"/>
                            <w:left w:val="none" w:sz="0" w:space="0" w:color="auto"/>
                            <w:bottom w:val="none" w:sz="0" w:space="0" w:color="auto"/>
                            <w:right w:val="none" w:sz="0" w:space="0" w:color="auto"/>
                          </w:divBdr>
                        </w:div>
                        <w:div w:id="168974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077503">
      <w:bodyDiv w:val="1"/>
      <w:marLeft w:val="0"/>
      <w:marRight w:val="0"/>
      <w:marTop w:val="0"/>
      <w:marBottom w:val="0"/>
      <w:divBdr>
        <w:top w:val="none" w:sz="0" w:space="0" w:color="auto"/>
        <w:left w:val="none" w:sz="0" w:space="0" w:color="auto"/>
        <w:bottom w:val="none" w:sz="0" w:space="0" w:color="auto"/>
        <w:right w:val="none" w:sz="0" w:space="0" w:color="auto"/>
      </w:divBdr>
      <w:divsChild>
        <w:div w:id="2146121174">
          <w:marLeft w:val="0"/>
          <w:marRight w:val="0"/>
          <w:marTop w:val="0"/>
          <w:marBottom w:val="0"/>
          <w:divBdr>
            <w:top w:val="none" w:sz="0" w:space="0" w:color="auto"/>
            <w:left w:val="none" w:sz="0" w:space="0" w:color="auto"/>
            <w:bottom w:val="none" w:sz="0" w:space="0" w:color="auto"/>
            <w:right w:val="none" w:sz="0" w:space="0" w:color="auto"/>
          </w:divBdr>
          <w:divsChild>
            <w:div w:id="1272862452">
              <w:marLeft w:val="0"/>
              <w:marRight w:val="0"/>
              <w:marTop w:val="0"/>
              <w:marBottom w:val="0"/>
              <w:divBdr>
                <w:top w:val="none" w:sz="0" w:space="0" w:color="auto"/>
                <w:left w:val="none" w:sz="0" w:space="0" w:color="auto"/>
                <w:bottom w:val="none" w:sz="0" w:space="0" w:color="auto"/>
                <w:right w:val="none" w:sz="0" w:space="0" w:color="auto"/>
              </w:divBdr>
              <w:divsChild>
                <w:div w:id="1576351803">
                  <w:marLeft w:val="0"/>
                  <w:marRight w:val="0"/>
                  <w:marTop w:val="0"/>
                  <w:marBottom w:val="0"/>
                  <w:divBdr>
                    <w:top w:val="none" w:sz="0" w:space="0" w:color="auto"/>
                    <w:left w:val="none" w:sz="0" w:space="0" w:color="auto"/>
                    <w:bottom w:val="none" w:sz="0" w:space="0" w:color="auto"/>
                    <w:right w:val="none" w:sz="0" w:space="0" w:color="auto"/>
                  </w:divBdr>
                  <w:divsChild>
                    <w:div w:id="3425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120021">
      <w:bodyDiv w:val="1"/>
      <w:marLeft w:val="0"/>
      <w:marRight w:val="0"/>
      <w:marTop w:val="0"/>
      <w:marBottom w:val="0"/>
      <w:divBdr>
        <w:top w:val="none" w:sz="0" w:space="0" w:color="auto"/>
        <w:left w:val="none" w:sz="0" w:space="0" w:color="auto"/>
        <w:bottom w:val="none" w:sz="0" w:space="0" w:color="auto"/>
        <w:right w:val="none" w:sz="0" w:space="0" w:color="auto"/>
      </w:divBdr>
      <w:divsChild>
        <w:div w:id="2085101747">
          <w:marLeft w:val="0"/>
          <w:marRight w:val="0"/>
          <w:marTop w:val="0"/>
          <w:marBottom w:val="0"/>
          <w:divBdr>
            <w:top w:val="none" w:sz="0" w:space="0" w:color="auto"/>
            <w:left w:val="none" w:sz="0" w:space="0" w:color="auto"/>
            <w:bottom w:val="none" w:sz="0" w:space="0" w:color="auto"/>
            <w:right w:val="none" w:sz="0" w:space="0" w:color="auto"/>
          </w:divBdr>
          <w:divsChild>
            <w:div w:id="1548494494">
              <w:marLeft w:val="0"/>
              <w:marRight w:val="0"/>
              <w:marTop w:val="0"/>
              <w:marBottom w:val="0"/>
              <w:divBdr>
                <w:top w:val="none" w:sz="0" w:space="0" w:color="auto"/>
                <w:left w:val="none" w:sz="0" w:space="0" w:color="auto"/>
                <w:bottom w:val="none" w:sz="0" w:space="0" w:color="auto"/>
                <w:right w:val="none" w:sz="0" w:space="0" w:color="auto"/>
              </w:divBdr>
              <w:divsChild>
                <w:div w:id="1591353822">
                  <w:marLeft w:val="0"/>
                  <w:marRight w:val="0"/>
                  <w:marTop w:val="0"/>
                  <w:marBottom w:val="0"/>
                  <w:divBdr>
                    <w:top w:val="none" w:sz="0" w:space="0" w:color="auto"/>
                    <w:left w:val="none" w:sz="0" w:space="0" w:color="auto"/>
                    <w:bottom w:val="none" w:sz="0" w:space="0" w:color="auto"/>
                    <w:right w:val="none" w:sz="0" w:space="0" w:color="auto"/>
                  </w:divBdr>
                  <w:divsChild>
                    <w:div w:id="69022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397668">
      <w:bodyDiv w:val="1"/>
      <w:marLeft w:val="0"/>
      <w:marRight w:val="0"/>
      <w:marTop w:val="0"/>
      <w:marBottom w:val="0"/>
      <w:divBdr>
        <w:top w:val="none" w:sz="0" w:space="0" w:color="auto"/>
        <w:left w:val="none" w:sz="0" w:space="0" w:color="auto"/>
        <w:bottom w:val="none" w:sz="0" w:space="0" w:color="auto"/>
        <w:right w:val="none" w:sz="0" w:space="0" w:color="auto"/>
      </w:divBdr>
    </w:div>
    <w:div w:id="2032797646">
      <w:bodyDiv w:val="1"/>
      <w:marLeft w:val="0"/>
      <w:marRight w:val="0"/>
      <w:marTop w:val="0"/>
      <w:marBottom w:val="0"/>
      <w:divBdr>
        <w:top w:val="none" w:sz="0" w:space="0" w:color="auto"/>
        <w:left w:val="none" w:sz="0" w:space="0" w:color="auto"/>
        <w:bottom w:val="none" w:sz="0" w:space="0" w:color="auto"/>
        <w:right w:val="none" w:sz="0" w:space="0" w:color="auto"/>
      </w:divBdr>
      <w:divsChild>
        <w:div w:id="929586205">
          <w:marLeft w:val="0"/>
          <w:marRight w:val="0"/>
          <w:marTop w:val="0"/>
          <w:marBottom w:val="0"/>
          <w:divBdr>
            <w:top w:val="none" w:sz="0" w:space="0" w:color="auto"/>
            <w:left w:val="none" w:sz="0" w:space="0" w:color="auto"/>
            <w:bottom w:val="none" w:sz="0" w:space="0" w:color="auto"/>
            <w:right w:val="none" w:sz="0" w:space="0" w:color="auto"/>
          </w:divBdr>
          <w:divsChild>
            <w:div w:id="1051883523">
              <w:marLeft w:val="0"/>
              <w:marRight w:val="0"/>
              <w:marTop w:val="0"/>
              <w:marBottom w:val="0"/>
              <w:divBdr>
                <w:top w:val="none" w:sz="0" w:space="0" w:color="auto"/>
                <w:left w:val="none" w:sz="0" w:space="0" w:color="auto"/>
                <w:bottom w:val="none" w:sz="0" w:space="0" w:color="auto"/>
                <w:right w:val="none" w:sz="0" w:space="0" w:color="auto"/>
              </w:divBdr>
              <w:divsChild>
                <w:div w:id="120363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7760">
      <w:bodyDiv w:val="1"/>
      <w:marLeft w:val="0"/>
      <w:marRight w:val="0"/>
      <w:marTop w:val="0"/>
      <w:marBottom w:val="0"/>
      <w:divBdr>
        <w:top w:val="none" w:sz="0" w:space="0" w:color="auto"/>
        <w:left w:val="none" w:sz="0" w:space="0" w:color="auto"/>
        <w:bottom w:val="none" w:sz="0" w:space="0" w:color="auto"/>
        <w:right w:val="none" w:sz="0" w:space="0" w:color="auto"/>
      </w:divBdr>
    </w:div>
    <w:div w:id="2050301262">
      <w:bodyDiv w:val="1"/>
      <w:marLeft w:val="0"/>
      <w:marRight w:val="0"/>
      <w:marTop w:val="0"/>
      <w:marBottom w:val="0"/>
      <w:divBdr>
        <w:top w:val="none" w:sz="0" w:space="0" w:color="auto"/>
        <w:left w:val="none" w:sz="0" w:space="0" w:color="auto"/>
        <w:bottom w:val="none" w:sz="0" w:space="0" w:color="auto"/>
        <w:right w:val="none" w:sz="0" w:space="0" w:color="auto"/>
      </w:divBdr>
    </w:div>
    <w:div w:id="2061974497">
      <w:bodyDiv w:val="1"/>
      <w:marLeft w:val="0"/>
      <w:marRight w:val="0"/>
      <w:marTop w:val="0"/>
      <w:marBottom w:val="0"/>
      <w:divBdr>
        <w:top w:val="none" w:sz="0" w:space="0" w:color="auto"/>
        <w:left w:val="none" w:sz="0" w:space="0" w:color="auto"/>
        <w:bottom w:val="none" w:sz="0" w:space="0" w:color="auto"/>
        <w:right w:val="none" w:sz="0" w:space="0" w:color="auto"/>
      </w:divBdr>
    </w:div>
    <w:div w:id="2069380816">
      <w:bodyDiv w:val="1"/>
      <w:marLeft w:val="0"/>
      <w:marRight w:val="0"/>
      <w:marTop w:val="0"/>
      <w:marBottom w:val="0"/>
      <w:divBdr>
        <w:top w:val="none" w:sz="0" w:space="0" w:color="auto"/>
        <w:left w:val="none" w:sz="0" w:space="0" w:color="auto"/>
        <w:bottom w:val="none" w:sz="0" w:space="0" w:color="auto"/>
        <w:right w:val="none" w:sz="0" w:space="0" w:color="auto"/>
      </w:divBdr>
    </w:div>
    <w:div w:id="2072456397">
      <w:bodyDiv w:val="1"/>
      <w:marLeft w:val="0"/>
      <w:marRight w:val="0"/>
      <w:marTop w:val="0"/>
      <w:marBottom w:val="0"/>
      <w:divBdr>
        <w:top w:val="none" w:sz="0" w:space="0" w:color="auto"/>
        <w:left w:val="none" w:sz="0" w:space="0" w:color="auto"/>
        <w:bottom w:val="none" w:sz="0" w:space="0" w:color="auto"/>
        <w:right w:val="none" w:sz="0" w:space="0" w:color="auto"/>
      </w:divBdr>
    </w:div>
    <w:div w:id="2089106486">
      <w:bodyDiv w:val="1"/>
      <w:marLeft w:val="0"/>
      <w:marRight w:val="0"/>
      <w:marTop w:val="0"/>
      <w:marBottom w:val="0"/>
      <w:divBdr>
        <w:top w:val="none" w:sz="0" w:space="0" w:color="auto"/>
        <w:left w:val="none" w:sz="0" w:space="0" w:color="auto"/>
        <w:bottom w:val="none" w:sz="0" w:space="0" w:color="auto"/>
        <w:right w:val="none" w:sz="0" w:space="0" w:color="auto"/>
      </w:divBdr>
    </w:div>
    <w:div w:id="2124374279">
      <w:bodyDiv w:val="1"/>
      <w:marLeft w:val="0"/>
      <w:marRight w:val="0"/>
      <w:marTop w:val="0"/>
      <w:marBottom w:val="0"/>
      <w:divBdr>
        <w:top w:val="none" w:sz="0" w:space="0" w:color="auto"/>
        <w:left w:val="none" w:sz="0" w:space="0" w:color="auto"/>
        <w:bottom w:val="none" w:sz="0" w:space="0" w:color="auto"/>
        <w:right w:val="none" w:sz="0" w:space="0" w:color="auto"/>
      </w:divBdr>
      <w:divsChild>
        <w:div w:id="1325012336">
          <w:marLeft w:val="0"/>
          <w:marRight w:val="0"/>
          <w:marTop w:val="0"/>
          <w:marBottom w:val="0"/>
          <w:divBdr>
            <w:top w:val="none" w:sz="0" w:space="0" w:color="auto"/>
            <w:left w:val="none" w:sz="0" w:space="0" w:color="auto"/>
            <w:bottom w:val="none" w:sz="0" w:space="0" w:color="auto"/>
            <w:right w:val="none" w:sz="0" w:space="0" w:color="auto"/>
          </w:divBdr>
          <w:divsChild>
            <w:div w:id="627470249">
              <w:marLeft w:val="0"/>
              <w:marRight w:val="0"/>
              <w:marTop w:val="0"/>
              <w:marBottom w:val="0"/>
              <w:divBdr>
                <w:top w:val="none" w:sz="0" w:space="0" w:color="auto"/>
                <w:left w:val="none" w:sz="0" w:space="0" w:color="auto"/>
                <w:bottom w:val="none" w:sz="0" w:space="0" w:color="auto"/>
                <w:right w:val="none" w:sz="0" w:space="0" w:color="auto"/>
              </w:divBdr>
              <w:divsChild>
                <w:div w:id="209469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34758">
      <w:bodyDiv w:val="1"/>
      <w:marLeft w:val="0"/>
      <w:marRight w:val="0"/>
      <w:marTop w:val="0"/>
      <w:marBottom w:val="0"/>
      <w:divBdr>
        <w:top w:val="none" w:sz="0" w:space="0" w:color="auto"/>
        <w:left w:val="none" w:sz="0" w:space="0" w:color="auto"/>
        <w:bottom w:val="none" w:sz="0" w:space="0" w:color="auto"/>
        <w:right w:val="none" w:sz="0" w:space="0" w:color="auto"/>
      </w:divBdr>
    </w:div>
    <w:div w:id="2128347486">
      <w:bodyDiv w:val="1"/>
      <w:marLeft w:val="0"/>
      <w:marRight w:val="0"/>
      <w:marTop w:val="0"/>
      <w:marBottom w:val="0"/>
      <w:divBdr>
        <w:top w:val="none" w:sz="0" w:space="0" w:color="auto"/>
        <w:left w:val="none" w:sz="0" w:space="0" w:color="auto"/>
        <w:bottom w:val="none" w:sz="0" w:space="0" w:color="auto"/>
        <w:right w:val="none" w:sz="0" w:space="0" w:color="auto"/>
      </w:divBdr>
    </w:div>
    <w:div w:id="2144272929">
      <w:bodyDiv w:val="1"/>
      <w:marLeft w:val="0"/>
      <w:marRight w:val="0"/>
      <w:marTop w:val="0"/>
      <w:marBottom w:val="0"/>
      <w:divBdr>
        <w:top w:val="none" w:sz="0" w:space="0" w:color="auto"/>
        <w:left w:val="none" w:sz="0" w:space="0" w:color="auto"/>
        <w:bottom w:val="none" w:sz="0" w:space="0" w:color="auto"/>
        <w:right w:val="none" w:sz="0" w:space="0" w:color="auto"/>
      </w:divBdr>
      <w:divsChild>
        <w:div w:id="1186944313">
          <w:marLeft w:val="0"/>
          <w:marRight w:val="0"/>
          <w:marTop w:val="0"/>
          <w:marBottom w:val="0"/>
          <w:divBdr>
            <w:top w:val="none" w:sz="0" w:space="0" w:color="auto"/>
            <w:left w:val="none" w:sz="0" w:space="0" w:color="auto"/>
            <w:bottom w:val="none" w:sz="0" w:space="0" w:color="auto"/>
            <w:right w:val="none" w:sz="0" w:space="0" w:color="auto"/>
          </w:divBdr>
          <w:divsChild>
            <w:div w:id="1105348174">
              <w:marLeft w:val="0"/>
              <w:marRight w:val="0"/>
              <w:marTop w:val="0"/>
              <w:marBottom w:val="0"/>
              <w:divBdr>
                <w:top w:val="none" w:sz="0" w:space="0" w:color="auto"/>
                <w:left w:val="none" w:sz="0" w:space="0" w:color="auto"/>
                <w:bottom w:val="none" w:sz="0" w:space="0" w:color="auto"/>
                <w:right w:val="none" w:sz="0" w:space="0" w:color="auto"/>
              </w:divBdr>
              <w:divsChild>
                <w:div w:id="5054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echr.coe.int/documents/guide_art_8_eng.pdf" TargetMode="External"/><Relationship Id="rId26" Type="http://schemas.openxmlformats.org/officeDocument/2006/relationships/hyperlink" Target="http://www.kinderrechtencommissariaat.be/advies/recht-op-recht" TargetMode="External"/><Relationship Id="rId39" Type="http://schemas.openxmlformats.org/officeDocument/2006/relationships/hyperlink" Target="http://www.bmj.de/SharedDocs/Publikationen/DE/Kindschaftsrecht.pdf;jsessionid=20B8061F5339F0139E35C1506B64C3DC.2_cid334?__blob=publicationFile&amp;v=24" TargetMode="External"/><Relationship Id="rId21" Type="http://schemas.openxmlformats.org/officeDocument/2006/relationships/hyperlink" Target="http://www.unicef.org/lac/media/22071/file/Implementation%20Handbook%20for%20the%20CRC.pdf" TargetMode="External"/><Relationship Id="rId34" Type="http://schemas.openxmlformats.org/officeDocument/2006/relationships/hyperlink" Target="http://www.rm.coe.int/16800cb5e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kinderrechtencoalitie.be/kinderrechten/" TargetMode="External"/><Relationship Id="rId29" Type="http://schemas.openxmlformats.org/officeDocument/2006/relationships/hyperlink" Target="http://www.kinderrechten.be/sites/default/files/2022-05/KRC_Dossier_spreekrecht_interactief.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kinderrechten.be/sites/default/files/2006_2007_8_advies_een_sterkere_rechtspositie_voor_de_minderjarige.pdf" TargetMode="External"/><Relationship Id="rId32" Type="http://schemas.openxmlformats.org/officeDocument/2006/relationships/hyperlink" Target="http://www.planinternational.be/nl/blog/ayame-voert-campagne-voor-de-vrijheid-van-elk-meisje" TargetMode="External"/><Relationship Id="rId37" Type="http://schemas.openxmlformats.org/officeDocument/2006/relationships/hyperlink" Target="http://www.yumpu.com/nl/document/read/20419352/de-bijzondere-curator-een-lot-uit-de-loterij-de-kinderombudsman"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www.cypcs.org.uk/wpcypcs/wp-content/uploads/2021/02/Day-of-General-Discussion-Report-2006.pdf" TargetMode="External"/><Relationship Id="rId28" Type="http://schemas.openxmlformats.org/officeDocument/2006/relationships/hyperlink" Target="http://www.kinderrechten.be/sites/default/files/alternatief_rapport_krc_dgde_2018_nl_def_cover_0.pdf" TargetMode="External"/><Relationship Id="rId36" Type="http://schemas.openxmlformats.org/officeDocument/2006/relationships/hyperlink" Target="http://www.trouw.nl/opinie/dwing-kinderen-na-scheiding-niet-beide-ouders-te-blijven-zien~bac9225a/?referrer=https%3A%2F%2Fwww.google.com%2F" TargetMode="External"/><Relationship Id="rId10" Type="http://schemas.openxmlformats.org/officeDocument/2006/relationships/footer" Target="footer2.xml"/><Relationship Id="rId19" Type="http://schemas.openxmlformats.org/officeDocument/2006/relationships/hyperlink" Target="http://www.echr.coe.int/documents/admissibility_guide_eng.pdf" TargetMode="External"/><Relationship Id="rId31" Type="http://schemas.openxmlformats.org/officeDocument/2006/relationships/hyperlink" Target="http://www.planinternational.be/nl/blog/aissatou-de-toekomstige-magistraat-voor-gendergelijkhei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knack.be/nieuws/hoog-tijd-om-minderjarigen-als-volwaardige-mensen-te-bekijken-en-te-behandelen" TargetMode="External"/><Relationship Id="rId27" Type="http://schemas.openxmlformats.org/officeDocument/2006/relationships/hyperlink" Target="http://www.kinderrechten.be/sites/default/files/standpunt_2020_2021_07_banden_tussen_broers_en_zussen.pdf" TargetMode="External"/><Relationship Id="rId30" Type="http://schemas.openxmlformats.org/officeDocument/2006/relationships/hyperlink" Target="http://www.vrt.be/vrtnws/nl/2022/10/14/activisten-gooien-soep-over-zonnebloemen-van-van-gogh/" TargetMode="External"/><Relationship Id="rId35" Type="http://schemas.openxmlformats.org/officeDocument/2006/relationships/hyperlink" Target="http://www.sociaal.net/achtergrond/spreekrecht-kinderen-in-familierechtbank/"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hyperlink" Target="http://www.kinderrechten.be/sites/default/files/2005_2006_11_advies_spreekrecht_zelfstandigerechtsingang_jeugdavocaten.pdf" TargetMode="External"/><Relationship Id="rId33" Type="http://schemas.openxmlformats.org/officeDocument/2006/relationships/hyperlink" Target="http://www.rm.coe.int/16800d380d" TargetMode="External"/><Relationship Id="rId38" Type="http://schemas.openxmlformats.org/officeDocument/2006/relationships/hyperlink" Target="http://www.netzwerk-kinderrechte.de"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ohchr.org" TargetMode="External"/><Relationship Id="rId18" Type="http://schemas.openxmlformats.org/officeDocument/2006/relationships/hyperlink" Target="http://www.e-justice.europa.eu/302/NL/parental_responsibility__child_custody_and_contact_rights?GERMANY&amp;member=1" TargetMode="External"/><Relationship Id="rId26" Type="http://schemas.openxmlformats.org/officeDocument/2006/relationships/hyperlink" Target="http://www.kinderrechten.be/sites/default/files/standpunt_2020_2021_07_banden_tussen_broers_en_zussen.pdf" TargetMode="External"/><Relationship Id="rId39" Type="http://schemas.openxmlformats.org/officeDocument/2006/relationships/hyperlink" Target="http://www.bmfsfj.de/resource/blob/93594/3b5e159e1c43754d35ba76b8bbfdc146/eltern-bleiben-eltern-data.pdf" TargetMode="External"/><Relationship Id="rId21" Type="http://schemas.openxmlformats.org/officeDocument/2006/relationships/hyperlink" Target="http://www.coe.int/en/web/conventions/full-list?module=signatures-by-treaty&amp;treatynum=005" TargetMode="External"/><Relationship Id="rId34" Type="http://schemas.openxmlformats.org/officeDocument/2006/relationships/hyperlink" Target="http://www.verwey-jonker.nl/wp-content/uploads/2020/07/D4393291_def1.pdf" TargetMode="External"/><Relationship Id="rId42" Type="http://schemas.openxmlformats.org/officeDocument/2006/relationships/hyperlink" Target="http://www.bmj.de/SharedDocs/Publikationen/DE/Kindschaftsrecht.pdf;jsessionid=20B8061F5339F0139E35C1506B64C3DC.2_cid334?__blob=publicationFile&amp;v=24" TargetMode="External"/><Relationship Id="rId47" Type="http://schemas.openxmlformats.org/officeDocument/2006/relationships/hyperlink" Target="http://www.scheidingskoffer.be" TargetMode="External"/><Relationship Id="rId50" Type="http://schemas.openxmlformats.org/officeDocument/2006/relationships/hyperlink" Target="http://www.rm.coe.int/16800cb5ee" TargetMode="External"/><Relationship Id="rId55" Type="http://schemas.openxmlformats.org/officeDocument/2006/relationships/hyperlink" Target="http://www.rm.coe.int/16800cb5ee" TargetMode="External"/><Relationship Id="rId63" Type="http://schemas.openxmlformats.org/officeDocument/2006/relationships/hyperlink" Target="http://www.rm.coe.int/16800d380d" TargetMode="External"/><Relationship Id="rId7" Type="http://schemas.openxmlformats.org/officeDocument/2006/relationships/hyperlink" Target="http://www.kinderrechten.be/sites/default/files/2022-05/KRC_Dossier_spreekrecht_interactief.pdf" TargetMode="External"/><Relationship Id="rId2" Type="http://schemas.openxmlformats.org/officeDocument/2006/relationships/hyperlink" Target="http://www.planinternational.be/nl/blog/aissatou-de-toekomstige-magistraat-voor-gendergelijkheid" TargetMode="External"/><Relationship Id="rId16" Type="http://schemas.openxmlformats.org/officeDocument/2006/relationships/hyperlink" Target="http://www.unicef.org/lac/media/22071/file/Implementation%20Handbook%20for%20the%20CRC.pdf" TargetMode="External"/><Relationship Id="rId29" Type="http://schemas.openxmlformats.org/officeDocument/2006/relationships/hyperlink" Target="http://www.kinderrechten.be/sites/default/files/2022-05/KRC_Dossier_spreekrecht_interactief.pdf" TargetMode="External"/><Relationship Id="rId11" Type="http://schemas.openxmlformats.org/officeDocument/2006/relationships/hyperlink" Target="http://www.unicef.org/lac/media/22071/file/Implementation%20Handbook%20for%20the%20CRC.pdf" TargetMode="External"/><Relationship Id="rId24" Type="http://schemas.openxmlformats.org/officeDocument/2006/relationships/hyperlink" Target="http://www.echr.coe.int/documents/guide_art_8_eng.pdf" TargetMode="External"/><Relationship Id="rId32" Type="http://schemas.openxmlformats.org/officeDocument/2006/relationships/hyperlink" Target="http://www.yumpu.com/nl/document/read/20419352/de-bijzondere-curator-een-lot-uit-de-loterij-de-kinderombudsman" TargetMode="External"/><Relationship Id="rId37" Type="http://schemas.openxmlformats.org/officeDocument/2006/relationships/hyperlink" Target="http://www.bmj.de/SharedDocs/Publikationen/DE/Kindschaftsrecht.pdf;jsessionid=20B8061F5339F0139E35C1506B64C3DC.2_cid334?__blob=publicationFile&amp;v=24" TargetMode="External"/><Relationship Id="rId40" Type="http://schemas.openxmlformats.org/officeDocument/2006/relationships/hyperlink" Target="http://www.netzwerk-kinderrechte.de" TargetMode="External"/><Relationship Id="rId45" Type="http://schemas.openxmlformats.org/officeDocument/2006/relationships/hyperlink" Target="http://www.jeugdhulp.be/vraag-bemiddeling-aan" TargetMode="External"/><Relationship Id="rId53" Type="http://schemas.openxmlformats.org/officeDocument/2006/relationships/hyperlink" Target="http://www.coe.int/en/web/conventions/full-list?module=signatures-by-treaty&amp;treatynum=160" TargetMode="External"/><Relationship Id="rId58" Type="http://schemas.openxmlformats.org/officeDocument/2006/relationships/hyperlink" Target="http://www.rm.coe.int/16800d380d" TargetMode="External"/><Relationship Id="rId5" Type="http://schemas.openxmlformats.org/officeDocument/2006/relationships/hyperlink" Target="http://www.sociaal.net/achtergrond/spreekrecht-kinderen-in-familierechtbank/" TargetMode="External"/><Relationship Id="rId61" Type="http://schemas.openxmlformats.org/officeDocument/2006/relationships/hyperlink" Target="http://www.rm.coe.int/16800d380d" TargetMode="External"/><Relationship Id="rId19" Type="http://schemas.openxmlformats.org/officeDocument/2006/relationships/hyperlink" Target="http://www.doi.org/10.1007/978-3-319-23189-1_7" TargetMode="External"/><Relationship Id="rId14" Type="http://schemas.openxmlformats.org/officeDocument/2006/relationships/hyperlink" Target="http://www.indicators.ohchr.org" TargetMode="External"/><Relationship Id="rId22" Type="http://schemas.openxmlformats.org/officeDocument/2006/relationships/hyperlink" Target="http://www.echr.coe.int/documents/admissibility_guide_eng.pdf" TargetMode="External"/><Relationship Id="rId27" Type="http://schemas.openxmlformats.org/officeDocument/2006/relationships/hyperlink" Target="http://www.kinderrechten.be/sites/default/files/alternatief_rapport_krc_dgde_2018_nl_def_cover_0.pdf" TargetMode="External"/><Relationship Id="rId30" Type="http://schemas.openxmlformats.org/officeDocument/2006/relationships/hyperlink" Target="http://www.sociaal.net/achtergrond/spreekrecht-kinderen-in-familierechtbank/" TargetMode="External"/><Relationship Id="rId35" Type="http://schemas.openxmlformats.org/officeDocument/2006/relationships/hyperlink" Target="http://www.yumpu.com/nl/document/read/20419352/de-bijzondere-curator-een-lot-uit-de-loterij-de-kinderombudsman" TargetMode="External"/><Relationship Id="rId43" Type="http://schemas.openxmlformats.org/officeDocument/2006/relationships/hyperlink" Target="http://www.bmj.de/SharedDocs/Publikationen/DE/Kindschaftsrecht.pdf;jsessionid=20B8061F5339F0139E35C1506B64C3DC.2_cid334?__blob=publicationFile&amp;v=24" TargetMode="External"/><Relationship Id="rId48" Type="http://schemas.openxmlformats.org/officeDocument/2006/relationships/hyperlink" Target="http://www.kinderrechtencommissariaat.be/advies/recht-op-recht" TargetMode="External"/><Relationship Id="rId56" Type="http://schemas.openxmlformats.org/officeDocument/2006/relationships/hyperlink" Target="http://www.coe.int/en/web/conventions/full-list2?module=signatures-by-treaty&amp;treatynum=192" TargetMode="External"/><Relationship Id="rId8" Type="http://schemas.openxmlformats.org/officeDocument/2006/relationships/hyperlink" Target="http://www.trouw.nl/opinie/dwing-kinderen-na-scheiding-niet-beide-ouders-te-blijven-zien~bac9225a/?referrer=https%3A%2F%2Fwww.google.com%2F" TargetMode="External"/><Relationship Id="rId51" Type="http://schemas.openxmlformats.org/officeDocument/2006/relationships/hyperlink" Target="http://www.rm.coe.int/16800cb5ee" TargetMode="External"/><Relationship Id="rId3" Type="http://schemas.openxmlformats.org/officeDocument/2006/relationships/hyperlink" Target="http://www.planinternational.be/nl/blog/ayame-voert-campagne-voor-de-vrijheid-van-elk-meisje" TargetMode="External"/><Relationship Id="rId12" Type="http://schemas.openxmlformats.org/officeDocument/2006/relationships/hyperlink" Target="http://www.ohchr.org" TargetMode="External"/><Relationship Id="rId17" Type="http://schemas.openxmlformats.org/officeDocument/2006/relationships/hyperlink" Target="http://www.unicef.org/lac/media/22071/file/Implementation%20Handbook%20for%20the%20CRC.pdf" TargetMode="External"/><Relationship Id="rId25" Type="http://schemas.openxmlformats.org/officeDocument/2006/relationships/hyperlink" Target="http://www.kinderrechten.be/sites/default/files/2006_2007_8_advies_een_sterkere_rechtspositie_voor_de_minderjarige.pdf" TargetMode="External"/><Relationship Id="rId33" Type="http://schemas.openxmlformats.org/officeDocument/2006/relationships/hyperlink" Target="http://www.yumpu.com/nl/document/read/20419352/de-bijzondere-curator-een-lot-uit-de-loterij-de-kinderombudsman" TargetMode="External"/><Relationship Id="rId38" Type="http://schemas.openxmlformats.org/officeDocument/2006/relationships/hyperlink" Target="http://www.bmj.de/SharedDocs/Publikationen/DE/Kindschaftsrecht.pdf;jsessionid=20B8061F5339F0139E35C1506B64C3DC.2_cid334?__blob=publicationFile&amp;v=24" TargetMode="External"/><Relationship Id="rId46" Type="http://schemas.openxmlformats.org/officeDocument/2006/relationships/hyperlink" Target="http://www.helderrecht.be" TargetMode="External"/><Relationship Id="rId59" Type="http://schemas.openxmlformats.org/officeDocument/2006/relationships/hyperlink" Target="http://www.rm.coe.int/16800d380d" TargetMode="External"/><Relationship Id="rId20" Type="http://schemas.openxmlformats.org/officeDocument/2006/relationships/hyperlink" Target="http://www.kinderrechtencoalitie.be/kinderrechten/" TargetMode="External"/><Relationship Id="rId41" Type="http://schemas.openxmlformats.org/officeDocument/2006/relationships/hyperlink" Target="http://www.gesetze-im-internet.de/bgb/__1684.html" TargetMode="External"/><Relationship Id="rId54" Type="http://schemas.openxmlformats.org/officeDocument/2006/relationships/hyperlink" Target="http://www.coe.int/en/web/conventions/full-list?module=declarations-by-treaty&amp;numSte=160&amp;codeNature=10&amp;codePays=GER" TargetMode="External"/><Relationship Id="rId62" Type="http://schemas.openxmlformats.org/officeDocument/2006/relationships/hyperlink" Target="http://www.rm.coe.int/16800d380d" TargetMode="External"/><Relationship Id="rId1" Type="http://schemas.openxmlformats.org/officeDocument/2006/relationships/hyperlink" Target="http://www.unicef.org/lac/media/22071/file/Implementation%20Handbook%20for%20the%20CRC.pdf" TargetMode="External"/><Relationship Id="rId6" Type="http://schemas.openxmlformats.org/officeDocument/2006/relationships/hyperlink" Target="http://www.kinderrechten.be/sites/default/files/2005_2006_11_advies_spreekrecht_zelfstandigerechtsingang_jeugdavocaten.pdf" TargetMode="External"/><Relationship Id="rId15" Type="http://schemas.openxmlformats.org/officeDocument/2006/relationships/hyperlink" Target="http://www.unicef.org/lac/media/22071/file/Implementation%20Handbook%20for%20the%20CRC.pdf" TargetMode="External"/><Relationship Id="rId23" Type="http://schemas.openxmlformats.org/officeDocument/2006/relationships/hyperlink" Target="http://www.echr.coe.int/documents/admissibility_guide_eng.pdf" TargetMode="External"/><Relationship Id="rId28" Type="http://schemas.openxmlformats.org/officeDocument/2006/relationships/hyperlink" Target="http://www.kinderrechten.be/sites/default/files/standpunt_2020_2021_07_banden_tussen_broers_en_zussen.pdf" TargetMode="External"/><Relationship Id="rId36" Type="http://schemas.openxmlformats.org/officeDocument/2006/relationships/hyperlink" Target="http://www.bmj.de/SharedDocs/Publikationen/DE/Kindschaftsrecht.pdf;jsessionid=20B8061F5339F0139E35C1506B64C3DC.2_cid334?__blob=publicationFile&amp;v=24" TargetMode="External"/><Relationship Id="rId49" Type="http://schemas.openxmlformats.org/officeDocument/2006/relationships/hyperlink" Target="http://www.scheidingskoffer.be" TargetMode="External"/><Relationship Id="rId57" Type="http://schemas.openxmlformats.org/officeDocument/2006/relationships/hyperlink" Target="http://www.rm.coe.int/16800d380d" TargetMode="External"/><Relationship Id="rId10" Type="http://schemas.openxmlformats.org/officeDocument/2006/relationships/hyperlink" Target="http://www.cypcs.org.uk/wpcypcs/wp-content/uploads/2021/02/Day-of-General-Discussion-Report-2006.pdf" TargetMode="External"/><Relationship Id="rId31" Type="http://schemas.openxmlformats.org/officeDocument/2006/relationships/hyperlink" Target="http://www.kinderrechten.be/sites/default/files/2005_2006_11_advies_spreekrecht_zelfstandigerechtsingang_jeugdavocaten.pdf" TargetMode="External"/><Relationship Id="rId44" Type="http://schemas.openxmlformats.org/officeDocument/2006/relationships/hyperlink" Target="http://www.bmj.de/SharedDocs/Publikationen/DE/Kindschaftsrecht.pdf;jsessionid=20B8061F5339F0139E35C1506B64C3DC.2_cid334?__blob=publicationFile&amp;v=24" TargetMode="External"/><Relationship Id="rId52" Type="http://schemas.openxmlformats.org/officeDocument/2006/relationships/hyperlink" Target="http://www.rm.coe.int/16800cb5ee" TargetMode="External"/><Relationship Id="rId60" Type="http://schemas.openxmlformats.org/officeDocument/2006/relationships/hyperlink" Target="http://www.rm.coe.int/16800d380d" TargetMode="External"/><Relationship Id="rId4" Type="http://schemas.openxmlformats.org/officeDocument/2006/relationships/hyperlink" Target="http://www.vrt.be/vrtnws/nl/2022/10/14/activisten-gooien-soep-over-zonnebloemen-van-van-gogh/" TargetMode="External"/><Relationship Id="rId9" Type="http://schemas.openxmlformats.org/officeDocument/2006/relationships/hyperlink" Target="http://www.knack.be/nieuws/hoog-tijd-om-minderjarigen-als-volwaardige-mensen-te-bekijken-en-te-behande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E394B-FB9F-43BD-AC83-8969C50C8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136</Pages>
  <Words>39142</Words>
  <Characters>215287</Characters>
  <Application>Microsoft Office Word</Application>
  <DocSecurity>0</DocSecurity>
  <Lines>1794</Lines>
  <Paragraphs>507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Masterscriptie Amber Jans</vt:lpstr>
      <vt:lpstr>Masterscriptie Amber Jans</vt:lpstr>
    </vt:vector>
  </TitlesOfParts>
  <Manager/>
  <Company/>
  <LinksUpToDate>false</LinksUpToDate>
  <CharactersWithSpaces>253922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Masterscriptie Amber Jans</dc:title>
  <dc:subject>Recht op persoonlijk contact van het kind</dc:subject>
  <dc:creator>JANS Amber</dc:creator>
  <cp:keywords/>
  <dc:description/>
  <cp:lastModifiedBy>Amber Jans</cp:lastModifiedBy>
  <cp:revision>39</cp:revision>
  <cp:lastPrinted>2023-05-10T17:14:00Z</cp:lastPrinted>
  <dcterms:created xsi:type="dcterms:W3CDTF">2023-05-10T12:31:00Z</dcterms:created>
  <dcterms:modified xsi:type="dcterms:W3CDTF">2023-05-14T10:18:00Z</dcterms:modified>
  <cp:category/>
</cp:coreProperties>
</file>